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246" w:firstLine="0"/>
        <w:jc w:val="right"/>
        <w:rPr>
          <w:sz w:val="15"/>
        </w:rPr>
      </w:pPr>
      <w:r>
        <w:rPr/>
        <w:pict>
          <v:group style="position:absolute;margin-left:452.76001pt;margin-top:.199792pt;width:120.25pt;height:81.4pt;mso-position-horizontal-relative:page;mso-position-vertical-relative:paragraph;z-index:-59128" coordorigin="9055,4" coordsize="2405,1628">
            <v:shape style="position:absolute;left:9055;top:3;width:2405;height:312" type="#_x0000_t75" stroked="false">
              <v:imagedata r:id="rId5" o:title=""/>
            </v:shape>
            <v:shape style="position:absolute;left:9434;top:1386;width:1815;height:245" type="#_x0000_t75" stroked="false">
              <v:imagedata r:id="rId6" o:title=""/>
            </v:shape>
            <v:shape style="position:absolute;left:9804;top:289;width:1133;height:1133" type="#_x0000_t75" stroked="false">
              <v:imagedata r:id="rId7"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110"/>
          <w:sz w:val="15"/>
        </w:rPr>
        <w:t>1</w:t>
      </w:r>
      <w:r>
        <w:rPr>
          <w:w w:val="110"/>
          <w:sz w:val="15"/>
        </w:rPr>
        <w:t>5</w:t>
      </w:r>
      <w:r>
        <w:rPr>
          <w:spacing w:val="-38"/>
          <w:sz w:val="15"/>
        </w:rPr>
        <w:t> </w:t>
      </w:r>
      <w:r>
        <w:rPr>
          <w:w w:val="100"/>
          <w:sz w:val="15"/>
        </w:rPr>
        <w:t>号</w:t>
      </w:r>
    </w:p>
    <w:p>
      <w:pPr>
        <w:pStyle w:val="BodyText"/>
        <w:spacing w:before="8"/>
        <w:rPr>
          <w:sz w:val="22"/>
        </w:rPr>
      </w:pPr>
    </w:p>
    <w:p>
      <w:pPr>
        <w:spacing w:before="12"/>
        <w:ind w:left="1429" w:right="0" w:firstLine="0"/>
        <w:jc w:val="left"/>
        <w:rPr>
          <w:sz w:val="32"/>
        </w:rPr>
      </w:pPr>
      <w:r>
        <w:rPr>
          <w:spacing w:val="-22"/>
          <w:sz w:val="32"/>
        </w:rPr>
        <w:t>信美相互 </w:t>
      </w:r>
      <w:r>
        <w:rPr>
          <w:w w:val="85"/>
          <w:sz w:val="32"/>
        </w:rPr>
        <w:t>i</w:t>
      </w:r>
      <w:r>
        <w:rPr>
          <w:spacing w:val="-86"/>
          <w:w w:val="85"/>
          <w:sz w:val="32"/>
        </w:rPr>
        <w:t> </w:t>
      </w:r>
      <w:r>
        <w:rPr>
          <w:sz w:val="32"/>
        </w:rPr>
        <w:t>健康基础保终身含身故团体疾病保险条款</w:t>
      </w:r>
    </w:p>
    <w:p>
      <w:pPr>
        <w:pStyle w:val="BodyText"/>
        <w:spacing w:before="9"/>
        <w:rPr>
          <w:sz w:val="14"/>
        </w:rPr>
      </w:pPr>
    </w:p>
    <w:p>
      <w:pPr>
        <w:spacing w:after="0"/>
        <w:rPr>
          <w:sz w:val="14"/>
        </w:rPr>
        <w:sectPr>
          <w:type w:val="continuous"/>
          <w:pgSz w:w="11910" w:h="16840"/>
          <w:pgMar w:top="280" w:bottom="280" w:left="880" w:right="340"/>
        </w:sectPr>
      </w:pPr>
    </w:p>
    <w:p>
      <w:pPr>
        <w:spacing w:before="12"/>
        <w:ind w:left="0" w:right="0" w:firstLine="0"/>
        <w:jc w:val="right"/>
        <w:rPr>
          <w:sz w:val="32"/>
        </w:rPr>
      </w:pPr>
      <w:r>
        <w:rPr>
          <w:sz w:val="32"/>
        </w:rPr>
        <w:t>阅 读 指 引</w:t>
      </w:r>
    </w:p>
    <w:p>
      <w:pPr>
        <w:pStyle w:val="BodyText"/>
        <w:spacing w:before="7"/>
        <w:rPr>
          <w:sz w:val="20"/>
        </w:rPr>
      </w:pPr>
      <w:r>
        <w:rPr/>
        <w:br w:type="column"/>
      </w:r>
      <w:r>
        <w:rPr>
          <w:sz w:val="20"/>
        </w:rPr>
      </w:r>
    </w:p>
    <w:p>
      <w:pPr>
        <w:spacing w:before="0"/>
        <w:ind w:left="2708" w:right="0" w:firstLine="0"/>
        <w:jc w:val="left"/>
        <w:rPr>
          <w:sz w:val="15"/>
        </w:rPr>
      </w:pPr>
      <w:r>
        <w:rPr>
          <w:sz w:val="15"/>
        </w:rPr>
        <w:t>请扫描以查询验证条款</w:t>
      </w:r>
    </w:p>
    <w:p>
      <w:pPr>
        <w:spacing w:after="0"/>
        <w:jc w:val="left"/>
        <w:rPr>
          <w:sz w:val="15"/>
        </w:rPr>
        <w:sectPr>
          <w:type w:val="continuous"/>
          <w:pgSz w:w="11910" w:h="16840"/>
          <w:pgMar w:top="280" w:bottom="280" w:left="880" w:right="340"/>
          <w:cols w:num="2" w:equalWidth="0">
            <w:col w:w="5952" w:space="40"/>
            <w:col w:w="4698"/>
          </w:cols>
        </w:sectPr>
      </w:pPr>
    </w:p>
    <w:p>
      <w:pPr>
        <w:pStyle w:val="BodyText"/>
        <w:spacing w:before="110"/>
        <w:ind w:left="667" w:right="11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5"/>
        <w:ind w:left="219" w:right="0" w:firstLine="0"/>
        <w:jc w:val="left"/>
        <w:rPr>
          <w:rFonts w:ascii="微软雅黑" w:hAnsi="微软雅黑" w:eastAsia="微软雅黑" w:hint="eastAsia"/>
          <w:b/>
          <w:sz w:val="21"/>
        </w:rPr>
      </w:pPr>
      <w:r>
        <w:rPr/>
        <w:pict>
          <v:group style="position:absolute;margin-left:49.32pt;margin-top:10.696623pt;width:496.8pt;height:656.4pt;mso-position-horizontal-relative:page;mso-position-vertical-relative:paragraph;z-index:-59152" coordorigin="986,214" coordsize="9936,13128">
            <v:rect style="position:absolute;left:986;top:213;width:10;height:10" filled="true" fillcolor="#000000" stroked="false">
              <v:fill type="solid"/>
            </v:rect>
            <v:line style="position:absolute" from="996,219" to="10912,219" stroked="true" strokeweight=".48pt" strokecolor="#000000">
              <v:stroke dashstyle="solid"/>
            </v:line>
            <v:rect style="position:absolute;left:10912;top:213;width:10;height:10" filled="true" fillcolor="#000000" stroked="false">
              <v:fill type="solid"/>
            </v:rect>
            <v:line style="position:absolute" from="991,224" to="991,13341" stroked="true" strokeweight=".48pt" strokecolor="#000000">
              <v:stroke dashstyle="solid"/>
            </v:line>
            <v:line style="position:absolute" from="996,13336" to="10912,13336" stroked="true" strokeweight=".48004pt" strokecolor="#000000">
              <v:stroke dashstyle="solid"/>
            </v:line>
            <v:line style="position:absolute" from="10917,224" to="10917,13341" stroked="true" strokeweight=".47998pt" strokecolor="#000000">
              <v:stroke dashstyle="solid"/>
            </v:line>
            <w10:wrap type="none"/>
          </v:group>
        </w:pict>
      </w:r>
      <w:r>
        <w:rPr>
          <w:rFonts w:ascii="Arial" w:hAnsi="Arial" w:eastAsia="Arial"/>
          <w:b/>
          <w:w w:val="105"/>
          <w:position w:val="-11"/>
          <w:sz w:val="40"/>
        </w:rPr>
        <w:t></w:t>
        <w:tab/>
      </w:r>
      <w:r>
        <w:rPr>
          <w:rFonts w:ascii="微软雅黑" w:hAnsi="微软雅黑" w:eastAsia="微软雅黑" w:hint="eastAsia"/>
          <w:b/>
          <w:spacing w:val="-1"/>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2"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1" w:val="right" w:leader="dot"/>
        </w:tabs>
        <w:spacing w:line="240" w:lineRule="auto" w:before="21"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92"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投</w:t>
      </w:r>
      <w:r>
        <w:rPr>
          <w:spacing w:val="-3"/>
          <w:w w:val="100"/>
          <w:sz w:val="21"/>
        </w:rPr>
        <w:t>保</w:t>
      </w:r>
      <w:r>
        <w:rPr>
          <w:w w:val="100"/>
          <w:sz w:val="21"/>
        </w:rPr>
        <w:t>人及</w:t>
      </w:r>
      <w:r>
        <w:rPr>
          <w:spacing w:val="-3"/>
          <w:w w:val="100"/>
          <w:sz w:val="21"/>
        </w:rPr>
        <w:t>时</w:t>
      </w:r>
      <w:r>
        <w:rPr>
          <w:w w:val="100"/>
          <w:sz w:val="21"/>
        </w:rPr>
        <w:t>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70" w:val="left" w:leader="none"/>
          <w:tab w:pos="1271" w:val="left" w:leader="none"/>
          <w:tab w:pos="9504" w:val="right" w:leader="dot"/>
        </w:tabs>
        <w:spacing w:line="240" w:lineRule="auto" w:before="23"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76" w:val="right" w:leader="dot"/>
        </w:tabs>
        <w:spacing w:line="240" w:lineRule="auto" w:before="22"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2"/>
          <w:w w:val="58"/>
          <w:sz w:val="21"/>
        </w:rPr>
        <w:t>.</w:t>
      </w:r>
      <w:r>
        <w:rPr>
          <w:w w:val="122"/>
          <w:sz w:val="21"/>
        </w:rPr>
        <w:t>5</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2"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280" w:bottom="280" w:left="880" w:right="340"/>
        </w:sectPr>
      </w:pPr>
    </w:p>
    <w:p>
      <w:pPr>
        <w:tabs>
          <w:tab w:pos="925" w:val="left" w:leader="none"/>
        </w:tabs>
        <w:spacing w:before="10"/>
        <w:ind w:left="505" w:right="0" w:firstLine="0"/>
        <w:jc w:val="left"/>
        <w:rPr>
          <w:rFonts w:ascii="微软雅黑" w:eastAsia="微软雅黑" w:hint="eastAsia"/>
          <w:b/>
          <w:sz w:val="21"/>
        </w:rPr>
      </w:pPr>
      <w:r>
        <w:rPr>
          <w:rFonts w:ascii="微软雅黑" w:eastAsia="微软雅黑" w:hint="eastAsia"/>
          <w:b/>
          <w:sz w:val="21"/>
        </w:rPr>
        <w:t>1.</w:t>
        <w:tab/>
        <w:t>我们保什么</w:t>
      </w:r>
    </w:p>
    <w:p>
      <w:pPr>
        <w:pStyle w:val="BodyText"/>
        <w:spacing w:before="11"/>
        <w:ind w:left="505"/>
      </w:pPr>
      <w:r>
        <w:rPr/>
        <w:t>1.1 基本保险金额</w:t>
      </w:r>
    </w:p>
    <w:p>
      <w:pPr>
        <w:tabs>
          <w:tab w:pos="925" w:val="left" w:leader="none"/>
        </w:tabs>
        <w:spacing w:before="10"/>
        <w:ind w:left="505" w:right="0" w:firstLine="0"/>
        <w:jc w:val="left"/>
        <w:rPr>
          <w:rFonts w:ascii="微软雅黑" w:eastAsia="微软雅黑" w:hint="eastAsia"/>
          <w:b/>
          <w:sz w:val="21"/>
        </w:rPr>
      </w:pPr>
      <w:r>
        <w:rPr/>
        <w:br w:type="column"/>
      </w:r>
      <w:r>
        <w:rPr>
          <w:rFonts w:ascii="微软雅黑" w:eastAsia="微软雅黑" w:hint="eastAsia"/>
          <w:b/>
          <w:sz w:val="21"/>
        </w:rPr>
        <w:t>8.</w:t>
        <w:tab/>
        <w:t>其他需要关注的事项</w:t>
      </w:r>
    </w:p>
    <w:p>
      <w:pPr>
        <w:pStyle w:val="BodyText"/>
        <w:spacing w:before="11"/>
        <w:ind w:left="505"/>
      </w:pPr>
      <w:r>
        <w:rPr>
          <w:w w:val="124"/>
        </w:rPr>
        <w:t>8</w:t>
      </w:r>
      <w:r>
        <w:rPr>
          <w:spacing w:val="-2"/>
          <w:w w:val="58"/>
        </w:rPr>
        <w:t>.</w:t>
      </w:r>
      <w:r>
        <w:rPr>
          <w:w w:val="97"/>
        </w:rPr>
        <w:t>1</w:t>
      </w:r>
      <w:r>
        <w:rPr>
          <w:spacing w:val="20"/>
        </w:rPr>
        <w:t> </w:t>
      </w:r>
      <w:r>
        <w:rPr>
          <w:spacing w:val="-1"/>
          <w:w w:val="100"/>
        </w:rPr>
        <w:t>合同构成</w:t>
      </w:r>
    </w:p>
    <w:p>
      <w:pPr>
        <w:pStyle w:val="ListParagraph"/>
        <w:numPr>
          <w:ilvl w:val="1"/>
          <w:numId w:val="2"/>
        </w:numPr>
        <w:tabs>
          <w:tab w:pos="1031" w:val="left" w:leader="none"/>
        </w:tabs>
        <w:spacing w:line="240" w:lineRule="auto" w:before="73" w:after="0"/>
        <w:ind w:left="1030" w:right="0" w:hanging="525"/>
        <w:jc w:val="left"/>
        <w:rPr>
          <w:sz w:val="21"/>
        </w:rPr>
      </w:pPr>
      <w:r>
        <w:rPr>
          <w:w w:val="100"/>
          <w:sz w:val="21"/>
        </w:rPr>
        <w:br w:type="column"/>
      </w:r>
      <w:r>
        <w:rPr>
          <w:spacing w:val="-3"/>
          <w:sz w:val="21"/>
        </w:rPr>
        <w:t>无合法有效驾驶证驾驶</w:t>
      </w:r>
    </w:p>
    <w:p>
      <w:pPr>
        <w:pStyle w:val="ListParagraph"/>
        <w:numPr>
          <w:ilvl w:val="1"/>
          <w:numId w:val="2"/>
        </w:numPr>
        <w:tabs>
          <w:tab w:pos="1031" w:val="left" w:leader="none"/>
        </w:tabs>
        <w:spacing w:line="240" w:lineRule="auto" w:before="37" w:after="0"/>
        <w:ind w:left="1030" w:right="0" w:hanging="525"/>
        <w:jc w:val="left"/>
        <w:rPr>
          <w:sz w:val="21"/>
        </w:rPr>
      </w:pPr>
      <w:r>
        <w:rPr>
          <w:spacing w:val="-3"/>
          <w:sz w:val="21"/>
        </w:rPr>
        <w:t>无合法有效行驶证</w:t>
      </w:r>
    </w:p>
    <w:p>
      <w:pPr>
        <w:spacing w:after="0" w:line="240" w:lineRule="auto"/>
        <w:jc w:val="left"/>
        <w:rPr>
          <w:sz w:val="21"/>
        </w:rPr>
        <w:sectPr>
          <w:type w:val="continuous"/>
          <w:pgSz w:w="11910" w:h="16840"/>
          <w:pgMar w:top="280" w:bottom="280" w:left="880" w:right="340"/>
          <w:cols w:num="3" w:equalWidth="0">
            <w:col w:w="2188" w:space="930"/>
            <w:col w:w="2827" w:space="292"/>
            <w:col w:w="4453"/>
          </w:cols>
        </w:sectPr>
      </w:pPr>
    </w:p>
    <w:p>
      <w:pPr>
        <w:pStyle w:val="BodyText"/>
        <w:spacing w:before="5"/>
        <w:rPr>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00"/>
        <w:gridCol w:w="887"/>
        <w:gridCol w:w="2194"/>
      </w:tblGrid>
      <w:tr>
        <w:trPr>
          <w:trHeight w:val="276" w:hRule="atLeast"/>
        </w:trPr>
        <w:tc>
          <w:tcPr>
            <w:tcW w:w="419" w:type="dxa"/>
          </w:tcPr>
          <w:p>
            <w:pPr>
              <w:pStyle w:val="TableParagraph"/>
              <w:spacing w:line="215" w:lineRule="exact"/>
              <w:ind w:left="50"/>
              <w:rPr>
                <w:sz w:val="21"/>
              </w:rPr>
            </w:pPr>
            <w:r>
              <w:rPr>
                <w:w w:val="97"/>
                <w:sz w:val="21"/>
              </w:rPr>
              <w:t>1</w:t>
            </w:r>
            <w:r>
              <w:rPr>
                <w:spacing w:val="-2"/>
                <w:w w:val="58"/>
                <w:sz w:val="21"/>
              </w:rPr>
              <w:t>.</w:t>
            </w:r>
            <w:r>
              <w:rPr>
                <w:w w:val="121"/>
                <w:sz w:val="21"/>
              </w:rPr>
              <w:t>2</w:t>
            </w:r>
          </w:p>
        </w:tc>
        <w:tc>
          <w:tcPr>
            <w:tcW w:w="2556" w:type="dxa"/>
          </w:tcPr>
          <w:p>
            <w:pPr>
              <w:pStyle w:val="TableParagraph"/>
              <w:spacing w:line="215" w:lineRule="exact"/>
              <w:ind w:left="50"/>
              <w:rPr>
                <w:sz w:val="21"/>
              </w:rPr>
            </w:pPr>
            <w:r>
              <w:rPr>
                <w:sz w:val="21"/>
              </w:rPr>
              <w:t>保险期间</w:t>
            </w:r>
          </w:p>
        </w:tc>
        <w:tc>
          <w:tcPr>
            <w:tcW w:w="612" w:type="dxa"/>
          </w:tcPr>
          <w:p>
            <w:pPr>
              <w:pStyle w:val="TableParagraph"/>
              <w:spacing w:line="215" w:lineRule="exact"/>
              <w:ind w:left="193"/>
              <w:rPr>
                <w:sz w:val="21"/>
              </w:rPr>
            </w:pPr>
            <w:r>
              <w:rPr>
                <w:w w:val="124"/>
                <w:sz w:val="21"/>
              </w:rPr>
              <w:t>8</w:t>
            </w:r>
            <w:r>
              <w:rPr>
                <w:spacing w:val="-2"/>
                <w:w w:val="58"/>
                <w:sz w:val="21"/>
              </w:rPr>
              <w:t>.</w:t>
            </w:r>
            <w:r>
              <w:rPr>
                <w:w w:val="121"/>
                <w:sz w:val="21"/>
              </w:rPr>
              <w:t>2</w:t>
            </w:r>
          </w:p>
        </w:tc>
        <w:tc>
          <w:tcPr>
            <w:tcW w:w="2400" w:type="dxa"/>
          </w:tcPr>
          <w:p>
            <w:pPr>
              <w:pStyle w:val="TableParagraph"/>
              <w:spacing w:line="215" w:lineRule="exact"/>
              <w:ind w:left="1"/>
              <w:rPr>
                <w:sz w:val="21"/>
              </w:rPr>
            </w:pPr>
            <w:r>
              <w:rPr>
                <w:sz w:val="21"/>
              </w:rPr>
              <w:t>合同成立及Th效</w:t>
            </w:r>
          </w:p>
        </w:tc>
        <w:tc>
          <w:tcPr>
            <w:tcW w:w="887" w:type="dxa"/>
          </w:tcPr>
          <w:p>
            <w:pPr>
              <w:pStyle w:val="TableParagraph"/>
              <w:spacing w:line="215"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194" w:type="dxa"/>
          </w:tcPr>
          <w:p>
            <w:pPr>
              <w:pStyle w:val="TableParagraph"/>
              <w:spacing w:line="215" w:lineRule="exact"/>
              <w:ind w:left="43"/>
              <w:rPr>
                <w:sz w:val="21"/>
              </w:rPr>
            </w:pPr>
            <w:r>
              <w:rPr>
                <w:sz w:val="21"/>
              </w:rPr>
              <w:t>机动车</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3</w:t>
            </w:r>
          </w:p>
        </w:tc>
        <w:tc>
          <w:tcPr>
            <w:tcW w:w="2400" w:type="dxa"/>
          </w:tcPr>
          <w:p>
            <w:pPr>
              <w:pStyle w:val="TableParagraph"/>
              <w:spacing w:line="251" w:lineRule="exact"/>
              <w:ind w:left="1"/>
              <w:rPr>
                <w:sz w:val="21"/>
              </w:rPr>
            </w:pPr>
            <w:r>
              <w:rPr>
                <w:sz w:val="21"/>
              </w:rPr>
              <w:t>投保范围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11</w:t>
            </w:r>
          </w:p>
        </w:tc>
        <w:tc>
          <w:tcPr>
            <w:tcW w:w="2194" w:type="dxa"/>
          </w:tcPr>
          <w:p>
            <w:pPr>
              <w:pStyle w:val="TableParagraph"/>
              <w:spacing w:line="251" w:lineRule="exact"/>
              <w:ind w:left="43"/>
              <w:rPr>
                <w:sz w:val="21"/>
              </w:rPr>
            </w:pPr>
            <w:r>
              <w:rPr>
                <w:sz w:val="21"/>
              </w:rPr>
              <w:t>感染艾滋病病毒或者患</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00" w:type="dxa"/>
          </w:tcPr>
          <w:p>
            <w:pPr>
              <w:pStyle w:val="TableParagraph"/>
              <w:spacing w:line="251" w:lineRule="exact"/>
              <w:ind w:left="1"/>
              <w:rPr>
                <w:sz w:val="21"/>
              </w:rPr>
            </w:pPr>
            <w:r>
              <w:rPr>
                <w:sz w:val="21"/>
              </w:rPr>
              <w:t>投保年龄</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艾滋病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00" w:type="dxa"/>
          </w:tcPr>
          <w:p>
            <w:pPr>
              <w:pStyle w:val="TableParagraph"/>
              <w:spacing w:line="251" w:lineRule="exact"/>
              <w:ind w:left="1"/>
              <w:rPr>
                <w:sz w:val="21"/>
              </w:rPr>
            </w:pPr>
            <w:r>
              <w:rPr>
                <w:sz w:val="21"/>
              </w:rPr>
              <w:t>明确说明与如实告知</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0"/>
                <w:sz w:val="21"/>
              </w:rPr>
              <w:t>2</w:t>
            </w:r>
          </w:p>
        </w:tc>
        <w:tc>
          <w:tcPr>
            <w:tcW w:w="2194" w:type="dxa"/>
          </w:tcPr>
          <w:p>
            <w:pPr>
              <w:pStyle w:val="TableParagraph"/>
              <w:spacing w:line="251" w:lineRule="exact"/>
              <w:ind w:left="43"/>
              <w:rPr>
                <w:sz w:val="21"/>
              </w:rPr>
            </w:pPr>
            <w:r>
              <w:rPr>
                <w:sz w:val="21"/>
              </w:rPr>
              <w:t>遗传性疾病</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00" w:type="dxa"/>
          </w:tcPr>
          <w:p>
            <w:pPr>
              <w:pStyle w:val="TableParagraph"/>
              <w:spacing w:line="251" w:lineRule="exact"/>
              <w:ind w:left="1"/>
              <w:rPr>
                <w:sz w:val="21"/>
              </w:rPr>
            </w:pPr>
            <w:r>
              <w:rPr>
                <w:sz w:val="21"/>
              </w:rPr>
              <w:t>我们合同解除权的限制</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194" w:type="dxa"/>
          </w:tcPr>
          <w:p>
            <w:pPr>
              <w:pStyle w:val="TableParagraph"/>
              <w:spacing w:line="251" w:lineRule="exact"/>
              <w:ind w:left="43"/>
              <w:rPr>
                <w:sz w:val="21"/>
              </w:rPr>
            </w:pPr>
            <w:r>
              <w:rPr>
                <w:sz w:val="21"/>
              </w:rPr>
              <w:t>先天性畸形、变形或者</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00" w:type="dxa"/>
          </w:tcPr>
          <w:p>
            <w:pPr>
              <w:pStyle w:val="TableParagraph"/>
              <w:spacing w:line="251" w:lineRule="exact"/>
              <w:ind w:left="1"/>
              <w:rPr>
                <w:sz w:val="21"/>
              </w:rPr>
            </w:pPr>
            <w:r>
              <w:rPr>
                <w:sz w:val="21"/>
              </w:rPr>
              <w:t>年龄性别错误</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染色体异常</w:t>
            </w:r>
          </w:p>
        </w:tc>
      </w:tr>
      <w:tr>
        <w:trPr>
          <w:trHeight w:val="311"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00" w:type="dxa"/>
          </w:tcPr>
          <w:p>
            <w:pPr>
              <w:pStyle w:val="TableParagraph"/>
              <w:spacing w:line="251" w:lineRule="exact"/>
              <w:ind w:left="1"/>
              <w:rPr>
                <w:sz w:val="21"/>
              </w:rPr>
            </w:pPr>
            <w:r>
              <w:rPr>
                <w:sz w:val="21"/>
              </w:rPr>
              <w:t>被保险人变动</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194" w:type="dxa"/>
          </w:tcPr>
          <w:p>
            <w:pPr>
              <w:pStyle w:val="TableParagraph"/>
              <w:spacing w:line="251" w:lineRule="exact"/>
              <w:ind w:left="43"/>
              <w:rPr>
                <w:sz w:val="21"/>
              </w:rPr>
            </w:pPr>
            <w:r>
              <w:rPr>
                <w:sz w:val="21"/>
              </w:rPr>
              <w:t>保险费约定交纳日</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00" w:type="dxa"/>
          </w:tcPr>
          <w:p>
            <w:pPr>
              <w:pStyle w:val="TableParagraph"/>
              <w:spacing w:line="251" w:lineRule="exact"/>
              <w:ind w:left="1"/>
              <w:rPr>
                <w:sz w:val="21"/>
              </w:rPr>
            </w:pPr>
            <w:r>
              <w:rPr>
                <w:sz w:val="21"/>
              </w:rPr>
              <w:t>未还款项</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194" w:type="dxa"/>
          </w:tcPr>
          <w:p>
            <w:pPr>
              <w:pStyle w:val="TableParagraph"/>
              <w:spacing w:line="251" w:lineRule="exact"/>
              <w:ind w:left="43"/>
              <w:rPr>
                <w:sz w:val="21"/>
              </w:rPr>
            </w:pPr>
            <w:r>
              <w:rPr>
                <w:sz w:val="21"/>
              </w:rPr>
              <w:t>复利</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00" w:type="dxa"/>
          </w:tcPr>
          <w:p>
            <w:pPr>
              <w:pStyle w:val="TableParagraph"/>
              <w:spacing w:line="251" w:lineRule="exact"/>
              <w:ind w:left="106"/>
              <w:rPr>
                <w:sz w:val="21"/>
              </w:rPr>
            </w:pPr>
            <w:r>
              <w:rPr>
                <w:sz w:val="21"/>
              </w:rPr>
              <w:t>合同内容变更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194" w:type="dxa"/>
          </w:tcPr>
          <w:p>
            <w:pPr>
              <w:pStyle w:val="TableParagraph"/>
              <w:spacing w:line="251" w:lineRule="exact"/>
              <w:ind w:left="43"/>
              <w:rPr>
                <w:sz w:val="21"/>
              </w:rPr>
            </w:pPr>
            <w:r>
              <w:rPr>
                <w:sz w:val="21"/>
              </w:rPr>
              <w:t>有效身份证件</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00" w:type="dxa"/>
          </w:tcPr>
          <w:p>
            <w:pPr>
              <w:pStyle w:val="TableParagraph"/>
              <w:spacing w:line="251" w:lineRule="exact"/>
              <w:ind w:left="106"/>
              <w:rPr>
                <w:sz w:val="21"/>
              </w:rPr>
            </w:pPr>
            <w:r>
              <w:rPr>
                <w:sz w:val="21"/>
              </w:rPr>
              <w:t>联系方式变更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194" w:type="dxa"/>
          </w:tcPr>
          <w:p>
            <w:pPr>
              <w:pStyle w:val="TableParagraph"/>
              <w:spacing w:line="251" w:lineRule="exact"/>
              <w:ind w:left="43"/>
              <w:rPr>
                <w:sz w:val="21"/>
              </w:rPr>
            </w:pPr>
            <w:r>
              <w:rPr>
                <w:sz w:val="21"/>
              </w:rPr>
              <w:t>专科医Th</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2</w:t>
            </w:r>
          </w:p>
        </w:tc>
        <w:tc>
          <w:tcPr>
            <w:tcW w:w="2400" w:type="dxa"/>
          </w:tcPr>
          <w:p>
            <w:pPr>
              <w:pStyle w:val="TableParagraph"/>
              <w:spacing w:line="251" w:lineRule="exact"/>
              <w:ind w:left="106"/>
              <w:rPr>
                <w:sz w:val="21"/>
              </w:rPr>
            </w:pPr>
            <w:r>
              <w:rPr>
                <w:sz w:val="21"/>
              </w:rPr>
              <w:t>争议处理</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51" w:lineRule="exact"/>
              <w:ind w:left="43"/>
              <w:rPr>
                <w:sz w:val="21"/>
              </w:rPr>
            </w:pPr>
            <w:r>
              <w:rPr>
                <w:sz w:val="21"/>
              </w:rPr>
              <w:t>与基本保险金额减少部</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00" w:type="dxa"/>
          </w:tcPr>
          <w:p>
            <w:pPr>
              <w:pStyle w:val="TableParagraph"/>
              <w:spacing w:line="251" w:lineRule="exact"/>
              <w:ind w:left="106"/>
              <w:rPr>
                <w:sz w:val="21"/>
              </w:rPr>
            </w:pPr>
            <w:r>
              <w:rPr>
                <w:sz w:val="21"/>
              </w:rPr>
              <w:t>合同终止</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分相对应的现金价值</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76" w:lineRule="exact"/>
              <w:ind w:left="193"/>
              <w:rPr>
                <w:rFonts w:ascii="微软雅黑"/>
                <w:b/>
                <w:sz w:val="21"/>
              </w:rPr>
            </w:pPr>
            <w:r>
              <w:rPr>
                <w:rFonts w:ascii="微软雅黑"/>
                <w:b/>
                <w:sz w:val="21"/>
              </w:rPr>
              <w:t>9.</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9.1</w:t>
            </w:r>
          </w:p>
        </w:tc>
        <w:tc>
          <w:tcPr>
            <w:tcW w:w="2400" w:type="dxa"/>
          </w:tcPr>
          <w:p>
            <w:pPr>
              <w:pStyle w:val="TableParagraph"/>
              <w:spacing w:line="251" w:lineRule="exact"/>
              <w:ind w:left="1"/>
              <w:rPr>
                <w:sz w:val="21"/>
              </w:rPr>
            </w:pPr>
            <w:r>
              <w:rPr>
                <w:sz w:val="21"/>
              </w:rPr>
              <w:t>重症疾病</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团体</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97"/>
                <w:sz w:val="21"/>
              </w:rPr>
              <w:t>1</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00" w:type="dxa"/>
          </w:tcPr>
          <w:p>
            <w:pPr>
              <w:pStyle w:val="TableParagraph"/>
              <w:spacing w:line="251" w:lineRule="exact"/>
              <w:ind w:left="106"/>
              <w:rPr>
                <w:sz w:val="21"/>
              </w:rPr>
            </w:pPr>
            <w:r>
              <w:rPr>
                <w:sz w:val="21"/>
              </w:rPr>
              <w:t>医院</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194" w:type="dxa"/>
          </w:tcPr>
          <w:p>
            <w:pPr>
              <w:pStyle w:val="TableParagraph"/>
              <w:spacing w:line="251" w:lineRule="exact"/>
              <w:ind w:left="43"/>
              <w:rPr>
                <w:sz w:val="21"/>
              </w:rPr>
            </w:pPr>
            <w:r>
              <w:rPr>
                <w:sz w:val="21"/>
              </w:rPr>
              <w:t>美国纽约心脏病学会心</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0"/>
                <w:sz w:val="21"/>
              </w:rPr>
              <w:t>2</w:t>
            </w:r>
          </w:p>
        </w:tc>
        <w:tc>
          <w:tcPr>
            <w:tcW w:w="2400" w:type="dxa"/>
          </w:tcPr>
          <w:p>
            <w:pPr>
              <w:pStyle w:val="TableParagraph"/>
              <w:spacing w:line="251" w:lineRule="exact"/>
              <w:ind w:left="106"/>
              <w:rPr>
                <w:sz w:val="21"/>
              </w:rPr>
            </w:pPr>
            <w:r>
              <w:rPr>
                <w:sz w:val="21"/>
              </w:rPr>
              <w:t>初次确诊</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2"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00" w:type="dxa"/>
          </w:tcPr>
          <w:p>
            <w:pPr>
              <w:pStyle w:val="TableParagraph"/>
              <w:spacing w:line="251" w:lineRule="exact"/>
              <w:ind w:left="106"/>
              <w:rPr>
                <w:sz w:val="21"/>
              </w:rPr>
            </w:pPr>
            <w:r>
              <w:rPr>
                <w:sz w:val="21"/>
              </w:rPr>
              <w:t>意外伤害</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00" w:type="dxa"/>
          </w:tcPr>
          <w:p>
            <w:pPr>
              <w:pStyle w:val="TableParagraph"/>
              <w:spacing w:line="251" w:lineRule="exact"/>
              <w:ind w:left="106"/>
              <w:rPr>
                <w:sz w:val="21"/>
              </w:rPr>
            </w:pPr>
            <w:r>
              <w:rPr>
                <w:sz w:val="21"/>
              </w:rPr>
              <w:t>周岁</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3"/>
                <w:sz w:val="21"/>
              </w:rPr>
              <w:t>4</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00" w:type="dxa"/>
          </w:tcPr>
          <w:p>
            <w:pPr>
              <w:pStyle w:val="TableParagraph"/>
              <w:spacing w:line="251" w:lineRule="exact"/>
              <w:ind w:left="106"/>
              <w:rPr>
                <w:sz w:val="21"/>
              </w:rPr>
            </w:pPr>
            <w:r>
              <w:rPr>
                <w:sz w:val="21"/>
              </w:rPr>
              <w:t>现金价值</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00" w:type="dxa"/>
          </w:tcPr>
          <w:p>
            <w:pPr>
              <w:pStyle w:val="TableParagraph"/>
              <w:spacing w:line="251" w:lineRule="exact"/>
              <w:ind w:left="106"/>
              <w:rPr>
                <w:sz w:val="21"/>
              </w:rPr>
            </w:pPr>
            <w:r>
              <w:rPr>
                <w:sz w:val="21"/>
              </w:rPr>
              <w:t>毒品</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2"/>
                <w:sz w:val="21"/>
              </w:rPr>
              <w:t>5</w:t>
            </w:r>
          </w:p>
        </w:tc>
        <w:tc>
          <w:tcPr>
            <w:tcW w:w="2194" w:type="dxa"/>
          </w:tcPr>
          <w:p>
            <w:pPr>
              <w:pStyle w:val="TableParagraph"/>
              <w:spacing w:line="251" w:lineRule="exact"/>
              <w:ind w:left="43"/>
              <w:rPr>
                <w:sz w:val="21"/>
              </w:rPr>
            </w:pPr>
            <w:r>
              <w:rPr>
                <w:sz w:val="21"/>
              </w:rPr>
              <w:t>六项基本日常Th活活动</w:t>
            </w:r>
          </w:p>
        </w:tc>
      </w:tr>
      <w:tr>
        <w:trPr>
          <w:trHeight w:val="321"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2400" w:type="dxa"/>
          </w:tcPr>
          <w:p>
            <w:pPr>
              <w:pStyle w:val="TableParagraph"/>
              <w:spacing w:line="251" w:lineRule="exact"/>
              <w:ind w:left="106"/>
              <w:rPr>
                <w:sz w:val="21"/>
              </w:rPr>
            </w:pPr>
            <w:r>
              <w:rPr>
                <w:sz w:val="21"/>
              </w:rPr>
              <w:t>酒后驾驶</w:t>
            </w:r>
          </w:p>
        </w:tc>
        <w:tc>
          <w:tcPr>
            <w:tcW w:w="887"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280" w:bottom="280" w:left="880" w:right="340"/>
        </w:sectPr>
      </w:pPr>
    </w:p>
    <w:p>
      <w:pPr>
        <w:spacing w:line="410" w:lineRule="exact" w:before="0"/>
        <w:ind w:left="3547" w:right="3987" w:firstLine="0"/>
        <w:jc w:val="center"/>
        <w:rPr>
          <w:sz w:val="32"/>
        </w:rPr>
      </w:pPr>
      <w:r>
        <w:rPr>
          <w:w w:val="95"/>
          <w:sz w:val="32"/>
        </w:rPr>
        <w:t>信美人寿相互保险社</w:t>
      </w:r>
    </w:p>
    <w:p>
      <w:pPr>
        <w:spacing w:before="205"/>
        <w:ind w:left="1289" w:right="0" w:firstLine="0"/>
        <w:jc w:val="left"/>
        <w:rPr>
          <w:sz w:val="32"/>
        </w:rPr>
      </w:pPr>
      <w:r>
        <w:rPr>
          <w:spacing w:val="-22"/>
          <w:sz w:val="32"/>
        </w:rPr>
        <w:t>信美相互 </w:t>
      </w:r>
      <w:r>
        <w:rPr>
          <w:w w:val="85"/>
          <w:sz w:val="32"/>
        </w:rPr>
        <w:t>i</w:t>
      </w:r>
      <w:r>
        <w:rPr>
          <w:spacing w:val="-86"/>
          <w:w w:val="85"/>
          <w:sz w:val="32"/>
        </w:rPr>
        <w:t> </w:t>
      </w:r>
      <w:r>
        <w:rPr>
          <w:sz w:val="32"/>
        </w:rPr>
        <w:t>健康基础保终身含身故团体疾病保险条款</w:t>
      </w:r>
    </w:p>
    <w:p>
      <w:pPr>
        <w:pStyle w:val="BodyText"/>
        <w:spacing w:before="5"/>
        <w:rPr>
          <w:sz w:val="43"/>
        </w:rPr>
      </w:pPr>
    </w:p>
    <w:p>
      <w:pPr>
        <w:pStyle w:val="BodyText"/>
        <w:spacing w:line="280" w:lineRule="auto"/>
        <w:ind w:left="112" w:right="59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健康基</w:t>
      </w:r>
      <w:r>
        <w:rPr>
          <w:spacing w:val="-16"/>
        </w:rPr>
        <w:t>础保终身含身故团体疾病保险合同”。</w:t>
      </w:r>
    </w:p>
    <w:p>
      <w:pPr>
        <w:pStyle w:val="BodyText"/>
        <w:rPr>
          <w:sz w:val="20"/>
        </w:rPr>
      </w:pPr>
    </w:p>
    <w:p>
      <w:pPr>
        <w:pStyle w:val="BodyText"/>
        <w:spacing w:before="7"/>
        <w:rPr>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852"/>
        <w:gridCol w:w="7578"/>
      </w:tblGrid>
      <w:tr>
        <w:trPr>
          <w:trHeight w:val="755" w:hRule="atLeast"/>
        </w:trPr>
        <w:tc>
          <w:tcPr>
            <w:tcW w:w="663" w:type="dxa"/>
            <w:tcBorders>
              <w:bottom w:val="single" w:sz="8" w:space="0" w:color="000000"/>
            </w:tcBorders>
          </w:tcPr>
          <w:p>
            <w:pPr>
              <w:pStyle w:val="TableParagraph"/>
              <w:spacing w:line="504" w:lineRule="exact"/>
              <w:ind w:left="107"/>
              <w:rPr>
                <w:rFonts w:ascii="微软雅黑"/>
                <w:b/>
                <w:sz w:val="36"/>
              </w:rPr>
            </w:pPr>
            <w:r>
              <w:rPr>
                <w:rFonts w:ascii="微软雅黑"/>
                <w:b/>
                <w:w w:val="95"/>
                <w:sz w:val="36"/>
              </w:rPr>
              <w:t>1.</w:t>
            </w:r>
          </w:p>
        </w:tc>
        <w:tc>
          <w:tcPr>
            <w:tcW w:w="9430" w:type="dxa"/>
            <w:gridSpan w:val="2"/>
            <w:tcBorders>
              <w:bottom w:val="single" w:sz="8" w:space="0" w:color="000000"/>
            </w:tcBorders>
          </w:tcPr>
          <w:p>
            <w:pPr>
              <w:pStyle w:val="TableParagraph"/>
              <w:spacing w:line="274" w:lineRule="exact"/>
              <w:ind w:left="261"/>
              <w:rPr>
                <w:rFonts w:ascii="微软雅黑" w:eastAsia="微软雅黑" w:hint="eastAsia"/>
                <w:b/>
                <w:sz w:val="24"/>
              </w:rPr>
            </w:pPr>
            <w:r>
              <w:rPr>
                <w:rFonts w:ascii="微软雅黑" w:eastAsia="微软雅黑" w:hint="eastAsia"/>
                <w:b/>
                <w:sz w:val="24"/>
              </w:rPr>
              <w:t>我们保什么</w:t>
            </w:r>
          </w:p>
          <w:p>
            <w:pPr>
              <w:pStyle w:val="TableParagraph"/>
              <w:spacing w:before="21"/>
              <w:ind w:left="261"/>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63"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52"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基本保险金额</w:t>
            </w:r>
          </w:p>
        </w:tc>
        <w:tc>
          <w:tcPr>
            <w:tcW w:w="7578" w:type="dxa"/>
            <w:tcBorders>
              <w:top w:val="single" w:sz="8" w:space="0" w:color="000000"/>
            </w:tcBorders>
          </w:tcPr>
          <w:p>
            <w:pPr>
              <w:pStyle w:val="TableParagraph"/>
              <w:spacing w:before="3"/>
              <w:ind w:left="0"/>
              <w:rPr>
                <w:sz w:val="18"/>
              </w:rPr>
            </w:pPr>
          </w:p>
          <w:p>
            <w:pPr>
              <w:pStyle w:val="TableParagraph"/>
              <w:spacing w:line="280" w:lineRule="auto"/>
              <w:ind w:right="293"/>
              <w:rPr>
                <w:sz w:val="21"/>
              </w:rPr>
            </w:pPr>
            <w:r>
              <w:rPr>
                <w:sz w:val="21"/>
              </w:rPr>
              <w:t>本合同项下每一被保险人的基本保险金额由投保人在投保时与我们约定，并在保险单或者保险凭证上载明。</w:t>
            </w:r>
          </w:p>
        </w:tc>
      </w:tr>
      <w:tr>
        <w:trPr>
          <w:trHeight w:val="1683" w:hRule="atLeast"/>
        </w:trPr>
        <w:tc>
          <w:tcPr>
            <w:tcW w:w="663" w:type="dxa"/>
          </w:tcPr>
          <w:p>
            <w:pPr>
              <w:pStyle w:val="TableParagraph"/>
              <w:spacing w:before="41"/>
              <w:ind w:left="107"/>
              <w:rPr>
                <w:rFonts w:ascii="微软雅黑"/>
                <w:b/>
                <w:sz w:val="21"/>
              </w:rPr>
            </w:pPr>
            <w:r>
              <w:rPr>
                <w:rFonts w:ascii="微软雅黑"/>
                <w:b/>
                <w:sz w:val="21"/>
              </w:rPr>
              <w:t>1.2</w:t>
            </w:r>
          </w:p>
        </w:tc>
        <w:tc>
          <w:tcPr>
            <w:tcW w:w="1852" w:type="dxa"/>
          </w:tcPr>
          <w:p>
            <w:pPr>
              <w:pStyle w:val="TableParagraph"/>
              <w:spacing w:before="41"/>
              <w:ind w:left="261"/>
              <w:rPr>
                <w:rFonts w:ascii="微软雅黑" w:eastAsia="微软雅黑" w:hint="eastAsia"/>
                <w:b/>
                <w:sz w:val="21"/>
              </w:rPr>
            </w:pPr>
            <w:r>
              <w:rPr>
                <w:rFonts w:ascii="微软雅黑" w:eastAsia="微软雅黑" w:hint="eastAsia"/>
                <w:b/>
                <w:sz w:val="21"/>
              </w:rPr>
              <w:t>保险期间</w:t>
            </w:r>
          </w:p>
        </w:tc>
        <w:tc>
          <w:tcPr>
            <w:tcW w:w="7578" w:type="dxa"/>
          </w:tcPr>
          <w:p>
            <w:pPr>
              <w:pStyle w:val="TableParagraph"/>
              <w:spacing w:before="103"/>
              <w:rPr>
                <w:sz w:val="21"/>
              </w:rPr>
            </w:pPr>
            <w:r>
              <w:rPr>
                <w:sz w:val="21"/>
              </w:rPr>
              <w:t>本合同的保险期间为被保险人终身，自本合同Th效日零时开始。</w:t>
            </w:r>
          </w:p>
          <w:p>
            <w:pPr>
              <w:pStyle w:val="TableParagraph"/>
              <w:spacing w:line="280" w:lineRule="auto" w:before="123"/>
              <w:ind w:right="293"/>
              <w:rPr>
                <w:sz w:val="21"/>
              </w:rPr>
            </w:pPr>
            <w:r>
              <w:rPr>
                <w:sz w:val="21"/>
              </w:rPr>
              <w:t>被保险人的保险期间是指我们对该被保险人承担保险责任的期间，为该被保险人终身，自其保险责任开始日零时起。</w:t>
            </w:r>
          </w:p>
          <w:p>
            <w:pPr>
              <w:pStyle w:val="TableParagraph"/>
              <w:spacing w:before="85"/>
              <w:rPr>
                <w:sz w:val="21"/>
              </w:rPr>
            </w:pPr>
            <w:r>
              <w:rPr>
                <w:sz w:val="21"/>
              </w:rPr>
              <w:t>每个被保险人的保险期间、保险责任开始日在保险单或者保险凭证上载明。</w:t>
            </w:r>
          </w:p>
        </w:tc>
      </w:tr>
      <w:tr>
        <w:trPr>
          <w:trHeight w:val="567" w:hRule="atLeast"/>
        </w:trPr>
        <w:tc>
          <w:tcPr>
            <w:tcW w:w="663" w:type="dxa"/>
          </w:tcPr>
          <w:p>
            <w:pPr>
              <w:pStyle w:val="TableParagraph"/>
              <w:spacing w:before="42"/>
              <w:ind w:left="107"/>
              <w:rPr>
                <w:rFonts w:ascii="微软雅黑"/>
                <w:b/>
                <w:sz w:val="21"/>
              </w:rPr>
            </w:pPr>
            <w:r>
              <w:rPr>
                <w:rFonts w:ascii="微软雅黑"/>
                <w:b/>
                <w:sz w:val="21"/>
              </w:rPr>
              <w:t>1.3</w:t>
            </w:r>
          </w:p>
        </w:tc>
        <w:tc>
          <w:tcPr>
            <w:tcW w:w="1852" w:type="dxa"/>
          </w:tcPr>
          <w:p>
            <w:pPr>
              <w:pStyle w:val="TableParagraph"/>
              <w:spacing w:before="42"/>
              <w:ind w:left="261"/>
              <w:rPr>
                <w:rFonts w:ascii="微软雅黑" w:eastAsia="微软雅黑" w:hint="eastAsia"/>
                <w:b/>
                <w:sz w:val="21"/>
              </w:rPr>
            </w:pPr>
            <w:r>
              <w:rPr>
                <w:rFonts w:ascii="微软雅黑" w:eastAsia="微软雅黑" w:hint="eastAsia"/>
                <w:b/>
                <w:sz w:val="21"/>
              </w:rPr>
              <w:t>保险责任</w:t>
            </w:r>
          </w:p>
        </w:tc>
        <w:tc>
          <w:tcPr>
            <w:tcW w:w="7578" w:type="dxa"/>
          </w:tcPr>
          <w:p>
            <w:pPr>
              <w:pStyle w:val="TableParagraph"/>
              <w:spacing w:before="104"/>
              <w:rPr>
                <w:sz w:val="21"/>
              </w:rPr>
            </w:pPr>
            <w:r>
              <w:rPr>
                <w:sz w:val="21"/>
              </w:rPr>
              <w:t>在被保险人的保险期间内，我们承担下列保险责任：</w:t>
            </w:r>
          </w:p>
        </w:tc>
      </w:tr>
      <w:tr>
        <w:trPr>
          <w:trHeight w:val="3605"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重症疾病保险金</w:t>
            </w:r>
          </w:p>
        </w:tc>
        <w:tc>
          <w:tcPr>
            <w:tcW w:w="7578" w:type="dxa"/>
          </w:tcPr>
          <w:p>
            <w:pPr>
              <w:pStyle w:val="TableParagraph"/>
              <w:spacing w:line="228" w:lineRule="auto" w:before="117"/>
              <w:ind w:right="330"/>
              <w:jc w:val="both"/>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w w:val="100"/>
                <w:sz w:val="21"/>
              </w:rPr>
              <w:t>，</w:t>
            </w:r>
            <w:r>
              <w:rPr>
                <w:spacing w:val="-3"/>
                <w:w w:val="100"/>
                <w:sz w:val="21"/>
              </w:rPr>
              <w:t>经</w:t>
            </w:r>
            <w:r>
              <w:rPr>
                <w:rFonts w:ascii="微软雅黑" w:eastAsia="微软雅黑" w:hint="eastAsia"/>
                <w:b/>
                <w:spacing w:val="-12"/>
                <w:w w:val="100"/>
                <w:sz w:val="21"/>
              </w:rPr>
              <w:t>医院</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0"/>
                <w:w w:val="97"/>
                <w:sz w:val="21"/>
              </w:rPr>
              <w:t>1</w:t>
            </w:r>
            <w:r>
              <w:rPr>
                <w:spacing w:val="-29"/>
                <w:w w:val="100"/>
                <w:sz w:val="21"/>
              </w:rPr>
              <w:t>）</w:t>
            </w:r>
            <w:r>
              <w:rPr>
                <w:rFonts w:ascii="微软雅黑" w:eastAsia="微软雅黑" w:hint="eastAsia"/>
                <w:b/>
                <w:spacing w:val="-7"/>
                <w:w w:val="100"/>
                <w:sz w:val="21"/>
              </w:rPr>
              <w:t>初次确诊</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121"/>
                <w:sz w:val="21"/>
              </w:rPr>
              <w:t>2</w:t>
            </w:r>
            <w:r>
              <w:rPr>
                <w:spacing w:val="-29"/>
                <w:w w:val="100"/>
                <w:sz w:val="21"/>
              </w:rPr>
              <w:t>）</w:t>
            </w:r>
            <w:r>
              <w:rPr>
                <w:spacing w:val="-2"/>
                <w:w w:val="100"/>
                <w:sz w:val="21"/>
              </w:rPr>
              <w:t>非因</w:t>
            </w:r>
            <w:r>
              <w:rPr>
                <w:rFonts w:ascii="微软雅黑" w:eastAsia="微软雅黑" w:hint="eastAsia"/>
                <w:b/>
                <w:spacing w:val="-7"/>
                <w:w w:val="100"/>
                <w:sz w:val="21"/>
              </w:rPr>
              <w:t>意外伤害</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3</w:t>
            </w:r>
            <w:r>
              <w:rPr>
                <w:spacing w:val="-27"/>
                <w:w w:val="100"/>
                <w:sz w:val="21"/>
              </w:rPr>
              <w:t>）</w:t>
            </w:r>
            <w:r>
              <w:rPr>
                <w:spacing w:val="-3"/>
                <w:w w:val="100"/>
                <w:sz w:val="21"/>
              </w:rPr>
              <w:t>导致患有本合</w:t>
            </w:r>
          </w:p>
          <w:p>
            <w:pPr>
              <w:pStyle w:val="TableParagraph"/>
              <w:spacing w:line="278" w:lineRule="auto" w:before="21"/>
              <w:ind w:right="340"/>
              <w:jc w:val="both"/>
              <w:rPr>
                <w:sz w:val="21"/>
              </w:rPr>
            </w:pPr>
            <w:r>
              <w:rPr>
                <w:spacing w:val="-5"/>
                <w:sz w:val="21"/>
              </w:rPr>
              <w:t>同所定义的重症疾病，我们按该被保险人对应的已交纳的保险费数额给付重症</w:t>
            </w:r>
            <w:r>
              <w:rPr>
                <w:spacing w:val="-4"/>
                <w:sz w:val="21"/>
              </w:rPr>
              <w:t>疾病保险金，对该被保险人的保险责任终止。</w:t>
            </w:r>
          </w:p>
          <w:p>
            <w:pPr>
              <w:pStyle w:val="TableParagraph"/>
              <w:spacing w:line="280" w:lineRule="auto" w:before="87"/>
              <w:ind w:right="340"/>
              <w:jc w:val="both"/>
              <w:rPr>
                <w:sz w:val="21"/>
              </w:rPr>
            </w:pPr>
            <w:r>
              <w:rPr>
                <w:spacing w:val="-4"/>
                <w:sz w:val="21"/>
              </w:rPr>
              <w:t>被保险人经医院初次确诊因意外伤害导致患有本合同所定义的重症疾病，或者</w:t>
            </w:r>
            <w:r>
              <w:rPr>
                <w:spacing w:val="-7"/>
                <w:sz w:val="21"/>
              </w:rPr>
              <w:t>于其保险责任开始</w:t>
            </w:r>
            <w:r>
              <w:rPr>
                <w:spacing w:val="-3"/>
                <w:sz w:val="21"/>
              </w:rPr>
              <w:t>（或者最后复效</w:t>
            </w:r>
            <w:r>
              <w:rPr>
                <w:spacing w:val="-32"/>
                <w:sz w:val="21"/>
              </w:rPr>
              <w:t>）</w:t>
            </w:r>
            <w:r>
              <w:rPr>
                <w:spacing w:val="-8"/>
                <w:sz w:val="21"/>
              </w:rPr>
              <w:t>之日起 </w:t>
            </w:r>
            <w:r>
              <w:rPr>
                <w:sz w:val="21"/>
              </w:rPr>
              <w:t>90</w:t>
            </w:r>
            <w:r>
              <w:rPr>
                <w:spacing w:val="-20"/>
                <w:sz w:val="21"/>
              </w:rPr>
              <w:t> 日后</w:t>
            </w:r>
            <w:r>
              <w:rPr>
                <w:sz w:val="21"/>
              </w:rPr>
              <w:t>（</w:t>
            </w:r>
            <w:r>
              <w:rPr>
                <w:spacing w:val="-7"/>
                <w:sz w:val="21"/>
              </w:rPr>
              <w:t>不含第 </w:t>
            </w:r>
            <w:r>
              <w:rPr>
                <w:sz w:val="21"/>
              </w:rPr>
              <w:t>90</w:t>
            </w:r>
            <w:r>
              <w:rPr>
                <w:spacing w:val="-13"/>
                <w:sz w:val="21"/>
              </w:rPr>
              <w:t> 日</w:t>
            </w:r>
            <w:r>
              <w:rPr>
                <w:spacing w:val="-29"/>
                <w:sz w:val="21"/>
              </w:rPr>
              <w:t>）</w:t>
            </w:r>
            <w:r>
              <w:rPr>
                <w:spacing w:val="-3"/>
                <w:sz w:val="21"/>
              </w:rPr>
              <w:t>经医院初</w:t>
            </w:r>
            <w:r>
              <w:rPr>
                <w:spacing w:val="-4"/>
                <w:sz w:val="21"/>
              </w:rPr>
              <w:t>次确诊非因意外伤害导致患有本合同所定义的重症疾病，我们按该被保险人对</w:t>
            </w:r>
            <w:r>
              <w:rPr>
                <w:spacing w:val="-3"/>
                <w:sz w:val="21"/>
              </w:rPr>
              <w:t>应的基本保险金额给付重症疾病保险金，对该被保险人的保险责任终止。</w:t>
            </w:r>
          </w:p>
          <w:p>
            <w:pPr>
              <w:pStyle w:val="TableParagraph"/>
              <w:spacing w:line="280" w:lineRule="auto" w:before="85"/>
              <w:ind w:right="346"/>
              <w:jc w:val="both"/>
              <w:rPr>
                <w:sz w:val="21"/>
              </w:rPr>
            </w:pPr>
            <w:r>
              <w:rPr>
                <w:spacing w:val="-3"/>
                <w:sz w:val="21"/>
              </w:rPr>
              <w:t>本合同所定义的重症疾病指载明于本合同“</w:t>
            </w:r>
            <w:r>
              <w:rPr>
                <w:sz w:val="21"/>
              </w:rPr>
              <w:t>9.1</w:t>
            </w:r>
            <w:r>
              <w:rPr>
                <w:spacing w:val="-3"/>
                <w:sz w:val="21"/>
              </w:rPr>
              <w:t> 重症疾病”中的疾病、疾病状</w:t>
            </w:r>
            <w:r>
              <w:rPr>
                <w:spacing w:val="-2"/>
                <w:sz w:val="21"/>
              </w:rPr>
              <w:t>态或者手术。</w:t>
            </w:r>
          </w:p>
        </w:tc>
      </w:tr>
      <w:tr>
        <w:trPr>
          <w:trHeight w:val="3994"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身故保险金</w:t>
            </w:r>
          </w:p>
        </w:tc>
        <w:tc>
          <w:tcPr>
            <w:tcW w:w="7578" w:type="dxa"/>
          </w:tcPr>
          <w:p>
            <w:pPr>
              <w:pStyle w:val="TableParagraph"/>
              <w:spacing w:line="280" w:lineRule="auto" w:before="103"/>
              <w:ind w:right="340"/>
              <w:jc w:val="both"/>
              <w:rPr>
                <w:sz w:val="21"/>
              </w:rPr>
            </w:pPr>
            <w:r>
              <w:rPr>
                <w:spacing w:val="-6"/>
                <w:sz w:val="21"/>
              </w:rPr>
              <w:t>被保险人于其保险责任开始</w:t>
            </w:r>
            <w:r>
              <w:rPr>
                <w:sz w:val="21"/>
              </w:rPr>
              <w:t>（</w:t>
            </w:r>
            <w:r>
              <w:rPr>
                <w:spacing w:val="-3"/>
                <w:sz w:val="21"/>
              </w:rPr>
              <w:t>或者最后复效</w:t>
            </w:r>
            <w:r>
              <w:rPr>
                <w:spacing w:val="-32"/>
                <w:sz w:val="21"/>
              </w:rPr>
              <w:t>）</w:t>
            </w:r>
            <w:r>
              <w:rPr>
                <w:spacing w:val="-8"/>
                <w:sz w:val="21"/>
              </w:rPr>
              <w:t>之日起 </w:t>
            </w:r>
            <w:r>
              <w:rPr>
                <w:sz w:val="21"/>
              </w:rPr>
              <w:t>90</w:t>
            </w:r>
            <w:r>
              <w:rPr>
                <w:spacing w:val="-19"/>
                <w:sz w:val="21"/>
              </w:rPr>
              <w:t> 日内</w:t>
            </w:r>
            <w:r>
              <w:rPr>
                <w:spacing w:val="-3"/>
                <w:sz w:val="21"/>
              </w:rPr>
              <w:t>（</w:t>
            </w:r>
            <w:r>
              <w:rPr>
                <w:spacing w:val="-8"/>
                <w:sz w:val="21"/>
              </w:rPr>
              <w:t>含第 </w:t>
            </w:r>
            <w:r>
              <w:rPr>
                <w:sz w:val="21"/>
              </w:rPr>
              <w:t>90</w:t>
            </w:r>
            <w:r>
              <w:rPr>
                <w:spacing w:val="-13"/>
                <w:sz w:val="21"/>
              </w:rPr>
              <w:t> 日</w:t>
            </w:r>
            <w:r>
              <w:rPr>
                <w:spacing w:val="-32"/>
                <w:sz w:val="21"/>
              </w:rPr>
              <w:t>）</w:t>
            </w:r>
            <w:r>
              <w:rPr>
                <w:sz w:val="21"/>
              </w:rPr>
              <w:t>非</w:t>
            </w:r>
            <w:r>
              <w:rPr>
                <w:spacing w:val="-5"/>
                <w:sz w:val="21"/>
              </w:rPr>
              <w:t>因意外伤害导致身故，我们按该被保险人对应的已交纳的保险费数额给付身故</w:t>
            </w:r>
            <w:r>
              <w:rPr>
                <w:spacing w:val="-3"/>
                <w:sz w:val="21"/>
              </w:rPr>
              <w:t>保险金，对该被保险人的保险责任终止。</w:t>
            </w:r>
          </w:p>
          <w:p>
            <w:pPr>
              <w:pStyle w:val="TableParagraph"/>
              <w:spacing w:line="280" w:lineRule="auto" w:before="87"/>
              <w:ind w:right="338"/>
              <w:jc w:val="both"/>
              <w:rPr>
                <w:sz w:val="21"/>
              </w:rPr>
            </w:pPr>
            <w:r>
              <w:rPr>
                <w:spacing w:val="-5"/>
                <w:sz w:val="21"/>
              </w:rPr>
              <w:t>被保险人因意外伤害导致身故，或者于其保险责任开始</w:t>
            </w:r>
            <w:r>
              <w:rPr>
                <w:spacing w:val="-3"/>
                <w:sz w:val="21"/>
              </w:rPr>
              <w:t>（或者最后复效</w:t>
            </w:r>
            <w:r>
              <w:rPr>
                <w:spacing w:val="-10"/>
                <w:sz w:val="21"/>
              </w:rPr>
              <w:t>）</w:t>
            </w:r>
            <w:r>
              <w:rPr>
                <w:spacing w:val="-2"/>
                <w:sz w:val="21"/>
              </w:rPr>
              <w:t>之日</w:t>
            </w:r>
            <w:r>
              <w:rPr>
                <w:spacing w:val="-13"/>
                <w:sz w:val="21"/>
              </w:rPr>
              <w:t>起 </w:t>
            </w:r>
            <w:r>
              <w:rPr>
                <w:sz w:val="21"/>
              </w:rPr>
              <w:t>90</w:t>
            </w:r>
            <w:r>
              <w:rPr>
                <w:spacing w:val="-22"/>
                <w:sz w:val="21"/>
              </w:rPr>
              <w:t> 日后</w:t>
            </w:r>
            <w:r>
              <w:rPr>
                <w:sz w:val="21"/>
              </w:rPr>
              <w:t>（</w:t>
            </w:r>
            <w:r>
              <w:rPr>
                <w:spacing w:val="-8"/>
                <w:sz w:val="21"/>
              </w:rPr>
              <w:t>不含第 </w:t>
            </w:r>
            <w:r>
              <w:rPr>
                <w:sz w:val="21"/>
              </w:rPr>
              <w:t>90</w:t>
            </w:r>
            <w:r>
              <w:rPr>
                <w:spacing w:val="-13"/>
                <w:sz w:val="21"/>
              </w:rPr>
              <w:t> 日</w:t>
            </w:r>
            <w:r>
              <w:rPr>
                <w:spacing w:val="-39"/>
                <w:sz w:val="21"/>
              </w:rPr>
              <w:t>）</w:t>
            </w:r>
            <w:r>
              <w:rPr>
                <w:spacing w:val="-7"/>
                <w:sz w:val="21"/>
              </w:rPr>
              <w:t>非因意外伤害导致身故，我们按如下数额给付身故</w:t>
            </w:r>
            <w:r>
              <w:rPr>
                <w:spacing w:val="-3"/>
                <w:sz w:val="21"/>
              </w:rPr>
              <w:t>保险金，对该被保险人的保险责任终止。</w:t>
            </w:r>
          </w:p>
          <w:p>
            <w:pPr>
              <w:pStyle w:val="TableParagraph"/>
              <w:numPr>
                <w:ilvl w:val="0"/>
                <w:numId w:val="3"/>
              </w:numPr>
              <w:tabs>
                <w:tab w:pos="712" w:val="left" w:leader="none"/>
              </w:tabs>
              <w:spacing w:line="254" w:lineRule="auto" w:before="22" w:after="0"/>
              <w:ind w:left="718" w:right="340" w:hanging="607"/>
              <w:jc w:val="left"/>
              <w:rPr>
                <w:sz w:val="21"/>
              </w:rPr>
            </w:pPr>
            <w:r>
              <w:rPr>
                <w:spacing w:val="-3"/>
                <w:w w:val="100"/>
                <w:sz w:val="21"/>
              </w:rPr>
              <w:t>如果被保险人身故时未满</w:t>
            </w:r>
            <w:r>
              <w:rPr>
                <w:spacing w:val="-55"/>
                <w:sz w:val="21"/>
              </w:rPr>
              <w:t> </w:t>
            </w:r>
            <w:r>
              <w:rPr>
                <w:w w:val="111"/>
                <w:sz w:val="21"/>
              </w:rPr>
              <w:t>18</w:t>
            </w:r>
            <w:r>
              <w:rPr>
                <w:spacing w:val="-54"/>
                <w:sz w:val="21"/>
              </w:rPr>
              <w:t> </w:t>
            </w:r>
            <w:r>
              <w:rPr>
                <w:rFonts w:ascii="微软雅黑" w:eastAsia="微软雅黑" w:hint="eastAsia"/>
                <w:b/>
                <w:spacing w:val="-16"/>
                <w:w w:val="100"/>
                <w:sz w:val="21"/>
              </w:rPr>
              <w:t>周岁</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w w:val="123"/>
                <w:sz w:val="21"/>
              </w:rPr>
              <w:t>4</w:t>
            </w:r>
            <w:r>
              <w:rPr>
                <w:spacing w:val="-108"/>
                <w:w w:val="100"/>
                <w:sz w:val="21"/>
              </w:rPr>
              <w:t>）</w:t>
            </w:r>
            <w:r>
              <w:rPr>
                <w:spacing w:val="-7"/>
                <w:w w:val="100"/>
                <w:sz w:val="21"/>
              </w:rPr>
              <w:t>，身故保险金的数额等于以</w:t>
            </w:r>
            <w:r>
              <w:rPr>
                <w:spacing w:val="-5"/>
                <w:sz w:val="21"/>
              </w:rPr>
              <w:t>下两项的较大者：</w:t>
            </w:r>
          </w:p>
          <w:p>
            <w:pPr>
              <w:pStyle w:val="TableParagraph"/>
              <w:spacing w:before="108"/>
              <w:ind w:left="846"/>
              <w:rPr>
                <w:sz w:val="21"/>
              </w:rPr>
            </w:pPr>
            <w:r>
              <w:rPr>
                <w:sz w:val="21"/>
              </w:rPr>
              <w:t>① 该被保险人对应的已交纳的保险费数额；</w:t>
            </w:r>
          </w:p>
          <w:p>
            <w:pPr>
              <w:pStyle w:val="TableParagraph"/>
              <w:spacing w:before="60"/>
              <w:ind w:left="846"/>
              <w:rPr>
                <w:sz w:val="21"/>
              </w:rPr>
            </w:pPr>
            <w:r>
              <w:rPr>
                <w:w w:val="100"/>
                <w:sz w:val="21"/>
              </w:rPr>
              <w:t>②</w:t>
            </w:r>
            <w:r>
              <w:rPr>
                <w:spacing w:val="-2"/>
                <w:sz w:val="21"/>
              </w:rPr>
              <w:t> </w:t>
            </w:r>
            <w:r>
              <w:rPr>
                <w:spacing w:val="-3"/>
                <w:w w:val="100"/>
                <w:sz w:val="21"/>
              </w:rPr>
              <w:t>被保险人身故之日该被保险人对应的本合同的</w:t>
            </w:r>
            <w:r>
              <w:rPr>
                <w:rFonts w:ascii="微软雅黑" w:hAnsi="微软雅黑" w:eastAsia="微软雅黑" w:hint="eastAsia"/>
                <w:b/>
                <w:spacing w:val="-19"/>
                <w:w w:val="100"/>
                <w:sz w:val="21"/>
              </w:rPr>
              <w:t>现金价值</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0"/>
                <w:w w:val="122"/>
                <w:sz w:val="21"/>
              </w:rPr>
              <w:t>5</w:t>
            </w:r>
            <w:r>
              <w:rPr>
                <w:spacing w:val="-108"/>
                <w:w w:val="100"/>
                <w:sz w:val="21"/>
              </w:rPr>
              <w:t>）。</w:t>
            </w:r>
          </w:p>
          <w:p>
            <w:pPr>
              <w:pStyle w:val="TableParagraph"/>
              <w:numPr>
                <w:ilvl w:val="0"/>
                <w:numId w:val="3"/>
              </w:numPr>
              <w:tabs>
                <w:tab w:pos="712" w:val="left" w:leader="none"/>
              </w:tabs>
              <w:spacing w:line="240" w:lineRule="auto" w:before="97" w:after="0"/>
              <w:ind w:left="718" w:right="0" w:hanging="607"/>
              <w:jc w:val="both"/>
              <w:rPr>
                <w:sz w:val="21"/>
              </w:rPr>
            </w:pPr>
            <w:r>
              <w:rPr>
                <w:spacing w:val="-2"/>
                <w:sz w:val="21"/>
              </w:rPr>
              <w:t>如果被保险人身故时已满 </w:t>
            </w:r>
            <w:r>
              <w:rPr>
                <w:sz w:val="21"/>
              </w:rPr>
              <w:t>18</w:t>
            </w:r>
            <w:r>
              <w:rPr>
                <w:spacing w:val="-3"/>
                <w:sz w:val="21"/>
              </w:rPr>
              <w:t> 周岁，身故保险金的数额等于该被保险人</w:t>
            </w:r>
          </w:p>
        </w:tc>
      </w:tr>
    </w:tbl>
    <w:p>
      <w:pPr>
        <w:spacing w:after="0" w:line="240" w:lineRule="auto"/>
        <w:jc w:val="both"/>
        <w:rPr>
          <w:sz w:val="21"/>
        </w:rPr>
        <w:sectPr>
          <w:pgSz w:w="11910" w:h="16840"/>
          <w:pgMar w:top="11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729"/>
        <w:gridCol w:w="7683"/>
      </w:tblGrid>
      <w:tr>
        <w:trPr>
          <w:trHeight w:val="1155" w:hRule="atLeast"/>
        </w:trPr>
        <w:tc>
          <w:tcPr>
            <w:tcW w:w="680" w:type="dxa"/>
          </w:tcPr>
          <w:p>
            <w:pPr>
              <w:pStyle w:val="TableParagraph"/>
              <w:ind w:left="0"/>
              <w:rPr>
                <w:rFonts w:ascii="Times New Roman"/>
                <w:sz w:val="20"/>
              </w:rPr>
            </w:pPr>
          </w:p>
        </w:tc>
        <w:tc>
          <w:tcPr>
            <w:tcW w:w="1729" w:type="dxa"/>
          </w:tcPr>
          <w:p>
            <w:pPr>
              <w:pStyle w:val="TableParagraph"/>
              <w:ind w:left="0"/>
              <w:rPr>
                <w:rFonts w:ascii="Times New Roman"/>
                <w:sz w:val="20"/>
              </w:rPr>
            </w:pPr>
          </w:p>
        </w:tc>
        <w:tc>
          <w:tcPr>
            <w:tcW w:w="7683" w:type="dxa"/>
          </w:tcPr>
          <w:p>
            <w:pPr>
              <w:pStyle w:val="TableParagraph"/>
              <w:spacing w:line="215" w:lineRule="exact"/>
              <w:ind w:left="824"/>
              <w:rPr>
                <w:sz w:val="21"/>
              </w:rPr>
            </w:pPr>
            <w:r>
              <w:rPr>
                <w:sz w:val="21"/>
              </w:rPr>
              <w:t>对应的基本保险金额。</w:t>
            </w:r>
          </w:p>
          <w:p>
            <w:pPr>
              <w:pStyle w:val="TableParagraph"/>
              <w:spacing w:line="280" w:lineRule="auto" w:before="123"/>
              <w:ind w:left="216" w:right="292"/>
              <w:rPr>
                <w:sz w:val="21"/>
              </w:rPr>
            </w:pPr>
            <w:r>
              <w:rPr>
                <w:sz w:val="21"/>
              </w:rPr>
              <w:t>对于本合同约定的重症疾病保险金和身故保险金，我们对每一被保险人仅给付一项，给付其中任意一项后，我们对该被保险人的保险责任终止。</w:t>
            </w:r>
          </w:p>
        </w:tc>
      </w:tr>
      <w:tr>
        <w:trPr>
          <w:trHeight w:val="945" w:hRule="atLeast"/>
        </w:trPr>
        <w:tc>
          <w:tcPr>
            <w:tcW w:w="680" w:type="dxa"/>
            <w:tcBorders>
              <w:bottom w:val="single" w:sz="8" w:space="0" w:color="000000"/>
            </w:tcBorders>
          </w:tcPr>
          <w:p>
            <w:pPr>
              <w:pStyle w:val="TableParagraph"/>
              <w:spacing w:before="72"/>
              <w:ind w:left="107"/>
              <w:rPr>
                <w:rFonts w:ascii="微软雅黑"/>
                <w:b/>
                <w:sz w:val="36"/>
              </w:rPr>
            </w:pPr>
            <w:r>
              <w:rPr>
                <w:rFonts w:ascii="微软雅黑"/>
                <w:b/>
                <w:sz w:val="36"/>
              </w:rPr>
              <w:t>2.</w:t>
            </w:r>
          </w:p>
        </w:tc>
        <w:tc>
          <w:tcPr>
            <w:tcW w:w="9412" w:type="dxa"/>
            <w:gridSpan w:val="2"/>
            <w:tcBorders>
              <w:bottom w:val="single" w:sz="8" w:space="0" w:color="000000"/>
            </w:tcBorders>
          </w:tcPr>
          <w:p>
            <w:pPr>
              <w:pStyle w:val="TableParagraph"/>
              <w:spacing w:before="49"/>
              <w:ind w:left="244"/>
              <w:rPr>
                <w:rFonts w:ascii="微软雅黑" w:eastAsia="微软雅黑" w:hint="eastAsia"/>
                <w:b/>
                <w:sz w:val="24"/>
              </w:rPr>
            </w:pPr>
            <w:r>
              <w:rPr>
                <w:rFonts w:ascii="微软雅黑" w:eastAsia="微软雅黑" w:hint="eastAsia"/>
                <w:b/>
                <w:sz w:val="24"/>
              </w:rPr>
              <w:t>我们不保什么</w:t>
            </w:r>
          </w:p>
          <w:p>
            <w:pPr>
              <w:pStyle w:val="TableParagraph"/>
              <w:spacing w:before="23"/>
              <w:ind w:left="244"/>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9155" w:hRule="atLeast"/>
        </w:trPr>
        <w:tc>
          <w:tcPr>
            <w:tcW w:w="680"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729" w:type="dxa"/>
            <w:tcBorders>
              <w:top w:val="single" w:sz="8" w:space="0" w:color="000000"/>
            </w:tcBorders>
          </w:tcPr>
          <w:p>
            <w:pPr>
              <w:pStyle w:val="TableParagraph"/>
              <w:spacing w:before="176"/>
              <w:ind w:left="244"/>
              <w:rPr>
                <w:rFonts w:ascii="微软雅黑" w:eastAsia="微软雅黑" w:hint="eastAsia"/>
                <w:b/>
                <w:sz w:val="21"/>
              </w:rPr>
            </w:pPr>
            <w:r>
              <w:rPr>
                <w:rFonts w:ascii="微软雅黑" w:eastAsia="微软雅黑" w:hint="eastAsia"/>
                <w:b/>
                <w:sz w:val="21"/>
              </w:rPr>
              <w:t>责任免除</w:t>
            </w:r>
          </w:p>
        </w:tc>
        <w:tc>
          <w:tcPr>
            <w:tcW w:w="7683" w:type="dxa"/>
            <w:tcBorders>
              <w:top w:val="single" w:sz="8" w:space="0" w:color="000000"/>
            </w:tcBorders>
          </w:tcPr>
          <w:p>
            <w:pPr>
              <w:pStyle w:val="TableParagraph"/>
              <w:spacing w:before="3"/>
              <w:ind w:left="0"/>
              <w:rPr>
                <w:sz w:val="18"/>
              </w:rPr>
            </w:pPr>
          </w:p>
          <w:p>
            <w:pPr>
              <w:pStyle w:val="TableParagraph"/>
              <w:spacing w:line="280" w:lineRule="auto"/>
              <w:ind w:left="216" w:right="339"/>
              <w:jc w:val="both"/>
              <w:rPr>
                <w:sz w:val="21"/>
              </w:rPr>
            </w:pPr>
            <w:r>
              <w:rPr>
                <w:spacing w:val="-5"/>
                <w:sz w:val="21"/>
              </w:rPr>
              <w:t>因下列第</w:t>
            </w:r>
            <w:r>
              <w:rPr>
                <w:spacing w:val="-6"/>
                <w:sz w:val="21"/>
              </w:rPr>
              <w:t>（1）</w:t>
            </w:r>
            <w:r>
              <w:rPr>
                <w:spacing w:val="-8"/>
                <w:sz w:val="21"/>
              </w:rPr>
              <w:t>至第</w:t>
            </w:r>
            <w:r>
              <w:rPr>
                <w:spacing w:val="-7"/>
                <w:sz w:val="21"/>
              </w:rPr>
              <w:t>（5）</w:t>
            </w:r>
            <w:r>
              <w:rPr>
                <w:spacing w:val="-4"/>
                <w:sz w:val="21"/>
              </w:rPr>
              <w:t>项情形之一导致被保险人身故的，我们不承担给付身</w:t>
            </w:r>
            <w:r>
              <w:rPr>
                <w:spacing w:val="-7"/>
                <w:sz w:val="21"/>
              </w:rPr>
              <w:t>故保险金的责任；因下列第</w:t>
            </w:r>
            <w:r>
              <w:rPr>
                <w:spacing w:val="-8"/>
                <w:sz w:val="21"/>
              </w:rPr>
              <w:t>（2）</w:t>
            </w:r>
            <w:r>
              <w:rPr>
                <w:spacing w:val="-12"/>
                <w:sz w:val="21"/>
              </w:rPr>
              <w:t>至第</w:t>
            </w:r>
            <w:r>
              <w:rPr>
                <w:spacing w:val="-7"/>
                <w:sz w:val="21"/>
              </w:rPr>
              <w:t>（8）</w:t>
            </w:r>
            <w:r>
              <w:rPr>
                <w:spacing w:val="-3"/>
                <w:sz w:val="21"/>
              </w:rPr>
              <w:t>项情形之一导致被保险人发</w:t>
            </w:r>
            <w:r>
              <w:rPr>
                <w:spacing w:val="-2"/>
                <w:sz w:val="21"/>
              </w:rPr>
              <w:t>Th</w:t>
            </w:r>
            <w:r>
              <w:rPr>
                <w:spacing w:val="-3"/>
                <w:sz w:val="21"/>
              </w:rPr>
              <w:t>本合同定义的重症疾病的，我们不承担给付重症疾病保险金的责任：</w:t>
            </w:r>
          </w:p>
          <w:p>
            <w:pPr>
              <w:pStyle w:val="TableParagraph"/>
              <w:numPr>
                <w:ilvl w:val="0"/>
                <w:numId w:val="4"/>
              </w:numPr>
              <w:tabs>
                <w:tab w:pos="818" w:val="left" w:leader="none"/>
              </w:tabs>
              <w:spacing w:line="280" w:lineRule="auto" w:before="87" w:after="0"/>
              <w:ind w:left="848" w:right="336" w:hanging="631"/>
              <w:jc w:val="left"/>
              <w:rPr>
                <w:sz w:val="21"/>
              </w:rPr>
            </w:pPr>
            <w:r>
              <w:rPr>
                <w:spacing w:val="-4"/>
                <w:sz w:val="21"/>
              </w:rPr>
              <w:t>被保险人在其保险责任开始</w:t>
            </w:r>
            <w:r>
              <w:rPr>
                <w:sz w:val="21"/>
              </w:rPr>
              <w:t>（</w:t>
            </w:r>
            <w:r>
              <w:rPr>
                <w:spacing w:val="-3"/>
                <w:sz w:val="21"/>
              </w:rPr>
              <w:t>或者最后复效</w:t>
            </w:r>
            <w:r>
              <w:rPr>
                <w:spacing w:val="-10"/>
                <w:sz w:val="21"/>
              </w:rPr>
              <w:t>）</w:t>
            </w:r>
            <w:r>
              <w:rPr>
                <w:spacing w:val="-9"/>
                <w:sz w:val="21"/>
              </w:rPr>
              <w:t>之日起 </w:t>
            </w:r>
            <w:r>
              <w:rPr>
                <w:w w:val="110"/>
                <w:sz w:val="21"/>
              </w:rPr>
              <w:t>2</w:t>
            </w:r>
            <w:r>
              <w:rPr>
                <w:spacing w:val="-38"/>
                <w:w w:val="110"/>
                <w:sz w:val="21"/>
              </w:rPr>
              <w:t> </w:t>
            </w:r>
            <w:r>
              <w:rPr>
                <w:spacing w:val="-5"/>
                <w:sz w:val="21"/>
              </w:rPr>
              <w:t>年内自杀，但被</w:t>
            </w:r>
            <w:r>
              <w:rPr>
                <w:spacing w:val="-4"/>
                <w:sz w:val="21"/>
              </w:rPr>
              <w:t>保险人自杀时为无民事行为能力人的除外；</w:t>
            </w:r>
          </w:p>
          <w:p>
            <w:pPr>
              <w:pStyle w:val="TableParagraph"/>
              <w:numPr>
                <w:ilvl w:val="0"/>
                <w:numId w:val="4"/>
              </w:numPr>
              <w:tabs>
                <w:tab w:pos="818" w:val="left" w:leader="none"/>
              </w:tabs>
              <w:spacing w:line="240" w:lineRule="auto" w:before="85" w:after="0"/>
              <w:ind w:left="848" w:right="0" w:hanging="631"/>
              <w:jc w:val="left"/>
              <w:rPr>
                <w:sz w:val="21"/>
              </w:rPr>
            </w:pPr>
            <w:r>
              <w:rPr>
                <w:spacing w:val="-3"/>
                <w:sz w:val="21"/>
              </w:rPr>
              <w:t>投保人对被保险人的故意杀害、故意伤害；</w:t>
            </w:r>
          </w:p>
          <w:p>
            <w:pPr>
              <w:pStyle w:val="TableParagraph"/>
              <w:numPr>
                <w:ilvl w:val="0"/>
                <w:numId w:val="4"/>
              </w:numPr>
              <w:tabs>
                <w:tab w:pos="818" w:val="left" w:leader="none"/>
              </w:tabs>
              <w:spacing w:line="240" w:lineRule="auto" w:before="124" w:after="0"/>
              <w:ind w:left="848" w:right="0" w:hanging="631"/>
              <w:jc w:val="left"/>
              <w:rPr>
                <w:sz w:val="21"/>
              </w:rPr>
            </w:pPr>
            <w:r>
              <w:rPr>
                <w:spacing w:val="-3"/>
                <w:sz w:val="21"/>
              </w:rPr>
              <w:t>被保险人故意犯罪或者抗拒依法采取的刑事强制措施；</w:t>
            </w:r>
          </w:p>
          <w:p>
            <w:pPr>
              <w:pStyle w:val="TableParagraph"/>
              <w:numPr>
                <w:ilvl w:val="0"/>
                <w:numId w:val="4"/>
              </w:numPr>
              <w:tabs>
                <w:tab w:pos="818" w:val="left" w:leader="none"/>
              </w:tabs>
              <w:spacing w:line="240" w:lineRule="auto" w:before="56" w:after="0"/>
              <w:ind w:left="848"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4"/>
              </w:numPr>
              <w:tabs>
                <w:tab w:pos="818" w:val="left" w:leader="none"/>
              </w:tabs>
              <w:spacing w:line="211" w:lineRule="auto" w:before="73" w:after="0"/>
              <w:ind w:left="848" w:right="339" w:hanging="631"/>
              <w:jc w:val="left"/>
              <w:rPr>
                <w:sz w:val="21"/>
              </w:rPr>
            </w:pPr>
            <w:r>
              <w:rPr>
                <w:spacing w:val="-2"/>
                <w:w w:val="100"/>
                <w:sz w:val="21"/>
              </w:rPr>
              <w:t>被保险人</w:t>
            </w:r>
            <w:r>
              <w:rPr>
                <w:rFonts w:ascii="Microsoft JhengHei" w:eastAsia="Microsoft JhengHei" w:hint="eastAsia"/>
                <w:b/>
                <w:w w:val="100"/>
                <w:sz w:val="21"/>
              </w:rPr>
              <w:t>酒后驾驶</w:t>
            </w:r>
            <w:r>
              <w:rPr>
                <w:w w:val="100"/>
                <w:sz w:val="21"/>
              </w:rPr>
              <w:t>（见</w:t>
            </w:r>
            <w:r>
              <w:rPr>
                <w:spacing w:val="-43"/>
                <w:sz w:val="21"/>
              </w:rPr>
              <w:t> </w:t>
            </w:r>
            <w:r>
              <w:rPr>
                <w:spacing w:val="-3"/>
                <w:w w:val="105"/>
                <w:sz w:val="21"/>
              </w:rPr>
              <w:t>1</w:t>
            </w:r>
            <w:r>
              <w:rPr>
                <w:spacing w:val="-3"/>
                <w:w w:val="135"/>
                <w:sz w:val="21"/>
              </w:rPr>
              <w:t>0</w:t>
            </w:r>
            <w:r>
              <w:rPr>
                <w:w w:val="67"/>
                <w:sz w:val="21"/>
              </w:rPr>
              <w:t>.</w:t>
            </w:r>
            <w:r>
              <w:rPr>
                <w:spacing w:val="0"/>
                <w:w w:val="131"/>
                <w:sz w:val="21"/>
              </w:rPr>
              <w:t>7</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43"/>
                <w:sz w:val="21"/>
              </w:rPr>
              <w:t> </w:t>
            </w:r>
            <w:r>
              <w:rPr>
                <w:spacing w:val="-1"/>
                <w:w w:val="120"/>
                <w:sz w:val="21"/>
              </w:rPr>
              <w:t>1</w:t>
            </w:r>
            <w:r>
              <w:rPr>
                <w:spacing w:val="-3"/>
                <w:w w:val="120"/>
                <w:sz w:val="21"/>
              </w:rPr>
              <w:t>0</w:t>
            </w:r>
            <w:r>
              <w:rPr>
                <w:w w:val="67"/>
                <w:sz w:val="21"/>
              </w:rPr>
              <w:t>.</w:t>
            </w:r>
            <w:r>
              <w:rPr>
                <w:spacing w:val="-1"/>
                <w:w w:val="135"/>
                <w:sz w:val="21"/>
              </w:rPr>
              <w:t>8</w:t>
            </w:r>
            <w:r>
              <w:rPr>
                <w:spacing w:val="-106"/>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20"/>
                <w:sz w:val="21"/>
              </w:rPr>
              <w:t>1</w:t>
            </w:r>
            <w:r>
              <w:rPr>
                <w:w w:val="120"/>
                <w:sz w:val="21"/>
              </w:rPr>
              <w:t>0</w:t>
            </w:r>
            <w:r>
              <w:rPr>
                <w:spacing w:val="-108"/>
                <w:w w:val="100"/>
                <w:sz w:val="21"/>
              </w:rPr>
              <w:t>）；</w:t>
            </w:r>
          </w:p>
          <w:p>
            <w:pPr>
              <w:pStyle w:val="TableParagraph"/>
              <w:numPr>
                <w:ilvl w:val="0"/>
                <w:numId w:val="4"/>
              </w:numPr>
              <w:tabs>
                <w:tab w:pos="818" w:val="left" w:leader="none"/>
              </w:tabs>
              <w:spacing w:line="240" w:lineRule="auto" w:before="99" w:after="0"/>
              <w:ind w:left="848" w:right="0" w:hanging="631"/>
              <w:jc w:val="left"/>
              <w:rPr>
                <w:sz w:val="21"/>
              </w:rPr>
            </w:pPr>
            <w:r>
              <w:rPr>
                <w:spacing w:val="-3"/>
                <w:sz w:val="21"/>
              </w:rPr>
              <w:t>被保险人故意自伤；</w:t>
            </w:r>
          </w:p>
          <w:p>
            <w:pPr>
              <w:pStyle w:val="TableParagraph"/>
              <w:numPr>
                <w:ilvl w:val="0"/>
                <w:numId w:val="4"/>
              </w:numPr>
              <w:tabs>
                <w:tab w:pos="818" w:val="left" w:leader="none"/>
              </w:tabs>
              <w:spacing w:line="254" w:lineRule="auto" w:before="54" w:after="0"/>
              <w:ind w:left="848" w:right="341" w:hanging="631"/>
              <w:jc w:val="left"/>
              <w:rPr>
                <w:sz w:val="21"/>
              </w:rPr>
            </w:pPr>
            <w:r>
              <w:rPr>
                <w:spacing w:val="-2"/>
                <w:w w:val="100"/>
                <w:sz w:val="21"/>
              </w:rPr>
              <w:t>被保险人</w:t>
            </w:r>
            <w:r>
              <w:rPr>
                <w:rFonts w:ascii="Microsoft JhengHei" w:eastAsia="Microsoft JhengHei" w:hint="eastAsia"/>
                <w:b/>
                <w:spacing w:val="-4"/>
                <w:w w:val="100"/>
                <w:sz w:val="21"/>
              </w:rPr>
              <w:t>感染艾滋病病毒或者患艾滋病</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2"/>
                <w:w w:val="101"/>
                <w:sz w:val="21"/>
              </w:rPr>
              <w:t>.</w:t>
            </w:r>
            <w:r>
              <w:rPr>
                <w:spacing w:val="-1"/>
                <w:w w:val="105"/>
                <w:sz w:val="21"/>
              </w:rPr>
              <w:t>11</w:t>
            </w:r>
            <w:r>
              <w:rPr>
                <w:spacing w:val="-108"/>
                <w:w w:val="100"/>
                <w:sz w:val="21"/>
              </w:rPr>
              <w:t>）</w:t>
            </w:r>
            <w:r>
              <w:rPr>
                <w:spacing w:val="-7"/>
                <w:w w:val="100"/>
                <w:sz w:val="21"/>
              </w:rPr>
              <w:t>，但本合同另有约定</w:t>
            </w:r>
            <w:r>
              <w:rPr>
                <w:spacing w:val="-1"/>
                <w:sz w:val="21"/>
              </w:rPr>
              <w:t>的除外；</w:t>
            </w:r>
          </w:p>
          <w:p>
            <w:pPr>
              <w:pStyle w:val="TableParagraph"/>
              <w:numPr>
                <w:ilvl w:val="0"/>
                <w:numId w:val="4"/>
              </w:numPr>
              <w:tabs>
                <w:tab w:pos="818" w:val="left" w:leader="none"/>
              </w:tabs>
              <w:spacing w:line="254" w:lineRule="auto" w:before="44" w:after="0"/>
              <w:ind w:left="848" w:right="339" w:hanging="631"/>
              <w:jc w:val="left"/>
              <w:rPr>
                <w:sz w:val="21"/>
              </w:rPr>
            </w:pPr>
            <w:r>
              <w:rPr>
                <w:rFonts w:ascii="Microsoft JhengHei" w:eastAsia="Microsoft JhengHei" w:hint="eastAsia"/>
                <w:b/>
                <w:spacing w:val="-16"/>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6"/>
                <w:w w:val="100"/>
                <w:sz w:val="21"/>
              </w:rPr>
              <w:t>）</w:t>
            </w:r>
            <w:r>
              <w:rPr>
                <w:spacing w:val="-80"/>
                <w:w w:val="100"/>
                <w:sz w:val="21"/>
              </w:rPr>
              <w:t>，</w:t>
            </w:r>
            <w:r>
              <w:rPr>
                <w:rFonts w:ascii="Microsoft JhengHei" w:eastAsia="Microsoft JhengHei" w:hint="eastAsia"/>
                <w:b/>
                <w:spacing w:val="-14"/>
                <w:w w:val="100"/>
                <w:sz w:val="21"/>
              </w:rPr>
              <w:t>先天性畸形、变形或者染色体异常</w:t>
            </w:r>
            <w:r>
              <w:rPr>
                <w:w w:val="100"/>
                <w:sz w:val="21"/>
              </w:rPr>
              <w:t>（见</w:t>
            </w:r>
            <w:r>
              <w:rPr>
                <w:spacing w:val="-53"/>
                <w:sz w:val="21"/>
              </w:rPr>
              <w:t> </w:t>
            </w:r>
            <w:r>
              <w:rPr>
                <w:spacing w:val="-3"/>
                <w:w w:val="105"/>
                <w:sz w:val="21"/>
              </w:rPr>
              <w:t>1</w:t>
            </w:r>
            <w:r>
              <w:rPr>
                <w:w w:val="101"/>
                <w:sz w:val="21"/>
              </w:rPr>
              <w:t>0.</w:t>
            </w:r>
            <w:r>
              <w:rPr>
                <w:spacing w:val="-3"/>
                <w:w w:val="105"/>
                <w:sz w:val="21"/>
              </w:rPr>
              <w:t>1</w:t>
            </w:r>
            <w:r>
              <w:rPr>
                <w:w w:val="132"/>
                <w:sz w:val="21"/>
              </w:rPr>
              <w:t>3</w:t>
            </w:r>
            <w:r>
              <w:rPr>
                <w:spacing w:val="-106"/>
                <w:w w:val="100"/>
                <w:sz w:val="21"/>
              </w:rPr>
              <w:t>），</w:t>
            </w:r>
            <w:r>
              <w:rPr>
                <w:spacing w:val="-3"/>
                <w:sz w:val="21"/>
              </w:rPr>
              <w:t>但本合同另有约定的除外。</w:t>
            </w:r>
          </w:p>
          <w:p>
            <w:pPr>
              <w:pStyle w:val="TableParagraph"/>
              <w:spacing w:line="280" w:lineRule="auto" w:before="111"/>
              <w:ind w:left="216" w:right="338"/>
              <w:jc w:val="both"/>
              <w:rPr>
                <w:sz w:val="21"/>
              </w:rPr>
            </w:pPr>
            <w:r>
              <w:rPr>
                <w:spacing w:val="-1"/>
                <w:sz w:val="21"/>
              </w:rPr>
              <w:t>因上述第</w:t>
            </w:r>
            <w:r>
              <w:rPr>
                <w:sz w:val="21"/>
              </w:rPr>
              <w:t>（2）项情形导致被保险人身故的，我们对该被保险人的保险责任终</w:t>
            </w:r>
            <w:r>
              <w:rPr>
                <w:spacing w:val="-6"/>
                <w:sz w:val="21"/>
              </w:rPr>
              <w:t>止，向投保人以外的该被保险人的继承人给付保险责任终止时该被保险人对应</w:t>
            </w:r>
            <w:r>
              <w:rPr>
                <w:spacing w:val="-3"/>
                <w:sz w:val="21"/>
              </w:rPr>
              <w:t>的本合同的现金价值；因上述第</w:t>
            </w:r>
            <w:r>
              <w:rPr>
                <w:spacing w:val="-2"/>
                <w:sz w:val="21"/>
              </w:rPr>
              <w:t>（1）</w:t>
            </w:r>
            <w:r>
              <w:rPr>
                <w:spacing w:val="-3"/>
                <w:sz w:val="21"/>
              </w:rPr>
              <w:t>项以及第</w:t>
            </w:r>
            <w:r>
              <w:rPr>
                <w:spacing w:val="-2"/>
                <w:sz w:val="21"/>
              </w:rPr>
              <w:t>（3）至第（5）</w:t>
            </w:r>
            <w:r>
              <w:rPr>
                <w:spacing w:val="-3"/>
                <w:sz w:val="21"/>
              </w:rPr>
              <w:t>项中任一情形</w:t>
            </w:r>
            <w:r>
              <w:rPr>
                <w:spacing w:val="-5"/>
                <w:sz w:val="21"/>
              </w:rPr>
              <w:t>导致被保险人身故的，我们对该被保险人的保险责任终止，向投保人退还保险</w:t>
            </w:r>
            <w:r>
              <w:rPr>
                <w:spacing w:val="-3"/>
                <w:sz w:val="21"/>
              </w:rPr>
              <w:t>责任终止时该被保险人对应的本合同的现金价值。</w:t>
            </w:r>
          </w:p>
          <w:p>
            <w:pPr>
              <w:pStyle w:val="TableParagraph"/>
              <w:spacing w:line="280" w:lineRule="auto" w:before="85"/>
              <w:ind w:left="216" w:right="338"/>
              <w:jc w:val="both"/>
              <w:rPr>
                <w:sz w:val="21"/>
              </w:rPr>
            </w:pPr>
            <w:r>
              <w:rPr>
                <w:spacing w:val="-1"/>
                <w:sz w:val="21"/>
              </w:rPr>
              <w:t>因上述第</w:t>
            </w:r>
            <w:r>
              <w:rPr>
                <w:sz w:val="21"/>
              </w:rPr>
              <w:t>（2）项情形导致被保险人发Th本合同定义的重症疾病的，我们对该</w:t>
            </w:r>
            <w:r>
              <w:rPr>
                <w:spacing w:val="-5"/>
                <w:sz w:val="21"/>
              </w:rPr>
              <w:t>被保险人的保险责任终止，向该被保险人给付保险责任终止时该被保险人对应</w:t>
            </w:r>
            <w:r>
              <w:rPr>
                <w:spacing w:val="-8"/>
                <w:sz w:val="21"/>
              </w:rPr>
              <w:t>的本合同的现金价值；因上述第</w:t>
            </w:r>
            <w:r>
              <w:rPr>
                <w:spacing w:val="-7"/>
                <w:sz w:val="21"/>
              </w:rPr>
              <w:t>（3）</w:t>
            </w:r>
            <w:r>
              <w:rPr>
                <w:spacing w:val="-12"/>
                <w:sz w:val="21"/>
              </w:rPr>
              <w:t>至第</w:t>
            </w:r>
            <w:r>
              <w:rPr>
                <w:spacing w:val="-8"/>
                <w:sz w:val="21"/>
              </w:rPr>
              <w:t>（8）</w:t>
            </w:r>
            <w:r>
              <w:rPr>
                <w:spacing w:val="-3"/>
                <w:sz w:val="21"/>
              </w:rPr>
              <w:t>项中任一情形导致被保险人发</w:t>
            </w:r>
          </w:p>
          <w:p>
            <w:pPr>
              <w:pStyle w:val="TableParagraph"/>
              <w:spacing w:line="280" w:lineRule="auto" w:before="8"/>
              <w:ind w:left="216" w:right="341"/>
              <w:jc w:val="both"/>
              <w:rPr>
                <w:sz w:val="21"/>
              </w:rPr>
            </w:pPr>
            <w:r>
              <w:rPr>
                <w:sz w:val="21"/>
              </w:rPr>
              <w:t>Th</w:t>
            </w:r>
            <w:r>
              <w:rPr>
                <w:spacing w:val="-5"/>
                <w:sz w:val="21"/>
              </w:rPr>
              <w:t>本合同定义的重症疾病的，我们对该被保险人的保险责任终止，向投保人退</w:t>
            </w:r>
            <w:r>
              <w:rPr>
                <w:spacing w:val="-4"/>
                <w:sz w:val="21"/>
              </w:rPr>
              <w:t>还保险责任终止时该被保险人对应的本合同的现金价值。</w:t>
            </w:r>
          </w:p>
        </w:tc>
      </w:tr>
      <w:tr>
        <w:trPr>
          <w:trHeight w:val="822" w:hRule="atLeast"/>
        </w:trPr>
        <w:tc>
          <w:tcPr>
            <w:tcW w:w="680" w:type="dxa"/>
            <w:tcBorders>
              <w:bottom w:val="single" w:sz="8" w:space="0" w:color="000000"/>
            </w:tcBorders>
          </w:tcPr>
          <w:p>
            <w:pPr>
              <w:pStyle w:val="TableParagraph"/>
              <w:spacing w:before="30"/>
              <w:ind w:left="107"/>
              <w:rPr>
                <w:rFonts w:ascii="微软雅黑"/>
                <w:b/>
                <w:sz w:val="36"/>
              </w:rPr>
            </w:pPr>
            <w:r>
              <w:rPr>
                <w:rFonts w:ascii="微软雅黑"/>
                <w:b/>
                <w:sz w:val="36"/>
              </w:rPr>
              <w:t>3.</w:t>
            </w:r>
          </w:p>
        </w:tc>
        <w:tc>
          <w:tcPr>
            <w:tcW w:w="9412" w:type="dxa"/>
            <w:gridSpan w:val="2"/>
            <w:tcBorders>
              <w:bottom w:val="single" w:sz="8" w:space="0" w:color="000000"/>
            </w:tcBorders>
          </w:tcPr>
          <w:p>
            <w:pPr>
              <w:pStyle w:val="TableParagraph"/>
              <w:spacing w:before="7"/>
              <w:ind w:left="244"/>
              <w:rPr>
                <w:rFonts w:ascii="微软雅黑" w:eastAsia="微软雅黑" w:hint="eastAsia"/>
                <w:b/>
                <w:sz w:val="24"/>
              </w:rPr>
            </w:pPr>
            <w:r>
              <w:rPr>
                <w:rFonts w:ascii="微软雅黑" w:eastAsia="微软雅黑" w:hint="eastAsia"/>
                <w:b/>
                <w:sz w:val="24"/>
              </w:rPr>
              <w:t>如何交纳保险费</w:t>
            </w:r>
          </w:p>
          <w:p>
            <w:pPr>
              <w:pStyle w:val="TableParagraph"/>
              <w:spacing w:line="356" w:lineRule="exact" w:before="24"/>
              <w:ind w:left="244"/>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343" w:hRule="atLeast"/>
        </w:trPr>
        <w:tc>
          <w:tcPr>
            <w:tcW w:w="680" w:type="dxa"/>
            <w:tcBorders>
              <w:top w:val="single" w:sz="8" w:space="0" w:color="000000"/>
            </w:tcBorders>
          </w:tcPr>
          <w:p>
            <w:pPr>
              <w:pStyle w:val="TableParagraph"/>
              <w:spacing w:before="174"/>
              <w:ind w:left="107"/>
              <w:rPr>
                <w:rFonts w:ascii="微软雅黑"/>
                <w:b/>
                <w:sz w:val="21"/>
              </w:rPr>
            </w:pPr>
            <w:r>
              <w:rPr>
                <w:rFonts w:ascii="微软雅黑"/>
                <w:b/>
                <w:sz w:val="21"/>
              </w:rPr>
              <w:t>3.1</w:t>
            </w:r>
          </w:p>
        </w:tc>
        <w:tc>
          <w:tcPr>
            <w:tcW w:w="1729" w:type="dxa"/>
            <w:tcBorders>
              <w:top w:val="single" w:sz="8" w:space="0" w:color="000000"/>
            </w:tcBorders>
          </w:tcPr>
          <w:p>
            <w:pPr>
              <w:pStyle w:val="TableParagraph"/>
              <w:spacing w:before="174"/>
              <w:ind w:left="244"/>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1"/>
              <w:ind w:left="0"/>
              <w:rPr>
                <w:sz w:val="18"/>
              </w:rPr>
            </w:pPr>
          </w:p>
          <w:p>
            <w:pPr>
              <w:pStyle w:val="TableParagraph"/>
              <w:spacing w:line="242" w:lineRule="auto"/>
              <w:ind w:left="216" w:right="338"/>
              <w:jc w:val="both"/>
              <w:rPr>
                <w:sz w:val="21"/>
              </w:rPr>
            </w:pPr>
            <w:r>
              <w:rPr>
                <w:spacing w:val="-4"/>
                <w:sz w:val="21"/>
              </w:rPr>
              <w:t>本合同的交费方式和交费期间由投保人在投保时与我们约定，并在保险单或者</w:t>
            </w:r>
            <w:r>
              <w:rPr>
                <w:spacing w:val="-3"/>
                <w:w w:val="100"/>
                <w:sz w:val="21"/>
              </w:rPr>
              <w:t>保险凭证上载明。投保人应当在每个</w:t>
            </w:r>
            <w:r>
              <w:rPr>
                <w:rFonts w:ascii="微软雅黑" w:eastAsia="微软雅黑" w:hint="eastAsia"/>
                <w:b/>
                <w:spacing w:val="-1"/>
                <w:w w:val="100"/>
                <w:sz w:val="21"/>
              </w:rPr>
              <w:t>保险费约定交纳日</w:t>
            </w:r>
            <w:r>
              <w:rPr>
                <w:w w:val="100"/>
                <w:sz w:val="21"/>
              </w:rPr>
              <w:t>（见</w:t>
            </w:r>
            <w:r>
              <w:rPr>
                <w:sz w:val="21"/>
              </w:rPr>
              <w:t> </w:t>
            </w:r>
            <w:r>
              <w:rPr>
                <w:w w:val="97"/>
                <w:sz w:val="21"/>
              </w:rPr>
              <w:t>1</w:t>
            </w:r>
            <w:r>
              <w:rPr>
                <w:w w:val="122"/>
                <w:sz w:val="21"/>
              </w:rPr>
              <w:t>0</w:t>
            </w:r>
            <w:r>
              <w:rPr>
                <w:spacing w:val="-4"/>
                <w:w w:val="58"/>
                <w:sz w:val="21"/>
              </w:rPr>
              <w:t>.</w:t>
            </w:r>
            <w:r>
              <w:rPr>
                <w:w w:val="97"/>
                <w:sz w:val="21"/>
              </w:rPr>
              <w:t>1</w:t>
            </w:r>
            <w:r>
              <w:rPr>
                <w:w w:val="123"/>
                <w:sz w:val="21"/>
              </w:rPr>
              <w:t>4</w:t>
            </w:r>
            <w:r>
              <w:rPr>
                <w:spacing w:val="-3"/>
                <w:w w:val="100"/>
                <w:sz w:val="21"/>
              </w:rPr>
              <w:t>）交纳保险</w:t>
            </w:r>
            <w:r>
              <w:rPr>
                <w:spacing w:val="-3"/>
                <w:sz w:val="21"/>
              </w:rPr>
              <w:t>费。</w:t>
            </w:r>
          </w:p>
        </w:tc>
      </w:tr>
      <w:tr>
        <w:trPr>
          <w:trHeight w:val="725" w:hRule="atLeast"/>
        </w:trPr>
        <w:tc>
          <w:tcPr>
            <w:tcW w:w="680" w:type="dxa"/>
          </w:tcPr>
          <w:p>
            <w:pPr>
              <w:pStyle w:val="TableParagraph"/>
              <w:spacing w:before="40"/>
              <w:ind w:left="107"/>
              <w:rPr>
                <w:rFonts w:ascii="微软雅黑"/>
                <w:b/>
                <w:sz w:val="21"/>
              </w:rPr>
            </w:pPr>
            <w:r>
              <w:rPr>
                <w:rFonts w:ascii="微软雅黑"/>
                <w:b/>
                <w:sz w:val="21"/>
              </w:rPr>
              <w:t>3.2</w:t>
            </w:r>
          </w:p>
        </w:tc>
        <w:tc>
          <w:tcPr>
            <w:tcW w:w="1729" w:type="dxa"/>
          </w:tcPr>
          <w:p>
            <w:pPr>
              <w:pStyle w:val="TableParagraph"/>
              <w:spacing w:before="40"/>
              <w:ind w:left="244"/>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320" w:lineRule="atLeast" w:before="58"/>
              <w:ind w:left="216" w:right="231"/>
              <w:rPr>
                <w:sz w:val="21"/>
              </w:rPr>
            </w:pPr>
            <w:r>
              <w:rPr>
                <w:spacing w:val="-12"/>
                <w:sz w:val="21"/>
              </w:rPr>
              <w:t>分期交纳保险费的，在交纳首期保险费后，如果投保人到期未交纳续期保险费， </w:t>
            </w:r>
            <w:r>
              <w:rPr>
                <w:spacing w:val="-6"/>
                <w:sz w:val="21"/>
              </w:rPr>
              <w:t>自保险费约定交纳日的次日零时起 </w:t>
            </w:r>
            <w:r>
              <w:rPr>
                <w:sz w:val="21"/>
              </w:rPr>
              <w:t>60</w:t>
            </w:r>
            <w:r>
              <w:rPr>
                <w:spacing w:val="-3"/>
                <w:sz w:val="21"/>
              </w:rPr>
              <w:t> 日为保险费交纳的宽限期。宽限期内发</w:t>
            </w:r>
          </w:p>
        </w:tc>
      </w:tr>
    </w:tbl>
    <w:p>
      <w:pPr>
        <w:spacing w:after="0" w:line="320" w:lineRule="atLeast"/>
        <w:rPr>
          <w:sz w:val="21"/>
        </w:rPr>
        <w:sectPr>
          <w:pgSz w:w="11910" w:h="16840"/>
          <w:pgMar w:top="118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517"/>
        <w:gridCol w:w="7894"/>
      </w:tblGrid>
      <w:tr>
        <w:trPr>
          <w:trHeight w:val="1155" w:hRule="atLeast"/>
        </w:trPr>
        <w:tc>
          <w:tcPr>
            <w:tcW w:w="681" w:type="dxa"/>
          </w:tcPr>
          <w:p>
            <w:pPr>
              <w:pStyle w:val="TableParagraph"/>
              <w:ind w:left="0"/>
              <w:rPr>
                <w:rFonts w:ascii="Times New Roman"/>
                <w:sz w:val="20"/>
              </w:rPr>
            </w:pPr>
          </w:p>
        </w:tc>
        <w:tc>
          <w:tcPr>
            <w:tcW w:w="1517" w:type="dxa"/>
          </w:tcPr>
          <w:p>
            <w:pPr>
              <w:pStyle w:val="TableParagraph"/>
              <w:ind w:left="0"/>
              <w:rPr>
                <w:rFonts w:ascii="Times New Roman"/>
                <w:sz w:val="20"/>
              </w:rPr>
            </w:pPr>
          </w:p>
        </w:tc>
        <w:tc>
          <w:tcPr>
            <w:tcW w:w="7894" w:type="dxa"/>
          </w:tcPr>
          <w:p>
            <w:pPr>
              <w:pStyle w:val="TableParagraph"/>
              <w:spacing w:line="215" w:lineRule="exact"/>
              <w:ind w:left="428"/>
              <w:rPr>
                <w:sz w:val="21"/>
              </w:rPr>
            </w:pPr>
            <w:r>
              <w:rPr>
                <w:sz w:val="21"/>
              </w:rPr>
              <w:t>Th的保险事故，我们仍承担保险责任，但在给付保险金时会扣除欠交的保险费。</w:t>
            </w:r>
          </w:p>
          <w:p>
            <w:pPr>
              <w:pStyle w:val="TableParagraph"/>
              <w:spacing w:line="280" w:lineRule="auto" w:before="123"/>
              <w:ind w:left="428" w:right="268"/>
              <w:rPr>
                <w:sz w:val="21"/>
              </w:rPr>
            </w:pPr>
            <w:r>
              <w:rPr>
                <w:sz w:val="21"/>
              </w:rPr>
              <w:t>如果投保人在宽限期内未交纳保险费，则本合同自宽限期满日的 </w:t>
            </w:r>
            <w:r>
              <w:rPr>
                <w:w w:val="115"/>
                <w:sz w:val="21"/>
              </w:rPr>
              <w:t>24 </w:t>
            </w:r>
            <w:r>
              <w:rPr>
                <w:sz w:val="21"/>
              </w:rPr>
              <w:t>时起效力中止，但本合同另有约定的除外。</w:t>
            </w:r>
          </w:p>
        </w:tc>
      </w:tr>
      <w:tr>
        <w:trPr>
          <w:trHeight w:val="945"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705"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4.1</w:t>
            </w:r>
          </w:p>
        </w:tc>
        <w:tc>
          <w:tcPr>
            <w:tcW w:w="1517"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效力中止</w:t>
            </w:r>
          </w:p>
        </w:tc>
        <w:tc>
          <w:tcPr>
            <w:tcW w:w="7894" w:type="dxa"/>
            <w:tcBorders>
              <w:top w:val="single" w:sz="8" w:space="0" w:color="000000"/>
            </w:tcBorders>
          </w:tcPr>
          <w:p>
            <w:pPr>
              <w:pStyle w:val="TableParagraph"/>
              <w:spacing w:before="3"/>
              <w:ind w:left="0"/>
              <w:rPr>
                <w:sz w:val="18"/>
              </w:rPr>
            </w:pPr>
          </w:p>
          <w:p>
            <w:pPr>
              <w:pStyle w:val="TableParagraph"/>
              <w:ind w:left="428"/>
              <w:rPr>
                <w:sz w:val="21"/>
              </w:rPr>
            </w:pPr>
            <w:r>
              <w:rPr>
                <w:sz w:val="21"/>
              </w:rPr>
              <w:t>在本合同效力中止期间，我们不承担保险责任。</w:t>
            </w:r>
          </w:p>
        </w:tc>
      </w:tr>
      <w:tr>
        <w:trPr>
          <w:trHeight w:val="2596" w:hRule="atLeast"/>
        </w:trPr>
        <w:tc>
          <w:tcPr>
            <w:tcW w:w="681" w:type="dxa"/>
          </w:tcPr>
          <w:p>
            <w:pPr>
              <w:pStyle w:val="TableParagraph"/>
              <w:spacing w:before="39"/>
              <w:ind w:left="107"/>
              <w:rPr>
                <w:rFonts w:ascii="微软雅黑"/>
                <w:b/>
                <w:sz w:val="21"/>
              </w:rPr>
            </w:pPr>
            <w:r>
              <w:rPr>
                <w:rFonts w:ascii="微软雅黑"/>
                <w:b/>
                <w:sz w:val="21"/>
              </w:rPr>
              <w:t>4.2</w:t>
            </w:r>
          </w:p>
        </w:tc>
        <w:tc>
          <w:tcPr>
            <w:tcW w:w="1517" w:type="dxa"/>
          </w:tcPr>
          <w:p>
            <w:pPr>
              <w:pStyle w:val="TableParagraph"/>
              <w:spacing w:before="39"/>
              <w:ind w:left="243"/>
              <w:rPr>
                <w:rFonts w:ascii="微软雅黑" w:eastAsia="微软雅黑" w:hint="eastAsia"/>
                <w:b/>
                <w:sz w:val="21"/>
              </w:rPr>
            </w:pPr>
            <w:r>
              <w:rPr>
                <w:rFonts w:ascii="微软雅黑" w:eastAsia="微软雅黑" w:hint="eastAsia"/>
                <w:b/>
                <w:sz w:val="21"/>
              </w:rPr>
              <w:t>效力恢复</w:t>
            </w:r>
          </w:p>
        </w:tc>
        <w:tc>
          <w:tcPr>
            <w:tcW w:w="7894" w:type="dxa"/>
          </w:tcPr>
          <w:p>
            <w:pPr>
              <w:pStyle w:val="TableParagraph"/>
              <w:spacing w:before="102"/>
              <w:ind w:left="428"/>
              <w:rPr>
                <w:sz w:val="21"/>
              </w:rPr>
            </w:pPr>
            <w:r>
              <w:rPr>
                <w:sz w:val="21"/>
              </w:rPr>
              <w:t>本合同效力中止之日起 2 年内，投保人可以申请恢复合同效力。经投保人与我</w:t>
            </w:r>
          </w:p>
          <w:p>
            <w:pPr>
              <w:pStyle w:val="TableParagraph"/>
              <w:spacing w:line="228" w:lineRule="auto" w:before="60"/>
              <w:ind w:left="428" w:right="339"/>
              <w:rPr>
                <w:sz w:val="21"/>
              </w:rPr>
            </w:pPr>
            <w:r>
              <w:rPr>
                <w:spacing w:val="-4"/>
                <w:sz w:val="21"/>
              </w:rPr>
              <w:t>们协商并就恢复本合同效力达成一致同意的协议，自投保人补交保险费及利息</w:t>
            </w:r>
            <w:r>
              <w:rPr>
                <w:spacing w:val="-16"/>
                <w:sz w:val="21"/>
              </w:rPr>
              <w:t>的次日零时起，本合同效力恢复。利息按照我们公布的保单贷款利率按</w:t>
            </w:r>
            <w:r>
              <w:rPr>
                <w:rFonts w:ascii="微软雅黑" w:eastAsia="微软雅黑" w:hint="eastAsia"/>
                <w:b/>
                <w:spacing w:val="-39"/>
                <w:sz w:val="21"/>
              </w:rPr>
              <w:t>复利</w:t>
            </w:r>
            <w:r>
              <w:rPr>
                <w:spacing w:val="-3"/>
                <w:sz w:val="21"/>
              </w:rPr>
              <w:t>（见</w:t>
            </w:r>
          </w:p>
          <w:p>
            <w:pPr>
              <w:pStyle w:val="TableParagraph"/>
              <w:spacing w:before="18"/>
              <w:ind w:left="428"/>
              <w:rPr>
                <w:sz w:val="21"/>
              </w:rPr>
            </w:pPr>
            <w:r>
              <w:rPr>
                <w:w w:val="97"/>
                <w:sz w:val="21"/>
              </w:rPr>
              <w:t>1</w:t>
            </w:r>
            <w:r>
              <w:rPr>
                <w:w w:val="122"/>
                <w:sz w:val="21"/>
              </w:rPr>
              <w:t>0</w:t>
            </w:r>
            <w:r>
              <w:rPr>
                <w:spacing w:val="-4"/>
                <w:w w:val="58"/>
                <w:sz w:val="21"/>
              </w:rPr>
              <w:t>.</w:t>
            </w:r>
            <w:r>
              <w:rPr>
                <w:w w:val="97"/>
                <w:sz w:val="21"/>
              </w:rPr>
              <w:t>1</w:t>
            </w:r>
            <w:r>
              <w:rPr>
                <w:spacing w:val="-1"/>
                <w:w w:val="122"/>
                <w:sz w:val="21"/>
              </w:rPr>
              <w:t>5</w:t>
            </w:r>
            <w:r>
              <w:rPr>
                <w:w w:val="100"/>
                <w:sz w:val="21"/>
              </w:rPr>
              <w:t>）</w:t>
            </w:r>
            <w:r>
              <w:rPr>
                <w:spacing w:val="-2"/>
                <w:w w:val="100"/>
                <w:sz w:val="21"/>
              </w:rPr>
              <w:t>计算。</w:t>
            </w:r>
          </w:p>
          <w:p>
            <w:pPr>
              <w:pStyle w:val="TableParagraph"/>
              <w:spacing w:line="280" w:lineRule="auto" w:before="123"/>
              <w:ind w:left="428" w:right="339"/>
              <w:jc w:val="both"/>
              <w:rPr>
                <w:sz w:val="21"/>
              </w:rPr>
            </w:pPr>
            <w:r>
              <w:rPr>
                <w:spacing w:val="2"/>
                <w:sz w:val="21"/>
              </w:rPr>
              <w:t>自本合同效力中止之日起满 </w:t>
            </w:r>
            <w:r>
              <w:rPr>
                <w:w w:val="110"/>
                <w:sz w:val="21"/>
              </w:rPr>
              <w:t>2 </w:t>
            </w:r>
            <w:r>
              <w:rPr>
                <w:sz w:val="21"/>
              </w:rPr>
              <w:t>年投保人和我们未就恢复本合同效力达成一致</w:t>
            </w:r>
            <w:r>
              <w:rPr>
                <w:spacing w:val="-5"/>
                <w:sz w:val="21"/>
              </w:rPr>
              <w:t>同意的协议，我们有权解除本合同。我们解除本合同的，我们向投保人退还本</w:t>
            </w:r>
            <w:r>
              <w:rPr>
                <w:spacing w:val="-4"/>
                <w:sz w:val="21"/>
              </w:rPr>
              <w:t>合同中止之日的现金价值。</w:t>
            </w:r>
          </w:p>
        </w:tc>
      </w:tr>
      <w:tr>
        <w:trPr>
          <w:trHeight w:val="947"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8040"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517"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受益人</w:t>
            </w:r>
          </w:p>
        </w:tc>
        <w:tc>
          <w:tcPr>
            <w:tcW w:w="7894" w:type="dxa"/>
            <w:tcBorders>
              <w:top w:val="single" w:sz="8" w:space="0" w:color="000000"/>
            </w:tcBorders>
          </w:tcPr>
          <w:p>
            <w:pPr>
              <w:pStyle w:val="TableParagraph"/>
              <w:spacing w:before="3"/>
              <w:ind w:left="0"/>
              <w:rPr>
                <w:sz w:val="18"/>
              </w:rPr>
            </w:pPr>
          </w:p>
          <w:p>
            <w:pPr>
              <w:pStyle w:val="TableParagraph"/>
              <w:ind w:left="428"/>
              <w:rPr>
                <w:sz w:val="21"/>
              </w:rPr>
            </w:pPr>
            <w:r>
              <w:rPr>
                <w:sz w:val="21"/>
              </w:rPr>
              <w:t>除另有约定外，重症疾病保险金受益人为被保险人本人。</w:t>
            </w:r>
          </w:p>
          <w:p>
            <w:pPr>
              <w:pStyle w:val="TableParagraph"/>
              <w:spacing w:line="280" w:lineRule="auto" w:before="120"/>
              <w:ind w:left="428" w:right="339"/>
              <w:jc w:val="both"/>
              <w:rPr>
                <w:sz w:val="21"/>
              </w:rPr>
            </w:pPr>
            <w:r>
              <w:rPr>
                <w:spacing w:val="-4"/>
                <w:sz w:val="21"/>
              </w:rPr>
              <w:t>投保人或者被保险人可以指定一人或者多人为身故保险金受益人。身故保险金</w:t>
            </w:r>
            <w:r>
              <w:rPr>
                <w:spacing w:val="-6"/>
                <w:sz w:val="21"/>
              </w:rPr>
              <w:t>受益人为多人时，可以确定受益顺序和受益份额；如果没有确定份额，各受益</w:t>
            </w:r>
            <w:r>
              <w:rPr>
                <w:spacing w:val="-4"/>
                <w:sz w:val="21"/>
              </w:rPr>
              <w:t>人按照相等份额享有受益权。</w:t>
            </w:r>
          </w:p>
          <w:p>
            <w:pPr>
              <w:pStyle w:val="TableParagraph"/>
              <w:spacing w:line="280" w:lineRule="auto" w:before="85"/>
              <w:ind w:left="428" w:right="339"/>
              <w:jc w:val="both"/>
              <w:rPr>
                <w:sz w:val="21"/>
              </w:rPr>
            </w:pPr>
            <w:r>
              <w:rPr>
                <w:spacing w:val="-4"/>
                <w:sz w:val="21"/>
              </w:rPr>
              <w:t>投保人或者被保险人在被保险人身故前可以变更身故保险金受益人、受益顺序</w:t>
            </w:r>
            <w:r>
              <w:rPr>
                <w:spacing w:val="-6"/>
                <w:sz w:val="21"/>
              </w:rPr>
              <w:t>或者受益份额，但须以我们认可的方式通知我们。我们将及时出具批单，变更</w:t>
            </w:r>
            <w:r>
              <w:rPr>
                <w:spacing w:val="-1"/>
                <w:sz w:val="21"/>
              </w:rPr>
              <w:t>的Th</w:t>
            </w:r>
            <w:r>
              <w:rPr>
                <w:spacing w:val="-3"/>
                <w:sz w:val="21"/>
              </w:rPr>
              <w:t>效时间以批单中载明的时间为准。</w:t>
            </w:r>
          </w:p>
          <w:p>
            <w:pPr>
              <w:pStyle w:val="TableParagraph"/>
              <w:spacing w:line="280" w:lineRule="auto" w:before="85"/>
              <w:ind w:left="428" w:right="341"/>
              <w:jc w:val="both"/>
              <w:rPr>
                <w:sz w:val="21"/>
              </w:rPr>
            </w:pPr>
            <w:r>
              <w:rPr>
                <w:spacing w:val="-5"/>
                <w:sz w:val="21"/>
              </w:rPr>
              <w:t>投保人在指定和变更身故保险金受益人、受益顺序或者受益份额时，必须经过</w:t>
            </w:r>
            <w:r>
              <w:rPr>
                <w:spacing w:val="-4"/>
                <w:sz w:val="21"/>
              </w:rPr>
              <w:t>被保险人同意。</w:t>
            </w:r>
          </w:p>
          <w:p>
            <w:pPr>
              <w:pStyle w:val="TableParagraph"/>
              <w:spacing w:line="278" w:lineRule="auto" w:before="87"/>
              <w:ind w:left="428" w:right="339"/>
              <w:jc w:val="both"/>
              <w:rPr>
                <w:sz w:val="21"/>
              </w:rPr>
            </w:pPr>
            <w:r>
              <w:rPr>
                <w:spacing w:val="-4"/>
                <w:sz w:val="21"/>
              </w:rPr>
              <w:t>被保险人为无民事行为能力人或者限制民事行为能力人的，可以依法由其监护</w:t>
            </w:r>
            <w:r>
              <w:rPr>
                <w:spacing w:val="-3"/>
                <w:sz w:val="21"/>
              </w:rPr>
              <w:t>人指定和变更身故保险金受益人。</w:t>
            </w:r>
          </w:p>
          <w:p>
            <w:pPr>
              <w:pStyle w:val="TableParagraph"/>
              <w:spacing w:line="280" w:lineRule="auto" w:before="89"/>
              <w:ind w:left="428" w:right="339"/>
              <w:jc w:val="both"/>
              <w:rPr>
                <w:sz w:val="21"/>
              </w:rPr>
            </w:pPr>
            <w:r>
              <w:rPr>
                <w:spacing w:val="-6"/>
                <w:sz w:val="21"/>
              </w:rPr>
              <w:t>被保险人身故后，有下列情形之一的，身故保险金作为被保险人的遗产，由我</w:t>
            </w:r>
            <w:r>
              <w:rPr>
                <w:spacing w:val="-4"/>
                <w:sz w:val="21"/>
              </w:rPr>
              <w:t>们依照《中华人民共和国继承法》的规定履行给付身故保险金的义务：</w:t>
            </w:r>
          </w:p>
          <w:p>
            <w:pPr>
              <w:pStyle w:val="TableParagraph"/>
              <w:numPr>
                <w:ilvl w:val="0"/>
                <w:numId w:val="5"/>
              </w:numPr>
              <w:tabs>
                <w:tab w:pos="1053" w:val="left" w:leader="none"/>
              </w:tabs>
              <w:spacing w:line="280" w:lineRule="auto" w:before="85" w:after="0"/>
              <w:ind w:left="1052" w:right="336" w:hanging="624"/>
              <w:jc w:val="left"/>
              <w:rPr>
                <w:sz w:val="21"/>
              </w:rPr>
            </w:pPr>
            <w:r>
              <w:rPr>
                <w:spacing w:val="-4"/>
                <w:sz w:val="21"/>
              </w:rPr>
              <w:t>没有指定身故保险金受益人的，或者身故保险金受益人指定不明无法确定的；</w:t>
            </w:r>
          </w:p>
          <w:p>
            <w:pPr>
              <w:pStyle w:val="TableParagraph"/>
              <w:numPr>
                <w:ilvl w:val="0"/>
                <w:numId w:val="5"/>
              </w:numPr>
              <w:tabs>
                <w:tab w:pos="1060" w:val="left" w:leader="none"/>
              </w:tabs>
              <w:spacing w:line="240" w:lineRule="auto" w:before="86" w:after="0"/>
              <w:ind w:left="1059" w:right="0" w:hanging="631"/>
              <w:jc w:val="left"/>
              <w:rPr>
                <w:sz w:val="21"/>
              </w:rPr>
            </w:pPr>
            <w:r>
              <w:rPr>
                <w:spacing w:val="-3"/>
                <w:sz w:val="21"/>
              </w:rPr>
              <w:t>身故保险金受益人先于被保险人身故，没有其他身故保险金受益人的；</w:t>
            </w:r>
          </w:p>
          <w:p>
            <w:pPr>
              <w:pStyle w:val="TableParagraph"/>
              <w:numPr>
                <w:ilvl w:val="0"/>
                <w:numId w:val="5"/>
              </w:numPr>
              <w:tabs>
                <w:tab w:pos="1060" w:val="left" w:leader="none"/>
              </w:tabs>
              <w:spacing w:line="280" w:lineRule="auto" w:before="123" w:after="0"/>
              <w:ind w:left="1059" w:right="336" w:hanging="631"/>
              <w:jc w:val="left"/>
              <w:rPr>
                <w:sz w:val="21"/>
              </w:rPr>
            </w:pPr>
            <w:r>
              <w:rPr>
                <w:spacing w:val="-4"/>
                <w:sz w:val="21"/>
              </w:rPr>
              <w:t>身故保险金受益人依法丧失受益权或者放弃受益权，没有其他身故保险</w:t>
            </w:r>
            <w:r>
              <w:rPr>
                <w:spacing w:val="-3"/>
                <w:sz w:val="21"/>
              </w:rPr>
              <w:t>金受益人的。</w:t>
            </w:r>
          </w:p>
          <w:p>
            <w:pPr>
              <w:pStyle w:val="TableParagraph"/>
              <w:spacing w:line="280" w:lineRule="auto" w:before="85"/>
              <w:ind w:left="428" w:right="337"/>
              <w:jc w:val="both"/>
              <w:rPr>
                <w:sz w:val="21"/>
              </w:rPr>
            </w:pPr>
            <w:r>
              <w:rPr>
                <w:sz w:val="21"/>
              </w:rPr>
              <w:t>身故保险金受益人与被保险人在同一事件中身故，且不能确定身故先后顺序的，推定身故保险金受益人身故在先。</w:t>
            </w:r>
          </w:p>
          <w:p>
            <w:pPr>
              <w:pStyle w:val="TableParagraph"/>
              <w:spacing w:line="320" w:lineRule="atLeast" w:before="40"/>
              <w:ind w:left="428" w:right="339"/>
              <w:jc w:val="both"/>
              <w:rPr>
                <w:sz w:val="21"/>
              </w:rPr>
            </w:pPr>
            <w:r>
              <w:rPr>
                <w:spacing w:val="-4"/>
                <w:sz w:val="21"/>
              </w:rPr>
              <w:t>投保人为与其有劳动关系的劳动者投保本合同，不得指定被保险人及其近亲属</w:t>
            </w:r>
            <w:r>
              <w:rPr>
                <w:spacing w:val="-3"/>
                <w:sz w:val="21"/>
              </w:rPr>
              <w:t>以外的人为受益人。</w:t>
            </w:r>
          </w:p>
        </w:tc>
      </w:tr>
    </w:tbl>
    <w:p>
      <w:pPr>
        <w:spacing w:after="0" w:line="320" w:lineRule="atLeast"/>
        <w:jc w:val="both"/>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839"/>
        <w:gridCol w:w="7542"/>
      </w:tblGrid>
      <w:tr>
        <w:trPr>
          <w:trHeight w:val="723" w:hRule="atLeast"/>
        </w:trPr>
        <w:tc>
          <w:tcPr>
            <w:tcW w:w="768" w:type="dxa"/>
          </w:tcPr>
          <w:p>
            <w:pPr>
              <w:pStyle w:val="TableParagraph"/>
              <w:ind w:left="0"/>
              <w:rPr>
                <w:rFonts w:ascii="Times New Roman"/>
                <w:sz w:val="20"/>
              </w:rPr>
            </w:pPr>
          </w:p>
        </w:tc>
        <w:tc>
          <w:tcPr>
            <w:tcW w:w="1839" w:type="dxa"/>
          </w:tcPr>
          <w:p>
            <w:pPr>
              <w:pStyle w:val="TableParagraph"/>
              <w:ind w:left="0"/>
              <w:rPr>
                <w:rFonts w:ascii="Times New Roman"/>
                <w:sz w:val="20"/>
              </w:rPr>
            </w:pPr>
          </w:p>
        </w:tc>
        <w:tc>
          <w:tcPr>
            <w:tcW w:w="7542" w:type="dxa"/>
          </w:tcPr>
          <w:p>
            <w:pPr>
              <w:pStyle w:val="TableParagraph"/>
              <w:spacing w:line="215" w:lineRule="exact"/>
              <w:rPr>
                <w:sz w:val="21"/>
              </w:rPr>
            </w:pPr>
            <w:r>
              <w:rPr>
                <w:sz w:val="21"/>
              </w:rPr>
              <w:t>受益人故意造成被保险人死亡、伤残、疾病的，或者故意杀害被保险人未遂的，</w:t>
            </w:r>
          </w:p>
          <w:p>
            <w:pPr>
              <w:pStyle w:val="TableParagraph"/>
              <w:spacing w:before="46"/>
              <w:rPr>
                <w:sz w:val="21"/>
              </w:rPr>
            </w:pPr>
            <w:r>
              <w:rPr>
                <w:sz w:val="21"/>
              </w:rPr>
              <w:t>该受益人丧失受益权。</w:t>
            </w:r>
          </w:p>
        </w:tc>
      </w:tr>
      <w:tr>
        <w:trPr>
          <w:trHeight w:val="1849" w:hRule="atLeast"/>
        </w:trPr>
        <w:tc>
          <w:tcPr>
            <w:tcW w:w="768" w:type="dxa"/>
          </w:tcPr>
          <w:p>
            <w:pPr>
              <w:pStyle w:val="TableParagraph"/>
              <w:spacing w:before="42"/>
              <w:ind w:left="200"/>
              <w:rPr>
                <w:rFonts w:ascii="微软雅黑"/>
                <w:b/>
                <w:sz w:val="21"/>
              </w:rPr>
            </w:pPr>
            <w:r>
              <w:rPr>
                <w:rFonts w:ascii="微软雅黑"/>
                <w:b/>
                <w:sz w:val="21"/>
              </w:rPr>
              <w:t>5.2</w:t>
            </w:r>
          </w:p>
        </w:tc>
        <w:tc>
          <w:tcPr>
            <w:tcW w:w="1839" w:type="dxa"/>
          </w:tcPr>
          <w:p>
            <w:pPr>
              <w:pStyle w:val="TableParagraph"/>
              <w:spacing w:before="42"/>
              <w:ind w:left="248"/>
              <w:rPr>
                <w:rFonts w:ascii="微软雅黑" w:eastAsia="微软雅黑" w:hint="eastAsia"/>
                <w:b/>
                <w:sz w:val="21"/>
              </w:rPr>
            </w:pPr>
            <w:r>
              <w:rPr>
                <w:rFonts w:ascii="微软雅黑" w:eastAsia="微软雅黑" w:hint="eastAsia"/>
                <w:b/>
                <w:sz w:val="21"/>
              </w:rPr>
              <w:t>保险事故通知</w:t>
            </w:r>
          </w:p>
        </w:tc>
        <w:tc>
          <w:tcPr>
            <w:tcW w:w="7542" w:type="dxa"/>
          </w:tcPr>
          <w:p>
            <w:pPr>
              <w:pStyle w:val="TableParagraph"/>
              <w:spacing w:line="280" w:lineRule="auto" w:before="105"/>
              <w:ind w:right="283"/>
              <w:jc w:val="both"/>
              <w:rPr>
                <w:sz w:val="21"/>
              </w:rPr>
            </w:pPr>
            <w:r>
              <w:rPr>
                <w:sz w:val="21"/>
              </w:rPr>
              <w:t>投保人或者受益人知道保险事故发Th后应当在 10 日内通知我们。故意或者因重大过失未及时通知，致使保险事故的性质、原因、损失程度等难以确定的， 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567" w:hRule="atLeast"/>
        </w:trPr>
        <w:tc>
          <w:tcPr>
            <w:tcW w:w="768" w:type="dxa"/>
          </w:tcPr>
          <w:p>
            <w:pPr>
              <w:pStyle w:val="TableParagraph"/>
              <w:spacing w:before="40"/>
              <w:ind w:left="200"/>
              <w:rPr>
                <w:rFonts w:ascii="微软雅黑"/>
                <w:b/>
                <w:sz w:val="21"/>
              </w:rPr>
            </w:pPr>
            <w:r>
              <w:rPr>
                <w:rFonts w:ascii="微软雅黑"/>
                <w:b/>
                <w:sz w:val="21"/>
              </w:rPr>
              <w:t>5.3</w:t>
            </w:r>
          </w:p>
        </w:tc>
        <w:tc>
          <w:tcPr>
            <w:tcW w:w="1839" w:type="dxa"/>
          </w:tcPr>
          <w:p>
            <w:pPr>
              <w:pStyle w:val="TableParagraph"/>
              <w:spacing w:before="40"/>
              <w:ind w:left="248"/>
              <w:rPr>
                <w:rFonts w:ascii="微软雅黑" w:eastAsia="微软雅黑" w:hint="eastAsia"/>
                <w:b/>
                <w:sz w:val="21"/>
              </w:rPr>
            </w:pPr>
            <w:r>
              <w:rPr>
                <w:rFonts w:ascii="微软雅黑" w:eastAsia="微软雅黑" w:hint="eastAsia"/>
                <w:b/>
                <w:sz w:val="21"/>
              </w:rPr>
              <w:t>保险金申请</w:t>
            </w:r>
          </w:p>
        </w:tc>
        <w:tc>
          <w:tcPr>
            <w:tcW w:w="7542" w:type="dxa"/>
          </w:tcPr>
          <w:p>
            <w:pPr>
              <w:pStyle w:val="TableParagraph"/>
              <w:spacing w:before="103"/>
              <w:rPr>
                <w:sz w:val="21"/>
              </w:rPr>
            </w:pPr>
            <w:r>
              <w:rPr>
                <w:sz w:val="21"/>
              </w:rPr>
              <w:t>在申请保险金时，请按照下列方式办理：</w:t>
            </w:r>
          </w:p>
        </w:tc>
      </w:tr>
      <w:tr>
        <w:trPr>
          <w:trHeight w:val="2723" w:hRule="atLeast"/>
        </w:trPr>
        <w:tc>
          <w:tcPr>
            <w:tcW w:w="768" w:type="dxa"/>
          </w:tcPr>
          <w:p>
            <w:pPr>
              <w:pStyle w:val="TableParagraph"/>
              <w:ind w:left="0"/>
              <w:rPr>
                <w:rFonts w:ascii="Times New Roman"/>
                <w:sz w:val="20"/>
              </w:rPr>
            </w:pPr>
          </w:p>
        </w:tc>
        <w:tc>
          <w:tcPr>
            <w:tcW w:w="1839" w:type="dxa"/>
          </w:tcPr>
          <w:p>
            <w:pPr>
              <w:pStyle w:val="TableParagraph"/>
              <w:spacing w:line="213" w:lineRule="auto" w:before="81"/>
              <w:ind w:left="248" w:right="110"/>
              <w:rPr>
                <w:rFonts w:ascii="微软雅黑" w:eastAsia="微软雅黑" w:hint="eastAsia"/>
                <w:b/>
                <w:sz w:val="21"/>
              </w:rPr>
            </w:pPr>
            <w:r>
              <w:rPr>
                <w:rFonts w:ascii="微软雅黑" w:eastAsia="微软雅黑" w:hint="eastAsia"/>
                <w:b/>
                <w:sz w:val="21"/>
              </w:rPr>
              <w:t>重症疾病保险金申请</w:t>
            </w:r>
          </w:p>
        </w:tc>
        <w:tc>
          <w:tcPr>
            <w:tcW w:w="7542" w:type="dxa"/>
          </w:tcPr>
          <w:p>
            <w:pPr>
              <w:pStyle w:val="TableParagraph"/>
              <w:spacing w:line="280" w:lineRule="auto" w:before="104"/>
              <w:ind w:right="256"/>
              <w:rPr>
                <w:sz w:val="21"/>
              </w:rPr>
            </w:pPr>
            <w:r>
              <w:rPr>
                <w:sz w:val="21"/>
              </w:rPr>
              <w:t>重症疾病保险金受益人作为申请人须填写领取保险金申请书，并须提供下列证明和资料的原件：</w:t>
            </w:r>
          </w:p>
          <w:p>
            <w:pPr>
              <w:pStyle w:val="TableParagraph"/>
              <w:numPr>
                <w:ilvl w:val="0"/>
                <w:numId w:val="6"/>
              </w:numPr>
              <w:tabs>
                <w:tab w:pos="736" w:val="left" w:leader="none"/>
              </w:tabs>
              <w:spacing w:line="240" w:lineRule="auto" w:before="22" w:after="0"/>
              <w:ind w:left="742" w:right="0" w:hanging="631"/>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6"/>
              </w:numPr>
              <w:tabs>
                <w:tab w:pos="743" w:val="left" w:leader="none"/>
              </w:tabs>
              <w:spacing w:line="264" w:lineRule="auto" w:before="35" w:after="0"/>
              <w:ind w:left="742" w:right="301"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w w:val="97"/>
                <w:sz w:val="21"/>
              </w:rPr>
              <w:t>1</w:t>
            </w:r>
            <w:r>
              <w:rPr>
                <w:w w:val="122"/>
                <w:sz w:val="21"/>
              </w:rPr>
              <w:t>0</w:t>
            </w:r>
            <w:r>
              <w:rPr>
                <w:spacing w:val="-4"/>
                <w:w w:val="58"/>
                <w:sz w:val="21"/>
              </w:rPr>
              <w:t>.</w:t>
            </w:r>
            <w:r>
              <w:rPr>
                <w:spacing w:val="-2"/>
                <w:w w:val="97"/>
                <w:sz w:val="21"/>
              </w:rPr>
              <w:t>1</w:t>
            </w:r>
            <w:r>
              <w:rPr>
                <w:spacing w:val="0"/>
                <w:w w:val="122"/>
                <w:sz w:val="21"/>
              </w:rPr>
              <w:t>7</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6"/>
              </w:numPr>
              <w:tabs>
                <w:tab w:pos="743" w:val="left" w:leader="none"/>
              </w:tabs>
              <w:spacing w:line="240" w:lineRule="auto" w:before="102" w:after="0"/>
              <w:ind w:left="742" w:right="0" w:hanging="631"/>
              <w:jc w:val="left"/>
              <w:rPr>
                <w:sz w:val="21"/>
              </w:rPr>
            </w:pPr>
            <w:r>
              <w:rPr>
                <w:spacing w:val="-3"/>
                <w:sz w:val="21"/>
              </w:rPr>
              <w:t>与确认保险事故的性质、原因等有关的其他证明和资料。</w:t>
            </w:r>
          </w:p>
        </w:tc>
      </w:tr>
      <w:tr>
        <w:trPr>
          <w:trHeight w:val="2401" w:hRule="atLeast"/>
        </w:trPr>
        <w:tc>
          <w:tcPr>
            <w:tcW w:w="768" w:type="dxa"/>
          </w:tcPr>
          <w:p>
            <w:pPr>
              <w:pStyle w:val="TableParagraph"/>
              <w:ind w:left="0"/>
              <w:rPr>
                <w:rFonts w:ascii="Times New Roman"/>
                <w:sz w:val="20"/>
              </w:rPr>
            </w:pPr>
          </w:p>
        </w:tc>
        <w:tc>
          <w:tcPr>
            <w:tcW w:w="1839" w:type="dxa"/>
          </w:tcPr>
          <w:p>
            <w:pPr>
              <w:pStyle w:val="TableParagraph"/>
              <w:spacing w:before="40"/>
              <w:ind w:left="248"/>
              <w:rPr>
                <w:rFonts w:ascii="微软雅黑" w:eastAsia="微软雅黑" w:hint="eastAsia"/>
                <w:b/>
                <w:sz w:val="21"/>
              </w:rPr>
            </w:pPr>
            <w:r>
              <w:rPr>
                <w:rFonts w:ascii="微软雅黑" w:eastAsia="微软雅黑" w:hint="eastAsia"/>
                <w:b/>
                <w:sz w:val="21"/>
              </w:rPr>
              <w:t>身故保险金申请</w:t>
            </w:r>
          </w:p>
        </w:tc>
        <w:tc>
          <w:tcPr>
            <w:tcW w:w="7542" w:type="dxa"/>
          </w:tcPr>
          <w:p>
            <w:pPr>
              <w:pStyle w:val="TableParagraph"/>
              <w:spacing w:line="280" w:lineRule="auto" w:before="103"/>
              <w:ind w:right="257"/>
              <w:rPr>
                <w:sz w:val="21"/>
              </w:rPr>
            </w:pPr>
            <w:r>
              <w:rPr>
                <w:sz w:val="21"/>
              </w:rPr>
              <w:t>身故保险金受益人作为申请人须填写领取保险金申请书，并须提供下列证明和资料的原件：</w:t>
            </w:r>
          </w:p>
          <w:p>
            <w:pPr>
              <w:pStyle w:val="TableParagraph"/>
              <w:numPr>
                <w:ilvl w:val="0"/>
                <w:numId w:val="7"/>
              </w:numPr>
              <w:tabs>
                <w:tab w:pos="736" w:val="left" w:leader="none"/>
              </w:tabs>
              <w:spacing w:line="240" w:lineRule="auto" w:before="85" w:after="0"/>
              <w:ind w:left="735" w:right="0" w:hanging="624"/>
              <w:jc w:val="left"/>
              <w:rPr>
                <w:sz w:val="21"/>
              </w:rPr>
            </w:pPr>
            <w:r>
              <w:rPr>
                <w:spacing w:val="-3"/>
                <w:sz w:val="21"/>
              </w:rPr>
              <w:t>申请人的有效身份证件；</w:t>
            </w:r>
          </w:p>
          <w:p>
            <w:pPr>
              <w:pStyle w:val="TableParagraph"/>
              <w:numPr>
                <w:ilvl w:val="0"/>
                <w:numId w:val="7"/>
              </w:numPr>
              <w:tabs>
                <w:tab w:pos="736" w:val="left" w:leader="none"/>
              </w:tabs>
              <w:spacing w:line="280" w:lineRule="auto" w:before="123" w:after="0"/>
              <w:ind w:left="735" w:right="301" w:hanging="624"/>
              <w:jc w:val="left"/>
              <w:rPr>
                <w:sz w:val="21"/>
              </w:rPr>
            </w:pPr>
            <w:r>
              <w:rPr>
                <w:spacing w:val="-1"/>
                <w:sz w:val="21"/>
              </w:rPr>
              <w:t>国务院卫</w:t>
            </w:r>
            <w:r>
              <w:rPr>
                <w:sz w:val="21"/>
              </w:rPr>
              <w:t>Th</w:t>
            </w:r>
            <w:r>
              <w:rPr>
                <w:spacing w:val="-4"/>
                <w:sz w:val="21"/>
              </w:rPr>
              <w:t>行政部门认定的医疗机构、公安部门或者其他有权机构出具</w:t>
            </w:r>
            <w:r>
              <w:rPr>
                <w:spacing w:val="-3"/>
                <w:sz w:val="21"/>
              </w:rPr>
              <w:t>的被保险人的死亡证明；</w:t>
            </w:r>
          </w:p>
          <w:p>
            <w:pPr>
              <w:pStyle w:val="TableParagraph"/>
              <w:numPr>
                <w:ilvl w:val="0"/>
                <w:numId w:val="7"/>
              </w:numPr>
              <w:tabs>
                <w:tab w:pos="736" w:val="left" w:leader="none"/>
              </w:tabs>
              <w:spacing w:line="240" w:lineRule="auto" w:before="85" w:after="0"/>
              <w:ind w:left="735" w:right="0" w:hanging="624"/>
              <w:jc w:val="left"/>
              <w:rPr>
                <w:sz w:val="21"/>
              </w:rPr>
            </w:pPr>
            <w:r>
              <w:rPr>
                <w:spacing w:val="-3"/>
                <w:sz w:val="21"/>
              </w:rPr>
              <w:t>与确认保险事故的性质、原因等有关的其他证明和资料。</w:t>
            </w:r>
          </w:p>
        </w:tc>
      </w:tr>
      <w:tr>
        <w:trPr>
          <w:trHeight w:val="1607" w:hRule="atLeast"/>
        </w:trPr>
        <w:tc>
          <w:tcPr>
            <w:tcW w:w="768" w:type="dxa"/>
          </w:tcPr>
          <w:p>
            <w:pPr>
              <w:pStyle w:val="TableParagraph"/>
              <w:ind w:left="0"/>
              <w:rPr>
                <w:rFonts w:ascii="Times New Roman"/>
                <w:sz w:val="20"/>
              </w:rPr>
            </w:pPr>
          </w:p>
        </w:tc>
        <w:tc>
          <w:tcPr>
            <w:tcW w:w="1839" w:type="dxa"/>
          </w:tcPr>
          <w:p>
            <w:pPr>
              <w:pStyle w:val="TableParagraph"/>
              <w:spacing w:before="42"/>
              <w:ind w:left="248"/>
              <w:rPr>
                <w:rFonts w:ascii="微软雅黑" w:eastAsia="微软雅黑" w:hint="eastAsia"/>
                <w:b/>
                <w:sz w:val="21"/>
              </w:rPr>
            </w:pPr>
            <w:r>
              <w:rPr>
                <w:rFonts w:ascii="微软雅黑" w:eastAsia="微软雅黑" w:hint="eastAsia"/>
                <w:b/>
                <w:sz w:val="21"/>
              </w:rPr>
              <w:t>特别注意事项</w:t>
            </w:r>
          </w:p>
        </w:tc>
        <w:tc>
          <w:tcPr>
            <w:tcW w:w="7542" w:type="dxa"/>
          </w:tcPr>
          <w:p>
            <w:pPr>
              <w:pStyle w:val="TableParagraph"/>
              <w:spacing w:line="280" w:lineRule="auto" w:before="104"/>
              <w:ind w:right="272"/>
              <w:rPr>
                <w:sz w:val="21"/>
              </w:rPr>
            </w:pPr>
            <w:r>
              <w:rPr>
                <w:sz w:val="21"/>
              </w:rPr>
              <w:t>保险金作为被保险人遗产时，继承人还必须提供可证明其合法继承权的相关权利文件。</w:t>
            </w:r>
          </w:p>
          <w:p>
            <w:pPr>
              <w:pStyle w:val="TableParagraph"/>
              <w:spacing w:line="280" w:lineRule="auto" w:before="85"/>
              <w:ind w:right="272"/>
              <w:rPr>
                <w:sz w:val="21"/>
              </w:rPr>
            </w:pPr>
            <w:r>
              <w:rPr>
                <w:sz w:val="21"/>
              </w:rPr>
              <w:t>以上证明和资料不完整的，我们将及时一次性通知申请人补充提供有关的证明和资料。</w:t>
            </w:r>
          </w:p>
        </w:tc>
      </w:tr>
      <w:tr>
        <w:trPr>
          <w:trHeight w:val="3924" w:hRule="atLeast"/>
        </w:trPr>
        <w:tc>
          <w:tcPr>
            <w:tcW w:w="768" w:type="dxa"/>
          </w:tcPr>
          <w:p>
            <w:pPr>
              <w:pStyle w:val="TableParagraph"/>
              <w:spacing w:before="40"/>
              <w:ind w:left="200"/>
              <w:rPr>
                <w:rFonts w:ascii="微软雅黑"/>
                <w:b/>
                <w:sz w:val="21"/>
              </w:rPr>
            </w:pPr>
            <w:r>
              <w:rPr>
                <w:rFonts w:ascii="微软雅黑"/>
                <w:b/>
                <w:sz w:val="21"/>
              </w:rPr>
              <w:t>5.4</w:t>
            </w:r>
          </w:p>
        </w:tc>
        <w:tc>
          <w:tcPr>
            <w:tcW w:w="1839" w:type="dxa"/>
          </w:tcPr>
          <w:p>
            <w:pPr>
              <w:pStyle w:val="TableParagraph"/>
              <w:spacing w:before="40"/>
              <w:ind w:left="248"/>
              <w:rPr>
                <w:rFonts w:ascii="微软雅黑" w:eastAsia="微软雅黑" w:hint="eastAsia"/>
                <w:b/>
                <w:sz w:val="21"/>
              </w:rPr>
            </w:pPr>
            <w:r>
              <w:rPr>
                <w:rFonts w:ascii="微软雅黑" w:eastAsia="微软雅黑" w:hint="eastAsia"/>
                <w:b/>
                <w:sz w:val="21"/>
              </w:rPr>
              <w:t>保险金给付</w:t>
            </w:r>
          </w:p>
        </w:tc>
        <w:tc>
          <w:tcPr>
            <w:tcW w:w="7542" w:type="dxa"/>
          </w:tcPr>
          <w:p>
            <w:pPr>
              <w:pStyle w:val="TableParagraph"/>
              <w:spacing w:before="103"/>
              <w:rPr>
                <w:sz w:val="21"/>
              </w:rPr>
            </w:pPr>
            <w:r>
              <w:rPr>
                <w:sz w:val="21"/>
              </w:rPr>
              <w:t>我们在收到领取保险金申请书及本合同约定的证明和资料后，将在 5 日内作出</w:t>
            </w:r>
          </w:p>
          <w:p>
            <w:pPr>
              <w:pStyle w:val="TableParagraph"/>
              <w:spacing w:before="46"/>
              <w:rPr>
                <w:sz w:val="21"/>
              </w:rPr>
            </w:pPr>
            <w:r>
              <w:rPr>
                <w:sz w:val="21"/>
              </w:rPr>
              <w:t>核定；情形复杂的，在 30 日内作出核定。对属于保险责任的，我们在与受益</w:t>
            </w:r>
          </w:p>
          <w:p>
            <w:pPr>
              <w:pStyle w:val="TableParagraph"/>
              <w:spacing w:before="43"/>
              <w:rPr>
                <w:sz w:val="21"/>
              </w:rPr>
            </w:pPr>
            <w:r>
              <w:rPr>
                <w:sz w:val="21"/>
              </w:rPr>
              <w:t>人达成给付保险金的协议后 10 日内，履行给付保险金义务。</w:t>
            </w:r>
          </w:p>
          <w:p>
            <w:pPr>
              <w:pStyle w:val="TableParagraph"/>
              <w:spacing w:line="280" w:lineRule="auto" w:before="123"/>
              <w:ind w:right="304"/>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right="304"/>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403" w:hRule="atLeast"/>
        </w:trPr>
        <w:tc>
          <w:tcPr>
            <w:tcW w:w="768" w:type="dxa"/>
          </w:tcPr>
          <w:p>
            <w:pPr>
              <w:pStyle w:val="TableParagraph"/>
              <w:spacing w:line="343" w:lineRule="exact" w:before="40"/>
              <w:ind w:left="200"/>
              <w:rPr>
                <w:rFonts w:ascii="微软雅黑"/>
                <w:b/>
                <w:sz w:val="21"/>
              </w:rPr>
            </w:pPr>
            <w:r>
              <w:rPr>
                <w:rFonts w:ascii="微软雅黑"/>
                <w:b/>
                <w:sz w:val="21"/>
              </w:rPr>
              <w:t>5.5</w:t>
            </w:r>
          </w:p>
        </w:tc>
        <w:tc>
          <w:tcPr>
            <w:tcW w:w="1839" w:type="dxa"/>
          </w:tcPr>
          <w:p>
            <w:pPr>
              <w:pStyle w:val="TableParagraph"/>
              <w:spacing w:line="343" w:lineRule="exact" w:before="40"/>
              <w:ind w:left="248"/>
              <w:rPr>
                <w:rFonts w:ascii="微软雅黑" w:eastAsia="微软雅黑" w:hint="eastAsia"/>
                <w:b/>
                <w:sz w:val="21"/>
              </w:rPr>
            </w:pPr>
            <w:r>
              <w:rPr>
                <w:rFonts w:ascii="微软雅黑" w:eastAsia="微软雅黑" w:hint="eastAsia"/>
                <w:b/>
                <w:sz w:val="21"/>
              </w:rPr>
              <w:t>诉讼时效</w:t>
            </w:r>
          </w:p>
        </w:tc>
        <w:tc>
          <w:tcPr>
            <w:tcW w:w="7542" w:type="dxa"/>
          </w:tcPr>
          <w:p>
            <w:pPr>
              <w:pStyle w:val="TableParagraph"/>
              <w:spacing w:before="103"/>
              <w:rPr>
                <w:sz w:val="21"/>
              </w:rPr>
            </w:pPr>
            <w:r>
              <w:rPr>
                <w:sz w:val="21"/>
              </w:rPr>
              <w:t>权利人向我们申请给付保险金的诉讼时效期间为 2 年，自其知道或者应当知道</w:t>
            </w:r>
          </w:p>
        </w:tc>
      </w:tr>
    </w:tbl>
    <w:p>
      <w:pPr>
        <w:spacing w:after="0"/>
        <w:rPr>
          <w:sz w:val="21"/>
        </w:rPr>
        <w:sectPr>
          <w:pgSz w:w="11910" w:h="16840"/>
          <w:pgMar w:top="126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434" w:hRule="atLeast"/>
        </w:trPr>
        <w:tc>
          <w:tcPr>
            <w:tcW w:w="682" w:type="dxa"/>
          </w:tcPr>
          <w:p>
            <w:pPr>
              <w:pStyle w:val="TableParagraph"/>
              <w:ind w:left="0"/>
              <w:rPr>
                <w:rFonts w:ascii="Times New Roman"/>
                <w:sz w:val="20"/>
              </w:rPr>
            </w:pPr>
          </w:p>
        </w:tc>
        <w:tc>
          <w:tcPr>
            <w:tcW w:w="1832" w:type="dxa"/>
          </w:tcPr>
          <w:p>
            <w:pPr>
              <w:pStyle w:val="TableParagraph"/>
              <w:ind w:left="0"/>
              <w:rPr>
                <w:rFonts w:ascii="Times New Roman"/>
                <w:sz w:val="20"/>
              </w:rPr>
            </w:pPr>
          </w:p>
        </w:tc>
        <w:tc>
          <w:tcPr>
            <w:tcW w:w="7577" w:type="dxa"/>
          </w:tcPr>
          <w:p>
            <w:pPr>
              <w:pStyle w:val="TableParagraph"/>
              <w:spacing w:line="215" w:lineRule="exact"/>
              <w:rPr>
                <w:sz w:val="21"/>
              </w:rPr>
            </w:pPr>
            <w:r>
              <w:rPr>
                <w:sz w:val="21"/>
              </w:rPr>
              <w:t>保险事故发Th之日起计算。</w:t>
            </w:r>
          </w:p>
        </w:tc>
      </w:tr>
      <w:tr>
        <w:trPr>
          <w:trHeight w:val="948" w:hRule="atLeast"/>
        </w:trPr>
        <w:tc>
          <w:tcPr>
            <w:tcW w:w="682" w:type="dxa"/>
            <w:tcBorders>
              <w:bottom w:val="single" w:sz="8" w:space="0" w:color="000000"/>
            </w:tcBorders>
          </w:tcPr>
          <w:p>
            <w:pPr>
              <w:pStyle w:val="TableParagraph"/>
              <w:spacing w:before="76"/>
              <w:ind w:left="107"/>
              <w:rPr>
                <w:rFonts w:ascii="微软雅黑"/>
                <w:b/>
                <w:sz w:val="36"/>
              </w:rPr>
            </w:pPr>
            <w:r>
              <w:rPr>
                <w:rFonts w:ascii="微软雅黑"/>
                <w:b/>
                <w:sz w:val="36"/>
              </w:rPr>
              <w:t>6.</w:t>
            </w:r>
          </w:p>
        </w:tc>
        <w:tc>
          <w:tcPr>
            <w:tcW w:w="9409" w:type="dxa"/>
            <w:gridSpan w:val="2"/>
            <w:tcBorders>
              <w:bottom w:val="single" w:sz="8" w:space="0" w:color="000000"/>
            </w:tcBorders>
          </w:tcPr>
          <w:p>
            <w:pPr>
              <w:pStyle w:val="TableParagraph"/>
              <w:spacing w:before="52"/>
              <w:ind w:left="242"/>
              <w:rPr>
                <w:rFonts w:ascii="微软雅黑" w:eastAsia="微软雅黑" w:hint="eastAsia"/>
                <w:b/>
                <w:sz w:val="24"/>
              </w:rPr>
            </w:pPr>
            <w:r>
              <w:rPr>
                <w:rFonts w:ascii="微软雅黑" w:eastAsia="微软雅黑" w:hint="eastAsia"/>
                <w:b/>
                <w:sz w:val="24"/>
              </w:rPr>
              <w:t>如何退保</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270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犹豫期</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38"/>
              <w:jc w:val="both"/>
              <w:rPr>
                <w:sz w:val="21"/>
              </w:rPr>
            </w:pPr>
            <w:r>
              <w:rPr>
                <w:spacing w:val="-4"/>
                <w:sz w:val="21"/>
              </w:rPr>
              <w:t>犹豫期是指自投保人签收本合同起的一段时期，该时期具体在保险单或者保险</w:t>
            </w:r>
            <w:r>
              <w:rPr>
                <w:spacing w:val="-6"/>
                <w:sz w:val="21"/>
              </w:rPr>
              <w:t>凭证上载明。在此期间请投保人认真审视本合同，如果投保人认为本合同与投保人的需求不相符，投保人可以在此期间提出解除本合同，我们将向投保人无</w:t>
            </w:r>
            <w:r>
              <w:rPr>
                <w:spacing w:val="-4"/>
                <w:sz w:val="21"/>
              </w:rPr>
              <w:t>息退还保险费。</w:t>
            </w:r>
          </w:p>
          <w:p>
            <w:pPr>
              <w:pStyle w:val="TableParagraph"/>
              <w:spacing w:line="280" w:lineRule="auto" w:before="85"/>
              <w:ind w:right="340"/>
              <w:jc w:val="both"/>
              <w:rPr>
                <w:sz w:val="21"/>
              </w:rPr>
            </w:pPr>
            <w:r>
              <w:rPr>
                <w:spacing w:val="-5"/>
                <w:sz w:val="21"/>
              </w:rPr>
              <w:t>解除本合同时，投保人须填写解除合同申请书并签章，同时提供经办人的有效</w:t>
            </w:r>
            <w:r>
              <w:rPr>
                <w:spacing w:val="-6"/>
                <w:sz w:val="21"/>
              </w:rPr>
              <w:t>身份证件及投保人所交保险费的发票。自我们收到解除合同申请书时起，本合</w:t>
            </w:r>
            <w:r>
              <w:rPr>
                <w:spacing w:val="-3"/>
                <w:sz w:val="21"/>
              </w:rPr>
              <w:t>同即被解除。对于本合同解除前发</w:t>
            </w:r>
            <w:r>
              <w:rPr>
                <w:sz w:val="21"/>
              </w:rPr>
              <w:t>Th</w:t>
            </w:r>
            <w:r>
              <w:rPr>
                <w:spacing w:val="-3"/>
                <w:sz w:val="21"/>
              </w:rPr>
              <w:t>的保险事故，我们不承担保险责任。</w:t>
            </w:r>
          </w:p>
        </w:tc>
      </w:tr>
      <w:tr>
        <w:trPr>
          <w:trHeight w:val="2354" w:hRule="atLeast"/>
        </w:trPr>
        <w:tc>
          <w:tcPr>
            <w:tcW w:w="682" w:type="dxa"/>
          </w:tcPr>
          <w:p>
            <w:pPr>
              <w:pStyle w:val="TableParagraph"/>
              <w:spacing w:before="38"/>
              <w:ind w:left="107"/>
              <w:rPr>
                <w:rFonts w:ascii="微软雅黑"/>
                <w:b/>
                <w:sz w:val="21"/>
              </w:rPr>
            </w:pPr>
            <w:r>
              <w:rPr>
                <w:rFonts w:ascii="微软雅黑"/>
                <w:b/>
                <w:sz w:val="21"/>
              </w:rPr>
              <w:t>6.2</w:t>
            </w:r>
          </w:p>
        </w:tc>
        <w:tc>
          <w:tcPr>
            <w:tcW w:w="1832" w:type="dxa"/>
          </w:tcPr>
          <w:p>
            <w:pPr>
              <w:pStyle w:val="TableParagraph"/>
              <w:spacing w:line="213" w:lineRule="auto" w:before="78"/>
              <w:ind w:left="242" w:right="109"/>
              <w:rPr>
                <w:rFonts w:ascii="微软雅黑" w:eastAsia="微软雅黑" w:hint="eastAsia"/>
                <w:b/>
                <w:sz w:val="21"/>
              </w:rPr>
            </w:pPr>
            <w:r>
              <w:rPr>
                <w:rFonts w:ascii="微软雅黑" w:eastAsia="微软雅黑" w:hint="eastAsia"/>
                <w:b/>
                <w:sz w:val="21"/>
              </w:rPr>
              <w:t>投保人解除合同的手续及风险</w:t>
            </w:r>
          </w:p>
        </w:tc>
        <w:tc>
          <w:tcPr>
            <w:tcW w:w="7577" w:type="dxa"/>
          </w:tcPr>
          <w:p>
            <w:pPr>
              <w:pStyle w:val="TableParagraph"/>
              <w:spacing w:line="280" w:lineRule="auto" w:before="101"/>
              <w:ind w:right="340"/>
              <w:jc w:val="both"/>
              <w:rPr>
                <w:sz w:val="21"/>
              </w:rPr>
            </w:pPr>
            <w:r>
              <w:rPr>
                <w:spacing w:val="-5"/>
                <w:sz w:val="21"/>
              </w:rPr>
              <w:t>如果投保人在犹豫期后要求解除本合同，请填写解除合同申请书并签章，并向</w:t>
            </w:r>
            <w:r>
              <w:rPr>
                <w:spacing w:val="-4"/>
                <w:sz w:val="21"/>
              </w:rPr>
              <w:t>我们提供经办人的有效身份证件。</w:t>
            </w:r>
          </w:p>
          <w:p>
            <w:pPr>
              <w:pStyle w:val="TableParagraph"/>
              <w:spacing w:line="280" w:lineRule="auto" w:before="85"/>
              <w:ind w:right="337"/>
              <w:jc w:val="both"/>
              <w:rPr>
                <w:sz w:val="21"/>
              </w:rPr>
            </w:pPr>
            <w:r>
              <w:rPr>
                <w:spacing w:val="-6"/>
                <w:sz w:val="21"/>
              </w:rPr>
              <w:t>自我们收到解除合同申请书时起，本合同终止。除另有约定外，我们自收到解</w:t>
            </w:r>
            <w:r>
              <w:rPr>
                <w:spacing w:val="-4"/>
                <w:sz w:val="21"/>
              </w:rPr>
              <w:t>除合同申请书之日起 </w:t>
            </w:r>
            <w:r>
              <w:rPr>
                <w:sz w:val="21"/>
              </w:rPr>
              <w:t>30</w:t>
            </w:r>
            <w:r>
              <w:rPr>
                <w:spacing w:val="-3"/>
                <w:sz w:val="21"/>
              </w:rPr>
              <w:t> 日内按本合同约定向投保人退还本合同终止时的现金价值。</w:t>
            </w:r>
          </w:p>
          <w:p>
            <w:pPr>
              <w:pStyle w:val="TableParagraph"/>
              <w:spacing w:before="85"/>
              <w:jc w:val="both"/>
              <w:rPr>
                <w:sz w:val="21"/>
              </w:rPr>
            </w:pPr>
            <w:r>
              <w:rPr>
                <w:sz w:val="21"/>
              </w:rPr>
              <w:t>投保人在犹豫期后解除合同会遭受一定损失。</w:t>
            </w:r>
          </w:p>
        </w:tc>
      </w:tr>
      <w:tr>
        <w:trPr>
          <w:trHeight w:val="946" w:hRule="atLeast"/>
        </w:trPr>
        <w:tc>
          <w:tcPr>
            <w:tcW w:w="682" w:type="dxa"/>
            <w:tcBorders>
              <w:bottom w:val="single" w:sz="8" w:space="0" w:color="000000"/>
            </w:tcBorders>
          </w:tcPr>
          <w:p>
            <w:pPr>
              <w:pStyle w:val="TableParagraph"/>
              <w:spacing w:before="74"/>
              <w:ind w:left="107"/>
              <w:rPr>
                <w:rFonts w:ascii="微软雅黑"/>
                <w:b/>
                <w:sz w:val="36"/>
              </w:rPr>
            </w:pPr>
            <w:r>
              <w:rPr>
                <w:rFonts w:ascii="微软雅黑"/>
                <w:b/>
                <w:sz w:val="36"/>
              </w:rPr>
              <w:t>7.</w:t>
            </w:r>
          </w:p>
        </w:tc>
        <w:tc>
          <w:tcPr>
            <w:tcW w:w="9409" w:type="dxa"/>
            <w:gridSpan w:val="2"/>
            <w:tcBorders>
              <w:bottom w:val="single" w:sz="8" w:space="0" w:color="000000"/>
            </w:tcBorders>
          </w:tcPr>
          <w:p>
            <w:pPr>
              <w:pStyle w:val="TableParagraph"/>
              <w:spacing w:before="50"/>
              <w:ind w:left="242"/>
              <w:rPr>
                <w:rFonts w:ascii="微软雅黑" w:eastAsia="微软雅黑" w:hint="eastAsia"/>
                <w:b/>
                <w:sz w:val="24"/>
              </w:rPr>
            </w:pPr>
            <w:r>
              <w:rPr>
                <w:rFonts w:ascii="微软雅黑" w:eastAsia="微软雅黑" w:hint="eastAsia"/>
                <w:b/>
                <w:sz w:val="24"/>
              </w:rPr>
              <w:t>其他权益</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209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减保</w:t>
            </w:r>
          </w:p>
        </w:tc>
        <w:tc>
          <w:tcPr>
            <w:tcW w:w="7577" w:type="dxa"/>
            <w:tcBorders>
              <w:top w:val="single" w:sz="8" w:space="0" w:color="000000"/>
            </w:tcBorders>
          </w:tcPr>
          <w:p>
            <w:pPr>
              <w:pStyle w:val="TableParagraph"/>
              <w:spacing w:before="4"/>
              <w:ind w:left="0"/>
              <w:rPr>
                <w:sz w:val="19"/>
              </w:rPr>
            </w:pPr>
          </w:p>
          <w:p>
            <w:pPr>
              <w:pStyle w:val="TableParagraph"/>
              <w:spacing w:line="228" w:lineRule="auto"/>
              <w:ind w:right="310"/>
              <w:rPr>
                <w:rFonts w:ascii="微软雅黑" w:eastAsia="微软雅黑" w:hint="eastAsia"/>
                <w:b/>
                <w:sz w:val="21"/>
              </w:rPr>
            </w:pPr>
            <w:r>
              <w:rPr>
                <w:sz w:val="21"/>
              </w:rPr>
              <w:t>如果被保险人未发Th保险事故，投保人在犹豫期后可以申请减保，将基本保险金额和保险费按比例减少，并领取</w:t>
            </w:r>
            <w:r>
              <w:rPr>
                <w:rFonts w:ascii="微软雅黑" w:eastAsia="微软雅黑" w:hint="eastAsia"/>
                <w:b/>
                <w:sz w:val="21"/>
              </w:rPr>
              <w:t>与基本保险金额减少部分相对应的现金价值</w:t>
            </w:r>
          </w:p>
          <w:p>
            <w:pPr>
              <w:pStyle w:val="TableParagraph"/>
              <w:spacing w:before="18"/>
              <w:rPr>
                <w:sz w:val="21"/>
              </w:rPr>
            </w:pPr>
            <w:r>
              <w:rPr>
                <w:w w:val="100"/>
                <w:sz w:val="21"/>
              </w:rPr>
              <w:t>（见</w:t>
            </w:r>
            <w:r>
              <w:rPr>
                <w:spacing w:val="-54"/>
                <w:sz w:val="21"/>
              </w:rPr>
              <w:t> </w:t>
            </w:r>
            <w:r>
              <w:rPr>
                <w:w w:val="97"/>
                <w:sz w:val="21"/>
              </w:rPr>
              <w:t>1</w:t>
            </w:r>
            <w:r>
              <w:rPr>
                <w:w w:val="122"/>
                <w:sz w:val="21"/>
              </w:rPr>
              <w:t>0</w:t>
            </w:r>
            <w:r>
              <w:rPr>
                <w:spacing w:val="-4"/>
                <w:w w:val="58"/>
                <w:sz w:val="21"/>
              </w:rPr>
              <w:t>.</w:t>
            </w:r>
            <w:r>
              <w:rPr>
                <w:w w:val="97"/>
                <w:sz w:val="21"/>
              </w:rPr>
              <w:t>1</w:t>
            </w:r>
            <w:r>
              <w:rPr>
                <w:spacing w:val="-2"/>
                <w:w w:val="124"/>
                <w:sz w:val="21"/>
              </w:rPr>
              <w:t>8</w:t>
            </w:r>
            <w:r>
              <w:rPr>
                <w:spacing w:val="-106"/>
                <w:w w:val="100"/>
                <w:sz w:val="21"/>
              </w:rPr>
              <w:t>）</w:t>
            </w:r>
            <w:r>
              <w:rPr>
                <w:spacing w:val="-3"/>
                <w:w w:val="100"/>
                <w:sz w:val="21"/>
              </w:rPr>
              <w:t>。减保后，基本保险金额和保险费需符合我们的规定。</w:t>
            </w:r>
          </w:p>
          <w:p>
            <w:pPr>
              <w:pStyle w:val="TableParagraph"/>
              <w:spacing w:line="278" w:lineRule="auto" w:before="123"/>
              <w:ind w:right="346"/>
              <w:rPr>
                <w:sz w:val="21"/>
              </w:rPr>
            </w:pPr>
            <w:r>
              <w:rPr>
                <w:sz w:val="21"/>
              </w:rPr>
              <w:t>本合同第 1.3 条约定的保险责任根据减保后的基本保险金额和保险费进行计算。</w:t>
            </w:r>
          </w:p>
        </w:tc>
      </w:tr>
      <w:tr>
        <w:trPr>
          <w:trHeight w:val="946" w:hRule="atLeast"/>
        </w:trPr>
        <w:tc>
          <w:tcPr>
            <w:tcW w:w="682" w:type="dxa"/>
            <w:tcBorders>
              <w:bottom w:val="single" w:sz="8" w:space="0" w:color="000000"/>
            </w:tcBorders>
          </w:tcPr>
          <w:p>
            <w:pPr>
              <w:pStyle w:val="TableParagraph"/>
              <w:spacing w:before="74"/>
              <w:ind w:left="107"/>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before="50"/>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34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40"/>
              <w:jc w:val="both"/>
              <w:rPr>
                <w:sz w:val="21"/>
              </w:rPr>
            </w:pPr>
            <w:r>
              <w:rPr>
                <w:spacing w:val="-6"/>
                <w:sz w:val="21"/>
              </w:rPr>
              <w:t>本合同包括本保险条款、保险单或者保险凭证、投保单、被保险人名册、与本合同有关的投保文件、合法有效的声明、批单及其他投保人与我们共同认可的</w:t>
            </w:r>
            <w:r>
              <w:rPr>
                <w:spacing w:val="-4"/>
                <w:sz w:val="21"/>
              </w:rPr>
              <w:t>书面协议。</w:t>
            </w:r>
          </w:p>
        </w:tc>
      </w:tr>
      <w:tr>
        <w:trPr>
          <w:trHeight w:val="2246" w:hRule="atLeast"/>
        </w:trPr>
        <w:tc>
          <w:tcPr>
            <w:tcW w:w="682" w:type="dxa"/>
          </w:tcPr>
          <w:p>
            <w:pPr>
              <w:pStyle w:val="TableParagraph"/>
              <w:spacing w:before="41"/>
              <w:ind w:left="107"/>
              <w:rPr>
                <w:rFonts w:ascii="微软雅黑"/>
                <w:b/>
                <w:sz w:val="21"/>
              </w:rPr>
            </w:pPr>
            <w:r>
              <w:rPr>
                <w:rFonts w:ascii="微软雅黑"/>
                <w:b/>
                <w:sz w:val="21"/>
              </w:rPr>
              <w:t>8.2</w:t>
            </w:r>
          </w:p>
        </w:tc>
        <w:tc>
          <w:tcPr>
            <w:tcW w:w="1832" w:type="dxa"/>
          </w:tcPr>
          <w:p>
            <w:pPr>
              <w:pStyle w:val="TableParagraph"/>
              <w:spacing w:before="41"/>
              <w:ind w:left="242"/>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line="280" w:lineRule="auto" w:before="103"/>
              <w:ind w:right="317"/>
              <w:rPr>
                <w:sz w:val="21"/>
              </w:rPr>
            </w:pPr>
            <w:r>
              <w:rPr>
                <w:sz w:val="21"/>
              </w:rPr>
              <w:t>投保人提出保险申请且我们同意承保，本合同成立。本合同的成立日、Th效日以保险单记载的日期为准。本合同Th效，我们开始承担保险责任。除另有约定</w:t>
            </w:r>
          </w:p>
          <w:p>
            <w:pPr>
              <w:pStyle w:val="TableParagraph"/>
              <w:spacing w:line="320" w:lineRule="exact"/>
              <w:ind w:right="338"/>
              <w:rPr>
                <w:sz w:val="21"/>
              </w:rPr>
            </w:pPr>
            <w:r>
              <w:rPr>
                <w:spacing w:val="-13"/>
                <w:w w:val="100"/>
                <w:sz w:val="21"/>
              </w:rPr>
              <w:t>外，</w:t>
            </w:r>
            <w:r>
              <w:rPr>
                <w:rFonts w:ascii="微软雅黑" w:eastAsia="微软雅黑" w:hint="eastAsia"/>
                <w:b/>
                <w:spacing w:val="-6"/>
                <w:w w:val="100"/>
                <w:sz w:val="21"/>
              </w:rPr>
              <w:t>保单年度</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9</w:t>
            </w:r>
            <w:r>
              <w:rPr>
                <w:spacing w:val="-108"/>
                <w:w w:val="100"/>
                <w:sz w:val="21"/>
              </w:rPr>
              <w:t>）</w:t>
            </w:r>
            <w:r>
              <w:rPr>
                <w:spacing w:val="-6"/>
                <w:w w:val="100"/>
                <w:sz w:val="21"/>
              </w:rPr>
              <w:t>、保险费约定交纳日均依据本合同的</w:t>
            </w:r>
            <w:r>
              <w:rPr>
                <w:w w:val="100"/>
                <w:sz w:val="21"/>
              </w:rPr>
              <w:t>Th</w:t>
            </w:r>
            <w:r>
              <w:rPr>
                <w:spacing w:val="-3"/>
                <w:w w:val="100"/>
                <w:sz w:val="21"/>
              </w:rPr>
              <w:t>效日为基础进</w:t>
            </w:r>
            <w:r>
              <w:rPr>
                <w:spacing w:val="-3"/>
                <w:sz w:val="21"/>
              </w:rPr>
              <w:t>行计算。</w:t>
            </w:r>
          </w:p>
          <w:p>
            <w:pPr>
              <w:pStyle w:val="TableParagraph"/>
              <w:spacing w:line="280" w:lineRule="auto" w:before="86"/>
              <w:ind w:right="291"/>
              <w:rPr>
                <w:sz w:val="21"/>
              </w:rPr>
            </w:pPr>
            <w:r>
              <w:rPr>
                <w:sz w:val="21"/>
              </w:rPr>
              <w:t>本合同Th效日在每年的对应日为年Th效对应日，在每月的对应日为月Th效对应日。如果当月无对应的同一日，则以该月最后一日为对应日。</w:t>
            </w:r>
          </w:p>
        </w:tc>
      </w:tr>
      <w:tr>
        <w:trPr>
          <w:trHeight w:val="403" w:hRule="atLeast"/>
        </w:trPr>
        <w:tc>
          <w:tcPr>
            <w:tcW w:w="682" w:type="dxa"/>
          </w:tcPr>
          <w:p>
            <w:pPr>
              <w:pStyle w:val="TableParagraph"/>
              <w:spacing w:line="343" w:lineRule="exact" w:before="40"/>
              <w:ind w:left="107"/>
              <w:rPr>
                <w:rFonts w:ascii="微软雅黑"/>
                <w:b/>
                <w:sz w:val="21"/>
              </w:rPr>
            </w:pPr>
            <w:r>
              <w:rPr>
                <w:rFonts w:ascii="微软雅黑"/>
                <w:b/>
                <w:sz w:val="21"/>
              </w:rPr>
              <w:t>8.3</w:t>
            </w:r>
          </w:p>
        </w:tc>
        <w:tc>
          <w:tcPr>
            <w:tcW w:w="1832" w:type="dxa"/>
          </w:tcPr>
          <w:p>
            <w:pPr>
              <w:pStyle w:val="TableParagraph"/>
              <w:spacing w:line="343" w:lineRule="exact" w:before="40"/>
              <w:ind w:left="242"/>
              <w:rPr>
                <w:rFonts w:ascii="微软雅黑" w:eastAsia="微软雅黑" w:hint="eastAsia"/>
                <w:b/>
                <w:sz w:val="21"/>
              </w:rPr>
            </w:pPr>
            <w:r>
              <w:rPr>
                <w:rFonts w:ascii="微软雅黑" w:eastAsia="微软雅黑" w:hint="eastAsia"/>
                <w:b/>
                <w:sz w:val="21"/>
              </w:rPr>
              <w:t>投保范围</w:t>
            </w:r>
          </w:p>
        </w:tc>
        <w:tc>
          <w:tcPr>
            <w:tcW w:w="7577" w:type="dxa"/>
          </w:tcPr>
          <w:p>
            <w:pPr>
              <w:pStyle w:val="TableParagraph"/>
              <w:spacing w:line="343" w:lineRule="exact" w:before="40"/>
              <w:rPr>
                <w:sz w:val="21"/>
              </w:rPr>
            </w:pPr>
            <w:r>
              <w:rPr>
                <w:spacing w:val="-2"/>
                <w:w w:val="100"/>
                <w:sz w:val="21"/>
              </w:rPr>
              <w:t>投保人可将</w:t>
            </w:r>
            <w:r>
              <w:rPr>
                <w:rFonts w:ascii="微软雅黑" w:eastAsia="微软雅黑" w:hint="eastAsia"/>
                <w:b/>
                <w:w w:val="100"/>
                <w:sz w:val="21"/>
              </w:rPr>
              <w:t>团体</w:t>
            </w:r>
            <w:r>
              <w:rPr>
                <w:spacing w:val="-3"/>
                <w:w w:val="100"/>
                <w:sz w:val="21"/>
              </w:rPr>
              <w:t>（</w:t>
            </w:r>
            <w:r>
              <w:rPr>
                <w:w w:val="100"/>
                <w:sz w:val="21"/>
              </w:rPr>
              <w:t>见</w:t>
            </w:r>
            <w:r>
              <w:rPr>
                <w:spacing w:val="-43"/>
                <w:sz w:val="21"/>
              </w:rPr>
              <w:t> </w:t>
            </w:r>
            <w:r>
              <w:rPr>
                <w:spacing w:val="-2"/>
                <w:w w:val="97"/>
                <w:sz w:val="21"/>
              </w:rPr>
              <w:t>1</w:t>
            </w:r>
            <w:r>
              <w:rPr>
                <w:w w:val="122"/>
                <w:sz w:val="21"/>
              </w:rPr>
              <w:t>0</w:t>
            </w:r>
            <w:r>
              <w:rPr>
                <w:spacing w:val="-2"/>
                <w:w w:val="58"/>
                <w:sz w:val="21"/>
              </w:rPr>
              <w:t>.</w:t>
            </w:r>
            <w:r>
              <w:rPr>
                <w:spacing w:val="-3"/>
                <w:w w:val="121"/>
                <w:sz w:val="21"/>
              </w:rPr>
              <w:t>2</w:t>
            </w:r>
            <w:r>
              <w:rPr>
                <w:spacing w:val="0"/>
                <w:w w:val="122"/>
                <w:sz w:val="21"/>
              </w:rPr>
              <w:t>0</w:t>
            </w:r>
            <w:r>
              <w:rPr>
                <w:spacing w:val="-3"/>
                <w:w w:val="100"/>
                <w:sz w:val="21"/>
              </w:rPr>
              <w:t>）成员作为被保险人向我们投保本合同，团体成员</w:t>
            </w:r>
          </w:p>
        </w:tc>
      </w:tr>
    </w:tbl>
    <w:p>
      <w:pPr>
        <w:spacing w:after="0" w:line="343" w:lineRule="exact"/>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837"/>
        <w:gridCol w:w="7540"/>
      </w:tblGrid>
      <w:tr>
        <w:trPr>
          <w:trHeight w:val="725" w:hRule="atLeast"/>
        </w:trPr>
        <w:tc>
          <w:tcPr>
            <w:tcW w:w="770" w:type="dxa"/>
          </w:tcPr>
          <w:p>
            <w:pPr>
              <w:pStyle w:val="TableParagraph"/>
              <w:ind w:left="0"/>
              <w:rPr>
                <w:rFonts w:ascii="Times New Roman"/>
                <w:sz w:val="20"/>
              </w:rPr>
            </w:pPr>
          </w:p>
        </w:tc>
        <w:tc>
          <w:tcPr>
            <w:tcW w:w="1837" w:type="dxa"/>
          </w:tcPr>
          <w:p>
            <w:pPr>
              <w:pStyle w:val="TableParagraph"/>
              <w:ind w:left="0"/>
              <w:rPr>
                <w:rFonts w:ascii="Times New Roman"/>
                <w:sz w:val="20"/>
              </w:rPr>
            </w:pPr>
          </w:p>
        </w:tc>
        <w:tc>
          <w:tcPr>
            <w:tcW w:w="7540" w:type="dxa"/>
          </w:tcPr>
          <w:p>
            <w:pPr>
              <w:pStyle w:val="TableParagraph"/>
              <w:spacing w:line="215" w:lineRule="exact"/>
              <w:rPr>
                <w:sz w:val="21"/>
              </w:rPr>
            </w:pPr>
            <w:r>
              <w:rPr>
                <w:sz w:val="21"/>
              </w:rPr>
              <w:t>的配偶、子女、父母也可以作为被保险人参加本合同。另有约定的按约定内容</w:t>
            </w:r>
          </w:p>
          <w:p>
            <w:pPr>
              <w:pStyle w:val="TableParagraph"/>
              <w:spacing w:before="46"/>
              <w:rPr>
                <w:sz w:val="21"/>
              </w:rPr>
            </w:pPr>
            <w:r>
              <w:rPr>
                <w:sz w:val="21"/>
              </w:rPr>
              <w:t>执行。</w:t>
            </w:r>
          </w:p>
        </w:tc>
      </w:tr>
      <w:tr>
        <w:trPr>
          <w:trHeight w:val="567" w:hRule="atLeast"/>
        </w:trPr>
        <w:tc>
          <w:tcPr>
            <w:tcW w:w="770" w:type="dxa"/>
          </w:tcPr>
          <w:p>
            <w:pPr>
              <w:pStyle w:val="TableParagraph"/>
              <w:spacing w:before="41"/>
              <w:ind w:left="182" w:right="228"/>
              <w:jc w:val="center"/>
              <w:rPr>
                <w:rFonts w:ascii="微软雅黑"/>
                <w:b/>
                <w:sz w:val="21"/>
              </w:rPr>
            </w:pPr>
            <w:r>
              <w:rPr>
                <w:rFonts w:ascii="微软雅黑"/>
                <w:b/>
                <w:sz w:val="21"/>
              </w:rPr>
              <w:t>8.4</w:t>
            </w:r>
          </w:p>
        </w:tc>
        <w:tc>
          <w:tcPr>
            <w:tcW w:w="1837" w:type="dxa"/>
          </w:tcPr>
          <w:p>
            <w:pPr>
              <w:pStyle w:val="TableParagraph"/>
              <w:spacing w:before="41"/>
              <w:ind w:left="246"/>
              <w:rPr>
                <w:rFonts w:ascii="微软雅黑" w:eastAsia="微软雅黑" w:hint="eastAsia"/>
                <w:b/>
                <w:sz w:val="21"/>
              </w:rPr>
            </w:pPr>
            <w:r>
              <w:rPr>
                <w:rFonts w:ascii="微软雅黑" w:eastAsia="微软雅黑" w:hint="eastAsia"/>
                <w:b/>
                <w:sz w:val="21"/>
              </w:rPr>
              <w:t>投保年龄</w:t>
            </w:r>
          </w:p>
        </w:tc>
        <w:tc>
          <w:tcPr>
            <w:tcW w:w="7540" w:type="dxa"/>
          </w:tcPr>
          <w:p>
            <w:pPr>
              <w:pStyle w:val="TableParagraph"/>
              <w:spacing w:before="103"/>
              <w:rPr>
                <w:sz w:val="21"/>
              </w:rPr>
            </w:pPr>
            <w:r>
              <w:rPr>
                <w:sz w:val="21"/>
              </w:rPr>
              <w:t>投保年龄指投保时被保险人的年龄，以周岁计算。</w:t>
            </w:r>
          </w:p>
        </w:tc>
      </w:tr>
      <w:tr>
        <w:trPr>
          <w:trHeight w:val="5759" w:hRule="atLeast"/>
        </w:trPr>
        <w:tc>
          <w:tcPr>
            <w:tcW w:w="770" w:type="dxa"/>
          </w:tcPr>
          <w:p>
            <w:pPr>
              <w:pStyle w:val="TableParagraph"/>
              <w:spacing w:before="42"/>
              <w:ind w:left="181" w:right="228"/>
              <w:jc w:val="center"/>
              <w:rPr>
                <w:rFonts w:ascii="微软雅黑"/>
                <w:b/>
                <w:sz w:val="21"/>
              </w:rPr>
            </w:pPr>
            <w:r>
              <w:rPr>
                <w:rFonts w:ascii="微软雅黑"/>
                <w:b/>
                <w:sz w:val="21"/>
              </w:rPr>
              <w:t>8.5</w:t>
            </w:r>
          </w:p>
        </w:tc>
        <w:tc>
          <w:tcPr>
            <w:tcW w:w="1837" w:type="dxa"/>
          </w:tcPr>
          <w:p>
            <w:pPr>
              <w:pStyle w:val="TableParagraph"/>
              <w:spacing w:line="211" w:lineRule="auto" w:before="85"/>
              <w:ind w:left="246" w:right="110"/>
              <w:rPr>
                <w:rFonts w:ascii="微软雅黑" w:eastAsia="微软雅黑" w:hint="eastAsia"/>
                <w:b/>
                <w:sz w:val="21"/>
              </w:rPr>
            </w:pPr>
            <w:r>
              <w:rPr>
                <w:rFonts w:ascii="微软雅黑" w:eastAsia="微软雅黑" w:hint="eastAsia"/>
                <w:b/>
                <w:sz w:val="21"/>
              </w:rPr>
              <w:t>明确说明与如实告知</w:t>
            </w:r>
          </w:p>
        </w:tc>
        <w:tc>
          <w:tcPr>
            <w:tcW w:w="7540" w:type="dxa"/>
          </w:tcPr>
          <w:p>
            <w:pPr>
              <w:pStyle w:val="TableParagraph"/>
              <w:spacing w:line="278" w:lineRule="auto" w:before="104"/>
              <w:ind w:right="302"/>
              <w:jc w:val="both"/>
              <w:rPr>
                <w:sz w:val="21"/>
              </w:rPr>
            </w:pPr>
            <w:r>
              <w:rPr>
                <w:spacing w:val="-5"/>
                <w:sz w:val="21"/>
              </w:rPr>
              <w:t>订立本合同时，我们应当向投保人说明本合同的内容。对保险条款中免除我们</w:t>
            </w:r>
            <w:r>
              <w:rPr>
                <w:spacing w:val="-7"/>
                <w:sz w:val="21"/>
              </w:rPr>
              <w:t>责任的条款，我们在订立合同时应当在投保单、保险单或者保险凭证上作出足以引起投保人注意的提示，并对该条款的内容以书面或者口头形式向投保人作</w:t>
            </w:r>
            <w:r>
              <w:rPr>
                <w:spacing w:val="-5"/>
                <w:sz w:val="21"/>
              </w:rPr>
              <w:t>出明确说明，未作提示或者明确说明的，该条款不产</w:t>
            </w:r>
            <w:r>
              <w:rPr>
                <w:sz w:val="21"/>
              </w:rPr>
              <w:t>Th</w:t>
            </w:r>
            <w:r>
              <w:rPr>
                <w:spacing w:val="-2"/>
                <w:sz w:val="21"/>
              </w:rPr>
              <w:t>效力。</w:t>
            </w:r>
          </w:p>
          <w:p>
            <w:pPr>
              <w:pStyle w:val="TableParagraph"/>
              <w:spacing w:before="87"/>
              <w:jc w:val="both"/>
              <w:rPr>
                <w:sz w:val="21"/>
              </w:rPr>
            </w:pPr>
            <w:r>
              <w:rPr>
                <w:sz w:val="21"/>
              </w:rPr>
              <w:t>我们会就投保人和被保险人的有关情况提出询问，投保人应当如实告知。</w:t>
            </w:r>
          </w:p>
          <w:p>
            <w:pPr>
              <w:pStyle w:val="TableParagraph"/>
              <w:spacing w:line="280" w:lineRule="auto" w:before="123"/>
              <w:ind w:right="300"/>
              <w:jc w:val="both"/>
              <w:rPr>
                <w:sz w:val="21"/>
              </w:rPr>
            </w:pPr>
            <w:r>
              <w:rPr>
                <w:spacing w:val="-4"/>
                <w:sz w:val="21"/>
              </w:rPr>
              <w:t>如果投保人故意或者因重大过失未履行前款约定的如实告知义务，足以影响我</w:t>
            </w:r>
            <w:r>
              <w:rPr>
                <w:spacing w:val="2"/>
                <w:sz w:val="21"/>
              </w:rPr>
              <w:t>们决定是否同意承保或者提高保险费率的，我们有权解除或者部分解除本合</w:t>
            </w:r>
            <w:r>
              <w:rPr>
                <w:sz w:val="21"/>
              </w:rPr>
              <w:t>同。</w:t>
            </w:r>
          </w:p>
          <w:p>
            <w:pPr>
              <w:pStyle w:val="TableParagraph"/>
              <w:spacing w:line="280" w:lineRule="auto" w:before="87"/>
              <w:ind w:right="302"/>
              <w:jc w:val="both"/>
              <w:rPr>
                <w:sz w:val="21"/>
              </w:rPr>
            </w:pPr>
            <w:r>
              <w:rPr>
                <w:spacing w:val="-5"/>
                <w:sz w:val="21"/>
              </w:rPr>
              <w:t>如果投保人故意不履行如实告知义务，对于本合同解除或者部分解除前发</w:t>
            </w:r>
            <w:r>
              <w:rPr>
                <w:sz w:val="21"/>
              </w:rPr>
              <w:t>Th的</w:t>
            </w:r>
            <w:r>
              <w:rPr>
                <w:spacing w:val="-5"/>
                <w:sz w:val="21"/>
              </w:rPr>
              <w:t>保险事故，我们对所涉及的被保险人不承担给付保险金的责任，并不退还保险费。</w:t>
            </w:r>
          </w:p>
          <w:p>
            <w:pPr>
              <w:pStyle w:val="TableParagraph"/>
              <w:spacing w:line="280" w:lineRule="auto" w:before="85"/>
              <w:ind w:right="300"/>
              <w:jc w:val="both"/>
              <w:rPr>
                <w:sz w:val="21"/>
              </w:rPr>
            </w:pPr>
            <w:r>
              <w:rPr>
                <w:spacing w:val="2"/>
                <w:sz w:val="21"/>
              </w:rPr>
              <w:t>如果投保人因重大过失未履行如实告知义务，对保险事故的发</w:t>
            </w:r>
            <w:r>
              <w:rPr>
                <w:sz w:val="21"/>
              </w:rPr>
              <w:t>Th</w:t>
            </w:r>
            <w:r>
              <w:rPr>
                <w:spacing w:val="2"/>
                <w:sz w:val="21"/>
              </w:rPr>
              <w:t>有严重影响</w:t>
            </w:r>
            <w:r>
              <w:rPr>
                <w:spacing w:val="-4"/>
                <w:sz w:val="21"/>
              </w:rPr>
              <w:t>的，对于本合同解除或者部分解除前发</w:t>
            </w:r>
            <w:r>
              <w:rPr>
                <w:sz w:val="21"/>
              </w:rPr>
              <w:t>Th</w:t>
            </w:r>
            <w:r>
              <w:rPr>
                <w:spacing w:val="-5"/>
                <w:sz w:val="21"/>
              </w:rPr>
              <w:t>的保险事故，我们对所涉及的被保险</w:t>
            </w:r>
            <w:r>
              <w:rPr>
                <w:spacing w:val="-4"/>
                <w:sz w:val="21"/>
              </w:rPr>
              <w:t>人不承担给付保险金的责任，但应当向投保人退还相应的保险费。</w:t>
            </w:r>
          </w:p>
          <w:p>
            <w:pPr>
              <w:pStyle w:val="TableParagraph"/>
              <w:spacing w:line="280" w:lineRule="auto" w:before="88"/>
              <w:ind w:right="281"/>
              <w:jc w:val="both"/>
              <w:rPr>
                <w:sz w:val="21"/>
              </w:rPr>
            </w:pPr>
            <w:r>
              <w:rPr>
                <w:sz w:val="21"/>
              </w:rPr>
              <w:t>我们在合同订立时已经知道投保人未如实告知的情况的，我们不得解除合同； 发Th保险事故的，我们承担给付保险金的责任。</w:t>
            </w:r>
          </w:p>
        </w:tc>
      </w:tr>
      <w:tr>
        <w:trPr>
          <w:trHeight w:val="1207" w:hRule="atLeast"/>
        </w:trPr>
        <w:tc>
          <w:tcPr>
            <w:tcW w:w="770" w:type="dxa"/>
          </w:tcPr>
          <w:p>
            <w:pPr>
              <w:pStyle w:val="TableParagraph"/>
              <w:spacing w:before="40"/>
              <w:ind w:left="182" w:right="228"/>
              <w:jc w:val="center"/>
              <w:rPr>
                <w:rFonts w:ascii="微软雅黑"/>
                <w:b/>
                <w:sz w:val="21"/>
              </w:rPr>
            </w:pPr>
            <w:r>
              <w:rPr>
                <w:rFonts w:ascii="微软雅黑"/>
                <w:b/>
                <w:sz w:val="21"/>
              </w:rPr>
              <w:t>8.6</w:t>
            </w:r>
          </w:p>
        </w:tc>
        <w:tc>
          <w:tcPr>
            <w:tcW w:w="1837" w:type="dxa"/>
          </w:tcPr>
          <w:p>
            <w:pPr>
              <w:pStyle w:val="TableParagraph"/>
              <w:spacing w:line="213" w:lineRule="auto" w:before="80"/>
              <w:ind w:left="246" w:right="110"/>
              <w:rPr>
                <w:rFonts w:ascii="微软雅黑" w:eastAsia="微软雅黑" w:hint="eastAsia"/>
                <w:b/>
                <w:sz w:val="21"/>
              </w:rPr>
            </w:pPr>
            <w:r>
              <w:rPr>
                <w:rFonts w:ascii="微软雅黑" w:eastAsia="微软雅黑" w:hint="eastAsia"/>
                <w:b/>
                <w:sz w:val="21"/>
              </w:rPr>
              <w:t>我们合同解除权的限制</w:t>
            </w:r>
          </w:p>
        </w:tc>
        <w:tc>
          <w:tcPr>
            <w:tcW w:w="7540" w:type="dxa"/>
          </w:tcPr>
          <w:p>
            <w:pPr>
              <w:pStyle w:val="TableParagraph"/>
              <w:spacing w:before="103"/>
              <w:rPr>
                <w:sz w:val="21"/>
              </w:rPr>
            </w:pPr>
            <w:r>
              <w:rPr>
                <w:sz w:val="21"/>
              </w:rPr>
              <w:t>前款约定的合同解除权，自我们知道有解除事由之日起，超过 30 日不行使而</w:t>
            </w:r>
          </w:p>
          <w:p>
            <w:pPr>
              <w:pStyle w:val="TableParagraph"/>
              <w:spacing w:line="278" w:lineRule="auto" w:before="46"/>
              <w:ind w:right="198"/>
              <w:rPr>
                <w:sz w:val="21"/>
              </w:rPr>
            </w:pPr>
            <w:r>
              <w:rPr>
                <w:spacing w:val="-10"/>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926" w:hRule="atLeast"/>
        </w:trPr>
        <w:tc>
          <w:tcPr>
            <w:tcW w:w="770" w:type="dxa"/>
          </w:tcPr>
          <w:p>
            <w:pPr>
              <w:pStyle w:val="TableParagraph"/>
              <w:spacing w:before="41"/>
              <w:ind w:left="181" w:right="228"/>
              <w:jc w:val="center"/>
              <w:rPr>
                <w:rFonts w:ascii="微软雅黑"/>
                <w:b/>
                <w:sz w:val="21"/>
              </w:rPr>
            </w:pPr>
            <w:r>
              <w:rPr>
                <w:rFonts w:ascii="微软雅黑"/>
                <w:b/>
                <w:sz w:val="21"/>
              </w:rPr>
              <w:t>8.7</w:t>
            </w:r>
          </w:p>
        </w:tc>
        <w:tc>
          <w:tcPr>
            <w:tcW w:w="1837" w:type="dxa"/>
          </w:tcPr>
          <w:p>
            <w:pPr>
              <w:pStyle w:val="TableParagraph"/>
              <w:spacing w:before="41"/>
              <w:ind w:left="246"/>
              <w:rPr>
                <w:rFonts w:ascii="微软雅黑" w:eastAsia="微软雅黑" w:hint="eastAsia"/>
                <w:b/>
                <w:sz w:val="21"/>
              </w:rPr>
            </w:pPr>
            <w:r>
              <w:rPr>
                <w:rFonts w:ascii="微软雅黑" w:eastAsia="微软雅黑" w:hint="eastAsia"/>
                <w:b/>
                <w:sz w:val="21"/>
              </w:rPr>
              <w:t>年龄性别错误</w:t>
            </w:r>
          </w:p>
        </w:tc>
        <w:tc>
          <w:tcPr>
            <w:tcW w:w="7540" w:type="dxa"/>
          </w:tcPr>
          <w:p>
            <w:pPr>
              <w:pStyle w:val="TableParagraph"/>
              <w:spacing w:line="280" w:lineRule="auto" w:before="103"/>
              <w:ind w:right="262"/>
              <w:rPr>
                <w:sz w:val="21"/>
              </w:rPr>
            </w:pPr>
            <w:r>
              <w:rPr>
                <w:sz w:val="21"/>
              </w:rPr>
              <w:t>投保人在申请投保时，应将与有效身份证件相符的被保险人的出Th日期和性别在投保单上填明，如果发Th错误按照下列方式办理：</w:t>
            </w:r>
          </w:p>
          <w:p>
            <w:pPr>
              <w:pStyle w:val="TableParagraph"/>
              <w:numPr>
                <w:ilvl w:val="0"/>
                <w:numId w:val="8"/>
              </w:numPr>
              <w:tabs>
                <w:tab w:pos="736" w:val="left" w:leader="none"/>
              </w:tabs>
              <w:spacing w:line="280" w:lineRule="auto" w:before="85" w:after="0"/>
              <w:ind w:left="735" w:right="285" w:hanging="624"/>
              <w:jc w:val="both"/>
              <w:rPr>
                <w:sz w:val="21"/>
              </w:rPr>
            </w:pPr>
            <w:r>
              <w:rPr>
                <w:spacing w:val="-4"/>
                <w:sz w:val="21"/>
              </w:rPr>
              <w:t>投保人申报的被保险人年龄不真实，并且其真实年龄不符合我们规定的</w:t>
            </w:r>
            <w:r>
              <w:rPr>
                <w:spacing w:val="-5"/>
                <w:sz w:val="21"/>
              </w:rPr>
              <w:t>投保年龄限制的，我们有权终止对该被保险人的保险责任，但向投保人退还保险责任终止时该被保险人对应的本合同的现金价值，对于该被保</w:t>
            </w:r>
            <w:r>
              <w:rPr>
                <w:spacing w:val="2"/>
                <w:sz w:val="21"/>
              </w:rPr>
              <w:t>险人在保险责任终止前发</w:t>
            </w:r>
            <w:r>
              <w:rPr>
                <w:spacing w:val="1"/>
                <w:sz w:val="21"/>
              </w:rPr>
              <w:t>Th的保险事故，我们不承担给付保险金的责</w:t>
            </w:r>
            <w:r>
              <w:rPr>
                <w:spacing w:val="-3"/>
                <w:sz w:val="21"/>
              </w:rPr>
              <w:t>任。对前述被保险人的保险责任终止权适用“我们合同解除权的限制” 的约定；</w:t>
            </w:r>
          </w:p>
          <w:p>
            <w:pPr>
              <w:pStyle w:val="TableParagraph"/>
              <w:numPr>
                <w:ilvl w:val="0"/>
                <w:numId w:val="8"/>
              </w:numPr>
              <w:tabs>
                <w:tab w:pos="736" w:val="left" w:leader="none"/>
              </w:tabs>
              <w:spacing w:line="280" w:lineRule="auto" w:before="87" w:after="0"/>
              <w:ind w:left="735" w:right="299" w:hanging="624"/>
              <w:jc w:val="both"/>
              <w:rPr>
                <w:sz w:val="21"/>
              </w:rPr>
            </w:pPr>
            <w:r>
              <w:rPr>
                <w:spacing w:val="-4"/>
                <w:sz w:val="21"/>
              </w:rPr>
              <w:t>投保人申报的被保险人年龄或者性别不真实，致使投保人实交保险费不</w:t>
            </w:r>
            <w:r>
              <w:rPr>
                <w:spacing w:val="-5"/>
                <w:sz w:val="21"/>
              </w:rPr>
              <w:t>同于应交保险费的，我们将按照实交保险费和应交保险费的比例调整该</w:t>
            </w:r>
            <w:r>
              <w:rPr>
                <w:spacing w:val="-4"/>
                <w:sz w:val="21"/>
              </w:rPr>
              <w:t>被保险人对应的基本保险金额，另有约定的除外。</w:t>
            </w:r>
          </w:p>
        </w:tc>
      </w:tr>
      <w:tr>
        <w:trPr>
          <w:trHeight w:val="2158" w:hRule="atLeast"/>
        </w:trPr>
        <w:tc>
          <w:tcPr>
            <w:tcW w:w="770" w:type="dxa"/>
          </w:tcPr>
          <w:p>
            <w:pPr>
              <w:pStyle w:val="TableParagraph"/>
              <w:spacing w:before="39"/>
              <w:ind w:left="182" w:right="227"/>
              <w:jc w:val="center"/>
              <w:rPr>
                <w:rFonts w:ascii="微软雅黑"/>
                <w:b/>
                <w:sz w:val="21"/>
              </w:rPr>
            </w:pPr>
            <w:r>
              <w:rPr>
                <w:rFonts w:ascii="微软雅黑"/>
                <w:b/>
                <w:sz w:val="21"/>
              </w:rPr>
              <w:t>8.8</w:t>
            </w:r>
          </w:p>
        </w:tc>
        <w:tc>
          <w:tcPr>
            <w:tcW w:w="1837" w:type="dxa"/>
          </w:tcPr>
          <w:p>
            <w:pPr>
              <w:pStyle w:val="TableParagraph"/>
              <w:spacing w:before="39"/>
              <w:ind w:left="246"/>
              <w:rPr>
                <w:rFonts w:ascii="微软雅黑" w:eastAsia="微软雅黑" w:hint="eastAsia"/>
                <w:b/>
                <w:sz w:val="21"/>
              </w:rPr>
            </w:pPr>
            <w:r>
              <w:rPr>
                <w:rFonts w:ascii="微软雅黑" w:eastAsia="微软雅黑" w:hint="eastAsia"/>
                <w:b/>
                <w:sz w:val="21"/>
              </w:rPr>
              <w:t>被保险人变动</w:t>
            </w:r>
          </w:p>
        </w:tc>
        <w:tc>
          <w:tcPr>
            <w:tcW w:w="7540" w:type="dxa"/>
          </w:tcPr>
          <w:p>
            <w:pPr>
              <w:pStyle w:val="TableParagraph"/>
              <w:spacing w:line="280" w:lineRule="auto" w:before="101"/>
              <w:ind w:right="302"/>
              <w:jc w:val="both"/>
              <w:rPr>
                <w:sz w:val="21"/>
              </w:rPr>
            </w:pPr>
            <w:r>
              <w:rPr>
                <w:spacing w:val="-5"/>
                <w:sz w:val="21"/>
              </w:rPr>
              <w:t>投保人因团体成员变动需要增加被保险人的，应书面通知我们。我们审核同意</w:t>
            </w:r>
            <w:r>
              <w:rPr>
                <w:spacing w:val="-6"/>
                <w:sz w:val="21"/>
              </w:rPr>
              <w:t>后将收取相应的保险费。我们将自约定的新增加被保险人保险责任开始日零时</w:t>
            </w:r>
            <w:r>
              <w:rPr>
                <w:spacing w:val="-4"/>
                <w:sz w:val="21"/>
              </w:rPr>
              <w:t>起对该新增加的被保险人承担保险责任。</w:t>
            </w:r>
          </w:p>
          <w:p>
            <w:pPr>
              <w:pStyle w:val="TableParagraph"/>
              <w:spacing w:line="278" w:lineRule="auto" w:before="87"/>
              <w:ind w:right="302"/>
              <w:jc w:val="both"/>
              <w:rPr>
                <w:sz w:val="21"/>
              </w:rPr>
            </w:pPr>
            <w:r>
              <w:rPr>
                <w:spacing w:val="-5"/>
                <w:sz w:val="21"/>
              </w:rPr>
              <w:t>投保人需要减少被保险人的，应书面通知我们，我们对减少的被保险人分别按</w:t>
            </w:r>
            <w:r>
              <w:rPr>
                <w:spacing w:val="-4"/>
                <w:sz w:val="21"/>
              </w:rPr>
              <w:t>以下方式进行处理：</w:t>
            </w:r>
          </w:p>
          <w:p>
            <w:pPr>
              <w:pStyle w:val="TableParagraph"/>
              <w:spacing w:before="89"/>
              <w:jc w:val="both"/>
              <w:rPr>
                <w:sz w:val="21"/>
              </w:rPr>
            </w:pPr>
            <w:r>
              <w:rPr>
                <w:sz w:val="21"/>
              </w:rPr>
              <w:t>（1） 如果投保人向我们申请依本合同的约定对减少的被保险人继续承担保险</w:t>
            </w:r>
          </w:p>
        </w:tc>
      </w:tr>
    </w:tbl>
    <w:p>
      <w:pPr>
        <w:spacing w:after="0"/>
        <w:jc w:val="both"/>
        <w:rPr>
          <w:sz w:val="21"/>
        </w:rPr>
        <w:sectPr>
          <w:pgSz w:w="11910" w:h="16840"/>
          <w:pgMar w:top="118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664"/>
        <w:gridCol w:w="7683"/>
      </w:tblGrid>
      <w:tr>
        <w:trPr>
          <w:trHeight w:val="2403" w:hRule="atLeast"/>
        </w:trPr>
        <w:tc>
          <w:tcPr>
            <w:tcW w:w="745" w:type="dxa"/>
          </w:tcPr>
          <w:p>
            <w:pPr>
              <w:pStyle w:val="TableParagraph"/>
              <w:ind w:left="0"/>
              <w:rPr>
                <w:rFonts w:ascii="Times New Roman"/>
                <w:sz w:val="20"/>
              </w:rPr>
            </w:pPr>
          </w:p>
        </w:tc>
        <w:tc>
          <w:tcPr>
            <w:tcW w:w="1664" w:type="dxa"/>
          </w:tcPr>
          <w:p>
            <w:pPr>
              <w:pStyle w:val="TableParagraph"/>
              <w:ind w:left="0"/>
              <w:rPr>
                <w:rFonts w:ascii="Times New Roman"/>
                <w:sz w:val="20"/>
              </w:rPr>
            </w:pPr>
          </w:p>
        </w:tc>
        <w:tc>
          <w:tcPr>
            <w:tcW w:w="7683" w:type="dxa"/>
          </w:tcPr>
          <w:p>
            <w:pPr>
              <w:pStyle w:val="TableParagraph"/>
              <w:spacing w:line="215" w:lineRule="exact"/>
              <w:ind w:left="783"/>
              <w:rPr>
                <w:sz w:val="21"/>
              </w:rPr>
            </w:pPr>
            <w:r>
              <w:rPr>
                <w:sz w:val="21"/>
              </w:rPr>
              <w:t>责任，经我们审核同意，我们对该被保险人的保险责任继续有效；</w:t>
            </w:r>
          </w:p>
          <w:p>
            <w:pPr>
              <w:pStyle w:val="TableParagraph"/>
              <w:spacing w:line="280" w:lineRule="auto" w:before="123"/>
              <w:ind w:left="783" w:right="343" w:hanging="567"/>
              <w:jc w:val="both"/>
              <w:rPr>
                <w:sz w:val="21"/>
              </w:rPr>
            </w:pPr>
            <w:r>
              <w:rPr>
                <w:sz w:val="21"/>
              </w:rPr>
              <w:t>（2）如果投保人向我们申请终止对减少的被保险人的保险责任，我们自收到投保人书面通知时起对该被保险人的保险责任终止。投保人在通知书中载明的保险责任终止日如果晚于通知书送达我们的日期，则我们对该被保险人的保险责任自通知书中载明的保险责任终止日的零时起终止。除另有约定外，我们向投保人退还保险责任终止时该被保险人对应的本合同的现金价值。</w:t>
            </w:r>
          </w:p>
        </w:tc>
      </w:tr>
      <w:tr>
        <w:trPr>
          <w:trHeight w:val="887" w:hRule="atLeast"/>
        </w:trPr>
        <w:tc>
          <w:tcPr>
            <w:tcW w:w="745" w:type="dxa"/>
          </w:tcPr>
          <w:p>
            <w:pPr>
              <w:pStyle w:val="TableParagraph"/>
              <w:spacing w:before="40"/>
              <w:ind w:left="107"/>
              <w:rPr>
                <w:rFonts w:ascii="微软雅黑"/>
                <w:b/>
                <w:sz w:val="21"/>
              </w:rPr>
            </w:pPr>
            <w:r>
              <w:rPr>
                <w:rFonts w:ascii="微软雅黑"/>
                <w:b/>
                <w:sz w:val="21"/>
              </w:rPr>
              <w:t>8.9</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未还款项</w:t>
            </w:r>
          </w:p>
        </w:tc>
        <w:tc>
          <w:tcPr>
            <w:tcW w:w="7683" w:type="dxa"/>
          </w:tcPr>
          <w:p>
            <w:pPr>
              <w:pStyle w:val="TableParagraph"/>
              <w:spacing w:line="280" w:lineRule="auto" w:before="103"/>
              <w:ind w:left="216" w:right="320"/>
              <w:rPr>
                <w:sz w:val="21"/>
              </w:rPr>
            </w:pPr>
            <w:r>
              <w:rPr>
                <w:sz w:val="21"/>
              </w:rPr>
              <w:t>我们在给付各项保险金、退还现金价值或者返还保险费时，如果投保人有欠交的保险费或者其他未还清款项，我们在扣除上述各项欠款及应付利息后给付。</w:t>
            </w:r>
          </w:p>
        </w:tc>
      </w:tr>
      <w:tr>
        <w:trPr>
          <w:trHeight w:val="1207" w:hRule="atLeast"/>
        </w:trPr>
        <w:tc>
          <w:tcPr>
            <w:tcW w:w="745" w:type="dxa"/>
          </w:tcPr>
          <w:p>
            <w:pPr>
              <w:pStyle w:val="TableParagraph"/>
              <w:spacing w:before="40"/>
              <w:ind w:left="107"/>
              <w:rPr>
                <w:rFonts w:ascii="微软雅黑"/>
                <w:b/>
                <w:sz w:val="21"/>
              </w:rPr>
            </w:pPr>
            <w:r>
              <w:rPr>
                <w:rFonts w:ascii="微软雅黑"/>
                <w:b/>
                <w:sz w:val="21"/>
              </w:rPr>
              <w:t>8.10</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合同内容变更</w:t>
            </w:r>
          </w:p>
        </w:tc>
        <w:tc>
          <w:tcPr>
            <w:tcW w:w="7683" w:type="dxa"/>
          </w:tcPr>
          <w:p>
            <w:pPr>
              <w:pStyle w:val="TableParagraph"/>
              <w:spacing w:line="280" w:lineRule="auto" w:before="103"/>
              <w:ind w:left="216" w:right="318"/>
              <w:jc w:val="both"/>
              <w:rPr>
                <w:sz w:val="21"/>
              </w:rPr>
            </w:pPr>
            <w:r>
              <w:rPr>
                <w:sz w:val="21"/>
              </w:rPr>
              <w:t>在本合同有效期内，经投保人与我们协商一致，可以变更本合同的有关内容。变更本合同的，应当由我们出具批单，或者由投保人与我们订立书面的变更协议。</w:t>
            </w:r>
          </w:p>
        </w:tc>
      </w:tr>
      <w:tr>
        <w:trPr>
          <w:trHeight w:val="1531" w:hRule="atLeast"/>
        </w:trPr>
        <w:tc>
          <w:tcPr>
            <w:tcW w:w="745" w:type="dxa"/>
          </w:tcPr>
          <w:p>
            <w:pPr>
              <w:pStyle w:val="TableParagraph"/>
              <w:spacing w:before="41"/>
              <w:ind w:left="107"/>
              <w:rPr>
                <w:rFonts w:ascii="微软雅黑"/>
                <w:b/>
                <w:sz w:val="21"/>
              </w:rPr>
            </w:pPr>
            <w:r>
              <w:rPr>
                <w:rFonts w:ascii="微软雅黑"/>
                <w:b/>
                <w:sz w:val="21"/>
              </w:rPr>
              <w:t>8.11</w:t>
            </w:r>
          </w:p>
        </w:tc>
        <w:tc>
          <w:tcPr>
            <w:tcW w:w="1664" w:type="dxa"/>
          </w:tcPr>
          <w:p>
            <w:pPr>
              <w:pStyle w:val="TableParagraph"/>
              <w:spacing w:before="41"/>
              <w:ind w:left="179"/>
              <w:rPr>
                <w:rFonts w:ascii="微软雅黑" w:eastAsia="微软雅黑" w:hint="eastAsia"/>
                <w:b/>
                <w:sz w:val="21"/>
              </w:rPr>
            </w:pPr>
            <w:r>
              <w:rPr>
                <w:rFonts w:ascii="微软雅黑" w:eastAsia="微软雅黑" w:hint="eastAsia"/>
                <w:b/>
                <w:sz w:val="21"/>
              </w:rPr>
              <w:t>联系方式变更</w:t>
            </w:r>
          </w:p>
        </w:tc>
        <w:tc>
          <w:tcPr>
            <w:tcW w:w="7683" w:type="dxa"/>
          </w:tcPr>
          <w:p>
            <w:pPr>
              <w:pStyle w:val="TableParagraph"/>
              <w:spacing w:line="280" w:lineRule="auto" w:before="103"/>
              <w:ind w:left="216" w:right="339"/>
              <w:jc w:val="both"/>
              <w:rPr>
                <w:sz w:val="21"/>
              </w:rPr>
            </w:pPr>
            <w:r>
              <w:rPr>
                <w:spacing w:val="-6"/>
                <w:sz w:val="21"/>
              </w:rPr>
              <w:t>为了保障投保人的合法权益，投保人的住所、通讯地址、邮箱或者联系电话等</w:t>
            </w:r>
            <w:r>
              <w:rPr>
                <w:spacing w:val="-7"/>
                <w:sz w:val="21"/>
              </w:rPr>
              <w:t>联系方式变更时，请以书面形式或者双方认可的其他形式及时通知我们。如果</w:t>
            </w:r>
            <w:r>
              <w:rPr>
                <w:spacing w:val="-6"/>
                <w:sz w:val="21"/>
              </w:rPr>
              <w:t>投保人未以书面形式或者双方认可的其他形式通知我们，我们按本合同载明的</w:t>
            </w:r>
            <w:r>
              <w:rPr>
                <w:spacing w:val="-4"/>
                <w:sz w:val="21"/>
              </w:rPr>
              <w:t>最后住所、通讯地址或者邮箱发送的有关通知，均视为已送达给投保人。</w:t>
            </w:r>
          </w:p>
        </w:tc>
      </w:tr>
      <w:tr>
        <w:trPr>
          <w:trHeight w:val="885" w:hRule="atLeast"/>
        </w:trPr>
        <w:tc>
          <w:tcPr>
            <w:tcW w:w="745" w:type="dxa"/>
          </w:tcPr>
          <w:p>
            <w:pPr>
              <w:pStyle w:val="TableParagraph"/>
              <w:spacing w:before="38"/>
              <w:ind w:left="107"/>
              <w:rPr>
                <w:rFonts w:ascii="微软雅黑"/>
                <w:b/>
                <w:sz w:val="21"/>
              </w:rPr>
            </w:pPr>
            <w:r>
              <w:rPr>
                <w:rFonts w:ascii="微软雅黑"/>
                <w:b/>
                <w:sz w:val="21"/>
              </w:rPr>
              <w:t>8.12</w:t>
            </w:r>
          </w:p>
        </w:tc>
        <w:tc>
          <w:tcPr>
            <w:tcW w:w="1664" w:type="dxa"/>
          </w:tcPr>
          <w:p>
            <w:pPr>
              <w:pStyle w:val="TableParagraph"/>
              <w:spacing w:before="38"/>
              <w:ind w:left="179"/>
              <w:rPr>
                <w:rFonts w:ascii="微软雅黑" w:eastAsia="微软雅黑" w:hint="eastAsia"/>
                <w:b/>
                <w:sz w:val="21"/>
              </w:rPr>
            </w:pPr>
            <w:r>
              <w:rPr>
                <w:rFonts w:ascii="微软雅黑" w:eastAsia="微软雅黑" w:hint="eastAsia"/>
                <w:b/>
                <w:sz w:val="21"/>
              </w:rPr>
              <w:t>争议处理</w:t>
            </w:r>
          </w:p>
        </w:tc>
        <w:tc>
          <w:tcPr>
            <w:tcW w:w="7683" w:type="dxa"/>
          </w:tcPr>
          <w:p>
            <w:pPr>
              <w:pStyle w:val="TableParagraph"/>
              <w:spacing w:line="280" w:lineRule="auto" w:before="101"/>
              <w:ind w:left="216" w:right="293"/>
              <w:rPr>
                <w:sz w:val="21"/>
              </w:rPr>
            </w:pPr>
            <w:r>
              <w:rPr>
                <w:sz w:val="21"/>
              </w:rPr>
              <w:t>本合同履行过程中，双方发Th争议不能协商解决的，可以达成仲裁协议通过仲裁解决，也可依法直接向法院提起诉讼。</w:t>
            </w:r>
          </w:p>
        </w:tc>
      </w:tr>
      <w:tr>
        <w:trPr>
          <w:trHeight w:val="1791" w:hRule="atLeast"/>
        </w:trPr>
        <w:tc>
          <w:tcPr>
            <w:tcW w:w="745" w:type="dxa"/>
          </w:tcPr>
          <w:p>
            <w:pPr>
              <w:pStyle w:val="TableParagraph"/>
              <w:spacing w:before="40"/>
              <w:ind w:left="107"/>
              <w:rPr>
                <w:rFonts w:ascii="微软雅黑"/>
                <w:b/>
                <w:sz w:val="21"/>
              </w:rPr>
            </w:pPr>
            <w:r>
              <w:rPr>
                <w:rFonts w:ascii="微软雅黑"/>
                <w:b/>
                <w:sz w:val="21"/>
              </w:rPr>
              <w:t>8.13</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合同终止</w:t>
            </w:r>
          </w:p>
        </w:tc>
        <w:tc>
          <w:tcPr>
            <w:tcW w:w="7683" w:type="dxa"/>
          </w:tcPr>
          <w:p>
            <w:pPr>
              <w:pStyle w:val="TableParagraph"/>
              <w:spacing w:before="103"/>
              <w:ind w:left="216"/>
              <w:rPr>
                <w:sz w:val="21"/>
              </w:rPr>
            </w:pPr>
            <w:r>
              <w:rPr>
                <w:sz w:val="21"/>
              </w:rPr>
              <w:t>发Th下列情况之一时，本合同终止：</w:t>
            </w:r>
          </w:p>
          <w:p>
            <w:pPr>
              <w:pStyle w:val="TableParagraph"/>
              <w:numPr>
                <w:ilvl w:val="0"/>
                <w:numId w:val="9"/>
              </w:numPr>
              <w:tabs>
                <w:tab w:pos="842" w:val="left" w:leader="none"/>
              </w:tabs>
              <w:spacing w:line="240" w:lineRule="auto" w:before="123" w:after="0"/>
              <w:ind w:left="841" w:right="0" w:hanging="624"/>
              <w:jc w:val="left"/>
              <w:rPr>
                <w:sz w:val="21"/>
              </w:rPr>
            </w:pPr>
            <w:r>
              <w:rPr>
                <w:spacing w:val="-3"/>
                <w:sz w:val="21"/>
              </w:rPr>
              <w:t>在本合同有效期内解除本合同；</w:t>
            </w:r>
          </w:p>
          <w:p>
            <w:pPr>
              <w:pStyle w:val="TableParagraph"/>
              <w:numPr>
                <w:ilvl w:val="0"/>
                <w:numId w:val="9"/>
              </w:numPr>
              <w:tabs>
                <w:tab w:pos="842" w:val="left" w:leader="none"/>
              </w:tabs>
              <w:spacing w:line="240" w:lineRule="auto" w:before="123" w:after="0"/>
              <w:ind w:left="841" w:right="0" w:hanging="624"/>
              <w:jc w:val="left"/>
              <w:rPr>
                <w:sz w:val="21"/>
              </w:rPr>
            </w:pPr>
            <w:r>
              <w:rPr>
                <w:spacing w:val="-3"/>
                <w:sz w:val="21"/>
              </w:rPr>
              <w:t>因本合同其他条款约定情形而终止。</w:t>
            </w:r>
          </w:p>
          <w:p>
            <w:pPr>
              <w:pStyle w:val="TableParagraph"/>
              <w:spacing w:before="124"/>
              <w:ind w:left="216"/>
              <w:rPr>
                <w:sz w:val="21"/>
              </w:rPr>
            </w:pPr>
            <w:r>
              <w:rPr>
                <w:sz w:val="21"/>
              </w:rPr>
              <w:t>被保险人在其保险期间内身故，我们对该被保险人的保险责任终止。</w:t>
            </w:r>
          </w:p>
        </w:tc>
      </w:tr>
      <w:tr>
        <w:trPr>
          <w:trHeight w:val="949" w:hRule="atLeast"/>
        </w:trPr>
        <w:tc>
          <w:tcPr>
            <w:tcW w:w="745" w:type="dxa"/>
            <w:tcBorders>
              <w:bottom w:val="single" w:sz="8" w:space="0" w:color="000000"/>
            </w:tcBorders>
          </w:tcPr>
          <w:p>
            <w:pPr>
              <w:pStyle w:val="TableParagraph"/>
              <w:spacing w:before="74"/>
              <w:ind w:left="107"/>
              <w:rPr>
                <w:rFonts w:ascii="微软雅黑"/>
                <w:b/>
                <w:sz w:val="36"/>
              </w:rPr>
            </w:pPr>
            <w:r>
              <w:rPr>
                <w:rFonts w:ascii="微软雅黑"/>
                <w:b/>
                <w:sz w:val="36"/>
              </w:rPr>
              <w:t>9.</w:t>
            </w:r>
          </w:p>
        </w:tc>
        <w:tc>
          <w:tcPr>
            <w:tcW w:w="9347" w:type="dxa"/>
            <w:gridSpan w:val="2"/>
            <w:tcBorders>
              <w:bottom w:val="single" w:sz="8" w:space="0" w:color="000000"/>
            </w:tcBorders>
          </w:tcPr>
          <w:p>
            <w:pPr>
              <w:pStyle w:val="TableParagraph"/>
              <w:spacing w:before="51"/>
              <w:ind w:left="179"/>
              <w:rPr>
                <w:rFonts w:ascii="微软雅黑" w:eastAsia="微软雅黑" w:hint="eastAsia"/>
                <w:b/>
                <w:sz w:val="24"/>
              </w:rPr>
            </w:pPr>
            <w:r>
              <w:rPr>
                <w:rFonts w:ascii="微软雅黑" w:eastAsia="微软雅黑" w:hint="eastAsia"/>
                <w:b/>
                <w:sz w:val="24"/>
              </w:rPr>
              <w:t>疾病定义</w:t>
            </w:r>
          </w:p>
          <w:p>
            <w:pPr>
              <w:pStyle w:val="TableParagraph"/>
              <w:spacing w:before="23"/>
              <w:ind w:left="179"/>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2" w:hRule="atLeast"/>
        </w:trPr>
        <w:tc>
          <w:tcPr>
            <w:tcW w:w="745"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664" w:type="dxa"/>
            <w:tcBorders>
              <w:top w:val="single" w:sz="8" w:space="0" w:color="000000"/>
            </w:tcBorders>
          </w:tcPr>
          <w:p>
            <w:pPr>
              <w:pStyle w:val="TableParagraph"/>
              <w:spacing w:before="176"/>
              <w:ind w:left="179"/>
              <w:rPr>
                <w:rFonts w:ascii="微软雅黑" w:eastAsia="微软雅黑" w:hint="eastAsia"/>
                <w:b/>
                <w:sz w:val="21"/>
              </w:rPr>
            </w:pPr>
            <w:r>
              <w:rPr>
                <w:rFonts w:ascii="微软雅黑" w:eastAsia="微软雅黑" w:hint="eastAsia"/>
                <w:b/>
                <w:sz w:val="21"/>
              </w:rPr>
              <w:t>重症疾病</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本合同所定义的重症疾病指如下约定的疾病、疾病状态或者手术，共有 75 种。</w:t>
            </w:r>
          </w:p>
        </w:tc>
      </w:tr>
      <w:tr>
        <w:trPr>
          <w:trHeight w:val="3756" w:hRule="atLeast"/>
        </w:trPr>
        <w:tc>
          <w:tcPr>
            <w:tcW w:w="745" w:type="dxa"/>
          </w:tcPr>
          <w:p>
            <w:pPr>
              <w:pStyle w:val="TableParagraph"/>
              <w:spacing w:before="40"/>
              <w:ind w:left="107"/>
              <w:rPr>
                <w:rFonts w:ascii="微软雅黑"/>
                <w:b/>
                <w:sz w:val="21"/>
              </w:rPr>
            </w:pPr>
            <w:r>
              <w:rPr>
                <w:rFonts w:ascii="微软雅黑"/>
                <w:b/>
                <w:sz w:val="21"/>
              </w:rPr>
              <w:t>9.1.1</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恶性肿瘤</w:t>
            </w:r>
          </w:p>
        </w:tc>
        <w:tc>
          <w:tcPr>
            <w:tcW w:w="7683" w:type="dxa"/>
          </w:tcPr>
          <w:p>
            <w:pPr>
              <w:pStyle w:val="TableParagraph"/>
              <w:spacing w:line="280" w:lineRule="auto" w:before="103"/>
              <w:ind w:left="216" w:right="337"/>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2"/>
                <w:sz w:val="21"/>
              </w:rPr>
              <w:t>诊断，临床诊断属于世界卫</w:t>
            </w:r>
            <w:r>
              <w:rPr>
                <w:sz w:val="21"/>
              </w:rPr>
              <w:t>Th</w:t>
            </w:r>
            <w:r>
              <w:rPr>
                <w:spacing w:val="2"/>
                <w:sz w:val="21"/>
              </w:rPr>
              <w:t>组织《疾病和有关健康问题的国际统计分类》</w:t>
            </w:r>
          </w:p>
          <w:p>
            <w:pPr>
              <w:pStyle w:val="TableParagraph"/>
              <w:spacing w:before="8"/>
              <w:ind w:left="216"/>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1"/>
              <w:ind w:left="216"/>
              <w:jc w:val="both"/>
              <w:rPr>
                <w:sz w:val="21"/>
              </w:rPr>
            </w:pPr>
            <w:r>
              <w:rPr>
                <w:sz w:val="21"/>
              </w:rPr>
              <w:t>下列疾病不在保障范围内：</w:t>
            </w:r>
          </w:p>
          <w:p>
            <w:pPr>
              <w:pStyle w:val="TableParagraph"/>
              <w:numPr>
                <w:ilvl w:val="0"/>
                <w:numId w:val="10"/>
              </w:numPr>
              <w:tabs>
                <w:tab w:pos="842" w:val="left" w:leader="none"/>
              </w:tabs>
              <w:spacing w:line="240" w:lineRule="auto" w:before="123" w:after="0"/>
              <w:ind w:left="841" w:right="0" w:hanging="624"/>
              <w:jc w:val="both"/>
              <w:rPr>
                <w:sz w:val="21"/>
              </w:rPr>
            </w:pPr>
            <w:r>
              <w:rPr>
                <w:spacing w:val="-1"/>
                <w:sz w:val="21"/>
              </w:rPr>
              <w:t>原位癌；</w:t>
            </w:r>
          </w:p>
          <w:p>
            <w:pPr>
              <w:pStyle w:val="TableParagraph"/>
              <w:numPr>
                <w:ilvl w:val="0"/>
                <w:numId w:val="10"/>
              </w:numPr>
              <w:tabs>
                <w:tab w:pos="842" w:val="left" w:leader="none"/>
              </w:tabs>
              <w:spacing w:line="240" w:lineRule="auto" w:before="123" w:after="0"/>
              <w:ind w:left="841"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10"/>
              </w:numPr>
              <w:tabs>
                <w:tab w:pos="842" w:val="left" w:leader="none"/>
              </w:tabs>
              <w:spacing w:line="240" w:lineRule="auto" w:before="123" w:after="0"/>
              <w:ind w:left="841"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10"/>
              </w:numPr>
              <w:tabs>
                <w:tab w:pos="842" w:val="left" w:leader="none"/>
              </w:tabs>
              <w:spacing w:line="240" w:lineRule="auto" w:before="123" w:after="0"/>
              <w:ind w:left="841"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0"/>
              </w:numPr>
              <w:tabs>
                <w:tab w:pos="842" w:val="left" w:leader="none"/>
              </w:tabs>
              <w:spacing w:line="240" w:lineRule="auto" w:before="120" w:after="0"/>
              <w:ind w:left="841"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tc>
      </w:tr>
    </w:tbl>
    <w:p>
      <w:pPr>
        <w:spacing w:after="0" w:line="240" w:lineRule="auto"/>
        <w:jc w:val="both"/>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755"/>
        <w:gridCol w:w="7542"/>
      </w:tblGrid>
      <w:tr>
        <w:trPr>
          <w:trHeight w:val="410" w:hRule="atLeast"/>
        </w:trPr>
        <w:tc>
          <w:tcPr>
            <w:tcW w:w="851"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542" w:type="dxa"/>
          </w:tcPr>
          <w:p>
            <w:pPr>
              <w:pStyle w:val="TableParagraph"/>
              <w:spacing w:line="218" w:lineRule="exact"/>
              <w:rPr>
                <w:sz w:val="21"/>
              </w:rPr>
            </w:pPr>
            <w:r>
              <w:rPr>
                <w:sz w:val="21"/>
              </w:rPr>
              <w:t>（6） 感染艾滋病病毒或者患艾滋病期间所患恶性肿瘤。</w:t>
            </w:r>
          </w:p>
        </w:tc>
      </w:tr>
      <w:tr>
        <w:trPr>
          <w:trHeight w:val="3119" w:hRule="atLeast"/>
        </w:trPr>
        <w:tc>
          <w:tcPr>
            <w:tcW w:w="851" w:type="dxa"/>
          </w:tcPr>
          <w:p>
            <w:pPr>
              <w:pStyle w:val="TableParagraph"/>
              <w:spacing w:before="40"/>
              <w:ind w:left="0" w:right="167"/>
              <w:jc w:val="right"/>
              <w:rPr>
                <w:rFonts w:ascii="微软雅黑"/>
                <w:b/>
                <w:sz w:val="21"/>
              </w:rPr>
            </w:pPr>
            <w:r>
              <w:rPr>
                <w:rFonts w:ascii="微软雅黑"/>
                <w:b/>
                <w:w w:val="95"/>
                <w:sz w:val="21"/>
              </w:rPr>
              <w:t>9.1.2</w:t>
            </w:r>
          </w:p>
        </w:tc>
        <w:tc>
          <w:tcPr>
            <w:tcW w:w="1755" w:type="dxa"/>
          </w:tcPr>
          <w:p>
            <w:pPr>
              <w:pStyle w:val="TableParagraph"/>
              <w:spacing w:before="40"/>
              <w:ind w:left="165"/>
              <w:rPr>
                <w:rFonts w:ascii="微软雅黑" w:eastAsia="微软雅黑" w:hint="eastAsia"/>
                <w:b/>
                <w:sz w:val="21"/>
              </w:rPr>
            </w:pPr>
            <w:r>
              <w:rPr>
                <w:rFonts w:ascii="微软雅黑" w:eastAsia="微软雅黑" w:hint="eastAsia"/>
                <w:b/>
                <w:sz w:val="21"/>
              </w:rPr>
              <w:t>急性心肌梗塞</w:t>
            </w:r>
          </w:p>
        </w:tc>
        <w:tc>
          <w:tcPr>
            <w:tcW w:w="7542" w:type="dxa"/>
          </w:tcPr>
          <w:p>
            <w:pPr>
              <w:pStyle w:val="TableParagraph"/>
              <w:spacing w:line="280" w:lineRule="auto" w:before="102"/>
              <w:ind w:right="256"/>
              <w:rPr>
                <w:sz w:val="21"/>
              </w:rPr>
            </w:pPr>
            <w:r>
              <w:rPr>
                <w:sz w:val="21"/>
              </w:rPr>
              <w:t>指因冠状动脉阻塞导致的相应区域供血不足造成部分心肌坏死。须满足下列至少三项条件：</w:t>
            </w:r>
          </w:p>
          <w:p>
            <w:pPr>
              <w:pStyle w:val="TableParagraph"/>
              <w:numPr>
                <w:ilvl w:val="0"/>
                <w:numId w:val="11"/>
              </w:numPr>
              <w:tabs>
                <w:tab w:pos="737" w:val="left" w:leader="none"/>
              </w:tabs>
              <w:spacing w:line="240" w:lineRule="auto" w:before="85" w:after="0"/>
              <w:ind w:left="736" w:right="0" w:hanging="624"/>
              <w:jc w:val="left"/>
              <w:rPr>
                <w:sz w:val="21"/>
              </w:rPr>
            </w:pPr>
            <w:r>
              <w:rPr>
                <w:spacing w:val="-3"/>
                <w:sz w:val="21"/>
              </w:rPr>
              <w:t>典型临床表现，例如急性胸痛等；</w:t>
            </w:r>
          </w:p>
          <w:p>
            <w:pPr>
              <w:pStyle w:val="TableParagraph"/>
              <w:numPr>
                <w:ilvl w:val="0"/>
                <w:numId w:val="11"/>
              </w:numPr>
              <w:tabs>
                <w:tab w:pos="737" w:val="left" w:leader="none"/>
              </w:tabs>
              <w:spacing w:line="240" w:lineRule="auto" w:before="123" w:after="0"/>
              <w:ind w:left="736" w:right="0" w:hanging="624"/>
              <w:jc w:val="left"/>
              <w:rPr>
                <w:sz w:val="21"/>
              </w:rPr>
            </w:pPr>
            <w:r>
              <w:rPr>
                <w:spacing w:val="-3"/>
                <w:sz w:val="21"/>
              </w:rPr>
              <w:t>新近的心电图改变提示急性心肌梗塞；</w:t>
            </w:r>
          </w:p>
          <w:p>
            <w:pPr>
              <w:pStyle w:val="TableParagraph"/>
              <w:numPr>
                <w:ilvl w:val="0"/>
                <w:numId w:val="11"/>
              </w:numPr>
              <w:tabs>
                <w:tab w:pos="737" w:val="left" w:leader="none"/>
              </w:tabs>
              <w:spacing w:line="280" w:lineRule="auto" w:before="123" w:after="0"/>
              <w:ind w:left="736" w:right="300"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11"/>
              </w:numPr>
              <w:tabs>
                <w:tab w:pos="737" w:val="left" w:leader="none"/>
              </w:tabs>
              <w:spacing w:line="240" w:lineRule="auto" w:before="85" w:after="0"/>
              <w:ind w:left="736" w:right="0" w:hanging="624"/>
              <w:jc w:val="left"/>
              <w:rPr>
                <w:sz w:val="21"/>
              </w:rPr>
            </w:pPr>
            <w:r>
              <w:rPr>
                <w:spacing w:val="18"/>
                <w:sz w:val="21"/>
              </w:rPr>
              <w:t>发病 </w:t>
            </w:r>
            <w:r>
              <w:rPr>
                <w:sz w:val="21"/>
              </w:rPr>
              <w:t>90 天后，经检查证实左心室功能降低，如左心室射血分数低于</w:t>
            </w:r>
          </w:p>
          <w:p>
            <w:pPr>
              <w:pStyle w:val="TableParagraph"/>
              <w:spacing w:before="46"/>
              <w:ind w:left="736"/>
              <w:rPr>
                <w:sz w:val="21"/>
              </w:rPr>
            </w:pPr>
            <w:r>
              <w:rPr>
                <w:w w:val="130"/>
                <w:sz w:val="21"/>
              </w:rPr>
              <w:t>50%</w:t>
            </w:r>
            <w:r>
              <w:rPr>
                <w:w w:val="125"/>
                <w:sz w:val="21"/>
              </w:rPr>
              <w:t>。</w:t>
            </w:r>
          </w:p>
        </w:tc>
      </w:tr>
      <w:tr>
        <w:trPr>
          <w:trHeight w:val="1608" w:hRule="atLeast"/>
        </w:trPr>
        <w:tc>
          <w:tcPr>
            <w:tcW w:w="851" w:type="dxa"/>
          </w:tcPr>
          <w:p>
            <w:pPr>
              <w:pStyle w:val="TableParagraph"/>
              <w:spacing w:before="40"/>
              <w:ind w:left="0" w:right="166"/>
              <w:jc w:val="right"/>
              <w:rPr>
                <w:rFonts w:ascii="微软雅黑"/>
                <w:b/>
                <w:sz w:val="21"/>
              </w:rPr>
            </w:pPr>
            <w:r>
              <w:rPr>
                <w:rFonts w:ascii="微软雅黑"/>
                <w:b/>
                <w:w w:val="95"/>
                <w:sz w:val="21"/>
              </w:rPr>
              <w:t>9.1.3</w:t>
            </w:r>
          </w:p>
        </w:tc>
        <w:tc>
          <w:tcPr>
            <w:tcW w:w="1755" w:type="dxa"/>
          </w:tcPr>
          <w:p>
            <w:pPr>
              <w:pStyle w:val="TableParagraph"/>
              <w:spacing w:line="342" w:lineRule="exact" w:before="40"/>
              <w:ind w:left="165"/>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2"/>
              <w:ind w:left="165" w:right="109"/>
              <w:rPr>
                <w:rFonts w:ascii="微软雅黑" w:eastAsia="微软雅黑" w:hint="eastAsia"/>
                <w:b/>
                <w:sz w:val="21"/>
              </w:rPr>
            </w:pPr>
            <w:r>
              <w:rPr>
                <w:rFonts w:ascii="微软雅黑" w:eastAsia="微软雅黑" w:hint="eastAsia"/>
                <w:b/>
                <w:sz w:val="21"/>
              </w:rPr>
              <w:t>（或者称冠状动脉旁路移植术）</w:t>
            </w:r>
          </w:p>
        </w:tc>
        <w:tc>
          <w:tcPr>
            <w:tcW w:w="7542" w:type="dxa"/>
          </w:tcPr>
          <w:p>
            <w:pPr>
              <w:pStyle w:val="TableParagraph"/>
              <w:spacing w:line="280" w:lineRule="auto" w:before="103"/>
              <w:ind w:right="301"/>
              <w:rPr>
                <w:sz w:val="21"/>
              </w:rPr>
            </w:pPr>
            <w:r>
              <w:rPr>
                <w:sz w:val="21"/>
              </w:rPr>
              <w:t>指为治疗严重的冠心病，实际实施了开胸进行的冠状动脉血管旁路移植的手术。</w:t>
            </w:r>
          </w:p>
          <w:p>
            <w:pPr>
              <w:pStyle w:val="TableParagraph"/>
              <w:spacing w:line="280" w:lineRule="auto" w:before="86"/>
              <w:ind w:right="272"/>
              <w:rPr>
                <w:sz w:val="21"/>
              </w:rPr>
            </w:pPr>
            <w:r>
              <w:rPr>
                <w:sz w:val="21"/>
              </w:rPr>
              <w:t>冠状动脉支架植入术、心导管球囊扩张术、激光射频技术及其他非开胸的介入手术、腔镜手术不在保障范围内。</w:t>
            </w:r>
          </w:p>
        </w:tc>
      </w:tr>
      <w:tr>
        <w:trPr>
          <w:trHeight w:val="885" w:hRule="atLeast"/>
        </w:trPr>
        <w:tc>
          <w:tcPr>
            <w:tcW w:w="851" w:type="dxa"/>
          </w:tcPr>
          <w:p>
            <w:pPr>
              <w:pStyle w:val="TableParagraph"/>
              <w:spacing w:before="38"/>
              <w:ind w:left="0" w:right="164"/>
              <w:jc w:val="right"/>
              <w:rPr>
                <w:rFonts w:ascii="微软雅黑"/>
                <w:b/>
                <w:sz w:val="21"/>
              </w:rPr>
            </w:pPr>
            <w:r>
              <w:rPr>
                <w:rFonts w:ascii="微软雅黑"/>
                <w:b/>
                <w:w w:val="95"/>
                <w:sz w:val="21"/>
              </w:rPr>
              <w:t>9.1.4</w:t>
            </w:r>
          </w:p>
        </w:tc>
        <w:tc>
          <w:tcPr>
            <w:tcW w:w="1755" w:type="dxa"/>
          </w:tcPr>
          <w:p>
            <w:pPr>
              <w:pStyle w:val="TableParagraph"/>
              <w:spacing w:before="38"/>
              <w:ind w:left="165"/>
              <w:rPr>
                <w:rFonts w:ascii="微软雅黑" w:eastAsia="微软雅黑" w:hint="eastAsia"/>
                <w:b/>
                <w:sz w:val="21"/>
              </w:rPr>
            </w:pPr>
            <w:r>
              <w:rPr>
                <w:rFonts w:ascii="微软雅黑" w:eastAsia="微软雅黑" w:hint="eastAsia"/>
                <w:b/>
                <w:sz w:val="21"/>
              </w:rPr>
              <w:t>心脏瓣膜手术</w:t>
            </w:r>
          </w:p>
        </w:tc>
        <w:tc>
          <w:tcPr>
            <w:tcW w:w="7542" w:type="dxa"/>
          </w:tcPr>
          <w:p>
            <w:pPr>
              <w:pStyle w:val="TableParagraph"/>
              <w:spacing w:line="280" w:lineRule="auto" w:before="101"/>
              <w:ind w:right="301"/>
              <w:rPr>
                <w:sz w:val="21"/>
              </w:rPr>
            </w:pPr>
            <w:r>
              <w:rPr>
                <w:sz w:val="21"/>
              </w:rPr>
              <w:t>指为治疗心脏瓣膜疾病，实际实施了开胸进行的心脏瓣膜置换或者修复的手术。</w:t>
            </w:r>
          </w:p>
        </w:tc>
      </w:tr>
      <w:tr>
        <w:trPr>
          <w:trHeight w:val="1208" w:hRule="atLeast"/>
        </w:trPr>
        <w:tc>
          <w:tcPr>
            <w:tcW w:w="851" w:type="dxa"/>
          </w:tcPr>
          <w:p>
            <w:pPr>
              <w:pStyle w:val="TableParagraph"/>
              <w:spacing w:before="40"/>
              <w:ind w:left="0" w:right="165"/>
              <w:jc w:val="right"/>
              <w:rPr>
                <w:rFonts w:ascii="微软雅黑"/>
                <w:b/>
                <w:sz w:val="21"/>
              </w:rPr>
            </w:pPr>
            <w:r>
              <w:rPr>
                <w:rFonts w:ascii="微软雅黑"/>
                <w:b/>
                <w:w w:val="95"/>
                <w:sz w:val="21"/>
              </w:rPr>
              <w:t>9.1.5</w:t>
            </w:r>
          </w:p>
        </w:tc>
        <w:tc>
          <w:tcPr>
            <w:tcW w:w="1755" w:type="dxa"/>
          </w:tcPr>
          <w:p>
            <w:pPr>
              <w:pStyle w:val="TableParagraph"/>
              <w:spacing w:line="213" w:lineRule="auto" w:before="80"/>
              <w:ind w:left="165" w:right="109"/>
              <w:rPr>
                <w:rFonts w:ascii="微软雅黑" w:eastAsia="微软雅黑" w:hint="eastAsia"/>
                <w:b/>
                <w:sz w:val="21"/>
              </w:rPr>
            </w:pPr>
            <w:r>
              <w:rPr>
                <w:rFonts w:ascii="微软雅黑" w:eastAsia="微软雅黑" w:hint="eastAsia"/>
                <w:b/>
                <w:sz w:val="21"/>
              </w:rPr>
              <w:t>严重原发性肺动脉高压</w:t>
            </w:r>
          </w:p>
        </w:tc>
        <w:tc>
          <w:tcPr>
            <w:tcW w:w="7542" w:type="dxa"/>
          </w:tcPr>
          <w:p>
            <w:pPr>
              <w:pStyle w:val="TableParagraph"/>
              <w:spacing w:line="220" w:lineRule="auto" w:before="125"/>
              <w:ind w:right="197"/>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3"/>
                <w:w w:val="100"/>
                <w:sz w:val="21"/>
              </w:rPr>
              <w:t>心功能状态分级</w:t>
            </w:r>
            <w:r>
              <w:rPr>
                <w:spacing w:val="-3"/>
                <w:w w:val="100"/>
                <w:sz w:val="21"/>
              </w:rPr>
              <w:t>（</w:t>
            </w:r>
            <w:r>
              <w:rPr>
                <w:w w:val="100"/>
                <w:sz w:val="21"/>
              </w:rPr>
              <w:t>见</w:t>
            </w:r>
            <w:r>
              <w:rPr>
                <w:spacing w:val="-55"/>
                <w:sz w:val="21"/>
              </w:rPr>
              <w:t> </w:t>
            </w:r>
            <w:r>
              <w:rPr>
                <w:w w:val="97"/>
                <w:sz w:val="21"/>
              </w:rPr>
              <w:t>1</w:t>
            </w:r>
            <w:r>
              <w:rPr>
                <w:w w:val="122"/>
                <w:sz w:val="21"/>
              </w:rPr>
              <w:t>0</w:t>
            </w:r>
            <w:r>
              <w:rPr>
                <w:spacing w:val="-2"/>
                <w:w w:val="58"/>
                <w:sz w:val="21"/>
              </w:rPr>
              <w:t>.</w:t>
            </w:r>
            <w:r>
              <w:rPr>
                <w:spacing w:val="-2"/>
                <w:w w:val="120"/>
                <w:sz w:val="21"/>
              </w:rPr>
              <w:t>2</w:t>
            </w:r>
            <w:r>
              <w:rPr>
                <w:spacing w:val="-3"/>
                <w:w w:val="120"/>
                <w:sz w:val="21"/>
              </w:rPr>
              <w:t>2</w:t>
            </w:r>
            <w:r>
              <w:rPr>
                <w:spacing w:val="-80"/>
                <w:w w:val="100"/>
                <w:sz w:val="21"/>
              </w:rPr>
              <w:t>）</w:t>
            </w:r>
            <w:r>
              <w:rPr>
                <w:spacing w:val="-11"/>
                <w:w w:val="100"/>
                <w:sz w:val="21"/>
              </w:rPr>
              <w:t>Ⅳ级，且静息状态下肺动脉平均压超过</w:t>
            </w:r>
            <w:r>
              <w:rPr>
                <w:spacing w:val="-11"/>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8" w:hRule="atLeast"/>
        </w:trPr>
        <w:tc>
          <w:tcPr>
            <w:tcW w:w="851" w:type="dxa"/>
          </w:tcPr>
          <w:p>
            <w:pPr>
              <w:pStyle w:val="TableParagraph"/>
              <w:spacing w:before="42"/>
              <w:ind w:left="0" w:right="164"/>
              <w:jc w:val="right"/>
              <w:rPr>
                <w:rFonts w:ascii="微软雅黑"/>
                <w:b/>
                <w:sz w:val="21"/>
              </w:rPr>
            </w:pPr>
            <w:r>
              <w:rPr>
                <w:rFonts w:ascii="微软雅黑"/>
                <w:b/>
                <w:w w:val="95"/>
                <w:sz w:val="21"/>
              </w:rPr>
              <w:t>9.1.6</w:t>
            </w:r>
          </w:p>
        </w:tc>
        <w:tc>
          <w:tcPr>
            <w:tcW w:w="1755" w:type="dxa"/>
          </w:tcPr>
          <w:p>
            <w:pPr>
              <w:pStyle w:val="TableParagraph"/>
              <w:spacing w:before="42"/>
              <w:ind w:left="165"/>
              <w:rPr>
                <w:rFonts w:ascii="微软雅黑" w:eastAsia="微软雅黑" w:hint="eastAsia"/>
                <w:b/>
                <w:sz w:val="21"/>
              </w:rPr>
            </w:pPr>
            <w:r>
              <w:rPr>
                <w:rFonts w:ascii="微软雅黑" w:eastAsia="微软雅黑" w:hint="eastAsia"/>
                <w:b/>
                <w:sz w:val="21"/>
              </w:rPr>
              <w:t>主动脉手术</w:t>
            </w:r>
          </w:p>
        </w:tc>
        <w:tc>
          <w:tcPr>
            <w:tcW w:w="7542" w:type="dxa"/>
          </w:tcPr>
          <w:p>
            <w:pPr>
              <w:pStyle w:val="TableParagraph"/>
              <w:spacing w:line="280" w:lineRule="auto" w:before="104"/>
              <w:ind w:right="303"/>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5"/>
              <w:jc w:val="both"/>
              <w:rPr>
                <w:sz w:val="21"/>
              </w:rPr>
            </w:pPr>
            <w:r>
              <w:rPr>
                <w:sz w:val="21"/>
              </w:rPr>
              <w:t>动脉内血管成形术不在保障范围内。</w:t>
            </w:r>
          </w:p>
        </w:tc>
      </w:tr>
      <w:tr>
        <w:trPr>
          <w:trHeight w:val="1605" w:hRule="atLeast"/>
        </w:trPr>
        <w:tc>
          <w:tcPr>
            <w:tcW w:w="851" w:type="dxa"/>
          </w:tcPr>
          <w:p>
            <w:pPr>
              <w:pStyle w:val="TableParagraph"/>
              <w:spacing w:before="39"/>
              <w:ind w:left="0" w:right="165"/>
              <w:jc w:val="right"/>
              <w:rPr>
                <w:rFonts w:ascii="微软雅黑"/>
                <w:b/>
                <w:sz w:val="21"/>
              </w:rPr>
            </w:pPr>
            <w:r>
              <w:rPr>
                <w:rFonts w:ascii="微软雅黑"/>
                <w:b/>
                <w:w w:val="95"/>
                <w:sz w:val="21"/>
              </w:rPr>
              <w:t>9.1.7</w:t>
            </w:r>
          </w:p>
        </w:tc>
        <w:tc>
          <w:tcPr>
            <w:tcW w:w="1755" w:type="dxa"/>
          </w:tcPr>
          <w:p>
            <w:pPr>
              <w:pStyle w:val="TableParagraph"/>
              <w:spacing w:before="39"/>
              <w:ind w:left="165"/>
              <w:rPr>
                <w:rFonts w:ascii="微软雅黑" w:eastAsia="微软雅黑" w:hint="eastAsia"/>
                <w:b/>
                <w:sz w:val="21"/>
              </w:rPr>
            </w:pPr>
            <w:r>
              <w:rPr>
                <w:rFonts w:ascii="微软雅黑" w:eastAsia="微软雅黑" w:hint="eastAsia"/>
                <w:b/>
                <w:sz w:val="21"/>
              </w:rPr>
              <w:t>严重心肌病</w:t>
            </w:r>
          </w:p>
        </w:tc>
        <w:tc>
          <w:tcPr>
            <w:tcW w:w="7542" w:type="dxa"/>
          </w:tcPr>
          <w:p>
            <w:pPr>
              <w:pStyle w:val="TableParagraph"/>
              <w:spacing w:line="280" w:lineRule="auto" w:before="102"/>
              <w:ind w:right="303"/>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5"/>
              <w:jc w:val="both"/>
              <w:rPr>
                <w:sz w:val="21"/>
              </w:rPr>
            </w:pPr>
            <w:r>
              <w:rPr>
                <w:sz w:val="21"/>
              </w:rPr>
              <w:t>因酗酒或者滥用药物引起的心肌病不在保障范围内。</w:t>
            </w:r>
          </w:p>
        </w:tc>
      </w:tr>
      <w:tr>
        <w:trPr>
          <w:trHeight w:val="3751" w:hRule="atLeast"/>
        </w:trPr>
        <w:tc>
          <w:tcPr>
            <w:tcW w:w="851" w:type="dxa"/>
          </w:tcPr>
          <w:p>
            <w:pPr>
              <w:pStyle w:val="TableParagraph"/>
              <w:spacing w:before="39"/>
              <w:ind w:left="0" w:right="163"/>
              <w:jc w:val="right"/>
              <w:rPr>
                <w:rFonts w:ascii="微软雅黑"/>
                <w:b/>
                <w:sz w:val="21"/>
              </w:rPr>
            </w:pPr>
            <w:r>
              <w:rPr>
                <w:rFonts w:ascii="微软雅黑"/>
                <w:b/>
                <w:w w:val="95"/>
                <w:sz w:val="21"/>
              </w:rPr>
              <w:t>9.1.8</w:t>
            </w:r>
          </w:p>
        </w:tc>
        <w:tc>
          <w:tcPr>
            <w:tcW w:w="1755" w:type="dxa"/>
          </w:tcPr>
          <w:p>
            <w:pPr>
              <w:pStyle w:val="TableParagraph"/>
              <w:spacing w:line="213" w:lineRule="auto" w:before="79"/>
              <w:ind w:left="165" w:right="109"/>
              <w:rPr>
                <w:rFonts w:ascii="微软雅黑" w:eastAsia="微软雅黑" w:hint="eastAsia"/>
                <w:b/>
                <w:sz w:val="21"/>
              </w:rPr>
            </w:pPr>
            <w:r>
              <w:rPr>
                <w:rFonts w:ascii="微软雅黑" w:eastAsia="微软雅黑" w:hint="eastAsia"/>
                <w:b/>
                <w:sz w:val="21"/>
              </w:rPr>
              <w:t>严重感染性心内膜炎</w:t>
            </w:r>
          </w:p>
        </w:tc>
        <w:tc>
          <w:tcPr>
            <w:tcW w:w="7542" w:type="dxa"/>
          </w:tcPr>
          <w:p>
            <w:pPr>
              <w:pStyle w:val="TableParagraph"/>
              <w:spacing w:before="102"/>
              <w:rPr>
                <w:sz w:val="21"/>
              </w:rPr>
            </w:pPr>
            <w:r>
              <w:rPr>
                <w:sz w:val="21"/>
              </w:rPr>
              <w:t>因感染性微Th物引致的心脏内膜炎症，并满足下列全部条件：</w:t>
            </w:r>
          </w:p>
          <w:p>
            <w:pPr>
              <w:pStyle w:val="TableParagraph"/>
              <w:numPr>
                <w:ilvl w:val="0"/>
                <w:numId w:val="12"/>
              </w:numPr>
              <w:tabs>
                <w:tab w:pos="737" w:val="left" w:leader="none"/>
              </w:tabs>
              <w:spacing w:line="240" w:lineRule="auto" w:before="123" w:after="0"/>
              <w:ind w:left="736" w:right="0" w:hanging="624"/>
              <w:jc w:val="left"/>
              <w:rPr>
                <w:sz w:val="21"/>
              </w:rPr>
            </w:pPr>
            <w:r>
              <w:rPr>
                <w:spacing w:val="-3"/>
                <w:sz w:val="21"/>
              </w:rPr>
              <w:t>以下方法之一血液培养测试结果为阳性，证实存在感染性微</w:t>
            </w:r>
            <w:r>
              <w:rPr>
                <w:sz w:val="21"/>
              </w:rPr>
              <w:t>Th物：</w:t>
            </w:r>
          </w:p>
          <w:p>
            <w:pPr>
              <w:pStyle w:val="TableParagraph"/>
              <w:spacing w:line="278" w:lineRule="auto" w:before="123"/>
              <w:ind w:left="1058" w:right="312" w:hanging="315"/>
              <w:rPr>
                <w:sz w:val="21"/>
              </w:rPr>
            </w:pPr>
            <w:r>
              <w:rPr>
                <w:sz w:val="21"/>
              </w:rPr>
              <w:t>① 微Th物：在赘Th物或者心脏内脓疡经培养或者组织检查证实有微Th 物；</w:t>
            </w:r>
          </w:p>
          <w:p>
            <w:pPr>
              <w:pStyle w:val="TableParagraph"/>
              <w:spacing w:line="280" w:lineRule="auto" w:before="90"/>
              <w:ind w:left="1058" w:right="311" w:hanging="315"/>
              <w:rPr>
                <w:sz w:val="21"/>
              </w:rPr>
            </w:pPr>
            <w:r>
              <w:rPr>
                <w:sz w:val="21"/>
              </w:rPr>
              <w:t>② 病理性病灶：组织检查证实赘Th物或者心脏内脓疡有活动性心内膜炎；</w:t>
            </w:r>
          </w:p>
          <w:p>
            <w:pPr>
              <w:pStyle w:val="TableParagraph"/>
              <w:spacing w:before="85"/>
              <w:ind w:left="743"/>
              <w:rPr>
                <w:sz w:val="21"/>
              </w:rPr>
            </w:pPr>
            <w:r>
              <w:rPr>
                <w:sz w:val="21"/>
              </w:rPr>
              <w:t>③ 分别两次血液培养证实有微Th物，且与心内膜炎符合；</w:t>
            </w:r>
          </w:p>
          <w:p>
            <w:pPr>
              <w:pStyle w:val="TableParagraph"/>
              <w:numPr>
                <w:ilvl w:val="0"/>
                <w:numId w:val="12"/>
              </w:numPr>
              <w:tabs>
                <w:tab w:pos="737" w:val="left" w:leader="none"/>
              </w:tabs>
              <w:spacing w:line="280" w:lineRule="auto" w:before="123" w:after="0"/>
              <w:ind w:left="736" w:right="303" w:hanging="624"/>
              <w:jc w:val="left"/>
              <w:rPr>
                <w:sz w:val="21"/>
              </w:rPr>
            </w:pPr>
            <w:r>
              <w:rPr>
                <w:spacing w:val="-7"/>
                <w:sz w:val="21"/>
              </w:rPr>
              <w:t>心内膜炎引起中度心瓣膜闭锁不全</w:t>
            </w:r>
            <w:r>
              <w:rPr>
                <w:spacing w:val="-3"/>
                <w:sz w:val="21"/>
              </w:rPr>
              <w:t>（</w:t>
            </w:r>
            <w:r>
              <w:rPr>
                <w:spacing w:val="10"/>
                <w:sz w:val="21"/>
              </w:rPr>
              <w:t>指返流分数 </w:t>
            </w:r>
            <w:r>
              <w:rPr>
                <w:sz w:val="21"/>
              </w:rPr>
              <w:t>20</w:t>
            </w:r>
            <w:r>
              <w:rPr>
                <w:spacing w:val="-3"/>
                <w:sz w:val="21"/>
              </w:rPr>
              <w:t>%或者以上</w:t>
            </w:r>
            <w:r>
              <w:rPr>
                <w:spacing w:val="-5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12"/>
              </w:numPr>
              <w:tabs>
                <w:tab w:pos="737" w:val="left" w:leader="none"/>
              </w:tabs>
              <w:spacing w:line="240" w:lineRule="auto" w:before="85" w:after="0"/>
              <w:ind w:left="736" w:right="0" w:hanging="624"/>
              <w:jc w:val="left"/>
              <w:rPr>
                <w:sz w:val="21"/>
              </w:rPr>
            </w:pPr>
            <w:r>
              <w:rPr>
                <w:spacing w:val="1"/>
                <w:sz w:val="21"/>
              </w:rPr>
              <w:t>感染性心内膜炎的诊断以及心瓣膜损害程度必须由我们认可医院的专</w:t>
            </w:r>
          </w:p>
        </w:tc>
      </w:tr>
    </w:tbl>
    <w:p>
      <w:pPr>
        <w:spacing w:after="0" w:line="240" w:lineRule="auto"/>
        <w:jc w:val="left"/>
        <w:rPr>
          <w:sz w:val="21"/>
        </w:rPr>
        <w:sectPr>
          <w:pgSz w:w="11910" w:h="16840"/>
          <w:pgMar w:top="126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5"/>
        <w:gridCol w:w="7447"/>
      </w:tblGrid>
      <w:tr>
        <w:trPr>
          <w:trHeight w:val="405" w:hRule="atLeast"/>
        </w:trPr>
        <w:tc>
          <w:tcPr>
            <w:tcW w:w="902" w:type="dxa"/>
          </w:tcPr>
          <w:p>
            <w:pPr>
              <w:pStyle w:val="TableParagraph"/>
              <w:ind w:left="0"/>
              <w:rPr>
                <w:rFonts w:ascii="Times New Roman"/>
                <w:sz w:val="20"/>
              </w:rPr>
            </w:pPr>
          </w:p>
        </w:tc>
        <w:tc>
          <w:tcPr>
            <w:tcW w:w="1705" w:type="dxa"/>
          </w:tcPr>
          <w:p>
            <w:pPr>
              <w:pStyle w:val="TableParagraph"/>
              <w:ind w:left="0"/>
              <w:rPr>
                <w:rFonts w:ascii="Times New Roman"/>
                <w:sz w:val="20"/>
              </w:rPr>
            </w:pPr>
          </w:p>
        </w:tc>
        <w:tc>
          <w:tcPr>
            <w:tcW w:w="7447" w:type="dxa"/>
          </w:tcPr>
          <w:p>
            <w:pPr>
              <w:pStyle w:val="TableParagraph"/>
              <w:spacing w:line="215" w:lineRule="exact"/>
              <w:ind w:left="735"/>
              <w:rPr>
                <w:sz w:val="21"/>
              </w:rPr>
            </w:pPr>
            <w:r>
              <w:rPr>
                <w:sz w:val="21"/>
              </w:rPr>
              <w:t>科医Th确定。</w:t>
            </w:r>
          </w:p>
        </w:tc>
      </w:tr>
      <w:tr>
        <w:trPr>
          <w:trHeight w:val="1607" w:hRule="atLeast"/>
        </w:trPr>
        <w:tc>
          <w:tcPr>
            <w:tcW w:w="902" w:type="dxa"/>
          </w:tcPr>
          <w:p>
            <w:pPr>
              <w:pStyle w:val="TableParagraph"/>
              <w:spacing w:before="42"/>
              <w:ind w:left="200"/>
              <w:rPr>
                <w:rFonts w:ascii="微软雅黑"/>
                <w:b/>
                <w:sz w:val="21"/>
              </w:rPr>
            </w:pPr>
            <w:r>
              <w:rPr>
                <w:rFonts w:ascii="微软雅黑"/>
                <w:b/>
                <w:sz w:val="21"/>
              </w:rPr>
              <w:t>9.1.9</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严重冠心病</w:t>
            </w:r>
          </w:p>
        </w:tc>
        <w:tc>
          <w:tcPr>
            <w:tcW w:w="7447" w:type="dxa"/>
          </w:tcPr>
          <w:p>
            <w:pPr>
              <w:pStyle w:val="TableParagraph"/>
              <w:spacing w:line="280" w:lineRule="auto" w:before="104"/>
              <w:ind w:right="209"/>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jc w:val="both"/>
              <w:rPr>
                <w:sz w:val="21"/>
              </w:rPr>
            </w:pPr>
            <w:r>
              <w:rPr>
                <w:sz w:val="21"/>
              </w:rPr>
              <w:t>前降支、左旋支及右冠状动脉的分支血管的狭窄不在保障范围内。</w:t>
            </w:r>
          </w:p>
        </w:tc>
      </w:tr>
      <w:tr>
        <w:trPr>
          <w:trHeight w:val="1525" w:hRule="atLeast"/>
        </w:trPr>
        <w:tc>
          <w:tcPr>
            <w:tcW w:w="902" w:type="dxa"/>
          </w:tcPr>
          <w:p>
            <w:pPr>
              <w:pStyle w:val="TableParagraph"/>
              <w:spacing w:before="39"/>
              <w:ind w:left="200"/>
              <w:rPr>
                <w:rFonts w:ascii="微软雅黑"/>
                <w:b/>
                <w:sz w:val="21"/>
              </w:rPr>
            </w:pPr>
            <w:r>
              <w:rPr>
                <w:rFonts w:ascii="微软雅黑"/>
                <w:b/>
                <w:sz w:val="21"/>
              </w:rPr>
              <w:t>9.1.10</w:t>
            </w:r>
          </w:p>
        </w:tc>
        <w:tc>
          <w:tcPr>
            <w:tcW w:w="1705" w:type="dxa"/>
          </w:tcPr>
          <w:p>
            <w:pPr>
              <w:pStyle w:val="TableParagraph"/>
              <w:spacing w:line="213" w:lineRule="auto" w:before="79"/>
              <w:ind w:left="114" w:right="110"/>
              <w:rPr>
                <w:rFonts w:ascii="微软雅黑" w:eastAsia="微软雅黑" w:hint="eastAsia"/>
                <w:b/>
                <w:sz w:val="21"/>
              </w:rPr>
            </w:pPr>
            <w:r>
              <w:rPr>
                <w:rFonts w:ascii="微软雅黑" w:eastAsia="微软雅黑" w:hint="eastAsia"/>
                <w:b/>
                <w:sz w:val="21"/>
              </w:rPr>
              <w:t>主动脉夹层动脉瘤</w:t>
            </w:r>
          </w:p>
        </w:tc>
        <w:tc>
          <w:tcPr>
            <w:tcW w:w="7447" w:type="dxa"/>
          </w:tcPr>
          <w:p>
            <w:pPr>
              <w:pStyle w:val="TableParagraph"/>
              <w:spacing w:line="278" w:lineRule="auto" w:before="102"/>
              <w:ind w:right="209"/>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5"/>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5" w:hRule="atLeast"/>
        </w:trPr>
        <w:tc>
          <w:tcPr>
            <w:tcW w:w="902" w:type="dxa"/>
          </w:tcPr>
          <w:p>
            <w:pPr>
              <w:pStyle w:val="TableParagraph"/>
              <w:spacing w:before="40"/>
              <w:ind w:left="200"/>
              <w:rPr>
                <w:rFonts w:ascii="微软雅黑"/>
                <w:b/>
                <w:sz w:val="21"/>
              </w:rPr>
            </w:pPr>
            <w:r>
              <w:rPr>
                <w:rFonts w:ascii="微软雅黑"/>
                <w:b/>
                <w:sz w:val="21"/>
              </w:rPr>
              <w:t>9.1.11</w:t>
            </w:r>
          </w:p>
        </w:tc>
        <w:tc>
          <w:tcPr>
            <w:tcW w:w="1705" w:type="dxa"/>
          </w:tcPr>
          <w:p>
            <w:pPr>
              <w:pStyle w:val="TableParagraph"/>
              <w:spacing w:line="213" w:lineRule="auto" w:before="80"/>
              <w:ind w:left="114" w:right="110"/>
              <w:rPr>
                <w:rFonts w:ascii="微软雅黑" w:eastAsia="微软雅黑" w:hint="eastAsia"/>
                <w:b/>
                <w:sz w:val="21"/>
              </w:rPr>
            </w:pPr>
            <w:r>
              <w:rPr>
                <w:rFonts w:ascii="微软雅黑" w:eastAsia="微软雅黑" w:hint="eastAsia"/>
                <w:b/>
                <w:sz w:val="21"/>
              </w:rPr>
              <w:t>严重慢性缩窄性心包炎</w:t>
            </w:r>
          </w:p>
        </w:tc>
        <w:tc>
          <w:tcPr>
            <w:tcW w:w="7447" w:type="dxa"/>
          </w:tcPr>
          <w:p>
            <w:pPr>
              <w:pStyle w:val="TableParagraph"/>
              <w:spacing w:line="280" w:lineRule="auto" w:before="103"/>
              <w:ind w:right="209"/>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13"/>
              </w:numPr>
              <w:tabs>
                <w:tab w:pos="743" w:val="left" w:leader="none"/>
              </w:tabs>
              <w:spacing w:line="280" w:lineRule="auto" w:before="85" w:after="0"/>
              <w:ind w:left="742" w:right="209"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13"/>
              </w:numPr>
              <w:tabs>
                <w:tab w:pos="743" w:val="left" w:leader="none"/>
              </w:tabs>
              <w:spacing w:line="240" w:lineRule="auto" w:before="85" w:after="0"/>
              <w:ind w:left="742" w:right="0" w:hanging="631"/>
              <w:jc w:val="both"/>
              <w:rPr>
                <w:sz w:val="21"/>
              </w:rPr>
            </w:pPr>
            <w:r>
              <w:rPr>
                <w:spacing w:val="-3"/>
                <w:sz w:val="21"/>
              </w:rPr>
              <w:t>已经实施了开胸进行的心包剥脱或者心包切除手术。</w:t>
            </w:r>
          </w:p>
          <w:p>
            <w:pPr>
              <w:pStyle w:val="TableParagraph"/>
              <w:spacing w:before="123"/>
              <w:jc w:val="both"/>
              <w:rPr>
                <w:sz w:val="21"/>
              </w:rPr>
            </w:pPr>
            <w:r>
              <w:rPr>
                <w:sz w:val="21"/>
              </w:rPr>
              <w:t>经胸腔镜、胸壁打孔进行的手术，心包粘连松解手术不在保障范围内。</w:t>
            </w:r>
          </w:p>
        </w:tc>
      </w:tr>
      <w:tr>
        <w:trPr>
          <w:trHeight w:val="885" w:hRule="atLeast"/>
        </w:trPr>
        <w:tc>
          <w:tcPr>
            <w:tcW w:w="902" w:type="dxa"/>
          </w:tcPr>
          <w:p>
            <w:pPr>
              <w:pStyle w:val="TableParagraph"/>
              <w:spacing w:before="39"/>
              <w:ind w:left="200"/>
              <w:rPr>
                <w:rFonts w:ascii="微软雅黑"/>
                <w:b/>
                <w:sz w:val="21"/>
              </w:rPr>
            </w:pPr>
            <w:r>
              <w:rPr>
                <w:rFonts w:ascii="微软雅黑"/>
                <w:b/>
                <w:sz w:val="21"/>
              </w:rPr>
              <w:t>9.1.12</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肺源性心脏病</w:t>
            </w:r>
          </w:p>
        </w:tc>
        <w:tc>
          <w:tcPr>
            <w:tcW w:w="7447" w:type="dxa"/>
          </w:tcPr>
          <w:p>
            <w:pPr>
              <w:pStyle w:val="TableParagraph"/>
              <w:spacing w:line="278" w:lineRule="auto" w:before="102"/>
              <w:ind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902" w:type="dxa"/>
          </w:tcPr>
          <w:p>
            <w:pPr>
              <w:pStyle w:val="TableParagraph"/>
              <w:spacing w:before="42"/>
              <w:ind w:left="200"/>
              <w:rPr>
                <w:rFonts w:ascii="微软雅黑"/>
                <w:b/>
                <w:sz w:val="21"/>
              </w:rPr>
            </w:pPr>
            <w:r>
              <w:rPr>
                <w:rFonts w:ascii="微软雅黑"/>
                <w:b/>
                <w:sz w:val="21"/>
              </w:rPr>
              <w:t>9.1.13</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严重心肌炎</w:t>
            </w:r>
          </w:p>
        </w:tc>
        <w:tc>
          <w:tcPr>
            <w:tcW w:w="7447" w:type="dxa"/>
          </w:tcPr>
          <w:p>
            <w:pPr>
              <w:pStyle w:val="TableParagraph"/>
              <w:spacing w:line="278" w:lineRule="auto" w:before="104"/>
              <w:ind w:right="178"/>
              <w:rPr>
                <w:sz w:val="21"/>
              </w:rPr>
            </w:pPr>
            <w:r>
              <w:rPr>
                <w:sz w:val="21"/>
              </w:rPr>
              <w:t>指心肌局限性或者弥漫性的急性或者慢性炎症病变，导致心脏功能障碍，达到美国纽约心脏病学会心功能状态分级Ⅳ级，且持续至少 90 天。</w:t>
            </w:r>
          </w:p>
        </w:tc>
      </w:tr>
      <w:tr>
        <w:trPr>
          <w:trHeight w:val="2723" w:hRule="atLeast"/>
        </w:trPr>
        <w:tc>
          <w:tcPr>
            <w:tcW w:w="902" w:type="dxa"/>
          </w:tcPr>
          <w:p>
            <w:pPr>
              <w:pStyle w:val="TableParagraph"/>
              <w:spacing w:before="42"/>
              <w:ind w:left="200"/>
              <w:rPr>
                <w:rFonts w:ascii="微软雅黑"/>
                <w:b/>
                <w:sz w:val="21"/>
              </w:rPr>
            </w:pPr>
            <w:r>
              <w:rPr>
                <w:rFonts w:ascii="微软雅黑"/>
                <w:b/>
                <w:sz w:val="21"/>
              </w:rPr>
              <w:t>9.1.14</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脑中风后遗症</w:t>
            </w:r>
          </w:p>
        </w:tc>
        <w:tc>
          <w:tcPr>
            <w:tcW w:w="7447" w:type="dxa"/>
          </w:tcPr>
          <w:p>
            <w:pPr>
              <w:pStyle w:val="TableParagraph"/>
              <w:spacing w:line="280" w:lineRule="auto" w:before="104"/>
              <w:ind w:right="209"/>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14"/>
              </w:numPr>
              <w:tabs>
                <w:tab w:pos="736" w:val="left" w:leader="none"/>
              </w:tabs>
              <w:spacing w:line="240" w:lineRule="auto" w:before="22" w:after="0"/>
              <w:ind w:left="735"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14"/>
              </w:numPr>
              <w:tabs>
                <w:tab w:pos="738" w:val="left" w:leader="none"/>
              </w:tabs>
              <w:spacing w:line="240" w:lineRule="auto" w:before="35" w:after="0"/>
              <w:ind w:left="738"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3"/>
                <w:sz w:val="21"/>
              </w:rPr>
              <w:t>4</w:t>
            </w:r>
            <w:r>
              <w:rPr>
                <w:spacing w:val="-106"/>
                <w:w w:val="100"/>
                <w:sz w:val="21"/>
              </w:rPr>
              <w:t>）；</w:t>
            </w:r>
          </w:p>
          <w:p>
            <w:pPr>
              <w:pStyle w:val="TableParagraph"/>
              <w:numPr>
                <w:ilvl w:val="0"/>
                <w:numId w:val="14"/>
              </w:numPr>
              <w:tabs>
                <w:tab w:pos="736" w:val="left" w:leader="none"/>
              </w:tabs>
              <w:spacing w:line="240" w:lineRule="auto" w:before="35" w:after="0"/>
              <w:ind w:left="735"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21"/>
              <w:ind w:left="735"/>
              <w:rPr>
                <w:sz w:val="21"/>
              </w:rPr>
            </w:pPr>
            <w:r>
              <w:rPr>
                <w:w w:val="97"/>
                <w:sz w:val="21"/>
              </w:rPr>
              <w:t>1</w:t>
            </w:r>
            <w:r>
              <w:rPr>
                <w:w w:val="122"/>
                <w:sz w:val="21"/>
              </w:rPr>
              <w:t>0</w:t>
            </w:r>
            <w:r>
              <w:rPr>
                <w:spacing w:val="-2"/>
                <w:w w:val="58"/>
                <w:sz w:val="21"/>
              </w:rPr>
              <w:t>.</w:t>
            </w:r>
            <w:r>
              <w:rPr>
                <w:spacing w:val="-2"/>
                <w:w w:val="120"/>
                <w:sz w:val="21"/>
              </w:rPr>
              <w:t>2</w:t>
            </w:r>
            <w:r>
              <w:rPr>
                <w:spacing w:val="-2"/>
                <w:w w:val="122"/>
                <w:sz w:val="21"/>
              </w:rPr>
              <w:t>5</w:t>
            </w:r>
            <w:r>
              <w:rPr>
                <w:w w:val="100"/>
                <w:sz w:val="21"/>
              </w:rPr>
              <w:t>）</w:t>
            </w:r>
            <w:r>
              <w:rPr>
                <w:spacing w:val="-3"/>
                <w:w w:val="100"/>
                <w:sz w:val="21"/>
              </w:rPr>
              <w:t>中的三项或者三项以上。</w:t>
            </w:r>
          </w:p>
        </w:tc>
      </w:tr>
      <w:tr>
        <w:trPr>
          <w:trHeight w:val="2723" w:hRule="atLeast"/>
        </w:trPr>
        <w:tc>
          <w:tcPr>
            <w:tcW w:w="902" w:type="dxa"/>
          </w:tcPr>
          <w:p>
            <w:pPr>
              <w:pStyle w:val="TableParagraph"/>
              <w:spacing w:before="40"/>
              <w:ind w:left="200"/>
              <w:rPr>
                <w:rFonts w:ascii="微软雅黑"/>
                <w:b/>
                <w:sz w:val="21"/>
              </w:rPr>
            </w:pPr>
            <w:r>
              <w:rPr>
                <w:rFonts w:ascii="微软雅黑"/>
                <w:b/>
                <w:sz w:val="21"/>
              </w:rPr>
              <w:t>9.1.15</w:t>
            </w:r>
          </w:p>
        </w:tc>
        <w:tc>
          <w:tcPr>
            <w:tcW w:w="1705" w:type="dxa"/>
          </w:tcPr>
          <w:p>
            <w:pPr>
              <w:pStyle w:val="TableParagraph"/>
              <w:spacing w:before="40"/>
              <w:ind w:left="114"/>
              <w:rPr>
                <w:rFonts w:ascii="微软雅黑" w:eastAsia="微软雅黑" w:hint="eastAsia"/>
                <w:b/>
                <w:sz w:val="21"/>
              </w:rPr>
            </w:pPr>
            <w:r>
              <w:rPr>
                <w:rFonts w:ascii="微软雅黑" w:eastAsia="微软雅黑" w:hint="eastAsia"/>
                <w:b/>
                <w:sz w:val="21"/>
              </w:rPr>
              <w:t>良性脑肿瘤</w:t>
            </w:r>
          </w:p>
        </w:tc>
        <w:tc>
          <w:tcPr>
            <w:tcW w:w="7447" w:type="dxa"/>
          </w:tcPr>
          <w:p>
            <w:pPr>
              <w:pStyle w:val="TableParagraph"/>
              <w:spacing w:line="280" w:lineRule="auto" w:before="103"/>
              <w:ind w:right="209"/>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15"/>
              </w:numPr>
              <w:tabs>
                <w:tab w:pos="736" w:val="left" w:leader="none"/>
              </w:tabs>
              <w:spacing w:line="240" w:lineRule="auto" w:before="87" w:after="0"/>
              <w:ind w:left="735" w:right="0" w:hanging="624"/>
              <w:jc w:val="both"/>
              <w:rPr>
                <w:sz w:val="21"/>
              </w:rPr>
            </w:pPr>
            <w:r>
              <w:rPr>
                <w:spacing w:val="-3"/>
                <w:sz w:val="21"/>
              </w:rPr>
              <w:t>实际实施了开颅进行的脑肿瘤完全切除或者部分切除的手术；</w:t>
            </w:r>
          </w:p>
          <w:p>
            <w:pPr>
              <w:pStyle w:val="TableParagraph"/>
              <w:numPr>
                <w:ilvl w:val="0"/>
                <w:numId w:val="15"/>
              </w:numPr>
              <w:tabs>
                <w:tab w:pos="736" w:val="left" w:leader="none"/>
              </w:tabs>
              <w:spacing w:line="240" w:lineRule="auto" w:before="120" w:after="0"/>
              <w:ind w:left="735"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724" w:hRule="atLeast"/>
        </w:trPr>
        <w:tc>
          <w:tcPr>
            <w:tcW w:w="902" w:type="dxa"/>
          </w:tcPr>
          <w:p>
            <w:pPr>
              <w:pStyle w:val="TableParagraph"/>
              <w:spacing w:before="39"/>
              <w:ind w:left="200"/>
              <w:rPr>
                <w:rFonts w:ascii="微软雅黑"/>
                <w:b/>
                <w:sz w:val="21"/>
              </w:rPr>
            </w:pPr>
            <w:r>
              <w:rPr>
                <w:rFonts w:ascii="微软雅黑"/>
                <w:b/>
                <w:sz w:val="21"/>
              </w:rPr>
              <w:t>9.1.16</w:t>
            </w:r>
          </w:p>
        </w:tc>
        <w:tc>
          <w:tcPr>
            <w:tcW w:w="1705" w:type="dxa"/>
          </w:tcPr>
          <w:p>
            <w:pPr>
              <w:pStyle w:val="TableParagraph"/>
              <w:spacing w:line="322" w:lineRule="exact" w:before="90"/>
              <w:ind w:left="114" w:right="110"/>
              <w:rPr>
                <w:rFonts w:ascii="微软雅黑" w:eastAsia="微软雅黑" w:hint="eastAsia"/>
                <w:b/>
                <w:sz w:val="21"/>
              </w:rPr>
            </w:pPr>
            <w:r>
              <w:rPr>
                <w:rFonts w:ascii="微软雅黑" w:eastAsia="微软雅黑" w:hint="eastAsia"/>
                <w:b/>
                <w:sz w:val="21"/>
              </w:rPr>
              <w:t>脑炎后遗症或者脑膜炎后遗症</w:t>
            </w:r>
          </w:p>
        </w:tc>
        <w:tc>
          <w:tcPr>
            <w:tcW w:w="7447" w:type="dxa"/>
          </w:tcPr>
          <w:p>
            <w:pPr>
              <w:pStyle w:val="TableParagraph"/>
              <w:spacing w:line="320" w:lineRule="atLeast" w:before="57"/>
              <w:ind w:right="162"/>
              <w:rPr>
                <w:sz w:val="21"/>
              </w:rPr>
            </w:pPr>
            <w:r>
              <w:rPr>
                <w:sz w:val="21"/>
              </w:rPr>
              <w:t>指因患脑炎或者脑膜炎导致的神经系统永久性的功能障碍。神经系统永久性的功能障碍，指疾病确诊 180 天后，仍遗留下列一种或者一种以上障碍：</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3"/>
        <w:gridCol w:w="7440"/>
      </w:tblGrid>
      <w:tr>
        <w:trPr>
          <w:trHeight w:val="1522" w:hRule="atLeast"/>
        </w:trPr>
        <w:tc>
          <w:tcPr>
            <w:tcW w:w="914" w:type="dxa"/>
          </w:tcPr>
          <w:p>
            <w:pPr>
              <w:pStyle w:val="TableParagraph"/>
              <w:ind w:left="0"/>
              <w:rPr>
                <w:rFonts w:ascii="Times New Roman"/>
                <w:sz w:val="20"/>
              </w:rPr>
            </w:pPr>
          </w:p>
        </w:tc>
        <w:tc>
          <w:tcPr>
            <w:tcW w:w="1693" w:type="dxa"/>
          </w:tcPr>
          <w:p>
            <w:pPr>
              <w:pStyle w:val="TableParagraph"/>
              <w:ind w:left="0"/>
              <w:rPr>
                <w:rFonts w:ascii="Times New Roman"/>
                <w:sz w:val="20"/>
              </w:rPr>
            </w:pPr>
          </w:p>
        </w:tc>
        <w:tc>
          <w:tcPr>
            <w:tcW w:w="7440" w:type="dxa"/>
          </w:tcPr>
          <w:p>
            <w:pPr>
              <w:pStyle w:val="TableParagraph"/>
              <w:numPr>
                <w:ilvl w:val="0"/>
                <w:numId w:val="16"/>
              </w:numPr>
              <w:tabs>
                <w:tab w:pos="736" w:val="left" w:leader="none"/>
              </w:tabs>
              <w:spacing w:line="215" w:lineRule="exact" w:before="0" w:after="0"/>
              <w:ind w:left="735" w:right="0" w:hanging="624"/>
              <w:jc w:val="left"/>
              <w:rPr>
                <w:sz w:val="21"/>
              </w:rPr>
            </w:pPr>
            <w:r>
              <w:rPr>
                <w:spacing w:val="-3"/>
                <w:sz w:val="21"/>
              </w:rPr>
              <w:t>一肢或者一肢以上肢体机能完全丧失；</w:t>
            </w:r>
          </w:p>
          <w:p>
            <w:pPr>
              <w:pStyle w:val="TableParagraph"/>
              <w:numPr>
                <w:ilvl w:val="0"/>
                <w:numId w:val="16"/>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6"/>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7" w:hRule="atLeast"/>
        </w:trPr>
        <w:tc>
          <w:tcPr>
            <w:tcW w:w="914" w:type="dxa"/>
          </w:tcPr>
          <w:p>
            <w:pPr>
              <w:pStyle w:val="TableParagraph"/>
              <w:spacing w:before="40"/>
              <w:ind w:left="0" w:right="125"/>
              <w:jc w:val="right"/>
              <w:rPr>
                <w:rFonts w:ascii="微软雅黑"/>
                <w:b/>
                <w:sz w:val="21"/>
              </w:rPr>
            </w:pPr>
            <w:r>
              <w:rPr>
                <w:rFonts w:ascii="微软雅黑"/>
                <w:b/>
                <w:w w:val="90"/>
                <w:sz w:val="21"/>
              </w:rPr>
              <w:t>9.1.17</w:t>
            </w:r>
          </w:p>
        </w:tc>
        <w:tc>
          <w:tcPr>
            <w:tcW w:w="1693" w:type="dxa"/>
          </w:tcPr>
          <w:p>
            <w:pPr>
              <w:pStyle w:val="TableParagraph"/>
              <w:spacing w:before="40"/>
              <w:ind w:left="102"/>
              <w:rPr>
                <w:rFonts w:ascii="微软雅黑" w:eastAsia="微软雅黑" w:hint="eastAsia"/>
                <w:b/>
                <w:sz w:val="21"/>
              </w:rPr>
            </w:pPr>
            <w:r>
              <w:rPr>
                <w:rFonts w:ascii="微软雅黑" w:eastAsia="微软雅黑" w:hint="eastAsia"/>
                <w:b/>
                <w:sz w:val="21"/>
              </w:rPr>
              <w:t>深度昏迷</w:t>
            </w:r>
          </w:p>
        </w:tc>
        <w:tc>
          <w:tcPr>
            <w:tcW w:w="7440" w:type="dxa"/>
          </w:tcPr>
          <w:p>
            <w:pPr>
              <w:pStyle w:val="TableParagraph"/>
              <w:spacing w:line="280" w:lineRule="auto" w:before="103"/>
              <w:ind w:left="110" w:right="204"/>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spacing w:val="-3"/>
                <w:w w:val="100"/>
                <w:sz w:val="21"/>
              </w:rPr>
              <w:t>（</w:t>
            </w:r>
            <w:r>
              <w:rPr>
                <w:w w:val="111"/>
                <w:sz w:val="21"/>
              </w:rPr>
              <w:t>Gl</w:t>
            </w:r>
            <w:r>
              <w:rPr>
                <w:spacing w:val="-2"/>
                <w:w w:val="111"/>
                <w:sz w:val="21"/>
              </w:rPr>
              <w:t>a</w:t>
            </w:r>
            <w:r>
              <w:rPr>
                <w:spacing w:val="-1"/>
                <w:w w:val="118"/>
                <w:sz w:val="21"/>
              </w:rPr>
              <w:t>s</w:t>
            </w:r>
            <w:r>
              <w:rPr>
                <w:spacing w:val="-2"/>
                <w:w w:val="118"/>
                <w:sz w:val="21"/>
              </w:rPr>
              <w:t>g</w:t>
            </w:r>
            <w:r>
              <w:rPr>
                <w:w w:val="122"/>
                <w:sz w:val="21"/>
              </w:rPr>
              <w:t>o</w:t>
            </w:r>
            <w:r>
              <w:rPr>
                <w:w w:val="158"/>
                <w:sz w:val="21"/>
              </w:rPr>
              <w:t>w</w:t>
            </w:r>
            <w:r>
              <w:rPr>
                <w:spacing w:val="-63"/>
                <w:sz w:val="21"/>
              </w:rPr>
              <w:t> </w:t>
            </w:r>
            <w:r>
              <w:rPr>
                <w:spacing w:val="-2"/>
                <w:w w:val="110"/>
                <w:sz w:val="21"/>
              </w:rPr>
              <w:t>c</w:t>
            </w:r>
            <w:r>
              <w:rPr>
                <w:spacing w:val="-2"/>
                <w:w w:val="122"/>
                <w:sz w:val="21"/>
              </w:rPr>
              <w:t>o</w:t>
            </w:r>
            <w:r>
              <w:rPr>
                <w:spacing w:val="-2"/>
                <w:w w:val="182"/>
                <w:sz w:val="21"/>
              </w:rPr>
              <w:t>m</w:t>
            </w:r>
            <w:r>
              <w:rPr>
                <w:w w:val="122"/>
                <w:sz w:val="21"/>
              </w:rPr>
              <w:t>a</w:t>
            </w:r>
            <w:r>
              <w:rPr>
                <w:spacing w:val="-61"/>
                <w:sz w:val="21"/>
              </w:rPr>
              <w:t> </w:t>
            </w:r>
            <w:r>
              <w:rPr>
                <w:spacing w:val="-1"/>
                <w:w w:val="112"/>
                <w:sz w:val="21"/>
              </w:rPr>
              <w:t>sc</w:t>
            </w:r>
            <w:r>
              <w:rPr>
                <w:w w:val="122"/>
                <w:sz w:val="21"/>
              </w:rPr>
              <w:t>a</w:t>
            </w:r>
            <w:r>
              <w:rPr>
                <w:spacing w:val="-3"/>
                <w:w w:val="39"/>
                <w:sz w:val="21"/>
              </w:rPr>
              <w:t>l</w:t>
            </w:r>
            <w:r>
              <w:rPr>
                <w:spacing w:val="0"/>
                <w:w w:val="122"/>
                <w:sz w:val="21"/>
              </w:rPr>
              <w:t>e</w:t>
            </w:r>
            <w:r>
              <w:rPr>
                <w:spacing w:val="-20"/>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3"/>
                <w:sz w:val="21"/>
              </w:rPr>
              <w:t> </w:t>
            </w:r>
            <w:r>
              <w:rPr>
                <w:w w:val="122"/>
                <w:sz w:val="21"/>
              </w:rPr>
              <w:t>5</w:t>
            </w:r>
            <w:r>
              <w:rPr>
                <w:spacing w:val="-54"/>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7"/>
              <w:ind w:left="110"/>
              <w:jc w:val="both"/>
              <w:rPr>
                <w:sz w:val="21"/>
              </w:rPr>
            </w:pPr>
            <w:r>
              <w:rPr>
                <w:sz w:val="21"/>
              </w:rPr>
              <w:t>因酗酒或者药物滥用导致的深度昏迷不在保障范围内。</w:t>
            </w:r>
          </w:p>
        </w:tc>
      </w:tr>
      <w:tr>
        <w:trPr>
          <w:trHeight w:val="1206" w:hRule="atLeast"/>
        </w:trPr>
        <w:tc>
          <w:tcPr>
            <w:tcW w:w="914" w:type="dxa"/>
          </w:tcPr>
          <w:p>
            <w:pPr>
              <w:pStyle w:val="TableParagraph"/>
              <w:spacing w:before="38"/>
              <w:ind w:left="0" w:right="122"/>
              <w:jc w:val="right"/>
              <w:rPr>
                <w:rFonts w:ascii="微软雅黑"/>
                <w:b/>
                <w:sz w:val="21"/>
              </w:rPr>
            </w:pPr>
            <w:r>
              <w:rPr>
                <w:rFonts w:ascii="微软雅黑"/>
                <w:b/>
                <w:w w:val="90"/>
                <w:sz w:val="21"/>
              </w:rPr>
              <w:t>9.1.18</w:t>
            </w:r>
          </w:p>
        </w:tc>
        <w:tc>
          <w:tcPr>
            <w:tcW w:w="1693" w:type="dxa"/>
          </w:tcPr>
          <w:p>
            <w:pPr>
              <w:pStyle w:val="TableParagraph"/>
              <w:spacing w:before="38"/>
              <w:ind w:left="102"/>
              <w:rPr>
                <w:rFonts w:ascii="微软雅黑" w:eastAsia="微软雅黑" w:hint="eastAsia"/>
                <w:b/>
                <w:sz w:val="21"/>
              </w:rPr>
            </w:pPr>
            <w:r>
              <w:rPr>
                <w:rFonts w:ascii="微软雅黑" w:eastAsia="微软雅黑" w:hint="eastAsia"/>
                <w:b/>
                <w:sz w:val="21"/>
              </w:rPr>
              <w:t>瘫痪</w:t>
            </w:r>
          </w:p>
        </w:tc>
        <w:tc>
          <w:tcPr>
            <w:tcW w:w="7440" w:type="dxa"/>
          </w:tcPr>
          <w:p>
            <w:pPr>
              <w:pStyle w:val="TableParagraph"/>
              <w:spacing w:line="280" w:lineRule="auto" w:before="101"/>
              <w:ind w:left="110" w:right="201"/>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7" w:hRule="atLeast"/>
        </w:trPr>
        <w:tc>
          <w:tcPr>
            <w:tcW w:w="914" w:type="dxa"/>
          </w:tcPr>
          <w:p>
            <w:pPr>
              <w:pStyle w:val="TableParagraph"/>
              <w:spacing w:before="42"/>
              <w:ind w:left="0" w:right="124"/>
              <w:jc w:val="right"/>
              <w:rPr>
                <w:rFonts w:ascii="微软雅黑"/>
                <w:b/>
                <w:sz w:val="21"/>
              </w:rPr>
            </w:pPr>
            <w:r>
              <w:rPr>
                <w:rFonts w:ascii="微软雅黑"/>
                <w:b/>
                <w:w w:val="90"/>
                <w:sz w:val="21"/>
              </w:rPr>
              <w:t>9.1.19</w:t>
            </w:r>
          </w:p>
        </w:tc>
        <w:tc>
          <w:tcPr>
            <w:tcW w:w="1693" w:type="dxa"/>
          </w:tcPr>
          <w:p>
            <w:pPr>
              <w:pStyle w:val="TableParagraph"/>
              <w:spacing w:line="211" w:lineRule="auto" w:before="85"/>
              <w:ind w:left="102" w:right="110"/>
              <w:rPr>
                <w:rFonts w:ascii="微软雅黑" w:eastAsia="微软雅黑" w:hint="eastAsia"/>
                <w:b/>
                <w:sz w:val="21"/>
              </w:rPr>
            </w:pPr>
            <w:r>
              <w:rPr>
                <w:rFonts w:ascii="微软雅黑" w:eastAsia="微软雅黑" w:hint="eastAsia"/>
                <w:b/>
                <w:sz w:val="21"/>
              </w:rPr>
              <w:t>严重阿尔茨海默病</w:t>
            </w:r>
          </w:p>
        </w:tc>
        <w:tc>
          <w:tcPr>
            <w:tcW w:w="7440" w:type="dxa"/>
          </w:tcPr>
          <w:p>
            <w:pPr>
              <w:pStyle w:val="TableParagraph"/>
              <w:spacing w:line="278" w:lineRule="auto" w:before="104"/>
              <w:ind w:left="110" w:right="202"/>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9"/>
              <w:ind w:left="110"/>
              <w:jc w:val="both"/>
              <w:rPr>
                <w:sz w:val="21"/>
              </w:rPr>
            </w:pPr>
            <w:r>
              <w:rPr>
                <w:sz w:val="21"/>
              </w:rPr>
              <w:t>神经官能症和精神疾病不在保障范围内。</w:t>
            </w:r>
          </w:p>
        </w:tc>
      </w:tr>
      <w:tr>
        <w:trPr>
          <w:trHeight w:val="2246" w:hRule="atLeast"/>
        </w:trPr>
        <w:tc>
          <w:tcPr>
            <w:tcW w:w="914" w:type="dxa"/>
          </w:tcPr>
          <w:p>
            <w:pPr>
              <w:pStyle w:val="TableParagraph"/>
              <w:spacing w:before="38"/>
              <w:ind w:left="0" w:right="101"/>
              <w:jc w:val="right"/>
              <w:rPr>
                <w:rFonts w:ascii="微软雅黑"/>
                <w:b/>
                <w:sz w:val="21"/>
              </w:rPr>
            </w:pPr>
            <w:r>
              <w:rPr>
                <w:rFonts w:ascii="微软雅黑"/>
                <w:b/>
                <w:w w:val="95"/>
                <w:sz w:val="21"/>
              </w:rPr>
              <w:t>9.1.20</w:t>
            </w:r>
          </w:p>
        </w:tc>
        <w:tc>
          <w:tcPr>
            <w:tcW w:w="1693" w:type="dxa"/>
          </w:tcPr>
          <w:p>
            <w:pPr>
              <w:pStyle w:val="TableParagraph"/>
              <w:spacing w:line="213" w:lineRule="auto" w:before="78"/>
              <w:ind w:left="102" w:right="110"/>
              <w:rPr>
                <w:rFonts w:ascii="微软雅黑" w:eastAsia="微软雅黑" w:hint="eastAsia"/>
                <w:b/>
                <w:sz w:val="21"/>
              </w:rPr>
            </w:pPr>
            <w:r>
              <w:rPr>
                <w:rFonts w:ascii="微软雅黑" w:eastAsia="微软雅黑" w:hint="eastAsia"/>
                <w:b/>
                <w:sz w:val="21"/>
              </w:rPr>
              <w:t>非阿尔茨海默病致严重痴呆</w:t>
            </w:r>
          </w:p>
        </w:tc>
        <w:tc>
          <w:tcPr>
            <w:tcW w:w="7440" w:type="dxa"/>
          </w:tcPr>
          <w:p>
            <w:pPr>
              <w:pStyle w:val="TableParagraph"/>
              <w:spacing w:line="280" w:lineRule="auto" w:before="101"/>
              <w:ind w:left="110" w:right="200"/>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8"/>
              <w:ind w:left="110"/>
              <w:jc w:val="both"/>
              <w:rPr>
                <w:sz w:val="21"/>
              </w:rPr>
            </w:pPr>
            <w:r>
              <w:rPr>
                <w:sz w:val="21"/>
              </w:rPr>
              <w:t>神经官能症、精神疾病及酒精中毒所致脑损害不在保障范围内。</w:t>
            </w:r>
          </w:p>
        </w:tc>
      </w:tr>
      <w:tr>
        <w:trPr>
          <w:trHeight w:val="3041" w:hRule="atLeast"/>
        </w:trPr>
        <w:tc>
          <w:tcPr>
            <w:tcW w:w="914" w:type="dxa"/>
          </w:tcPr>
          <w:p>
            <w:pPr>
              <w:pStyle w:val="TableParagraph"/>
              <w:spacing w:before="38"/>
              <w:ind w:left="0" w:right="127"/>
              <w:jc w:val="right"/>
              <w:rPr>
                <w:rFonts w:ascii="微软雅黑"/>
                <w:b/>
                <w:sz w:val="21"/>
              </w:rPr>
            </w:pPr>
            <w:r>
              <w:rPr>
                <w:rFonts w:ascii="微软雅黑"/>
                <w:b/>
                <w:w w:val="90"/>
                <w:sz w:val="21"/>
              </w:rPr>
              <w:t>9.1.21</w:t>
            </w:r>
          </w:p>
        </w:tc>
        <w:tc>
          <w:tcPr>
            <w:tcW w:w="1693" w:type="dxa"/>
          </w:tcPr>
          <w:p>
            <w:pPr>
              <w:pStyle w:val="TableParagraph"/>
              <w:spacing w:before="38"/>
              <w:ind w:left="102"/>
              <w:rPr>
                <w:rFonts w:ascii="微软雅黑" w:eastAsia="微软雅黑" w:hint="eastAsia"/>
                <w:b/>
                <w:sz w:val="21"/>
              </w:rPr>
            </w:pPr>
            <w:r>
              <w:rPr>
                <w:rFonts w:ascii="微软雅黑" w:eastAsia="微软雅黑" w:hint="eastAsia"/>
                <w:b/>
                <w:sz w:val="21"/>
              </w:rPr>
              <w:t>严重脑损伤</w:t>
            </w:r>
          </w:p>
        </w:tc>
        <w:tc>
          <w:tcPr>
            <w:tcW w:w="7440" w:type="dxa"/>
          </w:tcPr>
          <w:p>
            <w:pPr>
              <w:pStyle w:val="TableParagraph"/>
              <w:spacing w:line="280" w:lineRule="auto" w:before="101"/>
              <w:ind w:left="110" w:right="202"/>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17"/>
              </w:numPr>
              <w:tabs>
                <w:tab w:pos="736" w:val="left" w:leader="none"/>
              </w:tabs>
              <w:spacing w:line="240" w:lineRule="auto" w:before="85" w:after="0"/>
              <w:ind w:left="735" w:right="0" w:hanging="624"/>
              <w:jc w:val="left"/>
              <w:rPr>
                <w:sz w:val="21"/>
              </w:rPr>
            </w:pPr>
            <w:r>
              <w:rPr>
                <w:spacing w:val="-3"/>
                <w:sz w:val="21"/>
              </w:rPr>
              <w:t>一肢或者一肢以上肢体机能完全丧失；</w:t>
            </w:r>
          </w:p>
          <w:p>
            <w:pPr>
              <w:pStyle w:val="TableParagraph"/>
              <w:numPr>
                <w:ilvl w:val="0"/>
                <w:numId w:val="17"/>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7"/>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2241" w:hRule="atLeast"/>
        </w:trPr>
        <w:tc>
          <w:tcPr>
            <w:tcW w:w="914" w:type="dxa"/>
          </w:tcPr>
          <w:p>
            <w:pPr>
              <w:pStyle w:val="TableParagraph"/>
              <w:spacing w:before="41"/>
              <w:ind w:left="0" w:right="102"/>
              <w:jc w:val="right"/>
              <w:rPr>
                <w:rFonts w:ascii="微软雅黑"/>
                <w:b/>
                <w:sz w:val="21"/>
              </w:rPr>
            </w:pPr>
            <w:r>
              <w:rPr>
                <w:rFonts w:ascii="微软雅黑"/>
                <w:b/>
                <w:w w:val="95"/>
                <w:sz w:val="21"/>
              </w:rPr>
              <w:t>9.1.22</w:t>
            </w:r>
          </w:p>
        </w:tc>
        <w:tc>
          <w:tcPr>
            <w:tcW w:w="1693" w:type="dxa"/>
          </w:tcPr>
          <w:p>
            <w:pPr>
              <w:pStyle w:val="TableParagraph"/>
              <w:spacing w:before="41"/>
              <w:ind w:left="102"/>
              <w:rPr>
                <w:rFonts w:ascii="微软雅黑" w:eastAsia="微软雅黑" w:hint="eastAsia"/>
                <w:b/>
                <w:sz w:val="21"/>
              </w:rPr>
            </w:pPr>
            <w:r>
              <w:rPr>
                <w:rFonts w:ascii="微软雅黑" w:eastAsia="微软雅黑" w:hint="eastAsia"/>
                <w:b/>
                <w:sz w:val="21"/>
              </w:rPr>
              <w:t>严重帕金森病</w:t>
            </w:r>
          </w:p>
        </w:tc>
        <w:tc>
          <w:tcPr>
            <w:tcW w:w="7440" w:type="dxa"/>
          </w:tcPr>
          <w:p>
            <w:pPr>
              <w:pStyle w:val="TableParagraph"/>
              <w:spacing w:line="280" w:lineRule="auto" w:before="103"/>
              <w:ind w:left="110" w:right="188"/>
              <w:rPr>
                <w:sz w:val="21"/>
              </w:rPr>
            </w:pPr>
            <w:r>
              <w:rPr>
                <w:sz w:val="21"/>
              </w:rPr>
              <w:t>是一种中枢神经系统的退行性疾病，临床表现为震颤麻痹、共济失调等。须满足下列全部条件：</w:t>
            </w:r>
          </w:p>
          <w:p>
            <w:pPr>
              <w:pStyle w:val="TableParagraph"/>
              <w:numPr>
                <w:ilvl w:val="0"/>
                <w:numId w:val="18"/>
              </w:numPr>
              <w:tabs>
                <w:tab w:pos="736" w:val="left" w:leader="none"/>
              </w:tabs>
              <w:spacing w:line="240" w:lineRule="auto" w:before="85" w:after="0"/>
              <w:ind w:left="735" w:right="0" w:hanging="624"/>
              <w:jc w:val="left"/>
              <w:rPr>
                <w:sz w:val="21"/>
              </w:rPr>
            </w:pPr>
            <w:r>
              <w:rPr>
                <w:spacing w:val="-3"/>
                <w:sz w:val="21"/>
              </w:rPr>
              <w:t>药物治疗无法控制病情；</w:t>
            </w:r>
          </w:p>
          <w:p>
            <w:pPr>
              <w:pStyle w:val="TableParagraph"/>
              <w:numPr>
                <w:ilvl w:val="0"/>
                <w:numId w:val="18"/>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85"/>
              <w:ind w:left="110"/>
              <w:rPr>
                <w:sz w:val="21"/>
              </w:rPr>
            </w:pPr>
            <w:r>
              <w:rPr>
                <w:sz w:val="21"/>
              </w:rPr>
              <w:t>继发性帕金森综合征不在保障范围内。</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58"/>
      </w:tblGrid>
      <w:tr>
        <w:trPr>
          <w:trHeight w:val="1366" w:hRule="atLeast"/>
        </w:trPr>
        <w:tc>
          <w:tcPr>
            <w:tcW w:w="915" w:type="dxa"/>
          </w:tcPr>
          <w:p>
            <w:pPr>
              <w:pStyle w:val="TableParagraph"/>
              <w:spacing w:line="241" w:lineRule="exact"/>
              <w:ind w:left="0" w:right="103"/>
              <w:jc w:val="right"/>
              <w:rPr>
                <w:rFonts w:ascii="微软雅黑"/>
                <w:b/>
                <w:sz w:val="21"/>
              </w:rPr>
            </w:pPr>
            <w:r>
              <w:rPr>
                <w:rFonts w:ascii="微软雅黑"/>
                <w:b/>
                <w:w w:val="95"/>
                <w:sz w:val="21"/>
              </w:rPr>
              <w:t>9.1.23</w:t>
            </w:r>
          </w:p>
        </w:tc>
        <w:tc>
          <w:tcPr>
            <w:tcW w:w="1692" w:type="dxa"/>
          </w:tcPr>
          <w:p>
            <w:pPr>
              <w:pStyle w:val="TableParagraph"/>
              <w:spacing w:line="220" w:lineRule="exact"/>
              <w:ind w:left="101"/>
              <w:rPr>
                <w:rFonts w:ascii="微软雅黑" w:eastAsia="微软雅黑" w:hint="eastAsia"/>
                <w:b/>
                <w:sz w:val="21"/>
              </w:rPr>
            </w:pPr>
            <w:r>
              <w:rPr>
                <w:rFonts w:ascii="微软雅黑" w:eastAsia="微软雅黑" w:hint="eastAsia"/>
                <w:b/>
                <w:sz w:val="21"/>
              </w:rPr>
              <w:t>严重运动神经元</w:t>
            </w:r>
          </w:p>
          <w:p>
            <w:pPr>
              <w:pStyle w:val="TableParagraph"/>
              <w:spacing w:line="342" w:lineRule="exact"/>
              <w:ind w:left="101"/>
              <w:rPr>
                <w:rFonts w:ascii="微软雅黑" w:eastAsia="微软雅黑" w:hint="eastAsia"/>
                <w:b/>
                <w:sz w:val="21"/>
              </w:rPr>
            </w:pPr>
            <w:r>
              <w:rPr>
                <w:rFonts w:ascii="微软雅黑" w:eastAsia="微软雅黑" w:hint="eastAsia"/>
                <w:b/>
                <w:w w:val="100"/>
                <w:sz w:val="21"/>
              </w:rPr>
              <w:t>病</w:t>
            </w:r>
          </w:p>
        </w:tc>
        <w:tc>
          <w:tcPr>
            <w:tcW w:w="7458" w:type="dxa"/>
          </w:tcPr>
          <w:p>
            <w:pPr>
              <w:pStyle w:val="TableParagraph"/>
              <w:spacing w:line="215" w:lineRule="exact"/>
              <w:rPr>
                <w:sz w:val="21"/>
              </w:rPr>
            </w:pPr>
            <w:r>
              <w:rPr>
                <w:sz w:val="21"/>
              </w:rPr>
              <w:t>是一组中枢神经系统运动神经元的进行性变性疾病，包括进行性脊肌萎缩症、</w:t>
            </w:r>
          </w:p>
          <w:p>
            <w:pPr>
              <w:pStyle w:val="TableParagraph"/>
              <w:spacing w:line="280" w:lineRule="auto" w:before="46"/>
              <w:ind w:right="220"/>
              <w:jc w:val="both"/>
              <w:rPr>
                <w:sz w:val="21"/>
              </w:rPr>
            </w:pP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8" w:hRule="atLeast"/>
        </w:trPr>
        <w:tc>
          <w:tcPr>
            <w:tcW w:w="915" w:type="dxa"/>
          </w:tcPr>
          <w:p>
            <w:pPr>
              <w:pStyle w:val="TableParagraph"/>
              <w:spacing w:before="40"/>
              <w:ind w:left="0" w:right="101"/>
              <w:jc w:val="right"/>
              <w:rPr>
                <w:rFonts w:ascii="微软雅黑"/>
                <w:b/>
                <w:sz w:val="21"/>
              </w:rPr>
            </w:pPr>
            <w:r>
              <w:rPr>
                <w:rFonts w:ascii="微软雅黑"/>
                <w:b/>
                <w:w w:val="95"/>
                <w:sz w:val="21"/>
              </w:rPr>
              <w:t>9.1.24</w:t>
            </w:r>
          </w:p>
        </w:tc>
        <w:tc>
          <w:tcPr>
            <w:tcW w:w="1692" w:type="dxa"/>
          </w:tcPr>
          <w:p>
            <w:pPr>
              <w:pStyle w:val="TableParagraph"/>
              <w:spacing w:line="213" w:lineRule="auto" w:before="80"/>
              <w:ind w:left="101" w:right="110"/>
              <w:rPr>
                <w:rFonts w:ascii="微软雅黑" w:eastAsia="微软雅黑" w:hint="eastAsia"/>
                <w:b/>
                <w:sz w:val="21"/>
              </w:rPr>
            </w:pPr>
            <w:r>
              <w:rPr>
                <w:rFonts w:ascii="微软雅黑" w:eastAsia="微软雅黑" w:hint="eastAsia"/>
                <w:b/>
                <w:sz w:val="21"/>
              </w:rPr>
              <w:t>严重进行性核上性麻痹</w:t>
            </w:r>
          </w:p>
        </w:tc>
        <w:tc>
          <w:tcPr>
            <w:tcW w:w="7458" w:type="dxa"/>
          </w:tcPr>
          <w:p>
            <w:pPr>
              <w:pStyle w:val="TableParagraph"/>
              <w:spacing w:line="280" w:lineRule="auto" w:before="103"/>
              <w:ind w:right="220"/>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11"/>
              <w:jc w:val="both"/>
              <w:rPr>
                <w:sz w:val="21"/>
              </w:rPr>
            </w:pPr>
            <w:r>
              <w:rPr>
                <w:sz w:val="21"/>
              </w:rPr>
              <w:t>Th活活动中的三项或者三项以上。</w:t>
            </w:r>
          </w:p>
        </w:tc>
      </w:tr>
      <w:tr>
        <w:trPr>
          <w:trHeight w:val="1848" w:hRule="atLeast"/>
        </w:trPr>
        <w:tc>
          <w:tcPr>
            <w:tcW w:w="915" w:type="dxa"/>
          </w:tcPr>
          <w:p>
            <w:pPr>
              <w:pStyle w:val="TableParagraph"/>
              <w:spacing w:before="40"/>
              <w:ind w:left="0" w:right="102"/>
              <w:jc w:val="right"/>
              <w:rPr>
                <w:rFonts w:ascii="微软雅黑"/>
                <w:b/>
                <w:sz w:val="21"/>
              </w:rPr>
            </w:pPr>
            <w:r>
              <w:rPr>
                <w:rFonts w:ascii="微软雅黑"/>
                <w:b/>
                <w:w w:val="95"/>
                <w:sz w:val="21"/>
              </w:rPr>
              <w:t>9.1.25</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严重多发性硬化</w:t>
            </w:r>
          </w:p>
        </w:tc>
        <w:tc>
          <w:tcPr>
            <w:tcW w:w="7458"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3"/>
              <w:ind w:right="222"/>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3"/>
                <w:sz w:val="21"/>
              </w:rPr>
              <w:t>PE</w:t>
            </w:r>
            <w:r>
              <w:rPr>
                <w:w w:val="143"/>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15" w:type="dxa"/>
          </w:tcPr>
          <w:p>
            <w:pPr>
              <w:pStyle w:val="TableParagraph"/>
              <w:spacing w:before="40"/>
              <w:ind w:left="0" w:right="101"/>
              <w:jc w:val="right"/>
              <w:rPr>
                <w:rFonts w:ascii="微软雅黑"/>
                <w:b/>
                <w:sz w:val="21"/>
              </w:rPr>
            </w:pPr>
            <w:r>
              <w:rPr>
                <w:rFonts w:ascii="微软雅黑"/>
                <w:b/>
                <w:w w:val="95"/>
                <w:sz w:val="21"/>
              </w:rPr>
              <w:t>9.1.26</w:t>
            </w:r>
          </w:p>
        </w:tc>
        <w:tc>
          <w:tcPr>
            <w:tcW w:w="1692" w:type="dxa"/>
          </w:tcPr>
          <w:p>
            <w:pPr>
              <w:pStyle w:val="TableParagraph"/>
              <w:spacing w:line="211" w:lineRule="auto" w:before="84"/>
              <w:ind w:left="101" w:right="110"/>
              <w:jc w:val="both"/>
              <w:rPr>
                <w:rFonts w:ascii="微软雅黑" w:eastAsia="微软雅黑" w:hint="eastAsia"/>
                <w:b/>
                <w:sz w:val="21"/>
              </w:rPr>
            </w:pPr>
            <w:r>
              <w:rPr>
                <w:rFonts w:ascii="微软雅黑" w:eastAsia="微软雅黑" w:hint="eastAsia"/>
                <w:b/>
                <w:sz w:val="21"/>
              </w:rPr>
              <w:t>颅脑手术（含破裂脑动脉瘤夹闭手术）</w:t>
            </w:r>
          </w:p>
        </w:tc>
        <w:tc>
          <w:tcPr>
            <w:tcW w:w="7458" w:type="dxa"/>
          </w:tcPr>
          <w:p>
            <w:pPr>
              <w:pStyle w:val="TableParagraph"/>
              <w:spacing w:line="280" w:lineRule="auto" w:before="103"/>
              <w:ind w:right="223"/>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5"/>
              <w:rPr>
                <w:sz w:val="21"/>
              </w:rPr>
            </w:pPr>
            <w:r>
              <w:rPr>
                <w:sz w:val="21"/>
              </w:rPr>
              <w:t>因外伤而实施的颅脑手术不在保障范围内。</w:t>
            </w:r>
          </w:p>
        </w:tc>
      </w:tr>
      <w:tr>
        <w:trPr>
          <w:trHeight w:val="5506" w:hRule="atLeast"/>
        </w:trPr>
        <w:tc>
          <w:tcPr>
            <w:tcW w:w="915" w:type="dxa"/>
          </w:tcPr>
          <w:p>
            <w:pPr>
              <w:pStyle w:val="TableParagraph"/>
              <w:spacing w:before="39"/>
              <w:ind w:left="0" w:right="102"/>
              <w:jc w:val="right"/>
              <w:rPr>
                <w:rFonts w:ascii="微软雅黑"/>
                <w:b/>
                <w:sz w:val="21"/>
              </w:rPr>
            </w:pPr>
            <w:r>
              <w:rPr>
                <w:rFonts w:ascii="微软雅黑"/>
                <w:b/>
                <w:w w:val="95"/>
                <w:sz w:val="21"/>
              </w:rPr>
              <w:t>9.1.27</w:t>
            </w:r>
          </w:p>
        </w:tc>
        <w:tc>
          <w:tcPr>
            <w:tcW w:w="1692" w:type="dxa"/>
          </w:tcPr>
          <w:p>
            <w:pPr>
              <w:pStyle w:val="TableParagraph"/>
              <w:spacing w:before="39"/>
              <w:ind w:left="101"/>
              <w:rPr>
                <w:rFonts w:ascii="微软雅黑" w:eastAsia="微软雅黑" w:hint="eastAsia"/>
                <w:b/>
                <w:sz w:val="21"/>
              </w:rPr>
            </w:pPr>
            <w:r>
              <w:rPr>
                <w:rFonts w:ascii="微软雅黑" w:eastAsia="微软雅黑" w:hint="eastAsia"/>
                <w:b/>
                <w:sz w:val="21"/>
              </w:rPr>
              <w:t>严重重症肌无力</w:t>
            </w:r>
          </w:p>
        </w:tc>
        <w:tc>
          <w:tcPr>
            <w:tcW w:w="7458" w:type="dxa"/>
          </w:tcPr>
          <w:p>
            <w:pPr>
              <w:pStyle w:val="TableParagraph"/>
              <w:spacing w:line="280" w:lineRule="auto" w:before="102"/>
              <w:ind w:right="220"/>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19"/>
              </w:numPr>
              <w:tabs>
                <w:tab w:pos="736" w:val="left" w:leader="none"/>
              </w:tabs>
              <w:spacing w:line="240" w:lineRule="auto" w:before="85" w:after="0"/>
              <w:ind w:left="735" w:right="0" w:hanging="624"/>
              <w:jc w:val="left"/>
              <w:rPr>
                <w:sz w:val="21"/>
              </w:rPr>
            </w:pPr>
            <w:r>
              <w:rPr>
                <w:spacing w:val="-3"/>
                <w:sz w:val="21"/>
              </w:rPr>
              <w:t>经药物治疗和胸腺手术治疗一年以上仍无法控制病情；</w:t>
            </w:r>
          </w:p>
          <w:p>
            <w:pPr>
              <w:pStyle w:val="TableParagraph"/>
              <w:numPr>
                <w:ilvl w:val="0"/>
                <w:numId w:val="19"/>
              </w:numPr>
              <w:tabs>
                <w:tab w:pos="736" w:val="left" w:leader="none"/>
              </w:tabs>
              <w:spacing w:line="240" w:lineRule="auto" w:before="123" w:after="0"/>
              <w:ind w:left="735" w:right="0" w:hanging="624"/>
              <w:jc w:val="left"/>
              <w:rPr>
                <w:sz w:val="21"/>
              </w:rPr>
            </w:pPr>
            <w:r>
              <w:rPr>
                <w:spacing w:val="-3"/>
                <w:sz w:val="21"/>
              </w:rPr>
              <w:t>严重肌肉无力，符合下列条件之一：</w:t>
            </w:r>
          </w:p>
          <w:p>
            <w:pPr>
              <w:pStyle w:val="TableParagraph"/>
              <w:spacing w:before="123"/>
              <w:ind w:left="742"/>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78" w:lineRule="auto" w:before="123"/>
              <w:ind w:left="1057" w:right="229" w:hanging="315"/>
              <w:rPr>
                <w:sz w:val="21"/>
              </w:rPr>
            </w:pPr>
            <w:r>
              <w:rPr>
                <w:sz w:val="21"/>
              </w:rPr>
              <w:t>② 自主Th活能力完全丧失，无法独立完成六项基本日常Th活活动中的三项或者三项以上。</w:t>
            </w:r>
          </w:p>
          <w:p>
            <w:pPr>
              <w:pStyle w:val="TableParagraph"/>
              <w:spacing w:before="90"/>
              <w:jc w:val="both"/>
              <w:rPr>
                <w:sz w:val="21"/>
              </w:rPr>
            </w:pPr>
            <w:r>
              <w:rPr>
                <w:sz w:val="21"/>
              </w:rPr>
              <w:t>美国重症肌无力协会临床分型：</w:t>
            </w:r>
          </w:p>
          <w:p>
            <w:pPr>
              <w:pStyle w:val="TableParagraph"/>
              <w:spacing w:before="123"/>
              <w:jc w:val="both"/>
              <w:rPr>
                <w:sz w:val="21"/>
              </w:rPr>
            </w:pPr>
            <w:r>
              <w:rPr>
                <w:sz w:val="21"/>
              </w:rPr>
              <w:t>Ⅰ型：任何眼肌无力，其他肌群肌力正常；</w:t>
            </w:r>
          </w:p>
          <w:p>
            <w:pPr>
              <w:pStyle w:val="TableParagraph"/>
              <w:spacing w:before="120"/>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p>
            <w:pPr>
              <w:pStyle w:val="TableParagraph"/>
              <w:spacing w:before="123"/>
              <w:jc w:val="both"/>
              <w:rPr>
                <w:sz w:val="21"/>
              </w:rPr>
            </w:pPr>
            <w:r>
              <w:rPr>
                <w:sz w:val="21"/>
              </w:rPr>
              <w:t>Ⅳ型：无论眼肌无力程度，其他肌群重度无力；</w:t>
            </w:r>
          </w:p>
          <w:p>
            <w:pPr>
              <w:pStyle w:val="TableParagraph"/>
              <w:spacing w:before="123"/>
              <w:jc w:val="both"/>
              <w:rPr>
                <w:sz w:val="21"/>
              </w:rPr>
            </w:pPr>
            <w:r>
              <w:rPr>
                <w:sz w:val="21"/>
              </w:rPr>
              <w:t>Ⅴ型：气管插管。</w:t>
            </w:r>
          </w:p>
        </w:tc>
      </w:tr>
      <w:tr>
        <w:trPr>
          <w:trHeight w:val="1528" w:hRule="atLeast"/>
        </w:trPr>
        <w:tc>
          <w:tcPr>
            <w:tcW w:w="915" w:type="dxa"/>
          </w:tcPr>
          <w:p>
            <w:pPr>
              <w:pStyle w:val="TableParagraph"/>
              <w:spacing w:before="42"/>
              <w:ind w:left="0" w:right="99"/>
              <w:jc w:val="right"/>
              <w:rPr>
                <w:rFonts w:ascii="微软雅黑"/>
                <w:b/>
                <w:sz w:val="21"/>
              </w:rPr>
            </w:pPr>
            <w:r>
              <w:rPr>
                <w:rFonts w:ascii="微软雅黑"/>
                <w:b/>
                <w:w w:val="95"/>
                <w:sz w:val="21"/>
              </w:rPr>
              <w:t>9.1.28</w:t>
            </w:r>
          </w:p>
        </w:tc>
        <w:tc>
          <w:tcPr>
            <w:tcW w:w="1692" w:type="dxa"/>
          </w:tcPr>
          <w:p>
            <w:pPr>
              <w:pStyle w:val="TableParagraph"/>
              <w:spacing w:before="42"/>
              <w:ind w:left="101"/>
              <w:rPr>
                <w:rFonts w:ascii="微软雅黑" w:eastAsia="微软雅黑" w:hint="eastAsia"/>
                <w:b/>
                <w:sz w:val="21"/>
              </w:rPr>
            </w:pPr>
            <w:r>
              <w:rPr>
                <w:rFonts w:ascii="微软雅黑" w:eastAsia="微软雅黑" w:hint="eastAsia"/>
                <w:b/>
                <w:sz w:val="21"/>
              </w:rPr>
              <w:t>持续植物人状态</w:t>
            </w:r>
          </w:p>
        </w:tc>
        <w:tc>
          <w:tcPr>
            <w:tcW w:w="7458" w:type="dxa"/>
          </w:tcPr>
          <w:p>
            <w:pPr>
              <w:pStyle w:val="TableParagraph"/>
              <w:spacing w:line="280" w:lineRule="auto" w:before="104"/>
              <w:ind w:right="218"/>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1044" w:hRule="atLeast"/>
        </w:trPr>
        <w:tc>
          <w:tcPr>
            <w:tcW w:w="915" w:type="dxa"/>
          </w:tcPr>
          <w:p>
            <w:pPr>
              <w:pStyle w:val="TableParagraph"/>
              <w:spacing w:before="40"/>
              <w:ind w:left="0" w:right="101"/>
              <w:jc w:val="right"/>
              <w:rPr>
                <w:rFonts w:ascii="微软雅黑"/>
                <w:b/>
                <w:sz w:val="21"/>
              </w:rPr>
            </w:pPr>
            <w:r>
              <w:rPr>
                <w:rFonts w:ascii="微软雅黑"/>
                <w:b/>
                <w:w w:val="95"/>
                <w:sz w:val="21"/>
              </w:rPr>
              <w:t>9.1.29</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严重克雅氏症</w:t>
            </w:r>
          </w:p>
        </w:tc>
        <w:tc>
          <w:tcPr>
            <w:tcW w:w="7458" w:type="dxa"/>
          </w:tcPr>
          <w:p>
            <w:pPr>
              <w:pStyle w:val="TableParagraph"/>
              <w:spacing w:before="103"/>
              <w:rPr>
                <w:sz w:val="21"/>
              </w:rPr>
            </w:pPr>
            <w:r>
              <w:rPr>
                <w:sz w:val="21"/>
              </w:rPr>
              <w:t>是一种传染性海绵状脑病，临床表现为快速进行性痴呆、肌阵挛和特征性脑电</w:t>
            </w:r>
          </w:p>
          <w:p>
            <w:pPr>
              <w:pStyle w:val="TableParagraph"/>
              <w:spacing w:line="320" w:lineRule="atLeast" w:before="1"/>
              <w:ind w:right="220"/>
              <w:rPr>
                <w:sz w:val="21"/>
              </w:rPr>
            </w:pPr>
            <w:r>
              <w:rPr>
                <w:spacing w:val="-6"/>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w:t>
            </w:r>
          </w:p>
        </w:tc>
      </w:tr>
    </w:tbl>
    <w:p>
      <w:pPr>
        <w:spacing w:after="0" w:line="320" w:lineRule="atLeas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2"/>
        <w:gridCol w:w="7457"/>
      </w:tblGrid>
      <w:tr>
        <w:trPr>
          <w:trHeight w:val="405" w:hRule="atLeast"/>
        </w:trPr>
        <w:tc>
          <w:tcPr>
            <w:tcW w:w="914"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7" w:type="dxa"/>
          </w:tcPr>
          <w:p>
            <w:pPr>
              <w:pStyle w:val="TableParagraph"/>
              <w:spacing w:line="215" w:lineRule="exact"/>
              <w:rPr>
                <w:sz w:val="21"/>
              </w:rPr>
            </w:pPr>
            <w:r>
              <w:rPr>
                <w:sz w:val="21"/>
              </w:rPr>
              <w:t>以上。</w:t>
            </w:r>
          </w:p>
        </w:tc>
      </w:tr>
      <w:tr>
        <w:trPr>
          <w:trHeight w:val="1848" w:hRule="atLeast"/>
        </w:trPr>
        <w:tc>
          <w:tcPr>
            <w:tcW w:w="914" w:type="dxa"/>
          </w:tcPr>
          <w:p>
            <w:pPr>
              <w:pStyle w:val="TableParagraph"/>
              <w:spacing w:before="42"/>
              <w:ind w:left="0" w:right="100"/>
              <w:jc w:val="right"/>
              <w:rPr>
                <w:rFonts w:ascii="微软雅黑"/>
                <w:b/>
                <w:sz w:val="21"/>
              </w:rPr>
            </w:pPr>
            <w:r>
              <w:rPr>
                <w:rFonts w:ascii="微软雅黑"/>
                <w:b/>
                <w:w w:val="95"/>
                <w:sz w:val="21"/>
              </w:rPr>
              <w:t>9.1.30</w:t>
            </w:r>
          </w:p>
        </w:tc>
        <w:tc>
          <w:tcPr>
            <w:tcW w:w="1692" w:type="dxa"/>
          </w:tcPr>
          <w:p>
            <w:pPr>
              <w:pStyle w:val="TableParagraph"/>
              <w:spacing w:before="42"/>
              <w:ind w:left="102"/>
              <w:rPr>
                <w:rFonts w:ascii="微软雅黑" w:eastAsia="微软雅黑" w:hint="eastAsia"/>
                <w:b/>
                <w:sz w:val="21"/>
              </w:rPr>
            </w:pPr>
            <w:r>
              <w:rPr>
                <w:rFonts w:ascii="微软雅黑" w:eastAsia="微软雅黑" w:hint="eastAsia"/>
                <w:b/>
                <w:sz w:val="21"/>
              </w:rPr>
              <w:t>严重脊髓灰质炎</w:t>
            </w:r>
          </w:p>
        </w:tc>
        <w:tc>
          <w:tcPr>
            <w:tcW w:w="7457" w:type="dxa"/>
          </w:tcPr>
          <w:p>
            <w:pPr>
              <w:pStyle w:val="TableParagraph"/>
              <w:spacing w:line="278" w:lineRule="auto" w:before="104"/>
              <w:ind w:right="218"/>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4" w:hRule="atLeast"/>
        </w:trPr>
        <w:tc>
          <w:tcPr>
            <w:tcW w:w="914" w:type="dxa"/>
          </w:tcPr>
          <w:p>
            <w:pPr>
              <w:pStyle w:val="TableParagraph"/>
              <w:spacing w:before="42"/>
              <w:ind w:left="0" w:right="127"/>
              <w:jc w:val="right"/>
              <w:rPr>
                <w:rFonts w:ascii="微软雅黑"/>
                <w:b/>
                <w:sz w:val="21"/>
              </w:rPr>
            </w:pPr>
            <w:r>
              <w:rPr>
                <w:rFonts w:ascii="微软雅黑"/>
                <w:b/>
                <w:w w:val="90"/>
                <w:sz w:val="21"/>
              </w:rPr>
              <w:t>9.1.31</w:t>
            </w:r>
          </w:p>
        </w:tc>
        <w:tc>
          <w:tcPr>
            <w:tcW w:w="1692" w:type="dxa"/>
          </w:tcPr>
          <w:p>
            <w:pPr>
              <w:pStyle w:val="TableParagraph"/>
              <w:spacing w:before="42"/>
              <w:ind w:left="102"/>
              <w:rPr>
                <w:rFonts w:ascii="微软雅黑" w:eastAsia="微软雅黑" w:hint="eastAsia"/>
                <w:b/>
                <w:sz w:val="21"/>
              </w:rPr>
            </w:pPr>
            <w:r>
              <w:rPr>
                <w:rFonts w:ascii="微软雅黑" w:eastAsia="微软雅黑" w:hint="eastAsia"/>
                <w:b/>
                <w:sz w:val="21"/>
              </w:rPr>
              <w:t>严重肌营养不良</w:t>
            </w:r>
          </w:p>
        </w:tc>
        <w:tc>
          <w:tcPr>
            <w:tcW w:w="7457" w:type="dxa"/>
          </w:tcPr>
          <w:p>
            <w:pPr>
              <w:pStyle w:val="TableParagraph"/>
              <w:spacing w:line="278" w:lineRule="auto" w:before="104"/>
              <w:ind w:right="187"/>
              <w:rPr>
                <w:sz w:val="21"/>
              </w:rPr>
            </w:pPr>
            <w:r>
              <w:rPr>
                <w:sz w:val="21"/>
              </w:rPr>
              <w:t>指一组原发于肌肉的遗传性疾病，临床表现为与神经系统无关的肌肉无力和肌肉萎缩。须满足下列全部条件：</w:t>
            </w:r>
          </w:p>
          <w:p>
            <w:pPr>
              <w:pStyle w:val="TableParagraph"/>
              <w:numPr>
                <w:ilvl w:val="0"/>
                <w:numId w:val="20"/>
              </w:numPr>
              <w:tabs>
                <w:tab w:pos="737" w:val="left" w:leader="none"/>
              </w:tabs>
              <w:spacing w:line="280" w:lineRule="auto" w:before="89" w:after="0"/>
              <w:ind w:left="736" w:right="222" w:hanging="624"/>
              <w:jc w:val="left"/>
              <w:rPr>
                <w:sz w:val="21"/>
              </w:rPr>
            </w:pPr>
            <w:r>
              <w:rPr>
                <w:spacing w:val="1"/>
                <w:sz w:val="21"/>
              </w:rPr>
              <w:t>肌肉组织活检结果满足肌营养不良症的肌肉细胞变性、坏死等阳性改变；</w:t>
            </w:r>
          </w:p>
          <w:p>
            <w:pPr>
              <w:pStyle w:val="TableParagraph"/>
              <w:numPr>
                <w:ilvl w:val="0"/>
                <w:numId w:val="20"/>
              </w:numPr>
              <w:tabs>
                <w:tab w:pos="737" w:val="left" w:leader="none"/>
              </w:tabs>
              <w:spacing w:line="280" w:lineRule="auto" w:before="85"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5" w:hRule="atLeast"/>
        </w:trPr>
        <w:tc>
          <w:tcPr>
            <w:tcW w:w="914" w:type="dxa"/>
          </w:tcPr>
          <w:p>
            <w:pPr>
              <w:pStyle w:val="TableParagraph"/>
              <w:spacing w:before="41"/>
              <w:ind w:left="0" w:right="102"/>
              <w:jc w:val="right"/>
              <w:rPr>
                <w:rFonts w:ascii="微软雅黑"/>
                <w:b/>
                <w:sz w:val="21"/>
              </w:rPr>
            </w:pPr>
            <w:r>
              <w:rPr>
                <w:rFonts w:ascii="微软雅黑"/>
                <w:b/>
                <w:w w:val="95"/>
                <w:sz w:val="21"/>
              </w:rPr>
              <w:t>9.1.32</w:t>
            </w:r>
          </w:p>
        </w:tc>
        <w:tc>
          <w:tcPr>
            <w:tcW w:w="1692" w:type="dxa"/>
          </w:tcPr>
          <w:p>
            <w:pPr>
              <w:pStyle w:val="TableParagraph"/>
              <w:spacing w:line="211" w:lineRule="auto" w:before="84"/>
              <w:ind w:left="102" w:right="109"/>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7" w:type="dxa"/>
          </w:tcPr>
          <w:p>
            <w:pPr>
              <w:pStyle w:val="TableParagraph"/>
              <w:spacing w:line="280" w:lineRule="auto" w:before="103"/>
              <w:ind w:right="223"/>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5"/>
              <w:ind w:right="197"/>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9" w:hRule="atLeast"/>
        </w:trPr>
        <w:tc>
          <w:tcPr>
            <w:tcW w:w="914" w:type="dxa"/>
          </w:tcPr>
          <w:p>
            <w:pPr>
              <w:pStyle w:val="TableParagraph"/>
              <w:spacing w:before="40"/>
              <w:ind w:left="0" w:right="99"/>
              <w:jc w:val="right"/>
              <w:rPr>
                <w:rFonts w:ascii="微软雅黑"/>
                <w:b/>
                <w:sz w:val="21"/>
              </w:rPr>
            </w:pPr>
            <w:r>
              <w:rPr>
                <w:rFonts w:ascii="微软雅黑"/>
                <w:b/>
                <w:w w:val="95"/>
                <w:sz w:val="21"/>
              </w:rPr>
              <w:t>9.1.33</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自体造血干细胞移植术</w:t>
            </w:r>
          </w:p>
        </w:tc>
        <w:tc>
          <w:tcPr>
            <w:tcW w:w="7457" w:type="dxa"/>
          </w:tcPr>
          <w:p>
            <w:pPr>
              <w:pStyle w:val="TableParagraph"/>
              <w:spacing w:line="280" w:lineRule="auto" w:before="103"/>
              <w:ind w:right="197"/>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0" w:hRule="atLeast"/>
        </w:trPr>
        <w:tc>
          <w:tcPr>
            <w:tcW w:w="914" w:type="dxa"/>
          </w:tcPr>
          <w:p>
            <w:pPr>
              <w:pStyle w:val="TableParagraph"/>
              <w:spacing w:before="40"/>
              <w:ind w:left="0" w:right="99"/>
              <w:jc w:val="right"/>
              <w:rPr>
                <w:rFonts w:ascii="微软雅黑"/>
                <w:b/>
                <w:sz w:val="21"/>
              </w:rPr>
            </w:pPr>
            <w:r>
              <w:rPr>
                <w:rFonts w:ascii="微软雅黑"/>
                <w:b/>
                <w:w w:val="95"/>
                <w:sz w:val="21"/>
              </w:rPr>
              <w:t>9.1.34</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终末期肺病</w:t>
            </w:r>
          </w:p>
        </w:tc>
        <w:tc>
          <w:tcPr>
            <w:tcW w:w="7457" w:type="dxa"/>
          </w:tcPr>
          <w:p>
            <w:pPr>
              <w:pStyle w:val="TableParagraph"/>
              <w:spacing w:before="103"/>
              <w:rPr>
                <w:sz w:val="21"/>
              </w:rPr>
            </w:pPr>
            <w:r>
              <w:rPr>
                <w:sz w:val="21"/>
              </w:rPr>
              <w:t>指因患有终末期肺病而出现慢性呼吸功能衰竭。须满足下列全部条件：</w:t>
            </w:r>
          </w:p>
          <w:p>
            <w:pPr>
              <w:pStyle w:val="TableParagraph"/>
              <w:numPr>
                <w:ilvl w:val="0"/>
                <w:numId w:val="21"/>
              </w:numPr>
              <w:tabs>
                <w:tab w:pos="737" w:val="left" w:leader="none"/>
              </w:tabs>
              <w:spacing w:line="240" w:lineRule="auto" w:before="124" w:after="0"/>
              <w:ind w:left="73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21"/>
              </w:numPr>
              <w:tabs>
                <w:tab w:pos="737" w:val="left" w:leader="none"/>
              </w:tabs>
              <w:spacing w:line="240" w:lineRule="auto" w:before="121" w:after="0"/>
              <w:ind w:left="736" w:right="0" w:hanging="624"/>
              <w:jc w:val="left"/>
              <w:rPr>
                <w:sz w:val="21"/>
              </w:rPr>
            </w:pPr>
            <w:r>
              <w:rPr>
                <w:spacing w:val="-3"/>
                <w:sz w:val="21"/>
              </w:rPr>
              <w:t>因缺氧必须广泛而持续地进行输氧治疗；</w:t>
            </w:r>
          </w:p>
          <w:p>
            <w:pPr>
              <w:pStyle w:val="TableParagraph"/>
              <w:numPr>
                <w:ilvl w:val="0"/>
                <w:numId w:val="21"/>
              </w:numPr>
              <w:tabs>
                <w:tab w:pos="737" w:val="left" w:leader="none"/>
              </w:tabs>
              <w:spacing w:line="240" w:lineRule="auto" w:before="123" w:after="0"/>
              <w:ind w:left="73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4" w:type="dxa"/>
          </w:tcPr>
          <w:p>
            <w:pPr>
              <w:pStyle w:val="TableParagraph"/>
              <w:spacing w:before="42"/>
              <w:ind w:left="0" w:right="100"/>
              <w:jc w:val="right"/>
              <w:rPr>
                <w:rFonts w:ascii="微软雅黑"/>
                <w:b/>
                <w:sz w:val="21"/>
              </w:rPr>
            </w:pPr>
            <w:r>
              <w:rPr>
                <w:rFonts w:ascii="微软雅黑"/>
                <w:b/>
                <w:w w:val="95"/>
                <w:sz w:val="21"/>
              </w:rPr>
              <w:t>9.1.35</w:t>
            </w:r>
          </w:p>
        </w:tc>
        <w:tc>
          <w:tcPr>
            <w:tcW w:w="1692" w:type="dxa"/>
          </w:tcPr>
          <w:p>
            <w:pPr>
              <w:pStyle w:val="TableParagraph"/>
              <w:spacing w:line="213" w:lineRule="auto" w:before="81"/>
              <w:ind w:left="102" w:right="109"/>
              <w:rPr>
                <w:rFonts w:ascii="微软雅黑" w:eastAsia="微软雅黑" w:hint="eastAsia"/>
                <w:b/>
                <w:sz w:val="21"/>
              </w:rPr>
            </w:pPr>
            <w:r>
              <w:rPr>
                <w:rFonts w:ascii="微软雅黑" w:eastAsia="微软雅黑" w:hint="eastAsia"/>
                <w:b/>
                <w:sz w:val="21"/>
              </w:rPr>
              <w:t>肺泡蛋白质沉积症</w:t>
            </w:r>
          </w:p>
        </w:tc>
        <w:tc>
          <w:tcPr>
            <w:tcW w:w="7457" w:type="dxa"/>
          </w:tcPr>
          <w:p>
            <w:pPr>
              <w:pStyle w:val="TableParagraph"/>
              <w:spacing w:line="280" w:lineRule="auto" w:before="104"/>
              <w:ind w:right="217"/>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2481" w:hRule="atLeast"/>
        </w:trPr>
        <w:tc>
          <w:tcPr>
            <w:tcW w:w="914" w:type="dxa"/>
          </w:tcPr>
          <w:p>
            <w:pPr>
              <w:pStyle w:val="TableParagraph"/>
              <w:spacing w:before="40"/>
              <w:ind w:left="0" w:right="99"/>
              <w:jc w:val="right"/>
              <w:rPr>
                <w:rFonts w:ascii="微软雅黑"/>
                <w:b/>
                <w:sz w:val="21"/>
              </w:rPr>
            </w:pPr>
            <w:r>
              <w:rPr>
                <w:rFonts w:ascii="微软雅黑"/>
                <w:b/>
                <w:w w:val="95"/>
                <w:sz w:val="21"/>
              </w:rPr>
              <w:t>9.1.36</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严重哮喘</w:t>
            </w:r>
          </w:p>
        </w:tc>
        <w:tc>
          <w:tcPr>
            <w:tcW w:w="7457" w:type="dxa"/>
          </w:tcPr>
          <w:p>
            <w:pPr>
              <w:pStyle w:val="TableParagraph"/>
              <w:spacing w:line="280" w:lineRule="auto" w:before="103"/>
              <w:ind w:right="171"/>
              <w:rPr>
                <w:sz w:val="21"/>
              </w:rPr>
            </w:pPr>
            <w:r>
              <w:rPr>
                <w:sz w:val="21"/>
              </w:rPr>
              <w:t>必须在首次确诊严重哮喘之日的前两年内曾发Th哮喘持续状态，并满足下列两项或者两项以上条件：</w:t>
            </w:r>
          </w:p>
          <w:p>
            <w:pPr>
              <w:pStyle w:val="TableParagraph"/>
              <w:numPr>
                <w:ilvl w:val="0"/>
                <w:numId w:val="22"/>
              </w:numPr>
              <w:tabs>
                <w:tab w:pos="737" w:val="left" w:leader="none"/>
              </w:tabs>
              <w:spacing w:line="240" w:lineRule="auto" w:before="85" w:after="0"/>
              <w:ind w:left="736" w:right="0" w:hanging="624"/>
              <w:jc w:val="left"/>
              <w:rPr>
                <w:sz w:val="21"/>
              </w:rPr>
            </w:pPr>
            <w:r>
              <w:rPr>
                <w:spacing w:val="-3"/>
                <w:sz w:val="21"/>
              </w:rPr>
              <w:t>运动耐受力永久并持续地减少，并且轻微的运动能引起气促；</w:t>
            </w:r>
          </w:p>
          <w:p>
            <w:pPr>
              <w:pStyle w:val="TableParagraph"/>
              <w:numPr>
                <w:ilvl w:val="0"/>
                <w:numId w:val="22"/>
              </w:numPr>
              <w:tabs>
                <w:tab w:pos="737" w:val="left" w:leader="none"/>
              </w:tabs>
              <w:spacing w:line="240" w:lineRule="auto" w:before="124" w:after="0"/>
              <w:ind w:left="736" w:right="0" w:hanging="624"/>
              <w:jc w:val="left"/>
              <w:rPr>
                <w:sz w:val="21"/>
              </w:rPr>
            </w:pPr>
            <w:r>
              <w:rPr>
                <w:spacing w:val="-3"/>
                <w:sz w:val="21"/>
              </w:rPr>
              <w:t>长期胸腔过度膨胀而导致胸腔畸形；</w:t>
            </w:r>
          </w:p>
          <w:p>
            <w:pPr>
              <w:pStyle w:val="TableParagraph"/>
              <w:numPr>
                <w:ilvl w:val="0"/>
                <w:numId w:val="22"/>
              </w:numPr>
              <w:tabs>
                <w:tab w:pos="737" w:val="left" w:leader="none"/>
              </w:tabs>
              <w:spacing w:line="240" w:lineRule="auto" w:before="123" w:after="0"/>
              <w:ind w:left="736" w:right="0" w:hanging="624"/>
              <w:jc w:val="left"/>
              <w:rPr>
                <w:sz w:val="21"/>
              </w:rPr>
            </w:pPr>
            <w:r>
              <w:rPr>
                <w:spacing w:val="-3"/>
                <w:sz w:val="21"/>
              </w:rPr>
              <w:t>在家及在静息状态下需要吸氧；</w:t>
            </w:r>
          </w:p>
          <w:p>
            <w:pPr>
              <w:pStyle w:val="TableParagraph"/>
              <w:numPr>
                <w:ilvl w:val="0"/>
                <w:numId w:val="22"/>
              </w:numPr>
              <w:tabs>
                <w:tab w:pos="737" w:val="left" w:leader="none"/>
              </w:tabs>
              <w:spacing w:line="240" w:lineRule="auto" w:before="123" w:after="0"/>
              <w:ind w:left="73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045" w:hRule="atLeast"/>
        </w:trPr>
        <w:tc>
          <w:tcPr>
            <w:tcW w:w="914" w:type="dxa"/>
          </w:tcPr>
          <w:p>
            <w:pPr>
              <w:pStyle w:val="TableParagraph"/>
              <w:spacing w:before="42"/>
              <w:ind w:left="0" w:right="100"/>
              <w:jc w:val="right"/>
              <w:rPr>
                <w:rFonts w:ascii="微软雅黑"/>
                <w:b/>
                <w:sz w:val="21"/>
              </w:rPr>
            </w:pPr>
            <w:r>
              <w:rPr>
                <w:rFonts w:ascii="微软雅黑"/>
                <w:b/>
                <w:w w:val="95"/>
                <w:sz w:val="21"/>
              </w:rPr>
              <w:t>9.1.37</w:t>
            </w:r>
          </w:p>
        </w:tc>
        <w:tc>
          <w:tcPr>
            <w:tcW w:w="1692" w:type="dxa"/>
          </w:tcPr>
          <w:p>
            <w:pPr>
              <w:pStyle w:val="TableParagraph"/>
              <w:spacing w:line="211" w:lineRule="auto" w:before="85"/>
              <w:ind w:left="102" w:right="109"/>
              <w:rPr>
                <w:rFonts w:ascii="微软雅黑" w:eastAsia="微软雅黑" w:hint="eastAsia"/>
                <w:b/>
                <w:sz w:val="21"/>
              </w:rPr>
            </w:pPr>
            <w:r>
              <w:rPr>
                <w:rFonts w:ascii="微软雅黑" w:eastAsia="微软雅黑" w:hint="eastAsia"/>
                <w:b/>
                <w:sz w:val="21"/>
              </w:rPr>
              <w:t>终末期肾病（或者称慢性肾功能</w:t>
            </w:r>
          </w:p>
          <w:p>
            <w:pPr>
              <w:pStyle w:val="TableParagraph"/>
              <w:spacing w:line="302" w:lineRule="exact"/>
              <w:ind w:left="102"/>
              <w:rPr>
                <w:rFonts w:ascii="微软雅黑" w:eastAsia="微软雅黑" w:hint="eastAsia"/>
                <w:b/>
                <w:sz w:val="21"/>
              </w:rPr>
            </w:pPr>
            <w:r>
              <w:rPr>
                <w:rFonts w:ascii="微软雅黑" w:eastAsia="微软雅黑" w:hint="eastAsia"/>
                <w:b/>
                <w:sz w:val="21"/>
              </w:rPr>
              <w:t>衰竭尿毒症期）</w:t>
            </w:r>
          </w:p>
        </w:tc>
        <w:tc>
          <w:tcPr>
            <w:tcW w:w="7457" w:type="dxa"/>
          </w:tcPr>
          <w:p>
            <w:pPr>
              <w:pStyle w:val="TableParagraph"/>
              <w:spacing w:line="278" w:lineRule="auto" w:before="104"/>
              <w:ind w:right="223"/>
              <w:rPr>
                <w:sz w:val="21"/>
              </w:rPr>
            </w:pPr>
            <w:r>
              <w:rPr>
                <w:sz w:val="21"/>
              </w:rPr>
              <w:t>指双肾功能慢性不可逆性衰竭，达到尿毒症期，经诊断后已经进行了至少 90 天的规律性透析治疗或者实际接受了肾脏移植手术。</w:t>
            </w:r>
          </w:p>
        </w:tc>
      </w:tr>
    </w:tbl>
    <w:p>
      <w:pPr>
        <w:spacing w:after="0" w:line="278" w:lineRule="auto"/>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39"/>
      </w:tblGrid>
      <w:tr>
        <w:trPr>
          <w:trHeight w:val="1999" w:hRule="atLeast"/>
        </w:trPr>
        <w:tc>
          <w:tcPr>
            <w:tcW w:w="915" w:type="dxa"/>
          </w:tcPr>
          <w:p>
            <w:pPr>
              <w:pStyle w:val="TableParagraph"/>
              <w:spacing w:line="241" w:lineRule="exact"/>
              <w:ind w:left="0" w:right="99"/>
              <w:jc w:val="right"/>
              <w:rPr>
                <w:rFonts w:ascii="微软雅黑"/>
                <w:b/>
                <w:sz w:val="21"/>
              </w:rPr>
            </w:pPr>
            <w:r>
              <w:rPr>
                <w:rFonts w:ascii="微软雅黑"/>
                <w:b/>
                <w:w w:val="95"/>
                <w:sz w:val="21"/>
              </w:rPr>
              <w:t>9.1.38</w:t>
            </w:r>
          </w:p>
        </w:tc>
        <w:tc>
          <w:tcPr>
            <w:tcW w:w="1691" w:type="dxa"/>
          </w:tcPr>
          <w:p>
            <w:pPr>
              <w:pStyle w:val="TableParagraph"/>
              <w:spacing w:line="241" w:lineRule="exact"/>
              <w:ind w:left="101"/>
              <w:rPr>
                <w:rFonts w:ascii="微软雅黑" w:eastAsia="微软雅黑" w:hint="eastAsia"/>
                <w:b/>
                <w:sz w:val="21"/>
              </w:rPr>
            </w:pPr>
            <w:r>
              <w:rPr>
                <w:rFonts w:ascii="微软雅黑" w:eastAsia="微软雅黑" w:hint="eastAsia"/>
                <w:b/>
                <w:sz w:val="21"/>
              </w:rPr>
              <w:t>肾髓质囊性病</w:t>
            </w:r>
          </w:p>
        </w:tc>
        <w:tc>
          <w:tcPr>
            <w:tcW w:w="7439" w:type="dxa"/>
          </w:tcPr>
          <w:p>
            <w:pPr>
              <w:pStyle w:val="TableParagraph"/>
              <w:spacing w:line="215" w:lineRule="exact"/>
              <w:ind w:left="112"/>
              <w:rPr>
                <w:sz w:val="21"/>
              </w:rPr>
            </w:pPr>
            <w:r>
              <w:rPr>
                <w:sz w:val="21"/>
              </w:rPr>
              <w:t>肾髓质囊性病的诊断须符合下列全部条件：</w:t>
            </w:r>
          </w:p>
          <w:p>
            <w:pPr>
              <w:pStyle w:val="TableParagraph"/>
              <w:numPr>
                <w:ilvl w:val="0"/>
                <w:numId w:val="23"/>
              </w:numPr>
              <w:tabs>
                <w:tab w:pos="737" w:val="left" w:leader="none"/>
              </w:tabs>
              <w:spacing w:line="240" w:lineRule="auto" w:before="123" w:after="0"/>
              <w:ind w:left="736" w:right="0" w:hanging="624"/>
              <w:jc w:val="left"/>
              <w:rPr>
                <w:sz w:val="21"/>
              </w:rPr>
            </w:pPr>
            <w:r>
              <w:rPr>
                <w:spacing w:val="-3"/>
                <w:sz w:val="21"/>
              </w:rPr>
              <w:t>肾髓质有囊肿、肾小管萎缩及间质纤维化等病理改变；</w:t>
            </w:r>
          </w:p>
          <w:p>
            <w:pPr>
              <w:pStyle w:val="TableParagraph"/>
              <w:numPr>
                <w:ilvl w:val="0"/>
                <w:numId w:val="23"/>
              </w:numPr>
              <w:tabs>
                <w:tab w:pos="737" w:val="left" w:leader="none"/>
              </w:tabs>
              <w:spacing w:line="240" w:lineRule="auto" w:before="123" w:after="0"/>
              <w:ind w:left="736" w:right="0" w:hanging="624"/>
              <w:jc w:val="left"/>
              <w:rPr>
                <w:sz w:val="21"/>
              </w:rPr>
            </w:pPr>
            <w:r>
              <w:rPr>
                <w:spacing w:val="-3"/>
                <w:sz w:val="21"/>
              </w:rPr>
              <w:t>贫血、多尿及肾功能衰竭等临床表现；</w:t>
            </w:r>
          </w:p>
          <w:p>
            <w:pPr>
              <w:pStyle w:val="TableParagraph"/>
              <w:numPr>
                <w:ilvl w:val="0"/>
                <w:numId w:val="23"/>
              </w:numPr>
              <w:tabs>
                <w:tab w:pos="737" w:val="left" w:leader="none"/>
              </w:tabs>
              <w:spacing w:line="240" w:lineRule="auto" w:before="123" w:after="0"/>
              <w:ind w:left="736" w:right="0" w:hanging="624"/>
              <w:jc w:val="left"/>
              <w:rPr>
                <w:sz w:val="21"/>
              </w:rPr>
            </w:pPr>
            <w:r>
              <w:rPr>
                <w:spacing w:val="-3"/>
                <w:sz w:val="21"/>
              </w:rPr>
              <w:t>诊断须由肾组织活检确定。</w:t>
            </w:r>
          </w:p>
          <w:p>
            <w:pPr>
              <w:pStyle w:val="TableParagraph"/>
              <w:spacing w:before="123"/>
              <w:ind w:left="112"/>
              <w:rPr>
                <w:sz w:val="21"/>
              </w:rPr>
            </w:pPr>
            <w:r>
              <w:rPr>
                <w:sz w:val="21"/>
              </w:rPr>
              <w:t>单独或者良性肾囊肿不在保障范围内。</w:t>
            </w:r>
          </w:p>
        </w:tc>
      </w:tr>
      <w:tr>
        <w:trPr>
          <w:trHeight w:val="1207" w:hRule="atLeast"/>
        </w:trPr>
        <w:tc>
          <w:tcPr>
            <w:tcW w:w="915" w:type="dxa"/>
          </w:tcPr>
          <w:p>
            <w:pPr>
              <w:pStyle w:val="TableParagraph"/>
              <w:spacing w:before="38"/>
              <w:ind w:left="0" w:right="100"/>
              <w:jc w:val="right"/>
              <w:rPr>
                <w:rFonts w:ascii="微软雅黑"/>
                <w:b/>
                <w:sz w:val="21"/>
              </w:rPr>
            </w:pPr>
            <w:r>
              <w:rPr>
                <w:rFonts w:ascii="微软雅黑"/>
                <w:b/>
                <w:w w:val="95"/>
                <w:sz w:val="21"/>
              </w:rPr>
              <w:t>9.1.39</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嗜铬细胞瘤</w:t>
            </w:r>
          </w:p>
        </w:tc>
        <w:tc>
          <w:tcPr>
            <w:tcW w:w="7439" w:type="dxa"/>
          </w:tcPr>
          <w:p>
            <w:pPr>
              <w:pStyle w:val="TableParagraph"/>
              <w:spacing w:line="280" w:lineRule="auto" w:before="101"/>
              <w:ind w:left="112" w:right="200"/>
              <w:jc w:val="both"/>
              <w:rPr>
                <w:sz w:val="21"/>
              </w:rPr>
            </w:pPr>
            <w:r>
              <w:rPr>
                <w:spacing w:val="-5"/>
                <w:sz w:val="21"/>
              </w:rPr>
              <w:t>指肾上腺或者嗜铬外组织出现神经内分泌肿瘤，并分泌过多的儿茶酚胺类，实</w:t>
            </w:r>
            <w:r>
              <w:rPr>
                <w:spacing w:val="-6"/>
                <w:sz w:val="21"/>
              </w:rPr>
              <w:t>际实施了手术以切除肿瘤。嗜铬细胞瘤的诊断必须由我们认可医院的专科医</w:t>
            </w:r>
            <w:r>
              <w:rPr>
                <w:sz w:val="21"/>
              </w:rPr>
              <w:t>Th 确定。</w:t>
            </w:r>
          </w:p>
        </w:tc>
      </w:tr>
      <w:tr>
        <w:trPr>
          <w:trHeight w:val="4238" w:hRule="atLeast"/>
        </w:trPr>
        <w:tc>
          <w:tcPr>
            <w:tcW w:w="915" w:type="dxa"/>
          </w:tcPr>
          <w:p>
            <w:pPr>
              <w:pStyle w:val="TableParagraph"/>
              <w:spacing w:before="40"/>
              <w:ind w:left="0" w:right="100"/>
              <w:jc w:val="right"/>
              <w:rPr>
                <w:rFonts w:ascii="微软雅黑"/>
                <w:b/>
                <w:sz w:val="21"/>
              </w:rPr>
            </w:pPr>
            <w:r>
              <w:rPr>
                <w:rFonts w:ascii="微软雅黑"/>
                <w:b/>
                <w:w w:val="95"/>
                <w:sz w:val="21"/>
              </w:rPr>
              <w:t>9.1.40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特发性慢性肾上腺皮质功能减退</w:t>
            </w:r>
          </w:p>
        </w:tc>
        <w:tc>
          <w:tcPr>
            <w:tcW w:w="7439" w:type="dxa"/>
          </w:tcPr>
          <w:p>
            <w:pPr>
              <w:pStyle w:val="TableParagraph"/>
              <w:spacing w:line="280" w:lineRule="auto" w:before="103"/>
              <w:ind w:left="112" w:right="153"/>
              <w:rPr>
                <w:sz w:val="21"/>
              </w:rPr>
            </w:pPr>
            <w:r>
              <w:rPr>
                <w:sz w:val="21"/>
              </w:rPr>
              <w:t>指自身免疫性肾上腺炎导致肾上腺萎缩和慢性肾上腺皮质功能减退。必须满足下列全部条件：</w:t>
            </w:r>
          </w:p>
          <w:p>
            <w:pPr>
              <w:pStyle w:val="TableParagraph"/>
              <w:numPr>
                <w:ilvl w:val="0"/>
                <w:numId w:val="24"/>
              </w:numPr>
              <w:tabs>
                <w:tab w:pos="737" w:val="left" w:leader="none"/>
              </w:tabs>
              <w:spacing w:line="240" w:lineRule="auto" w:before="85" w:after="0"/>
              <w:ind w:left="73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4"/>
              <w:ind w:left="74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78" w:lineRule="auto" w:before="123"/>
              <w:ind w:left="1058" w:right="198" w:hanging="315"/>
              <w:rPr>
                <w:sz w:val="21"/>
              </w:rPr>
            </w:pPr>
            <w:r>
              <w:rPr>
                <w:spacing w:val="-10"/>
                <w:sz w:val="21"/>
              </w:rPr>
              <w:t>② 血浆肾素活性、血管紧张素Ⅱ和醛固酮测定，显示为原发性肾上腺皮</w:t>
            </w:r>
            <w:r>
              <w:rPr>
                <w:spacing w:val="-5"/>
                <w:sz w:val="21"/>
              </w:rPr>
              <w:t>质功能减退症；</w:t>
            </w:r>
          </w:p>
          <w:p>
            <w:pPr>
              <w:pStyle w:val="TableParagraph"/>
              <w:spacing w:line="280" w:lineRule="auto" w:before="89"/>
              <w:ind w:left="1058" w:right="142"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4"/>
              </w:numPr>
              <w:tabs>
                <w:tab w:pos="737" w:val="left" w:leader="none"/>
              </w:tabs>
              <w:spacing w:line="240" w:lineRule="auto" w:before="85" w:after="0"/>
              <w:ind w:left="73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112" w:right="202"/>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15" w:type="dxa"/>
          </w:tcPr>
          <w:p>
            <w:pPr>
              <w:pStyle w:val="TableParagraph"/>
              <w:spacing w:before="38"/>
              <w:ind w:left="0" w:right="126"/>
              <w:jc w:val="right"/>
              <w:rPr>
                <w:rFonts w:ascii="微软雅黑"/>
                <w:b/>
                <w:sz w:val="21"/>
              </w:rPr>
            </w:pPr>
            <w:r>
              <w:rPr>
                <w:rFonts w:ascii="微软雅黑"/>
                <w:b/>
                <w:w w:val="90"/>
                <w:sz w:val="21"/>
              </w:rPr>
              <w:t>9.1.41</w:t>
            </w:r>
          </w:p>
        </w:tc>
        <w:tc>
          <w:tcPr>
            <w:tcW w:w="1691" w:type="dxa"/>
          </w:tcPr>
          <w:p>
            <w:pPr>
              <w:pStyle w:val="TableParagraph"/>
              <w:spacing w:line="213" w:lineRule="auto" w:before="78"/>
              <w:ind w:left="101" w:right="109"/>
              <w:rPr>
                <w:rFonts w:ascii="微软雅黑" w:eastAsia="微软雅黑" w:hint="eastAsia"/>
                <w:b/>
                <w:sz w:val="21"/>
              </w:rPr>
            </w:pPr>
            <w:r>
              <w:rPr>
                <w:rFonts w:ascii="微软雅黑" w:eastAsia="微软雅黑" w:hint="eastAsia"/>
                <w:b/>
                <w:sz w:val="21"/>
              </w:rPr>
              <w:t>慢性肝功能衰竭失代偿期</w:t>
            </w:r>
          </w:p>
        </w:tc>
        <w:tc>
          <w:tcPr>
            <w:tcW w:w="7439" w:type="dxa"/>
          </w:tcPr>
          <w:p>
            <w:pPr>
              <w:pStyle w:val="TableParagraph"/>
              <w:spacing w:before="101"/>
              <w:ind w:left="112"/>
              <w:rPr>
                <w:sz w:val="21"/>
              </w:rPr>
            </w:pPr>
            <w:r>
              <w:rPr>
                <w:sz w:val="21"/>
              </w:rPr>
              <w:t>指因慢性肝脏疾病导致肝功能衰竭。须满足下列全部条件：</w:t>
            </w:r>
          </w:p>
          <w:p>
            <w:pPr>
              <w:pStyle w:val="TableParagraph"/>
              <w:numPr>
                <w:ilvl w:val="0"/>
                <w:numId w:val="25"/>
              </w:numPr>
              <w:tabs>
                <w:tab w:pos="737" w:val="left" w:leader="none"/>
              </w:tabs>
              <w:spacing w:line="240" w:lineRule="auto" w:before="124" w:after="0"/>
              <w:ind w:left="736" w:right="0" w:hanging="624"/>
              <w:jc w:val="left"/>
              <w:rPr>
                <w:sz w:val="21"/>
              </w:rPr>
            </w:pPr>
            <w:r>
              <w:rPr>
                <w:spacing w:val="-2"/>
                <w:sz w:val="21"/>
              </w:rPr>
              <w:t>持续性黄疸；</w:t>
            </w:r>
          </w:p>
          <w:p>
            <w:pPr>
              <w:pStyle w:val="TableParagraph"/>
              <w:numPr>
                <w:ilvl w:val="0"/>
                <w:numId w:val="25"/>
              </w:numPr>
              <w:tabs>
                <w:tab w:pos="737" w:val="left" w:leader="none"/>
              </w:tabs>
              <w:spacing w:line="240" w:lineRule="auto" w:before="121" w:after="0"/>
              <w:ind w:left="736" w:right="0" w:hanging="624"/>
              <w:jc w:val="left"/>
              <w:rPr>
                <w:sz w:val="21"/>
              </w:rPr>
            </w:pPr>
            <w:r>
              <w:rPr>
                <w:sz w:val="21"/>
              </w:rPr>
              <w:t>腹水；</w:t>
            </w:r>
          </w:p>
          <w:p>
            <w:pPr>
              <w:pStyle w:val="TableParagraph"/>
              <w:numPr>
                <w:ilvl w:val="0"/>
                <w:numId w:val="25"/>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5"/>
              </w:numPr>
              <w:tabs>
                <w:tab w:pos="737" w:val="left" w:leader="none"/>
              </w:tabs>
              <w:spacing w:line="240" w:lineRule="auto" w:before="123" w:after="0"/>
              <w:ind w:left="736" w:right="0" w:hanging="624"/>
              <w:jc w:val="left"/>
              <w:rPr>
                <w:sz w:val="21"/>
              </w:rPr>
            </w:pPr>
            <w:r>
              <w:rPr>
                <w:spacing w:val="-3"/>
                <w:sz w:val="21"/>
              </w:rPr>
              <w:t>充血性脾肿大伴脾功能亢进或者食管胃底静脉曲张。</w:t>
            </w:r>
          </w:p>
          <w:p>
            <w:pPr>
              <w:pStyle w:val="TableParagraph"/>
              <w:spacing w:before="123"/>
              <w:ind w:left="112"/>
              <w:rPr>
                <w:sz w:val="21"/>
              </w:rPr>
            </w:pPr>
            <w:r>
              <w:rPr>
                <w:sz w:val="21"/>
              </w:rPr>
              <w:t>因酗酒或者药物滥用导致的肝功能衰竭不在保障范围内。</w:t>
            </w:r>
          </w:p>
        </w:tc>
      </w:tr>
      <w:tr>
        <w:trPr>
          <w:trHeight w:val="2477" w:hRule="atLeast"/>
        </w:trPr>
        <w:tc>
          <w:tcPr>
            <w:tcW w:w="915" w:type="dxa"/>
          </w:tcPr>
          <w:p>
            <w:pPr>
              <w:pStyle w:val="TableParagraph"/>
              <w:spacing w:before="39"/>
              <w:ind w:left="0" w:right="101"/>
              <w:jc w:val="right"/>
              <w:rPr>
                <w:rFonts w:ascii="微软雅黑"/>
                <w:b/>
                <w:sz w:val="21"/>
              </w:rPr>
            </w:pPr>
            <w:r>
              <w:rPr>
                <w:rFonts w:ascii="微软雅黑"/>
                <w:b/>
                <w:w w:val="95"/>
                <w:sz w:val="21"/>
              </w:rPr>
              <w:t>9.1.42</w:t>
            </w:r>
          </w:p>
        </w:tc>
        <w:tc>
          <w:tcPr>
            <w:tcW w:w="1691" w:type="dxa"/>
          </w:tcPr>
          <w:p>
            <w:pPr>
              <w:pStyle w:val="TableParagraph"/>
              <w:spacing w:line="211" w:lineRule="auto" w:before="83"/>
              <w:ind w:left="101" w:right="109"/>
              <w:rPr>
                <w:rFonts w:ascii="微软雅黑" w:eastAsia="微软雅黑" w:hint="eastAsia"/>
                <w:b/>
                <w:sz w:val="21"/>
              </w:rPr>
            </w:pPr>
            <w:r>
              <w:rPr>
                <w:rFonts w:ascii="微软雅黑" w:eastAsia="微软雅黑" w:hint="eastAsia"/>
                <w:b/>
                <w:sz w:val="21"/>
              </w:rPr>
              <w:t>急性或者亚急性重症肝炎</w:t>
            </w:r>
          </w:p>
        </w:tc>
        <w:tc>
          <w:tcPr>
            <w:tcW w:w="7439" w:type="dxa"/>
          </w:tcPr>
          <w:p>
            <w:pPr>
              <w:pStyle w:val="TableParagraph"/>
              <w:spacing w:line="278" w:lineRule="auto" w:before="102"/>
              <w:ind w:left="112" w:right="168"/>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26"/>
              </w:numPr>
              <w:tabs>
                <w:tab w:pos="737" w:val="left" w:leader="none"/>
              </w:tabs>
              <w:spacing w:line="240" w:lineRule="auto" w:before="89" w:after="0"/>
              <w:ind w:left="736" w:right="0" w:hanging="624"/>
              <w:jc w:val="left"/>
              <w:rPr>
                <w:sz w:val="21"/>
              </w:rPr>
            </w:pPr>
            <w:r>
              <w:rPr>
                <w:spacing w:val="-3"/>
                <w:sz w:val="21"/>
              </w:rPr>
              <w:t>重度黄疸或者黄疸迅速加重；</w:t>
            </w:r>
          </w:p>
          <w:p>
            <w:pPr>
              <w:pStyle w:val="TableParagraph"/>
              <w:numPr>
                <w:ilvl w:val="0"/>
                <w:numId w:val="26"/>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6"/>
              </w:numPr>
              <w:tabs>
                <w:tab w:pos="737" w:val="left" w:leader="none"/>
              </w:tabs>
              <w:spacing w:line="240" w:lineRule="auto" w:before="121" w:after="0"/>
              <w:ind w:left="736"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6"/>
              </w:numPr>
              <w:tabs>
                <w:tab w:pos="737" w:val="left" w:leader="none"/>
              </w:tabs>
              <w:spacing w:line="240" w:lineRule="auto" w:before="124" w:after="0"/>
              <w:ind w:left="736" w:right="0" w:hanging="624"/>
              <w:jc w:val="left"/>
              <w:rPr>
                <w:sz w:val="21"/>
              </w:rPr>
            </w:pPr>
            <w:r>
              <w:rPr>
                <w:spacing w:val="-3"/>
                <w:sz w:val="21"/>
              </w:rPr>
              <w:t>肝功能指标进行性恶化。</w:t>
            </w:r>
          </w:p>
        </w:tc>
      </w:tr>
      <w:tr>
        <w:trPr>
          <w:trHeight w:val="1839" w:hRule="atLeast"/>
        </w:trPr>
        <w:tc>
          <w:tcPr>
            <w:tcW w:w="915" w:type="dxa"/>
          </w:tcPr>
          <w:p>
            <w:pPr>
              <w:pStyle w:val="TableParagraph"/>
              <w:spacing w:before="42"/>
              <w:ind w:left="0" w:right="100"/>
              <w:jc w:val="right"/>
              <w:rPr>
                <w:rFonts w:ascii="微软雅黑"/>
                <w:b/>
                <w:sz w:val="21"/>
              </w:rPr>
            </w:pPr>
            <w:r>
              <w:rPr>
                <w:rFonts w:ascii="微软雅黑"/>
                <w:b/>
                <w:w w:val="95"/>
                <w:sz w:val="21"/>
              </w:rPr>
              <w:t>9.1.43</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严重自身免疫性肝炎</w:t>
            </w:r>
          </w:p>
        </w:tc>
        <w:tc>
          <w:tcPr>
            <w:tcW w:w="7439" w:type="dxa"/>
          </w:tcPr>
          <w:p>
            <w:pPr>
              <w:pStyle w:val="TableParagraph"/>
              <w:spacing w:line="280" w:lineRule="auto" w:before="104"/>
              <w:ind w:left="112" w:right="198"/>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7"/>
              </w:numPr>
              <w:tabs>
                <w:tab w:pos="737" w:val="left" w:leader="none"/>
              </w:tabs>
              <w:spacing w:line="240" w:lineRule="auto" w:before="85" w:after="0"/>
              <w:ind w:left="736" w:right="0" w:hanging="624"/>
              <w:jc w:val="both"/>
              <w:rPr>
                <w:sz w:val="21"/>
              </w:rPr>
            </w:pPr>
            <w:r>
              <w:rPr>
                <w:sz w:val="21"/>
              </w:rPr>
              <w:t>高γ</w:t>
            </w:r>
            <w:r>
              <w:rPr>
                <w:spacing w:val="-3"/>
                <w:sz w:val="21"/>
              </w:rPr>
              <w:t>球蛋白血症；</w:t>
            </w:r>
          </w:p>
          <w:p>
            <w:pPr>
              <w:pStyle w:val="TableParagraph"/>
              <w:numPr>
                <w:ilvl w:val="0"/>
                <w:numId w:val="27"/>
              </w:numPr>
              <w:tabs>
                <w:tab w:pos="737" w:val="left" w:leader="none"/>
              </w:tabs>
              <w:spacing w:line="240" w:lineRule="auto" w:before="123" w:after="0"/>
              <w:ind w:left="736" w:right="0" w:hanging="624"/>
              <w:jc w:val="both"/>
              <w:rPr>
                <w:sz w:val="21"/>
              </w:rPr>
            </w:pPr>
            <w:r>
              <w:rPr>
                <w:spacing w:val="-3"/>
                <w:w w:val="105"/>
                <w:sz w:val="21"/>
              </w:rPr>
              <w:t>血液中存在高水平的自身免疫抗体，如 </w:t>
            </w:r>
            <w:r>
              <w:rPr>
                <w:spacing w:val="-7"/>
                <w:w w:val="105"/>
                <w:sz w:val="21"/>
              </w:rPr>
              <w:t>ANA（</w:t>
            </w:r>
            <w:r>
              <w:rPr>
                <w:spacing w:val="-4"/>
                <w:w w:val="105"/>
                <w:sz w:val="21"/>
              </w:rPr>
              <w:t>抗核抗体</w:t>
            </w:r>
            <w:r>
              <w:rPr>
                <w:spacing w:val="-108"/>
                <w:w w:val="105"/>
                <w:sz w:val="21"/>
              </w:rPr>
              <w:t>）</w:t>
            </w:r>
            <w:r>
              <w:rPr>
                <w:spacing w:val="-24"/>
                <w:w w:val="105"/>
                <w:sz w:val="21"/>
              </w:rPr>
              <w:t>、</w:t>
            </w:r>
            <w:r>
              <w:rPr>
                <w:spacing w:val="-7"/>
                <w:w w:val="105"/>
                <w:sz w:val="21"/>
              </w:rPr>
              <w:t>SMA（</w:t>
            </w:r>
            <w:r>
              <w:rPr>
                <w:spacing w:val="-4"/>
                <w:w w:val="105"/>
                <w:sz w:val="21"/>
              </w:rPr>
              <w:t>抗平</w:t>
            </w:r>
          </w:p>
        </w:tc>
      </w:tr>
    </w:tbl>
    <w:p>
      <w:pPr>
        <w:spacing w:after="0" w:line="240" w:lineRule="auto"/>
        <w:jc w:val="both"/>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1200"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spacing w:line="215" w:lineRule="exact"/>
              <w:ind w:left="727" w:right="2024"/>
              <w:jc w:val="center"/>
              <w:rPr>
                <w:sz w:val="21"/>
              </w:rPr>
            </w:pP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8"/>
              </w:numPr>
              <w:tabs>
                <w:tab w:pos="736" w:val="left" w:leader="none"/>
              </w:tabs>
              <w:spacing w:line="240" w:lineRule="auto" w:before="123" w:after="0"/>
              <w:ind w:left="735" w:right="0" w:hanging="624"/>
              <w:jc w:val="left"/>
              <w:rPr>
                <w:sz w:val="21"/>
              </w:rPr>
            </w:pPr>
            <w:r>
              <w:rPr>
                <w:spacing w:val="-3"/>
                <w:sz w:val="21"/>
              </w:rPr>
              <w:t>肝脏活检证实免疫性肝炎；</w:t>
            </w:r>
          </w:p>
          <w:p>
            <w:pPr>
              <w:pStyle w:val="TableParagraph"/>
              <w:numPr>
                <w:ilvl w:val="0"/>
                <w:numId w:val="28"/>
              </w:numPr>
              <w:tabs>
                <w:tab w:pos="736" w:val="left" w:leader="none"/>
              </w:tabs>
              <w:spacing w:line="240" w:lineRule="auto" w:before="123" w:after="0"/>
              <w:ind w:left="735" w:right="0" w:hanging="624"/>
              <w:jc w:val="left"/>
              <w:rPr>
                <w:sz w:val="21"/>
              </w:rPr>
            </w:pPr>
            <w:r>
              <w:rPr>
                <w:spacing w:val="-3"/>
                <w:sz w:val="21"/>
              </w:rPr>
              <w:t>临床已经出现腹水、食道静脉曲张和脾肿大等肝硬化表现。</w:t>
            </w:r>
          </w:p>
        </w:tc>
      </w:tr>
      <w:tr>
        <w:trPr>
          <w:trHeight w:val="1607" w:hRule="atLeast"/>
        </w:trPr>
        <w:tc>
          <w:tcPr>
            <w:tcW w:w="916" w:type="dxa"/>
          </w:tcPr>
          <w:p>
            <w:pPr>
              <w:pStyle w:val="TableParagraph"/>
              <w:spacing w:before="40"/>
              <w:ind w:left="0" w:right="100"/>
              <w:jc w:val="right"/>
              <w:rPr>
                <w:rFonts w:ascii="微软雅黑"/>
                <w:b/>
                <w:sz w:val="21"/>
              </w:rPr>
            </w:pPr>
            <w:r>
              <w:rPr>
                <w:rFonts w:ascii="微软雅黑"/>
                <w:b/>
                <w:w w:val="95"/>
                <w:sz w:val="21"/>
              </w:rPr>
              <w:t>9.1.44</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急性出血坏死性胰腺炎开腹手术</w:t>
            </w:r>
          </w:p>
        </w:tc>
        <w:tc>
          <w:tcPr>
            <w:tcW w:w="7458" w:type="dxa"/>
          </w:tcPr>
          <w:p>
            <w:pPr>
              <w:pStyle w:val="TableParagraph"/>
              <w:spacing w:line="280" w:lineRule="auto" w:before="103"/>
              <w:ind w:right="173"/>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218"/>
              <w:rPr>
                <w:sz w:val="21"/>
              </w:rPr>
            </w:pPr>
            <w:r>
              <w:rPr>
                <w:sz w:val="21"/>
              </w:rPr>
              <w:t>因饮酒所致的急性出血坏死性胰腺炎或者经腹腔镜手术进行的治疗不在保障范围内。</w:t>
            </w:r>
          </w:p>
        </w:tc>
      </w:tr>
      <w:tr>
        <w:trPr>
          <w:trHeight w:val="3120" w:hRule="atLeast"/>
        </w:trPr>
        <w:tc>
          <w:tcPr>
            <w:tcW w:w="916" w:type="dxa"/>
          </w:tcPr>
          <w:p>
            <w:pPr>
              <w:pStyle w:val="TableParagraph"/>
              <w:spacing w:before="38"/>
              <w:ind w:left="0" w:right="101"/>
              <w:jc w:val="right"/>
              <w:rPr>
                <w:rFonts w:ascii="微软雅黑"/>
                <w:b/>
                <w:sz w:val="21"/>
              </w:rPr>
            </w:pPr>
            <w:r>
              <w:rPr>
                <w:rFonts w:ascii="微软雅黑"/>
                <w:b/>
                <w:w w:val="95"/>
                <w:sz w:val="21"/>
              </w:rPr>
              <w:t>9.1.45</w:t>
            </w:r>
          </w:p>
        </w:tc>
        <w:tc>
          <w:tcPr>
            <w:tcW w:w="1691"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严重慢性复发性胰腺炎</w:t>
            </w:r>
          </w:p>
        </w:tc>
        <w:tc>
          <w:tcPr>
            <w:tcW w:w="7458" w:type="dxa"/>
          </w:tcPr>
          <w:p>
            <w:pPr>
              <w:pStyle w:val="TableParagraph"/>
              <w:spacing w:line="280" w:lineRule="auto" w:before="101"/>
              <w:ind w:right="220"/>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9"/>
              </w:numPr>
              <w:tabs>
                <w:tab w:pos="736" w:val="left" w:leader="none"/>
              </w:tabs>
              <w:spacing w:line="240" w:lineRule="auto" w:before="85" w:after="0"/>
              <w:ind w:left="735" w:right="0" w:hanging="624"/>
              <w:jc w:val="left"/>
              <w:rPr>
                <w:sz w:val="21"/>
              </w:rPr>
            </w:pPr>
            <w:r>
              <w:rPr>
                <w:spacing w:val="-3"/>
                <w:sz w:val="21"/>
              </w:rPr>
              <w:t>医疗记录证实存在慢性胰腺炎反复急性发作病史；</w:t>
            </w:r>
          </w:p>
          <w:p>
            <w:pPr>
              <w:pStyle w:val="TableParagraph"/>
              <w:numPr>
                <w:ilvl w:val="0"/>
                <w:numId w:val="29"/>
              </w:numPr>
              <w:tabs>
                <w:tab w:pos="736" w:val="left" w:leader="none"/>
              </w:tabs>
              <w:spacing w:line="280" w:lineRule="auto" w:before="123" w:after="0"/>
              <w:ind w:left="735" w:right="220"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9"/>
              </w:numPr>
              <w:tabs>
                <w:tab w:pos="736" w:val="left" w:leader="none"/>
              </w:tabs>
              <w:spacing w:line="240" w:lineRule="auto" w:before="84"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916" w:type="dxa"/>
          </w:tcPr>
          <w:p>
            <w:pPr>
              <w:pStyle w:val="TableParagraph"/>
              <w:spacing w:before="38"/>
              <w:ind w:left="0" w:right="100"/>
              <w:jc w:val="right"/>
              <w:rPr>
                <w:rFonts w:ascii="微软雅黑"/>
                <w:b/>
                <w:sz w:val="21"/>
              </w:rPr>
            </w:pPr>
            <w:r>
              <w:rPr>
                <w:rFonts w:ascii="微软雅黑"/>
                <w:b/>
                <w:w w:val="95"/>
                <w:sz w:val="21"/>
              </w:rPr>
              <w:t>9.1.46</w:t>
            </w:r>
          </w:p>
        </w:tc>
        <w:tc>
          <w:tcPr>
            <w:tcW w:w="1691"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严重溃疡性结肠炎</w:t>
            </w:r>
          </w:p>
        </w:tc>
        <w:tc>
          <w:tcPr>
            <w:tcW w:w="7458" w:type="dxa"/>
          </w:tcPr>
          <w:p>
            <w:pPr>
              <w:pStyle w:val="TableParagraph"/>
              <w:spacing w:line="280" w:lineRule="auto" w:before="101"/>
              <w:ind w:right="220"/>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9"/>
                <w:sz w:val="21"/>
              </w:rPr>
              <w:t>疡性结肠炎必须根据组织病理学特点诊断，并且已经实际实施了结肠切除和</w:t>
            </w:r>
            <w:r>
              <w:rPr>
                <w:w w:val="90"/>
                <w:sz w:val="21"/>
              </w:rPr>
              <w:t>/</w:t>
            </w:r>
            <w:r>
              <w:rPr>
                <w:sz w:val="21"/>
              </w:rPr>
              <w:t>或</w:t>
            </w:r>
            <w:r>
              <w:rPr>
                <w:spacing w:val="-2"/>
                <w:sz w:val="21"/>
              </w:rPr>
              <w:t>者回肠造瘘术。</w:t>
            </w:r>
          </w:p>
        </w:tc>
      </w:tr>
      <w:tr>
        <w:trPr>
          <w:trHeight w:val="1363" w:hRule="atLeast"/>
        </w:trPr>
        <w:tc>
          <w:tcPr>
            <w:tcW w:w="916" w:type="dxa"/>
          </w:tcPr>
          <w:p>
            <w:pPr>
              <w:pStyle w:val="TableParagraph"/>
              <w:spacing w:before="40"/>
              <w:ind w:left="0" w:right="101"/>
              <w:jc w:val="right"/>
              <w:rPr>
                <w:rFonts w:ascii="微软雅黑"/>
                <w:b/>
                <w:sz w:val="21"/>
              </w:rPr>
            </w:pPr>
            <w:r>
              <w:rPr>
                <w:rFonts w:ascii="微软雅黑"/>
                <w:b/>
                <w:w w:val="95"/>
                <w:sz w:val="21"/>
              </w:rPr>
              <w:t>9.1.47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严重肠道疾病并发症</w:t>
            </w:r>
          </w:p>
        </w:tc>
        <w:tc>
          <w:tcPr>
            <w:tcW w:w="7458" w:type="dxa"/>
          </w:tcPr>
          <w:p>
            <w:pPr>
              <w:pStyle w:val="TableParagraph"/>
              <w:spacing w:before="103"/>
              <w:rPr>
                <w:sz w:val="21"/>
              </w:rPr>
            </w:pPr>
            <w:r>
              <w:rPr>
                <w:sz w:val="21"/>
              </w:rPr>
              <w:t>严重肠道疾病或者外伤导致小肠损害并发症，必须满足下列全部条件：</w:t>
            </w:r>
          </w:p>
          <w:p>
            <w:pPr>
              <w:pStyle w:val="TableParagraph"/>
              <w:numPr>
                <w:ilvl w:val="0"/>
                <w:numId w:val="30"/>
              </w:numPr>
              <w:tabs>
                <w:tab w:pos="736" w:val="left" w:leader="none"/>
              </w:tabs>
              <w:spacing w:line="240" w:lineRule="auto" w:before="123" w:after="0"/>
              <w:ind w:left="735" w:right="0" w:hanging="624"/>
              <w:jc w:val="left"/>
              <w:rPr>
                <w:sz w:val="21"/>
              </w:rPr>
            </w:pPr>
            <w:r>
              <w:rPr>
                <w:spacing w:val="-3"/>
                <w:sz w:val="21"/>
              </w:rPr>
              <w:t>至少切除了三分之二小肠；</w:t>
            </w:r>
          </w:p>
          <w:p>
            <w:pPr>
              <w:pStyle w:val="TableParagraph"/>
              <w:numPr>
                <w:ilvl w:val="0"/>
                <w:numId w:val="30"/>
              </w:numPr>
              <w:tabs>
                <w:tab w:pos="736" w:val="left" w:leader="none"/>
              </w:tabs>
              <w:spacing w:line="240" w:lineRule="auto" w:before="123"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16" w:type="dxa"/>
          </w:tcPr>
          <w:p>
            <w:pPr>
              <w:pStyle w:val="TableParagraph"/>
              <w:spacing w:before="40"/>
              <w:ind w:left="0" w:right="98"/>
              <w:jc w:val="right"/>
              <w:rPr>
                <w:rFonts w:ascii="微软雅黑"/>
                <w:b/>
                <w:sz w:val="21"/>
              </w:rPr>
            </w:pPr>
            <w:r>
              <w:rPr>
                <w:rFonts w:ascii="微软雅黑"/>
                <w:b/>
                <w:w w:val="95"/>
                <w:sz w:val="21"/>
              </w:rPr>
              <w:t>9.1.48</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胰腺移植术</w:t>
            </w:r>
          </w:p>
        </w:tc>
        <w:tc>
          <w:tcPr>
            <w:tcW w:w="7458" w:type="dxa"/>
          </w:tcPr>
          <w:p>
            <w:pPr>
              <w:pStyle w:val="TableParagraph"/>
              <w:spacing w:before="103"/>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7" w:hRule="atLeast"/>
        </w:trPr>
        <w:tc>
          <w:tcPr>
            <w:tcW w:w="916" w:type="dxa"/>
          </w:tcPr>
          <w:p>
            <w:pPr>
              <w:pStyle w:val="TableParagraph"/>
              <w:spacing w:before="39"/>
              <w:ind w:left="0" w:right="100"/>
              <w:jc w:val="right"/>
              <w:rPr>
                <w:rFonts w:ascii="微软雅黑"/>
                <w:b/>
                <w:sz w:val="21"/>
              </w:rPr>
            </w:pPr>
            <w:r>
              <w:rPr>
                <w:rFonts w:ascii="微软雅黑"/>
                <w:b/>
                <w:w w:val="95"/>
                <w:sz w:val="21"/>
              </w:rPr>
              <w:t>9.1.49</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严重克隆病</w:t>
            </w:r>
          </w:p>
        </w:tc>
        <w:tc>
          <w:tcPr>
            <w:tcW w:w="7458" w:type="dxa"/>
          </w:tcPr>
          <w:p>
            <w:pPr>
              <w:pStyle w:val="TableParagraph"/>
              <w:spacing w:line="280" w:lineRule="auto" w:before="102"/>
              <w:ind w:right="188"/>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2" w:hRule="atLeast"/>
        </w:trPr>
        <w:tc>
          <w:tcPr>
            <w:tcW w:w="916" w:type="dxa"/>
          </w:tcPr>
          <w:p>
            <w:pPr>
              <w:pStyle w:val="TableParagraph"/>
              <w:spacing w:before="40"/>
              <w:ind w:left="0" w:right="101"/>
              <w:jc w:val="right"/>
              <w:rPr>
                <w:rFonts w:ascii="微软雅黑"/>
                <w:b/>
                <w:sz w:val="21"/>
              </w:rPr>
            </w:pPr>
            <w:r>
              <w:rPr>
                <w:rFonts w:ascii="微软雅黑"/>
                <w:b/>
                <w:w w:val="95"/>
                <w:sz w:val="21"/>
              </w:rPr>
              <w:t>9.1.50</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原发性硬化性胆管炎</w:t>
            </w:r>
          </w:p>
        </w:tc>
        <w:tc>
          <w:tcPr>
            <w:tcW w:w="7458" w:type="dxa"/>
          </w:tcPr>
          <w:p>
            <w:pPr>
              <w:pStyle w:val="TableParagraph"/>
              <w:spacing w:line="280" w:lineRule="auto" w:before="103"/>
              <w:ind w:right="199"/>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31"/>
              </w:numPr>
              <w:tabs>
                <w:tab w:pos="736" w:val="left" w:leader="none"/>
              </w:tabs>
              <w:spacing w:line="240" w:lineRule="auto" w:before="86" w:after="0"/>
              <w:ind w:left="735"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31"/>
              </w:numPr>
              <w:tabs>
                <w:tab w:pos="736" w:val="left" w:leader="none"/>
              </w:tabs>
              <w:spacing w:line="240" w:lineRule="auto" w:before="123" w:after="0"/>
              <w:ind w:left="735" w:right="0" w:hanging="624"/>
              <w:jc w:val="both"/>
              <w:rPr>
                <w:sz w:val="21"/>
              </w:rPr>
            </w:pPr>
            <w:r>
              <w:rPr>
                <w:spacing w:val="-3"/>
                <w:sz w:val="21"/>
              </w:rPr>
              <w:t>持续性黄疸病史；</w:t>
            </w:r>
          </w:p>
          <w:p>
            <w:pPr>
              <w:pStyle w:val="TableParagraph"/>
              <w:numPr>
                <w:ilvl w:val="0"/>
                <w:numId w:val="31"/>
              </w:numPr>
              <w:tabs>
                <w:tab w:pos="736" w:val="left" w:leader="none"/>
              </w:tabs>
              <w:spacing w:line="240" w:lineRule="auto" w:before="123" w:after="0"/>
              <w:ind w:left="735" w:right="0" w:hanging="624"/>
              <w:jc w:val="both"/>
              <w:rPr>
                <w:sz w:val="21"/>
              </w:rPr>
            </w:pPr>
            <w:r>
              <w:rPr>
                <w:spacing w:val="-3"/>
                <w:sz w:val="21"/>
              </w:rPr>
              <w:t>出现胆汁性肝硬化或者门脉高压。</w:t>
            </w:r>
          </w:p>
          <w:p>
            <w:pPr>
              <w:pStyle w:val="TableParagraph"/>
              <w:spacing w:before="123"/>
              <w:jc w:val="both"/>
              <w:rPr>
                <w:sz w:val="21"/>
              </w:rPr>
            </w:pPr>
            <w:r>
              <w:rPr>
                <w:sz w:val="21"/>
              </w:rPr>
              <w:t>因肿瘤或者胆管损伤等原因导致的继发性硬化性胆管炎不在保障范围内。</w:t>
            </w:r>
          </w:p>
        </w:tc>
      </w:tr>
      <w:tr>
        <w:trPr>
          <w:trHeight w:val="721" w:hRule="atLeast"/>
        </w:trPr>
        <w:tc>
          <w:tcPr>
            <w:tcW w:w="916" w:type="dxa"/>
          </w:tcPr>
          <w:p>
            <w:pPr>
              <w:pStyle w:val="TableParagraph"/>
              <w:spacing w:before="39"/>
              <w:ind w:left="0" w:right="127"/>
              <w:jc w:val="right"/>
              <w:rPr>
                <w:rFonts w:ascii="微软雅黑"/>
                <w:b/>
                <w:sz w:val="21"/>
              </w:rPr>
            </w:pPr>
            <w:r>
              <w:rPr>
                <w:rFonts w:ascii="微软雅黑"/>
                <w:b/>
                <w:w w:val="90"/>
                <w:sz w:val="21"/>
              </w:rPr>
              <w:t>9.1.51</w:t>
            </w:r>
          </w:p>
        </w:tc>
        <w:tc>
          <w:tcPr>
            <w:tcW w:w="1691" w:type="dxa"/>
          </w:tcPr>
          <w:p>
            <w:pPr>
              <w:pStyle w:val="TableParagraph"/>
              <w:spacing w:line="341" w:lineRule="exact" w:before="39"/>
              <w:ind w:left="100"/>
              <w:rPr>
                <w:rFonts w:ascii="微软雅黑" w:eastAsia="微软雅黑" w:hint="eastAsia"/>
                <w:b/>
                <w:sz w:val="21"/>
              </w:rPr>
            </w:pPr>
            <w:r>
              <w:rPr>
                <w:rFonts w:ascii="微软雅黑" w:eastAsia="微软雅黑" w:hint="eastAsia"/>
                <w:b/>
                <w:sz w:val="21"/>
              </w:rPr>
              <w:t>侵蚀性葡萄胎</w:t>
            </w:r>
          </w:p>
          <w:p>
            <w:pPr>
              <w:pStyle w:val="TableParagraph"/>
              <w:spacing w:line="321" w:lineRule="exact"/>
              <w:ind w:left="100"/>
              <w:rPr>
                <w:rFonts w:ascii="微软雅黑" w:eastAsia="微软雅黑" w:hint="eastAsia"/>
                <w:b/>
                <w:sz w:val="21"/>
              </w:rPr>
            </w:pPr>
            <w:r>
              <w:rPr>
                <w:rFonts w:ascii="微软雅黑" w:eastAsia="微软雅黑" w:hint="eastAsia"/>
                <w:b/>
                <w:sz w:val="21"/>
              </w:rPr>
              <w:t>（或者称恶性葡</w:t>
            </w:r>
          </w:p>
        </w:tc>
        <w:tc>
          <w:tcPr>
            <w:tcW w:w="7458" w:type="dxa"/>
          </w:tcPr>
          <w:p>
            <w:pPr>
              <w:pStyle w:val="TableParagraph"/>
              <w:spacing w:line="320" w:lineRule="atLeast" w:before="57"/>
              <w:ind w:right="218"/>
              <w:rPr>
                <w:sz w:val="21"/>
              </w:rPr>
            </w:pPr>
            <w:r>
              <w:rPr>
                <w:sz w:val="21"/>
              </w:rPr>
              <w:t>指异常增Th的绒毛组织浸润性Th长浸入子宫肌层或者转移至其他器官或者组织的葡萄胎，并已经进行化疗或者手术治疗的。</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543"/>
      </w:tblGrid>
      <w:tr>
        <w:trPr>
          <w:trHeight w:val="405" w:hRule="atLeast"/>
        </w:trPr>
        <w:tc>
          <w:tcPr>
            <w:tcW w:w="915" w:type="dxa"/>
          </w:tcPr>
          <w:p>
            <w:pPr>
              <w:pStyle w:val="TableParagraph"/>
              <w:ind w:left="0"/>
              <w:rPr>
                <w:rFonts w:ascii="Times New Roman"/>
                <w:sz w:val="20"/>
              </w:rPr>
            </w:pPr>
          </w:p>
        </w:tc>
        <w:tc>
          <w:tcPr>
            <w:tcW w:w="1691" w:type="dxa"/>
          </w:tcPr>
          <w:p>
            <w:pPr>
              <w:pStyle w:val="TableParagraph"/>
              <w:spacing w:line="241" w:lineRule="exact"/>
              <w:ind w:left="101"/>
              <w:rPr>
                <w:rFonts w:ascii="微软雅黑" w:eastAsia="微软雅黑" w:hint="eastAsia"/>
                <w:b/>
                <w:sz w:val="21"/>
              </w:rPr>
            </w:pPr>
            <w:r>
              <w:rPr>
                <w:rFonts w:ascii="微软雅黑" w:eastAsia="微软雅黑" w:hint="eastAsia"/>
                <w:b/>
                <w:sz w:val="21"/>
              </w:rPr>
              <w:t>萄胎）</w:t>
            </w:r>
          </w:p>
        </w:tc>
        <w:tc>
          <w:tcPr>
            <w:tcW w:w="7543" w:type="dxa"/>
          </w:tcPr>
          <w:p>
            <w:pPr>
              <w:pStyle w:val="TableParagraph"/>
              <w:ind w:left="0"/>
              <w:rPr>
                <w:rFonts w:ascii="Times New Roman"/>
                <w:sz w:val="20"/>
              </w:rPr>
            </w:pPr>
          </w:p>
        </w:tc>
      </w:tr>
      <w:tr>
        <w:trPr>
          <w:trHeight w:val="2877" w:hRule="atLeast"/>
        </w:trPr>
        <w:tc>
          <w:tcPr>
            <w:tcW w:w="915" w:type="dxa"/>
          </w:tcPr>
          <w:p>
            <w:pPr>
              <w:pStyle w:val="TableParagraph"/>
              <w:spacing w:before="42"/>
              <w:ind w:left="0" w:right="101"/>
              <w:jc w:val="right"/>
              <w:rPr>
                <w:rFonts w:ascii="微软雅黑"/>
                <w:b/>
                <w:sz w:val="21"/>
              </w:rPr>
            </w:pPr>
            <w:r>
              <w:rPr>
                <w:rFonts w:ascii="微软雅黑"/>
                <w:b/>
                <w:w w:val="95"/>
                <w:sz w:val="21"/>
              </w:rPr>
              <w:t>9.1.52</w:t>
            </w:r>
          </w:p>
        </w:tc>
        <w:tc>
          <w:tcPr>
            <w:tcW w:w="1691" w:type="dxa"/>
          </w:tcPr>
          <w:p>
            <w:pPr>
              <w:pStyle w:val="TableParagraph"/>
              <w:spacing w:line="211" w:lineRule="auto" w:before="85"/>
              <w:ind w:left="101" w:right="109"/>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543" w:type="dxa"/>
          </w:tcPr>
          <w:p>
            <w:pPr>
              <w:pStyle w:val="TableParagraph"/>
              <w:spacing w:line="278" w:lineRule="auto" w:before="104"/>
              <w:ind w:left="112" w:right="302"/>
              <w:rPr>
                <w:sz w:val="21"/>
              </w:rPr>
            </w:pPr>
            <w:r>
              <w:rPr>
                <w:sz w:val="21"/>
              </w:rPr>
              <w:t>指因骨髓造血功能慢性持续性衰竭导致的贫血、中性粒细胞减少及血小板减少。须满足下列全部条件：</w:t>
            </w:r>
          </w:p>
          <w:p>
            <w:pPr>
              <w:pStyle w:val="TableParagraph"/>
              <w:numPr>
                <w:ilvl w:val="0"/>
                <w:numId w:val="32"/>
              </w:numPr>
              <w:tabs>
                <w:tab w:pos="737" w:val="left" w:leader="none"/>
              </w:tabs>
              <w:spacing w:line="240" w:lineRule="auto" w:before="89" w:after="0"/>
              <w:ind w:left="736" w:right="0" w:hanging="624"/>
              <w:jc w:val="left"/>
              <w:rPr>
                <w:sz w:val="21"/>
              </w:rPr>
            </w:pPr>
            <w:r>
              <w:rPr>
                <w:spacing w:val="-3"/>
                <w:sz w:val="21"/>
              </w:rPr>
              <w:t>骨髓穿刺检查或者骨髓活检结果支持诊断；</w:t>
            </w:r>
          </w:p>
          <w:p>
            <w:pPr>
              <w:pStyle w:val="TableParagraph"/>
              <w:numPr>
                <w:ilvl w:val="0"/>
                <w:numId w:val="32"/>
              </w:numPr>
              <w:tabs>
                <w:tab w:pos="737" w:val="left" w:leader="none"/>
              </w:tabs>
              <w:spacing w:line="240" w:lineRule="auto" w:before="123" w:after="0"/>
              <w:ind w:left="736" w:right="0" w:hanging="624"/>
              <w:jc w:val="left"/>
              <w:rPr>
                <w:sz w:val="21"/>
              </w:rPr>
            </w:pPr>
            <w:r>
              <w:rPr>
                <w:spacing w:val="-3"/>
                <w:sz w:val="21"/>
              </w:rPr>
              <w:t>外周血象须满足下列三项条件：</w:t>
            </w:r>
          </w:p>
          <w:p>
            <w:pPr>
              <w:pStyle w:val="TableParagraph"/>
              <w:spacing w:before="121"/>
              <w:ind w:left="743"/>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43"/>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3"/>
              <w:rPr>
                <w:sz w:val="21"/>
              </w:rPr>
            </w:pPr>
            <w:r>
              <w:rPr>
                <w:sz w:val="21"/>
              </w:rPr>
              <w:t>③ 血小板绝对值≤20×10</w:t>
            </w:r>
            <w:r>
              <w:rPr>
                <w:position w:val="11"/>
                <w:sz w:val="11"/>
              </w:rPr>
              <w:t>9</w:t>
            </w:r>
            <w:r>
              <w:rPr>
                <w:sz w:val="21"/>
              </w:rPr>
              <w:t>/L。</w:t>
            </w:r>
          </w:p>
        </w:tc>
      </w:tr>
      <w:tr>
        <w:trPr>
          <w:trHeight w:val="2325" w:hRule="atLeast"/>
        </w:trPr>
        <w:tc>
          <w:tcPr>
            <w:tcW w:w="915" w:type="dxa"/>
          </w:tcPr>
          <w:p>
            <w:pPr>
              <w:pStyle w:val="TableParagraph"/>
              <w:spacing w:before="42"/>
              <w:ind w:left="0" w:right="100"/>
              <w:jc w:val="right"/>
              <w:rPr>
                <w:rFonts w:ascii="微软雅黑"/>
                <w:b/>
                <w:sz w:val="21"/>
              </w:rPr>
            </w:pPr>
            <w:r>
              <w:rPr>
                <w:rFonts w:ascii="微软雅黑"/>
                <w:b/>
                <w:w w:val="95"/>
                <w:sz w:val="21"/>
              </w:rPr>
              <w:t>9.1.53</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543" w:type="dxa"/>
          </w:tcPr>
          <w:p>
            <w:pPr>
              <w:pStyle w:val="TableParagraph"/>
              <w:spacing w:line="280" w:lineRule="auto" w:before="104"/>
              <w:ind w:left="112" w:right="3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33"/>
              </w:numPr>
              <w:tabs>
                <w:tab w:pos="737" w:val="left" w:leader="none"/>
              </w:tabs>
              <w:spacing w:line="240" w:lineRule="auto" w:before="85" w:after="0"/>
              <w:ind w:left="736"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33"/>
              </w:numPr>
              <w:tabs>
                <w:tab w:pos="737" w:val="left" w:leader="none"/>
              </w:tabs>
              <w:spacing w:line="240" w:lineRule="auto" w:before="123" w:after="0"/>
              <w:ind w:left="736"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7"/>
              <w:ind w:left="736"/>
              <w:rPr>
                <w:sz w:val="21"/>
              </w:rPr>
            </w:pPr>
            <w:r>
              <w:rPr>
                <w:sz w:val="21"/>
              </w:rPr>
              <w:t>≥3，属于中危及以上组。</w:t>
            </w:r>
          </w:p>
        </w:tc>
      </w:tr>
      <w:tr>
        <w:trPr>
          <w:trHeight w:val="2721" w:hRule="atLeast"/>
        </w:trPr>
        <w:tc>
          <w:tcPr>
            <w:tcW w:w="915" w:type="dxa"/>
          </w:tcPr>
          <w:p>
            <w:pPr>
              <w:pStyle w:val="TableParagraph"/>
              <w:spacing w:before="40"/>
              <w:ind w:left="0" w:right="99"/>
              <w:jc w:val="right"/>
              <w:rPr>
                <w:rFonts w:ascii="微软雅黑"/>
                <w:b/>
                <w:sz w:val="21"/>
              </w:rPr>
            </w:pPr>
            <w:r>
              <w:rPr>
                <w:rFonts w:ascii="微软雅黑"/>
                <w:b/>
                <w:w w:val="95"/>
                <w:sz w:val="21"/>
              </w:rPr>
              <w:t>9.1.54</w:t>
            </w:r>
          </w:p>
        </w:tc>
        <w:tc>
          <w:tcPr>
            <w:tcW w:w="1691" w:type="dxa"/>
          </w:tcPr>
          <w:p>
            <w:pPr>
              <w:pStyle w:val="TableParagraph"/>
              <w:spacing w:before="40"/>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543" w:type="dxa"/>
          </w:tcPr>
          <w:p>
            <w:pPr>
              <w:pStyle w:val="TableParagraph"/>
              <w:spacing w:line="280" w:lineRule="auto" w:before="103"/>
              <w:ind w:left="112" w:right="3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2"/>
                <w:w w:val="140"/>
                <w:sz w:val="21"/>
              </w:rPr>
              <w:t> </w:t>
            </w:r>
            <w:r>
              <w:rPr>
                <w:spacing w:val="-7"/>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34"/>
              </w:numPr>
              <w:tabs>
                <w:tab w:pos="737" w:val="left" w:leader="none"/>
              </w:tabs>
              <w:spacing w:line="240" w:lineRule="auto" w:before="85" w:after="0"/>
              <w:ind w:left="736" w:right="0" w:hanging="624"/>
              <w:jc w:val="both"/>
              <w:rPr>
                <w:sz w:val="21"/>
              </w:rPr>
            </w:pPr>
            <w:r>
              <w:rPr>
                <w:spacing w:val="-3"/>
                <w:sz w:val="21"/>
              </w:rPr>
              <w:t>出现增殖性糖尿病视网膜病变；</w:t>
            </w:r>
          </w:p>
          <w:p>
            <w:pPr>
              <w:pStyle w:val="TableParagraph"/>
              <w:numPr>
                <w:ilvl w:val="0"/>
                <w:numId w:val="34"/>
              </w:numPr>
              <w:tabs>
                <w:tab w:pos="737" w:val="left" w:leader="none"/>
              </w:tabs>
              <w:spacing w:line="240" w:lineRule="auto" w:before="123" w:after="0"/>
              <w:ind w:left="736"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34"/>
              </w:numPr>
              <w:tabs>
                <w:tab w:pos="737" w:val="left" w:leader="none"/>
              </w:tabs>
              <w:spacing w:line="240" w:lineRule="auto" w:before="123" w:after="0"/>
              <w:ind w:left="736" w:right="0" w:hanging="624"/>
              <w:jc w:val="both"/>
              <w:rPr>
                <w:sz w:val="21"/>
              </w:rPr>
            </w:pPr>
            <w:r>
              <w:rPr>
                <w:spacing w:val="-3"/>
                <w:sz w:val="21"/>
              </w:rPr>
              <w:t>因糖尿病足坏疽进行足趾或者下肢截断术。</w:t>
            </w:r>
          </w:p>
        </w:tc>
      </w:tr>
      <w:tr>
        <w:trPr>
          <w:trHeight w:val="5430" w:hRule="atLeast"/>
        </w:trPr>
        <w:tc>
          <w:tcPr>
            <w:tcW w:w="915" w:type="dxa"/>
          </w:tcPr>
          <w:p>
            <w:pPr>
              <w:pStyle w:val="TableParagraph"/>
              <w:spacing w:before="41"/>
              <w:ind w:left="0" w:right="100"/>
              <w:jc w:val="right"/>
              <w:rPr>
                <w:rFonts w:ascii="微软雅黑"/>
                <w:b/>
                <w:sz w:val="21"/>
              </w:rPr>
            </w:pPr>
            <w:r>
              <w:rPr>
                <w:rFonts w:ascii="微软雅黑"/>
                <w:b/>
                <w:w w:val="95"/>
                <w:sz w:val="21"/>
              </w:rPr>
              <w:t>9.1.55</w:t>
            </w:r>
          </w:p>
        </w:tc>
        <w:tc>
          <w:tcPr>
            <w:tcW w:w="1691" w:type="dxa"/>
          </w:tcPr>
          <w:p>
            <w:pPr>
              <w:pStyle w:val="TableParagraph"/>
              <w:spacing w:line="211" w:lineRule="auto" w:before="84"/>
              <w:ind w:left="101" w:right="109"/>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43" w:type="dxa"/>
          </w:tcPr>
          <w:p>
            <w:pPr>
              <w:pStyle w:val="TableParagraph"/>
              <w:spacing w:before="103"/>
              <w:ind w:left="112"/>
              <w:rPr>
                <w:sz w:val="21"/>
              </w:rPr>
            </w:pPr>
            <w:r>
              <w:rPr>
                <w:sz w:val="21"/>
              </w:rPr>
              <w:t>系统性红斑狼疮是由多种因素引起，累及多系统的自身免疫性疾病。其特点是</w:t>
            </w:r>
          </w:p>
          <w:p>
            <w:pPr>
              <w:pStyle w:val="TableParagraph"/>
              <w:spacing w:before="46"/>
              <w:ind w:left="112"/>
              <w:rPr>
                <w:sz w:val="21"/>
              </w:rPr>
            </w:pPr>
            <w:r>
              <w:rPr>
                <w:sz w:val="21"/>
              </w:rPr>
              <w:t>Th成自身抗体对抗多种自身抗原。多见于育龄妇女。</w:t>
            </w:r>
          </w:p>
          <w:p>
            <w:pPr>
              <w:pStyle w:val="TableParagraph"/>
              <w:spacing w:line="280" w:lineRule="auto" w:before="120"/>
              <w:ind w:left="112" w:right="3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4"/>
              <w:ind w:left="112" w:right="273"/>
              <w:rPr>
                <w:sz w:val="21"/>
              </w:rPr>
            </w:pPr>
            <w:r>
              <w:rPr>
                <w:sz w:val="21"/>
              </w:rPr>
              <w:t>其他类型的红斑性狼疮，如盘状狼疮、仅累及血液及关节的狼疮不在保障范围内。</w:t>
            </w:r>
          </w:p>
          <w:p>
            <w:pPr>
              <w:pStyle w:val="TableParagraph"/>
              <w:spacing w:before="84"/>
              <w:ind w:left="112"/>
              <w:jc w:val="both"/>
              <w:rPr>
                <w:sz w:val="21"/>
              </w:rPr>
            </w:pPr>
            <w:r>
              <w:rPr>
                <w:w w:val="110"/>
                <w:sz w:val="21"/>
              </w:rPr>
              <w:t>世界卫Th组织（WHO）狼疮性肾炎分型：</w:t>
            </w:r>
          </w:p>
          <w:p>
            <w:pPr>
              <w:pStyle w:val="TableParagraph"/>
              <w:spacing w:before="123"/>
              <w:ind w:left="112"/>
              <w:jc w:val="both"/>
              <w:rPr>
                <w:sz w:val="21"/>
              </w:rPr>
            </w:pPr>
            <w:r>
              <w:rPr>
                <w:sz w:val="21"/>
              </w:rPr>
              <w:t>Ⅰ型：微小病变型；</w:t>
            </w:r>
          </w:p>
          <w:p>
            <w:pPr>
              <w:pStyle w:val="TableParagraph"/>
              <w:spacing w:before="123"/>
              <w:ind w:left="112"/>
              <w:jc w:val="both"/>
              <w:rPr>
                <w:sz w:val="21"/>
              </w:rPr>
            </w:pPr>
            <w:r>
              <w:rPr>
                <w:sz w:val="21"/>
              </w:rPr>
              <w:t>Ⅱ型：系膜病变型；</w:t>
            </w:r>
          </w:p>
          <w:p>
            <w:pPr>
              <w:pStyle w:val="TableParagraph"/>
              <w:spacing w:before="123"/>
              <w:ind w:left="112"/>
              <w:jc w:val="both"/>
              <w:rPr>
                <w:sz w:val="21"/>
              </w:rPr>
            </w:pPr>
            <w:r>
              <w:rPr>
                <w:sz w:val="21"/>
              </w:rPr>
              <w:t>Ⅲ型：局灶及节段增Th型；</w:t>
            </w:r>
          </w:p>
          <w:p>
            <w:pPr>
              <w:pStyle w:val="TableParagraph"/>
              <w:spacing w:before="120"/>
              <w:ind w:left="112"/>
              <w:jc w:val="both"/>
              <w:rPr>
                <w:sz w:val="21"/>
              </w:rPr>
            </w:pPr>
            <w:r>
              <w:rPr>
                <w:sz w:val="21"/>
              </w:rPr>
              <w:t>Ⅳ型：弥漫增Th型；</w:t>
            </w:r>
          </w:p>
          <w:p>
            <w:pPr>
              <w:pStyle w:val="TableParagraph"/>
              <w:spacing w:before="123"/>
              <w:ind w:left="112"/>
              <w:jc w:val="both"/>
              <w:rPr>
                <w:sz w:val="21"/>
              </w:rPr>
            </w:pPr>
            <w:r>
              <w:rPr>
                <w:sz w:val="21"/>
              </w:rPr>
              <w:t>Ⅴ型：膜型；</w:t>
            </w:r>
          </w:p>
          <w:p>
            <w:pPr>
              <w:pStyle w:val="TableParagraph"/>
              <w:spacing w:before="123"/>
              <w:ind w:left="112"/>
              <w:jc w:val="both"/>
              <w:rPr>
                <w:sz w:val="21"/>
              </w:rPr>
            </w:pPr>
            <w:r>
              <w:rPr>
                <w:sz w:val="21"/>
              </w:rPr>
              <w:t>Ⅵ型：肾小球硬化型。</w:t>
            </w:r>
          </w:p>
        </w:tc>
      </w:tr>
      <w:tr>
        <w:trPr>
          <w:trHeight w:val="726" w:hRule="atLeast"/>
        </w:trPr>
        <w:tc>
          <w:tcPr>
            <w:tcW w:w="915" w:type="dxa"/>
          </w:tcPr>
          <w:p>
            <w:pPr>
              <w:pStyle w:val="TableParagraph"/>
              <w:spacing w:before="42"/>
              <w:ind w:left="0" w:right="99"/>
              <w:jc w:val="right"/>
              <w:rPr>
                <w:rFonts w:ascii="微软雅黑"/>
                <w:b/>
                <w:sz w:val="21"/>
              </w:rPr>
            </w:pPr>
            <w:r>
              <w:rPr>
                <w:rFonts w:ascii="微软雅黑"/>
                <w:b/>
                <w:w w:val="95"/>
                <w:sz w:val="21"/>
              </w:rPr>
              <w:t>9.1.56</w:t>
            </w:r>
          </w:p>
        </w:tc>
        <w:tc>
          <w:tcPr>
            <w:tcW w:w="1691" w:type="dxa"/>
          </w:tcPr>
          <w:p>
            <w:pPr>
              <w:pStyle w:val="TableParagraph"/>
              <w:spacing w:line="322" w:lineRule="exact" w:before="92"/>
              <w:ind w:left="101" w:right="109"/>
              <w:rPr>
                <w:rFonts w:ascii="微软雅黑" w:eastAsia="微软雅黑" w:hint="eastAsia"/>
                <w:b/>
                <w:sz w:val="21"/>
              </w:rPr>
            </w:pPr>
            <w:r>
              <w:rPr>
                <w:rFonts w:ascii="微软雅黑" w:eastAsia="微软雅黑" w:hint="eastAsia"/>
                <w:b/>
                <w:sz w:val="21"/>
              </w:rPr>
              <w:t>严重类风湿性关节炎</w:t>
            </w:r>
          </w:p>
        </w:tc>
        <w:tc>
          <w:tcPr>
            <w:tcW w:w="7543" w:type="dxa"/>
          </w:tcPr>
          <w:p>
            <w:pPr>
              <w:pStyle w:val="TableParagraph"/>
              <w:spacing w:line="320" w:lineRule="atLeast" w:before="59"/>
              <w:ind w:left="112" w:right="196"/>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w:t>
            </w:r>
          </w:p>
        </w:tc>
      </w:tr>
    </w:tbl>
    <w:p>
      <w:pPr>
        <w:spacing w:after="0" w:line="320" w:lineRule="atLeast"/>
        <w:rPr>
          <w:sz w:val="21"/>
        </w:rPr>
        <w:sectPr>
          <w:pgSz w:w="11910" w:h="16840"/>
          <w:pgMar w:top="118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6"/>
      </w:tblGrid>
      <w:tr>
        <w:trPr>
          <w:trHeight w:val="3034"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6" w:type="dxa"/>
          </w:tcPr>
          <w:p>
            <w:pPr>
              <w:pStyle w:val="TableParagraph"/>
              <w:spacing w:line="215" w:lineRule="exact"/>
              <w:rPr>
                <w:sz w:val="21"/>
              </w:rPr>
            </w:pPr>
            <w:r>
              <w:rPr>
                <w:spacing w:val="-11"/>
                <w:sz w:val="21"/>
              </w:rPr>
              <w:t>关节、双腕关节、双膝关节和双髋关节</w:t>
            </w:r>
            <w:r>
              <w:rPr>
                <w:spacing w:val="-108"/>
                <w:sz w:val="21"/>
              </w:rPr>
              <w:t>）</w:t>
            </w:r>
            <w:r>
              <w:rPr>
                <w:spacing w:val="-7"/>
                <w:sz w:val="21"/>
              </w:rPr>
              <w:t>。必须明确诊断并且已经达到类风湿性</w:t>
            </w:r>
          </w:p>
          <w:p>
            <w:pPr>
              <w:pStyle w:val="TableParagraph"/>
              <w:spacing w:line="345" w:lineRule="auto" w:before="46"/>
              <w:ind w:right="2508"/>
              <w:rPr>
                <w:sz w:val="21"/>
              </w:rPr>
            </w:pPr>
            <w:r>
              <w:rPr>
                <w:sz w:val="21"/>
              </w:rPr>
              <w:t>关节炎功能分类Ⅳ级的永久不可逆性关节功能障碍。美国风湿病学会类风湿性关节炎分级：</w:t>
            </w:r>
          </w:p>
          <w:p>
            <w:pPr>
              <w:pStyle w:val="TableParagraph"/>
              <w:spacing w:before="30"/>
              <w:rPr>
                <w:sz w:val="21"/>
              </w:rPr>
            </w:pPr>
            <w:r>
              <w:rPr>
                <w:sz w:val="21"/>
              </w:rPr>
              <w:t>Ⅰ级：关节能自由活动，能完成平常的任务而无妨碍；</w:t>
            </w:r>
          </w:p>
          <w:p>
            <w:pPr>
              <w:pStyle w:val="TableParagraph"/>
              <w:spacing w:before="123"/>
              <w:rPr>
                <w:sz w:val="21"/>
              </w:rPr>
            </w:pPr>
            <w:r>
              <w:rPr>
                <w:sz w:val="21"/>
              </w:rPr>
              <w:t>Ⅱ级：关节活动中度限制，一个或者几个关节疼痛不适，但能料理日常Th活；</w:t>
            </w:r>
          </w:p>
          <w:p>
            <w:pPr>
              <w:pStyle w:val="TableParagraph"/>
              <w:spacing w:before="123"/>
              <w:rPr>
                <w:sz w:val="21"/>
              </w:rPr>
            </w:pPr>
            <w:r>
              <w:rPr>
                <w:sz w:val="21"/>
              </w:rPr>
              <w:t>Ⅲ级：关节活动显著限制，不能胜任工作，料理Th活也有困难；</w:t>
            </w:r>
          </w:p>
          <w:p>
            <w:pPr>
              <w:pStyle w:val="TableParagraph"/>
              <w:spacing w:line="280" w:lineRule="auto" w:before="120"/>
              <w:ind w:left="721" w:right="171" w:hanging="611"/>
              <w:rPr>
                <w:sz w:val="21"/>
              </w:rPr>
            </w:pPr>
            <w:r>
              <w:rPr>
                <w:sz w:val="21"/>
              </w:rPr>
              <w:t>Ⅳ级：大部分或者完全失去活动能力，病人长期卧床或者依赖轮椅，Th活不能自理。</w:t>
            </w:r>
          </w:p>
        </w:tc>
      </w:tr>
      <w:tr>
        <w:trPr>
          <w:trHeight w:val="1209" w:hRule="atLeast"/>
        </w:trPr>
        <w:tc>
          <w:tcPr>
            <w:tcW w:w="916" w:type="dxa"/>
          </w:tcPr>
          <w:p>
            <w:pPr>
              <w:pStyle w:val="TableParagraph"/>
              <w:spacing w:before="40"/>
              <w:ind w:left="0" w:right="101"/>
              <w:jc w:val="right"/>
              <w:rPr>
                <w:rFonts w:ascii="微软雅黑"/>
                <w:b/>
                <w:sz w:val="21"/>
              </w:rPr>
            </w:pPr>
            <w:r>
              <w:rPr>
                <w:rFonts w:ascii="微软雅黑"/>
                <w:b/>
                <w:w w:val="95"/>
                <w:sz w:val="21"/>
              </w:rPr>
              <w:t>9.1.57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严重幼年型类风湿性关节炎</w:t>
            </w:r>
          </w:p>
        </w:tc>
        <w:tc>
          <w:tcPr>
            <w:tcW w:w="7456" w:type="dxa"/>
          </w:tcPr>
          <w:p>
            <w:pPr>
              <w:pStyle w:val="TableParagraph"/>
              <w:spacing w:line="280" w:lineRule="auto" w:before="103"/>
              <w:ind w:right="218"/>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41"/>
              <w:ind w:left="0" w:right="98"/>
              <w:jc w:val="right"/>
              <w:rPr>
                <w:rFonts w:ascii="微软雅黑"/>
                <w:b/>
                <w:sz w:val="21"/>
              </w:rPr>
            </w:pPr>
            <w:r>
              <w:rPr>
                <w:rFonts w:ascii="微软雅黑"/>
                <w:b/>
                <w:w w:val="95"/>
                <w:sz w:val="21"/>
              </w:rPr>
              <w:t>9.1.58</w:t>
            </w:r>
          </w:p>
        </w:tc>
        <w:tc>
          <w:tcPr>
            <w:tcW w:w="1691" w:type="dxa"/>
          </w:tcPr>
          <w:p>
            <w:pPr>
              <w:pStyle w:val="TableParagraph"/>
              <w:spacing w:line="213" w:lineRule="auto" w:before="81"/>
              <w:ind w:left="100"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0"/>
              <w:rPr>
                <w:rFonts w:ascii="微软雅黑" w:eastAsia="微软雅黑" w:hint="eastAsia"/>
                <w:b/>
                <w:sz w:val="21"/>
              </w:rPr>
            </w:pPr>
            <w:r>
              <w:rPr>
                <w:rFonts w:ascii="微软雅黑" w:eastAsia="微软雅黑" w:hint="eastAsia"/>
                <w:b/>
                <w:w w:val="95"/>
                <w:sz w:val="21"/>
              </w:rPr>
              <w:t>（HIV）感染</w:t>
            </w:r>
          </w:p>
        </w:tc>
        <w:tc>
          <w:tcPr>
            <w:tcW w:w="7456" w:type="dxa"/>
          </w:tcPr>
          <w:p>
            <w:pPr>
              <w:pStyle w:val="TableParagraph"/>
              <w:spacing w:line="280" w:lineRule="auto" w:before="103"/>
              <w:ind w:right="220"/>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5"/>
              </w:numPr>
              <w:tabs>
                <w:tab w:pos="736" w:val="left" w:leader="none"/>
              </w:tabs>
              <w:spacing w:line="280" w:lineRule="auto" w:before="85" w:after="0"/>
              <w:ind w:left="735" w:right="222"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5"/>
              </w:numPr>
              <w:tabs>
                <w:tab w:pos="736" w:val="left" w:leader="none"/>
              </w:tabs>
              <w:spacing w:line="240" w:lineRule="auto" w:before="85" w:after="0"/>
              <w:ind w:left="735" w:right="0" w:hanging="624"/>
              <w:jc w:val="left"/>
              <w:rPr>
                <w:sz w:val="21"/>
              </w:rPr>
            </w:pPr>
            <w:r>
              <w:rPr>
                <w:spacing w:val="-3"/>
                <w:sz w:val="21"/>
              </w:rPr>
              <w:t>受感染的被保险人不是血友病患者。</w:t>
            </w:r>
          </w:p>
          <w:p>
            <w:pPr>
              <w:pStyle w:val="TableParagraph"/>
              <w:spacing w:line="280" w:lineRule="auto" w:before="123"/>
              <w:ind w:right="218"/>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5"/>
              <w:ind w:right="218"/>
              <w:jc w:val="both"/>
              <w:rPr>
                <w:sz w:val="21"/>
              </w:rPr>
            </w:pPr>
            <w:r>
              <w:rPr>
                <w:spacing w:val="-8"/>
                <w:w w:val="100"/>
                <w:sz w:val="21"/>
              </w:rPr>
              <w:t>任何因其他传播方式</w:t>
            </w:r>
            <w:r>
              <w:rPr>
                <w:w w:val="100"/>
                <w:sz w:val="21"/>
              </w:rPr>
              <w:t>（</w:t>
            </w:r>
            <w:r>
              <w:rPr>
                <w:spacing w:val="-8"/>
                <w:w w:val="100"/>
                <w:sz w:val="21"/>
              </w:rPr>
              <w:t>包括：性传播或者静脉注射毒品</w:t>
            </w:r>
            <w:r>
              <w:rPr>
                <w:spacing w:val="-41"/>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6"/>
                <w:sz w:val="21"/>
              </w:rPr>
              <w:t>保障范围内。我们拥有获得使用被保险人的所有血液样本的权利和能够对这些</w:t>
            </w:r>
            <w:r>
              <w:rPr>
                <w:spacing w:val="-4"/>
                <w:sz w:val="21"/>
              </w:rPr>
              <w:t>样本进行独立检验的权利。</w:t>
            </w:r>
          </w:p>
        </w:tc>
      </w:tr>
      <w:tr>
        <w:trPr>
          <w:trHeight w:val="5832" w:hRule="atLeast"/>
        </w:trPr>
        <w:tc>
          <w:tcPr>
            <w:tcW w:w="916" w:type="dxa"/>
          </w:tcPr>
          <w:p>
            <w:pPr>
              <w:pStyle w:val="TableParagraph"/>
              <w:spacing w:before="41"/>
              <w:ind w:left="0" w:right="100"/>
              <w:jc w:val="right"/>
              <w:rPr>
                <w:rFonts w:ascii="微软雅黑"/>
                <w:b/>
                <w:sz w:val="21"/>
              </w:rPr>
            </w:pPr>
            <w:r>
              <w:rPr>
                <w:rFonts w:ascii="微软雅黑"/>
                <w:b/>
                <w:w w:val="95"/>
                <w:sz w:val="21"/>
              </w:rPr>
              <w:t>9.1.59</w:t>
            </w:r>
          </w:p>
        </w:tc>
        <w:tc>
          <w:tcPr>
            <w:tcW w:w="1691" w:type="dxa"/>
          </w:tcPr>
          <w:p>
            <w:pPr>
              <w:pStyle w:val="TableParagraph"/>
              <w:spacing w:line="211" w:lineRule="auto" w:before="84"/>
              <w:ind w:left="100" w:right="110"/>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56" w:type="dxa"/>
          </w:tcPr>
          <w:p>
            <w:pPr>
              <w:pStyle w:val="TableParagraph"/>
              <w:spacing w:line="278" w:lineRule="auto" w:before="103"/>
              <w:ind w:right="215"/>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6"/>
              </w:numPr>
              <w:tabs>
                <w:tab w:pos="736" w:val="left" w:leader="none"/>
              </w:tabs>
              <w:spacing w:line="240" w:lineRule="auto" w:before="89" w:after="0"/>
              <w:ind w:left="735" w:right="0" w:hanging="624"/>
              <w:jc w:val="left"/>
              <w:rPr>
                <w:sz w:val="21"/>
              </w:rPr>
            </w:pPr>
            <w:r>
              <w:rPr>
                <w:spacing w:val="-3"/>
                <w:sz w:val="21"/>
              </w:rPr>
              <w:t>感染必须在被保险人正在从事其职业工作中发</w:t>
            </w:r>
            <w:r>
              <w:rPr>
                <w:sz w:val="21"/>
              </w:rPr>
              <w:t>Th；</w:t>
            </w:r>
          </w:p>
          <w:p>
            <w:pPr>
              <w:pStyle w:val="TableParagraph"/>
              <w:numPr>
                <w:ilvl w:val="0"/>
                <w:numId w:val="36"/>
              </w:numPr>
              <w:tabs>
                <w:tab w:pos="736" w:val="left" w:leader="none"/>
              </w:tabs>
              <w:spacing w:line="280" w:lineRule="auto" w:before="120" w:after="0"/>
              <w:ind w:left="735" w:right="218"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36"/>
              </w:numPr>
              <w:tabs>
                <w:tab w:pos="736" w:val="left" w:leader="none"/>
              </w:tabs>
              <w:spacing w:line="278" w:lineRule="auto" w:before="87" w:after="0"/>
              <w:ind w:left="735" w:right="217" w:hanging="624"/>
              <w:jc w:val="left"/>
              <w:rPr>
                <w:sz w:val="21"/>
              </w:rPr>
            </w:pPr>
            <w:r>
              <w:rPr>
                <w:spacing w:val="-2"/>
                <w:sz w:val="21"/>
              </w:rPr>
              <w:t>必须在事故发</w:t>
            </w:r>
            <w:r>
              <w:rPr>
                <w:sz w:val="21"/>
              </w:rPr>
              <w:t>Th</w:t>
            </w:r>
            <w:r>
              <w:rPr>
                <w:spacing w:val="15"/>
                <w:sz w:val="21"/>
              </w:rPr>
              <w:t>后的</w:t>
            </w:r>
            <w:r>
              <w:rPr>
                <w:sz w:val="21"/>
              </w:rPr>
              <w:t>6</w:t>
            </w:r>
            <w:r>
              <w:rPr>
                <w:spacing w:val="-3"/>
                <w:sz w:val="21"/>
              </w:rPr>
              <w:t> 个月内证实被保险人体内存在</w:t>
            </w:r>
            <w:r>
              <w:rPr>
                <w:sz w:val="21"/>
              </w:rPr>
              <w:t>HIV</w:t>
            </w:r>
            <w:r>
              <w:rPr>
                <w:spacing w:val="2"/>
                <w:sz w:val="21"/>
              </w:rPr>
              <w:t> 病毒或者</w:t>
            </w:r>
            <w:r>
              <w:rPr>
                <w:sz w:val="21"/>
              </w:rPr>
              <w:t>HIV 抗体。</w:t>
            </w:r>
          </w:p>
          <w:p>
            <w:pPr>
              <w:pStyle w:val="TableParagraph"/>
              <w:spacing w:before="89"/>
              <w:rPr>
                <w:sz w:val="21"/>
              </w:rPr>
            </w:pPr>
            <w:r>
              <w:rPr>
                <w:sz w:val="21"/>
              </w:rPr>
              <w:t>职业列表：</w:t>
            </w:r>
          </w:p>
          <w:p>
            <w:pPr>
              <w:pStyle w:val="TableParagraph"/>
              <w:tabs>
                <w:tab w:pos="3155" w:val="left" w:leader="none"/>
              </w:tabs>
              <w:spacing w:before="123"/>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5" w:val="left" w:leader="none"/>
              </w:tabs>
              <w:spacing w:before="120"/>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5"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before="123"/>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p>
          <w:p>
            <w:pPr>
              <w:pStyle w:val="TableParagraph"/>
              <w:spacing w:line="320" w:lineRule="atLeast" w:before="1"/>
              <w:ind w:right="221"/>
              <w:rPr>
                <w:sz w:val="21"/>
              </w:rPr>
            </w:pPr>
            <w:r>
              <w:rPr>
                <w:sz w:val="21"/>
              </w:rPr>
              <w:t>能防止 </w:t>
            </w:r>
            <w:r>
              <w:rPr>
                <w:w w:val="115"/>
                <w:sz w:val="21"/>
              </w:rPr>
              <w:t>AIDS </w:t>
            </w:r>
            <w:r>
              <w:rPr>
                <w:sz w:val="21"/>
              </w:rPr>
              <w:t>发Th的医疗方法被研究出来以后，本合同对该病将不再予以赔付。</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1050"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5" w:type="dxa"/>
          </w:tcPr>
          <w:p>
            <w:pPr>
              <w:pStyle w:val="TableParagraph"/>
              <w:spacing w:line="218" w:lineRule="exact"/>
              <w:ind w:left="112"/>
              <w:rPr>
                <w:sz w:val="21"/>
              </w:rPr>
            </w:pPr>
            <w:r>
              <w:rPr>
                <w:spacing w:val="-7"/>
                <w:w w:val="100"/>
                <w:sz w:val="21"/>
              </w:rPr>
              <w:t>任何因其他传播方式</w:t>
            </w:r>
            <w:r>
              <w:rPr>
                <w:w w:val="100"/>
                <w:sz w:val="21"/>
              </w:rPr>
              <w:t>（</w:t>
            </w:r>
            <w:r>
              <w:rPr>
                <w:spacing w:val="-9"/>
                <w:w w:val="100"/>
                <w:sz w:val="21"/>
              </w:rPr>
              <w:t>包括：输血、性传播或者静脉注射毒品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4"/>
                <w:sz w:val="21"/>
              </w:rPr>
              <w:t> </w:t>
            </w:r>
            <w:r>
              <w:rPr>
                <w:w w:val="100"/>
                <w:sz w:val="21"/>
              </w:rPr>
              <w:t>感</w:t>
            </w:r>
          </w:p>
          <w:p>
            <w:pPr>
              <w:pStyle w:val="TableParagraph"/>
              <w:spacing w:line="280" w:lineRule="auto" w:before="46"/>
              <w:ind w:left="112" w:right="184"/>
              <w:rPr>
                <w:sz w:val="21"/>
              </w:rPr>
            </w:pPr>
            <w:r>
              <w:rPr>
                <w:sz w:val="21"/>
              </w:rPr>
              <w:t>染不在保障范围内。我们拥有获得使用被保险人的所有血液样本的权利和能够对这些样本进行独立检验的权利。</w:t>
            </w:r>
          </w:p>
        </w:tc>
      </w:tr>
      <w:tr>
        <w:trPr>
          <w:trHeight w:val="3675" w:hRule="atLeast"/>
        </w:trPr>
        <w:tc>
          <w:tcPr>
            <w:tcW w:w="915" w:type="dxa"/>
          </w:tcPr>
          <w:p>
            <w:pPr>
              <w:pStyle w:val="TableParagraph"/>
              <w:spacing w:before="40"/>
              <w:ind w:left="0" w:right="100"/>
              <w:jc w:val="right"/>
              <w:rPr>
                <w:rFonts w:ascii="微软雅黑"/>
                <w:b/>
                <w:sz w:val="21"/>
              </w:rPr>
            </w:pPr>
            <w:r>
              <w:rPr>
                <w:rFonts w:ascii="微软雅黑"/>
                <w:b/>
                <w:w w:val="95"/>
                <w:sz w:val="21"/>
              </w:rPr>
              <w:t>9.1.60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严重系统性硬皮病</w:t>
            </w:r>
          </w:p>
        </w:tc>
        <w:tc>
          <w:tcPr>
            <w:tcW w:w="7455" w:type="dxa"/>
          </w:tcPr>
          <w:p>
            <w:pPr>
              <w:pStyle w:val="TableParagraph"/>
              <w:spacing w:line="280" w:lineRule="auto" w:before="103"/>
              <w:ind w:left="112" w:right="197"/>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37"/>
              </w:numPr>
              <w:tabs>
                <w:tab w:pos="737" w:val="left" w:leader="none"/>
              </w:tabs>
              <w:spacing w:line="240" w:lineRule="auto" w:before="85" w:after="0"/>
              <w:ind w:left="736" w:right="0" w:hanging="624"/>
              <w:jc w:val="left"/>
              <w:rPr>
                <w:sz w:val="21"/>
              </w:rPr>
            </w:pPr>
            <w:r>
              <w:rPr>
                <w:spacing w:val="-3"/>
                <w:sz w:val="21"/>
              </w:rPr>
              <w:t>肺脏：肺部病变进而发展为肺间质纤维化和肺动脉高压；</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心脏：心功能受损达到美国纽约心脏病学会心功能状态分级Ⅳ级；</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spacing w:before="121"/>
              <w:ind w:left="112"/>
              <w:rPr>
                <w:sz w:val="21"/>
              </w:rPr>
            </w:pPr>
            <w:r>
              <w:rPr>
                <w:sz w:val="21"/>
              </w:rPr>
              <w:t>下列疾病不在保障范围内：</w:t>
            </w:r>
          </w:p>
          <w:p>
            <w:pPr>
              <w:pStyle w:val="TableParagraph"/>
              <w:numPr>
                <w:ilvl w:val="0"/>
                <w:numId w:val="38"/>
              </w:numPr>
              <w:tabs>
                <w:tab w:pos="737" w:val="left" w:leader="none"/>
              </w:tabs>
              <w:spacing w:line="240" w:lineRule="auto" w:before="123" w:after="0"/>
              <w:ind w:left="736" w:right="0" w:hanging="624"/>
              <w:jc w:val="left"/>
              <w:rPr>
                <w:sz w:val="21"/>
              </w:rPr>
            </w:pPr>
            <w:r>
              <w:rPr>
                <w:spacing w:val="-2"/>
                <w:sz w:val="21"/>
              </w:rPr>
              <w:t>局限硬皮病；</w:t>
            </w:r>
          </w:p>
          <w:p>
            <w:pPr>
              <w:pStyle w:val="TableParagraph"/>
              <w:numPr>
                <w:ilvl w:val="0"/>
                <w:numId w:val="38"/>
              </w:numPr>
              <w:tabs>
                <w:tab w:pos="737" w:val="left" w:leader="none"/>
              </w:tabs>
              <w:spacing w:line="240" w:lineRule="auto" w:before="122" w:after="0"/>
              <w:ind w:left="736" w:right="0" w:hanging="624"/>
              <w:jc w:val="left"/>
              <w:rPr>
                <w:sz w:val="21"/>
              </w:rPr>
            </w:pPr>
            <w:r>
              <w:rPr>
                <w:spacing w:val="-3"/>
                <w:sz w:val="21"/>
              </w:rPr>
              <w:t>嗜酸细胞筋膜炎；</w:t>
            </w:r>
          </w:p>
          <w:p>
            <w:pPr>
              <w:pStyle w:val="TableParagraph"/>
              <w:numPr>
                <w:ilvl w:val="0"/>
                <w:numId w:val="38"/>
              </w:numPr>
              <w:tabs>
                <w:tab w:pos="737" w:val="left" w:leader="none"/>
              </w:tabs>
              <w:spacing w:line="240" w:lineRule="auto" w:before="123"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79" w:hRule="atLeast"/>
        </w:trPr>
        <w:tc>
          <w:tcPr>
            <w:tcW w:w="915" w:type="dxa"/>
          </w:tcPr>
          <w:p>
            <w:pPr>
              <w:pStyle w:val="TableParagraph"/>
              <w:spacing w:before="39"/>
              <w:ind w:left="0" w:right="126"/>
              <w:jc w:val="right"/>
              <w:rPr>
                <w:rFonts w:ascii="微软雅黑"/>
                <w:b/>
                <w:sz w:val="21"/>
              </w:rPr>
            </w:pPr>
            <w:r>
              <w:rPr>
                <w:rFonts w:ascii="微软雅黑"/>
                <w:b/>
                <w:w w:val="90"/>
                <w:sz w:val="21"/>
              </w:rPr>
              <w:t>9.1.61</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2"/>
              <w:ind w:left="112"/>
              <w:rPr>
                <w:sz w:val="21"/>
              </w:rPr>
            </w:pPr>
            <w:r>
              <w:rPr>
                <w:sz w:val="21"/>
              </w:rPr>
              <w:t>坏死性筋膜炎的诊断须满足下列全部条件：</w:t>
            </w:r>
          </w:p>
          <w:p>
            <w:pPr>
              <w:pStyle w:val="TableParagraph"/>
              <w:numPr>
                <w:ilvl w:val="0"/>
                <w:numId w:val="39"/>
              </w:numPr>
              <w:tabs>
                <w:tab w:pos="737" w:val="left" w:leader="none"/>
              </w:tabs>
              <w:spacing w:line="240" w:lineRule="auto" w:before="121" w:after="0"/>
              <w:ind w:left="736" w:right="0" w:hanging="624"/>
              <w:jc w:val="left"/>
              <w:rPr>
                <w:sz w:val="21"/>
              </w:rPr>
            </w:pPr>
            <w:r>
              <w:rPr>
                <w:spacing w:val="-3"/>
                <w:sz w:val="21"/>
              </w:rPr>
              <w:t>符合坏死性筋膜炎的一般临床表现；</w:t>
            </w:r>
          </w:p>
          <w:p>
            <w:pPr>
              <w:pStyle w:val="TableParagraph"/>
              <w:numPr>
                <w:ilvl w:val="0"/>
                <w:numId w:val="39"/>
              </w:numPr>
              <w:tabs>
                <w:tab w:pos="737" w:val="left" w:leader="none"/>
              </w:tabs>
              <w:spacing w:line="240" w:lineRule="auto" w:before="123" w:after="0"/>
              <w:ind w:left="736" w:right="0" w:hanging="624"/>
              <w:jc w:val="left"/>
              <w:rPr>
                <w:sz w:val="21"/>
              </w:rPr>
            </w:pPr>
            <w:r>
              <w:rPr>
                <w:spacing w:val="-3"/>
                <w:sz w:val="21"/>
              </w:rPr>
              <w:t>细菌培养检出致病菌；</w:t>
            </w:r>
          </w:p>
          <w:p>
            <w:pPr>
              <w:pStyle w:val="TableParagraph"/>
              <w:numPr>
                <w:ilvl w:val="0"/>
                <w:numId w:val="39"/>
              </w:numPr>
              <w:tabs>
                <w:tab w:pos="737" w:val="left" w:leader="none"/>
              </w:tabs>
              <w:spacing w:line="280" w:lineRule="auto" w:before="123" w:after="0"/>
              <w:ind w:left="736"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7" w:hRule="atLeast"/>
        </w:trPr>
        <w:tc>
          <w:tcPr>
            <w:tcW w:w="915" w:type="dxa"/>
          </w:tcPr>
          <w:p>
            <w:pPr>
              <w:pStyle w:val="TableParagraph"/>
              <w:spacing w:before="40"/>
              <w:ind w:left="0" w:right="101"/>
              <w:jc w:val="right"/>
              <w:rPr>
                <w:rFonts w:ascii="微软雅黑"/>
                <w:b/>
                <w:sz w:val="21"/>
              </w:rPr>
            </w:pPr>
            <w:r>
              <w:rPr>
                <w:rFonts w:ascii="微软雅黑"/>
                <w:b/>
                <w:w w:val="95"/>
                <w:sz w:val="21"/>
              </w:rPr>
              <w:t>9.1.62</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3"/>
              <w:ind w:left="112"/>
              <w:rPr>
                <w:sz w:val="21"/>
              </w:rPr>
            </w:pPr>
            <w:r>
              <w:rPr>
                <w:sz w:val="21"/>
              </w:rPr>
              <w:t>指因疾病或者意外伤害导致两个或者两个以上肢体自腕关节或者踝关节近端</w:t>
            </w:r>
          </w:p>
          <w:p>
            <w:pPr>
              <w:pStyle w:val="TableParagraph"/>
              <w:spacing w:before="46"/>
              <w:ind w:left="112"/>
              <w:rPr>
                <w:sz w:val="21"/>
              </w:rPr>
            </w:pPr>
            <w:r>
              <w:rPr>
                <w:sz w:val="21"/>
              </w:rPr>
              <w:t>（靠近躯干端）以上完全性断离。</w:t>
            </w:r>
          </w:p>
        </w:tc>
      </w:tr>
      <w:tr>
        <w:trPr>
          <w:trHeight w:val="1608" w:hRule="atLeast"/>
        </w:trPr>
        <w:tc>
          <w:tcPr>
            <w:tcW w:w="915" w:type="dxa"/>
          </w:tcPr>
          <w:p>
            <w:pPr>
              <w:pStyle w:val="TableParagraph"/>
              <w:spacing w:before="40"/>
              <w:ind w:left="0" w:right="100"/>
              <w:jc w:val="right"/>
              <w:rPr>
                <w:rFonts w:ascii="微软雅黑"/>
                <w:b/>
                <w:sz w:val="21"/>
              </w:rPr>
            </w:pPr>
            <w:r>
              <w:rPr>
                <w:rFonts w:ascii="微软雅黑"/>
                <w:b/>
                <w:w w:val="95"/>
                <w:sz w:val="21"/>
              </w:rPr>
              <w:t>9.1.63</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双耳失聪</w:t>
            </w:r>
          </w:p>
        </w:tc>
        <w:tc>
          <w:tcPr>
            <w:tcW w:w="7455" w:type="dxa"/>
          </w:tcPr>
          <w:p>
            <w:pPr>
              <w:pStyle w:val="TableParagraph"/>
              <w:spacing w:before="103"/>
              <w:ind w:left="112"/>
              <w:rPr>
                <w:sz w:val="21"/>
              </w:rPr>
            </w:pPr>
            <w:r>
              <w:rPr>
                <w:sz w:val="21"/>
              </w:rPr>
              <w:t>指因疾病或者意外伤害导致双耳听力永久不可逆性丧失，在 500 赫兹、1000</w:t>
            </w:r>
          </w:p>
          <w:p>
            <w:pPr>
              <w:pStyle w:val="TableParagraph"/>
              <w:spacing w:line="278" w:lineRule="auto" w:before="47"/>
              <w:ind w:left="112"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90"/>
              <w:ind w:left="112"/>
              <w:rPr>
                <w:sz w:val="21"/>
              </w:rPr>
            </w:pPr>
            <w:r>
              <w:rPr>
                <w:sz w:val="21"/>
              </w:rPr>
              <w:t>被保险人在 </w:t>
            </w:r>
            <w:r>
              <w:rPr>
                <w:w w:val="115"/>
                <w:sz w:val="21"/>
              </w:rPr>
              <w:t>3 </w:t>
            </w:r>
            <w:r>
              <w:rPr>
                <w:sz w:val="21"/>
              </w:rPr>
              <w:t>周岁之前因疾病导致双耳失聪不在保障范围内。</w:t>
            </w:r>
          </w:p>
        </w:tc>
      </w:tr>
      <w:tr>
        <w:trPr>
          <w:trHeight w:val="2799" w:hRule="atLeast"/>
        </w:trPr>
        <w:tc>
          <w:tcPr>
            <w:tcW w:w="915" w:type="dxa"/>
          </w:tcPr>
          <w:p>
            <w:pPr>
              <w:pStyle w:val="TableParagraph"/>
              <w:spacing w:before="38"/>
              <w:ind w:left="0" w:right="99"/>
              <w:jc w:val="right"/>
              <w:rPr>
                <w:rFonts w:ascii="微软雅黑"/>
                <w:b/>
                <w:sz w:val="21"/>
              </w:rPr>
            </w:pPr>
            <w:r>
              <w:rPr>
                <w:rFonts w:ascii="微软雅黑"/>
                <w:b/>
                <w:w w:val="95"/>
                <w:sz w:val="21"/>
              </w:rPr>
              <w:t>9.1.64</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双目失明</w:t>
            </w:r>
          </w:p>
        </w:tc>
        <w:tc>
          <w:tcPr>
            <w:tcW w:w="7455" w:type="dxa"/>
          </w:tcPr>
          <w:p>
            <w:pPr>
              <w:pStyle w:val="TableParagraph"/>
              <w:spacing w:line="280" w:lineRule="auto" w:before="101"/>
              <w:ind w:left="112" w:right="169"/>
              <w:rPr>
                <w:sz w:val="21"/>
              </w:rPr>
            </w:pPr>
            <w:r>
              <w:rPr>
                <w:sz w:val="21"/>
              </w:rPr>
              <w:t>指因疾病或者意外伤害导致双眼视力永久不可逆性丧失，双眼中较好眼须满足下列至少一项条件：</w:t>
            </w:r>
          </w:p>
          <w:p>
            <w:pPr>
              <w:pStyle w:val="TableParagraph"/>
              <w:numPr>
                <w:ilvl w:val="0"/>
                <w:numId w:val="40"/>
              </w:numPr>
              <w:tabs>
                <w:tab w:pos="737" w:val="left" w:leader="none"/>
              </w:tabs>
              <w:spacing w:line="240" w:lineRule="auto" w:before="85" w:after="0"/>
              <w:ind w:left="736" w:right="0" w:hanging="624"/>
              <w:jc w:val="left"/>
              <w:rPr>
                <w:sz w:val="21"/>
              </w:rPr>
            </w:pPr>
            <w:r>
              <w:rPr>
                <w:spacing w:val="-3"/>
                <w:sz w:val="21"/>
              </w:rPr>
              <w:t>眼球缺失或者摘除；</w:t>
            </w:r>
          </w:p>
          <w:p>
            <w:pPr>
              <w:pStyle w:val="TableParagraph"/>
              <w:numPr>
                <w:ilvl w:val="0"/>
                <w:numId w:val="40"/>
              </w:numPr>
              <w:tabs>
                <w:tab w:pos="737" w:val="left" w:leader="none"/>
              </w:tabs>
              <w:spacing w:line="280" w:lineRule="auto" w:before="123"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40"/>
              </w:numPr>
              <w:tabs>
                <w:tab w:pos="737" w:val="left" w:leader="none"/>
              </w:tabs>
              <w:spacing w:line="240" w:lineRule="auto" w:before="85" w:after="0"/>
              <w:ind w:left="736"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12"/>
              <w:rPr>
                <w:sz w:val="21"/>
              </w:rPr>
            </w:pPr>
            <w:r>
              <w:rPr>
                <w:sz w:val="21"/>
              </w:rPr>
              <w:t>被保险人在 </w:t>
            </w:r>
            <w:r>
              <w:rPr>
                <w:w w:val="115"/>
                <w:sz w:val="21"/>
              </w:rPr>
              <w:t>3 </w:t>
            </w:r>
            <w:r>
              <w:rPr>
                <w:sz w:val="21"/>
              </w:rPr>
              <w:t>周岁之前因疾病导致双目失明不在保障范围内。</w:t>
            </w:r>
          </w:p>
        </w:tc>
      </w:tr>
      <w:tr>
        <w:trPr>
          <w:trHeight w:val="2239" w:hRule="atLeast"/>
        </w:trPr>
        <w:tc>
          <w:tcPr>
            <w:tcW w:w="915" w:type="dxa"/>
          </w:tcPr>
          <w:p>
            <w:pPr>
              <w:pStyle w:val="TableParagraph"/>
              <w:spacing w:before="40"/>
              <w:ind w:left="0" w:right="100"/>
              <w:jc w:val="right"/>
              <w:rPr>
                <w:rFonts w:ascii="微软雅黑"/>
                <w:b/>
                <w:sz w:val="21"/>
              </w:rPr>
            </w:pPr>
            <w:r>
              <w:rPr>
                <w:rFonts w:ascii="微软雅黑"/>
                <w:b/>
                <w:w w:val="95"/>
                <w:sz w:val="21"/>
              </w:rPr>
              <w:t>9.1.65</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失去一肢及一眼</w:t>
            </w:r>
          </w:p>
        </w:tc>
        <w:tc>
          <w:tcPr>
            <w:tcW w:w="7455" w:type="dxa"/>
          </w:tcPr>
          <w:p>
            <w:pPr>
              <w:pStyle w:val="TableParagraph"/>
              <w:spacing w:before="102"/>
              <w:ind w:left="112"/>
              <w:rPr>
                <w:sz w:val="21"/>
              </w:rPr>
            </w:pPr>
            <w:r>
              <w:rPr>
                <w:sz w:val="21"/>
              </w:rPr>
              <w:t>因疾病或者意外伤害导致单眼视力丧失及任何一肢自腕关节或者踝关节近端</w:t>
            </w:r>
          </w:p>
          <w:p>
            <w:pPr>
              <w:pStyle w:val="TableParagraph"/>
              <w:spacing w:before="46"/>
              <w:ind w:left="112"/>
              <w:rPr>
                <w:sz w:val="21"/>
              </w:rPr>
            </w:pPr>
            <w:r>
              <w:rPr>
                <w:sz w:val="21"/>
              </w:rPr>
              <w:t>（靠近躯干端）以上完全性断离。</w:t>
            </w:r>
          </w:p>
          <w:p>
            <w:pPr>
              <w:pStyle w:val="TableParagraph"/>
              <w:spacing w:before="121"/>
              <w:ind w:left="112"/>
              <w:rPr>
                <w:sz w:val="21"/>
              </w:rPr>
            </w:pPr>
            <w:r>
              <w:rPr>
                <w:sz w:val="21"/>
              </w:rPr>
              <w:t>单眼视力丧失指单眼视力永久不可逆性丧失，患眼须满足下列至少一项条件：</w:t>
            </w:r>
          </w:p>
          <w:p>
            <w:pPr>
              <w:pStyle w:val="TableParagraph"/>
              <w:numPr>
                <w:ilvl w:val="0"/>
                <w:numId w:val="41"/>
              </w:numPr>
              <w:tabs>
                <w:tab w:pos="737" w:val="left" w:leader="none"/>
              </w:tabs>
              <w:spacing w:line="240" w:lineRule="auto" w:before="123" w:after="0"/>
              <w:ind w:left="736" w:right="0" w:hanging="624"/>
              <w:jc w:val="left"/>
              <w:rPr>
                <w:sz w:val="21"/>
              </w:rPr>
            </w:pPr>
            <w:r>
              <w:rPr>
                <w:spacing w:val="-3"/>
                <w:sz w:val="21"/>
              </w:rPr>
              <w:t>眼球缺失或者摘除；</w:t>
            </w:r>
          </w:p>
          <w:p>
            <w:pPr>
              <w:pStyle w:val="TableParagraph"/>
              <w:numPr>
                <w:ilvl w:val="0"/>
                <w:numId w:val="41"/>
              </w:numPr>
              <w:tabs>
                <w:tab w:pos="737" w:val="left" w:leader="none"/>
              </w:tabs>
              <w:spacing w:line="320" w:lineRule="atLeast" w:before="78"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tc>
      </w:tr>
    </w:tbl>
    <w:p>
      <w:pPr>
        <w:spacing w:after="0" w:line="320" w:lineRule="atLeast"/>
        <w:jc w:val="lef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5"/>
      </w:tblGrid>
      <w:tr>
        <w:trPr>
          <w:trHeight w:val="805"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45" w:type="dxa"/>
          </w:tcPr>
          <w:p>
            <w:pPr>
              <w:pStyle w:val="TableParagraph"/>
              <w:spacing w:line="215" w:lineRule="exact"/>
              <w:rPr>
                <w:sz w:val="21"/>
              </w:rPr>
            </w:pPr>
            <w:r>
              <w:rPr>
                <w:w w:val="105"/>
                <w:sz w:val="21"/>
              </w:rPr>
              <w:t>（3） 视野半径小于 5 度。</w:t>
            </w:r>
          </w:p>
          <w:p>
            <w:pPr>
              <w:pStyle w:val="TableParagraph"/>
              <w:spacing w:before="123"/>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16" w:type="dxa"/>
          </w:tcPr>
          <w:p>
            <w:pPr>
              <w:pStyle w:val="TableParagraph"/>
              <w:spacing w:before="40"/>
              <w:ind w:left="0" w:right="100"/>
              <w:jc w:val="right"/>
              <w:rPr>
                <w:rFonts w:ascii="微软雅黑"/>
                <w:b/>
                <w:sz w:val="21"/>
              </w:rPr>
            </w:pPr>
            <w:r>
              <w:rPr>
                <w:rFonts w:ascii="微软雅黑"/>
                <w:b/>
                <w:w w:val="95"/>
                <w:sz w:val="21"/>
              </w:rPr>
              <w:t>9.1.66</w:t>
            </w:r>
          </w:p>
        </w:tc>
        <w:tc>
          <w:tcPr>
            <w:tcW w:w="1691" w:type="dxa"/>
          </w:tcPr>
          <w:p>
            <w:pPr>
              <w:pStyle w:val="TableParagraph"/>
              <w:spacing w:before="40"/>
              <w:ind w:left="100"/>
              <w:rPr>
                <w:rFonts w:ascii="微软雅黑" w:hAnsi="微软雅黑" w:eastAsia="微软雅黑" w:hint="eastAsia"/>
                <w:b/>
                <w:sz w:val="21"/>
              </w:rPr>
            </w:pPr>
            <w:r>
              <w:rPr>
                <w:rFonts w:ascii="微软雅黑" w:hAnsi="微软雅黑" w:eastAsia="微软雅黑" w:hint="eastAsia"/>
                <w:b/>
                <w:sz w:val="21"/>
              </w:rPr>
              <w:t>严重Ⅲ度烧伤</w:t>
            </w:r>
          </w:p>
        </w:tc>
        <w:tc>
          <w:tcPr>
            <w:tcW w:w="7545" w:type="dxa"/>
          </w:tcPr>
          <w:p>
            <w:pPr>
              <w:pStyle w:val="TableParagraph"/>
              <w:spacing w:line="280" w:lineRule="auto" w:before="102"/>
              <w:ind w:right="307"/>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7" w:hRule="atLeast"/>
        </w:trPr>
        <w:tc>
          <w:tcPr>
            <w:tcW w:w="916" w:type="dxa"/>
          </w:tcPr>
          <w:p>
            <w:pPr>
              <w:pStyle w:val="TableParagraph"/>
              <w:spacing w:before="40"/>
              <w:ind w:left="0" w:right="101"/>
              <w:jc w:val="right"/>
              <w:rPr>
                <w:rFonts w:ascii="微软雅黑"/>
                <w:b/>
                <w:sz w:val="21"/>
              </w:rPr>
            </w:pPr>
            <w:r>
              <w:rPr>
                <w:rFonts w:ascii="微软雅黑"/>
                <w:b/>
                <w:w w:val="95"/>
                <w:sz w:val="21"/>
              </w:rPr>
              <w:t>9.1.67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意外导致的重度面部烧伤</w:t>
            </w:r>
          </w:p>
        </w:tc>
        <w:tc>
          <w:tcPr>
            <w:tcW w:w="7545" w:type="dxa"/>
          </w:tcPr>
          <w:p>
            <w:pPr>
              <w:pStyle w:val="TableParagraph"/>
              <w:spacing w:line="280" w:lineRule="auto" w:before="103"/>
              <w:ind w:right="307"/>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0"/>
              <w:ind w:left="0" w:right="98"/>
              <w:jc w:val="right"/>
              <w:rPr>
                <w:rFonts w:ascii="微软雅黑"/>
                <w:b/>
                <w:sz w:val="21"/>
              </w:rPr>
            </w:pPr>
            <w:r>
              <w:rPr>
                <w:rFonts w:ascii="微软雅黑"/>
                <w:b/>
                <w:w w:val="95"/>
                <w:sz w:val="21"/>
              </w:rPr>
              <w:t>9.1.68</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埃博拉病毒感染</w:t>
            </w:r>
          </w:p>
        </w:tc>
        <w:tc>
          <w:tcPr>
            <w:tcW w:w="7545" w:type="dxa"/>
          </w:tcPr>
          <w:p>
            <w:pPr>
              <w:pStyle w:val="TableParagraph"/>
              <w:spacing w:line="280" w:lineRule="auto" w:before="103"/>
              <w:ind w:right="307"/>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42"/>
              </w:numPr>
              <w:tabs>
                <w:tab w:pos="736" w:val="left" w:leader="none"/>
              </w:tabs>
              <w:spacing w:line="240" w:lineRule="auto" w:before="85" w:after="0"/>
              <w:ind w:left="735" w:right="0" w:hanging="624"/>
              <w:jc w:val="left"/>
              <w:rPr>
                <w:sz w:val="21"/>
              </w:rPr>
            </w:pPr>
            <w:r>
              <w:rPr>
                <w:spacing w:val="-3"/>
                <w:sz w:val="21"/>
              </w:rPr>
              <w:t>实验室检查证据证实存在埃博拉病毒感染；</w:t>
            </w:r>
          </w:p>
          <w:p>
            <w:pPr>
              <w:pStyle w:val="TableParagraph"/>
              <w:numPr>
                <w:ilvl w:val="0"/>
                <w:numId w:val="42"/>
              </w:numPr>
              <w:tabs>
                <w:tab w:pos="736" w:val="left" w:leader="none"/>
              </w:tabs>
              <w:spacing w:line="240" w:lineRule="auto" w:before="123" w:after="0"/>
              <w:ind w:left="735" w:right="0" w:hanging="624"/>
              <w:jc w:val="left"/>
              <w:rPr>
                <w:sz w:val="21"/>
              </w:rPr>
            </w:pPr>
            <w:r>
              <w:rPr>
                <w:spacing w:val="-3"/>
                <w:sz w:val="21"/>
              </w:rPr>
              <w:t>存在广泛出血的临床表现；</w:t>
            </w:r>
          </w:p>
          <w:p>
            <w:pPr>
              <w:pStyle w:val="TableParagraph"/>
              <w:numPr>
                <w:ilvl w:val="0"/>
                <w:numId w:val="42"/>
              </w:numPr>
              <w:tabs>
                <w:tab w:pos="736" w:val="left" w:leader="none"/>
              </w:tabs>
              <w:spacing w:line="240" w:lineRule="auto" w:before="124"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right="305"/>
              <w:rPr>
                <w:sz w:val="21"/>
              </w:rPr>
            </w:pPr>
            <w:r>
              <w:rPr>
                <w:sz w:val="21"/>
              </w:rPr>
              <w:t>单纯实验室诊断但没有临床出血表现的或者在确诊之前已经死亡的不在保障范围内。</w:t>
            </w:r>
          </w:p>
        </w:tc>
      </w:tr>
      <w:tr>
        <w:trPr>
          <w:trHeight w:val="2000" w:hRule="atLeast"/>
        </w:trPr>
        <w:tc>
          <w:tcPr>
            <w:tcW w:w="916" w:type="dxa"/>
          </w:tcPr>
          <w:p>
            <w:pPr>
              <w:pStyle w:val="TableParagraph"/>
              <w:spacing w:before="38"/>
              <w:ind w:left="0" w:right="100"/>
              <w:jc w:val="right"/>
              <w:rPr>
                <w:rFonts w:ascii="微软雅黑"/>
                <w:b/>
                <w:sz w:val="21"/>
              </w:rPr>
            </w:pPr>
            <w:r>
              <w:rPr>
                <w:rFonts w:ascii="微软雅黑"/>
                <w:b/>
                <w:w w:val="95"/>
                <w:sz w:val="21"/>
              </w:rPr>
              <w:t>9.1.69</w:t>
            </w:r>
          </w:p>
        </w:tc>
        <w:tc>
          <w:tcPr>
            <w:tcW w:w="1691" w:type="dxa"/>
          </w:tcPr>
          <w:p>
            <w:pPr>
              <w:pStyle w:val="TableParagraph"/>
              <w:spacing w:before="38"/>
              <w:ind w:left="100"/>
              <w:rPr>
                <w:rFonts w:ascii="微软雅黑" w:eastAsia="微软雅黑" w:hint="eastAsia"/>
                <w:b/>
                <w:sz w:val="21"/>
              </w:rPr>
            </w:pPr>
            <w:r>
              <w:rPr>
                <w:rFonts w:ascii="微软雅黑" w:eastAsia="微软雅黑" w:hint="eastAsia"/>
                <w:b/>
                <w:sz w:val="21"/>
              </w:rPr>
              <w:t>川崎病</w:t>
            </w:r>
          </w:p>
        </w:tc>
        <w:tc>
          <w:tcPr>
            <w:tcW w:w="7545" w:type="dxa"/>
          </w:tcPr>
          <w:p>
            <w:pPr>
              <w:pStyle w:val="TableParagraph"/>
              <w:spacing w:line="280" w:lineRule="auto" w:before="101"/>
              <w:ind w:right="307"/>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43"/>
              </w:numPr>
              <w:tabs>
                <w:tab w:pos="736" w:val="left" w:leader="none"/>
              </w:tabs>
              <w:spacing w:line="240" w:lineRule="auto" w:before="85"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43"/>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r>
        <w:trPr>
          <w:trHeight w:val="2722" w:hRule="atLeast"/>
        </w:trPr>
        <w:tc>
          <w:tcPr>
            <w:tcW w:w="916" w:type="dxa"/>
          </w:tcPr>
          <w:p>
            <w:pPr>
              <w:pStyle w:val="TableParagraph"/>
              <w:spacing w:before="42"/>
              <w:ind w:left="0" w:right="101"/>
              <w:jc w:val="right"/>
              <w:rPr>
                <w:rFonts w:ascii="微软雅黑"/>
                <w:b/>
                <w:sz w:val="21"/>
              </w:rPr>
            </w:pPr>
            <w:r>
              <w:rPr>
                <w:rFonts w:ascii="微软雅黑"/>
                <w:b/>
                <w:w w:val="95"/>
                <w:sz w:val="21"/>
              </w:rPr>
              <w:t>9.1.70</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严重瑞氏综合征</w:t>
            </w:r>
          </w:p>
        </w:tc>
        <w:tc>
          <w:tcPr>
            <w:tcW w:w="7545" w:type="dxa"/>
          </w:tcPr>
          <w:p>
            <w:pPr>
              <w:pStyle w:val="TableParagraph"/>
              <w:spacing w:line="278" w:lineRule="auto" w:before="104"/>
              <w:ind w:right="286"/>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44"/>
              </w:numPr>
              <w:tabs>
                <w:tab w:pos="736" w:val="left" w:leader="none"/>
              </w:tabs>
              <w:spacing w:line="240" w:lineRule="auto" w:before="89" w:after="0"/>
              <w:ind w:left="735" w:right="0" w:hanging="624"/>
              <w:jc w:val="both"/>
              <w:rPr>
                <w:sz w:val="21"/>
              </w:rPr>
            </w:pPr>
            <w:r>
              <w:rPr>
                <w:spacing w:val="-3"/>
                <w:sz w:val="21"/>
              </w:rPr>
              <w:t>有脑水肿和颅内压升高的脑脊液检查和影像学检查证据；</w:t>
            </w:r>
          </w:p>
          <w:p>
            <w:pPr>
              <w:pStyle w:val="TableParagraph"/>
              <w:numPr>
                <w:ilvl w:val="0"/>
                <w:numId w:val="44"/>
              </w:numPr>
              <w:tabs>
                <w:tab w:pos="736" w:val="left" w:leader="none"/>
              </w:tabs>
              <w:spacing w:line="240" w:lineRule="auto" w:before="123" w:after="0"/>
              <w:ind w:left="735"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44"/>
              </w:numPr>
              <w:tabs>
                <w:tab w:pos="736" w:val="left" w:leader="none"/>
              </w:tabs>
              <w:spacing w:line="240" w:lineRule="auto" w:before="121" w:after="0"/>
              <w:ind w:left="735"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3" w:hRule="atLeast"/>
        </w:trPr>
        <w:tc>
          <w:tcPr>
            <w:tcW w:w="916" w:type="dxa"/>
          </w:tcPr>
          <w:p>
            <w:pPr>
              <w:pStyle w:val="TableParagraph"/>
              <w:spacing w:before="42"/>
              <w:ind w:left="0" w:right="127"/>
              <w:jc w:val="right"/>
              <w:rPr>
                <w:rFonts w:ascii="微软雅黑"/>
                <w:b/>
                <w:sz w:val="21"/>
              </w:rPr>
            </w:pPr>
            <w:r>
              <w:rPr>
                <w:rFonts w:ascii="微软雅黑"/>
                <w:b/>
                <w:w w:val="90"/>
                <w:sz w:val="21"/>
              </w:rPr>
              <w:t>9.1.71</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重症手足口病</w:t>
            </w:r>
          </w:p>
        </w:tc>
        <w:tc>
          <w:tcPr>
            <w:tcW w:w="7545" w:type="dxa"/>
          </w:tcPr>
          <w:p>
            <w:pPr>
              <w:pStyle w:val="TableParagraph"/>
              <w:spacing w:line="280" w:lineRule="auto" w:before="104"/>
              <w:ind w:right="202"/>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45"/>
              </w:numPr>
              <w:tabs>
                <w:tab w:pos="736" w:val="left" w:leader="none"/>
              </w:tabs>
              <w:spacing w:line="280" w:lineRule="auto" w:before="85" w:after="0"/>
              <w:ind w:left="735" w:right="304"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45"/>
              </w:numPr>
              <w:tabs>
                <w:tab w:pos="736" w:val="left" w:leader="none"/>
              </w:tabs>
              <w:spacing w:line="280" w:lineRule="auto" w:before="86" w:after="0"/>
              <w:ind w:left="735" w:right="304" w:hanging="624"/>
              <w:jc w:val="left"/>
              <w:rPr>
                <w:sz w:val="21"/>
              </w:rPr>
            </w:pPr>
            <w:r>
              <w:rPr>
                <w:spacing w:val="-4"/>
                <w:sz w:val="21"/>
              </w:rPr>
              <w:t>有肺炎或者肺水肿并发症，且导致呼吸衰竭的临床表现及实验室检查证据；</w:t>
            </w:r>
          </w:p>
          <w:p>
            <w:pPr>
              <w:pStyle w:val="TableParagraph"/>
              <w:numPr>
                <w:ilvl w:val="0"/>
                <w:numId w:val="45"/>
              </w:numPr>
              <w:tabs>
                <w:tab w:pos="736" w:val="left" w:leader="none"/>
              </w:tabs>
              <w:spacing w:line="278" w:lineRule="auto" w:before="88" w:after="0"/>
              <w:ind w:left="735" w:right="304"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724" w:hRule="atLeast"/>
        </w:trPr>
        <w:tc>
          <w:tcPr>
            <w:tcW w:w="916" w:type="dxa"/>
          </w:tcPr>
          <w:p>
            <w:pPr>
              <w:pStyle w:val="TableParagraph"/>
              <w:spacing w:before="42"/>
              <w:ind w:left="0" w:right="102"/>
              <w:jc w:val="right"/>
              <w:rPr>
                <w:rFonts w:ascii="微软雅黑"/>
                <w:b/>
                <w:sz w:val="21"/>
              </w:rPr>
            </w:pPr>
            <w:r>
              <w:rPr>
                <w:rFonts w:ascii="微软雅黑"/>
                <w:b/>
                <w:w w:val="95"/>
                <w:sz w:val="21"/>
              </w:rPr>
              <w:t>9.1.72</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出血性登革热</w:t>
            </w:r>
          </w:p>
        </w:tc>
        <w:tc>
          <w:tcPr>
            <w:tcW w:w="7545" w:type="dxa"/>
          </w:tcPr>
          <w:p>
            <w:pPr>
              <w:pStyle w:val="TableParagraph"/>
              <w:spacing w:line="320" w:lineRule="atLeast" w:before="59"/>
              <w:ind w:right="199"/>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tc>
      </w:tr>
    </w:tbl>
    <w:p>
      <w:pPr>
        <w:spacing w:after="0" w:line="320" w:lineRule="atLeast"/>
        <w:rPr>
          <w:sz w:val="21"/>
        </w:rPr>
        <w:sectPr>
          <w:pgSz w:w="11910" w:h="16840"/>
          <w:pgMar w:top="126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86"/>
        <w:gridCol w:w="7683"/>
      </w:tblGrid>
      <w:tr>
        <w:trPr>
          <w:trHeight w:val="2957" w:hRule="atLeast"/>
        </w:trPr>
        <w:tc>
          <w:tcPr>
            <w:tcW w:w="823"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83" w:type="dxa"/>
          </w:tcPr>
          <w:p>
            <w:pPr>
              <w:pStyle w:val="TableParagraph"/>
              <w:numPr>
                <w:ilvl w:val="0"/>
                <w:numId w:val="46"/>
              </w:numPr>
              <w:tabs>
                <w:tab w:pos="842" w:val="left" w:leader="none"/>
              </w:tabs>
              <w:spacing w:line="215" w:lineRule="exact" w:before="0" w:after="0"/>
              <w:ind w:left="84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6"/>
              </w:numPr>
              <w:tabs>
                <w:tab w:pos="842" w:val="left" w:leader="none"/>
              </w:tabs>
              <w:spacing w:line="240" w:lineRule="auto" w:before="123" w:after="0"/>
              <w:ind w:left="841" w:right="0" w:hanging="624"/>
              <w:jc w:val="left"/>
              <w:rPr>
                <w:sz w:val="21"/>
              </w:rPr>
            </w:pPr>
            <w:r>
              <w:rPr>
                <w:spacing w:val="-3"/>
                <w:sz w:val="21"/>
              </w:rPr>
              <w:t>出现下列一种或者多种严重登革热的临床表现：</w:t>
            </w:r>
          </w:p>
          <w:p>
            <w:pPr>
              <w:pStyle w:val="TableParagraph"/>
              <w:spacing w:before="123"/>
              <w:ind w:left="848"/>
              <w:rPr>
                <w:sz w:val="21"/>
              </w:rPr>
            </w:pPr>
            <w:r>
              <w:rPr>
                <w:sz w:val="21"/>
              </w:rPr>
              <w:t>① 血浆渗漏致休克或者胸腔积液伴呼吸困难；</w:t>
            </w:r>
          </w:p>
          <w:p>
            <w:pPr>
              <w:pStyle w:val="TableParagraph"/>
              <w:spacing w:line="280" w:lineRule="auto" w:before="123"/>
              <w:ind w:left="1163" w:right="337" w:hanging="315"/>
              <w:rPr>
                <w:sz w:val="21"/>
              </w:rPr>
            </w:pPr>
            <w:r>
              <w:rPr>
                <w:spacing w:val="-10"/>
                <w:sz w:val="21"/>
              </w:rPr>
              <w:t>② 严重出血：消化道出血、阴道大出血、颅内出血、肉眼血尿或者皮下</w:t>
            </w:r>
            <w:r>
              <w:rPr>
                <w:spacing w:val="-10"/>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5"/>
              <w:ind w:left="84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78" w:lineRule="auto" w:before="46"/>
              <w:ind w:left="1163" w:right="236"/>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9" w:hRule="atLeast"/>
        </w:trPr>
        <w:tc>
          <w:tcPr>
            <w:tcW w:w="823" w:type="dxa"/>
          </w:tcPr>
          <w:p>
            <w:pPr>
              <w:pStyle w:val="TableParagraph"/>
              <w:spacing w:before="40"/>
              <w:ind w:left="107"/>
              <w:rPr>
                <w:rFonts w:ascii="微软雅黑"/>
                <w:b/>
                <w:sz w:val="21"/>
              </w:rPr>
            </w:pPr>
            <w:r>
              <w:rPr>
                <w:rFonts w:ascii="微软雅黑"/>
                <w:b/>
                <w:sz w:val="21"/>
              </w:rPr>
              <w:t>9.1.73</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象皮病</w:t>
            </w:r>
          </w:p>
        </w:tc>
        <w:tc>
          <w:tcPr>
            <w:tcW w:w="7683" w:type="dxa"/>
          </w:tcPr>
          <w:p>
            <w:pPr>
              <w:pStyle w:val="TableParagraph"/>
              <w:spacing w:line="280" w:lineRule="auto" w:before="103"/>
              <w:ind w:left="217" w:right="341"/>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4" w:hRule="atLeast"/>
        </w:trPr>
        <w:tc>
          <w:tcPr>
            <w:tcW w:w="823" w:type="dxa"/>
          </w:tcPr>
          <w:p>
            <w:pPr>
              <w:pStyle w:val="TableParagraph"/>
              <w:spacing w:before="41"/>
              <w:ind w:left="107"/>
              <w:rPr>
                <w:rFonts w:ascii="微软雅黑"/>
                <w:b/>
                <w:sz w:val="21"/>
              </w:rPr>
            </w:pPr>
            <w:r>
              <w:rPr>
                <w:rFonts w:ascii="微软雅黑"/>
                <w:b/>
                <w:sz w:val="21"/>
              </w:rPr>
              <w:t>9.1.74</w:t>
            </w:r>
          </w:p>
        </w:tc>
        <w:tc>
          <w:tcPr>
            <w:tcW w:w="1586" w:type="dxa"/>
          </w:tcPr>
          <w:p>
            <w:pPr>
              <w:pStyle w:val="TableParagraph"/>
              <w:spacing w:before="41"/>
              <w:ind w:left="101"/>
              <w:rPr>
                <w:rFonts w:ascii="微软雅黑" w:eastAsia="微软雅黑" w:hint="eastAsia"/>
                <w:b/>
                <w:sz w:val="21"/>
              </w:rPr>
            </w:pPr>
            <w:r>
              <w:rPr>
                <w:rFonts w:ascii="微软雅黑" w:eastAsia="微软雅黑" w:hint="eastAsia"/>
                <w:b/>
                <w:sz w:val="21"/>
              </w:rPr>
              <w:t>语言能力丧失</w:t>
            </w:r>
          </w:p>
        </w:tc>
        <w:tc>
          <w:tcPr>
            <w:tcW w:w="7683" w:type="dxa"/>
          </w:tcPr>
          <w:p>
            <w:pPr>
              <w:pStyle w:val="TableParagraph"/>
              <w:spacing w:line="280" w:lineRule="auto" w:before="103"/>
              <w:ind w:left="217" w:right="339"/>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217"/>
              <w:rPr>
                <w:sz w:val="21"/>
              </w:rPr>
            </w:pPr>
            <w:r>
              <w:rPr>
                <w:sz w:val="21"/>
              </w:rPr>
              <w:t>精神心理因素所致的语言能力丧失不在保障范围内。</w:t>
            </w:r>
          </w:p>
          <w:p>
            <w:pPr>
              <w:pStyle w:val="TableParagraph"/>
              <w:spacing w:before="123"/>
              <w:ind w:left="217"/>
              <w:rPr>
                <w:sz w:val="21"/>
              </w:rPr>
            </w:pPr>
            <w:r>
              <w:rPr>
                <w:sz w:val="21"/>
              </w:rPr>
              <w:t>被保险人在 </w:t>
            </w:r>
            <w:r>
              <w:rPr>
                <w:w w:val="115"/>
                <w:sz w:val="21"/>
              </w:rPr>
              <w:t>3 </w:t>
            </w:r>
            <w:r>
              <w:rPr>
                <w:sz w:val="21"/>
              </w:rPr>
              <w:t>周岁之前因疾病导致语言能力丧失不在保障范围内。</w:t>
            </w:r>
          </w:p>
        </w:tc>
      </w:tr>
      <w:tr>
        <w:trPr>
          <w:trHeight w:val="2507" w:hRule="atLeast"/>
        </w:trPr>
        <w:tc>
          <w:tcPr>
            <w:tcW w:w="823" w:type="dxa"/>
          </w:tcPr>
          <w:p>
            <w:pPr>
              <w:pStyle w:val="TableParagraph"/>
              <w:spacing w:before="38"/>
              <w:ind w:left="107"/>
              <w:rPr>
                <w:rFonts w:ascii="微软雅黑"/>
                <w:b/>
                <w:sz w:val="21"/>
              </w:rPr>
            </w:pPr>
            <w:r>
              <w:rPr>
                <w:rFonts w:ascii="微软雅黑"/>
                <w:b/>
                <w:sz w:val="21"/>
              </w:rPr>
              <w:t>9.1.75</w:t>
            </w:r>
          </w:p>
        </w:tc>
        <w:tc>
          <w:tcPr>
            <w:tcW w:w="1586" w:type="dxa"/>
          </w:tcPr>
          <w:p>
            <w:pPr>
              <w:pStyle w:val="TableParagraph"/>
              <w:spacing w:before="38"/>
              <w:ind w:left="101"/>
              <w:rPr>
                <w:rFonts w:ascii="微软雅黑" w:eastAsia="微软雅黑" w:hint="eastAsia"/>
                <w:b/>
                <w:sz w:val="21"/>
              </w:rPr>
            </w:pPr>
            <w:r>
              <w:rPr>
                <w:rFonts w:ascii="微软雅黑" w:eastAsia="微软雅黑" w:hint="eastAsia"/>
                <w:b/>
                <w:sz w:val="21"/>
              </w:rPr>
              <w:t>肝豆状核变性</w:t>
            </w:r>
          </w:p>
        </w:tc>
        <w:tc>
          <w:tcPr>
            <w:tcW w:w="7683" w:type="dxa"/>
          </w:tcPr>
          <w:p>
            <w:pPr>
              <w:pStyle w:val="TableParagraph"/>
              <w:spacing w:line="280" w:lineRule="auto" w:before="101"/>
              <w:ind w:left="217" w:right="30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7"/>
              </w:numPr>
              <w:tabs>
                <w:tab w:pos="842" w:val="left" w:leader="none"/>
              </w:tabs>
              <w:spacing w:line="240" w:lineRule="auto" w:before="88" w:after="0"/>
              <w:ind w:left="841" w:right="0" w:hanging="624"/>
              <w:jc w:val="left"/>
              <w:rPr>
                <w:sz w:val="21"/>
              </w:rPr>
            </w:pPr>
            <w:r>
              <w:rPr>
                <w:spacing w:val="-1"/>
                <w:sz w:val="21"/>
              </w:rPr>
              <w:t>典型症状；</w:t>
            </w:r>
          </w:p>
          <w:p>
            <w:pPr>
              <w:pStyle w:val="TableParagraph"/>
              <w:numPr>
                <w:ilvl w:val="0"/>
                <w:numId w:val="47"/>
              </w:numPr>
              <w:tabs>
                <w:tab w:pos="842" w:val="left" w:leader="none"/>
              </w:tabs>
              <w:spacing w:line="240" w:lineRule="auto" w:before="121" w:after="0"/>
              <w:ind w:left="84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7"/>
              </w:numPr>
              <w:tabs>
                <w:tab w:pos="842" w:val="left" w:leader="none"/>
              </w:tabs>
              <w:spacing w:line="240" w:lineRule="auto" w:before="123" w:after="0"/>
              <w:ind w:left="841" w:right="0" w:hanging="624"/>
              <w:jc w:val="left"/>
              <w:rPr>
                <w:sz w:val="21"/>
              </w:rPr>
            </w:pPr>
            <w:r>
              <w:rPr>
                <w:spacing w:val="-3"/>
                <w:sz w:val="21"/>
              </w:rPr>
              <w:t>血清铜和血清铜蓝蛋白降低，尿铜增加；</w:t>
            </w:r>
          </w:p>
          <w:p>
            <w:pPr>
              <w:pStyle w:val="TableParagraph"/>
              <w:numPr>
                <w:ilvl w:val="0"/>
                <w:numId w:val="47"/>
              </w:numPr>
              <w:tabs>
                <w:tab w:pos="842" w:val="left" w:leader="none"/>
              </w:tabs>
              <w:spacing w:line="240" w:lineRule="auto" w:before="123" w:after="0"/>
              <w:ind w:left="841" w:right="0" w:hanging="624"/>
              <w:jc w:val="left"/>
              <w:rPr>
                <w:sz w:val="21"/>
              </w:rPr>
            </w:pPr>
            <w:r>
              <w:rPr>
                <w:spacing w:val="-3"/>
                <w:sz w:val="21"/>
              </w:rPr>
              <w:t>经皮做肝脏活检来定量分析肝脏铜的含量。</w:t>
            </w:r>
          </w:p>
        </w:tc>
      </w:tr>
      <w:tr>
        <w:trPr>
          <w:trHeight w:val="948" w:hRule="atLeast"/>
        </w:trPr>
        <w:tc>
          <w:tcPr>
            <w:tcW w:w="823" w:type="dxa"/>
            <w:tcBorders>
              <w:bottom w:val="single" w:sz="8" w:space="0" w:color="000000"/>
            </w:tcBorders>
          </w:tcPr>
          <w:p>
            <w:pPr>
              <w:pStyle w:val="TableParagraph"/>
              <w:spacing w:before="76"/>
              <w:ind w:left="107"/>
              <w:rPr>
                <w:rFonts w:ascii="微软雅黑"/>
                <w:b/>
                <w:sz w:val="36"/>
              </w:rPr>
            </w:pPr>
            <w:r>
              <w:rPr>
                <w:rFonts w:ascii="微软雅黑"/>
                <w:b/>
                <w:sz w:val="36"/>
              </w:rPr>
              <w:t>10.</w:t>
            </w:r>
          </w:p>
        </w:tc>
        <w:tc>
          <w:tcPr>
            <w:tcW w:w="9269" w:type="dxa"/>
            <w:gridSpan w:val="2"/>
            <w:tcBorders>
              <w:bottom w:val="single" w:sz="8" w:space="0" w:color="000000"/>
            </w:tcBorders>
          </w:tcPr>
          <w:p>
            <w:pPr>
              <w:pStyle w:val="TableParagraph"/>
              <w:spacing w:before="52"/>
              <w:ind w:left="101"/>
              <w:rPr>
                <w:rFonts w:ascii="微软雅黑" w:eastAsia="微软雅黑" w:hint="eastAsia"/>
                <w:b/>
                <w:sz w:val="24"/>
              </w:rPr>
            </w:pPr>
            <w:r>
              <w:rPr>
                <w:rFonts w:ascii="微软雅黑" w:eastAsia="微软雅黑" w:hint="eastAsia"/>
                <w:b/>
                <w:sz w:val="24"/>
              </w:rPr>
              <w:t>释义</w:t>
            </w:r>
          </w:p>
          <w:p>
            <w:pPr>
              <w:pStyle w:val="TableParagraph"/>
              <w:spacing w:before="22"/>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4" w:hRule="atLeast"/>
        </w:trPr>
        <w:tc>
          <w:tcPr>
            <w:tcW w:w="823"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586" w:type="dxa"/>
            <w:tcBorders>
              <w:top w:val="single" w:sz="8" w:space="0" w:color="000000"/>
            </w:tcBorders>
          </w:tcPr>
          <w:p>
            <w:pPr>
              <w:pStyle w:val="TableParagraph"/>
              <w:spacing w:before="176"/>
              <w:ind w:left="101"/>
              <w:rPr>
                <w:rFonts w:ascii="微软雅黑" w:eastAsia="微软雅黑" w:hint="eastAsia"/>
                <w:b/>
                <w:sz w:val="21"/>
              </w:rPr>
            </w:pPr>
            <w:r>
              <w:rPr>
                <w:rFonts w:ascii="微软雅黑" w:eastAsia="微软雅黑" w:hint="eastAsia"/>
                <w:b/>
                <w:sz w:val="21"/>
              </w:rPr>
              <w:t>医院</w:t>
            </w:r>
          </w:p>
        </w:tc>
        <w:tc>
          <w:tcPr>
            <w:tcW w:w="7683" w:type="dxa"/>
            <w:tcBorders>
              <w:top w:val="single" w:sz="8" w:space="0" w:color="000000"/>
            </w:tcBorders>
          </w:tcPr>
          <w:p>
            <w:pPr>
              <w:pStyle w:val="TableParagraph"/>
              <w:spacing w:before="3"/>
              <w:ind w:left="0"/>
              <w:rPr>
                <w:sz w:val="18"/>
              </w:rPr>
            </w:pPr>
          </w:p>
          <w:p>
            <w:pPr>
              <w:pStyle w:val="TableParagraph"/>
              <w:spacing w:line="280" w:lineRule="auto"/>
              <w:ind w:left="217" w:right="337"/>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823" w:type="dxa"/>
          </w:tcPr>
          <w:p>
            <w:pPr>
              <w:pStyle w:val="TableParagraph"/>
              <w:spacing w:before="41"/>
              <w:ind w:left="107"/>
              <w:rPr>
                <w:rFonts w:ascii="微软雅黑"/>
                <w:b/>
                <w:sz w:val="21"/>
              </w:rPr>
            </w:pPr>
            <w:r>
              <w:rPr>
                <w:rFonts w:ascii="微软雅黑"/>
                <w:b/>
                <w:sz w:val="21"/>
              </w:rPr>
              <w:t>10.2</w:t>
            </w:r>
          </w:p>
        </w:tc>
        <w:tc>
          <w:tcPr>
            <w:tcW w:w="1586" w:type="dxa"/>
          </w:tcPr>
          <w:p>
            <w:pPr>
              <w:pStyle w:val="TableParagraph"/>
              <w:spacing w:before="41"/>
              <w:ind w:left="101"/>
              <w:rPr>
                <w:rFonts w:ascii="微软雅黑" w:eastAsia="微软雅黑" w:hint="eastAsia"/>
                <w:b/>
                <w:sz w:val="21"/>
              </w:rPr>
            </w:pPr>
            <w:r>
              <w:rPr>
                <w:rFonts w:ascii="微软雅黑" w:eastAsia="微软雅黑" w:hint="eastAsia"/>
                <w:b/>
                <w:sz w:val="21"/>
              </w:rPr>
              <w:t>初次确诊</w:t>
            </w:r>
          </w:p>
        </w:tc>
        <w:tc>
          <w:tcPr>
            <w:tcW w:w="7683" w:type="dxa"/>
          </w:tcPr>
          <w:p>
            <w:pPr>
              <w:pStyle w:val="TableParagraph"/>
              <w:spacing w:before="104"/>
              <w:ind w:left="217"/>
              <w:rPr>
                <w:sz w:val="21"/>
              </w:rPr>
            </w:pPr>
            <w:r>
              <w:rPr>
                <w:sz w:val="21"/>
              </w:rPr>
              <w:t>指自被保险人出Th之日起第一次经医院确诊患有某种疾病，而不是指自本合同</w:t>
            </w:r>
          </w:p>
          <w:p>
            <w:pPr>
              <w:pStyle w:val="TableParagraph"/>
              <w:spacing w:before="44"/>
              <w:ind w:left="217"/>
              <w:rPr>
                <w:sz w:val="21"/>
              </w:rPr>
            </w:pPr>
            <w:r>
              <w:rPr>
                <w:sz w:val="21"/>
              </w:rPr>
              <w:t>Th效、复效之后第一次经医院确诊患有某种疾病。</w:t>
            </w:r>
          </w:p>
        </w:tc>
      </w:tr>
      <w:tr>
        <w:trPr>
          <w:trHeight w:val="1924" w:hRule="atLeast"/>
        </w:trPr>
        <w:tc>
          <w:tcPr>
            <w:tcW w:w="823" w:type="dxa"/>
          </w:tcPr>
          <w:p>
            <w:pPr>
              <w:pStyle w:val="TableParagraph"/>
              <w:spacing w:before="39"/>
              <w:ind w:left="107"/>
              <w:rPr>
                <w:rFonts w:ascii="微软雅黑"/>
                <w:b/>
                <w:sz w:val="21"/>
              </w:rPr>
            </w:pPr>
            <w:r>
              <w:rPr>
                <w:rFonts w:ascii="微软雅黑"/>
                <w:b/>
                <w:sz w:val="21"/>
              </w:rPr>
              <w:t>10.3</w:t>
            </w:r>
          </w:p>
        </w:tc>
        <w:tc>
          <w:tcPr>
            <w:tcW w:w="1586" w:type="dxa"/>
          </w:tcPr>
          <w:p>
            <w:pPr>
              <w:pStyle w:val="TableParagraph"/>
              <w:spacing w:before="39"/>
              <w:ind w:left="101"/>
              <w:rPr>
                <w:rFonts w:ascii="微软雅黑" w:eastAsia="微软雅黑" w:hint="eastAsia"/>
                <w:b/>
                <w:sz w:val="21"/>
              </w:rPr>
            </w:pPr>
            <w:r>
              <w:rPr>
                <w:rFonts w:ascii="微软雅黑" w:eastAsia="微软雅黑" w:hint="eastAsia"/>
                <w:b/>
                <w:sz w:val="21"/>
              </w:rPr>
              <w:t>意外伤害</w:t>
            </w:r>
          </w:p>
        </w:tc>
        <w:tc>
          <w:tcPr>
            <w:tcW w:w="7683" w:type="dxa"/>
          </w:tcPr>
          <w:p>
            <w:pPr>
              <w:pStyle w:val="TableParagraph"/>
              <w:spacing w:line="278" w:lineRule="auto" w:before="102"/>
              <w:ind w:left="217" w:right="339"/>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9"/>
              <w:ind w:left="217" w:right="339"/>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725" w:hRule="atLeast"/>
        </w:trPr>
        <w:tc>
          <w:tcPr>
            <w:tcW w:w="823" w:type="dxa"/>
          </w:tcPr>
          <w:p>
            <w:pPr>
              <w:pStyle w:val="TableParagraph"/>
              <w:spacing w:before="40"/>
              <w:ind w:left="107"/>
              <w:rPr>
                <w:rFonts w:ascii="微软雅黑"/>
                <w:b/>
                <w:sz w:val="21"/>
              </w:rPr>
            </w:pPr>
            <w:r>
              <w:rPr>
                <w:rFonts w:ascii="微软雅黑"/>
                <w:b/>
                <w:sz w:val="21"/>
              </w:rPr>
              <w:t>10.4</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周岁</w:t>
            </w:r>
          </w:p>
        </w:tc>
        <w:tc>
          <w:tcPr>
            <w:tcW w:w="7683" w:type="dxa"/>
          </w:tcPr>
          <w:p>
            <w:pPr>
              <w:pStyle w:val="TableParagraph"/>
              <w:spacing w:line="320" w:lineRule="atLeast" w:before="58"/>
              <w:ind w:left="217" w:right="293"/>
              <w:rPr>
                <w:sz w:val="21"/>
              </w:rPr>
            </w:pPr>
            <w:r>
              <w:rPr>
                <w:sz w:val="21"/>
              </w:rPr>
              <w:t>指按有效身份证件中记载的出Th日期计算的年龄，自出Th之日起为零周岁，每经过一年增加一岁，不足一年的不计。</w:t>
            </w:r>
          </w:p>
        </w:tc>
      </w:tr>
    </w:tbl>
    <w:p>
      <w:pPr>
        <w:spacing w:after="0" w:line="320" w:lineRule="atLeast"/>
        <w:rPr>
          <w:sz w:val="21"/>
        </w:rPr>
        <w:sectPr>
          <w:pgSz w:w="11910" w:h="16840"/>
          <w:pgMar w:top="126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736"/>
        <w:gridCol w:w="7544"/>
      </w:tblGrid>
      <w:tr>
        <w:trPr>
          <w:trHeight w:val="1047" w:hRule="atLeast"/>
        </w:trPr>
        <w:tc>
          <w:tcPr>
            <w:tcW w:w="870"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544" w:type="dxa"/>
          </w:tcPr>
          <w:p>
            <w:pPr>
              <w:pStyle w:val="TableParagraph"/>
              <w:spacing w:line="215" w:lineRule="exact"/>
              <w:ind w:left="112"/>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ind w:left="112"/>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6"/>
              <w:ind w:left="112"/>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1605" w:hRule="atLeast"/>
        </w:trPr>
        <w:tc>
          <w:tcPr>
            <w:tcW w:w="870" w:type="dxa"/>
          </w:tcPr>
          <w:p>
            <w:pPr>
              <w:pStyle w:val="TableParagraph"/>
              <w:spacing w:before="40"/>
              <w:ind w:left="200"/>
              <w:rPr>
                <w:rFonts w:ascii="微软雅黑"/>
                <w:b/>
                <w:sz w:val="21"/>
              </w:rPr>
            </w:pPr>
            <w:r>
              <w:rPr>
                <w:rFonts w:ascii="微软雅黑"/>
                <w:b/>
                <w:sz w:val="21"/>
              </w:rPr>
              <w:t>10.5</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现金价值</w:t>
            </w:r>
          </w:p>
        </w:tc>
        <w:tc>
          <w:tcPr>
            <w:tcW w:w="7544" w:type="dxa"/>
          </w:tcPr>
          <w:p>
            <w:pPr>
              <w:pStyle w:val="TableParagraph"/>
              <w:spacing w:line="280" w:lineRule="auto" w:before="103"/>
              <w:ind w:left="112" w:right="273"/>
              <w:rPr>
                <w:sz w:val="21"/>
              </w:rPr>
            </w:pPr>
            <w:r>
              <w:rPr>
                <w:sz w:val="21"/>
              </w:rPr>
              <w:t>指保险合同所具有的价值，通常体现为解除合同时，根据精算原理计算的由我们退还的那部分金额。</w:t>
            </w:r>
          </w:p>
          <w:p>
            <w:pPr>
              <w:pStyle w:val="TableParagraph"/>
              <w:spacing w:line="280" w:lineRule="auto" w:before="85"/>
              <w:ind w:left="112" w:right="258"/>
              <w:rPr>
                <w:sz w:val="21"/>
              </w:rPr>
            </w:pPr>
            <w:r>
              <w:rPr>
                <w:sz w:val="21"/>
              </w:rPr>
              <w:t>本合同保单年度末的现金价值在保险合同上载明，保单年度中的现金价值以保单年度末的现金价值为基础计算。</w:t>
            </w:r>
          </w:p>
        </w:tc>
      </w:tr>
      <w:tr>
        <w:trPr>
          <w:trHeight w:val="1207" w:hRule="atLeast"/>
        </w:trPr>
        <w:tc>
          <w:tcPr>
            <w:tcW w:w="870" w:type="dxa"/>
          </w:tcPr>
          <w:p>
            <w:pPr>
              <w:pStyle w:val="TableParagraph"/>
              <w:spacing w:before="40"/>
              <w:ind w:left="200"/>
              <w:rPr>
                <w:rFonts w:ascii="微软雅黑"/>
                <w:b/>
                <w:sz w:val="21"/>
              </w:rPr>
            </w:pPr>
            <w:r>
              <w:rPr>
                <w:rFonts w:ascii="微软雅黑"/>
                <w:b/>
                <w:sz w:val="21"/>
              </w:rPr>
              <w:t>10.6</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毒品</w:t>
            </w:r>
          </w:p>
        </w:tc>
        <w:tc>
          <w:tcPr>
            <w:tcW w:w="7544" w:type="dxa"/>
          </w:tcPr>
          <w:p>
            <w:pPr>
              <w:pStyle w:val="TableParagraph"/>
              <w:spacing w:line="280" w:lineRule="auto" w:before="103"/>
              <w:ind w:left="112" w:right="197"/>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5"/>
                <w:sz w:val="21"/>
              </w:rPr>
              <w:t>、吗啡、大麻、</w:t>
            </w:r>
            <w:r>
              <w:rPr>
                <w:spacing w:val="-8"/>
                <w:sz w:val="21"/>
              </w:rPr>
              <w:t>可卡因以及国家规定管制的其他能够使人形成瘾癖的麻醉药品和精神药品，但</w:t>
            </w:r>
            <w:r>
              <w:rPr>
                <w:spacing w:val="-6"/>
                <w:sz w:val="21"/>
              </w:rPr>
              <w:t>不包括由医</w:t>
            </w:r>
            <w:r>
              <w:rPr>
                <w:sz w:val="21"/>
              </w:rPr>
              <w:t>Th</w:t>
            </w:r>
            <w:r>
              <w:rPr>
                <w:spacing w:val="-3"/>
                <w:sz w:val="21"/>
              </w:rPr>
              <w:t>开具并遵医嘱使用的用于治疗疾病但含有毒品成分的处方药品。</w:t>
            </w:r>
          </w:p>
        </w:tc>
      </w:tr>
      <w:tr>
        <w:trPr>
          <w:trHeight w:val="1209" w:hRule="atLeast"/>
        </w:trPr>
        <w:tc>
          <w:tcPr>
            <w:tcW w:w="870" w:type="dxa"/>
          </w:tcPr>
          <w:p>
            <w:pPr>
              <w:pStyle w:val="TableParagraph"/>
              <w:spacing w:before="40"/>
              <w:ind w:left="200"/>
              <w:rPr>
                <w:rFonts w:ascii="微软雅黑"/>
                <w:b/>
                <w:sz w:val="21"/>
              </w:rPr>
            </w:pPr>
            <w:r>
              <w:rPr>
                <w:rFonts w:ascii="微软雅黑"/>
                <w:b/>
                <w:sz w:val="21"/>
              </w:rPr>
              <w:t>10.7</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酒后驾驶</w:t>
            </w:r>
          </w:p>
        </w:tc>
        <w:tc>
          <w:tcPr>
            <w:tcW w:w="7544" w:type="dxa"/>
          </w:tcPr>
          <w:p>
            <w:pPr>
              <w:pStyle w:val="TableParagraph"/>
              <w:spacing w:line="280" w:lineRule="auto" w:before="103"/>
              <w:ind w:left="112" w:right="305"/>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60" w:hRule="atLeast"/>
        </w:trPr>
        <w:tc>
          <w:tcPr>
            <w:tcW w:w="870" w:type="dxa"/>
          </w:tcPr>
          <w:p>
            <w:pPr>
              <w:pStyle w:val="TableParagraph"/>
              <w:spacing w:before="42"/>
              <w:ind w:left="200"/>
              <w:rPr>
                <w:rFonts w:ascii="微软雅黑"/>
                <w:b/>
                <w:sz w:val="21"/>
              </w:rPr>
            </w:pPr>
            <w:r>
              <w:rPr>
                <w:rFonts w:ascii="微软雅黑"/>
                <w:b/>
                <w:sz w:val="21"/>
              </w:rPr>
              <w:t>10.8</w:t>
            </w:r>
          </w:p>
        </w:tc>
        <w:tc>
          <w:tcPr>
            <w:tcW w:w="1736" w:type="dxa"/>
          </w:tcPr>
          <w:p>
            <w:pPr>
              <w:pStyle w:val="TableParagraph"/>
              <w:spacing w:line="211" w:lineRule="auto" w:before="85"/>
              <w:ind w:left="146" w:right="109"/>
              <w:rPr>
                <w:rFonts w:ascii="微软雅黑" w:eastAsia="微软雅黑" w:hint="eastAsia"/>
                <w:b/>
                <w:sz w:val="21"/>
              </w:rPr>
            </w:pPr>
            <w:r>
              <w:rPr>
                <w:rFonts w:ascii="微软雅黑" w:eastAsia="微软雅黑" w:hint="eastAsia"/>
                <w:b/>
                <w:sz w:val="21"/>
              </w:rPr>
              <w:t>无合法有效驾驶证驾驶</w:t>
            </w:r>
          </w:p>
        </w:tc>
        <w:tc>
          <w:tcPr>
            <w:tcW w:w="7544" w:type="dxa"/>
          </w:tcPr>
          <w:p>
            <w:pPr>
              <w:pStyle w:val="TableParagraph"/>
              <w:spacing w:before="104"/>
              <w:ind w:left="112"/>
              <w:rPr>
                <w:sz w:val="21"/>
              </w:rPr>
            </w:pPr>
            <w:r>
              <w:rPr>
                <w:sz w:val="21"/>
              </w:rPr>
              <w:t>指下列情形之一：</w:t>
            </w:r>
          </w:p>
          <w:p>
            <w:pPr>
              <w:pStyle w:val="TableParagraph"/>
              <w:numPr>
                <w:ilvl w:val="0"/>
                <w:numId w:val="48"/>
              </w:numPr>
              <w:tabs>
                <w:tab w:pos="737" w:val="left" w:leader="none"/>
              </w:tabs>
              <w:spacing w:line="240" w:lineRule="auto" w:before="121" w:after="0"/>
              <w:ind w:left="736" w:right="0" w:hanging="624"/>
              <w:jc w:val="left"/>
              <w:rPr>
                <w:sz w:val="21"/>
              </w:rPr>
            </w:pPr>
            <w:r>
              <w:rPr>
                <w:spacing w:val="-3"/>
                <w:sz w:val="21"/>
              </w:rPr>
              <w:t>没有取得中华人民共和国有关主管部门颁发或者认可的驾驶资格证书；</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驾驶与合法有效驾驶证准驾车型不相符合的车辆；</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持审验不合格的驾驶证驾驶；</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驾驶证已过有效期。</w:t>
            </w:r>
          </w:p>
        </w:tc>
      </w:tr>
      <w:tr>
        <w:trPr>
          <w:trHeight w:val="2723" w:hRule="atLeast"/>
        </w:trPr>
        <w:tc>
          <w:tcPr>
            <w:tcW w:w="870" w:type="dxa"/>
          </w:tcPr>
          <w:p>
            <w:pPr>
              <w:pStyle w:val="TableParagraph"/>
              <w:spacing w:before="42"/>
              <w:ind w:left="200"/>
              <w:rPr>
                <w:rFonts w:ascii="微软雅黑"/>
                <w:b/>
                <w:sz w:val="21"/>
              </w:rPr>
            </w:pPr>
            <w:r>
              <w:rPr>
                <w:rFonts w:ascii="微软雅黑"/>
                <w:b/>
                <w:sz w:val="21"/>
              </w:rPr>
              <w:t>10.9</w:t>
            </w:r>
          </w:p>
        </w:tc>
        <w:tc>
          <w:tcPr>
            <w:tcW w:w="1736" w:type="dxa"/>
          </w:tcPr>
          <w:p>
            <w:pPr>
              <w:pStyle w:val="TableParagraph"/>
              <w:spacing w:line="211" w:lineRule="auto" w:before="85"/>
              <w:ind w:left="146" w:right="109"/>
              <w:rPr>
                <w:rFonts w:ascii="微软雅黑" w:eastAsia="微软雅黑" w:hint="eastAsia"/>
                <w:b/>
                <w:sz w:val="21"/>
              </w:rPr>
            </w:pPr>
            <w:r>
              <w:rPr>
                <w:rFonts w:ascii="微软雅黑" w:eastAsia="微软雅黑" w:hint="eastAsia"/>
                <w:b/>
                <w:sz w:val="21"/>
              </w:rPr>
              <w:t>无合法有效行驶证</w:t>
            </w:r>
          </w:p>
        </w:tc>
        <w:tc>
          <w:tcPr>
            <w:tcW w:w="7544" w:type="dxa"/>
          </w:tcPr>
          <w:p>
            <w:pPr>
              <w:pStyle w:val="TableParagraph"/>
              <w:spacing w:line="280" w:lineRule="auto" w:before="104"/>
              <w:ind w:left="112" w:right="303"/>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9"/>
              </w:numPr>
              <w:tabs>
                <w:tab w:pos="737" w:val="left" w:leader="none"/>
              </w:tabs>
              <w:spacing w:line="240" w:lineRule="auto" w:before="85" w:after="0"/>
              <w:ind w:left="736" w:right="0" w:hanging="624"/>
              <w:jc w:val="left"/>
              <w:rPr>
                <w:sz w:val="21"/>
              </w:rPr>
            </w:pPr>
            <w:r>
              <w:rPr>
                <w:spacing w:val="-3"/>
                <w:sz w:val="21"/>
              </w:rPr>
              <w:t>未办理行驶证或者行驶证在申办过程中；</w:t>
            </w:r>
          </w:p>
          <w:p>
            <w:pPr>
              <w:pStyle w:val="TableParagraph"/>
              <w:numPr>
                <w:ilvl w:val="0"/>
                <w:numId w:val="49"/>
              </w:numPr>
              <w:tabs>
                <w:tab w:pos="737" w:val="left" w:leader="none"/>
              </w:tabs>
              <w:spacing w:line="240" w:lineRule="auto" w:before="123" w:after="0"/>
              <w:ind w:left="736" w:right="0" w:hanging="624"/>
              <w:jc w:val="left"/>
              <w:rPr>
                <w:sz w:val="21"/>
              </w:rPr>
            </w:pPr>
            <w:r>
              <w:rPr>
                <w:spacing w:val="-3"/>
                <w:sz w:val="21"/>
              </w:rPr>
              <w:t>机动车行驶证被依法注销登记；</w:t>
            </w:r>
          </w:p>
          <w:p>
            <w:pPr>
              <w:pStyle w:val="TableParagraph"/>
              <w:numPr>
                <w:ilvl w:val="0"/>
                <w:numId w:val="49"/>
              </w:numPr>
              <w:tabs>
                <w:tab w:pos="737" w:val="left" w:leader="none"/>
              </w:tabs>
              <w:spacing w:line="280" w:lineRule="auto" w:before="123" w:after="0"/>
              <w:ind w:left="736" w:right="309" w:hanging="624"/>
              <w:jc w:val="left"/>
              <w:rPr>
                <w:sz w:val="21"/>
              </w:rPr>
            </w:pPr>
            <w:r>
              <w:rPr>
                <w:spacing w:val="1"/>
                <w:sz w:val="21"/>
              </w:rPr>
              <w:t>未在行驶证检验有效期内依法按时进行或者未通过机动车安全技术检验。</w:t>
            </w:r>
          </w:p>
        </w:tc>
      </w:tr>
      <w:tr>
        <w:trPr>
          <w:trHeight w:val="888" w:hRule="atLeast"/>
        </w:trPr>
        <w:tc>
          <w:tcPr>
            <w:tcW w:w="870" w:type="dxa"/>
          </w:tcPr>
          <w:p>
            <w:pPr>
              <w:pStyle w:val="TableParagraph"/>
              <w:spacing w:before="40"/>
              <w:ind w:left="200"/>
              <w:rPr>
                <w:rFonts w:ascii="微软雅黑"/>
                <w:b/>
                <w:sz w:val="21"/>
              </w:rPr>
            </w:pPr>
            <w:r>
              <w:rPr>
                <w:rFonts w:ascii="微软雅黑"/>
                <w:b/>
                <w:sz w:val="21"/>
              </w:rPr>
              <w:t>10.10</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机动车</w:t>
            </w:r>
          </w:p>
        </w:tc>
        <w:tc>
          <w:tcPr>
            <w:tcW w:w="7544" w:type="dxa"/>
          </w:tcPr>
          <w:p>
            <w:pPr>
              <w:pStyle w:val="TableParagraph"/>
              <w:spacing w:line="280" w:lineRule="auto" w:before="103"/>
              <w:ind w:left="112" w:right="273"/>
              <w:rPr>
                <w:sz w:val="21"/>
              </w:rPr>
            </w:pPr>
            <w:r>
              <w:rPr>
                <w:sz w:val="21"/>
              </w:rPr>
              <w:t>指以动力装置驱动或者牵引，上道路行驶的供人员乘用或者用于运送物品以及进行工程专项作业的轮式车辆。</w:t>
            </w:r>
          </w:p>
        </w:tc>
      </w:tr>
      <w:tr>
        <w:trPr>
          <w:trHeight w:val="1925" w:hRule="atLeast"/>
        </w:trPr>
        <w:tc>
          <w:tcPr>
            <w:tcW w:w="870" w:type="dxa"/>
          </w:tcPr>
          <w:p>
            <w:pPr>
              <w:pStyle w:val="TableParagraph"/>
              <w:spacing w:before="40"/>
              <w:ind w:left="200"/>
              <w:rPr>
                <w:rFonts w:ascii="微软雅黑"/>
                <w:b/>
                <w:sz w:val="21"/>
              </w:rPr>
            </w:pPr>
            <w:r>
              <w:rPr>
                <w:rFonts w:ascii="微软雅黑"/>
                <w:b/>
                <w:sz w:val="21"/>
              </w:rPr>
              <w:t>10.11</w:t>
            </w:r>
          </w:p>
        </w:tc>
        <w:tc>
          <w:tcPr>
            <w:tcW w:w="1736" w:type="dxa"/>
          </w:tcPr>
          <w:p>
            <w:pPr>
              <w:pStyle w:val="TableParagraph"/>
              <w:spacing w:line="213" w:lineRule="auto" w:before="80"/>
              <w:ind w:left="146" w:right="109"/>
              <w:rPr>
                <w:rFonts w:ascii="微软雅黑" w:eastAsia="微软雅黑" w:hint="eastAsia"/>
                <w:b/>
                <w:sz w:val="21"/>
              </w:rPr>
            </w:pPr>
            <w:r>
              <w:rPr>
                <w:rFonts w:ascii="微软雅黑" w:eastAsia="微软雅黑" w:hint="eastAsia"/>
                <w:b/>
                <w:sz w:val="21"/>
              </w:rPr>
              <w:t>感染艾滋病病毒或者患艾滋病</w:t>
            </w:r>
          </w:p>
        </w:tc>
        <w:tc>
          <w:tcPr>
            <w:tcW w:w="7544" w:type="dxa"/>
          </w:tcPr>
          <w:p>
            <w:pPr>
              <w:pStyle w:val="TableParagraph"/>
              <w:spacing w:line="280" w:lineRule="auto" w:before="103"/>
              <w:ind w:left="112" w:right="305"/>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left="112" w:right="305"/>
              <w:jc w:val="both"/>
              <w:rPr>
                <w:sz w:val="21"/>
              </w:rPr>
            </w:pPr>
            <w:r>
              <w:rPr>
                <w:spacing w:val="-4"/>
                <w:sz w:val="21"/>
              </w:rPr>
              <w:t>在人体血液或者其他样本中检测到艾滋病病毒或者其抗体呈阳性，没有出现临</w:t>
            </w:r>
            <w:r>
              <w:rPr>
                <w:spacing w:val="-5"/>
                <w:sz w:val="21"/>
              </w:rPr>
              <w:t>床症状或者体征的，为感染艾滋病病毒；如果同时出现了明显临床症状或者体</w:t>
            </w:r>
            <w:r>
              <w:rPr>
                <w:spacing w:val="-4"/>
                <w:sz w:val="21"/>
              </w:rPr>
              <w:t>征的，为患艾滋病。</w:t>
            </w:r>
          </w:p>
        </w:tc>
      </w:tr>
      <w:tr>
        <w:trPr>
          <w:trHeight w:val="887" w:hRule="atLeast"/>
        </w:trPr>
        <w:tc>
          <w:tcPr>
            <w:tcW w:w="870" w:type="dxa"/>
          </w:tcPr>
          <w:p>
            <w:pPr>
              <w:pStyle w:val="TableParagraph"/>
              <w:spacing w:before="40"/>
              <w:ind w:left="200"/>
              <w:rPr>
                <w:rFonts w:ascii="微软雅黑"/>
                <w:b/>
                <w:sz w:val="21"/>
              </w:rPr>
            </w:pPr>
            <w:r>
              <w:rPr>
                <w:rFonts w:ascii="微软雅黑"/>
                <w:b/>
                <w:sz w:val="21"/>
              </w:rPr>
              <w:t>10.12</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遗传性疾病</w:t>
            </w:r>
          </w:p>
        </w:tc>
        <w:tc>
          <w:tcPr>
            <w:tcW w:w="7544" w:type="dxa"/>
          </w:tcPr>
          <w:p>
            <w:pPr>
              <w:pStyle w:val="TableParagraph"/>
              <w:spacing w:line="280" w:lineRule="auto" w:before="103"/>
              <w:ind w:left="112" w:right="259"/>
              <w:rPr>
                <w:sz w:val="21"/>
              </w:rPr>
            </w:pPr>
            <w:r>
              <w:rPr>
                <w:sz w:val="21"/>
              </w:rPr>
              <w:t>指Th殖细胞或者受精卵的遗传物质（染色体和基因）发Th突变或者畸变所引起的疾病，通常具有由亲代传至后代的垂直传递的特征。</w:t>
            </w:r>
          </w:p>
        </w:tc>
      </w:tr>
      <w:tr>
        <w:trPr>
          <w:trHeight w:val="725" w:hRule="atLeast"/>
        </w:trPr>
        <w:tc>
          <w:tcPr>
            <w:tcW w:w="870" w:type="dxa"/>
          </w:tcPr>
          <w:p>
            <w:pPr>
              <w:pStyle w:val="TableParagraph"/>
              <w:spacing w:before="40"/>
              <w:ind w:left="200"/>
              <w:rPr>
                <w:rFonts w:ascii="微软雅黑"/>
                <w:b/>
                <w:sz w:val="21"/>
              </w:rPr>
            </w:pPr>
            <w:r>
              <w:rPr>
                <w:rFonts w:ascii="微软雅黑"/>
                <w:b/>
                <w:sz w:val="21"/>
              </w:rPr>
              <w:t>10.13</w:t>
            </w:r>
          </w:p>
        </w:tc>
        <w:tc>
          <w:tcPr>
            <w:tcW w:w="1736" w:type="dxa"/>
          </w:tcPr>
          <w:p>
            <w:pPr>
              <w:pStyle w:val="TableParagraph"/>
              <w:spacing w:line="322" w:lineRule="exact" w:before="90"/>
              <w:ind w:left="146" w:right="109"/>
              <w:rPr>
                <w:rFonts w:ascii="微软雅黑" w:eastAsia="微软雅黑" w:hint="eastAsia"/>
                <w:b/>
                <w:sz w:val="21"/>
              </w:rPr>
            </w:pPr>
            <w:r>
              <w:rPr>
                <w:rFonts w:ascii="微软雅黑" w:eastAsia="微软雅黑" w:hint="eastAsia"/>
                <w:b/>
                <w:sz w:val="21"/>
              </w:rPr>
              <w:t>先天性畸形、变形或者染色体异</w:t>
            </w:r>
          </w:p>
        </w:tc>
        <w:tc>
          <w:tcPr>
            <w:tcW w:w="7544" w:type="dxa"/>
          </w:tcPr>
          <w:p>
            <w:pPr>
              <w:pStyle w:val="TableParagraph"/>
              <w:spacing w:line="320" w:lineRule="atLeast" w:before="58"/>
              <w:ind w:left="112" w:right="305"/>
              <w:rPr>
                <w:sz w:val="21"/>
              </w:rPr>
            </w:pPr>
            <w:r>
              <w:rPr>
                <w:spacing w:val="-2"/>
                <w:sz w:val="21"/>
              </w:rPr>
              <w:t>指被保险人出</w:t>
            </w:r>
            <w:r>
              <w:rPr>
                <w:sz w:val="21"/>
              </w:rPr>
              <w:t>Th</w:t>
            </w:r>
            <w:r>
              <w:rPr>
                <w:spacing w:val="-6"/>
                <w:sz w:val="21"/>
              </w:rPr>
              <w:t>时就具有的畸形、变形或者染色体异常。先天性畸形、变形和</w:t>
            </w:r>
            <w:r>
              <w:rPr>
                <w:spacing w:val="-4"/>
                <w:w w:val="100"/>
                <w:sz w:val="21"/>
              </w:rPr>
              <w:t>染色体异常依照世界卫</w:t>
            </w:r>
            <w:r>
              <w:rPr>
                <w:w w:val="100"/>
                <w:sz w:val="21"/>
              </w:rPr>
              <w:t>T</w:t>
            </w:r>
            <w:r>
              <w:rPr>
                <w:spacing w:val="-3"/>
                <w:w w:val="100"/>
                <w:sz w:val="21"/>
              </w:rPr>
              <w:t>h</w:t>
            </w:r>
            <w:r>
              <w:rPr>
                <w:spacing w:val="-9"/>
                <w:w w:val="100"/>
                <w:sz w:val="21"/>
              </w:rPr>
              <w:t>组织《疾病和有关健康问题的国际统计分类》</w:t>
            </w:r>
            <w:r>
              <w:rPr>
                <w:w w:val="100"/>
                <w:sz w:val="21"/>
              </w:rPr>
              <w:t>（</w:t>
            </w:r>
            <w:r>
              <w:rPr>
                <w:spacing w:val="-1"/>
                <w:w w:val="51"/>
                <w:sz w:val="21"/>
              </w:rPr>
              <w:t>I</w:t>
            </w:r>
            <w:r>
              <w:rPr>
                <w:w w:val="159"/>
                <w:sz w:val="21"/>
              </w:rPr>
              <w:t>C</w:t>
            </w:r>
            <w:r>
              <w:rPr>
                <w:spacing w:val="-3"/>
                <w:w w:val="159"/>
                <w:sz w:val="21"/>
              </w:rPr>
              <w:t>D</w:t>
            </w:r>
            <w:r>
              <w:rPr>
                <w:w w:val="124"/>
                <w:sz w:val="21"/>
              </w:rPr>
              <w:t>-</w:t>
            </w:r>
          </w:p>
        </w:tc>
      </w:tr>
    </w:tbl>
    <w:p>
      <w:pPr>
        <w:spacing w:after="0" w:line="320" w:lineRule="atLeast"/>
        <w:rPr>
          <w:sz w:val="21"/>
        </w:rPr>
        <w:sectPr>
          <w:pgSz w:w="11910" w:h="16840"/>
          <w:pgMar w:top="126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24"/>
        <w:gridCol w:w="7458"/>
      </w:tblGrid>
      <w:tr>
        <w:trPr>
          <w:trHeight w:val="405" w:hRule="atLeast"/>
        </w:trPr>
        <w:tc>
          <w:tcPr>
            <w:tcW w:w="882" w:type="dxa"/>
          </w:tcPr>
          <w:p>
            <w:pPr>
              <w:pStyle w:val="TableParagraph"/>
              <w:ind w:left="0"/>
              <w:rPr>
                <w:rFonts w:ascii="Times New Roman"/>
                <w:sz w:val="20"/>
              </w:rPr>
            </w:pPr>
          </w:p>
        </w:tc>
        <w:tc>
          <w:tcPr>
            <w:tcW w:w="1724" w:type="dxa"/>
          </w:tcPr>
          <w:p>
            <w:pPr>
              <w:pStyle w:val="TableParagraph"/>
              <w:spacing w:line="241" w:lineRule="exact"/>
              <w:ind w:left="134"/>
              <w:rPr>
                <w:rFonts w:ascii="微软雅黑" w:eastAsia="微软雅黑" w:hint="eastAsia"/>
                <w:b/>
                <w:sz w:val="21"/>
              </w:rPr>
            </w:pPr>
            <w:r>
              <w:rPr>
                <w:rFonts w:ascii="微软雅黑" w:eastAsia="微软雅黑" w:hint="eastAsia"/>
                <w:b/>
                <w:w w:val="100"/>
                <w:sz w:val="21"/>
              </w:rPr>
              <w:t>常</w:t>
            </w:r>
          </w:p>
        </w:tc>
        <w:tc>
          <w:tcPr>
            <w:tcW w:w="7458" w:type="dxa"/>
          </w:tcPr>
          <w:p>
            <w:pPr>
              <w:pStyle w:val="TableParagraph"/>
              <w:spacing w:line="215" w:lineRule="exact"/>
              <w:rPr>
                <w:sz w:val="21"/>
              </w:rPr>
            </w:pPr>
            <w:r>
              <w:rPr>
                <w:sz w:val="21"/>
              </w:rPr>
              <w:t>10）确定。</w:t>
            </w:r>
          </w:p>
        </w:tc>
      </w:tr>
      <w:tr>
        <w:trPr>
          <w:trHeight w:val="888" w:hRule="atLeast"/>
        </w:trPr>
        <w:tc>
          <w:tcPr>
            <w:tcW w:w="882" w:type="dxa"/>
          </w:tcPr>
          <w:p>
            <w:pPr>
              <w:pStyle w:val="TableParagraph"/>
              <w:spacing w:before="42"/>
              <w:ind w:left="0" w:right="154"/>
              <w:jc w:val="right"/>
              <w:rPr>
                <w:rFonts w:ascii="微软雅黑"/>
                <w:b/>
                <w:sz w:val="21"/>
              </w:rPr>
            </w:pPr>
            <w:r>
              <w:rPr>
                <w:rFonts w:ascii="微软雅黑"/>
                <w:b/>
                <w:w w:val="90"/>
                <w:sz w:val="21"/>
              </w:rPr>
              <w:t>10.14</w:t>
            </w:r>
          </w:p>
        </w:tc>
        <w:tc>
          <w:tcPr>
            <w:tcW w:w="1724" w:type="dxa"/>
          </w:tcPr>
          <w:p>
            <w:pPr>
              <w:pStyle w:val="TableParagraph"/>
              <w:spacing w:line="211" w:lineRule="auto" w:before="85"/>
              <w:ind w:left="134" w:right="109"/>
              <w:rPr>
                <w:rFonts w:ascii="微软雅黑" w:eastAsia="微软雅黑" w:hint="eastAsia"/>
                <w:b/>
                <w:sz w:val="21"/>
              </w:rPr>
            </w:pPr>
            <w:r>
              <w:rPr>
                <w:rFonts w:ascii="微软雅黑" w:eastAsia="微软雅黑" w:hint="eastAsia"/>
                <w:b/>
                <w:sz w:val="21"/>
              </w:rPr>
              <w:t>保险费约定交纳日</w:t>
            </w:r>
          </w:p>
        </w:tc>
        <w:tc>
          <w:tcPr>
            <w:tcW w:w="7458" w:type="dxa"/>
          </w:tcPr>
          <w:p>
            <w:pPr>
              <w:pStyle w:val="TableParagraph"/>
              <w:spacing w:line="278" w:lineRule="auto" w:before="104"/>
              <w:ind w:right="175"/>
              <w:rPr>
                <w:sz w:val="21"/>
              </w:rPr>
            </w:pPr>
            <w:r>
              <w:rPr>
                <w:sz w:val="21"/>
              </w:rPr>
              <w:t>保险合同Th效日在每月、每季、每半年或者每年（根据交费方式确定）的对应日。如果当月无对应的同一日，则以该月最后一日为对应日。</w:t>
            </w:r>
          </w:p>
        </w:tc>
      </w:tr>
      <w:tr>
        <w:trPr>
          <w:trHeight w:val="1208" w:hRule="atLeast"/>
        </w:trPr>
        <w:tc>
          <w:tcPr>
            <w:tcW w:w="882" w:type="dxa"/>
          </w:tcPr>
          <w:p>
            <w:pPr>
              <w:pStyle w:val="TableParagraph"/>
              <w:spacing w:before="42"/>
              <w:ind w:left="0" w:right="155"/>
              <w:jc w:val="right"/>
              <w:rPr>
                <w:rFonts w:ascii="微软雅黑"/>
                <w:b/>
                <w:sz w:val="21"/>
              </w:rPr>
            </w:pPr>
            <w:r>
              <w:rPr>
                <w:rFonts w:ascii="微软雅黑"/>
                <w:b/>
                <w:w w:val="90"/>
                <w:sz w:val="21"/>
              </w:rPr>
              <w:t>10.15</w:t>
            </w:r>
          </w:p>
        </w:tc>
        <w:tc>
          <w:tcPr>
            <w:tcW w:w="1724" w:type="dxa"/>
          </w:tcPr>
          <w:p>
            <w:pPr>
              <w:pStyle w:val="TableParagraph"/>
              <w:spacing w:before="42"/>
              <w:ind w:left="134"/>
              <w:rPr>
                <w:rFonts w:ascii="微软雅黑" w:eastAsia="微软雅黑" w:hint="eastAsia"/>
                <w:b/>
                <w:sz w:val="21"/>
              </w:rPr>
            </w:pPr>
            <w:r>
              <w:rPr>
                <w:rFonts w:ascii="微软雅黑" w:eastAsia="微软雅黑" w:hint="eastAsia"/>
                <w:b/>
                <w:sz w:val="21"/>
              </w:rPr>
              <w:t>复利</w:t>
            </w:r>
          </w:p>
        </w:tc>
        <w:tc>
          <w:tcPr>
            <w:tcW w:w="7458" w:type="dxa"/>
          </w:tcPr>
          <w:p>
            <w:pPr>
              <w:pStyle w:val="TableParagraph"/>
              <w:spacing w:line="278" w:lineRule="auto" w:before="104"/>
              <w:ind w:right="219"/>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2"/>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2"/>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13"/>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7" w:hRule="atLeast"/>
        </w:trPr>
        <w:tc>
          <w:tcPr>
            <w:tcW w:w="882" w:type="dxa"/>
          </w:tcPr>
          <w:p>
            <w:pPr>
              <w:pStyle w:val="TableParagraph"/>
              <w:spacing w:before="40"/>
              <w:ind w:left="0" w:right="154"/>
              <w:jc w:val="right"/>
              <w:rPr>
                <w:rFonts w:ascii="微软雅黑"/>
                <w:b/>
                <w:sz w:val="21"/>
              </w:rPr>
            </w:pPr>
            <w:r>
              <w:rPr>
                <w:rFonts w:ascii="微软雅黑"/>
                <w:b/>
                <w:w w:val="90"/>
                <w:sz w:val="21"/>
              </w:rPr>
              <w:t>10.16</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sz w:val="21"/>
              </w:rPr>
              <w:t>有效身份证件</w:t>
            </w:r>
          </w:p>
        </w:tc>
        <w:tc>
          <w:tcPr>
            <w:tcW w:w="7458" w:type="dxa"/>
          </w:tcPr>
          <w:p>
            <w:pPr>
              <w:pStyle w:val="TableParagraph"/>
              <w:spacing w:line="280" w:lineRule="auto" w:before="103"/>
              <w:ind w:right="217"/>
              <w:jc w:val="both"/>
              <w:rPr>
                <w:sz w:val="21"/>
              </w:rPr>
            </w:pPr>
            <w:r>
              <w:rPr>
                <w:color w:val="212121"/>
                <w:spacing w:val="2"/>
                <w:sz w:val="21"/>
              </w:rPr>
              <w:t>指由中华人民共和国政府主管部门规定的能够证明其身份且附有本人照片的</w:t>
            </w:r>
            <w:r>
              <w:rPr>
                <w:color w:val="212121"/>
                <w:spacing w:val="-6"/>
                <w:sz w:val="21"/>
              </w:rPr>
              <w:t>证件，如：居民身份证及中华人民共和国政府主管部门颁发或者认可的有效护</w:t>
            </w:r>
            <w:r>
              <w:rPr>
                <w:color w:val="212121"/>
                <w:spacing w:val="-4"/>
                <w:sz w:val="21"/>
              </w:rPr>
              <w:t>照或者其他身份证明文件</w:t>
            </w:r>
            <w:r>
              <w:rPr>
                <w:sz w:val="21"/>
              </w:rPr>
              <w:t>。</w:t>
            </w:r>
          </w:p>
        </w:tc>
      </w:tr>
      <w:tr>
        <w:trPr>
          <w:trHeight w:val="2800" w:hRule="atLeast"/>
        </w:trPr>
        <w:tc>
          <w:tcPr>
            <w:tcW w:w="882" w:type="dxa"/>
          </w:tcPr>
          <w:p>
            <w:pPr>
              <w:pStyle w:val="TableParagraph"/>
              <w:spacing w:before="40"/>
              <w:ind w:left="0" w:right="155"/>
              <w:jc w:val="right"/>
              <w:rPr>
                <w:rFonts w:ascii="微软雅黑"/>
                <w:b/>
                <w:sz w:val="21"/>
              </w:rPr>
            </w:pPr>
            <w:r>
              <w:rPr>
                <w:rFonts w:ascii="微软雅黑"/>
                <w:b/>
                <w:w w:val="90"/>
                <w:sz w:val="21"/>
              </w:rPr>
              <w:t>10.17</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w w:val="90"/>
                <w:sz w:val="21"/>
              </w:rPr>
              <w:t>专科医Th</w:t>
            </w:r>
          </w:p>
        </w:tc>
        <w:tc>
          <w:tcPr>
            <w:tcW w:w="7458" w:type="dxa"/>
          </w:tcPr>
          <w:p>
            <w:pPr>
              <w:pStyle w:val="TableParagraph"/>
              <w:spacing w:before="103"/>
              <w:rPr>
                <w:sz w:val="21"/>
              </w:rPr>
            </w:pPr>
            <w:r>
              <w:rPr>
                <w:sz w:val="21"/>
              </w:rPr>
              <w:t>专科医Th应当同时满足以下四项资格条件：</w:t>
            </w:r>
          </w:p>
          <w:p>
            <w:pPr>
              <w:pStyle w:val="TableParagraph"/>
              <w:numPr>
                <w:ilvl w:val="0"/>
                <w:numId w:val="50"/>
              </w:numPr>
              <w:tabs>
                <w:tab w:pos="737" w:val="left" w:leader="none"/>
              </w:tabs>
              <w:spacing w:line="240" w:lineRule="auto" w:before="124" w:after="0"/>
              <w:ind w:left="736" w:right="0" w:hanging="624"/>
              <w:jc w:val="left"/>
              <w:rPr>
                <w:sz w:val="21"/>
              </w:rPr>
            </w:pPr>
            <w:r>
              <w:rPr>
                <w:spacing w:val="-9"/>
                <w:sz w:val="21"/>
              </w:rPr>
              <w:t>具有有效的中华人民共和国《医师资格证书》；</w:t>
            </w:r>
          </w:p>
          <w:p>
            <w:pPr>
              <w:pStyle w:val="TableParagraph"/>
              <w:numPr>
                <w:ilvl w:val="0"/>
                <w:numId w:val="50"/>
              </w:numPr>
              <w:tabs>
                <w:tab w:pos="737" w:val="left" w:leader="none"/>
              </w:tabs>
              <w:spacing w:line="280" w:lineRule="auto" w:before="123" w:after="0"/>
              <w:ind w:left="736" w:right="216" w:hanging="624"/>
              <w:jc w:val="left"/>
              <w:rPr>
                <w:sz w:val="21"/>
              </w:rPr>
            </w:pPr>
            <w:r>
              <w:rPr>
                <w:spacing w:val="-16"/>
                <w:sz w:val="21"/>
              </w:rPr>
              <w:t>具有有效的中华人民共和国《医师执业证书》，并按期到相关部门登记注册；</w:t>
            </w:r>
          </w:p>
          <w:p>
            <w:pPr>
              <w:pStyle w:val="TableParagraph"/>
              <w:numPr>
                <w:ilvl w:val="0"/>
                <w:numId w:val="50"/>
              </w:numPr>
              <w:tabs>
                <w:tab w:pos="737" w:val="left" w:leader="none"/>
              </w:tabs>
              <w:spacing w:line="280" w:lineRule="auto" w:before="85" w:after="0"/>
              <w:ind w:left="736" w:right="216"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50"/>
              </w:numPr>
              <w:tabs>
                <w:tab w:pos="737" w:val="left" w:leader="none"/>
              </w:tabs>
              <w:spacing w:line="240" w:lineRule="auto" w:before="85" w:after="0"/>
              <w:ind w:left="736" w:right="0" w:hanging="624"/>
              <w:jc w:val="left"/>
              <w:rPr>
                <w:sz w:val="21"/>
              </w:rPr>
            </w:pPr>
            <w:r>
              <w:rPr>
                <w:spacing w:val="-3"/>
                <w:sz w:val="21"/>
              </w:rPr>
              <w:t>在二级或者二级以上医院的相应科室从事临床工作三年以上。</w:t>
            </w:r>
          </w:p>
        </w:tc>
      </w:tr>
      <w:tr>
        <w:trPr>
          <w:trHeight w:val="1849" w:hRule="atLeast"/>
        </w:trPr>
        <w:tc>
          <w:tcPr>
            <w:tcW w:w="882" w:type="dxa"/>
          </w:tcPr>
          <w:p>
            <w:pPr>
              <w:pStyle w:val="TableParagraph"/>
              <w:spacing w:before="42"/>
              <w:ind w:left="0" w:right="153"/>
              <w:jc w:val="right"/>
              <w:rPr>
                <w:rFonts w:ascii="微软雅黑"/>
                <w:b/>
                <w:sz w:val="21"/>
              </w:rPr>
            </w:pPr>
            <w:r>
              <w:rPr>
                <w:rFonts w:ascii="微软雅黑"/>
                <w:b/>
                <w:w w:val="90"/>
                <w:sz w:val="21"/>
              </w:rPr>
              <w:t>10.18</w:t>
            </w:r>
          </w:p>
        </w:tc>
        <w:tc>
          <w:tcPr>
            <w:tcW w:w="1724" w:type="dxa"/>
          </w:tcPr>
          <w:p>
            <w:pPr>
              <w:pStyle w:val="TableParagraph"/>
              <w:spacing w:line="211" w:lineRule="auto" w:before="85"/>
              <w:ind w:left="134" w:right="109"/>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458" w:type="dxa"/>
          </w:tcPr>
          <w:p>
            <w:pPr>
              <w:pStyle w:val="TableParagraph"/>
              <w:spacing w:line="280" w:lineRule="auto" w:before="104"/>
              <w:ind w:right="198"/>
              <w:jc w:val="both"/>
              <w:rPr>
                <w:sz w:val="21"/>
              </w:rPr>
            </w:pPr>
            <w:r>
              <w:rPr>
                <w:spacing w:val="-4"/>
                <w:sz w:val="21"/>
              </w:rPr>
              <w:t>指投保人减保时我们退还的那部分金额，额度等于投保人申请减保时保险合同</w:t>
            </w:r>
            <w:r>
              <w:rPr>
                <w:spacing w:val="-3"/>
                <w:sz w:val="21"/>
              </w:rPr>
              <w:t>的现金价值乘以减少的基本保险金额与减保前的基本保险金额的比例。例如： </w:t>
            </w:r>
            <w:r>
              <w:rPr>
                <w:spacing w:val="-5"/>
                <w:sz w:val="21"/>
              </w:rPr>
              <w:t>投保人减保前投保的基本保险金额是 </w:t>
            </w:r>
            <w:r>
              <w:rPr>
                <w:sz w:val="21"/>
              </w:rPr>
              <w:t>20</w:t>
            </w:r>
            <w:r>
              <w:rPr>
                <w:spacing w:val="-12"/>
                <w:sz w:val="21"/>
              </w:rPr>
              <w:t> 万元，对应的现金价值为 </w:t>
            </w:r>
            <w:r>
              <w:rPr>
                <w:sz w:val="21"/>
              </w:rPr>
              <w:t>16</w:t>
            </w:r>
            <w:r>
              <w:rPr>
                <w:spacing w:val="-16"/>
                <w:sz w:val="21"/>
              </w:rPr>
              <w:t> 万元，投</w:t>
            </w:r>
          </w:p>
          <w:p>
            <w:pPr>
              <w:pStyle w:val="TableParagraph"/>
              <w:spacing w:line="280" w:lineRule="auto" w:before="8"/>
              <w:ind w:right="216"/>
              <w:jc w:val="both"/>
              <w:rPr>
                <w:sz w:val="21"/>
              </w:rPr>
            </w:pPr>
            <w:r>
              <w:rPr>
                <w:spacing w:val="-6"/>
                <w:sz w:val="21"/>
              </w:rPr>
              <w:t>保人申请将基本保险金额从 </w:t>
            </w:r>
            <w:r>
              <w:rPr>
                <w:sz w:val="21"/>
              </w:rPr>
              <w:t>20</w:t>
            </w:r>
            <w:r>
              <w:rPr>
                <w:spacing w:val="-11"/>
                <w:sz w:val="21"/>
              </w:rPr>
              <w:t> 万元减保至 </w:t>
            </w:r>
            <w:r>
              <w:rPr>
                <w:sz w:val="21"/>
              </w:rPr>
              <w:t>12</w:t>
            </w:r>
            <w:r>
              <w:rPr>
                <w:spacing w:val="-13"/>
                <w:sz w:val="21"/>
              </w:rPr>
              <w:t> 万元，那么与基本保险金额减少</w:t>
            </w:r>
            <w:r>
              <w:rPr>
                <w:spacing w:val="-6"/>
                <w:w w:val="100"/>
                <w:sz w:val="21"/>
              </w:rPr>
              <w:t>部分相对应的现金价值为</w:t>
            </w:r>
            <w:r>
              <w:rPr>
                <w:spacing w:val="-6"/>
                <w:sz w:val="21"/>
              </w:rPr>
              <w:t> </w:t>
            </w:r>
            <w:r>
              <w:rPr>
                <w:w w:val="110"/>
                <w:sz w:val="21"/>
              </w:rPr>
              <w:t>16</w:t>
            </w:r>
            <w:r>
              <w:rPr>
                <w:w w:val="100"/>
                <w:sz w:val="21"/>
              </w:rPr>
              <w:t>×</w:t>
            </w:r>
            <w:r>
              <w:rPr>
                <w:spacing w:val="-4"/>
                <w:w w:val="60"/>
                <w:sz w:val="21"/>
              </w:rPr>
              <w:t>[</w:t>
            </w:r>
            <w:r>
              <w:rPr>
                <w:w w:val="100"/>
                <w:sz w:val="21"/>
              </w:rPr>
              <w:t>（</w:t>
            </w:r>
            <w:r>
              <w:rPr>
                <w:spacing w:val="-3"/>
                <w:w w:val="121"/>
                <w:sz w:val="21"/>
              </w:rPr>
              <w:t>2</w:t>
            </w:r>
            <w:r>
              <w:rPr>
                <w:w w:val="121"/>
                <w:sz w:val="21"/>
              </w:rPr>
              <w:t>0</w:t>
            </w:r>
            <w:r>
              <w:rPr>
                <w:spacing w:val="-1"/>
                <w:w w:val="124"/>
                <w:sz w:val="21"/>
              </w:rPr>
              <w:t>-</w:t>
            </w:r>
            <w:r>
              <w:rPr>
                <w:spacing w:val="-2"/>
                <w:w w:val="109"/>
                <w:sz w:val="21"/>
              </w:rPr>
              <w:t>1</w:t>
            </w:r>
            <w:r>
              <w:rPr>
                <w:w w:val="109"/>
                <w:sz w:val="21"/>
              </w:rPr>
              <w:t>2</w:t>
            </w:r>
            <w:r>
              <w:rPr>
                <w:spacing w:val="-3"/>
                <w:w w:val="100"/>
                <w:sz w:val="21"/>
              </w:rPr>
              <w:t>）</w:t>
            </w:r>
            <w:r>
              <w:rPr>
                <w:w w:val="100"/>
                <w:sz w:val="21"/>
              </w:rPr>
              <w:t>÷</w:t>
            </w:r>
            <w:r>
              <w:rPr>
                <w:spacing w:val="-3"/>
                <w:w w:val="121"/>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r>
        <w:trPr>
          <w:trHeight w:val="1207" w:hRule="atLeast"/>
        </w:trPr>
        <w:tc>
          <w:tcPr>
            <w:tcW w:w="882" w:type="dxa"/>
          </w:tcPr>
          <w:p>
            <w:pPr>
              <w:pStyle w:val="TableParagraph"/>
              <w:spacing w:before="41"/>
              <w:ind w:left="0" w:right="154"/>
              <w:jc w:val="right"/>
              <w:rPr>
                <w:rFonts w:ascii="微软雅黑"/>
                <w:b/>
                <w:sz w:val="21"/>
              </w:rPr>
            </w:pPr>
            <w:r>
              <w:rPr>
                <w:rFonts w:ascii="微软雅黑"/>
                <w:b/>
                <w:w w:val="90"/>
                <w:sz w:val="21"/>
              </w:rPr>
              <w:t>10.19</w:t>
            </w:r>
          </w:p>
        </w:tc>
        <w:tc>
          <w:tcPr>
            <w:tcW w:w="1724" w:type="dxa"/>
          </w:tcPr>
          <w:p>
            <w:pPr>
              <w:pStyle w:val="TableParagraph"/>
              <w:spacing w:before="41"/>
              <w:ind w:left="134"/>
              <w:rPr>
                <w:rFonts w:ascii="微软雅黑" w:eastAsia="微软雅黑" w:hint="eastAsia"/>
                <w:b/>
                <w:sz w:val="21"/>
              </w:rPr>
            </w:pPr>
            <w:r>
              <w:rPr>
                <w:rFonts w:ascii="微软雅黑" w:eastAsia="微软雅黑" w:hint="eastAsia"/>
                <w:b/>
                <w:sz w:val="21"/>
              </w:rPr>
              <w:t>保单年度</w:t>
            </w:r>
          </w:p>
        </w:tc>
        <w:tc>
          <w:tcPr>
            <w:tcW w:w="7458" w:type="dxa"/>
          </w:tcPr>
          <w:p>
            <w:pPr>
              <w:pStyle w:val="TableParagraph"/>
              <w:spacing w:line="280" w:lineRule="auto" w:before="103"/>
              <w:ind w:right="217"/>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567" w:hRule="atLeast"/>
        </w:trPr>
        <w:tc>
          <w:tcPr>
            <w:tcW w:w="882" w:type="dxa"/>
          </w:tcPr>
          <w:p>
            <w:pPr>
              <w:pStyle w:val="TableParagraph"/>
              <w:spacing w:before="40"/>
              <w:ind w:left="0" w:right="131"/>
              <w:jc w:val="right"/>
              <w:rPr>
                <w:rFonts w:ascii="微软雅黑"/>
                <w:b/>
                <w:sz w:val="21"/>
              </w:rPr>
            </w:pPr>
            <w:r>
              <w:rPr>
                <w:rFonts w:ascii="微软雅黑"/>
                <w:b/>
                <w:w w:val="95"/>
                <w:sz w:val="21"/>
              </w:rPr>
              <w:t>10.20</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sz w:val="21"/>
              </w:rPr>
              <w:t>团体</w:t>
            </w:r>
          </w:p>
        </w:tc>
        <w:tc>
          <w:tcPr>
            <w:tcW w:w="7458" w:type="dxa"/>
          </w:tcPr>
          <w:p>
            <w:pPr>
              <w:pStyle w:val="TableParagraph"/>
              <w:spacing w:before="103"/>
              <w:rPr>
                <w:sz w:val="21"/>
              </w:rPr>
            </w:pPr>
            <w:r>
              <w:rPr>
                <w:sz w:val="21"/>
              </w:rPr>
              <w:t>指法人、非法人组织以及其他不以购买保险为目的而组成的团体。</w:t>
            </w:r>
          </w:p>
        </w:tc>
      </w:tr>
      <w:tr>
        <w:trPr>
          <w:trHeight w:val="889" w:hRule="atLeast"/>
        </w:trPr>
        <w:tc>
          <w:tcPr>
            <w:tcW w:w="882" w:type="dxa"/>
          </w:tcPr>
          <w:p>
            <w:pPr>
              <w:pStyle w:val="TableParagraph"/>
              <w:spacing w:before="42"/>
              <w:ind w:left="0" w:right="157"/>
              <w:jc w:val="right"/>
              <w:rPr>
                <w:rFonts w:ascii="微软雅黑"/>
                <w:b/>
                <w:sz w:val="21"/>
              </w:rPr>
            </w:pPr>
            <w:r>
              <w:rPr>
                <w:rFonts w:ascii="微软雅黑"/>
                <w:b/>
                <w:w w:val="90"/>
                <w:sz w:val="21"/>
              </w:rPr>
              <w:t>10.21</w:t>
            </w:r>
          </w:p>
        </w:tc>
        <w:tc>
          <w:tcPr>
            <w:tcW w:w="1724" w:type="dxa"/>
          </w:tcPr>
          <w:p>
            <w:pPr>
              <w:pStyle w:val="TableParagraph"/>
              <w:spacing w:before="42"/>
              <w:ind w:left="134"/>
              <w:rPr>
                <w:rFonts w:ascii="微软雅黑" w:eastAsia="微软雅黑" w:hint="eastAsia"/>
                <w:b/>
                <w:sz w:val="21"/>
              </w:rPr>
            </w:pPr>
            <w:r>
              <w:rPr>
                <w:rFonts w:ascii="微软雅黑" w:eastAsia="微软雅黑" w:hint="eastAsia"/>
                <w:b/>
                <w:sz w:val="21"/>
              </w:rPr>
              <w:t>永久不可逆</w:t>
            </w:r>
          </w:p>
        </w:tc>
        <w:tc>
          <w:tcPr>
            <w:tcW w:w="7458" w:type="dxa"/>
          </w:tcPr>
          <w:p>
            <w:pPr>
              <w:pStyle w:val="TableParagraph"/>
              <w:spacing w:line="280" w:lineRule="auto" w:before="104"/>
              <w:ind w:right="219"/>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2957" w:hRule="atLeast"/>
        </w:trPr>
        <w:tc>
          <w:tcPr>
            <w:tcW w:w="882" w:type="dxa"/>
          </w:tcPr>
          <w:p>
            <w:pPr>
              <w:pStyle w:val="TableParagraph"/>
              <w:spacing w:before="40"/>
              <w:ind w:left="0" w:right="133"/>
              <w:jc w:val="right"/>
              <w:rPr>
                <w:rFonts w:ascii="微软雅黑"/>
                <w:b/>
                <w:sz w:val="21"/>
              </w:rPr>
            </w:pPr>
            <w:r>
              <w:rPr>
                <w:rFonts w:ascii="微软雅黑"/>
                <w:b/>
                <w:w w:val="95"/>
                <w:sz w:val="21"/>
              </w:rPr>
              <w:t>10.22</w:t>
            </w:r>
          </w:p>
        </w:tc>
        <w:tc>
          <w:tcPr>
            <w:tcW w:w="1724" w:type="dxa"/>
          </w:tcPr>
          <w:p>
            <w:pPr>
              <w:pStyle w:val="TableParagraph"/>
              <w:spacing w:line="211" w:lineRule="auto" w:before="84"/>
              <w:ind w:left="134" w:right="109"/>
              <w:jc w:val="both"/>
              <w:rPr>
                <w:rFonts w:ascii="微软雅黑" w:eastAsia="微软雅黑" w:hint="eastAsia"/>
                <w:b/>
                <w:sz w:val="21"/>
              </w:rPr>
            </w:pPr>
            <w:r>
              <w:rPr>
                <w:rFonts w:ascii="微软雅黑" w:eastAsia="微软雅黑" w:hint="eastAsia"/>
                <w:b/>
                <w:sz w:val="21"/>
              </w:rPr>
              <w:t>美国纽约心脏病学会心功能状态分级</w:t>
            </w:r>
          </w:p>
        </w:tc>
        <w:tc>
          <w:tcPr>
            <w:tcW w:w="7458" w:type="dxa"/>
          </w:tcPr>
          <w:p>
            <w:pPr>
              <w:pStyle w:val="TableParagraph"/>
              <w:spacing w:before="103"/>
              <w:rPr>
                <w:sz w:val="21"/>
              </w:rPr>
            </w:pPr>
            <w:r>
              <w:rPr>
                <w:sz w:val="21"/>
              </w:rPr>
              <w:t>美国纽约心脏病学会心功能状态分为四级：</w:t>
            </w:r>
          </w:p>
          <w:p>
            <w:pPr>
              <w:pStyle w:val="TableParagraph"/>
              <w:spacing w:before="123"/>
              <w:rPr>
                <w:sz w:val="21"/>
              </w:rPr>
            </w:pPr>
            <w:r>
              <w:rPr>
                <w:sz w:val="21"/>
              </w:rPr>
              <w:t>Ⅰ级：体力活动不受限，日常活动不引起过度的乏力、呼吸困难或者心悸；</w:t>
            </w:r>
          </w:p>
          <w:p>
            <w:pPr>
              <w:pStyle w:val="TableParagraph"/>
              <w:spacing w:line="278" w:lineRule="auto" w:before="123"/>
              <w:ind w:left="722" w:right="204" w:hanging="611"/>
              <w:rPr>
                <w:sz w:val="21"/>
              </w:rPr>
            </w:pPr>
            <w:r>
              <w:rPr>
                <w:sz w:val="21"/>
              </w:rPr>
              <w:t>Ⅱ级：体力活动轻度受限，休息时无症状，日常活动即可引起乏力、心悸、呼吸困难或者心绞痛；</w:t>
            </w:r>
          </w:p>
          <w:p>
            <w:pPr>
              <w:pStyle w:val="TableParagraph"/>
              <w:spacing w:line="280" w:lineRule="auto" w:before="89"/>
              <w:ind w:left="722" w:right="205" w:hanging="611"/>
              <w:rPr>
                <w:sz w:val="21"/>
              </w:rPr>
            </w:pPr>
            <w:r>
              <w:rPr>
                <w:sz w:val="21"/>
              </w:rPr>
              <w:t>Ⅲ级：体力活动明显受限，休息时无症状，轻于日常的活动即可引起乏力、心悸、呼吸困难或者心绞痛；</w:t>
            </w:r>
          </w:p>
          <w:p>
            <w:pPr>
              <w:pStyle w:val="TableParagraph"/>
              <w:spacing w:line="320" w:lineRule="atLeast" w:before="40"/>
              <w:ind w:left="722" w:right="188" w:hanging="611"/>
              <w:rPr>
                <w:sz w:val="21"/>
              </w:rPr>
            </w:pPr>
            <w:r>
              <w:rPr>
                <w:sz w:val="21"/>
              </w:rPr>
              <w:t>Ⅳ级：不能从事任何体力活动，休息时亦有充血性心衰或者心绞痛症状，任何体力活动后加重。</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4"/>
        <w:gridCol w:w="7436"/>
      </w:tblGrid>
      <w:tr>
        <w:trPr>
          <w:trHeight w:val="725" w:hRule="atLeast"/>
        </w:trPr>
        <w:tc>
          <w:tcPr>
            <w:tcW w:w="883" w:type="dxa"/>
          </w:tcPr>
          <w:p>
            <w:pPr>
              <w:pStyle w:val="TableParagraph"/>
              <w:spacing w:line="241" w:lineRule="exact"/>
              <w:ind w:left="0" w:right="133"/>
              <w:jc w:val="right"/>
              <w:rPr>
                <w:rFonts w:ascii="微软雅黑"/>
                <w:b/>
                <w:sz w:val="21"/>
              </w:rPr>
            </w:pPr>
            <w:r>
              <w:rPr>
                <w:rFonts w:ascii="微软雅黑"/>
                <w:b/>
                <w:w w:val="95"/>
                <w:sz w:val="21"/>
              </w:rPr>
              <w:t>10.23</w:t>
            </w:r>
          </w:p>
        </w:tc>
        <w:tc>
          <w:tcPr>
            <w:tcW w:w="1724" w:type="dxa"/>
          </w:tcPr>
          <w:p>
            <w:pPr>
              <w:pStyle w:val="TableParagraph"/>
              <w:spacing w:line="220" w:lineRule="exact"/>
              <w:ind w:left="133"/>
              <w:rPr>
                <w:rFonts w:ascii="微软雅黑" w:eastAsia="微软雅黑" w:hint="eastAsia"/>
                <w:b/>
                <w:sz w:val="21"/>
              </w:rPr>
            </w:pPr>
            <w:r>
              <w:rPr>
                <w:rFonts w:ascii="微软雅黑" w:eastAsia="微软雅黑" w:hint="eastAsia"/>
                <w:b/>
                <w:sz w:val="21"/>
              </w:rPr>
              <w:t>肢体机能完全丧</w:t>
            </w:r>
          </w:p>
          <w:p>
            <w:pPr>
              <w:pStyle w:val="TableParagraph"/>
              <w:spacing w:line="342" w:lineRule="exact"/>
              <w:ind w:left="133"/>
              <w:rPr>
                <w:rFonts w:ascii="微软雅黑" w:eastAsia="微软雅黑" w:hint="eastAsia"/>
                <w:b/>
                <w:sz w:val="21"/>
              </w:rPr>
            </w:pPr>
            <w:r>
              <w:rPr>
                <w:rFonts w:ascii="微软雅黑" w:eastAsia="微软雅黑" w:hint="eastAsia"/>
                <w:b/>
                <w:w w:val="100"/>
                <w:sz w:val="21"/>
              </w:rPr>
              <w:t>失</w:t>
            </w:r>
          </w:p>
        </w:tc>
        <w:tc>
          <w:tcPr>
            <w:tcW w:w="7436" w:type="dxa"/>
          </w:tcPr>
          <w:p>
            <w:pPr>
              <w:pStyle w:val="TableParagraph"/>
              <w:spacing w:line="215" w:lineRule="exact"/>
              <w:rPr>
                <w:sz w:val="21"/>
              </w:rPr>
            </w:pPr>
            <w:r>
              <w:rPr>
                <w:sz w:val="21"/>
              </w:rPr>
              <w:t>指肢体的三大关节中的两大关节僵硬，或者不能随意识活动。肢体是指包括肩</w:t>
            </w:r>
          </w:p>
          <w:p>
            <w:pPr>
              <w:pStyle w:val="TableParagraph"/>
              <w:spacing w:before="46"/>
              <w:rPr>
                <w:sz w:val="21"/>
              </w:rPr>
            </w:pPr>
            <w:r>
              <w:rPr>
                <w:sz w:val="21"/>
              </w:rPr>
              <w:t>关节的整个上肢或者包括髋关节的整个下肢。</w:t>
            </w:r>
          </w:p>
        </w:tc>
      </w:tr>
      <w:tr>
        <w:trPr>
          <w:trHeight w:val="1927" w:hRule="atLeast"/>
        </w:trPr>
        <w:tc>
          <w:tcPr>
            <w:tcW w:w="883" w:type="dxa"/>
          </w:tcPr>
          <w:p>
            <w:pPr>
              <w:pStyle w:val="TableParagraph"/>
              <w:spacing w:before="41"/>
              <w:ind w:left="0" w:right="131"/>
              <w:jc w:val="right"/>
              <w:rPr>
                <w:rFonts w:ascii="微软雅黑"/>
                <w:b/>
                <w:sz w:val="21"/>
              </w:rPr>
            </w:pPr>
            <w:r>
              <w:rPr>
                <w:rFonts w:ascii="微软雅黑"/>
                <w:b/>
                <w:w w:val="95"/>
                <w:sz w:val="21"/>
              </w:rPr>
              <w:t>10.24</w:t>
            </w:r>
          </w:p>
        </w:tc>
        <w:tc>
          <w:tcPr>
            <w:tcW w:w="1724" w:type="dxa"/>
          </w:tcPr>
          <w:p>
            <w:pPr>
              <w:pStyle w:val="TableParagraph"/>
              <w:spacing w:line="213" w:lineRule="auto" w:before="80"/>
              <w:ind w:left="133"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436" w:type="dxa"/>
          </w:tcPr>
          <w:p>
            <w:pPr>
              <w:pStyle w:val="TableParagraph"/>
              <w:spacing w:line="280" w:lineRule="auto" w:before="103"/>
              <w:ind w:right="198"/>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line="280" w:lineRule="auto" w:before="85"/>
              <w:ind w:right="201"/>
              <w:jc w:val="both"/>
              <w:rPr>
                <w:sz w:val="21"/>
              </w:rPr>
            </w:pPr>
            <w:r>
              <w:rPr>
                <w:spacing w:val="-5"/>
                <w:sz w:val="21"/>
              </w:rPr>
              <w:t>咀嚼吞咽能力完全丧失，指因牙齿以外的原因导致器质障碍或者机能障碍，以</w:t>
            </w:r>
            <w:r>
              <w:rPr>
                <w:spacing w:val="-4"/>
                <w:sz w:val="21"/>
              </w:rPr>
              <w:t>致不能作咀嚼吞咽运动，除流质食物外不能摄取或者吞咽的状态。</w:t>
            </w:r>
          </w:p>
        </w:tc>
      </w:tr>
      <w:tr>
        <w:trPr>
          <w:trHeight w:val="2792" w:hRule="atLeast"/>
        </w:trPr>
        <w:tc>
          <w:tcPr>
            <w:tcW w:w="883" w:type="dxa"/>
          </w:tcPr>
          <w:p>
            <w:pPr>
              <w:pStyle w:val="TableParagraph"/>
              <w:spacing w:before="40"/>
              <w:ind w:left="0" w:right="132"/>
              <w:jc w:val="right"/>
              <w:rPr>
                <w:rFonts w:ascii="微软雅黑"/>
                <w:b/>
                <w:sz w:val="21"/>
              </w:rPr>
            </w:pPr>
            <w:r>
              <w:rPr>
                <w:rFonts w:ascii="微软雅黑"/>
                <w:b/>
                <w:w w:val="95"/>
                <w:sz w:val="21"/>
              </w:rPr>
              <w:t>10.25</w:t>
            </w:r>
          </w:p>
        </w:tc>
        <w:tc>
          <w:tcPr>
            <w:tcW w:w="1724" w:type="dxa"/>
          </w:tcPr>
          <w:p>
            <w:pPr>
              <w:pStyle w:val="TableParagraph"/>
              <w:spacing w:line="213" w:lineRule="auto" w:before="80"/>
              <w:ind w:left="133"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6" w:type="dxa"/>
          </w:tcPr>
          <w:p>
            <w:pPr>
              <w:pStyle w:val="TableParagraph"/>
              <w:spacing w:before="103"/>
              <w:rPr>
                <w:sz w:val="21"/>
              </w:rPr>
            </w:pPr>
            <w:r>
              <w:rPr>
                <w:sz w:val="21"/>
              </w:rPr>
              <w:t>六项基本日常Th活活动是指：</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穿衣：自己能够穿衣及脱衣；</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移动：自己从一个房间到另一个房间；</w:t>
            </w:r>
          </w:p>
          <w:p>
            <w:pPr>
              <w:pStyle w:val="TableParagraph"/>
              <w:numPr>
                <w:ilvl w:val="0"/>
                <w:numId w:val="51"/>
              </w:numPr>
              <w:tabs>
                <w:tab w:pos="736" w:val="left" w:leader="none"/>
              </w:tabs>
              <w:spacing w:line="240" w:lineRule="auto" w:before="121" w:after="0"/>
              <w:ind w:left="735" w:right="0" w:hanging="624"/>
              <w:jc w:val="left"/>
              <w:rPr>
                <w:sz w:val="21"/>
              </w:rPr>
            </w:pPr>
            <w:r>
              <w:rPr>
                <w:spacing w:val="-3"/>
                <w:sz w:val="21"/>
              </w:rPr>
              <w:t>行动：自己上下床或者上下轮椅；</w:t>
            </w:r>
          </w:p>
          <w:p>
            <w:pPr>
              <w:pStyle w:val="TableParagraph"/>
              <w:numPr>
                <w:ilvl w:val="0"/>
                <w:numId w:val="51"/>
              </w:numPr>
              <w:tabs>
                <w:tab w:pos="736" w:val="left" w:leader="none"/>
              </w:tabs>
              <w:spacing w:line="240" w:lineRule="auto" w:before="124" w:after="0"/>
              <w:ind w:left="735" w:right="0" w:hanging="624"/>
              <w:jc w:val="left"/>
              <w:rPr>
                <w:sz w:val="21"/>
              </w:rPr>
            </w:pPr>
            <w:r>
              <w:rPr>
                <w:spacing w:val="-3"/>
                <w:sz w:val="21"/>
              </w:rPr>
              <w:t>如厕：自己控制进行大小便；</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进食：自己从已准备好的碗或者碟中取食物放入口中；</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洗澡：自己进行淋浴或者盆浴。</w:t>
            </w:r>
          </w:p>
        </w:tc>
      </w:tr>
    </w:tbl>
    <w:sectPr>
      <w:pgSz w:w="11910" w:h="16840"/>
      <w:pgMar w:top="1260" w:bottom="280" w:left="9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6" w:hanging="625"/>
      </w:pPr>
      <w:rPr>
        <w:rFonts w:hint="default"/>
      </w:rPr>
    </w:lvl>
  </w:abstractNum>
  <w:abstractNum w:abstractNumId="4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48">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47">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46">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5">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3">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2">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1">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8">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7">
    <w:multiLevelType w:val="hybridMultilevel"/>
    <w:lvl w:ilvl="0">
      <w:start w:val="1"/>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3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33">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3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3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3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9">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7">
    <w:multiLevelType w:val="hybridMultilevel"/>
    <w:lvl w:ilvl="0">
      <w:start w:val="3"/>
      <w:numFmt w:val="decimal"/>
      <w:lvlText w:val="（%1）"/>
      <w:lvlJc w:val="left"/>
      <w:pPr>
        <w:ind w:left="735"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5">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4">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3">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7">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6">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13">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12">
    <w:multiLevelType w:val="hybridMultilevel"/>
    <w:lvl w:ilvl="0">
      <w:start w:val="1"/>
      <w:numFmt w:val="decimal"/>
      <w:lvlText w:val="（%1）"/>
      <w:lvlJc w:val="left"/>
      <w:pPr>
        <w:ind w:left="742" w:hanging="632"/>
        <w:jc w:val="left"/>
      </w:pPr>
      <w:rPr>
        <w:rFonts w:hint="default" w:ascii="宋体" w:hAnsi="宋体" w:eastAsia="宋体" w:cs="宋体"/>
        <w:spacing w:val="-1"/>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1" w:hanging="632"/>
      </w:pPr>
      <w:rPr>
        <w:rFonts w:hint="default"/>
      </w:rPr>
    </w:lvl>
    <w:lvl w:ilvl="3">
      <w:start w:val="0"/>
      <w:numFmt w:val="bullet"/>
      <w:lvlText w:val="•"/>
      <w:lvlJc w:val="left"/>
      <w:pPr>
        <w:ind w:left="2752" w:hanging="632"/>
      </w:pPr>
      <w:rPr>
        <w:rFonts w:hint="default"/>
      </w:rPr>
    </w:lvl>
    <w:lvl w:ilvl="4">
      <w:start w:val="0"/>
      <w:numFmt w:val="bullet"/>
      <w:lvlText w:val="•"/>
      <w:lvlJc w:val="left"/>
      <w:pPr>
        <w:ind w:left="3422" w:hanging="632"/>
      </w:pPr>
      <w:rPr>
        <w:rFonts w:hint="default"/>
      </w:rPr>
    </w:lvl>
    <w:lvl w:ilvl="5">
      <w:start w:val="0"/>
      <w:numFmt w:val="bullet"/>
      <w:lvlText w:val="•"/>
      <w:lvlJc w:val="left"/>
      <w:pPr>
        <w:ind w:left="4093" w:hanging="632"/>
      </w:pPr>
      <w:rPr>
        <w:rFonts w:hint="default"/>
      </w:rPr>
    </w:lvl>
    <w:lvl w:ilvl="6">
      <w:start w:val="0"/>
      <w:numFmt w:val="bullet"/>
      <w:lvlText w:val="•"/>
      <w:lvlJc w:val="left"/>
      <w:pPr>
        <w:ind w:left="4764" w:hanging="632"/>
      </w:pPr>
      <w:rPr>
        <w:rFonts w:hint="default"/>
      </w:rPr>
    </w:lvl>
    <w:lvl w:ilvl="7">
      <w:start w:val="0"/>
      <w:numFmt w:val="bullet"/>
      <w:lvlText w:val="•"/>
      <w:lvlJc w:val="left"/>
      <w:pPr>
        <w:ind w:left="5434" w:hanging="632"/>
      </w:pPr>
      <w:rPr>
        <w:rFonts w:hint="default"/>
      </w:rPr>
    </w:lvl>
    <w:lvl w:ilvl="8">
      <w:start w:val="0"/>
      <w:numFmt w:val="bullet"/>
      <w:lvlText w:val="•"/>
      <w:lvlJc w:val="left"/>
      <w:pPr>
        <w:ind w:left="6105" w:hanging="632"/>
      </w:pPr>
      <w:rPr>
        <w:rFonts w:hint="default"/>
      </w:rPr>
    </w:lvl>
  </w:abstractNum>
  <w:abstractNum w:abstractNumId="1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1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9">
    <w:multiLevelType w:val="hybridMultilevel"/>
    <w:lvl w:ilvl="0">
      <w:start w:val="1"/>
      <w:numFmt w:val="decimal"/>
      <w:lvlText w:val="（%1）"/>
      <w:lvlJc w:val="left"/>
      <w:pPr>
        <w:ind w:left="841" w:hanging="625"/>
        <w:jc w:val="left"/>
      </w:pPr>
      <w:rPr>
        <w:rFonts w:hint="default" w:ascii="宋体" w:hAnsi="宋体" w:eastAsia="宋体" w:cs="宋体"/>
        <w:w w:val="100"/>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8">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7">
    <w:multiLevelType w:val="hybridMultilevel"/>
    <w:lvl w:ilvl="0">
      <w:start w:val="1"/>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6">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5">
    <w:multiLevelType w:val="hybridMultilevel"/>
    <w:lvl w:ilvl="0">
      <w:start w:val="1"/>
      <w:numFmt w:val="decimal"/>
      <w:lvlText w:val="（%1）"/>
      <w:lvlJc w:val="left"/>
      <w:pPr>
        <w:ind w:left="742"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4">
    <w:multiLevelType w:val="hybridMultilevel"/>
    <w:lvl w:ilvl="0">
      <w:start w:val="1"/>
      <w:numFmt w:val="decimal"/>
      <w:lvlText w:val="（%1）"/>
      <w:lvlJc w:val="left"/>
      <w:pPr>
        <w:ind w:left="1052" w:hanging="625"/>
        <w:jc w:val="left"/>
      </w:pPr>
      <w:rPr>
        <w:rFonts w:hint="default" w:ascii="宋体" w:hAnsi="宋体" w:eastAsia="宋体" w:cs="宋体"/>
        <w:spacing w:val="-1"/>
        <w:w w:val="97"/>
        <w:sz w:val="21"/>
        <w:szCs w:val="21"/>
      </w:rPr>
    </w:lvl>
    <w:lvl w:ilvl="1">
      <w:start w:val="0"/>
      <w:numFmt w:val="bullet"/>
      <w:lvlText w:val="•"/>
      <w:lvlJc w:val="left"/>
      <w:pPr>
        <w:ind w:left="1743" w:hanging="625"/>
      </w:pPr>
      <w:rPr>
        <w:rFonts w:hint="default"/>
      </w:rPr>
    </w:lvl>
    <w:lvl w:ilvl="2">
      <w:start w:val="0"/>
      <w:numFmt w:val="bullet"/>
      <w:lvlText w:val="•"/>
      <w:lvlJc w:val="left"/>
      <w:pPr>
        <w:ind w:left="2426" w:hanging="625"/>
      </w:pPr>
      <w:rPr>
        <w:rFonts w:hint="default"/>
      </w:rPr>
    </w:lvl>
    <w:lvl w:ilvl="3">
      <w:start w:val="0"/>
      <w:numFmt w:val="bullet"/>
      <w:lvlText w:val="•"/>
      <w:lvlJc w:val="left"/>
      <w:pPr>
        <w:ind w:left="3110" w:hanging="625"/>
      </w:pPr>
      <w:rPr>
        <w:rFonts w:hint="default"/>
      </w:rPr>
    </w:lvl>
    <w:lvl w:ilvl="4">
      <w:start w:val="0"/>
      <w:numFmt w:val="bullet"/>
      <w:lvlText w:val="•"/>
      <w:lvlJc w:val="left"/>
      <w:pPr>
        <w:ind w:left="3793" w:hanging="625"/>
      </w:pPr>
      <w:rPr>
        <w:rFonts w:hint="default"/>
      </w:rPr>
    </w:lvl>
    <w:lvl w:ilvl="5">
      <w:start w:val="0"/>
      <w:numFmt w:val="bullet"/>
      <w:lvlText w:val="•"/>
      <w:lvlJc w:val="left"/>
      <w:pPr>
        <w:ind w:left="4477" w:hanging="625"/>
      </w:pPr>
      <w:rPr>
        <w:rFonts w:hint="default"/>
      </w:rPr>
    </w:lvl>
    <w:lvl w:ilvl="6">
      <w:start w:val="0"/>
      <w:numFmt w:val="bullet"/>
      <w:lvlText w:val="•"/>
      <w:lvlJc w:val="left"/>
      <w:pPr>
        <w:ind w:left="5160" w:hanging="625"/>
      </w:pPr>
      <w:rPr>
        <w:rFonts w:hint="default"/>
      </w:rPr>
    </w:lvl>
    <w:lvl w:ilvl="7">
      <w:start w:val="0"/>
      <w:numFmt w:val="bullet"/>
      <w:lvlText w:val="•"/>
      <w:lvlJc w:val="left"/>
      <w:pPr>
        <w:ind w:left="5843" w:hanging="625"/>
      </w:pPr>
      <w:rPr>
        <w:rFonts w:hint="default"/>
      </w:rPr>
    </w:lvl>
    <w:lvl w:ilvl="8">
      <w:start w:val="0"/>
      <w:numFmt w:val="bullet"/>
      <w:lvlText w:val="•"/>
      <w:lvlJc w:val="left"/>
      <w:pPr>
        <w:ind w:left="6527" w:hanging="625"/>
      </w:pPr>
      <w:rPr>
        <w:rFonts w:hint="default"/>
      </w:rPr>
    </w:lvl>
  </w:abstractNum>
  <w:abstractNum w:abstractNumId="3">
    <w:multiLevelType w:val="hybridMultilevel"/>
    <w:lvl w:ilvl="0">
      <w:start w:val="1"/>
      <w:numFmt w:val="decimal"/>
      <w:lvlText w:val="（%1）"/>
      <w:lvlJc w:val="left"/>
      <w:pPr>
        <w:ind w:left="848" w:hanging="601"/>
        <w:jc w:val="left"/>
      </w:pPr>
      <w:rPr>
        <w:rFonts w:hint="default" w:ascii="宋体" w:hAnsi="宋体" w:eastAsia="宋体" w:cs="宋体"/>
        <w:w w:val="100"/>
        <w:sz w:val="21"/>
        <w:szCs w:val="21"/>
      </w:rPr>
    </w:lvl>
    <w:lvl w:ilvl="1">
      <w:start w:val="0"/>
      <w:numFmt w:val="bullet"/>
      <w:lvlText w:val="•"/>
      <w:lvlJc w:val="left"/>
      <w:pPr>
        <w:ind w:left="1524" w:hanging="601"/>
      </w:pPr>
      <w:rPr>
        <w:rFonts w:hint="default"/>
      </w:rPr>
    </w:lvl>
    <w:lvl w:ilvl="2">
      <w:start w:val="0"/>
      <w:numFmt w:val="bullet"/>
      <w:lvlText w:val="•"/>
      <w:lvlJc w:val="left"/>
      <w:pPr>
        <w:ind w:left="2208" w:hanging="601"/>
      </w:pPr>
      <w:rPr>
        <w:rFonts w:hint="default"/>
      </w:rPr>
    </w:lvl>
    <w:lvl w:ilvl="3">
      <w:start w:val="0"/>
      <w:numFmt w:val="bullet"/>
      <w:lvlText w:val="•"/>
      <w:lvlJc w:val="left"/>
      <w:pPr>
        <w:ind w:left="2892" w:hanging="601"/>
      </w:pPr>
      <w:rPr>
        <w:rFonts w:hint="default"/>
      </w:rPr>
    </w:lvl>
    <w:lvl w:ilvl="4">
      <w:start w:val="0"/>
      <w:numFmt w:val="bullet"/>
      <w:lvlText w:val="•"/>
      <w:lvlJc w:val="left"/>
      <w:pPr>
        <w:ind w:left="3577" w:hanging="601"/>
      </w:pPr>
      <w:rPr>
        <w:rFonts w:hint="default"/>
      </w:rPr>
    </w:lvl>
    <w:lvl w:ilvl="5">
      <w:start w:val="0"/>
      <w:numFmt w:val="bullet"/>
      <w:lvlText w:val="•"/>
      <w:lvlJc w:val="left"/>
      <w:pPr>
        <w:ind w:left="4261" w:hanging="601"/>
      </w:pPr>
      <w:rPr>
        <w:rFonts w:hint="default"/>
      </w:rPr>
    </w:lvl>
    <w:lvl w:ilvl="6">
      <w:start w:val="0"/>
      <w:numFmt w:val="bullet"/>
      <w:lvlText w:val="•"/>
      <w:lvlJc w:val="left"/>
      <w:pPr>
        <w:ind w:left="4945" w:hanging="601"/>
      </w:pPr>
      <w:rPr>
        <w:rFonts w:hint="default"/>
      </w:rPr>
    </w:lvl>
    <w:lvl w:ilvl="7">
      <w:start w:val="0"/>
      <w:numFmt w:val="bullet"/>
      <w:lvlText w:val="•"/>
      <w:lvlJc w:val="left"/>
      <w:pPr>
        <w:ind w:left="5630" w:hanging="601"/>
      </w:pPr>
      <w:rPr>
        <w:rFonts w:hint="default"/>
      </w:rPr>
    </w:lvl>
    <w:lvl w:ilvl="8">
      <w:start w:val="0"/>
      <w:numFmt w:val="bullet"/>
      <w:lvlText w:val="•"/>
      <w:lvlJc w:val="left"/>
      <w:pPr>
        <w:ind w:left="6314" w:hanging="601"/>
      </w:pPr>
      <w:rPr>
        <w:rFonts w:hint="default"/>
      </w:rPr>
    </w:lvl>
  </w:abstractNum>
  <w:abstractNum w:abstractNumId="2">
    <w:multiLevelType w:val="hybridMultilevel"/>
    <w:lvl w:ilvl="0">
      <w:start w:val="1"/>
      <w:numFmt w:val="decimal"/>
      <w:lvlText w:val="（%1）"/>
      <w:lvlJc w:val="left"/>
      <w:pPr>
        <w:ind w:left="718" w:hanging="601"/>
        <w:jc w:val="left"/>
      </w:pPr>
      <w:rPr>
        <w:rFonts w:hint="default" w:ascii="宋体" w:hAnsi="宋体" w:eastAsia="宋体" w:cs="宋体"/>
        <w:spacing w:val="-1"/>
        <w:w w:val="97"/>
        <w:sz w:val="21"/>
        <w:szCs w:val="21"/>
      </w:rPr>
    </w:lvl>
    <w:lvl w:ilvl="1">
      <w:start w:val="0"/>
      <w:numFmt w:val="bullet"/>
      <w:lvlText w:val="•"/>
      <w:lvlJc w:val="left"/>
      <w:pPr>
        <w:ind w:left="1405" w:hanging="601"/>
      </w:pPr>
      <w:rPr>
        <w:rFonts w:hint="default"/>
      </w:rPr>
    </w:lvl>
    <w:lvl w:ilvl="2">
      <w:start w:val="0"/>
      <w:numFmt w:val="bullet"/>
      <w:lvlText w:val="•"/>
      <w:lvlJc w:val="left"/>
      <w:pPr>
        <w:ind w:left="2091" w:hanging="601"/>
      </w:pPr>
      <w:rPr>
        <w:rFonts w:hint="default"/>
      </w:rPr>
    </w:lvl>
    <w:lvl w:ilvl="3">
      <w:start w:val="0"/>
      <w:numFmt w:val="bullet"/>
      <w:lvlText w:val="•"/>
      <w:lvlJc w:val="left"/>
      <w:pPr>
        <w:ind w:left="2777" w:hanging="601"/>
      </w:pPr>
      <w:rPr>
        <w:rFonts w:hint="default"/>
      </w:rPr>
    </w:lvl>
    <w:lvl w:ilvl="4">
      <w:start w:val="0"/>
      <w:numFmt w:val="bullet"/>
      <w:lvlText w:val="•"/>
      <w:lvlJc w:val="left"/>
      <w:pPr>
        <w:ind w:left="3463" w:hanging="601"/>
      </w:pPr>
      <w:rPr>
        <w:rFonts w:hint="default"/>
      </w:rPr>
    </w:lvl>
    <w:lvl w:ilvl="5">
      <w:start w:val="0"/>
      <w:numFmt w:val="bullet"/>
      <w:lvlText w:val="•"/>
      <w:lvlJc w:val="left"/>
      <w:pPr>
        <w:ind w:left="4149" w:hanging="601"/>
      </w:pPr>
      <w:rPr>
        <w:rFonts w:hint="default"/>
      </w:rPr>
    </w:lvl>
    <w:lvl w:ilvl="6">
      <w:start w:val="0"/>
      <w:numFmt w:val="bullet"/>
      <w:lvlText w:val="•"/>
      <w:lvlJc w:val="left"/>
      <w:pPr>
        <w:ind w:left="4834" w:hanging="601"/>
      </w:pPr>
      <w:rPr>
        <w:rFonts w:hint="default"/>
      </w:rPr>
    </w:lvl>
    <w:lvl w:ilvl="7">
      <w:start w:val="0"/>
      <w:numFmt w:val="bullet"/>
      <w:lvlText w:val="•"/>
      <w:lvlJc w:val="left"/>
      <w:pPr>
        <w:ind w:left="5520" w:hanging="601"/>
      </w:pPr>
      <w:rPr>
        <w:rFonts w:hint="default"/>
      </w:rPr>
    </w:lvl>
    <w:lvl w:ilvl="8">
      <w:start w:val="0"/>
      <w:numFmt w:val="bullet"/>
      <w:lvlText w:val="•"/>
      <w:lvlJc w:val="left"/>
      <w:pPr>
        <w:ind w:left="6206" w:hanging="601"/>
      </w:pPr>
      <w:rPr>
        <w:rFonts w:hint="default"/>
      </w:rPr>
    </w:lvl>
  </w:abstractNum>
  <w:abstractNum w:abstractNumId="1">
    <w:multiLevelType w:val="hybridMultilevel"/>
    <w:lvl w:ilvl="0">
      <w:start w:val="10"/>
      <w:numFmt w:val="decimal"/>
      <w:lvlText w:val="%1"/>
      <w:lvlJc w:val="left"/>
      <w:pPr>
        <w:ind w:left="1030" w:hanging="526"/>
        <w:jc w:val="left"/>
      </w:pPr>
      <w:rPr>
        <w:rFonts w:hint="default"/>
      </w:rPr>
    </w:lvl>
    <w:lvl w:ilvl="1">
      <w:start w:val="8"/>
      <w:numFmt w:val="decimal"/>
      <w:lvlText w:val="%1.%2"/>
      <w:lvlJc w:val="left"/>
      <w:pPr>
        <w:ind w:left="1030" w:hanging="526"/>
        <w:jc w:val="left"/>
      </w:pPr>
      <w:rPr>
        <w:rFonts w:hint="default" w:ascii="宋体" w:hAnsi="宋体" w:eastAsia="宋体" w:cs="宋体"/>
        <w:spacing w:val="-4"/>
        <w:w w:val="58"/>
        <w:sz w:val="21"/>
        <w:szCs w:val="21"/>
      </w:rPr>
    </w:lvl>
    <w:lvl w:ilvl="2">
      <w:start w:val="0"/>
      <w:numFmt w:val="bullet"/>
      <w:lvlText w:val="•"/>
      <w:lvlJc w:val="left"/>
      <w:pPr>
        <w:ind w:left="1722" w:hanging="526"/>
      </w:pPr>
      <w:rPr>
        <w:rFonts w:hint="default"/>
      </w:rPr>
    </w:lvl>
    <w:lvl w:ilvl="3">
      <w:start w:val="0"/>
      <w:numFmt w:val="bullet"/>
      <w:lvlText w:val="•"/>
      <w:lvlJc w:val="left"/>
      <w:pPr>
        <w:ind w:left="2063" w:hanging="526"/>
      </w:pPr>
      <w:rPr>
        <w:rFonts w:hint="default"/>
      </w:rPr>
    </w:lvl>
    <w:lvl w:ilvl="4">
      <w:start w:val="0"/>
      <w:numFmt w:val="bullet"/>
      <w:lvlText w:val="•"/>
      <w:lvlJc w:val="left"/>
      <w:pPr>
        <w:ind w:left="2404" w:hanging="526"/>
      </w:pPr>
      <w:rPr>
        <w:rFonts w:hint="default"/>
      </w:rPr>
    </w:lvl>
    <w:lvl w:ilvl="5">
      <w:start w:val="0"/>
      <w:numFmt w:val="bullet"/>
      <w:lvlText w:val="•"/>
      <w:lvlJc w:val="left"/>
      <w:pPr>
        <w:ind w:left="2745" w:hanging="526"/>
      </w:pPr>
      <w:rPr>
        <w:rFonts w:hint="default"/>
      </w:rPr>
    </w:lvl>
    <w:lvl w:ilvl="6">
      <w:start w:val="0"/>
      <w:numFmt w:val="bullet"/>
      <w:lvlText w:val="•"/>
      <w:lvlJc w:val="left"/>
      <w:pPr>
        <w:ind w:left="3086" w:hanging="526"/>
      </w:pPr>
      <w:rPr>
        <w:rFonts w:hint="default"/>
      </w:rPr>
    </w:lvl>
    <w:lvl w:ilvl="7">
      <w:start w:val="0"/>
      <w:numFmt w:val="bullet"/>
      <w:lvlText w:val="•"/>
      <w:lvlJc w:val="left"/>
      <w:pPr>
        <w:ind w:left="3427" w:hanging="526"/>
      </w:pPr>
      <w:rPr>
        <w:rFonts w:hint="default"/>
      </w:rPr>
    </w:lvl>
    <w:lvl w:ilvl="8">
      <w:start w:val="0"/>
      <w:numFmt w:val="bullet"/>
      <w:lvlText w:val="•"/>
      <w:lvlJc w:val="left"/>
      <w:pPr>
        <w:ind w:left="3768" w:hanging="526"/>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220" w:hanging="420"/>
      </w:pPr>
      <w:rPr>
        <w:rFonts w:hint="default"/>
      </w:rPr>
    </w:lvl>
    <w:lvl w:ilvl="2">
      <w:start w:val="0"/>
      <w:numFmt w:val="bullet"/>
      <w:lvlText w:val="•"/>
      <w:lvlJc w:val="left"/>
      <w:pPr>
        <w:ind w:left="3161" w:hanging="420"/>
      </w:pPr>
      <w:rPr>
        <w:rFonts w:hint="default"/>
      </w:rPr>
    </w:lvl>
    <w:lvl w:ilvl="3">
      <w:start w:val="0"/>
      <w:numFmt w:val="bullet"/>
      <w:lvlText w:val="•"/>
      <w:lvlJc w:val="left"/>
      <w:pPr>
        <w:ind w:left="4101" w:hanging="420"/>
      </w:pPr>
      <w:rPr>
        <w:rFonts w:hint="default"/>
      </w:rPr>
    </w:lvl>
    <w:lvl w:ilvl="4">
      <w:start w:val="0"/>
      <w:numFmt w:val="bullet"/>
      <w:lvlText w:val="•"/>
      <w:lvlJc w:val="left"/>
      <w:pPr>
        <w:ind w:left="5042" w:hanging="420"/>
      </w:pPr>
      <w:rPr>
        <w:rFonts w:hint="default"/>
      </w:rPr>
    </w:lvl>
    <w:lvl w:ilvl="5">
      <w:start w:val="0"/>
      <w:numFmt w:val="bullet"/>
      <w:lvlText w:val="•"/>
      <w:lvlJc w:val="left"/>
      <w:pPr>
        <w:ind w:left="5983" w:hanging="420"/>
      </w:pPr>
      <w:rPr>
        <w:rFonts w:hint="default"/>
      </w:rPr>
    </w:lvl>
    <w:lvl w:ilvl="6">
      <w:start w:val="0"/>
      <w:numFmt w:val="bullet"/>
      <w:lvlText w:val="•"/>
      <w:lvlJc w:val="left"/>
      <w:pPr>
        <w:ind w:left="6923" w:hanging="420"/>
      </w:pPr>
      <w:rPr>
        <w:rFonts w:hint="default"/>
      </w:rPr>
    </w:lvl>
    <w:lvl w:ilvl="7">
      <w:start w:val="0"/>
      <w:numFmt w:val="bullet"/>
      <w:lvlText w:val="•"/>
      <w:lvlJc w:val="left"/>
      <w:pPr>
        <w:ind w:left="7864" w:hanging="420"/>
      </w:pPr>
      <w:rPr>
        <w:rFonts w:hint="default"/>
      </w:rPr>
    </w:lvl>
    <w:lvl w:ilvl="8">
      <w:start w:val="0"/>
      <w:numFmt w:val="bullet"/>
      <w:lvlText w:val="•"/>
      <w:lvlJc w:val="left"/>
      <w:pPr>
        <w:ind w:left="8805" w:hanging="420"/>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2018-10-20T03:03:26Z</dcterms:created>
  <dcterms:modified xsi:type="dcterms:W3CDTF">2018-10-20T03:03:26Z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