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6448" w:right="47" w:firstLine="0"/>
        <w:jc w:val="center"/>
        <w:rPr>
          <w:sz w:val="21"/>
        </w:rPr>
      </w:pPr>
      <w:r>
        <w:rPr>
          <w:sz w:val="21"/>
        </w:rPr>
        <w:t>陆家嘴国泰人寿[2014]疾病保险 080 号</w:t>
      </w:r>
    </w:p>
    <w:p>
      <w:pPr>
        <w:pStyle w:val="BodyText"/>
        <w:spacing w:before="4"/>
        <w:ind w:left="0"/>
        <w:rPr>
          <w:sz w:val="14"/>
        </w:rPr>
      </w:pPr>
      <w:r>
        <w:rPr/>
        <w:drawing>
          <wp:anchor distT="0" distB="0" distL="0" distR="0" allowOverlap="1" layoutInCell="1" locked="0" behindDoc="0" simplePos="0" relativeHeight="0">
            <wp:simplePos x="0" y="0"/>
            <wp:positionH relativeFrom="page">
              <wp:posOffset>5736590</wp:posOffset>
            </wp:positionH>
            <wp:positionV relativeFrom="paragraph">
              <wp:posOffset>143726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0"/>
        <w:ind w:left="0" w:right="852" w:firstLine="0"/>
        <w:jc w:val="right"/>
        <w:rPr>
          <w:sz w:val="21"/>
        </w:rPr>
      </w:pPr>
      <w:r>
        <w:rPr>
          <w:w w:val="95"/>
          <w:sz w:val="21"/>
        </w:rPr>
        <w:t>请扫描以查询验证条款</w:t>
      </w:r>
    </w:p>
    <w:p>
      <w:pPr>
        <w:spacing w:before="29"/>
        <w:ind w:left="843" w:right="0" w:firstLine="0"/>
        <w:jc w:val="left"/>
        <w:rPr>
          <w:b/>
          <w:sz w:val="40"/>
        </w:rPr>
      </w:pPr>
      <w:r>
        <w:rPr>
          <w:b/>
          <w:w w:val="95"/>
          <w:sz w:val="40"/>
        </w:rPr>
        <w:t>陆家嘴国泰附加美裕人生重大疾病保险条款</w:t>
      </w:r>
    </w:p>
    <w:p>
      <w:pPr>
        <w:pStyle w:val="BodyText"/>
        <w:spacing w:before="10"/>
        <w:ind w:left="0"/>
        <w:rPr>
          <w:b/>
          <w:sz w:val="23"/>
        </w:rPr>
      </w:pPr>
    </w:p>
    <w:p>
      <w:pPr>
        <w:pStyle w:val="BodyText"/>
        <w:spacing w:before="33"/>
        <w:ind w:left="0" w:right="1013"/>
        <w:jc w:val="right"/>
      </w:pPr>
      <w:r>
        <w:rPr/>
        <w:t>2014.10</w:t>
      </w:r>
    </w:p>
    <w:p>
      <w:pPr>
        <w:pStyle w:val="BodyText"/>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before="33"/>
        <w:ind w:right="106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6" w:right="4503"/>
      </w:pPr>
      <w:r>
        <w:rPr>
          <w:w w:val="95"/>
        </w:rPr>
        <w:t>【重要提示】</w:t>
      </w:r>
    </w:p>
    <w:p>
      <w:pPr>
        <w:pStyle w:val="Heading2"/>
        <w:spacing w:line="240" w:lineRule="auto" w:before="310"/>
        <w:jc w:val="both"/>
      </w:pPr>
      <w:r>
        <w:rPr>
          <w:b w:val="0"/>
        </w:rPr>
        <w:t>※ </w:t>
      </w:r>
      <w:r>
        <w:rPr/>
        <w:t>您拥有的重要权益</w:t>
      </w:r>
    </w:p>
    <w:p>
      <w:pPr>
        <w:pStyle w:val="Heading4"/>
        <w:tabs>
          <w:tab w:pos="9144" w:val="right" w:leader="dot"/>
        </w:tabs>
        <w:spacing w:before="327"/>
        <w:ind w:left="118" w:firstLine="0"/>
        <w:jc w:val="both"/>
      </w:pPr>
      <w:r>
        <w:rPr/>
        <w:t>犹豫期</w:t>
        <w:tab/>
        <w:t>2.5</w:t>
      </w:r>
    </w:p>
    <w:p>
      <w:pPr>
        <w:pStyle w:val="BodyText"/>
        <w:spacing w:line="266" w:lineRule="auto" w:before="48"/>
        <w:ind w:right="1013"/>
        <w:jc w:val="both"/>
      </w:pPr>
      <w:r>
        <w:rPr/>
        <w:t>您书面签收本附加保险合同的次日起十日为犹豫期，在犹豫期内，如您认为本保险不适合您， </w:t>
      </w:r>
      <w:r>
        <w:rPr>
          <w:spacing w:val="-6"/>
        </w:rPr>
        <w:t>您可以连同《陆家嘴国泰美裕人生两全保险</w:t>
      </w:r>
      <w:r>
        <w:rPr/>
        <w:t>（</w:t>
      </w:r>
      <w:r>
        <w:rPr>
          <w:spacing w:val="-2"/>
        </w:rPr>
        <w:t>分红型</w:t>
      </w:r>
      <w:r>
        <w:rPr>
          <w:spacing w:val="-113"/>
        </w:rPr>
        <w:t>）</w:t>
      </w:r>
      <w:r>
        <w:rPr>
          <w:spacing w:val="-6"/>
        </w:rPr>
        <w:t>》合同一起撤销本附加合同，并取回全部</w:t>
      </w:r>
      <w:r>
        <w:rPr>
          <w:spacing w:val="-3"/>
        </w:rPr>
        <w:t>已交的保险费。我们不接受单独撤销本附加合同的申请。</w:t>
      </w:r>
    </w:p>
    <w:p>
      <w:pPr>
        <w:pStyle w:val="Heading4"/>
        <w:tabs>
          <w:tab w:pos="9147" w:val="right" w:leader="dot"/>
        </w:tabs>
        <w:spacing w:before="326"/>
        <w:ind w:left="118" w:firstLine="0"/>
        <w:jc w:val="both"/>
      </w:pPr>
      <w:r>
        <w:rPr/>
        <w:t>被保险人享有的保险保障</w:t>
        <w:tab/>
        <w:t>3</w:t>
      </w:r>
    </w:p>
    <w:p>
      <w:pPr>
        <w:pStyle w:val="BodyText"/>
        <w:spacing w:line="266" w:lineRule="auto" w:before="33"/>
        <w:ind w:right="8544"/>
      </w:pPr>
      <w:r>
        <w:rPr/>
        <w:t>重大疾病保险金特定疾病保险金</w:t>
      </w:r>
    </w:p>
    <w:p>
      <w:pPr>
        <w:pStyle w:val="Heading4"/>
        <w:tabs>
          <w:tab w:pos="9144" w:val="right" w:leader="dot"/>
        </w:tabs>
        <w:spacing w:before="311"/>
        <w:ind w:left="118" w:firstLine="0"/>
        <w:jc w:val="both"/>
      </w:pPr>
      <w:r>
        <w:rPr/>
        <w:t>宽限期</w:t>
        <w:tab/>
        <w:t>6.2</w:t>
      </w:r>
    </w:p>
    <w:p>
      <w:pPr>
        <w:pStyle w:val="BodyText"/>
        <w:spacing w:line="266" w:lineRule="auto" w:before="47"/>
        <w:ind w:right="1016"/>
        <w:jc w:val="both"/>
      </w:pPr>
      <w:r>
        <w:rPr/>
        <w:t>对于续期保险费，如您因故未能按时交付的，自保险费应交日的次日起六十日为宽限期，在宽限期内，我们仍然承担保险责任。</w:t>
      </w:r>
    </w:p>
    <w:p>
      <w:pPr>
        <w:pStyle w:val="Heading4"/>
        <w:tabs>
          <w:tab w:pos="9147" w:val="right" w:leader="dot"/>
        </w:tabs>
        <w:spacing w:before="311"/>
        <w:ind w:left="118" w:firstLine="0"/>
        <w:jc w:val="both"/>
      </w:pPr>
      <w:r>
        <w:rPr/>
        <w:t>申请保险金的权利</w:t>
        <w:tab/>
        <w:t>8.2</w:t>
      </w:r>
    </w:p>
    <w:p>
      <w:pPr>
        <w:pStyle w:val="BodyText"/>
        <w:spacing w:line="268" w:lineRule="auto" w:before="48"/>
        <w:ind w:right="1016"/>
        <w:jc w:val="both"/>
      </w:pPr>
      <w:r>
        <w:rPr/>
        <w:t>被保险人发生本附加合同约定的保险事故，受益人有权向我们申请保险金，申请保险金时需提供相应的证明资料，我们会依照本附加合同的约定给付保险金。</w:t>
      </w:r>
    </w:p>
    <w:p>
      <w:pPr>
        <w:pStyle w:val="Heading4"/>
        <w:tabs>
          <w:tab w:pos="9144" w:val="right" w:leader="dot"/>
        </w:tabs>
        <w:spacing w:before="307"/>
        <w:ind w:left="118" w:firstLine="0"/>
        <w:jc w:val="both"/>
      </w:pPr>
      <w:r>
        <w:rPr/>
        <w:t>退保</w:t>
        <w:tab/>
        <w:t>10.1</w:t>
      </w:r>
    </w:p>
    <w:p>
      <w:pPr>
        <w:pStyle w:val="BodyText"/>
        <w:spacing w:line="266" w:lineRule="auto" w:before="50"/>
        <w:ind w:right="1015"/>
        <w:jc w:val="both"/>
      </w:pPr>
      <w:r>
        <w:rPr>
          <w:spacing w:val="-8"/>
        </w:rPr>
        <w:t>犹豫期过后，您还享有退保的权利，但须与《陆家嘴国泰美裕人生两全保险</w:t>
      </w:r>
      <w:r>
        <w:rPr>
          <w:spacing w:val="-3"/>
        </w:rPr>
        <w:t>（</w:t>
      </w:r>
      <w:r>
        <w:rPr>
          <w:spacing w:val="-2"/>
        </w:rPr>
        <w:t>分红型</w:t>
      </w:r>
      <w:r>
        <w:rPr>
          <w:spacing w:val="-111"/>
        </w:rPr>
        <w:t>）</w:t>
      </w:r>
      <w:r>
        <w:rPr>
          <w:spacing w:val="-5"/>
        </w:rPr>
        <w:t>》合同一</w:t>
      </w:r>
      <w:r>
        <w:rPr>
          <w:spacing w:val="-3"/>
        </w:rPr>
        <w:t>并申请退保，且退保后实际退还的数额可能小于您所交的保险费，请您慎重考虑。</w:t>
      </w:r>
    </w:p>
    <w:p>
      <w:pPr>
        <w:spacing w:before="258"/>
        <w:ind w:left="118" w:right="0" w:firstLine="0"/>
        <w:jc w:val="both"/>
        <w:rPr>
          <w:b/>
          <w:sz w:val="28"/>
        </w:rPr>
      </w:pPr>
      <w:r>
        <w:rPr>
          <w:sz w:val="28"/>
        </w:rPr>
        <w:t>※ </w:t>
      </w:r>
      <w:r>
        <w:rPr>
          <w:b/>
          <w:sz w:val="28"/>
        </w:rPr>
        <w:t>您应履行的义务</w:t>
      </w:r>
    </w:p>
    <w:p>
      <w:pPr>
        <w:spacing w:after="0"/>
        <w:jc w:val="both"/>
        <w:rPr>
          <w:sz w:val="28"/>
        </w:rPr>
        <w:sectPr>
          <w:type w:val="continuous"/>
          <w:pgSz w:w="11910" w:h="16840"/>
          <w:pgMar w:top="420" w:bottom="280" w:left="1300" w:right="400"/>
        </w:sectPr>
      </w:pPr>
    </w:p>
    <w:p>
      <w:pPr>
        <w:pStyle w:val="Heading4"/>
        <w:tabs>
          <w:tab w:pos="8811" w:val="left" w:leader="dot"/>
        </w:tabs>
        <w:spacing w:before="123"/>
        <w:ind w:left="118" w:firstLine="0"/>
      </w:pPr>
      <w:r>
        <w:rPr/>
        <w:t>如实告知</w:t>
        <w:tab/>
        <w:t>5.1</w:t>
      </w:r>
    </w:p>
    <w:p>
      <w:pPr>
        <w:pStyle w:val="BodyText"/>
        <w:spacing w:before="47"/>
      </w:pPr>
      <w:r>
        <w:rPr/>
        <w:t>您有如实告知的义务。若您故意或因重大过失未履行如实告知的义务，可能严重影响您的权益。</w:t>
      </w:r>
    </w:p>
    <w:p>
      <w:pPr>
        <w:pStyle w:val="BodyText"/>
        <w:spacing w:before="8"/>
        <w:ind w:left="0"/>
        <w:rPr>
          <w:sz w:val="25"/>
        </w:rPr>
      </w:pPr>
    </w:p>
    <w:p>
      <w:pPr>
        <w:pStyle w:val="Heading4"/>
        <w:tabs>
          <w:tab w:pos="8813" w:val="left" w:leader="dot"/>
        </w:tabs>
        <w:ind w:left="118" w:firstLine="0"/>
      </w:pPr>
      <w:r>
        <w:rPr/>
        <w:t>按时交纳保险费</w:t>
        <w:tab/>
        <w:t>6.1</w:t>
      </w:r>
    </w:p>
    <w:p>
      <w:pPr>
        <w:pStyle w:val="BodyText"/>
        <w:spacing w:line="266" w:lineRule="auto" w:before="47"/>
        <w:ind w:right="216"/>
      </w:pPr>
      <w:r>
        <w:rPr/>
        <w:t>您应按时交纳保险费。若超过宽限期您仍未交纳保险费，则本附加合同效力中止，中止期间我们将不承担保险责任。</w:t>
      </w:r>
    </w:p>
    <w:p>
      <w:pPr>
        <w:pStyle w:val="BodyText"/>
        <w:spacing w:before="10"/>
        <w:ind w:left="0"/>
        <w:rPr>
          <w:sz w:val="23"/>
        </w:rPr>
      </w:pPr>
    </w:p>
    <w:p>
      <w:pPr>
        <w:pStyle w:val="Heading4"/>
        <w:tabs>
          <w:tab w:pos="8815" w:val="left" w:leader="dot"/>
        </w:tabs>
        <w:ind w:left="118" w:firstLine="0"/>
      </w:pPr>
      <w:r>
        <w:rPr/>
        <w:t>及时通知保险事故</w:t>
        <w:tab/>
        <w:t>8.1</w:t>
      </w:r>
    </w:p>
    <w:p>
      <w:pPr>
        <w:pStyle w:val="BodyText"/>
        <w:spacing w:line="268" w:lineRule="auto" w:before="47"/>
        <w:ind w:right="216"/>
      </w:pPr>
      <w:r>
        <w:rPr/>
        <w:t>被保险人发生保险事故后，您或受益人应该及时通知我们。若未及时通知，可能导致我们难以确定保险事故的性质、原因、损失程度等，并影响到您的权益。</w:t>
      </w:r>
    </w:p>
    <w:p>
      <w:pPr>
        <w:pStyle w:val="BodyText"/>
        <w:spacing w:before="11"/>
        <w:ind w:left="0"/>
        <w:rPr>
          <w:sz w:val="19"/>
        </w:rPr>
      </w:pPr>
    </w:p>
    <w:p>
      <w:pPr>
        <w:pStyle w:val="Heading2"/>
        <w:spacing w:line="240" w:lineRule="auto" w:before="1"/>
      </w:pPr>
      <w:r>
        <w:rPr>
          <w:b w:val="0"/>
        </w:rPr>
        <w:t>※ </w:t>
      </w:r>
      <w:r>
        <w:rPr/>
        <w:t>您应特别注意的事项</w:t>
      </w:r>
    </w:p>
    <w:p>
      <w:pPr>
        <w:pStyle w:val="BodyText"/>
        <w:spacing w:before="6"/>
        <w:ind w:left="0"/>
        <w:rPr>
          <w:b/>
          <w:sz w:val="24"/>
        </w:rPr>
      </w:pPr>
    </w:p>
    <w:p>
      <w:pPr>
        <w:pStyle w:val="Heading4"/>
        <w:ind w:left="118" w:firstLine="0"/>
      </w:pPr>
      <w:r>
        <w:rPr>
          <w:spacing w:val="-1"/>
        </w:rPr>
        <w:t>本附加合同与《陆家嘴国泰美裕人生两全保险（</w:t>
      </w:r>
      <w:r>
        <w:rPr>
          <w:spacing w:val="-2"/>
        </w:rPr>
        <w:t>分红型</w:t>
      </w:r>
      <w:r>
        <w:rPr>
          <w:spacing w:val="-111"/>
        </w:rPr>
        <w:t>）</w:t>
      </w:r>
      <w:r>
        <w:rPr>
          <w:spacing w:val="-1"/>
        </w:rPr>
        <w:t>》合同的关系</w:t>
      </w:r>
    </w:p>
    <w:p>
      <w:pPr>
        <w:pStyle w:val="BodyText"/>
        <w:spacing w:line="268" w:lineRule="auto" w:before="30"/>
        <w:ind w:right="213"/>
      </w:pPr>
      <w:r>
        <w:rPr>
          <w:spacing w:val="-6"/>
        </w:rPr>
        <w:t>本附加合同须与《陆家嘴国泰美裕人生两全保险</w:t>
      </w:r>
      <w:r>
        <w:rPr/>
        <w:t>（</w:t>
      </w:r>
      <w:r>
        <w:rPr>
          <w:spacing w:val="-2"/>
        </w:rPr>
        <w:t>分红型</w:t>
      </w:r>
      <w:r>
        <w:rPr>
          <w:spacing w:val="-111"/>
        </w:rPr>
        <w:t>）</w:t>
      </w:r>
      <w:r>
        <w:rPr>
          <w:spacing w:val="-7"/>
        </w:rPr>
        <w:t>》合同一并投保、撤销、退保、申请复效，且本附加合同与《陆家嘴国泰美裕人生两全保险</w:t>
      </w:r>
      <w:r>
        <w:rPr>
          <w:spacing w:val="-3"/>
        </w:rPr>
        <w:t>（</w:t>
      </w:r>
      <w:r>
        <w:rPr>
          <w:spacing w:val="-2"/>
        </w:rPr>
        <w:t>分红型</w:t>
      </w:r>
      <w:r>
        <w:rPr>
          <w:spacing w:val="-111"/>
        </w:rPr>
        <w:t>）</w:t>
      </w:r>
      <w:r>
        <w:rPr>
          <w:spacing w:val="-6"/>
        </w:rPr>
        <w:t>》合同中，任一合同效力中止</w:t>
      </w:r>
    </w:p>
    <w:p>
      <w:pPr>
        <w:pStyle w:val="BodyText"/>
        <w:spacing w:line="266" w:lineRule="auto" w:before="4"/>
        <w:ind w:right="215"/>
      </w:pPr>
      <w:r>
        <w:rPr/>
        <w:t>\终止的，则另一合同效力一并中止\</w:t>
      </w:r>
      <w:r>
        <w:rPr>
          <w:spacing w:val="-12"/>
        </w:rPr>
        <w:t>终止。《陆家嘴国泰美裕人生两全保险</w:t>
      </w:r>
      <w:r>
        <w:rPr/>
        <w:t>（分红型</w:t>
      </w:r>
      <w:r>
        <w:rPr>
          <w:spacing w:val="-109"/>
        </w:rPr>
        <w:t>）</w:t>
      </w:r>
      <w:r>
        <w:rPr/>
        <w:t>》合同减</w:t>
      </w:r>
      <w:r>
        <w:rPr>
          <w:spacing w:val="-3"/>
        </w:rPr>
        <w:t>额交清的，本附加合同效力终止。</w:t>
      </w:r>
    </w:p>
    <w:p>
      <w:pPr>
        <w:pStyle w:val="BodyText"/>
        <w:spacing w:before="1"/>
        <w:ind w:left="0"/>
        <w:rPr>
          <w:sz w:val="25"/>
        </w:rPr>
      </w:pPr>
    </w:p>
    <w:p>
      <w:pPr>
        <w:pStyle w:val="Heading4"/>
        <w:tabs>
          <w:tab w:pos="8808" w:val="left" w:leader="dot"/>
        </w:tabs>
        <w:ind w:left="118" w:firstLine="0"/>
      </w:pPr>
      <w:r>
        <w:rPr/>
        <w:t>释义</w:t>
        <w:tab/>
        <w:t>1.1</w:t>
      </w:r>
    </w:p>
    <w:p>
      <w:pPr>
        <w:pStyle w:val="BodyText"/>
        <w:spacing w:before="47"/>
      </w:pPr>
      <w:r>
        <w:rPr/>
        <w:t>我们在每页底部对一些专业名词进行了释义，并做了显著标识，释义为条款的重要组成部分。</w:t>
      </w:r>
    </w:p>
    <w:p>
      <w:pPr>
        <w:pStyle w:val="BodyText"/>
        <w:spacing w:before="8"/>
        <w:ind w:left="0"/>
        <w:rPr>
          <w:sz w:val="25"/>
        </w:rPr>
      </w:pPr>
    </w:p>
    <w:p>
      <w:pPr>
        <w:pStyle w:val="BodyText"/>
        <w:spacing w:line="273" w:lineRule="auto" w:before="0"/>
        <w:ind w:right="215"/>
        <w:jc w:val="both"/>
      </w:pPr>
      <w:r>
        <w:rPr>
          <w:b/>
          <w:spacing w:val="-6"/>
        </w:rPr>
        <w:t>等待期 </w:t>
      </w:r>
      <w:r>
        <w:rPr>
          <w:color w:val="999999"/>
        </w:rPr>
        <w:t>…………………………………………………………………………………………</w:t>
      </w:r>
      <w:r>
        <w:rPr>
          <w:b/>
        </w:rPr>
        <w:t>3.1</w:t>
      </w:r>
      <w:r>
        <w:rPr>
          <w:b/>
          <w:spacing w:val="-70"/>
        </w:rPr>
        <w:t>、</w:t>
      </w:r>
      <w:r>
        <w:rPr>
          <w:b/>
        </w:rPr>
        <w:t>3.2 </w:t>
      </w:r>
      <w:r>
        <w:rPr/>
        <w:t>本附加合同生效或复效后九十日为等待期，在等待期内发生重大疾病或特定疾病的，我们将不</w:t>
      </w:r>
      <w:r>
        <w:rPr>
          <w:spacing w:val="-3"/>
        </w:rPr>
        <w:t>承担保险责任，合同效力终止。</w:t>
      </w:r>
    </w:p>
    <w:p>
      <w:pPr>
        <w:pStyle w:val="BodyText"/>
        <w:spacing w:before="5"/>
        <w:ind w:left="0"/>
        <w:rPr>
          <w:sz w:val="24"/>
        </w:rPr>
      </w:pPr>
    </w:p>
    <w:p>
      <w:pPr>
        <w:pStyle w:val="Heading4"/>
        <w:tabs>
          <w:tab w:pos="8811" w:val="left" w:leader="dot"/>
        </w:tabs>
        <w:ind w:left="118" w:firstLine="0"/>
      </w:pPr>
      <w:r>
        <w:rPr/>
        <w:t>重大疾病</w:t>
        <w:tab/>
        <w:t>3.3</w:t>
      </w:r>
    </w:p>
    <w:p>
      <w:pPr>
        <w:pStyle w:val="BodyText"/>
        <w:spacing w:line="266" w:lineRule="auto" w:before="33"/>
        <w:ind w:right="213"/>
      </w:pPr>
      <w:r>
        <w:rPr>
          <w:spacing w:val="-8"/>
        </w:rPr>
        <w:t>我们对本附加合同约定的 </w:t>
      </w:r>
      <w:r>
        <w:rPr/>
        <w:t>32</w:t>
      </w:r>
      <w:r>
        <w:rPr>
          <w:spacing w:val="-12"/>
        </w:rPr>
        <w:t> 种重大疾病提供保障，请注意重大疾病的约定，尤其是不保障部分</w:t>
      </w:r>
      <w:r>
        <w:rPr>
          <w:spacing w:val="-2"/>
        </w:rPr>
        <w:t>内容。</w:t>
      </w:r>
    </w:p>
    <w:p>
      <w:pPr>
        <w:pStyle w:val="BodyText"/>
        <w:spacing w:before="1"/>
        <w:ind w:left="0"/>
        <w:rPr>
          <w:sz w:val="25"/>
        </w:rPr>
      </w:pPr>
    </w:p>
    <w:p>
      <w:pPr>
        <w:pStyle w:val="Heading4"/>
        <w:tabs>
          <w:tab w:pos="8811" w:val="left" w:leader="dot"/>
        </w:tabs>
        <w:ind w:left="118" w:firstLine="0"/>
      </w:pPr>
      <w:r>
        <w:rPr/>
        <w:t>特定疾病</w:t>
        <w:tab/>
        <w:t>3.4</w:t>
      </w:r>
    </w:p>
    <w:p>
      <w:pPr>
        <w:pStyle w:val="BodyText"/>
        <w:spacing w:line="266" w:lineRule="auto"/>
        <w:ind w:right="213"/>
      </w:pPr>
      <w:r>
        <w:rPr>
          <w:spacing w:val="-8"/>
        </w:rPr>
        <w:t>我们对本附加合同约定的 </w:t>
      </w:r>
      <w:r>
        <w:rPr/>
        <w:t>10</w:t>
      </w:r>
      <w:r>
        <w:rPr>
          <w:spacing w:val="-12"/>
        </w:rPr>
        <w:t> 种特定疾病提供保障，请注意特定疾病的约定，尤其是不保障部分</w:t>
      </w:r>
      <w:r>
        <w:rPr>
          <w:spacing w:val="-2"/>
        </w:rPr>
        <w:t>内容。</w:t>
      </w:r>
    </w:p>
    <w:p>
      <w:pPr>
        <w:pStyle w:val="BodyText"/>
        <w:spacing w:before="10"/>
        <w:ind w:left="0"/>
        <w:rPr>
          <w:sz w:val="23"/>
        </w:rPr>
      </w:pPr>
    </w:p>
    <w:p>
      <w:pPr>
        <w:pStyle w:val="Heading4"/>
        <w:tabs>
          <w:tab w:pos="8811" w:val="left" w:leader="dot"/>
        </w:tabs>
        <w:spacing w:before="1"/>
        <w:ind w:left="118" w:firstLine="0"/>
      </w:pPr>
      <w:r>
        <w:rPr/>
        <w:t>责任免除</w:t>
        <w:tab/>
        <w:t>4.1</w:t>
      </w:r>
    </w:p>
    <w:p>
      <w:pPr>
        <w:pStyle w:val="BodyText"/>
        <w:spacing w:before="48"/>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67" w:val="left" w:leader="none"/>
          <w:tab w:pos="6711" w:val="left" w:leader="none"/>
        </w:tabs>
        <w:spacing w:before="192"/>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580" w:bottom="280" w:left="1300" w:right="1200"/>
        </w:sectPr>
      </w:pPr>
    </w:p>
    <w:p>
      <w:pPr>
        <w:spacing w:line="438" w:lineRule="exact" w:before="0"/>
        <w:ind w:left="3224" w:right="3224" w:firstLine="0"/>
        <w:jc w:val="center"/>
        <w:rPr>
          <w:b/>
          <w:sz w:val="36"/>
        </w:rPr>
      </w:pPr>
      <w:r>
        <w:rPr>
          <w:b/>
          <w:w w:val="95"/>
          <w:sz w:val="36"/>
        </w:rPr>
        <w:t>【条款目录】</w:t>
      </w:r>
    </w:p>
    <w:p>
      <w:pPr>
        <w:pStyle w:val="BodyText"/>
        <w:spacing w:before="1"/>
        <w:ind w:left="0"/>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spacing w:val="-1"/>
          <w:sz w:val="22"/>
        </w:rPr>
        <w:t>7.合同效力的中止和</w:t>
      </w:r>
      <w:r>
        <w:rPr>
          <w:b/>
          <w:sz w:val="22"/>
        </w:rPr>
        <w:t>恢复</w:t>
      </w:r>
    </w:p>
    <w:p>
      <w:pPr>
        <w:pStyle w:val="BodyText"/>
        <w:tabs>
          <w:tab w:pos="4667" w:val="left" w:leader="none"/>
        </w:tabs>
        <w:spacing w:before="33"/>
        <w:ind w:left="331"/>
      </w:pPr>
      <w:r>
        <w:rPr/>
        <w:t>1.1 释义</w:t>
        <w:tab/>
        <w:t>7.1</w:t>
      </w:r>
      <w:r>
        <w:rPr>
          <w:spacing w:val="-1"/>
        </w:rPr>
        <w:t> </w:t>
      </w:r>
      <w:r>
        <w:rPr/>
        <w:t>合</w:t>
      </w:r>
      <w:r>
        <w:rPr>
          <w:spacing w:val="-3"/>
        </w:rPr>
        <w:t>同</w:t>
      </w:r>
      <w:r>
        <w:rPr/>
        <w:t>效力</w:t>
      </w:r>
      <w:r>
        <w:rPr>
          <w:spacing w:val="-3"/>
        </w:rPr>
        <w:t>的</w:t>
      </w:r>
      <w:r>
        <w:rPr/>
        <w:t>中止</w:t>
      </w:r>
    </w:p>
    <w:p>
      <w:pPr>
        <w:pStyle w:val="BodyText"/>
        <w:ind w:left="4668"/>
      </w:pPr>
      <w:r>
        <w:rPr/>
        <w:t>7.2 合同效力的恢复</w:t>
      </w:r>
    </w:p>
    <w:p>
      <w:pPr>
        <w:pStyle w:val="Heading4"/>
        <w:spacing w:before="31"/>
        <w:ind w:left="112" w:firstLine="0"/>
      </w:pPr>
      <w:r>
        <w:rPr/>
        <w:t>2.您与我们订立的合同</w:t>
      </w:r>
    </w:p>
    <w:p>
      <w:pPr>
        <w:pStyle w:val="ListParagraph"/>
        <w:numPr>
          <w:ilvl w:val="1"/>
          <w:numId w:val="1"/>
        </w:numPr>
        <w:tabs>
          <w:tab w:pos="773" w:val="left" w:leader="none"/>
          <w:tab w:pos="4447" w:val="left" w:leader="none"/>
        </w:tabs>
        <w:spacing w:line="240" w:lineRule="auto" w:before="33" w:after="0"/>
        <w:ind w:left="772" w:right="0" w:hanging="441"/>
        <w:jc w:val="left"/>
        <w:rPr>
          <w:b/>
          <w:sz w:val="22"/>
        </w:rPr>
      </w:pPr>
      <w:r>
        <w:rPr>
          <w:sz w:val="22"/>
        </w:rPr>
        <w:t>合</w:t>
      </w:r>
      <w:r>
        <w:rPr>
          <w:spacing w:val="-3"/>
          <w:sz w:val="22"/>
        </w:rPr>
        <w:t>同</w:t>
      </w:r>
      <w:r>
        <w:rPr>
          <w:sz w:val="22"/>
        </w:rPr>
        <w:t>的构成</w:t>
        <w:tab/>
      </w:r>
      <w:r>
        <w:rPr>
          <w:b/>
          <w:spacing w:val="-1"/>
          <w:sz w:val="22"/>
        </w:rPr>
        <w:t>8.</w:t>
      </w:r>
      <w:r>
        <w:rPr>
          <w:b/>
          <w:spacing w:val="-1"/>
          <w:sz w:val="22"/>
          <w:u w:val="single"/>
        </w:rPr>
        <w:t>保险金的</w:t>
      </w:r>
      <w:r>
        <w:rPr>
          <w:b/>
          <w:sz w:val="22"/>
          <w:u w:val="single"/>
        </w:rPr>
        <w:t>申请</w:t>
      </w:r>
    </w:p>
    <w:p>
      <w:pPr>
        <w:pStyle w:val="ListParagraph"/>
        <w:numPr>
          <w:ilvl w:val="1"/>
          <w:numId w:val="1"/>
        </w:numPr>
        <w:tabs>
          <w:tab w:pos="773" w:val="left" w:leader="none"/>
          <w:tab w:pos="4667" w:val="left" w:leader="none"/>
        </w:tabs>
        <w:spacing w:line="240" w:lineRule="auto" w:before="30" w:after="0"/>
        <w:ind w:left="772" w:right="0" w:hanging="441"/>
        <w:jc w:val="left"/>
        <w:rPr>
          <w:sz w:val="22"/>
        </w:rPr>
      </w:pPr>
      <w:r>
        <w:rPr>
          <w:sz w:val="22"/>
        </w:rPr>
        <w:t>投</w:t>
      </w:r>
      <w:r>
        <w:rPr>
          <w:spacing w:val="-3"/>
          <w:sz w:val="22"/>
        </w:rPr>
        <w:t>保</w:t>
      </w:r>
      <w:r>
        <w:rPr>
          <w:sz w:val="22"/>
        </w:rPr>
        <w:t>范围</w:t>
        <w:tab/>
        <w:t>8.1</w:t>
      </w:r>
      <w:r>
        <w:rPr>
          <w:spacing w:val="-1"/>
          <w:sz w:val="22"/>
        </w:rPr>
        <w:t> </w:t>
      </w:r>
      <w:r>
        <w:rPr>
          <w:sz w:val="22"/>
        </w:rPr>
        <w:t>保</w:t>
      </w:r>
      <w:r>
        <w:rPr>
          <w:spacing w:val="-3"/>
          <w:sz w:val="22"/>
        </w:rPr>
        <w:t>险</w:t>
      </w:r>
      <w:r>
        <w:rPr>
          <w:sz w:val="22"/>
        </w:rPr>
        <w:t>事故</w:t>
      </w:r>
      <w:r>
        <w:rPr>
          <w:spacing w:val="-3"/>
          <w:sz w:val="22"/>
        </w:rPr>
        <w:t>的</w:t>
      </w:r>
      <w:r>
        <w:rPr>
          <w:sz w:val="22"/>
        </w:rPr>
        <w:t>通知</w:t>
      </w:r>
    </w:p>
    <w:p>
      <w:pPr>
        <w:pStyle w:val="ListParagraph"/>
        <w:numPr>
          <w:ilvl w:val="1"/>
          <w:numId w:val="1"/>
        </w:numPr>
        <w:tabs>
          <w:tab w:pos="773" w:val="left" w:leader="none"/>
          <w:tab w:pos="4667" w:val="left" w:leader="none"/>
        </w:tabs>
        <w:spacing w:line="240" w:lineRule="auto" w:before="30" w:after="0"/>
        <w:ind w:left="772" w:right="0" w:hanging="441"/>
        <w:jc w:val="left"/>
        <w:rPr>
          <w:sz w:val="22"/>
        </w:rPr>
      </w:pPr>
      <w:r>
        <w:rPr>
          <w:sz w:val="22"/>
        </w:rPr>
        <w:t>合</w:t>
      </w:r>
      <w:r>
        <w:rPr>
          <w:spacing w:val="-3"/>
          <w:sz w:val="22"/>
        </w:rPr>
        <w:t>同</w:t>
      </w:r>
      <w:r>
        <w:rPr>
          <w:sz w:val="22"/>
        </w:rPr>
        <w:t>生效</w:t>
        <w:tab/>
        <w:t>8.2</w:t>
      </w:r>
      <w:r>
        <w:rPr>
          <w:spacing w:val="-1"/>
          <w:sz w:val="22"/>
        </w:rPr>
        <w:t> </w:t>
      </w:r>
      <w:r>
        <w:rPr>
          <w:sz w:val="22"/>
        </w:rPr>
        <w:t>保</w:t>
      </w:r>
      <w:r>
        <w:rPr>
          <w:spacing w:val="-3"/>
          <w:sz w:val="22"/>
        </w:rPr>
        <w:t>险</w:t>
      </w:r>
      <w:r>
        <w:rPr>
          <w:sz w:val="22"/>
        </w:rPr>
        <w:t>金的</w:t>
      </w:r>
      <w:r>
        <w:rPr>
          <w:spacing w:val="-3"/>
          <w:sz w:val="22"/>
        </w:rPr>
        <w:t>申</w:t>
      </w:r>
      <w:r>
        <w:rPr>
          <w:sz w:val="22"/>
        </w:rPr>
        <w:t>请</w:t>
      </w:r>
    </w:p>
    <w:p>
      <w:pPr>
        <w:pStyle w:val="ListParagraph"/>
        <w:numPr>
          <w:ilvl w:val="1"/>
          <w:numId w:val="1"/>
        </w:numPr>
        <w:tabs>
          <w:tab w:pos="773" w:val="left" w:leader="none"/>
          <w:tab w:pos="4667" w:val="left" w:leader="none"/>
        </w:tabs>
        <w:spacing w:line="240" w:lineRule="auto" w:before="33" w:after="0"/>
        <w:ind w:left="772" w:right="0" w:hanging="441"/>
        <w:jc w:val="left"/>
        <w:rPr>
          <w:sz w:val="22"/>
        </w:rPr>
      </w:pPr>
      <w:r>
        <w:rPr>
          <w:sz w:val="22"/>
        </w:rPr>
        <w:t>保</w:t>
      </w:r>
      <w:r>
        <w:rPr>
          <w:spacing w:val="-3"/>
          <w:sz w:val="22"/>
        </w:rPr>
        <w:t>险</w:t>
      </w:r>
      <w:r>
        <w:rPr>
          <w:sz w:val="22"/>
        </w:rPr>
        <w:t>期间</w:t>
        <w:tab/>
        <w:t>8.3</w:t>
      </w:r>
      <w:r>
        <w:rPr>
          <w:spacing w:val="-2"/>
          <w:sz w:val="22"/>
        </w:rPr>
        <w:t> </w:t>
      </w:r>
      <w:r>
        <w:rPr>
          <w:sz w:val="22"/>
        </w:rPr>
        <w:t>诉</w:t>
      </w:r>
      <w:r>
        <w:rPr>
          <w:spacing w:val="-3"/>
          <w:sz w:val="22"/>
        </w:rPr>
        <w:t>讼</w:t>
      </w:r>
      <w:r>
        <w:rPr>
          <w:sz w:val="22"/>
        </w:rPr>
        <w:t>时效</w:t>
      </w:r>
    </w:p>
    <w:p>
      <w:pPr>
        <w:pStyle w:val="ListParagraph"/>
        <w:numPr>
          <w:ilvl w:val="1"/>
          <w:numId w:val="1"/>
        </w:numPr>
        <w:tabs>
          <w:tab w:pos="773" w:val="left" w:leader="none"/>
          <w:tab w:pos="4667" w:val="left" w:leader="none"/>
        </w:tabs>
        <w:spacing w:line="240" w:lineRule="auto" w:before="31" w:after="0"/>
        <w:ind w:left="772" w:right="0" w:hanging="441"/>
        <w:jc w:val="left"/>
        <w:rPr>
          <w:sz w:val="22"/>
        </w:rPr>
      </w:pPr>
      <w:r>
        <w:rPr>
          <w:sz w:val="22"/>
          <w:u w:val="single"/>
        </w:rPr>
        <w:t>合</w:t>
      </w:r>
      <w:r>
        <w:rPr>
          <w:spacing w:val="-3"/>
          <w:sz w:val="22"/>
          <w:u w:val="single"/>
        </w:rPr>
        <w:t>同</w:t>
      </w:r>
      <w:r>
        <w:rPr>
          <w:sz w:val="22"/>
          <w:u w:val="single"/>
        </w:rPr>
        <w:t>的撤销</w:t>
      </w:r>
      <w:r>
        <w:rPr>
          <w:sz w:val="22"/>
        </w:rPr>
        <w:tab/>
        <w:t>8.4</w:t>
      </w:r>
      <w:r>
        <w:rPr>
          <w:spacing w:val="-1"/>
          <w:sz w:val="22"/>
        </w:rPr>
        <w:t> </w:t>
      </w:r>
      <w:r>
        <w:rPr>
          <w:sz w:val="22"/>
        </w:rPr>
        <w:t>保</w:t>
      </w:r>
      <w:r>
        <w:rPr>
          <w:spacing w:val="-3"/>
          <w:sz w:val="22"/>
        </w:rPr>
        <w:t>险</w:t>
      </w:r>
      <w:r>
        <w:rPr>
          <w:sz w:val="22"/>
        </w:rPr>
        <w:t>金的</w:t>
      </w:r>
      <w:r>
        <w:rPr>
          <w:spacing w:val="-3"/>
          <w:sz w:val="22"/>
        </w:rPr>
        <w:t>给</w:t>
      </w:r>
      <w:r>
        <w:rPr>
          <w:sz w:val="22"/>
        </w:rPr>
        <w:t>付</w:t>
      </w:r>
    </w:p>
    <w:p>
      <w:pPr>
        <w:pStyle w:val="BodyText"/>
        <w:spacing w:before="5"/>
        <w:ind w:left="0"/>
        <w:rPr>
          <w:sz w:val="25"/>
        </w:rPr>
      </w:pPr>
    </w:p>
    <w:p>
      <w:pPr>
        <w:pStyle w:val="Heading4"/>
        <w:tabs>
          <w:tab w:pos="4447" w:val="left" w:leader="none"/>
        </w:tabs>
        <w:ind w:left="112" w:firstLine="0"/>
      </w:pPr>
      <w:r>
        <w:rPr>
          <w:position w:val="2"/>
        </w:rPr>
        <w:t>3.</w:t>
      </w:r>
      <w:r>
        <w:rPr>
          <w:position w:val="2"/>
          <w:u w:val="single"/>
        </w:rPr>
        <w:t>我们提供的保障</w:t>
      </w:r>
      <w:r>
        <w:rPr>
          <w:position w:val="2"/>
        </w:rPr>
        <w:tab/>
      </w:r>
      <w:r>
        <w:rPr>
          <w:spacing w:val="-1"/>
          <w:w w:val="95"/>
        </w:rPr>
        <w:t>9.受</w:t>
      </w:r>
      <w:r>
        <w:rPr>
          <w:w w:val="95"/>
        </w:rPr>
        <w:t>益人</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r>
      <w:r>
        <w:rPr>
          <w:spacing w:val="-3"/>
          <w:position w:val="2"/>
          <w:sz w:val="22"/>
        </w:rPr>
        <w:t>保</w:t>
      </w:r>
      <w:r>
        <w:rPr>
          <w:position w:val="2"/>
          <w:sz w:val="22"/>
        </w:rPr>
        <w:t>险金</w:t>
        <w:tab/>
      </w:r>
      <w:r>
        <w:rPr>
          <w:sz w:val="22"/>
        </w:rPr>
        <w:t>9.1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特</w:t>
      </w:r>
      <w:r>
        <w:rPr>
          <w:spacing w:val="-3"/>
          <w:position w:val="2"/>
          <w:sz w:val="22"/>
        </w:rPr>
        <w:t>定</w:t>
      </w:r>
      <w:r>
        <w:rPr>
          <w:position w:val="2"/>
          <w:sz w:val="22"/>
        </w:rPr>
        <w:t>疾病</w:t>
      </w:r>
      <w:r>
        <w:rPr>
          <w:spacing w:val="-3"/>
          <w:position w:val="2"/>
          <w:sz w:val="22"/>
        </w:rPr>
        <w:t>保</w:t>
      </w:r>
      <w:r>
        <w:rPr>
          <w:position w:val="2"/>
          <w:sz w:val="22"/>
        </w:rPr>
        <w:t>险金</w:t>
        <w:tab/>
      </w:r>
      <w:r>
        <w:rPr>
          <w:sz w:val="22"/>
        </w:rPr>
        <w:t>9.2 保</w:t>
      </w:r>
      <w:r>
        <w:rPr>
          <w:spacing w:val="-3"/>
          <w:sz w:val="22"/>
        </w:rPr>
        <w:t>险</w:t>
      </w:r>
      <w:r>
        <w:rPr>
          <w:sz w:val="22"/>
        </w:rPr>
        <w:t>金转</w:t>
      </w:r>
      <w:r>
        <w:rPr>
          <w:spacing w:val="-3"/>
          <w:sz w:val="22"/>
        </w:rPr>
        <w:t>变</w:t>
      </w:r>
      <w:r>
        <w:rPr>
          <w:sz w:val="22"/>
        </w:rPr>
        <w:t>为遗</w:t>
      </w:r>
      <w:r>
        <w:rPr>
          <w:spacing w:val="-3"/>
          <w:sz w:val="22"/>
        </w:rPr>
        <w:t>产</w:t>
      </w:r>
      <w:r>
        <w:rPr>
          <w:sz w:val="22"/>
        </w:rPr>
        <w:t>的处理</w:t>
      </w:r>
    </w:p>
    <w:p>
      <w:pPr>
        <w:pStyle w:val="ListParagraph"/>
        <w:numPr>
          <w:ilvl w:val="1"/>
          <w:numId w:val="2"/>
        </w:numPr>
        <w:tabs>
          <w:tab w:pos="773" w:val="left" w:leader="none"/>
        </w:tabs>
        <w:spacing w:line="240" w:lineRule="auto" w:before="16" w:after="0"/>
        <w:ind w:left="772" w:right="0" w:hanging="439"/>
        <w:jc w:val="left"/>
        <w:rPr>
          <w:sz w:val="22"/>
        </w:rPr>
      </w:pPr>
      <w:r>
        <w:rPr>
          <w:spacing w:val="-2"/>
          <w:sz w:val="22"/>
        </w:rPr>
        <w:t>重大疾病</w:t>
      </w:r>
    </w:p>
    <w:p>
      <w:pPr>
        <w:pStyle w:val="ListParagraph"/>
        <w:numPr>
          <w:ilvl w:val="1"/>
          <w:numId w:val="2"/>
        </w:numPr>
        <w:tabs>
          <w:tab w:pos="773" w:val="left" w:leader="none"/>
          <w:tab w:pos="4447" w:val="left" w:leader="none"/>
        </w:tabs>
        <w:spacing w:line="240" w:lineRule="auto" w:before="27" w:after="0"/>
        <w:ind w:left="772" w:right="0" w:hanging="439"/>
        <w:jc w:val="left"/>
        <w:rPr>
          <w:b/>
          <w:sz w:val="22"/>
        </w:rPr>
      </w:pPr>
      <w:r>
        <w:rPr>
          <w:position w:val="2"/>
          <w:sz w:val="22"/>
        </w:rPr>
        <w:t>特</w:t>
      </w:r>
      <w:r>
        <w:rPr>
          <w:spacing w:val="-3"/>
          <w:position w:val="2"/>
          <w:sz w:val="22"/>
        </w:rPr>
        <w:t>定</w:t>
      </w:r>
      <w:r>
        <w:rPr>
          <w:position w:val="2"/>
          <w:sz w:val="22"/>
        </w:rPr>
        <w:t>疾病</w:t>
        <w:tab/>
      </w:r>
      <w:r>
        <w:rPr>
          <w:b/>
          <w:spacing w:val="-1"/>
          <w:sz w:val="22"/>
        </w:rPr>
        <w:t>10.</w:t>
      </w:r>
      <w:r>
        <w:rPr>
          <w:b/>
          <w:spacing w:val="-1"/>
          <w:sz w:val="22"/>
          <w:u w:val="single"/>
        </w:rPr>
        <w:t>合同解除和效力</w:t>
      </w:r>
      <w:r>
        <w:rPr>
          <w:b/>
          <w:sz w:val="22"/>
          <w:u w:val="single"/>
        </w:rPr>
        <w:t>终止</w:t>
      </w:r>
    </w:p>
    <w:p>
      <w:pPr>
        <w:pStyle w:val="BodyText"/>
        <w:spacing w:before="30"/>
        <w:ind w:left="4668"/>
      </w:pPr>
      <w:r>
        <w:rPr/>
        <w:t>10.1 您解除合同的手续及风险</w:t>
      </w:r>
    </w:p>
    <w:p>
      <w:pPr>
        <w:tabs>
          <w:tab w:pos="4667" w:val="left" w:leader="none"/>
        </w:tabs>
        <w:spacing w:before="13"/>
        <w:ind w:left="112" w:right="0" w:firstLine="0"/>
        <w:jc w:val="left"/>
        <w:rPr>
          <w:sz w:val="22"/>
        </w:rPr>
      </w:pPr>
      <w:r>
        <w:rPr>
          <w:b/>
          <w:position w:val="2"/>
          <w:sz w:val="22"/>
        </w:rPr>
        <w:t>4.</w:t>
      </w:r>
      <w:r>
        <w:rPr>
          <w:b/>
          <w:position w:val="2"/>
          <w:sz w:val="22"/>
          <w:u w:val="single"/>
        </w:rPr>
        <w:t>责任免除</w:t>
      </w:r>
      <w:r>
        <w:rPr>
          <w:b/>
          <w:position w:val="2"/>
          <w:sz w:val="22"/>
        </w:rPr>
        <w:tab/>
      </w:r>
      <w:r>
        <w:rPr>
          <w:sz w:val="22"/>
        </w:rPr>
        <w:t>10.2</w:t>
      </w:r>
      <w:r>
        <w:rPr>
          <w:spacing w:val="-1"/>
          <w:sz w:val="22"/>
        </w:rPr>
        <w:t> </w:t>
      </w:r>
      <w:r>
        <w:rPr>
          <w:sz w:val="22"/>
        </w:rPr>
        <w:t>合</w:t>
      </w:r>
      <w:r>
        <w:rPr>
          <w:spacing w:val="-3"/>
          <w:sz w:val="22"/>
        </w:rPr>
        <w:t>同</w:t>
      </w:r>
      <w:r>
        <w:rPr>
          <w:sz w:val="22"/>
        </w:rPr>
        <w:t>效力</w:t>
      </w:r>
      <w:r>
        <w:rPr>
          <w:spacing w:val="-3"/>
          <w:sz w:val="22"/>
        </w:rPr>
        <w:t>的</w:t>
      </w:r>
      <w:r>
        <w:rPr>
          <w:sz w:val="22"/>
        </w:rPr>
        <w:t>终止</w:t>
      </w:r>
    </w:p>
    <w:p>
      <w:pPr>
        <w:pStyle w:val="BodyText"/>
        <w:spacing w:before="14"/>
        <w:ind w:left="331"/>
      </w:pPr>
      <w:r>
        <w:rPr/>
        <w:t>4.1 责任免除</w:t>
      </w:r>
    </w:p>
    <w:p>
      <w:pPr>
        <w:pStyle w:val="Heading4"/>
        <w:spacing w:before="47"/>
        <w:ind w:left="4447" w:firstLine="0"/>
      </w:pPr>
      <w:r>
        <w:rPr/>
        <w:t>11.其他您应注意的事项</w:t>
      </w:r>
    </w:p>
    <w:p>
      <w:pPr>
        <w:tabs>
          <w:tab w:pos="4667" w:val="left" w:leader="none"/>
        </w:tabs>
        <w:spacing w:before="13"/>
        <w:ind w:left="112" w:right="0" w:firstLine="0"/>
        <w:jc w:val="left"/>
        <w:rPr>
          <w:sz w:val="22"/>
        </w:rPr>
      </w:pPr>
      <w:r>
        <w:rPr>
          <w:b/>
          <w:position w:val="2"/>
          <w:sz w:val="22"/>
        </w:rPr>
        <w:t>5.</w:t>
      </w:r>
      <w:r>
        <w:rPr>
          <w:b/>
          <w:position w:val="2"/>
          <w:sz w:val="22"/>
          <w:u w:val="single"/>
        </w:rPr>
        <w:t>如实告知及年龄错误</w:t>
      </w:r>
      <w:r>
        <w:rPr>
          <w:b/>
          <w:position w:val="2"/>
          <w:sz w:val="22"/>
        </w:rPr>
        <w:tab/>
      </w:r>
      <w:r>
        <w:rPr>
          <w:sz w:val="22"/>
        </w:rPr>
        <w:t>11.1</w:t>
      </w:r>
      <w:r>
        <w:rPr>
          <w:spacing w:val="-1"/>
          <w:sz w:val="22"/>
        </w:rPr>
        <w:t> </w:t>
      </w:r>
      <w:r>
        <w:rPr>
          <w:sz w:val="22"/>
        </w:rPr>
        <w:t>欠</w:t>
      </w:r>
      <w:r>
        <w:rPr>
          <w:spacing w:val="-3"/>
          <w:sz w:val="22"/>
        </w:rPr>
        <w:t>交</w:t>
      </w:r>
      <w:r>
        <w:rPr>
          <w:sz w:val="22"/>
        </w:rPr>
        <w:t>保险</w:t>
      </w:r>
      <w:r>
        <w:rPr>
          <w:spacing w:val="-3"/>
          <w:sz w:val="22"/>
        </w:rPr>
        <w:t>费</w:t>
      </w:r>
      <w:r>
        <w:rPr>
          <w:sz w:val="22"/>
        </w:rPr>
        <w:t>的扣除</w:t>
      </w:r>
    </w:p>
    <w:p>
      <w:pPr>
        <w:pStyle w:val="ListParagraph"/>
        <w:numPr>
          <w:ilvl w:val="1"/>
          <w:numId w:val="3"/>
        </w:numPr>
        <w:tabs>
          <w:tab w:pos="773" w:val="left" w:leader="none"/>
          <w:tab w:pos="4667" w:val="left" w:leader="none"/>
        </w:tabs>
        <w:spacing w:line="240" w:lineRule="auto" w:before="11" w:after="0"/>
        <w:ind w:left="772" w:right="0" w:hanging="441"/>
        <w:jc w:val="left"/>
        <w:rPr>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sz w:val="22"/>
        </w:rPr>
        <w:t>11.2</w:t>
      </w:r>
      <w:r>
        <w:rPr>
          <w:spacing w:val="-2"/>
          <w:sz w:val="22"/>
        </w:rPr>
        <w:t> </w:t>
      </w:r>
      <w:r>
        <w:rPr>
          <w:sz w:val="22"/>
        </w:rPr>
        <w:t>争</w:t>
      </w:r>
      <w:r>
        <w:rPr>
          <w:spacing w:val="-3"/>
          <w:sz w:val="22"/>
        </w:rPr>
        <w:t>议</w:t>
      </w:r>
      <w:r>
        <w:rPr>
          <w:sz w:val="22"/>
        </w:rPr>
        <w:t>的处理</w:t>
      </w:r>
    </w:p>
    <w:p>
      <w:pPr>
        <w:pStyle w:val="ListParagraph"/>
        <w:numPr>
          <w:ilvl w:val="1"/>
          <w:numId w:val="3"/>
        </w:numPr>
        <w:tabs>
          <w:tab w:pos="773" w:val="left" w:leader="none"/>
          <w:tab w:pos="4667" w:val="left" w:leader="none"/>
        </w:tabs>
        <w:spacing w:line="240" w:lineRule="auto" w:before="11" w:after="0"/>
        <w:ind w:left="772" w:right="0" w:hanging="441"/>
        <w:jc w:val="left"/>
        <w:rPr>
          <w:sz w:val="22"/>
        </w:rPr>
      </w:pPr>
      <w:r>
        <w:rPr>
          <w:position w:val="2"/>
          <w:sz w:val="22"/>
        </w:rPr>
        <w:t>年</w:t>
      </w:r>
      <w:r>
        <w:rPr>
          <w:spacing w:val="-3"/>
          <w:position w:val="2"/>
          <w:sz w:val="22"/>
        </w:rPr>
        <w:t>龄</w:t>
      </w:r>
      <w:r>
        <w:rPr>
          <w:position w:val="2"/>
          <w:sz w:val="22"/>
        </w:rPr>
        <w:t>的计</w:t>
      </w:r>
      <w:r>
        <w:rPr>
          <w:spacing w:val="-3"/>
          <w:position w:val="2"/>
          <w:sz w:val="22"/>
        </w:rPr>
        <w:t>算</w:t>
      </w:r>
      <w:r>
        <w:rPr>
          <w:position w:val="2"/>
          <w:sz w:val="22"/>
        </w:rPr>
        <w:t>及错</w:t>
      </w:r>
      <w:r>
        <w:rPr>
          <w:spacing w:val="-3"/>
          <w:position w:val="2"/>
          <w:sz w:val="22"/>
        </w:rPr>
        <w:t>误</w:t>
      </w:r>
      <w:r>
        <w:rPr>
          <w:position w:val="2"/>
          <w:sz w:val="22"/>
        </w:rPr>
        <w:t>的处理</w:t>
        <w:tab/>
      </w:r>
      <w:r>
        <w:rPr>
          <w:sz w:val="22"/>
        </w:rPr>
        <w:t>11.3</w:t>
      </w:r>
      <w:r>
        <w:rPr>
          <w:spacing w:val="-3"/>
          <w:sz w:val="22"/>
        </w:rPr>
        <w:t> </w:t>
      </w:r>
      <w:r>
        <w:rPr>
          <w:sz w:val="22"/>
        </w:rPr>
        <w:t>索引</w:t>
      </w:r>
    </w:p>
    <w:p>
      <w:pPr>
        <w:pStyle w:val="ListParagraph"/>
        <w:numPr>
          <w:ilvl w:val="1"/>
          <w:numId w:val="3"/>
        </w:numPr>
        <w:tabs>
          <w:tab w:pos="773" w:val="left" w:leader="none"/>
        </w:tabs>
        <w:spacing w:line="240" w:lineRule="auto" w:before="17" w:after="0"/>
        <w:ind w:left="772" w:right="0" w:hanging="441"/>
        <w:jc w:val="left"/>
        <w:rPr>
          <w:sz w:val="22"/>
        </w:rPr>
      </w:pPr>
      <w:r>
        <w:rPr>
          <w:spacing w:val="-3"/>
          <w:sz w:val="22"/>
        </w:rPr>
        <w:t>我们解除权的限制</w:t>
      </w:r>
    </w:p>
    <w:p>
      <w:pPr>
        <w:pStyle w:val="BodyText"/>
        <w:spacing w:before="10"/>
        <w:ind w:left="0"/>
        <w:rPr>
          <w:sz w:val="26"/>
        </w:rPr>
      </w:pPr>
    </w:p>
    <w:p>
      <w:pPr>
        <w:pStyle w:val="Heading4"/>
        <w:ind w:left="112" w:firstLine="0"/>
      </w:pPr>
      <w:r>
        <w:rPr>
          <w:w w:val="95"/>
        </w:rPr>
        <w:t>6.保险费</w:t>
      </w:r>
    </w:p>
    <w:p>
      <w:pPr>
        <w:pStyle w:val="ListParagraph"/>
        <w:numPr>
          <w:ilvl w:val="1"/>
          <w:numId w:val="4"/>
        </w:numPr>
        <w:tabs>
          <w:tab w:pos="773" w:val="left" w:leader="none"/>
        </w:tabs>
        <w:spacing w:line="240" w:lineRule="auto" w:before="50" w:after="0"/>
        <w:ind w:left="772" w:right="0" w:hanging="441"/>
        <w:jc w:val="left"/>
        <w:rPr>
          <w:sz w:val="22"/>
        </w:rPr>
      </w:pPr>
      <w:r>
        <w:rPr>
          <w:spacing w:val="-3"/>
          <w:sz w:val="22"/>
        </w:rPr>
        <w:t>保险费的交付</w:t>
      </w:r>
    </w:p>
    <w:p>
      <w:pPr>
        <w:pStyle w:val="ListParagraph"/>
        <w:numPr>
          <w:ilvl w:val="1"/>
          <w:numId w:val="4"/>
        </w:numPr>
        <w:tabs>
          <w:tab w:pos="773" w:val="left" w:leader="none"/>
        </w:tabs>
        <w:spacing w:line="240" w:lineRule="auto" w:before="31" w:after="0"/>
        <w:ind w:left="772" w:right="0" w:hanging="441"/>
        <w:jc w:val="left"/>
        <w:rPr>
          <w:sz w:val="22"/>
        </w:rPr>
      </w:pPr>
      <w:r>
        <w:rPr>
          <w:spacing w:val="-2"/>
          <w:sz w:val="22"/>
        </w:rPr>
        <w:t>宽限期</w:t>
      </w:r>
    </w:p>
    <w:p>
      <w:pPr>
        <w:spacing w:after="0" w:line="240" w:lineRule="auto"/>
        <w:jc w:val="left"/>
        <w:rPr>
          <w:sz w:val="22"/>
        </w:rPr>
        <w:sectPr>
          <w:pgSz w:w="11910" w:h="16840"/>
          <w:pgMar w:top="1300" w:bottom="280" w:left="1680" w:right="1680"/>
        </w:sectPr>
      </w:pPr>
    </w:p>
    <w:p>
      <w:pPr>
        <w:pStyle w:val="BodyText"/>
        <w:spacing w:before="10"/>
        <w:ind w:left="0"/>
        <w:rPr>
          <w:sz w:val="29"/>
        </w:rPr>
      </w:pPr>
    </w:p>
    <w:p>
      <w:pPr>
        <w:pStyle w:val="Heading2"/>
        <w:spacing w:line="240" w:lineRule="auto"/>
      </w:pPr>
      <w:r>
        <w:rPr>
          <w:w w:val="95"/>
        </w:rPr>
        <w:t>1.</w:t>
      </w:r>
      <w:r>
        <w:rPr>
          <w:w w:val="95"/>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1" w:space="2490"/>
            <w:col w:w="5859"/>
          </w:cols>
        </w:sectPr>
      </w:pPr>
    </w:p>
    <w:p>
      <w:pPr>
        <w:pStyle w:val="Heading3"/>
        <w:spacing w:line="334" w:lineRule="exact"/>
        <w:rPr>
          <w:rFonts w:ascii="Microsoft JhengHei" w:eastAsia="Microsoft JhengHei" w:hint="eastAsia"/>
        </w:rPr>
      </w:pPr>
      <w:r>
        <w:rPr>
          <w:rFonts w:ascii="Microsoft JhengHei" w:eastAsia="Microsoft JhengHei" w:hint="eastAsia"/>
        </w:rPr>
        <w:t>〜〜〜〜〜〜〜〜〜〜〜〜〜〜〜〜〜〜〜〜〜〜〜〜〜〜〜〜〜〜〜〜〜〜〜〜〜</w:t>
      </w:r>
    </w:p>
    <w:p>
      <w:pPr>
        <w:pStyle w:val="Heading4"/>
        <w:spacing w:line="281" w:lineRule="exact"/>
        <w:ind w:left="118" w:firstLine="0"/>
      </w:pPr>
      <w:r>
        <w:rPr/>
        <w:t>1.1 释义</w:t>
      </w:r>
    </w:p>
    <w:p>
      <w:pPr>
        <w:pStyle w:val="BodyText"/>
        <w:spacing w:line="266" w:lineRule="auto"/>
        <w:ind w:right="1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3"/>
        <w:spacing w:line="364"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11" w:after="0"/>
        <w:ind w:left="560" w:right="0" w:hanging="442"/>
        <w:jc w:val="left"/>
      </w:pPr>
      <w:r>
        <w:rPr>
          <w:spacing w:val="-1"/>
        </w:rPr>
        <w:t>合同的构成</w:t>
      </w:r>
    </w:p>
    <w:p>
      <w:pPr>
        <w:pStyle w:val="BodyText"/>
        <w:spacing w:line="266" w:lineRule="auto"/>
        <w:ind w:right="115"/>
        <w:jc w:val="both"/>
      </w:pPr>
      <w:r>
        <w:rPr/>
        <w:t>本附加保险合同（以下简称“本附加合同”）依您的申请，经我们同意后订立。本附加合同须</w:t>
      </w:r>
      <w:r>
        <w:rPr>
          <w:spacing w:val="-3"/>
          <w:w w:val="100"/>
        </w:rPr>
        <w:t>附加于《陆家嘴国泰美裕人生两全保险</w:t>
      </w:r>
      <w:r>
        <w:rPr>
          <w:spacing w:val="-1"/>
          <w:w w:val="100"/>
        </w:rPr>
        <w:t>（</w:t>
      </w:r>
      <w:r>
        <w:rPr>
          <w:spacing w:val="-2"/>
          <w:w w:val="100"/>
        </w:rPr>
        <w:t>分红型</w:t>
      </w:r>
      <w:r>
        <w:rPr>
          <w:spacing w:val="-111"/>
          <w:w w:val="100"/>
        </w:rPr>
        <w:t>）</w:t>
      </w:r>
      <w:r>
        <w:rPr>
          <w:spacing w:val="-2"/>
          <w:w w:val="100"/>
        </w:rPr>
        <w:t>》合同</w:t>
      </w:r>
      <w:r>
        <w:rPr>
          <w:spacing w:val="-1"/>
          <w:w w:val="100"/>
        </w:rPr>
        <w:t>（</w:t>
      </w:r>
      <w:r>
        <w:rPr>
          <w:spacing w:val="-16"/>
          <w:w w:val="100"/>
        </w:rPr>
        <w:t>以下简称“主合同”</w:t>
      </w:r>
      <w:r>
        <w:rPr>
          <w:spacing w:val="-1"/>
          <w:w w:val="100"/>
        </w:rPr>
        <w:t>）</w:t>
      </w:r>
      <w:r>
        <w:rPr>
          <w:spacing w:val="-3"/>
          <w:w w:val="100"/>
        </w:rPr>
        <w:t>后始为有效。</w:t>
      </w:r>
      <w:r>
        <w:rPr>
          <w:spacing w:val="-3"/>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7"/>
        <w:ind w:right="116"/>
      </w:pPr>
      <w:r>
        <w:rPr/>
        <w:t>前述构成本附加合同的文件正本须留我们存档，我们出具给您的复印件或电子影像印刷件的效力与正本相同。</w:t>
      </w:r>
    </w:p>
    <w:p>
      <w:pPr>
        <w:pStyle w:val="BodyText"/>
        <w:spacing w:before="1"/>
        <w:ind w:left="0"/>
        <w:rPr>
          <w:sz w:val="25"/>
        </w:rPr>
      </w:pPr>
    </w:p>
    <w:p>
      <w:pPr>
        <w:pStyle w:val="Heading4"/>
        <w:numPr>
          <w:ilvl w:val="1"/>
          <w:numId w:val="5"/>
        </w:numPr>
        <w:tabs>
          <w:tab w:pos="560" w:val="left" w:leader="none"/>
        </w:tabs>
        <w:spacing w:line="240" w:lineRule="auto" w:before="0" w:after="0"/>
        <w:ind w:left="560" w:right="0" w:hanging="442"/>
        <w:jc w:val="left"/>
      </w:pPr>
      <w:r>
        <w:rPr>
          <w:spacing w:val="-1"/>
        </w:rPr>
        <w:t>投保范围</w:t>
      </w:r>
    </w:p>
    <w:p>
      <w:pPr>
        <w:pStyle w:val="BodyText"/>
      </w:pPr>
      <w:r>
        <w:rPr/>
        <w:t>（一）投保人：即主合同的投保人；</w:t>
      </w:r>
    </w:p>
    <w:p>
      <w:pPr>
        <w:pStyle w:val="BodyText"/>
        <w:spacing w:before="50"/>
      </w:pPr>
      <w:r>
        <w:rPr/>
        <w:t>（二）被保险人：即主合同的被保险人。</w:t>
      </w:r>
    </w:p>
    <w:p>
      <w:pPr>
        <w:pStyle w:val="BodyText"/>
        <w:spacing w:before="9"/>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rPr>
        <w:t>合同生效</w:t>
      </w:r>
    </w:p>
    <w:p>
      <w:pPr>
        <w:pStyle w:val="BodyText"/>
        <w:spacing w:line="266" w:lineRule="auto" w:before="16"/>
        <w:ind w:right="116"/>
      </w:pPr>
      <w:r>
        <w:rPr/>
        <w:t>本附加合同以主合同的生效日为生效日。您已交付首期保险费且经我们同意承保后至本附加合同签发前所发生的</w:t>
      </w:r>
      <w:r>
        <w:rPr>
          <w:rFonts w:ascii="黑体" w:eastAsia="黑体" w:hint="eastAsia"/>
          <w:b/>
        </w:rPr>
        <w:t>保险事故</w:t>
      </w:r>
      <w:hyperlink w:history="true" w:anchor="_bookmark0">
        <w:r>
          <w:rPr>
            <w:rFonts w:ascii="黑体" w:eastAsia="黑体" w:hint="eastAsia"/>
            <w:b/>
            <w:position w:val="11"/>
            <w:sz w:val="11"/>
          </w:rPr>
          <w:t>1</w:t>
        </w:r>
      </w:hyperlink>
      <w:r>
        <w:rPr/>
        <w:t>，我们仍承担保险责任。</w:t>
      </w:r>
    </w:p>
    <w:p>
      <w:pPr>
        <w:pStyle w:val="BodyText"/>
        <w:spacing w:before="3"/>
        <w:ind w:left="0"/>
        <w:rPr>
          <w:sz w:val="26"/>
        </w:rPr>
      </w:pPr>
    </w:p>
    <w:p>
      <w:pPr>
        <w:pStyle w:val="Heading4"/>
        <w:numPr>
          <w:ilvl w:val="1"/>
          <w:numId w:val="5"/>
        </w:numPr>
        <w:tabs>
          <w:tab w:pos="505" w:val="left" w:leader="none"/>
        </w:tabs>
        <w:spacing w:line="240" w:lineRule="auto" w:before="0" w:after="0"/>
        <w:ind w:left="504" w:right="0" w:hanging="386"/>
        <w:jc w:val="left"/>
      </w:pPr>
      <w:r>
        <w:rPr>
          <w:spacing w:val="-1"/>
        </w:rPr>
        <w:t>保险期间</w:t>
      </w:r>
    </w:p>
    <w:p>
      <w:pPr>
        <w:pStyle w:val="BodyText"/>
        <w:spacing w:before="14"/>
      </w:pPr>
      <w:r>
        <w:rPr/>
        <w:t>本附加合同的保险期间与主合同一致。</w:t>
      </w:r>
    </w:p>
    <w:p>
      <w:pPr>
        <w:pStyle w:val="BodyText"/>
        <w:spacing w:before="3"/>
        <w:ind w:left="0"/>
        <w:rPr>
          <w:sz w:val="28"/>
        </w:rPr>
      </w:pPr>
    </w:p>
    <w:p>
      <w:pPr>
        <w:pStyle w:val="Heading4"/>
        <w:numPr>
          <w:ilvl w:val="1"/>
          <w:numId w:val="5"/>
        </w:numPr>
        <w:tabs>
          <w:tab w:pos="560" w:val="left" w:leader="none"/>
        </w:tabs>
        <w:spacing w:line="240" w:lineRule="auto" w:before="0" w:after="0"/>
        <w:ind w:left="560" w:right="0" w:hanging="442"/>
        <w:jc w:val="left"/>
      </w:pPr>
      <w:r>
        <w:rPr>
          <w:spacing w:val="-1"/>
          <w:u w:val="single"/>
        </w:rPr>
        <w:t>合同的撤销（犹豫期</w:t>
      </w:r>
      <w:r>
        <w:rPr>
          <w:u w:val="single"/>
        </w:rPr>
        <w:t>）</w:t>
      </w:r>
    </w:p>
    <w:p>
      <w:pPr>
        <w:pStyle w:val="BodyText"/>
        <w:spacing w:line="266" w:lineRule="auto" w:before="14"/>
        <w:ind w:right="164"/>
      </w:pPr>
      <w:r>
        <w:rPr/>
        <w:t>您于收到保险合同并书面签收的次日起十日内，可以书面形式连同保险合同亲自或挂号邮寄向我们提出撤销主合同及本附加合同的申请。我们不接受单独撤销本附加合同的申请。</w:t>
      </w:r>
    </w:p>
    <w:p>
      <w:pPr>
        <w:pStyle w:val="BodyText"/>
        <w:spacing w:line="266" w:lineRule="auto" w:before="9"/>
        <w:ind w:right="116"/>
        <w:jc w:val="both"/>
      </w:pPr>
      <w:r>
        <w:rPr/>
        <w:t>您依前款规定行使合同撤销权利的，撤销的效力自我们收到书面形式申请及保险合同（若为邮寄，则以邮戳为准）的次日零时起生效，主合同及本附加合同自始无效，我们应向您退还所有已交的保险费。</w:t>
      </w:r>
    </w:p>
    <w:p>
      <w:pPr>
        <w:pStyle w:val="BodyText"/>
        <w:spacing w:line="266" w:lineRule="auto" w:before="9"/>
        <w:ind w:right="116"/>
      </w:pPr>
      <w:r>
        <w:rPr/>
        <w:t>如您受益人于收到保险合同之日起十日内向我们提出理赔申请，则不可以再行使本条的合同撤销权利。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9"/>
        </w:rPr>
      </w:pPr>
      <w:r>
        <w:rPr/>
        <w:pict>
          <v:line style="position:absolute;mso-position-horizontal-relative:page;mso-position-vertical-relative:paragraph;z-index:1048;mso-wrap-distance-left:0;mso-wrap-distance-right:0" from="70.900002pt,14.89575pt" to="214.900002pt,14.89575pt" stroked="true" strokeweight="0pt" strokecolor="#000000">
            <v:stroke dashstyle="solid"/>
            <w10:wrap type="topAndBottom"/>
          </v:line>
        </w:pict>
      </w:r>
    </w:p>
    <w:p>
      <w:pPr>
        <w:pStyle w:val="BodyText"/>
        <w:spacing w:before="4"/>
        <w:ind w:left="0"/>
        <w:rPr>
          <w:sz w:val="6"/>
        </w:rPr>
      </w:pPr>
    </w:p>
    <w:p>
      <w:pPr>
        <w:spacing w:line="325" w:lineRule="exact" w:before="0"/>
        <w:ind w:left="118" w:right="0" w:firstLine="0"/>
        <w:jc w:val="left"/>
        <w:rPr>
          <w:sz w:val="20"/>
        </w:rPr>
      </w:pPr>
      <w:r>
        <w:rPr>
          <w:w w:val="95"/>
          <w:sz w:val="20"/>
        </w:rPr>
        <w:t>1</w:t>
      </w:r>
      <w:bookmarkStart w:name="_bookmark0" w:id="1"/>
      <w:bookmarkEnd w:id="1"/>
      <w:r>
        <w:rPr>
          <w:w w:val="95"/>
          <w:sz w:val="20"/>
        </w:rPr>
        <w:t>、</w:t>
      </w:r>
      <w:r>
        <w:rPr>
          <w:rFonts w:ascii="Microsoft JhengHei" w:eastAsia="Microsoft JhengHei" w:hint="eastAsia"/>
          <w:b/>
          <w:w w:val="95"/>
          <w:sz w:val="20"/>
        </w:rPr>
        <w:t>保险事故：</w:t>
      </w:r>
      <w:r>
        <w:rPr>
          <w:w w:val="95"/>
          <w:sz w:val="20"/>
        </w:rPr>
        <w:t>是指保险合同约定的保险责任范围内的事故。</w:t>
      </w:r>
    </w:p>
    <w:p>
      <w:pPr>
        <w:spacing w:after="0" w:line="325" w:lineRule="exact"/>
        <w:jc w:val="left"/>
        <w:rPr>
          <w:sz w:val="20"/>
        </w:rPr>
        <w:sectPr>
          <w:type w:val="continuous"/>
          <w:pgSz w:w="11910" w:h="16840"/>
          <w:pgMar w:top="420" w:bottom="280" w:left="1300" w:right="1300"/>
        </w:sectPr>
      </w:pPr>
    </w:p>
    <w:p>
      <w:pPr>
        <w:pStyle w:val="Heading2"/>
        <w:spacing w:line="317" w:lineRule="exact"/>
      </w:pPr>
      <w:r>
        <w:rPr>
          <w:w w:val="95"/>
        </w:rPr>
        <w:t>3.</w:t>
      </w:r>
      <w:r>
        <w:rPr>
          <w:w w:val="95"/>
          <w:u w:val="single"/>
        </w:rPr>
        <w:t>我们提供的保障</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6"/>
        </w:numPr>
        <w:tabs>
          <w:tab w:pos="560" w:val="left" w:leader="none"/>
        </w:tabs>
        <w:spacing w:line="281" w:lineRule="exact" w:before="0" w:after="0"/>
        <w:ind w:left="560" w:right="0" w:hanging="442"/>
        <w:jc w:val="left"/>
      </w:pPr>
      <w:r>
        <w:rPr>
          <w:spacing w:val="-1"/>
        </w:rPr>
        <w:t>重大疾病保险金</w:t>
      </w:r>
    </w:p>
    <w:p>
      <w:pPr>
        <w:pStyle w:val="BodyText"/>
        <w:spacing w:line="266" w:lineRule="auto"/>
        <w:ind w:right="211"/>
        <w:jc w:val="both"/>
      </w:pPr>
      <w:r>
        <w:rPr/>
        <w:t>在本附加合同有效期内，被保险人于本附加合同生效日或复效日（以较迟者为准）起持续有效九十日以后，经</w:t>
      </w:r>
      <w:r>
        <w:rPr>
          <w:rFonts w:ascii="黑体" w:eastAsia="黑体" w:hint="eastAsia"/>
          <w:b/>
        </w:rPr>
        <w:t>医院</w:t>
      </w:r>
      <w:hyperlink w:history="true" w:anchor="_bookmark1">
        <w:r>
          <w:rPr>
            <w:rFonts w:ascii="黑体" w:eastAsia="黑体" w:hint="eastAsia"/>
            <w:b/>
            <w:position w:val="11"/>
            <w:sz w:val="11"/>
          </w:rPr>
          <w:t>2</w:t>
        </w:r>
      </w:hyperlink>
      <w:r>
        <w:rPr>
          <w:rFonts w:ascii="黑体" w:eastAsia="黑体" w:hint="eastAsia"/>
          <w:b/>
        </w:rPr>
        <w:t>专科医Th</w:t>
      </w:r>
      <w:hyperlink w:history="true" w:anchor="_bookmark2">
        <w:r>
          <w:rPr>
            <w:rFonts w:ascii="黑体" w:eastAsia="黑体" w:hint="eastAsia"/>
            <w:b/>
            <w:position w:val="11"/>
            <w:sz w:val="11"/>
          </w:rPr>
          <w:t>3</w:t>
        </w:r>
      </w:hyperlink>
      <w:r>
        <w:rPr/>
        <w:t>明确诊断确定初次罹患3.3条约定的重大疾病时，我们按保险单载明的本附加合同的保险金额，给付重大疾病保险金，主合同及本附加合同效力终止。</w:t>
      </w:r>
    </w:p>
    <w:p>
      <w:pPr>
        <w:pStyle w:val="BodyText"/>
        <w:spacing w:line="266" w:lineRule="auto" w:before="6"/>
        <w:ind w:right="105"/>
      </w:pPr>
      <w:r>
        <w:rPr/>
        <w:t>在本附加合同有效期内，被保险人于本附加合同生效日或复效日（以较迟者为准）起持续有效</w:t>
      </w:r>
      <w:r>
        <w:rPr>
          <w:spacing w:val="-7"/>
        </w:rPr>
        <w:t>九十日</w:t>
      </w:r>
      <w:r>
        <w:rPr>
          <w:spacing w:val="-3"/>
        </w:rPr>
        <w:t>（</w:t>
      </w:r>
      <w:r>
        <w:rPr>
          <w:spacing w:val="-2"/>
        </w:rPr>
        <w:t>含当日</w:t>
      </w:r>
      <w:r>
        <w:rPr>
          <w:spacing w:val="-15"/>
        </w:rPr>
        <w:t>）</w:t>
      </w:r>
      <w:r>
        <w:rPr>
          <w:spacing w:val="-5"/>
        </w:rPr>
        <w:t>以内，经医院专科医生明确诊断确定初次罹患</w:t>
      </w:r>
      <w:r>
        <w:rPr/>
        <w:t>3.3</w:t>
      </w:r>
      <w:r>
        <w:rPr>
          <w:spacing w:val="-5"/>
        </w:rPr>
        <w:t>条约定的重大疾病时，主合</w:t>
      </w:r>
      <w:r>
        <w:rPr>
          <w:spacing w:val="-7"/>
        </w:rPr>
        <w:t>同及本附加合同效力终止，我们将向您无息退还自本附加合同生效日或复效日</w:t>
      </w:r>
      <w:r>
        <w:rPr/>
        <w:t>（</w:t>
      </w:r>
      <w:r>
        <w:rPr>
          <w:spacing w:val="-3"/>
        </w:rPr>
        <w:t>以较迟者为准</w:t>
      </w:r>
      <w:r>
        <w:rPr/>
        <w:t>） 起至重大疾病诊断确定日止主合同及本附加合同已交的保险费总额。如复效前有现金价值的， </w:t>
      </w:r>
      <w:r>
        <w:rPr>
          <w:spacing w:val="-3"/>
        </w:rPr>
        <w:t>我们还将向您退还主合同及本附加合同的</w:t>
      </w:r>
      <w:r>
        <w:rPr>
          <w:rFonts w:ascii="黑体" w:eastAsia="黑体" w:hint="eastAsia"/>
          <w:b/>
          <w:spacing w:val="-1"/>
        </w:rPr>
        <w:t>现金价值</w:t>
      </w:r>
      <w:hyperlink w:history="true" w:anchor="_bookmark3">
        <w:r>
          <w:rPr>
            <w:rFonts w:ascii="黑体" w:eastAsia="黑体" w:hint="eastAsia"/>
            <w:b/>
            <w:position w:val="12"/>
            <w:sz w:val="12"/>
          </w:rPr>
          <w:t>4</w:t>
        </w:r>
      </w:hyperlink>
      <w:r>
        <w:rPr/>
        <w:t>。</w:t>
      </w:r>
    </w:p>
    <w:p>
      <w:pPr>
        <w:pStyle w:val="BodyText"/>
        <w:spacing w:line="266" w:lineRule="auto" w:before="2"/>
        <w:ind w:right="211"/>
      </w:pPr>
      <w:r>
        <w:rPr/>
        <w:t>但被保险人因遭受</w:t>
      </w:r>
      <w:r>
        <w:rPr>
          <w:rFonts w:ascii="黑体" w:hAnsi="黑体" w:eastAsia="黑体" w:hint="eastAsia"/>
          <w:b/>
        </w:rPr>
        <w:t>意外伤害事故</w:t>
      </w:r>
      <w:hyperlink w:history="true" w:anchor="_bookmark4">
        <w:r>
          <w:rPr>
            <w:rFonts w:ascii="黑体" w:hAnsi="黑体" w:eastAsia="黑体" w:hint="eastAsia"/>
            <w:b/>
            <w:position w:val="11"/>
            <w:sz w:val="11"/>
          </w:rPr>
          <w:t>5</w:t>
        </w:r>
      </w:hyperlink>
      <w:r>
        <w:rPr/>
        <w:t>导致瘫痪、重大器官移植术、严重Ⅲ度烧伤、严重脑损伤等情形之一的，不受前述九十日期间的限制。</w:t>
      </w:r>
    </w:p>
    <w:p>
      <w:pPr>
        <w:pStyle w:val="BodyText"/>
        <w:spacing w:line="266" w:lineRule="auto" w:before="9"/>
        <w:ind w:right="216"/>
      </w:pPr>
      <w:r>
        <w:rPr/>
        <w:t>重大疾病保险金以领取一次为限。被保险人同时或先后罹患两种以上的重大疾病时，我们仅给付一种重大疾病保险金。</w:t>
      </w:r>
    </w:p>
    <w:p>
      <w:pPr>
        <w:pStyle w:val="BodyText"/>
        <w:spacing w:before="5"/>
        <w:ind w:left="0"/>
        <w:rPr>
          <w:sz w:val="26"/>
        </w:rPr>
      </w:pPr>
    </w:p>
    <w:p>
      <w:pPr>
        <w:pStyle w:val="Heading4"/>
        <w:numPr>
          <w:ilvl w:val="1"/>
          <w:numId w:val="6"/>
        </w:numPr>
        <w:tabs>
          <w:tab w:pos="560" w:val="left" w:leader="none"/>
        </w:tabs>
        <w:spacing w:line="240" w:lineRule="auto" w:before="0" w:after="0"/>
        <w:ind w:left="560" w:right="0" w:hanging="442"/>
        <w:jc w:val="left"/>
      </w:pPr>
      <w:r>
        <w:rPr>
          <w:spacing w:val="-1"/>
        </w:rPr>
        <w:t>特定疾病保险金</w:t>
      </w:r>
    </w:p>
    <w:p>
      <w:pPr>
        <w:pStyle w:val="BodyText"/>
        <w:spacing w:line="266" w:lineRule="auto"/>
        <w:ind w:right="105"/>
      </w:pPr>
      <w:r>
        <w:rPr>
          <w:spacing w:val="-3"/>
        </w:rPr>
        <w:t>在本附加合同有效期内，被保险人于本附加合同生效日或复效日（</w:t>
      </w:r>
      <w:r>
        <w:rPr>
          <w:spacing w:val="-2"/>
        </w:rPr>
        <w:t>以较迟者为准</w:t>
      </w:r>
      <w:r>
        <w:rPr/>
        <w:t>）</w:t>
      </w:r>
      <w:r>
        <w:rPr>
          <w:spacing w:val="-2"/>
        </w:rPr>
        <w:t>起持续有效</w:t>
      </w:r>
      <w:r>
        <w:rPr>
          <w:spacing w:val="-3"/>
        </w:rPr>
        <w:t>九十日以后，经医院专科医生明确诊断确定初次罹患</w:t>
      </w:r>
      <w:r>
        <w:rPr/>
        <w:t>3.4</w:t>
      </w:r>
      <w:r>
        <w:rPr>
          <w:spacing w:val="-3"/>
        </w:rPr>
        <w:t>条约定的特定疾病，且未达到领取</w:t>
      </w:r>
      <w:r>
        <w:rPr/>
        <w:t>3.1 </w:t>
      </w:r>
      <w:r>
        <w:rPr>
          <w:spacing w:val="-7"/>
        </w:rPr>
        <w:t>条约定的重大疾病保险金的标准时，我们按保险单载明的本附加合同的保险金额的百分之二十， </w:t>
      </w:r>
      <w:r>
        <w:rPr>
          <w:spacing w:val="-3"/>
        </w:rPr>
        <w:t>给付特定疾病保险金，本项保险责任终止。</w:t>
      </w:r>
    </w:p>
    <w:p>
      <w:pPr>
        <w:pStyle w:val="BodyText"/>
        <w:spacing w:line="266" w:lineRule="auto" w:before="0"/>
        <w:ind w:right="105"/>
      </w:pPr>
      <w:r>
        <w:rPr/>
        <w:t>在本附加合同有效期内，被保险人于本附加合同生效日或复效日（以较迟者为准）起持续有效</w:t>
      </w:r>
      <w:r>
        <w:rPr>
          <w:spacing w:val="-7"/>
        </w:rPr>
        <w:t>九十日</w:t>
      </w:r>
      <w:r>
        <w:rPr>
          <w:spacing w:val="-3"/>
        </w:rPr>
        <w:t>（</w:t>
      </w:r>
      <w:r>
        <w:rPr>
          <w:spacing w:val="-2"/>
        </w:rPr>
        <w:t>含当日</w:t>
      </w:r>
      <w:r>
        <w:rPr>
          <w:spacing w:val="-15"/>
        </w:rPr>
        <w:t>）</w:t>
      </w:r>
      <w:r>
        <w:rPr>
          <w:spacing w:val="-5"/>
        </w:rPr>
        <w:t>以内，经医院专科医生明确诊断确定初次罹患</w:t>
      </w:r>
      <w:r>
        <w:rPr/>
        <w:t>3.4</w:t>
      </w:r>
      <w:r>
        <w:rPr>
          <w:spacing w:val="-5"/>
        </w:rPr>
        <w:t>条约定的特定疾病时，主合</w:t>
      </w:r>
      <w:r>
        <w:rPr>
          <w:spacing w:val="-7"/>
        </w:rPr>
        <w:t>同及本附加合同效力终止，我们将向您无息退还自本附加合同生效日或复效日</w:t>
      </w:r>
      <w:r>
        <w:rPr/>
        <w:t>（</w:t>
      </w:r>
      <w:r>
        <w:rPr>
          <w:spacing w:val="-3"/>
        </w:rPr>
        <w:t>以较迟者为准</w:t>
      </w:r>
      <w:r>
        <w:rPr/>
        <w:t>） 起至特定疾病诊断确定日止主合同及本附加合同已交的保险费总额。如复效前有现金价值的， </w:t>
      </w:r>
      <w:r>
        <w:rPr>
          <w:spacing w:val="-3"/>
        </w:rPr>
        <w:t>我们还将向您退还主合同和本附加合同的现金价值。</w:t>
      </w:r>
    </w:p>
    <w:p>
      <w:pPr>
        <w:pStyle w:val="BodyText"/>
        <w:spacing w:line="266" w:lineRule="auto" w:before="16"/>
        <w:ind w:right="215"/>
      </w:pPr>
      <w:r>
        <w:rPr>
          <w:spacing w:val="-3"/>
        </w:rPr>
        <w:t>但被保险人因遭受意外伤害事故导致本附加合同</w:t>
      </w:r>
      <w:r>
        <w:rPr/>
        <w:t>3.4</w:t>
      </w:r>
      <w:r>
        <w:rPr>
          <w:spacing w:val="-9"/>
        </w:rPr>
        <w:t>条约定的特定疾病的，不受前述九十日期间</w:t>
      </w:r>
      <w:r>
        <w:rPr>
          <w:spacing w:val="-2"/>
        </w:rPr>
        <w:t>的限制。</w:t>
      </w:r>
    </w:p>
    <w:p>
      <w:pPr>
        <w:pStyle w:val="BodyText"/>
        <w:spacing w:before="0"/>
        <w:ind w:left="0"/>
        <w:rPr>
          <w:sz w:val="20"/>
        </w:rPr>
      </w:pPr>
    </w:p>
    <w:p>
      <w:pPr>
        <w:pStyle w:val="BodyText"/>
        <w:spacing w:before="7"/>
        <w:ind w:left="0"/>
        <w:rPr>
          <w:sz w:val="12"/>
        </w:rPr>
      </w:pPr>
      <w:r>
        <w:rPr/>
        <w:pict>
          <v:line style="position:absolute;mso-position-horizontal-relative:page;mso-position-vertical-relative:paragraph;z-index:1072;mso-wrap-distance-left:0;mso-wrap-distance-right:0" from="70.900002pt,10.169081pt" to="214.900002pt,10.169081pt" stroked="true" strokeweight="0pt" strokecolor="#000000">
            <v:stroke dashstyle="solid"/>
            <w10:wrap type="topAndBottom"/>
          </v:line>
        </w:pict>
      </w:r>
    </w:p>
    <w:p>
      <w:pPr>
        <w:pStyle w:val="BodyText"/>
        <w:spacing w:before="0"/>
        <w:ind w:left="0"/>
        <w:rPr>
          <w:sz w:val="6"/>
        </w:rPr>
      </w:pPr>
    </w:p>
    <w:p>
      <w:pPr>
        <w:spacing w:line="320" w:lineRule="exact" w:before="15"/>
        <w:ind w:left="118" w:right="117" w:firstLine="0"/>
        <w:jc w:val="left"/>
        <w:rPr>
          <w:sz w:val="20"/>
        </w:rPr>
      </w:pPr>
      <w:r>
        <w:rPr>
          <w:w w:val="95"/>
          <w:sz w:val="20"/>
        </w:rPr>
        <w:t>2</w:t>
      </w:r>
      <w:bookmarkStart w:name="_bookmark1" w:id="2"/>
      <w:bookmarkEnd w:id="2"/>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08" w:lineRule="exact" w:before="0"/>
        <w:ind w:left="118" w:right="0" w:firstLine="0"/>
        <w:jc w:val="both"/>
        <w:rPr>
          <w:sz w:val="20"/>
        </w:rPr>
      </w:pPr>
      <w:bookmarkStart w:name="_bookmark2" w:id="3"/>
      <w:bookmarkEnd w:id="3"/>
      <w:r>
        <w:rPr/>
      </w:r>
      <w:r>
        <w:rPr>
          <w:w w:val="95"/>
          <w:sz w:val="20"/>
        </w:rPr>
        <w:t>3、</w:t>
      </w:r>
      <w:r>
        <w:rPr>
          <w:rFonts w:ascii="Microsoft JhengHei" w:eastAsia="Microsoft JhengHei" w:hint="eastAsia"/>
          <w:b/>
          <w:w w:val="95"/>
          <w:sz w:val="20"/>
        </w:rPr>
        <w:t>专科医生：</w:t>
      </w:r>
      <w:r>
        <w:rPr>
          <w:w w:val="95"/>
          <w:sz w:val="20"/>
        </w:rPr>
        <w:t>应当同时满足以下四项资格条件：</w:t>
      </w:r>
    </w:p>
    <w:p>
      <w:pPr>
        <w:spacing w:before="35"/>
        <w:ind w:left="118" w:right="0" w:firstLine="0"/>
        <w:jc w:val="both"/>
        <w:rPr>
          <w:sz w:val="20"/>
        </w:rPr>
      </w:pPr>
      <w:r>
        <w:rPr>
          <w:w w:val="95"/>
          <w:sz w:val="20"/>
        </w:rPr>
        <w:t>（1）具有有效的中华人民共和国《医师资格证书》；</w:t>
      </w:r>
    </w:p>
    <w:p>
      <w:pPr>
        <w:spacing w:before="57"/>
        <w:ind w:left="118" w:right="0" w:firstLine="0"/>
        <w:jc w:val="both"/>
        <w:rPr>
          <w:sz w:val="20"/>
        </w:rPr>
      </w:pPr>
      <w:r>
        <w:rPr>
          <w:w w:val="95"/>
          <w:sz w:val="20"/>
        </w:rPr>
        <w:t>（2）具有有效的中华人民共和国《医师执业证书》，并按期到相关部门登记注册；</w:t>
      </w:r>
    </w:p>
    <w:p>
      <w:pPr>
        <w:spacing w:before="59"/>
        <w:ind w:left="118" w:right="0" w:firstLine="0"/>
        <w:jc w:val="both"/>
        <w:rPr>
          <w:sz w:val="20"/>
        </w:rPr>
      </w:pPr>
      <w:r>
        <w:rPr>
          <w:w w:val="95"/>
          <w:sz w:val="20"/>
        </w:rPr>
        <w:t>（3）具有有效的中华人民共和国主治医师或主治医师以上职称的《医师职称证书》；</w:t>
      </w:r>
    </w:p>
    <w:p>
      <w:pPr>
        <w:spacing w:line="259" w:lineRule="exact" w:before="57"/>
        <w:ind w:left="118" w:right="0" w:firstLine="0"/>
        <w:jc w:val="both"/>
        <w:rPr>
          <w:sz w:val="20"/>
        </w:rPr>
      </w:pPr>
      <w:r>
        <w:rPr>
          <w:w w:val="95"/>
          <w:sz w:val="20"/>
        </w:rPr>
        <w:t>（4）在二级或二级以上医院的相应科室从事临床工作三年以上。</w:t>
      </w:r>
    </w:p>
    <w:p>
      <w:pPr>
        <w:spacing w:line="285" w:lineRule="auto" w:before="0"/>
        <w:ind w:left="118" w:right="213" w:firstLine="0"/>
        <w:jc w:val="both"/>
        <w:rPr>
          <w:sz w:val="20"/>
        </w:rPr>
      </w:pPr>
      <w:bookmarkStart w:name="_bookmark3" w:id="4"/>
      <w:bookmarkEnd w:id="4"/>
      <w:r>
        <w:rPr/>
      </w:r>
      <w:r>
        <w:rPr>
          <w:sz w:val="20"/>
        </w:rPr>
        <w:t>4、</w:t>
      </w:r>
      <w:r>
        <w:rPr>
          <w:rFonts w:ascii="Microsoft JhengHei" w:eastAsia="Microsoft JhengHei" w:hint="eastAsia"/>
          <w:b/>
          <w:sz w:val="20"/>
        </w:rPr>
        <w:t>现金价值：</w:t>
      </w:r>
      <w:r>
        <w:rPr>
          <w:sz w:val="20"/>
        </w:rPr>
        <w:t>指保险单所具有的价值，通常体现为您（投保人）</w:t>
      </w:r>
      <w:r>
        <w:rPr>
          <w:spacing w:val="-3"/>
          <w:sz w:val="20"/>
        </w:rPr>
        <w:t>解除合同时，根据精算原理计算的，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按</w:t>
      </w:r>
      <w:r>
        <w:rPr>
          <w:spacing w:val="-3"/>
          <w:w w:val="95"/>
          <w:sz w:val="20"/>
        </w:rPr>
        <w:t>该保险单年度经过日数比例计算；若因其他条款的约定而发生变更，现金价值将重新计算。</w:t>
      </w:r>
    </w:p>
    <w:p>
      <w:pPr>
        <w:spacing w:line="304" w:lineRule="exact" w:before="3"/>
        <w:ind w:left="118" w:right="0" w:firstLine="0"/>
        <w:jc w:val="both"/>
        <w:rPr>
          <w:sz w:val="20"/>
        </w:rPr>
      </w:pPr>
      <w:bookmarkStart w:name="_bookmark4" w:id="5"/>
      <w:bookmarkEnd w:id="5"/>
      <w:r>
        <w:rPr/>
      </w:r>
      <w:r>
        <w:rPr>
          <w:w w:val="95"/>
          <w:sz w:val="20"/>
        </w:rPr>
        <w:t>5、</w:t>
      </w:r>
      <w:r>
        <w:rPr>
          <w:rFonts w:ascii="Microsoft JhengHei" w:eastAsia="Microsoft JhengHei" w:hint="eastAsia"/>
          <w:b/>
          <w:w w:val="95"/>
          <w:sz w:val="20"/>
        </w:rPr>
        <w:t>意外伤害事故：</w:t>
      </w:r>
      <w:r>
        <w:rPr>
          <w:w w:val="95"/>
          <w:sz w:val="20"/>
        </w:rPr>
        <w:t>指外来的、突发的、非本意的、非疾病的客观事件为直接的原因致使身体受到伤害。</w:t>
      </w:r>
    </w:p>
    <w:p>
      <w:pPr>
        <w:spacing w:before="34"/>
        <w:ind w:left="118" w:right="0" w:firstLine="0"/>
        <w:jc w:val="both"/>
        <w:rPr>
          <w:sz w:val="20"/>
        </w:rPr>
      </w:pPr>
      <w:r>
        <w:rPr>
          <w:w w:val="95"/>
          <w:sz w:val="20"/>
        </w:rPr>
        <w:t>不包括无明确外来意外伤害导致的后果，如过敏、原发性感染、猝死等。</w:t>
      </w:r>
    </w:p>
    <w:p>
      <w:pPr>
        <w:spacing w:after="0"/>
        <w:jc w:val="both"/>
        <w:rPr>
          <w:sz w:val="20"/>
        </w:rPr>
        <w:sectPr>
          <w:pgSz w:w="11910" w:h="16840"/>
          <w:pgMar w:top="1340" w:bottom="280" w:left="1300" w:right="1200"/>
        </w:sectPr>
      </w:pPr>
    </w:p>
    <w:p>
      <w:pPr>
        <w:pStyle w:val="BodyText"/>
        <w:spacing w:line="268" w:lineRule="auto" w:before="22"/>
        <w:ind w:right="216"/>
      </w:pPr>
      <w:r>
        <w:rPr/>
        <w:t>特定疾病保险金以领取一次为限。被保险人同时或先后罹患两种以上的特定疾病时，我们仅给付一种特定疾病保险金。</w:t>
      </w:r>
    </w:p>
    <w:p>
      <w:pPr>
        <w:pStyle w:val="BodyText"/>
        <w:spacing w:before="10"/>
        <w:ind w:left="0"/>
        <w:rPr>
          <w:sz w:val="24"/>
        </w:rPr>
      </w:pPr>
    </w:p>
    <w:p>
      <w:pPr>
        <w:pStyle w:val="Heading4"/>
        <w:numPr>
          <w:ilvl w:val="1"/>
          <w:numId w:val="6"/>
        </w:numPr>
        <w:tabs>
          <w:tab w:pos="560" w:val="left" w:leader="none"/>
        </w:tabs>
        <w:spacing w:line="240" w:lineRule="auto" w:before="0" w:after="0"/>
        <w:ind w:left="560" w:right="0" w:hanging="442"/>
        <w:jc w:val="left"/>
      </w:pPr>
      <w:r>
        <w:rPr>
          <w:spacing w:val="-1"/>
        </w:rPr>
        <w:t>重大疾病</w:t>
      </w:r>
    </w:p>
    <w:p>
      <w:pPr>
        <w:pStyle w:val="BodyText"/>
        <w:spacing w:before="50"/>
      </w:pPr>
      <w:r>
        <w:rPr/>
        <w:t>（一）恶性肿瘤</w:t>
      </w:r>
    </w:p>
    <w:p>
      <w:pPr>
        <w:pStyle w:val="BodyText"/>
        <w:spacing w:line="259" w:lineRule="auto"/>
        <w:ind w:left="780" w:right="26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spacing w:line="300" w:lineRule="exact" w:before="0"/>
        <w:ind w:left="780" w:right="0" w:firstLine="0"/>
        <w:jc w:val="left"/>
        <w:rPr>
          <w:sz w:val="24"/>
        </w:rPr>
      </w:pPr>
      <w:r>
        <w:rPr>
          <w:sz w:val="24"/>
        </w:rPr>
        <w:t>（1）</w:t>
      </w:r>
      <w:r>
        <w:rPr>
          <w:rFonts w:ascii="黑体" w:eastAsia="黑体" w:hint="eastAsia"/>
          <w:b/>
          <w:spacing w:val="-2"/>
          <w:w w:val="100"/>
          <w:sz w:val="22"/>
        </w:rPr>
        <w:t>原位癌</w:t>
      </w:r>
      <w:hyperlink w:history="true" w:anchor="_bookmark5">
        <w:r>
          <w:rPr>
            <w:rFonts w:ascii="黑体" w:eastAsia="黑体" w:hint="eastAsia"/>
            <w:b/>
            <w:w w:val="99"/>
            <w:position w:val="11"/>
            <w:sz w:val="11"/>
          </w:rPr>
          <w:t>6</w:t>
        </w:r>
      </w:hyperlink>
      <w:r>
        <w:rPr>
          <w:sz w:val="24"/>
        </w:rPr>
        <w:t>；</w:t>
      </w:r>
    </w:p>
    <w:p>
      <w:pPr>
        <w:pStyle w:val="Heading3"/>
        <w:spacing w:before="7"/>
        <w:ind w:left="778"/>
      </w:pPr>
      <w:r>
        <w:rPr/>
        <w:t>（2）相当于 Binet 分期方案 A 期程度的慢性淋巴细胞白血病；</w:t>
      </w:r>
    </w:p>
    <w:p>
      <w:pPr>
        <w:spacing w:before="4"/>
        <w:ind w:left="778" w:right="0" w:firstLine="0"/>
        <w:jc w:val="left"/>
        <w:rPr>
          <w:sz w:val="24"/>
        </w:rPr>
      </w:pPr>
      <w:r>
        <w:rPr>
          <w:sz w:val="24"/>
        </w:rPr>
        <w:t>（3）相当于 Ann Arbor 分期方案 I 期程度的何杰金氏病；</w:t>
      </w:r>
    </w:p>
    <w:p>
      <w:pPr>
        <w:spacing w:before="4"/>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3" w:lineRule="exact" w:before="7"/>
        <w:ind w:left="778" w:right="0" w:firstLine="0"/>
        <w:jc w:val="left"/>
        <w:rPr>
          <w:sz w:val="24"/>
        </w:rPr>
      </w:pPr>
      <w:r>
        <w:rPr>
          <w:sz w:val="24"/>
        </w:rPr>
        <w:t>（5）TNM 分期为 T</w:t>
      </w:r>
      <w:r>
        <w:rPr>
          <w:position w:val="-2"/>
          <w:sz w:val="12"/>
        </w:rPr>
        <w:t>1</w:t>
      </w:r>
      <w:r>
        <w:rPr>
          <w:sz w:val="24"/>
        </w:rPr>
        <w:t>N</w:t>
      </w:r>
      <w:r>
        <w:rPr>
          <w:position w:val="-2"/>
          <w:sz w:val="12"/>
        </w:rPr>
        <w:t>0</w:t>
      </w:r>
      <w:r>
        <w:rPr>
          <w:sz w:val="24"/>
        </w:rPr>
        <w:t>M</w:t>
      </w:r>
      <w:r>
        <w:rPr>
          <w:position w:val="-2"/>
          <w:sz w:val="12"/>
        </w:rPr>
        <w:t>0 </w:t>
      </w:r>
      <w:r>
        <w:rPr>
          <w:sz w:val="24"/>
        </w:rPr>
        <w:t>期或更轻分期的前列腺癌；</w:t>
      </w:r>
    </w:p>
    <w:p>
      <w:pPr>
        <w:spacing w:line="310" w:lineRule="exact" w:before="0"/>
        <w:ind w:left="778" w:right="0" w:firstLine="0"/>
        <w:jc w:val="left"/>
        <w:rPr>
          <w:sz w:val="24"/>
        </w:rPr>
      </w:pPr>
      <w:r>
        <w:rPr>
          <w:sz w:val="24"/>
        </w:rPr>
        <w:t>（6）感染艾滋病病毒或患艾滋病期间所患恶性肿瘤。</w:t>
      </w:r>
    </w:p>
    <w:p>
      <w:pPr>
        <w:pStyle w:val="BodyText"/>
        <w:spacing w:before="28"/>
      </w:pPr>
      <w:r>
        <w:rPr/>
        <w:t>（二）急性心肌梗塞</w:t>
      </w:r>
    </w:p>
    <w:p>
      <w:pPr>
        <w:pStyle w:val="BodyText"/>
        <w:spacing w:line="266" w:lineRule="auto" w:before="33"/>
        <w:ind w:left="780" w:right="261"/>
      </w:pPr>
      <w:r>
        <w:rPr/>
        <w:t>指因冠状动脉阻塞导致的相应区域供血不足造成部分心肌坏死。须满足下列至少三项条件：</w:t>
      </w:r>
    </w:p>
    <w:p>
      <w:pPr>
        <w:pStyle w:val="BodyText"/>
        <w:spacing w:before="7"/>
        <w:ind w:left="778"/>
      </w:pPr>
      <w:r>
        <w:rPr/>
        <w:t>（1）典型临床表现，例如急性胸痛等；</w:t>
      </w:r>
    </w:p>
    <w:p>
      <w:pPr>
        <w:pStyle w:val="BodyText"/>
        <w:spacing w:before="33"/>
        <w:ind w:left="778"/>
      </w:pPr>
      <w:r>
        <w:rPr/>
        <w:t>（2）新近的心电图改变提示急性心肌梗塞；</w:t>
      </w:r>
    </w:p>
    <w:p>
      <w:pPr>
        <w:pStyle w:val="BodyText"/>
        <w:spacing w:before="30"/>
        <w:ind w:left="778"/>
      </w:pPr>
      <w:r>
        <w:rPr/>
        <w:t>（3）心肌酶或肌钙蛋白有诊断意义的升高，或呈符合急性心肌梗塞的动态性变化；</w:t>
      </w:r>
    </w:p>
    <w:p>
      <w:pPr>
        <w:pStyle w:val="BodyText"/>
        <w:spacing w:before="30"/>
        <w:ind w:left="778"/>
      </w:pPr>
      <w:r>
        <w:rPr/>
        <w:t>（4）发病 90 天后，经检查证实左心室功能降低，如左心室射血分数低于 50%。</w:t>
      </w:r>
    </w:p>
    <w:p>
      <w:pPr>
        <w:pStyle w:val="BodyText"/>
        <w:spacing w:before="33"/>
      </w:pPr>
      <w:r>
        <w:rPr/>
        <w:t>（三）脑中风后遗症</w:t>
      </w:r>
    </w:p>
    <w:p>
      <w:pPr>
        <w:pStyle w:val="BodyText"/>
        <w:spacing w:line="266" w:lineRule="auto"/>
        <w:ind w:left="780" w:right="261"/>
        <w:jc w:val="both"/>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r>
        <w:rPr>
          <w:spacing w:val="-1"/>
        </w:rPr>
        <w:t>碍：</w:t>
      </w:r>
    </w:p>
    <w:p>
      <w:pPr>
        <w:spacing w:before="7"/>
        <w:ind w:left="778" w:right="0" w:firstLine="0"/>
        <w:jc w:val="left"/>
        <w:rPr>
          <w:sz w:val="22"/>
        </w:rPr>
      </w:pPr>
      <w:r>
        <w:rPr>
          <w:sz w:val="22"/>
        </w:rPr>
        <w:t>（1）一肢或一肢以上</w:t>
      </w:r>
      <w:r>
        <w:rPr>
          <w:rFonts w:ascii="黑体" w:eastAsia="黑体" w:hint="eastAsia"/>
          <w:b/>
          <w:sz w:val="22"/>
        </w:rPr>
        <w:t>肢体机能完全丧失</w:t>
      </w:r>
      <w:hyperlink w:history="true" w:anchor="_bookmark6">
        <w:r>
          <w:rPr>
            <w:rFonts w:ascii="黑体" w:eastAsia="黑体" w:hint="eastAsia"/>
            <w:b/>
            <w:position w:val="11"/>
            <w:sz w:val="11"/>
          </w:rPr>
          <w:t>7</w:t>
        </w:r>
      </w:hyperlink>
      <w:r>
        <w:rPr>
          <w:sz w:val="22"/>
        </w:rPr>
        <w:t>；</w:t>
      </w:r>
    </w:p>
    <w:p>
      <w:pPr>
        <w:spacing w:before="31"/>
        <w:ind w:left="778" w:right="0" w:firstLine="0"/>
        <w:jc w:val="left"/>
        <w:rPr>
          <w:sz w:val="22"/>
        </w:rPr>
      </w:pPr>
      <w:r>
        <w:rPr>
          <w:sz w:val="22"/>
        </w:rPr>
        <w:t>（2）</w:t>
      </w:r>
      <w:r>
        <w:rPr>
          <w:rFonts w:ascii="黑体" w:eastAsia="黑体" w:hint="eastAsia"/>
          <w:b/>
          <w:sz w:val="22"/>
        </w:rPr>
        <w:t>语言能力或咀嚼吞咽能力完全丧失</w:t>
      </w:r>
      <w:hyperlink w:history="true" w:anchor="_bookmark7">
        <w:r>
          <w:rPr>
            <w:rFonts w:ascii="黑体" w:eastAsia="黑体" w:hint="eastAsia"/>
            <w:b/>
            <w:position w:val="11"/>
            <w:sz w:val="11"/>
          </w:rPr>
          <w:t>8</w:t>
        </w:r>
      </w:hyperlink>
      <w:r>
        <w:rPr>
          <w:sz w:val="22"/>
        </w:rPr>
        <w:t>；</w:t>
      </w:r>
    </w:p>
    <w:p>
      <w:pPr>
        <w:spacing w:line="266" w:lineRule="auto" w:before="33"/>
        <w:ind w:left="1340" w:right="297" w:hanging="550"/>
        <w:jc w:val="left"/>
        <w:rPr>
          <w:sz w:val="22"/>
        </w:rPr>
      </w:pPr>
      <w:r>
        <w:rPr>
          <w:sz w:val="22"/>
        </w:rPr>
        <w:t>（3）自主生活能力完全丧失</w:t>
      </w:r>
      <w:r>
        <w:rPr>
          <w:b/>
          <w:sz w:val="22"/>
        </w:rPr>
        <w:t>。</w:t>
      </w:r>
      <w:r>
        <w:rPr>
          <w:sz w:val="22"/>
        </w:rPr>
        <w:t>无法独立完成</w:t>
      </w:r>
      <w:r>
        <w:rPr>
          <w:rFonts w:ascii="黑体" w:eastAsia="黑体" w:hint="eastAsia"/>
          <w:b/>
          <w:sz w:val="22"/>
        </w:rPr>
        <w:t>六项基本日常Th活活动</w:t>
      </w:r>
      <w:hyperlink w:history="true" w:anchor="_bookmark8">
        <w:r>
          <w:rPr>
            <w:rFonts w:ascii="黑体" w:eastAsia="黑体" w:hint="eastAsia"/>
            <w:b/>
            <w:position w:val="11"/>
            <w:sz w:val="11"/>
          </w:rPr>
          <w:t>9</w:t>
        </w:r>
      </w:hyperlink>
      <w:r>
        <w:rPr>
          <w:sz w:val="22"/>
        </w:rPr>
        <w:t>中的三项或三项以上。</w:t>
      </w:r>
    </w:p>
    <w:p>
      <w:pPr>
        <w:pStyle w:val="BodyText"/>
        <w:spacing w:before="7"/>
      </w:pPr>
      <w:r>
        <w:rPr/>
        <w:t>（四）重大器官移植术或造血干细胞移植术</w:t>
      </w:r>
    </w:p>
    <w:p>
      <w:pPr>
        <w:pStyle w:val="BodyText"/>
        <w:spacing w:before="4"/>
        <w:ind w:left="0"/>
        <w:rPr>
          <w:sz w:val="13"/>
        </w:rPr>
      </w:pPr>
      <w:r>
        <w:rPr/>
        <w:pict>
          <v:line style="position:absolute;mso-position-horizontal-relative:page;mso-position-vertical-relative:paragraph;z-index:1096;mso-wrap-distance-left:0;mso-wrap-distance-right:0" from="70.900002pt,10.670956pt" to="214.900002pt,10.670956pt" stroked="true" strokeweight="0pt" strokecolor="#000000">
            <v:stroke dashstyle="solid"/>
            <w10:wrap type="topAndBottom"/>
          </v:line>
        </w:pict>
      </w:r>
    </w:p>
    <w:p>
      <w:pPr>
        <w:spacing w:line="314" w:lineRule="exact" w:before="17"/>
        <w:ind w:left="118" w:right="0" w:firstLine="0"/>
        <w:jc w:val="left"/>
        <w:rPr>
          <w:sz w:val="20"/>
        </w:rPr>
      </w:pPr>
      <w:bookmarkStart w:name="_bookmark5" w:id="6"/>
      <w:bookmarkEnd w:id="6"/>
      <w:r>
        <w:rPr/>
      </w:r>
      <w:r>
        <w:rPr>
          <w:w w:val="95"/>
          <w:sz w:val="20"/>
        </w:rPr>
        <w:t>6、</w:t>
      </w:r>
      <w:r>
        <w:rPr>
          <w:rFonts w:ascii="Microsoft JhengHei" w:eastAsia="Microsoft JhengHei" w:hint="eastAsia"/>
          <w:b/>
          <w:w w:val="95"/>
          <w:sz w:val="20"/>
        </w:rPr>
        <w:t>原位癌：</w:t>
      </w:r>
      <w:r>
        <w:rPr>
          <w:w w:val="95"/>
          <w:sz w:val="20"/>
        </w:rPr>
        <w:t>指恶性细胞局限于上皮内尚未穿破基底膜浸润周围正常组织的癌细胞新生物。</w:t>
      </w:r>
    </w:p>
    <w:p>
      <w:pPr>
        <w:spacing w:line="280" w:lineRule="exact" w:before="39"/>
        <w:ind w:left="118" w:right="153" w:firstLine="0"/>
        <w:jc w:val="left"/>
        <w:rPr>
          <w:sz w:val="20"/>
        </w:rPr>
      </w:pPr>
      <w:bookmarkStart w:name="_bookmark6" w:id="7"/>
      <w:bookmarkEnd w:id="7"/>
      <w:r>
        <w:rPr/>
      </w:r>
      <w:r>
        <w:rPr>
          <w:w w:val="95"/>
          <w:sz w:val="20"/>
        </w:rPr>
        <w:t>7、</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   的整个上肢或包括髋关节的整个下肢。</w:t>
      </w:r>
    </w:p>
    <w:p>
      <w:pPr>
        <w:spacing w:line="280" w:lineRule="exact" w:before="1"/>
        <w:ind w:left="118" w:right="117" w:firstLine="0"/>
        <w:jc w:val="left"/>
        <w:rPr>
          <w:sz w:val="20"/>
        </w:rPr>
      </w:pPr>
      <w:bookmarkStart w:name="_bookmark7" w:id="8"/>
      <w:bookmarkEnd w:id="8"/>
      <w:r>
        <w:rPr/>
      </w:r>
      <w:r>
        <w:rPr>
          <w:sz w:val="20"/>
        </w:rPr>
        <w:t>8</w:t>
      </w:r>
      <w:r>
        <w:rPr>
          <w:spacing w:val="-27"/>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5"/>
          <w:w w:val="95"/>
          <w:sz w:val="20"/>
        </w:rPr>
        <w:t>口盖音和喉头音）中的任何三种、或声带全部切除，或因大脑语言中枢受伤害而患失语症。</w:t>
      </w:r>
    </w:p>
    <w:p>
      <w:pPr>
        <w:spacing w:line="254" w:lineRule="auto" w:before="0"/>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63" w:lineRule="exact" w:before="8"/>
        <w:ind w:left="118" w:right="0" w:firstLine="0"/>
        <w:jc w:val="left"/>
        <w:rPr>
          <w:sz w:val="20"/>
        </w:rPr>
      </w:pPr>
      <w:bookmarkStart w:name="_bookmark8" w:id="9"/>
      <w:bookmarkEnd w:id="9"/>
      <w:r>
        <w:rPr/>
      </w:r>
      <w:r>
        <w:rPr>
          <w:w w:val="95"/>
          <w:sz w:val="20"/>
        </w:rPr>
        <w:t>9、</w:t>
      </w:r>
      <w:r>
        <w:rPr>
          <w:rFonts w:ascii="Microsoft JhengHei" w:eastAsia="Microsoft JhengHei" w:hint="eastAsia"/>
          <w:b/>
          <w:w w:val="95"/>
          <w:sz w:val="20"/>
        </w:rPr>
        <w:t>六项基本日常生活活动：</w:t>
      </w:r>
      <w:r>
        <w:rPr>
          <w:w w:val="95"/>
          <w:sz w:val="20"/>
        </w:rPr>
        <w:t>指下列日常生活活动：</w:t>
      </w:r>
    </w:p>
    <w:p>
      <w:pPr>
        <w:spacing w:line="249" w:lineRule="exact" w:before="0"/>
        <w:ind w:left="118" w:right="0" w:firstLine="0"/>
        <w:jc w:val="left"/>
        <w:rPr>
          <w:sz w:val="20"/>
        </w:rPr>
      </w:pPr>
      <w:r>
        <w:rPr>
          <w:w w:val="95"/>
          <w:sz w:val="20"/>
        </w:rPr>
        <w:t>（1）穿衣：自己能够穿衣及脱衣；</w:t>
      </w:r>
    </w:p>
    <w:p>
      <w:pPr>
        <w:spacing w:line="259" w:lineRule="exact" w:before="0"/>
        <w:ind w:left="118" w:right="0" w:firstLine="0"/>
        <w:jc w:val="left"/>
        <w:rPr>
          <w:sz w:val="20"/>
        </w:rPr>
      </w:pPr>
      <w:r>
        <w:rPr>
          <w:w w:val="95"/>
          <w:sz w:val="20"/>
        </w:rPr>
        <w:t>（2）移动：自己从一个房间到另一个房间；</w:t>
      </w:r>
    </w:p>
    <w:p>
      <w:pPr>
        <w:spacing w:line="260" w:lineRule="exact" w:before="0"/>
        <w:ind w:left="118" w:right="0" w:firstLine="0"/>
        <w:jc w:val="left"/>
        <w:rPr>
          <w:sz w:val="20"/>
        </w:rPr>
      </w:pPr>
      <w:r>
        <w:rPr>
          <w:w w:val="95"/>
          <w:sz w:val="20"/>
        </w:rPr>
        <w:t>（3）行动：自己上下床或上下轮椅；</w:t>
      </w:r>
    </w:p>
    <w:p>
      <w:pPr>
        <w:spacing w:line="260" w:lineRule="exact" w:before="0"/>
        <w:ind w:left="118" w:right="0" w:firstLine="0"/>
        <w:jc w:val="left"/>
        <w:rPr>
          <w:sz w:val="20"/>
        </w:rPr>
      </w:pPr>
      <w:r>
        <w:rPr>
          <w:w w:val="95"/>
          <w:sz w:val="20"/>
        </w:rPr>
        <w:t>（4）如厕：自己控制进行大小便；</w:t>
      </w:r>
    </w:p>
    <w:p>
      <w:pPr>
        <w:spacing w:line="259" w:lineRule="exact" w:before="0"/>
        <w:ind w:left="118" w:right="0" w:firstLine="0"/>
        <w:jc w:val="left"/>
        <w:rPr>
          <w:sz w:val="20"/>
        </w:rPr>
      </w:pPr>
      <w:r>
        <w:rPr>
          <w:w w:val="95"/>
          <w:sz w:val="20"/>
        </w:rPr>
        <w:t>（5）进食：自己从已准备好的碗或碟中取食物放入口中；</w:t>
      </w:r>
    </w:p>
    <w:p>
      <w:pPr>
        <w:spacing w:line="260" w:lineRule="exact" w:before="0"/>
        <w:ind w:left="118" w:right="0" w:firstLine="0"/>
        <w:jc w:val="left"/>
        <w:rPr>
          <w:sz w:val="20"/>
        </w:rPr>
      </w:pPr>
      <w:r>
        <w:rPr>
          <w:w w:val="95"/>
          <w:sz w:val="20"/>
        </w:rPr>
        <w:t>（6）洗澡：自己进行淋浴或盆浴。</w:t>
      </w:r>
    </w:p>
    <w:p>
      <w:pPr>
        <w:spacing w:after="0" w:line="260" w:lineRule="exact"/>
        <w:jc w:val="left"/>
        <w:rPr>
          <w:sz w:val="20"/>
        </w:rPr>
        <w:sectPr>
          <w:pgSz w:w="11910" w:h="16840"/>
          <w:pgMar w:top="1360" w:bottom="280" w:left="1300" w:right="1200"/>
        </w:sectPr>
      </w:pPr>
    </w:p>
    <w:p>
      <w:pPr>
        <w:pStyle w:val="BodyText"/>
        <w:spacing w:line="268" w:lineRule="auto" w:before="19"/>
        <w:ind w:left="780" w:right="261"/>
      </w:pPr>
      <w:r>
        <w:rPr/>
        <w:t>重大器官移植术，指因相应器官功能衰竭，已经实施了肾脏、肝脏、心脏或肺脏的异体移植手术。</w:t>
      </w:r>
    </w:p>
    <w:p>
      <w:pPr>
        <w:pStyle w:val="BodyText"/>
        <w:spacing w:line="266" w:lineRule="auto" w:before="5"/>
        <w:ind w:left="780" w:right="2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ind w:left="780"/>
      </w:pPr>
      <w:r>
        <w:rPr/>
        <w:t>指为治疗严重的冠心病，实际实施了开胸进行的冠状动脉血管旁路移植的手术。</w:t>
      </w:r>
    </w:p>
    <w:p>
      <w:pPr>
        <w:pStyle w:val="Heading3"/>
        <w:spacing w:line="244" w:lineRule="auto" w:before="8"/>
        <w:ind w:left="780" w:right="223"/>
      </w:pPr>
      <w:r>
        <w:rPr/>
        <w:t>冠状动脉支架植入术、心导管球囊扩张术、激光射频技术及其它非开胸的介入手术、腔镜手术不在保障范围内。</w:t>
      </w:r>
    </w:p>
    <w:p>
      <w:pPr>
        <w:pStyle w:val="BodyText"/>
        <w:spacing w:before="23"/>
      </w:pPr>
      <w:r>
        <w:rPr/>
        <w:t>（六）终末期肾病（或称慢性肾功能衰竭尿毒症期）</w:t>
      </w:r>
    </w:p>
    <w:p>
      <w:pPr>
        <w:pStyle w:val="BodyText"/>
        <w:spacing w:line="268" w:lineRule="auto" w:before="30"/>
        <w:ind w:left="780" w:right="2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4"/>
      </w:pPr>
      <w:r>
        <w:rPr/>
        <w:t>（七）多个肢体缺失</w:t>
      </w:r>
    </w:p>
    <w:p>
      <w:pPr>
        <w:pStyle w:val="BodyText"/>
        <w:spacing w:line="268" w:lineRule="auto"/>
        <w:ind w:left="780" w:right="261"/>
      </w:pPr>
      <w:r>
        <w:rPr/>
        <w:t>指因疾病或意外伤害导致两个或两个以上肢体自腕关节或踝关节近端（靠近躯干端）以上完全性断离。</w:t>
      </w:r>
    </w:p>
    <w:p>
      <w:pPr>
        <w:pStyle w:val="BodyText"/>
        <w:spacing w:before="5"/>
      </w:pPr>
      <w:r>
        <w:rPr/>
        <w:t>（八）急性或亚急性重症肝炎</w:t>
      </w:r>
    </w:p>
    <w:p>
      <w:pPr>
        <w:pStyle w:val="BodyText"/>
        <w:spacing w:line="268" w:lineRule="auto"/>
        <w:ind w:left="780" w:right="261"/>
      </w:pPr>
      <w:r>
        <w:rPr/>
        <w:t>指因肝炎病毒感染引起肝脏组织弥漫性坏死，导致急性肝功能衰竭，且经血清学或病毒学检查证实，并须满足下列全部条件：</w:t>
      </w:r>
    </w:p>
    <w:p>
      <w:pPr>
        <w:pStyle w:val="BodyText"/>
        <w:spacing w:before="4"/>
        <w:ind w:left="778"/>
        <w:jc w:val="both"/>
      </w:pPr>
      <w:r>
        <w:rPr/>
        <w:t>（1）重度黄疸或黄疸迅速加重；</w:t>
      </w:r>
    </w:p>
    <w:p>
      <w:pPr>
        <w:pStyle w:val="BodyText"/>
        <w:ind w:left="778"/>
        <w:jc w:val="both"/>
      </w:pPr>
      <w:r>
        <w:rPr/>
        <w:t>（2）肝性脑病；</w:t>
      </w:r>
    </w:p>
    <w:p>
      <w:pPr>
        <w:pStyle w:val="BodyText"/>
        <w:spacing w:before="34"/>
        <w:ind w:left="778"/>
        <w:jc w:val="both"/>
      </w:pPr>
      <w:r>
        <w:rPr/>
        <w:t>（3）B 超或其它影像学检查显示肝脏体积急速萎缩；</w:t>
      </w:r>
    </w:p>
    <w:p>
      <w:pPr>
        <w:pStyle w:val="BodyText"/>
        <w:ind w:left="778"/>
        <w:jc w:val="both"/>
      </w:pPr>
      <w:r>
        <w:rPr/>
        <w:t>（4）肝功能指标进行性恶化。</w:t>
      </w:r>
    </w:p>
    <w:p>
      <w:pPr>
        <w:pStyle w:val="BodyText"/>
      </w:pPr>
      <w:r>
        <w:rPr/>
        <w:t>（九）良性脑肿瘤</w:t>
      </w:r>
    </w:p>
    <w:p>
      <w:pPr>
        <w:pStyle w:val="BodyText"/>
        <w:spacing w:line="266" w:lineRule="auto" w:before="34"/>
        <w:ind w:left="780" w:right="261"/>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9"/>
        <w:ind w:left="778"/>
        <w:jc w:val="both"/>
      </w:pPr>
      <w:r>
        <w:rPr/>
        <w:t>（1）实际实施了开颅进行的脑肿瘤完全切除或部分切除的手术；</w:t>
      </w:r>
    </w:p>
    <w:p>
      <w:pPr>
        <w:pStyle w:val="BodyText"/>
        <w:spacing w:before="30"/>
        <w:ind w:left="778"/>
        <w:jc w:val="both"/>
      </w:pPr>
      <w:r>
        <w:rPr/>
        <w:t>（2）实际实施了对脑肿瘤进行的放射治疗。</w:t>
      </w:r>
    </w:p>
    <w:p>
      <w:pPr>
        <w:pStyle w:val="Heading3"/>
        <w:spacing w:before="7"/>
        <w:ind w:left="790"/>
        <w:jc w:val="both"/>
      </w:pPr>
      <w:r>
        <w:rPr/>
        <w:t>脑垂体瘤、脑囊肿、脑血管性疾病不在保障范围内。</w:t>
      </w:r>
    </w:p>
    <w:p>
      <w:pPr>
        <w:pStyle w:val="BodyText"/>
        <w:spacing w:before="30"/>
      </w:pPr>
      <w:r>
        <w:rPr/>
        <w:t>（十）慢性肝功能衰竭失代偿期</w:t>
      </w:r>
    </w:p>
    <w:p>
      <w:pPr>
        <w:pStyle w:val="BodyText"/>
        <w:spacing w:before="30"/>
        <w:ind w:left="778"/>
        <w:jc w:val="both"/>
      </w:pPr>
      <w:r>
        <w:rPr/>
        <w:t>指因慢性肝脏疾病导致肝功能衰竭。须满足下列全部条件：</w:t>
      </w:r>
    </w:p>
    <w:p>
      <w:pPr>
        <w:pStyle w:val="BodyText"/>
        <w:spacing w:before="30"/>
        <w:ind w:left="778"/>
        <w:jc w:val="both"/>
      </w:pPr>
      <w:r>
        <w:rPr/>
        <w:t>（1）持续性黄疸；</w:t>
      </w:r>
    </w:p>
    <w:p>
      <w:pPr>
        <w:pStyle w:val="BodyText"/>
        <w:spacing w:before="33"/>
        <w:ind w:left="778"/>
        <w:jc w:val="both"/>
      </w:pPr>
      <w:r>
        <w:rPr/>
        <w:t>（2）腹水；</w:t>
      </w:r>
    </w:p>
    <w:p>
      <w:pPr>
        <w:pStyle w:val="BodyText"/>
        <w:ind w:left="778"/>
        <w:jc w:val="both"/>
      </w:pPr>
      <w:r>
        <w:rPr/>
        <w:t>（3）肝性脑病；</w:t>
      </w:r>
    </w:p>
    <w:p>
      <w:pPr>
        <w:pStyle w:val="BodyText"/>
        <w:ind w:left="778"/>
        <w:jc w:val="both"/>
      </w:pPr>
      <w:r>
        <w:rPr/>
        <w:t>（4）充血性脾肿大伴脾功能亢进或食管胃底静脉曲张。</w:t>
      </w:r>
    </w:p>
    <w:p>
      <w:pPr>
        <w:pStyle w:val="Heading3"/>
        <w:spacing w:before="10"/>
        <w:ind w:left="790"/>
        <w:jc w:val="both"/>
      </w:pPr>
      <w:r>
        <w:rPr/>
        <w:t>因酗酒或药物滥用导致的肝功能衰竭不在保障范围内。</w:t>
      </w:r>
    </w:p>
    <w:p>
      <w:pPr>
        <w:pStyle w:val="BodyText"/>
        <w:spacing w:before="28"/>
      </w:pPr>
      <w:r>
        <w:rPr/>
        <w:t>（十一）脑炎后遗症或脑膜炎后遗症</w:t>
      </w:r>
    </w:p>
    <w:p>
      <w:pPr>
        <w:pStyle w:val="BodyText"/>
        <w:spacing w:line="268" w:lineRule="auto"/>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4"/>
        <w:ind w:left="996"/>
      </w:pPr>
      <w:r>
        <w:rPr/>
        <w:t>（1）一肢或一肢以上肢体机能完全丧失；</w:t>
      </w:r>
    </w:p>
    <w:p>
      <w:pPr>
        <w:pStyle w:val="BodyText"/>
        <w:spacing w:before="30"/>
        <w:ind w:left="996"/>
      </w:pPr>
      <w:r>
        <w:rPr/>
        <w:t>（2）语言能力或咀嚼吞咽能力完全丧失；</w:t>
      </w:r>
    </w:p>
    <w:p>
      <w:pPr>
        <w:pStyle w:val="BodyText"/>
        <w:spacing w:line="266" w:lineRule="auto" w:before="33"/>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7"/>
      </w:pPr>
      <w:r>
        <w:rPr/>
        <w:t>（十二）深度昏迷</w:t>
      </w:r>
    </w:p>
    <w:p>
      <w:pPr>
        <w:spacing w:after="0"/>
        <w:sectPr>
          <w:pgSz w:w="11910" w:h="16840"/>
          <w:pgMar w:top="1380" w:bottom="280" w:left="1300" w:right="1200"/>
        </w:sectPr>
      </w:pPr>
    </w:p>
    <w:p>
      <w:pPr>
        <w:pStyle w:val="BodyText"/>
        <w:spacing w:line="266" w:lineRule="auto" w:before="19"/>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3"/>
        <w:spacing w:line="298" w:lineRule="exact"/>
        <w:ind w:left="958"/>
      </w:pPr>
      <w:r>
        <w:rPr/>
        <w:t>因酗酒或药物滥用导致的深度昏迷不在保障范围内。</w:t>
      </w:r>
    </w:p>
    <w:p>
      <w:pPr>
        <w:pStyle w:val="BodyText"/>
        <w:spacing w:before="30"/>
      </w:pPr>
      <w:r>
        <w:rPr/>
        <w:t>（十三）双耳失聪</w:t>
      </w:r>
    </w:p>
    <w:p>
      <w:pPr>
        <w:pStyle w:val="BodyText"/>
        <w:spacing w:before="30"/>
        <w:ind w:left="1001"/>
      </w:pPr>
      <w:r>
        <w:rPr>
          <w:spacing w:val="-3"/>
        </w:rPr>
        <w:t>指因疾病或意外伤害导致双耳听力</w:t>
      </w:r>
      <w:r>
        <w:rPr>
          <w:rFonts w:ascii="黑体" w:eastAsia="黑体" w:hint="eastAsia"/>
          <w:b/>
        </w:rPr>
        <w:t>永久不可逆</w:t>
      </w:r>
      <w:hyperlink w:history="true" w:anchor="_bookmark9">
        <w:r>
          <w:rPr>
            <w:rFonts w:ascii="黑体" w:eastAsia="黑体" w:hint="eastAsia"/>
            <w:b/>
            <w:position w:val="11"/>
            <w:sz w:val="11"/>
          </w:rPr>
          <w:t>10</w:t>
        </w:r>
      </w:hyperlink>
      <w:r>
        <w:rPr>
          <w:spacing w:val="-26"/>
        </w:rPr>
        <w:t>性丧失，在 </w:t>
      </w:r>
      <w:r>
        <w:rPr/>
        <w:t>500</w:t>
      </w:r>
      <w:r>
        <w:rPr>
          <w:spacing w:val="-38"/>
        </w:rPr>
        <w:t> 赫兹、</w:t>
      </w:r>
      <w:r>
        <w:rPr/>
        <w:t>1000</w:t>
      </w:r>
      <w:r>
        <w:rPr>
          <w:spacing w:val="-23"/>
        </w:rPr>
        <w:t> 赫兹和 </w:t>
      </w:r>
      <w:r>
        <w:rPr/>
        <w:t>2000</w:t>
      </w:r>
    </w:p>
    <w:p>
      <w:pPr>
        <w:pStyle w:val="BodyText"/>
        <w:spacing w:line="268" w:lineRule="auto" w:before="30"/>
        <w:ind w:left="1001" w:right="215"/>
      </w:pP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4"/>
      </w:pPr>
      <w:r>
        <w:rPr/>
        <w:t>（十四）双目失明</w:t>
      </w:r>
    </w:p>
    <w:p>
      <w:pPr>
        <w:pStyle w:val="BodyText"/>
        <w:spacing w:line="268" w:lineRule="auto"/>
        <w:ind w:left="1001" w:right="261"/>
      </w:pPr>
      <w:r>
        <w:rPr/>
        <w:t>指因疾病或意外伤害导致双眼视力永久不可逆性丧失，双眼中较好眼须满足下列至少一项条件：</w:t>
      </w:r>
    </w:p>
    <w:p>
      <w:pPr>
        <w:pStyle w:val="BodyText"/>
        <w:spacing w:before="4"/>
        <w:ind w:left="996"/>
      </w:pPr>
      <w:r>
        <w:rPr/>
        <w:t>（1）眼球缺失或摘除；</w:t>
      </w:r>
    </w:p>
    <w:p>
      <w:pPr>
        <w:pStyle w:val="BodyText"/>
        <w:spacing w:before="30"/>
        <w:ind w:left="996"/>
      </w:pP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3"/>
          <w:w w:val="100"/>
        </w:rPr>
        <w:t>）</w:t>
      </w:r>
      <w:r>
        <w:rPr>
          <w:w w:val="100"/>
        </w:rPr>
        <w:t>；</w:t>
      </w:r>
    </w:p>
    <w:p>
      <w:pPr>
        <w:pStyle w:val="BodyText"/>
        <w:spacing w:before="33"/>
        <w:ind w:left="996"/>
      </w:pPr>
      <w:r>
        <w:rPr/>
        <w:t>（3）视野半径小于 5 度。</w:t>
      </w:r>
    </w:p>
    <w:p>
      <w:pPr>
        <w:pStyle w:val="BodyText"/>
      </w:pPr>
      <w:r>
        <w:rPr/>
        <w:t>（十五）瘫痪</w:t>
      </w:r>
    </w:p>
    <w:p>
      <w:pPr>
        <w:pStyle w:val="BodyText"/>
        <w:spacing w:line="266" w:lineRule="auto"/>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7"/>
      </w:pPr>
      <w:r>
        <w:rPr/>
        <w:t>（十六）心脏瓣膜手术</w:t>
      </w:r>
    </w:p>
    <w:p>
      <w:pPr>
        <w:pStyle w:val="BodyText"/>
        <w:spacing w:before="33"/>
        <w:ind w:left="996"/>
      </w:pPr>
      <w:r>
        <w:rPr/>
        <w:t>指为治疗心脏瓣膜疾病，实际实施了开胸进行的心脏瓣膜置换或修复的手术。</w:t>
      </w:r>
    </w:p>
    <w:p>
      <w:pPr>
        <w:pStyle w:val="BodyText"/>
        <w:spacing w:before="30"/>
      </w:pPr>
      <w:r>
        <w:rPr/>
        <w:t>（十七）严重阿尔茨海默病</w:t>
      </w:r>
    </w:p>
    <w:p>
      <w:pPr>
        <w:pStyle w:val="BodyText"/>
        <w:spacing w:line="261" w:lineRule="auto" w:before="30"/>
        <w:ind w:left="958" w:right="105" w:firstLine="43"/>
        <w:rPr>
          <w:sz w:val="24"/>
        </w:rPr>
      </w:pPr>
      <w:r>
        <w:rPr>
          <w:spacing w:val="-3"/>
        </w:rPr>
        <w:t>指因大脑进行性、不可逆性改变导致智能严重衰退或丧失，临床表现为明显的认知能力障碍、行为异常和社交能力减退，其日常生活必须持续受到他人监护。须由头颅断</w:t>
      </w:r>
      <w:r>
        <w:rPr>
          <w:spacing w:val="-1"/>
          <w:w w:val="100"/>
        </w:rPr>
        <w:t>层</w:t>
      </w:r>
      <w:r>
        <w:rPr>
          <w:spacing w:val="-16"/>
          <w:w w:val="100"/>
        </w:rPr>
        <w:t>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sz w:val="24"/>
        </w:rPr>
        <w:t>神经官能症和精神疾病不在保障范围内。</w:t>
      </w:r>
    </w:p>
    <w:p>
      <w:pPr>
        <w:pStyle w:val="BodyText"/>
        <w:spacing w:before="6"/>
      </w:pPr>
      <w:r>
        <w:rPr/>
        <w:t>（十八）严重脑损伤</w:t>
      </w:r>
    </w:p>
    <w:p>
      <w:pPr>
        <w:pStyle w:val="BodyText"/>
        <w:spacing w:line="266" w:lineRule="auto"/>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9"/>
        <w:ind w:left="996"/>
      </w:pPr>
      <w:r>
        <w:rPr/>
        <w:t>（1）一肢或一肢以上肢体机能完全丧失；</w:t>
      </w:r>
    </w:p>
    <w:p>
      <w:pPr>
        <w:pStyle w:val="BodyText"/>
        <w:ind w:left="996"/>
      </w:pPr>
      <w:r>
        <w:rPr/>
        <w:t>（2）语言能力或咀嚼吞咽能力完全丧失；</w:t>
      </w:r>
    </w:p>
    <w:p>
      <w:pPr>
        <w:pStyle w:val="BodyText"/>
        <w:spacing w:line="268"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4"/>
      </w:pPr>
      <w:r>
        <w:rPr/>
        <w:t>（十九）严重帕金森病</w:t>
      </w:r>
    </w:p>
    <w:p>
      <w:pPr>
        <w:pStyle w:val="BodyText"/>
        <w:spacing w:line="268" w:lineRule="auto" w:before="30"/>
        <w:ind w:left="1001" w:right="261"/>
      </w:pPr>
      <w:r>
        <w:rPr/>
        <w:t>是一种中枢神经系统的退行性疾病，临床表现为震颤麻痹、共济失调等。须满足下列全部条件：</w:t>
      </w:r>
    </w:p>
    <w:p>
      <w:pPr>
        <w:pStyle w:val="BodyText"/>
        <w:spacing w:before="4"/>
        <w:ind w:left="996"/>
      </w:pPr>
      <w:r>
        <w:rPr/>
        <w:t>（1）药物治疗无法控制病情；</w:t>
      </w:r>
    </w:p>
    <w:p>
      <w:pPr>
        <w:pStyle w:val="BodyText"/>
        <w:ind w:left="1006"/>
      </w:pPr>
      <w:r>
        <w:rPr/>
        <w:t>（2）自主生活能力完全丧失，无法独立完成六项基本日常生活活动中的三项或三项以</w:t>
      </w:r>
    </w:p>
    <w:p>
      <w:pPr>
        <w:pStyle w:val="BodyText"/>
        <w:spacing w:before="0"/>
        <w:ind w:left="0"/>
        <w:rPr>
          <w:sz w:val="20"/>
        </w:rPr>
      </w:pPr>
    </w:p>
    <w:p>
      <w:pPr>
        <w:pStyle w:val="BodyText"/>
        <w:spacing w:before="2"/>
        <w:ind w:left="0"/>
        <w:rPr>
          <w:sz w:val="13"/>
        </w:rPr>
      </w:pPr>
      <w:r>
        <w:rPr/>
        <w:pict>
          <v:line style="position:absolute;mso-position-horizontal-relative:page;mso-position-vertical-relative:paragraph;z-index:1120;mso-wrap-distance-left:0;mso-wrap-distance-right:0" from="70.900002pt,10.5708pt" to="214.900002pt,10.5708pt" stroked="true" strokeweight="0pt" strokecolor="#000000">
            <v:stroke dashstyle="solid"/>
            <w10:wrap type="topAndBottom"/>
          </v:line>
        </w:pict>
      </w:r>
    </w:p>
    <w:p>
      <w:pPr>
        <w:pStyle w:val="BodyText"/>
        <w:spacing w:before="0"/>
        <w:ind w:left="0"/>
        <w:rPr>
          <w:sz w:val="6"/>
        </w:rPr>
      </w:pPr>
    </w:p>
    <w:p>
      <w:pPr>
        <w:spacing w:line="320" w:lineRule="exact" w:before="15"/>
        <w:ind w:left="118" w:right="283" w:firstLine="0"/>
        <w:jc w:val="left"/>
        <w:rPr>
          <w:sz w:val="20"/>
        </w:rPr>
      </w:pPr>
      <w:bookmarkStart w:name="_bookmark9" w:id="10"/>
      <w:bookmarkEnd w:id="10"/>
      <w:r>
        <w:rPr/>
      </w:r>
      <w:r>
        <w:rPr>
          <w:sz w:val="20"/>
        </w:rPr>
        <w:t>10、</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w:t>
      </w:r>
      <w:r>
        <w:rPr>
          <w:spacing w:val="-8"/>
          <w:w w:val="95"/>
          <w:sz w:val="20"/>
        </w:rPr>
        <w:t>段恢复。</w:t>
      </w:r>
    </w:p>
    <w:p>
      <w:pPr>
        <w:spacing w:after="0" w:line="320" w:lineRule="exact"/>
        <w:jc w:val="left"/>
        <w:rPr>
          <w:sz w:val="20"/>
        </w:rPr>
        <w:sectPr>
          <w:pgSz w:w="11910" w:h="16840"/>
          <w:pgMar w:top="1380" w:bottom="280" w:left="1300" w:right="1200"/>
        </w:sectPr>
      </w:pPr>
    </w:p>
    <w:p>
      <w:pPr>
        <w:pStyle w:val="BodyText"/>
        <w:spacing w:before="19"/>
        <w:ind w:left="1534"/>
      </w:pPr>
      <w:r>
        <w:rPr/>
        <w:t>上。</w:t>
      </w:r>
    </w:p>
    <w:p>
      <w:pPr>
        <w:pStyle w:val="Heading3"/>
        <w:spacing w:before="10"/>
        <w:ind w:left="958"/>
      </w:pPr>
      <w:r>
        <w:rPr/>
        <w:t>继发性帕金森综合征不在保障范围内。</w:t>
      </w:r>
    </w:p>
    <w:p>
      <w:pPr>
        <w:pStyle w:val="BodyText"/>
        <w:spacing w:before="28"/>
      </w:pPr>
      <w:r>
        <w:rPr/>
        <w:t>（二十）严重Ⅲ度烧伤</w:t>
      </w:r>
    </w:p>
    <w:p>
      <w:pPr>
        <w:pStyle w:val="BodyText"/>
        <w:spacing w:line="268" w:lineRule="auto"/>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4"/>
      </w:pPr>
      <w:r>
        <w:rPr/>
        <w:t>（二十一）严重原发性肺动脉高压</w:t>
      </w:r>
    </w:p>
    <w:p>
      <w:pPr>
        <w:spacing w:line="266" w:lineRule="auto" w:before="30"/>
        <w:ind w:left="1222" w:right="261" w:firstLine="0"/>
        <w:jc w:val="both"/>
        <w:rPr>
          <w:sz w:val="22"/>
        </w:rPr>
      </w:pPr>
      <w:r>
        <w:rPr>
          <w:spacing w:val="-3"/>
          <w:sz w:val="22"/>
        </w:rPr>
        <w:t>指不明原因的肺动脉压力持续性增高，进行性发展而导致的慢性疾病，已经造成永久不可逆性的体力活动能力受限，达到</w:t>
      </w:r>
      <w:r>
        <w:rPr>
          <w:rFonts w:ascii="黑体" w:eastAsia="黑体" w:hint="eastAsia"/>
          <w:b/>
          <w:spacing w:val="-4"/>
          <w:sz w:val="22"/>
        </w:rPr>
        <w:t>美国纽约心脏病学会心功能状态分级 </w:t>
      </w:r>
      <w:r>
        <w:rPr>
          <w:rFonts w:ascii="黑体" w:eastAsia="黑体" w:hint="eastAsia"/>
          <w:b/>
          <w:sz w:val="22"/>
        </w:rPr>
        <w:t>IV</w:t>
      </w:r>
      <w:hyperlink w:history="true" w:anchor="_bookmark10">
        <w:r>
          <w:rPr>
            <w:rFonts w:ascii="黑体" w:eastAsia="黑体" w:hint="eastAsia"/>
            <w:b/>
            <w:position w:val="11"/>
            <w:sz w:val="11"/>
          </w:rPr>
          <w:t>11</w:t>
        </w:r>
      </w:hyperlink>
      <w:r>
        <w:rPr>
          <w:sz w:val="22"/>
        </w:rPr>
        <w:t>， </w:t>
      </w:r>
      <w:r>
        <w:rPr>
          <w:spacing w:val="-7"/>
          <w:sz w:val="22"/>
        </w:rPr>
        <w:t>且静息状态下肺动脉平均压超过 </w:t>
      </w:r>
      <w:r>
        <w:rPr>
          <w:sz w:val="22"/>
        </w:rPr>
        <w:t>30mmHg。</w:t>
      </w:r>
    </w:p>
    <w:p>
      <w:pPr>
        <w:pStyle w:val="BodyText"/>
        <w:spacing w:before="6"/>
      </w:pPr>
      <w:r>
        <w:rPr/>
        <w:t>（二十二）严重运动神经元病</w:t>
      </w:r>
    </w:p>
    <w:p>
      <w:pPr>
        <w:pStyle w:val="BodyText"/>
        <w:spacing w:line="266" w:lineRule="auto" w:before="33"/>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pPr>
      <w:r>
        <w:rPr/>
        <w:t>（二十三）语言能力丧失</w:t>
      </w:r>
    </w:p>
    <w:p>
      <w:pPr>
        <w:pStyle w:val="BodyText"/>
        <w:spacing w:line="266" w:lineRule="auto"/>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3"/>
        <w:spacing w:line="300" w:lineRule="exact"/>
        <w:ind w:left="1222"/>
      </w:pPr>
      <w:r>
        <w:rPr/>
        <w:t>精神心理因素所致的语言能力丧失不在保障范围内。</w:t>
      </w:r>
    </w:p>
    <w:p>
      <w:pPr>
        <w:pStyle w:val="BodyText"/>
        <w:spacing w:before="28"/>
      </w:pPr>
      <w:r>
        <w:rPr/>
        <w:t>（二十四）重型再生障碍性贫血</w:t>
      </w:r>
    </w:p>
    <w:p>
      <w:pPr>
        <w:pStyle w:val="BodyText"/>
        <w:spacing w:line="268" w:lineRule="auto" w:before="30"/>
        <w:ind w:left="1222" w:right="261"/>
      </w:pPr>
      <w:r>
        <w:rPr/>
        <w:t>指因骨髓造血功能慢性持续性衰竭导致的贫血、中性粒细胞减少及血小板减少。须满足下列全部条件：</w:t>
      </w:r>
    </w:p>
    <w:p>
      <w:pPr>
        <w:pStyle w:val="BodyText"/>
        <w:spacing w:before="4"/>
        <w:ind w:left="1217"/>
        <w:jc w:val="both"/>
      </w:pPr>
      <w:r>
        <w:rPr/>
        <w:t>（1）骨髓穿刺检查或骨髓活检结果支持诊断；</w:t>
      </w:r>
    </w:p>
    <w:p>
      <w:pPr>
        <w:pStyle w:val="BodyText"/>
        <w:ind w:left="1217"/>
        <w:jc w:val="both"/>
      </w:pPr>
      <w:r>
        <w:rPr/>
        <w:t>（2）外周血象须具备以下三项条件：</w:t>
      </w:r>
    </w:p>
    <w:p>
      <w:pPr>
        <w:pStyle w:val="BodyText"/>
        <w:spacing w:before="33"/>
        <w:ind w:left="1767"/>
      </w:pPr>
      <w:r>
        <w:rPr/>
        <w:t>① 中性粒细胞绝对值≤0.5×10</w:t>
      </w:r>
      <w:r>
        <w:rPr>
          <w:position w:val="11"/>
          <w:sz w:val="11"/>
        </w:rPr>
        <w:t>9</w:t>
      </w:r>
      <w:r>
        <w:rPr/>
        <w:t>/L ；</w:t>
      </w:r>
    </w:p>
    <w:p>
      <w:pPr>
        <w:pStyle w:val="BodyText"/>
        <w:spacing w:before="30"/>
        <w:ind w:left="1767"/>
      </w:pPr>
      <w:r>
        <w:rPr/>
        <w:t>② 网织红细胞＜1%；</w:t>
      </w:r>
    </w:p>
    <w:p>
      <w:pPr>
        <w:pStyle w:val="BodyText"/>
        <w:spacing w:before="30"/>
        <w:ind w:left="1767"/>
      </w:pPr>
      <w:r>
        <w:rPr/>
        <w:t>③ 血小板绝对值≤20×10</w:t>
      </w:r>
      <w:r>
        <w:rPr>
          <w:position w:val="11"/>
          <w:sz w:val="11"/>
        </w:rPr>
        <w:t>9</w:t>
      </w:r>
      <w:r>
        <w:rPr/>
        <w:t>/L。</w:t>
      </w:r>
    </w:p>
    <w:p>
      <w:pPr>
        <w:pStyle w:val="BodyText"/>
        <w:spacing w:before="33"/>
      </w:pPr>
      <w:r>
        <w:rPr/>
        <w:t>（二十五）主动脉手术</w:t>
      </w:r>
    </w:p>
    <w:p>
      <w:pPr>
        <w:spacing w:line="247" w:lineRule="auto" w:before="31"/>
        <w:ind w:left="1222" w:right="217" w:firstLine="0"/>
        <w:jc w:val="both"/>
        <w:rPr>
          <w:sz w:val="24"/>
        </w:rPr>
      </w:pPr>
      <w:r>
        <w:rPr>
          <w:spacing w:val="-3"/>
          <w:sz w:val="22"/>
        </w:rPr>
        <w:t>指为治疗主动脉疾病，实际实施了开胸或开腹进行的切除、置换、修补病损主动脉</w:t>
      </w:r>
      <w:r>
        <w:rPr>
          <w:spacing w:val="-9"/>
          <w:sz w:val="22"/>
        </w:rPr>
        <w:t>血管的手术。</w:t>
      </w:r>
      <w:r>
        <w:rPr>
          <w:spacing w:val="-3"/>
          <w:sz w:val="24"/>
        </w:rPr>
        <w:t>主动脉指胸主动脉和腹主动脉，不包括胸主动脉和腹主动脉的分支血管。</w:t>
      </w:r>
    </w:p>
    <w:p>
      <w:pPr>
        <w:pStyle w:val="Heading3"/>
        <w:spacing w:line="312" w:lineRule="exact"/>
        <w:ind w:left="1246"/>
        <w:jc w:val="both"/>
      </w:pPr>
      <w:r>
        <w:rPr/>
        <w:t>动脉内血管成形术不在保障范围内。</w:t>
      </w:r>
    </w:p>
    <w:p>
      <w:pPr>
        <w:pStyle w:val="BodyText"/>
        <w:spacing w:before="28"/>
      </w:pPr>
      <w:r>
        <w:rPr/>
        <w:t>（二十六）慢性呼吸功能衰竭</w:t>
      </w:r>
    </w:p>
    <w:p>
      <w:pPr>
        <w:pStyle w:val="BodyText"/>
        <w:spacing w:before="33"/>
        <w:ind w:left="1222"/>
        <w:jc w:val="both"/>
      </w:pPr>
      <w:r>
        <w:rPr/>
        <w:t>指患有终末期肺病而出现慢性呼吸功能衰竭，须满足下列全部条件：</w:t>
      </w:r>
    </w:p>
    <w:p>
      <w:pPr>
        <w:pStyle w:val="BodyText"/>
        <w:ind w:left="1217"/>
        <w:jc w:val="both"/>
      </w:pPr>
      <w:r>
        <w:rPr/>
        <w:t>（1）肺功能测试其 FEV1 持续低于 1 升；</w:t>
      </w:r>
    </w:p>
    <w:p>
      <w:pPr>
        <w:pStyle w:val="BodyText"/>
        <w:ind w:left="1217"/>
        <w:jc w:val="both"/>
      </w:pPr>
      <w:r>
        <w:rPr/>
        <w:t>（2）病人血氧不足必须持续地进行输氧治疗；</w:t>
      </w:r>
    </w:p>
    <w:p>
      <w:pPr>
        <w:pStyle w:val="BodyText"/>
        <w:spacing w:before="33"/>
        <w:ind w:left="1217"/>
        <w:jc w:val="both"/>
      </w:pPr>
      <w:r>
        <w:rPr/>
        <w:t>（3）动脉血气分析氧分压低于或等于 55mmHg；</w:t>
      </w:r>
    </w:p>
    <w:p>
      <w:pPr>
        <w:pStyle w:val="BodyText"/>
        <w:spacing w:before="30"/>
        <w:ind w:left="1217"/>
        <w:jc w:val="both"/>
      </w:pPr>
      <w:r>
        <w:rPr/>
        <w:t>（4）动脉血气分析结果符合重度慢性呼吸衰竭诊断标准，静止时也感到呼吸困难。</w:t>
      </w:r>
    </w:p>
    <w:p>
      <w:pPr>
        <w:pStyle w:val="BodyText"/>
        <w:spacing w:before="30"/>
      </w:pPr>
      <w:r>
        <w:rPr/>
        <w:t>（二十七）肌营养不良症</w:t>
      </w:r>
    </w:p>
    <w:p>
      <w:pPr>
        <w:pStyle w:val="BodyText"/>
        <w:spacing w:before="33"/>
        <w:ind w:left="1217"/>
        <w:jc w:val="both"/>
      </w:pPr>
      <w:r>
        <w:rPr/>
        <w:t>须满足下列全部条件：</w:t>
      </w:r>
    </w:p>
    <w:p>
      <w:pPr>
        <w:pStyle w:val="BodyText"/>
        <w:ind w:left="1217"/>
        <w:jc w:val="both"/>
      </w:pPr>
      <w:r>
        <w:rPr/>
        <w:t>（1）临床表现包括：无感觉神经紊乱，正常脑脊液及腱反射的轻微减退；</w:t>
      </w:r>
    </w:p>
    <w:p>
      <w:pPr>
        <w:pStyle w:val="BodyText"/>
        <w:spacing w:before="0"/>
        <w:ind w:left="0"/>
        <w:rPr>
          <w:sz w:val="20"/>
        </w:rPr>
      </w:pPr>
    </w:p>
    <w:p>
      <w:pPr>
        <w:pStyle w:val="BodyText"/>
        <w:spacing w:before="1"/>
        <w:ind w:left="0"/>
        <w:rPr>
          <w:sz w:val="13"/>
        </w:rPr>
      </w:pPr>
      <w:r>
        <w:rPr/>
        <w:pict>
          <v:line style="position:absolute;mso-position-horizontal-relative:page;mso-position-vertical-relative:paragraph;z-index:1144;mso-wrap-distance-left:0;mso-wrap-distance-right:0" from="70.900002pt,10.519722pt" to="214.900002pt,10.519722pt" stroked="true" strokeweight="0pt" strokecolor="#000000">
            <v:stroke dashstyle="solid"/>
            <w10:wrap type="topAndBottom"/>
          </v:line>
        </w:pict>
      </w:r>
    </w:p>
    <w:p>
      <w:pPr>
        <w:pStyle w:val="BodyText"/>
        <w:spacing w:before="1"/>
        <w:ind w:left="0"/>
        <w:rPr>
          <w:sz w:val="6"/>
        </w:rPr>
      </w:pPr>
    </w:p>
    <w:p>
      <w:pPr>
        <w:spacing w:line="320" w:lineRule="exact" w:before="15"/>
        <w:ind w:left="118" w:right="117" w:firstLine="0"/>
        <w:jc w:val="left"/>
        <w:rPr>
          <w:sz w:val="20"/>
        </w:rPr>
      </w:pPr>
      <w:bookmarkStart w:name="_bookmark10" w:id="11"/>
      <w:bookmarkEnd w:id="11"/>
      <w:r>
        <w:rPr/>
      </w:r>
      <w:r>
        <w:rPr>
          <w:sz w:val="20"/>
        </w:rPr>
        <w:t>11</w:t>
      </w:r>
      <w:r>
        <w:rPr>
          <w:spacing w:val="-15"/>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7"/>
          <w:sz w:val="20"/>
        </w:rPr>
        <w:t>义 </w:t>
      </w:r>
      <w:r>
        <w:rPr>
          <w:sz w:val="20"/>
        </w:rPr>
        <w:t>2。</w:t>
      </w:r>
    </w:p>
    <w:p>
      <w:pPr>
        <w:spacing w:after="0" w:line="320" w:lineRule="exact"/>
        <w:jc w:val="left"/>
        <w:rPr>
          <w:sz w:val="20"/>
        </w:rPr>
        <w:sectPr>
          <w:pgSz w:w="11910" w:h="16840"/>
          <w:pgMar w:top="1380" w:bottom="280" w:left="1300" w:right="1200"/>
        </w:sectPr>
      </w:pPr>
    </w:p>
    <w:p>
      <w:pPr>
        <w:pStyle w:val="BodyText"/>
        <w:spacing w:before="19"/>
        <w:ind w:left="1217"/>
      </w:pPr>
      <w:r>
        <w:rPr/>
        <w:t>（2）典型的肌电图；</w:t>
      </w:r>
    </w:p>
    <w:p>
      <w:pPr>
        <w:pStyle w:val="BodyText"/>
        <w:spacing w:before="34"/>
        <w:ind w:left="1217"/>
      </w:pPr>
      <w:r>
        <w:rPr/>
        <w:t>（3）临床的异常表现已被肌活检确诊。</w:t>
      </w:r>
    </w:p>
    <w:p>
      <w:pPr>
        <w:pStyle w:val="BodyText"/>
      </w:pPr>
      <w:r>
        <w:rPr/>
        <w:t>（二十八）多发性硬化症</w:t>
      </w:r>
    </w:p>
    <w:p>
      <w:pPr>
        <w:pStyle w:val="BodyText"/>
        <w:spacing w:line="268" w:lineRule="auto"/>
        <w:ind w:left="1222" w:right="161"/>
      </w:pPr>
      <w:r>
        <w:rPr/>
        <w:t>是指中枢神经系统白质多灶性脱髓鞘病变，病变有时累及灰质。须满足下列全部条件：</w:t>
      </w:r>
    </w:p>
    <w:p>
      <w:pPr>
        <w:pStyle w:val="BodyText"/>
        <w:spacing w:before="5"/>
        <w:ind w:left="1229"/>
      </w:pPr>
      <w:r>
        <w:rPr/>
        <w:t>（1）CT 或 MRI 证实存在中枢神经系统多发脱髓鞘病灶；</w:t>
      </w:r>
    </w:p>
    <w:p>
      <w:pPr>
        <w:pStyle w:val="BodyText"/>
        <w:ind w:left="1229"/>
      </w:pPr>
      <w:r>
        <w:rPr/>
        <w:t>（2）永久不可逆性的视神经、脑干和脊髓损害的症状和体征持续 180 天以上；</w:t>
      </w:r>
    </w:p>
    <w:p>
      <w:pPr>
        <w:pStyle w:val="BodyText"/>
        <w:spacing w:before="33"/>
        <w:ind w:left="1229"/>
      </w:pPr>
      <w:r>
        <w:rPr/>
        <w:t>（3）有上述症状体征及神经损伤反复恶化、减轻的病史记录。</w:t>
      </w:r>
    </w:p>
    <w:p>
      <w:pPr>
        <w:pStyle w:val="BodyText"/>
      </w:pPr>
      <w:r>
        <w:rPr/>
        <w:t>（二十九）脊髓灰质炎</w:t>
      </w:r>
    </w:p>
    <w:p>
      <w:pPr>
        <w:spacing w:line="256" w:lineRule="auto" w:before="31"/>
        <w:ind w:left="1222" w:right="16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8" w:lineRule="auto" w:before="11"/>
        <w:ind w:left="1222" w:right="115"/>
      </w:pPr>
      <w:r>
        <w:rPr>
          <w:spacing w:val="-16"/>
        </w:rPr>
        <w:t>前述所称“运动功能障碍”，指经确诊被保险人无法独立完成六项基本日常生活活动</w:t>
      </w:r>
      <w:r>
        <w:rPr>
          <w:spacing w:val="-3"/>
        </w:rPr>
        <w:t>中的三项或三项以上。</w:t>
      </w:r>
    </w:p>
    <w:p>
      <w:pPr>
        <w:pStyle w:val="BodyText"/>
        <w:spacing w:before="4"/>
      </w:pPr>
      <w:r>
        <w:rPr/>
        <w:t>（三十）严重心肌病</w:t>
      </w:r>
    </w:p>
    <w:p>
      <w:pPr>
        <w:pStyle w:val="BodyText"/>
        <w:spacing w:line="268" w:lineRule="auto" w:before="30"/>
        <w:ind w:left="1001" w:right="11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4"/>
        <w:ind w:left="1001"/>
      </w:pPr>
      <w:r>
        <w:rPr/>
        <w:t>IV 级。本保障范围内的心肌病包括扩张型心肌病、肥厚型心肌病及限制型心肌病。</w:t>
      </w:r>
    </w:p>
    <w:p>
      <w:pPr>
        <w:pStyle w:val="Heading3"/>
        <w:spacing w:before="7"/>
        <w:ind w:left="1001"/>
      </w:pPr>
      <w:r>
        <w:rPr/>
        <w:t>继发于酒精滥用性的心肌病不在此保障范围之内。</w:t>
      </w:r>
    </w:p>
    <w:p>
      <w:pPr>
        <w:pStyle w:val="BodyText"/>
        <w:spacing w:before="30"/>
      </w:pPr>
      <w:r>
        <w:rPr/>
        <w:t>（三十一）重度胰岛素依赖型糖尿病(I 型糖尿病)</w:t>
      </w:r>
    </w:p>
    <w:p>
      <w:pPr>
        <w:pStyle w:val="BodyText"/>
        <w:spacing w:line="266" w:lineRule="auto"/>
        <w:ind w:left="1222" w:right="16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7"/>
        <w:ind w:left="1229"/>
      </w:pPr>
      <w:r>
        <w:rPr/>
        <w:t>（1）出现视网膜增殖性病变；</w:t>
      </w:r>
    </w:p>
    <w:p>
      <w:pPr>
        <w:pStyle w:val="BodyText"/>
        <w:ind w:left="1229"/>
      </w:pPr>
      <w:r>
        <w:rPr/>
        <w:t>（2）因坏疽需切除一只或以上脚趾；</w:t>
      </w:r>
    </w:p>
    <w:p>
      <w:pPr>
        <w:pStyle w:val="BodyText"/>
        <w:spacing w:before="33"/>
        <w:ind w:left="1229"/>
      </w:pPr>
      <w:r>
        <w:rPr/>
        <w:t>（3）肾透析。</w:t>
      </w:r>
    </w:p>
    <w:p>
      <w:pPr>
        <w:pStyle w:val="BodyText"/>
      </w:pPr>
      <w:r>
        <w:rPr/>
        <w:t>（三十二）严重类风湿性关节炎指广泛的关节损坏，须满足下列条件：</w:t>
      </w:r>
    </w:p>
    <w:p>
      <w:pPr>
        <w:pStyle w:val="BodyText"/>
        <w:spacing w:line="268" w:lineRule="auto"/>
        <w:ind w:left="1772" w:right="192" w:hanging="550"/>
      </w:pPr>
      <w:r>
        <w:rPr>
          <w:spacing w:val="-5"/>
        </w:rPr>
        <w:t>（1）手、腕、肘、颈椎、膝、踝、或足部跖趾关节中存在三个或三个以上关节的畸</w:t>
      </w:r>
      <w:r>
        <w:rPr>
          <w:spacing w:val="-3"/>
        </w:rPr>
        <w:t>形；</w:t>
      </w:r>
    </w:p>
    <w:p>
      <w:pPr>
        <w:pStyle w:val="BodyText"/>
        <w:spacing w:line="266" w:lineRule="auto" w:before="4"/>
        <w:ind w:left="1772" w:right="11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9"/>
        <w:ind w:left="1217"/>
      </w:pPr>
      <w:r>
        <w:rPr/>
        <w:t>（3）上述畸形及功能异常须持续至少达 180 天。</w:t>
      </w:r>
    </w:p>
    <w:p>
      <w:pPr>
        <w:pStyle w:val="BodyText"/>
        <w:spacing w:line="266" w:lineRule="auto"/>
        <w:ind w:right="163"/>
        <w:jc w:val="both"/>
      </w:pPr>
      <w:r>
        <w:rPr>
          <w:spacing w:val="-14"/>
        </w:rPr>
        <w:t>注：第 </w:t>
      </w:r>
      <w:r>
        <w:rPr/>
        <w:t>1-25</w:t>
      </w:r>
      <w:r>
        <w:rPr>
          <w:spacing w:val="-15"/>
        </w:rPr>
        <w:t> 项为《重大疾病保险的疾病定义使用规范》</w:t>
      </w:r>
      <w:r>
        <w:rPr/>
        <w:t>（</w:t>
      </w:r>
      <w:r>
        <w:rPr>
          <w:spacing w:val="-3"/>
        </w:rPr>
        <w:t>中国保险行业协会与中国医师协会共</w:t>
      </w:r>
      <w:r>
        <w:rPr>
          <w:spacing w:val="-2"/>
        </w:rPr>
        <w:t>同制定</w:t>
      </w:r>
      <w:r>
        <w:rPr/>
        <w:t>）</w:t>
      </w:r>
      <w:r>
        <w:rPr>
          <w:spacing w:val="-7"/>
        </w:rPr>
        <w:t>规定的重大疾病种类；第 </w:t>
      </w:r>
      <w:r>
        <w:rPr/>
        <w:t>26-32</w:t>
      </w:r>
      <w:r>
        <w:rPr>
          <w:spacing w:val="-9"/>
        </w:rPr>
        <w:t> 项为《重大疾病保险的疾病定义使用规范》之外我们</w:t>
      </w:r>
      <w:r>
        <w:rPr>
          <w:spacing w:val="-3"/>
        </w:rPr>
        <w:t>另增加的重大疾病种类。</w:t>
      </w:r>
    </w:p>
    <w:p>
      <w:pPr>
        <w:pStyle w:val="BodyText"/>
        <w:spacing w:before="11"/>
        <w:ind w:left="0"/>
        <w:rPr>
          <w:sz w:val="24"/>
        </w:rPr>
      </w:pPr>
    </w:p>
    <w:p>
      <w:pPr>
        <w:pStyle w:val="Heading4"/>
        <w:numPr>
          <w:ilvl w:val="1"/>
          <w:numId w:val="6"/>
        </w:numPr>
        <w:tabs>
          <w:tab w:pos="505" w:val="left" w:leader="none"/>
        </w:tabs>
        <w:spacing w:line="240" w:lineRule="auto" w:before="1" w:after="0"/>
        <w:ind w:left="504" w:right="0" w:hanging="386"/>
        <w:jc w:val="left"/>
      </w:pPr>
      <w:r>
        <w:rPr>
          <w:spacing w:val="-1"/>
        </w:rPr>
        <w:t>特定疾病</w:t>
      </w:r>
    </w:p>
    <w:p>
      <w:pPr>
        <w:pStyle w:val="BodyText"/>
        <w:spacing w:before="33"/>
      </w:pPr>
      <w:r>
        <w:rPr/>
        <w:t>（一）特定恶性病变或恶性肿瘤</w:t>
      </w:r>
    </w:p>
    <w:p>
      <w:pPr>
        <w:pStyle w:val="BodyText"/>
        <w:spacing w:before="30"/>
        <w:ind w:left="780"/>
      </w:pPr>
      <w:r>
        <w:rPr/>
        <w:t>须由组织病理学检查被明确诊断为下列恶性病变，并且接受了相应的治疗。</w:t>
      </w:r>
    </w:p>
    <w:p>
      <w:pPr>
        <w:pStyle w:val="BodyText"/>
        <w:spacing w:line="268" w:lineRule="auto" w:before="30"/>
        <w:ind w:left="1330" w:right="202" w:hanging="550"/>
      </w:pPr>
      <w:r>
        <w:rPr>
          <w:spacing w:val="-5"/>
        </w:rPr>
        <w:t>（1）原位癌。必须经对固定活组织的组织病理学检查明确诊断，且已经接受了针对原位癌病灶的积极治疗；</w:t>
      </w:r>
    </w:p>
    <w:p>
      <w:pPr>
        <w:pStyle w:val="BodyText"/>
        <w:spacing w:before="4"/>
        <w:ind w:left="780"/>
      </w:pPr>
      <w:r>
        <w:rPr/>
        <w:t>（2）相当于 Binet 分期方案 A 期程度的慢性淋巴细胞白血病；</w:t>
      </w:r>
    </w:p>
    <w:p>
      <w:pPr>
        <w:pStyle w:val="BodyText"/>
        <w:ind w:left="780"/>
      </w:pPr>
      <w:r>
        <w:rPr/>
        <w:t>（3）相当于 Ann Arbor 分期方案 I 期程度的何杰金氏病；</w:t>
      </w:r>
    </w:p>
    <w:p>
      <w:pPr>
        <w:spacing w:after="0"/>
        <w:sectPr>
          <w:pgSz w:w="11910" w:h="16840"/>
          <w:pgMar w:top="1380" w:bottom="280" w:left="1300" w:right="1300"/>
        </w:sectPr>
      </w:pPr>
    </w:p>
    <w:p>
      <w:pPr>
        <w:pStyle w:val="BodyText"/>
        <w:spacing w:before="19"/>
        <w:ind w:left="780"/>
      </w:pPr>
      <w:r>
        <w:rPr>
          <w:spacing w:val="-3"/>
          <w:w w:val="100"/>
        </w:rPr>
        <w:t>（</w:t>
      </w:r>
      <w:r>
        <w:rPr>
          <w:spacing w:val="-1"/>
          <w:w w:val="100"/>
        </w:rPr>
        <w:t>4）</w:t>
      </w:r>
      <w:r>
        <w:rPr>
          <w:spacing w:val="-2"/>
          <w:w w:val="100"/>
        </w:rPr>
        <w:t>皮肤癌</w:t>
      </w:r>
      <w:r>
        <w:rPr>
          <w:spacing w:val="-3"/>
          <w:w w:val="100"/>
        </w:rPr>
        <w:t>（不包括恶性黑色素瘤及已发生转移的皮肤癌</w:t>
      </w:r>
      <w:r>
        <w:rPr>
          <w:spacing w:val="-111"/>
          <w:w w:val="100"/>
        </w:rPr>
        <w:t>）</w:t>
      </w:r>
      <w:r>
        <w:rPr>
          <w:w w:val="100"/>
        </w:rPr>
        <w:t>；</w:t>
      </w:r>
    </w:p>
    <w:p>
      <w:pPr>
        <w:spacing w:before="10"/>
        <w:ind w:left="780" w:right="0" w:firstLine="0"/>
        <w:jc w:val="left"/>
        <w:rPr>
          <w:sz w:val="22"/>
        </w:rPr>
      </w:pPr>
      <w:r>
        <w:rPr>
          <w:sz w:val="22"/>
        </w:rPr>
        <w:t>（5）TNM 分期为 </w:t>
      </w:r>
      <w:r>
        <w:rPr>
          <w:sz w:val="24"/>
        </w:rPr>
        <w:t>T</w:t>
      </w:r>
      <w:r>
        <w:rPr>
          <w:position w:val="-2"/>
          <w:sz w:val="12"/>
        </w:rPr>
        <w:t>1</w:t>
      </w:r>
      <w:r>
        <w:rPr>
          <w:sz w:val="24"/>
        </w:rPr>
        <w:t>N</w:t>
      </w:r>
      <w:r>
        <w:rPr>
          <w:position w:val="-2"/>
          <w:sz w:val="12"/>
        </w:rPr>
        <w:t>0</w:t>
      </w:r>
      <w:r>
        <w:rPr>
          <w:sz w:val="24"/>
        </w:rPr>
        <w:t>M</w:t>
      </w:r>
      <w:r>
        <w:rPr>
          <w:position w:val="-2"/>
          <w:sz w:val="12"/>
        </w:rPr>
        <w:t>0 </w:t>
      </w:r>
      <w:r>
        <w:rPr>
          <w:sz w:val="22"/>
        </w:rPr>
        <w:t>期或更轻分期的前列腺癌。</w:t>
      </w:r>
    </w:p>
    <w:p>
      <w:pPr>
        <w:pStyle w:val="BodyText"/>
        <w:spacing w:before="15"/>
      </w:pPr>
      <w:r>
        <w:rPr/>
        <w:t>（二）冠状动脉成形手术</w:t>
      </w:r>
    </w:p>
    <w:p>
      <w:pPr>
        <w:pStyle w:val="BodyText"/>
        <w:spacing w:line="268" w:lineRule="auto"/>
        <w:ind w:left="780" w:right="161"/>
      </w:pPr>
      <w:r>
        <w:rPr/>
        <w:t>指为了治疗明显的冠状动脉狭窄性疾病，首次实际实施了冠状动脉球囊扩张成形术、冠状动脉支架植入术、冠状动脉粥肿斑块切除术或激光冠状动脉成形术。</w:t>
      </w:r>
    </w:p>
    <w:p>
      <w:pPr>
        <w:pStyle w:val="BodyText"/>
        <w:spacing w:before="4"/>
      </w:pPr>
      <w:r>
        <w:rPr/>
        <w:t>（三）轻微脑中风</w:t>
      </w:r>
    </w:p>
    <w:p>
      <w:pPr>
        <w:pStyle w:val="BodyText"/>
        <w:spacing w:line="268" w:lineRule="auto"/>
        <w:ind w:left="780" w:right="161"/>
      </w:pPr>
      <w:r>
        <w:rPr/>
        <w:t>指实际发生了脑血管的突发病变出现神经系统功能障碍表现，已接受住院治疗，并须同时满足下列全部条件：</w:t>
      </w:r>
    </w:p>
    <w:p>
      <w:pPr>
        <w:pStyle w:val="BodyText"/>
        <w:spacing w:line="266" w:lineRule="auto" w:before="5"/>
        <w:ind w:left="1340" w:right="113" w:hanging="550"/>
      </w:pPr>
      <w:r>
        <w:rPr>
          <w:spacing w:val="-3"/>
          <w:w w:val="100"/>
        </w:rPr>
        <w:t>（</w:t>
      </w:r>
      <w:r>
        <w:rPr>
          <w:spacing w:val="-1"/>
          <w:w w:val="100"/>
        </w:rPr>
        <w:t>1</w:t>
      </w:r>
      <w:r>
        <w:rPr>
          <w:spacing w:val="-13"/>
          <w:w w:val="100"/>
        </w:rPr>
        <w:t>）</w:t>
      </w:r>
      <w:r>
        <w:rPr>
          <w:spacing w:val="-5"/>
          <w:w w:val="100"/>
        </w:rPr>
        <w:t>须由头颅断层扫描</w:t>
      </w:r>
      <w:r>
        <w:rPr>
          <w:spacing w:val="-1"/>
          <w:w w:val="100"/>
        </w:rPr>
        <w:t>（CT</w:t>
      </w:r>
      <w:r>
        <w:rPr>
          <w:spacing w:val="-113"/>
          <w:w w:val="100"/>
        </w:rPr>
        <w:t>）</w:t>
      </w:r>
      <w:r>
        <w:rPr>
          <w:spacing w:val="-7"/>
          <w:w w:val="100"/>
        </w:rPr>
        <w:t>、核磁共振</w:t>
      </w:r>
      <w:r>
        <w:rPr>
          <w:spacing w:val="-3"/>
          <w:w w:val="100"/>
        </w:rPr>
        <w:t>（</w:t>
      </w:r>
      <w:r>
        <w:rPr>
          <w:spacing w:val="-1"/>
          <w:w w:val="100"/>
        </w:rPr>
        <w:t>MRI</w:t>
      </w:r>
      <w:r>
        <w:rPr>
          <w:spacing w:val="-13"/>
          <w:w w:val="100"/>
        </w:rPr>
        <w:t>）</w:t>
      </w:r>
      <w:r>
        <w:rPr>
          <w:spacing w:val="-4"/>
          <w:w w:val="100"/>
        </w:rPr>
        <w:t>等影像学检查证实存在对应病灶，确诊</w:t>
      </w:r>
      <w:r>
        <w:rPr>
          <w:spacing w:val="-3"/>
        </w:rPr>
        <w:t>为脑出血、脑栓塞或脑梗塞；</w:t>
      </w:r>
    </w:p>
    <w:p>
      <w:pPr>
        <w:pStyle w:val="BodyText"/>
        <w:spacing w:line="266" w:lineRule="auto" w:before="9"/>
        <w:ind w:left="1340" w:right="115" w:hanging="550"/>
      </w:pPr>
      <w:r>
        <w:rPr>
          <w:spacing w:val="-26"/>
        </w:rPr>
        <w:t>（2）</w:t>
      </w:r>
      <w:r>
        <w:rPr>
          <w:spacing w:val="-13"/>
        </w:rPr>
        <w:t>疾病确诊 </w:t>
      </w:r>
      <w:r>
        <w:rPr/>
        <w:t>180</w:t>
      </w:r>
      <w:r>
        <w:rPr>
          <w:spacing w:val="-12"/>
        </w:rPr>
        <w:t> 天后仍然遗留一肢或一肢以上肢体肌力 </w:t>
      </w:r>
      <w:r>
        <w:rPr/>
        <w:t>III</w:t>
      </w:r>
      <w:r>
        <w:rPr>
          <w:spacing w:val="-28"/>
        </w:rPr>
        <w:t> 级或 </w:t>
      </w:r>
      <w:r>
        <w:rPr/>
        <w:t>III</w:t>
      </w:r>
      <w:r>
        <w:rPr>
          <w:spacing w:val="-9"/>
        </w:rPr>
        <w:t> 级以下的运动功</w:t>
      </w:r>
      <w:r>
        <w:rPr>
          <w:spacing w:val="-2"/>
        </w:rPr>
        <w:t>能障碍。</w:t>
      </w:r>
    </w:p>
    <w:p>
      <w:pPr>
        <w:pStyle w:val="BodyText"/>
        <w:spacing w:before="6"/>
      </w:pPr>
      <w:r>
        <w:rPr/>
        <w:t>（四）心脏瓣膜介入手术</w:t>
      </w:r>
    </w:p>
    <w:p>
      <w:pPr>
        <w:pStyle w:val="BodyText"/>
        <w:spacing w:line="266" w:lineRule="auto" w:before="33"/>
        <w:ind w:left="780" w:right="161"/>
      </w:pPr>
      <w:r>
        <w:rPr/>
        <w:t>指为了治疗心脏瓣膜疾病，实际实施了非开胸的经胸壁打孔内镜手术或经皮经导管介入手术进行的心脏瓣膜置换或修复手术。</w:t>
      </w:r>
    </w:p>
    <w:p>
      <w:pPr>
        <w:pStyle w:val="BodyText"/>
        <w:spacing w:before="7"/>
      </w:pPr>
      <w:r>
        <w:rPr/>
        <w:t>（五）主动脉内手术</w:t>
      </w:r>
    </w:p>
    <w:p>
      <w:pPr>
        <w:spacing w:line="244" w:lineRule="auto" w:before="10"/>
        <w:ind w:left="780" w:right="71" w:firstLine="0"/>
        <w:jc w:val="left"/>
        <w:rPr>
          <w:sz w:val="24"/>
        </w:rPr>
      </w:pPr>
      <w:r>
        <w:rPr>
          <w:sz w:val="22"/>
        </w:rPr>
        <w:t>指为了治疗主动脉疾病，实际实施了非开胸的经皮经导管进行的动脉内手术。</w:t>
      </w:r>
      <w:r>
        <w:rPr>
          <w:sz w:val="24"/>
        </w:rPr>
        <w:t>主动脉指胸主动脉和腹主动脉，不包括胸主动脉和腹主动脉的分支血管。</w:t>
      </w:r>
    </w:p>
    <w:p>
      <w:pPr>
        <w:pStyle w:val="BodyText"/>
        <w:spacing w:before="23"/>
      </w:pPr>
      <w:r>
        <w:rPr/>
        <w:t>（六）脑垂体瘤、脑囊肿</w:t>
      </w:r>
    </w:p>
    <w:p>
      <w:pPr>
        <w:pStyle w:val="BodyText"/>
        <w:spacing w:line="266" w:lineRule="auto" w:before="33"/>
        <w:ind w:left="780" w:right="46"/>
      </w:pPr>
      <w:r>
        <w:rPr/>
        <w:t>须由头颅断层扫描（CT）、核磁共振（MRI）或其他影像学检查被确诊为下列病变，并实际实施了手术或放射治疗：</w:t>
      </w:r>
    </w:p>
    <w:p>
      <w:pPr>
        <w:pStyle w:val="BodyText"/>
        <w:spacing w:before="7"/>
        <w:ind w:left="780"/>
      </w:pPr>
      <w:r>
        <w:rPr/>
        <w:t>（1）脑垂体瘤；</w:t>
      </w:r>
    </w:p>
    <w:p>
      <w:pPr>
        <w:pStyle w:val="BodyText"/>
        <w:spacing w:before="34"/>
        <w:ind w:left="780"/>
      </w:pPr>
      <w:r>
        <w:rPr/>
        <w:t>（2）脑囊肿。</w:t>
      </w:r>
    </w:p>
    <w:p>
      <w:pPr>
        <w:pStyle w:val="BodyText"/>
      </w:pPr>
      <w:r>
        <w:rPr/>
        <w:t>（七）脑动脉瘤手术</w:t>
      </w:r>
    </w:p>
    <w:p>
      <w:pPr>
        <w:pStyle w:val="BodyText"/>
        <w:ind w:left="780"/>
      </w:pPr>
      <w:r>
        <w:rPr/>
        <w:t>指实际实施了未破裂的脑动脉瘤夹闭手术或脑动脉瘤栓塞手术。</w:t>
      </w:r>
    </w:p>
    <w:p>
      <w:pPr>
        <w:pStyle w:val="BodyText"/>
        <w:spacing w:before="33"/>
      </w:pPr>
      <w:r>
        <w:rPr/>
        <w:t>（八）较小面积 III 度烧伤</w:t>
      </w:r>
    </w:p>
    <w:p>
      <w:pPr>
        <w:pStyle w:val="BodyText"/>
        <w:spacing w:line="266" w:lineRule="auto" w:before="30"/>
        <w:ind w:left="780" w:right="115"/>
      </w:pPr>
      <w:r>
        <w:rPr>
          <w:spacing w:val="-8"/>
        </w:rPr>
        <w:t>指烧伤程度为Ⅲ度，且Ⅲ度烧伤的面积大于全身体表面积的 </w:t>
      </w:r>
      <w:r>
        <w:rPr>
          <w:spacing w:val="-7"/>
        </w:rPr>
        <w:t>10%</w:t>
      </w:r>
      <w:r>
        <w:rPr>
          <w:spacing w:val="-13"/>
        </w:rPr>
        <w:t>，但小于 </w:t>
      </w:r>
      <w:r>
        <w:rPr/>
        <w:t>20%</w:t>
      </w:r>
      <w:r>
        <w:rPr>
          <w:spacing w:val="-6"/>
        </w:rPr>
        <w:t>。体表面积</w:t>
      </w:r>
      <w:r>
        <w:rPr>
          <w:spacing w:val="-3"/>
        </w:rPr>
        <w:t>根据《中国新九分法》计算。</w:t>
      </w:r>
    </w:p>
    <w:p>
      <w:pPr>
        <w:pStyle w:val="BodyText"/>
        <w:spacing w:before="9"/>
      </w:pPr>
      <w:r>
        <w:rPr/>
        <w:t>（九）重度头部外伤</w:t>
      </w:r>
    </w:p>
    <w:p>
      <w:pPr>
        <w:pStyle w:val="BodyText"/>
        <w:spacing w:line="266" w:lineRule="auto"/>
        <w:ind w:left="780" w:right="161"/>
        <w:jc w:val="both"/>
      </w:pPr>
      <w:r>
        <w:rPr/>
        <w:t>指因头部遭受机械性外力伤害，引起脑重要部位损伤，导致神经系统功能障碍，须由头颅断层扫描（CT）、核磁共振检查（MRI）或正电子发射断层扫描（PET）等影像学检查证实。神经系统功能障碍是指虽然未达到重大疾病“严重脑损伤”的给付标准，但是满足下列条件之一：</w:t>
      </w:r>
    </w:p>
    <w:p>
      <w:pPr>
        <w:spacing w:line="298" w:lineRule="exact" w:before="0"/>
        <w:ind w:left="790" w:right="0" w:firstLine="0"/>
        <w:jc w:val="left"/>
        <w:rPr>
          <w:sz w:val="22"/>
        </w:rPr>
      </w:pPr>
      <w:r>
        <w:rPr>
          <w:sz w:val="22"/>
        </w:rPr>
        <w:t>（1）实际实施了全麻下颅骨切开颅内血肿清除术，</w:t>
      </w:r>
      <w:r>
        <w:rPr>
          <w:sz w:val="24"/>
        </w:rPr>
        <w:t>颅骨钻孔术除外</w:t>
      </w:r>
      <w:r>
        <w:rPr>
          <w:sz w:val="22"/>
        </w:rPr>
        <w:t>；</w:t>
      </w:r>
    </w:p>
    <w:p>
      <w:pPr>
        <w:pStyle w:val="BodyText"/>
        <w:spacing w:line="266" w:lineRule="auto"/>
        <w:ind w:left="1340" w:right="113" w:hanging="550"/>
      </w:pPr>
      <w:r>
        <w:rPr>
          <w:spacing w:val="-26"/>
        </w:rPr>
        <w:t>（2）</w:t>
      </w:r>
      <w:r>
        <w:rPr>
          <w:spacing w:val="-15"/>
        </w:rPr>
        <w:t>在外伤 </w:t>
      </w:r>
      <w:r>
        <w:rPr/>
        <w:t>180</w:t>
      </w:r>
      <w:r>
        <w:rPr>
          <w:spacing w:val="-12"/>
        </w:rPr>
        <w:t> 天后仍然遗留一肢或一肢以上肢体肌力 </w:t>
      </w:r>
      <w:r>
        <w:rPr/>
        <w:t>III</w:t>
      </w:r>
      <w:r>
        <w:rPr>
          <w:spacing w:val="-29"/>
        </w:rPr>
        <w:t> 级或 </w:t>
      </w:r>
      <w:r>
        <w:rPr/>
        <w:t>III</w:t>
      </w:r>
      <w:r>
        <w:rPr>
          <w:spacing w:val="-8"/>
        </w:rPr>
        <w:t> 级以下的运动功能</w:t>
      </w:r>
      <w:r>
        <w:rPr>
          <w:spacing w:val="-2"/>
        </w:rPr>
        <w:t>障碍。</w:t>
      </w:r>
    </w:p>
    <w:p>
      <w:pPr>
        <w:pStyle w:val="BodyText"/>
        <w:spacing w:before="7"/>
      </w:pPr>
      <w:r>
        <w:rPr/>
        <w:t>（十）慢性肾功能损害 – 肾功能衰竭期</w:t>
      </w:r>
    </w:p>
    <w:p>
      <w:pPr>
        <w:pStyle w:val="BodyText"/>
        <w:spacing w:before="34"/>
        <w:ind w:left="780"/>
      </w:pPr>
      <w:r>
        <w:rPr/>
        <w:t>指因双肾功能慢性不可逆性损害，达到肾功能衰竭期，诊断必须满足下列全部条件:</w:t>
      </w:r>
    </w:p>
    <w:p>
      <w:pPr>
        <w:pStyle w:val="BodyText"/>
        <w:ind w:left="780"/>
      </w:pPr>
      <w:r>
        <w:rPr/>
        <w:t>（1）肾小球滤过率（GFR）&lt; 25ml/min 或肌酐清除率（Ccr）&lt; 25ml/min；</w:t>
      </w:r>
    </w:p>
    <w:p>
      <w:pPr>
        <w:pStyle w:val="BodyText"/>
        <w:ind w:left="780"/>
      </w:pPr>
      <w:r>
        <w:rPr/>
        <w:t>（2）血肌酐（Scr）&gt; 4mg/dl 或&gt;442umol/L；</w:t>
      </w:r>
    </w:p>
    <w:p>
      <w:pPr>
        <w:pStyle w:val="BodyText"/>
        <w:spacing w:before="34"/>
        <w:ind w:left="780"/>
      </w:pPr>
      <w:r>
        <w:rPr/>
        <w:t>（3）上述两项症状均须持续至少达 180 天。</w:t>
      </w:r>
    </w:p>
    <w:p>
      <w:pPr>
        <w:spacing w:after="0"/>
        <w:sectPr>
          <w:pgSz w:w="11910" w:h="16840"/>
          <w:pgMar w:top="1380" w:bottom="280" w:left="1300" w:right="1300"/>
        </w:sectPr>
      </w:pPr>
    </w:p>
    <w:p>
      <w:pPr>
        <w:pStyle w:val="Heading2"/>
        <w:spacing w:line="317" w:lineRule="exact"/>
      </w:pPr>
      <w:r>
        <w:rPr>
          <w:w w:val="95"/>
        </w:rPr>
        <w:t>4.</w:t>
      </w:r>
      <w:r>
        <w:rPr>
          <w:w w:val="95"/>
          <w:u w:val="single"/>
        </w:rPr>
        <w:t>责任免除</w:t>
      </w:r>
    </w:p>
    <w:p>
      <w:pPr>
        <w:pStyle w:val="Heading3"/>
        <w:spacing w:line="331"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322" w:lineRule="exact" w:before="7"/>
        <w:ind w:right="117"/>
      </w:pPr>
      <w:r>
        <w:rPr>
          <w:spacing w:val="-5"/>
        </w:rPr>
        <w:t>因下列情形之一，导致被保险人罹患重大疾病或特定疾病的，我们不承担给付保险金的</w:t>
      </w:r>
      <w:r>
        <w:rPr>
          <w:spacing w:val="-12"/>
        </w:rPr>
        <w:t>责任，但被保险人初次罹患“肌营养不良症”的，不受本条第</w:t>
      </w:r>
      <w:r>
        <w:rPr/>
        <w:t>（八</w:t>
      </w:r>
      <w:r>
        <w:rPr>
          <w:spacing w:val="-29"/>
        </w:rPr>
        <w:t>）</w:t>
      </w:r>
      <w:r>
        <w:rPr/>
        <w:t>项的责任免除限制：</w:t>
      </w:r>
    </w:p>
    <w:p>
      <w:pPr>
        <w:spacing w:line="289" w:lineRule="exact" w:before="0"/>
        <w:ind w:left="118" w:right="0" w:firstLine="0"/>
        <w:jc w:val="left"/>
        <w:rPr>
          <w:sz w:val="24"/>
        </w:rPr>
      </w:pPr>
      <w:r>
        <w:rPr>
          <w:sz w:val="24"/>
        </w:rPr>
        <w:t>（一）投保人对被保险人的故意杀害、故意伤害；</w:t>
      </w:r>
    </w:p>
    <w:p>
      <w:pPr>
        <w:spacing w:before="5"/>
        <w:ind w:left="118" w:right="0" w:firstLine="0"/>
        <w:jc w:val="left"/>
        <w:rPr>
          <w:sz w:val="24"/>
        </w:rPr>
      </w:pPr>
      <w:r>
        <w:rPr>
          <w:sz w:val="24"/>
        </w:rPr>
        <w:t>（二）被保险人故意犯罪、抗拒依法采取的刑事强制措施、自伤身体；</w:t>
      </w:r>
    </w:p>
    <w:p>
      <w:pPr>
        <w:spacing w:line="244" w:lineRule="auto" w:before="7"/>
        <w:ind w:left="838" w:right="305" w:hanging="720"/>
        <w:jc w:val="left"/>
        <w:rPr>
          <w:sz w:val="24"/>
        </w:rPr>
      </w:pPr>
      <w:r>
        <w:rPr>
          <w:sz w:val="24"/>
        </w:rPr>
        <w:t>（三）被保险人服用、吸食或注射</w:t>
      </w:r>
      <w:r>
        <w:rPr>
          <w:rFonts w:ascii="黑体" w:eastAsia="黑体" w:hint="eastAsia"/>
          <w:b/>
          <w:sz w:val="24"/>
        </w:rPr>
        <w:t>毒品</w:t>
      </w:r>
      <w:hyperlink w:history="true" w:anchor="_bookmark11">
        <w:r>
          <w:rPr>
            <w:rFonts w:ascii="黑体" w:eastAsia="黑体" w:hint="eastAsia"/>
            <w:b/>
            <w:position w:val="12"/>
            <w:sz w:val="12"/>
          </w:rPr>
          <w:t>12</w:t>
        </w:r>
      </w:hyperlink>
      <w:r>
        <w:rPr>
          <w:sz w:val="24"/>
        </w:rPr>
        <w:t>，但被保险人被强迫、欺骗情形下服用、吸食或注射毒品的除外；</w:t>
      </w:r>
    </w:p>
    <w:p>
      <w:pPr>
        <w:spacing w:line="244" w:lineRule="auto" w:before="0"/>
        <w:ind w:left="838" w:right="214" w:hanging="720"/>
        <w:jc w:val="left"/>
        <w:rPr>
          <w:sz w:val="24"/>
        </w:rPr>
      </w:pPr>
      <w:r>
        <w:rPr>
          <w:sz w:val="24"/>
        </w:rPr>
        <w:t>（四）被保险人</w:t>
      </w:r>
      <w:r>
        <w:rPr>
          <w:rFonts w:ascii="黑体" w:eastAsia="黑体" w:hint="eastAsia"/>
          <w:b/>
          <w:sz w:val="24"/>
        </w:rPr>
        <w:t>酒后驾驶</w:t>
      </w:r>
      <w:hyperlink w:history="true" w:anchor="_bookmark12">
        <w:r>
          <w:rPr>
            <w:rFonts w:ascii="黑体" w:eastAsia="黑体" w:hint="eastAsia"/>
            <w:b/>
            <w:position w:val="12"/>
            <w:sz w:val="12"/>
          </w:rPr>
          <w:t>13</w:t>
        </w:r>
      </w:hyperlink>
      <w:r>
        <w:rPr>
          <w:sz w:val="24"/>
        </w:rPr>
        <w:t>、</w:t>
      </w:r>
      <w:r>
        <w:rPr>
          <w:rFonts w:ascii="黑体" w:eastAsia="黑体" w:hint="eastAsia"/>
          <w:b/>
          <w:sz w:val="24"/>
        </w:rPr>
        <w:t>无合法有效驾驶执照驾驶</w:t>
      </w:r>
      <w:hyperlink w:history="true" w:anchor="_bookmark13">
        <w:r>
          <w:rPr>
            <w:rFonts w:ascii="黑体" w:eastAsia="黑体" w:hint="eastAsia"/>
            <w:b/>
            <w:position w:val="12"/>
            <w:sz w:val="12"/>
          </w:rPr>
          <w:t>14</w:t>
        </w:r>
      </w:hyperlink>
      <w:r>
        <w:rPr>
          <w:sz w:val="24"/>
        </w:rPr>
        <w:t>，或驾驶</w:t>
      </w:r>
      <w:r>
        <w:rPr>
          <w:rFonts w:ascii="黑体" w:eastAsia="黑体" w:hint="eastAsia"/>
          <w:b/>
          <w:sz w:val="24"/>
        </w:rPr>
        <w:t>无有效行驶证</w:t>
      </w:r>
      <w:hyperlink w:history="true" w:anchor="_bookmark14">
        <w:r>
          <w:rPr>
            <w:rFonts w:ascii="黑体" w:eastAsia="黑体" w:hint="eastAsia"/>
            <w:b/>
            <w:position w:val="12"/>
            <w:sz w:val="12"/>
          </w:rPr>
          <w:t>15</w:t>
        </w:r>
      </w:hyperlink>
      <w:r>
        <w:rPr>
          <w:sz w:val="24"/>
        </w:rPr>
        <w:t>的机动车；</w:t>
      </w:r>
    </w:p>
    <w:p>
      <w:pPr>
        <w:spacing w:before="0"/>
        <w:ind w:left="118" w:right="0" w:firstLine="0"/>
        <w:jc w:val="left"/>
        <w:rPr>
          <w:sz w:val="24"/>
        </w:rPr>
      </w:pPr>
      <w:r>
        <w:rPr>
          <w:w w:val="95"/>
          <w:sz w:val="24"/>
        </w:rPr>
        <w:t>（五）被保险人</w:t>
      </w:r>
      <w:r>
        <w:rPr>
          <w:rFonts w:ascii="黑体" w:eastAsia="黑体" w:hint="eastAsia"/>
          <w:b/>
          <w:w w:val="95"/>
          <w:sz w:val="24"/>
        </w:rPr>
        <w:t>感染艾滋病病毒（HIV）或患艾滋病（AIDS）</w:t>
      </w:r>
      <w:hyperlink w:history="true" w:anchor="_bookmark15">
        <w:r>
          <w:rPr>
            <w:rFonts w:ascii="黑体" w:eastAsia="黑体" w:hint="eastAsia"/>
            <w:b/>
            <w:w w:val="95"/>
            <w:position w:val="12"/>
            <w:sz w:val="12"/>
          </w:rPr>
          <w:t>16</w:t>
        </w:r>
      </w:hyperlink>
      <w:r>
        <w:rPr>
          <w:w w:val="95"/>
          <w:sz w:val="24"/>
        </w:rPr>
        <w:t>；</w:t>
      </w:r>
    </w:p>
    <w:p>
      <w:pPr>
        <w:pStyle w:val="Heading3"/>
        <w:spacing w:before="4"/>
      </w:pPr>
      <w:r>
        <w:rPr/>
        <w:t>（六）战争、军事冲突、暴乱或武装叛乱；</w:t>
      </w:r>
    </w:p>
    <w:p>
      <w:pPr>
        <w:spacing w:before="7"/>
        <w:ind w:left="118" w:right="0" w:firstLine="0"/>
        <w:jc w:val="left"/>
        <w:rPr>
          <w:sz w:val="24"/>
        </w:rPr>
      </w:pPr>
      <w:r>
        <w:rPr>
          <w:sz w:val="24"/>
        </w:rPr>
        <w:t>（七）核爆炸、核辐射或核污染；</w:t>
      </w:r>
    </w:p>
    <w:p>
      <w:pPr>
        <w:spacing w:before="5"/>
        <w:ind w:left="118" w:right="0" w:firstLine="0"/>
        <w:jc w:val="left"/>
        <w:rPr>
          <w:sz w:val="24"/>
        </w:rPr>
      </w:pPr>
      <w:r>
        <w:rPr>
          <w:w w:val="95"/>
          <w:sz w:val="24"/>
        </w:rPr>
        <w:t>（八）</w:t>
      </w:r>
      <w:r>
        <w:rPr>
          <w:rFonts w:ascii="黑体" w:eastAsia="黑体" w:hint="eastAsia"/>
          <w:b/>
          <w:w w:val="95"/>
          <w:sz w:val="24"/>
        </w:rPr>
        <w:t>遗传性疾病</w:t>
      </w:r>
      <w:hyperlink w:history="true" w:anchor="_bookmark16">
        <w:r>
          <w:rPr>
            <w:rFonts w:ascii="黑体" w:eastAsia="黑体" w:hint="eastAsia"/>
            <w:b/>
            <w:w w:val="95"/>
            <w:position w:val="12"/>
            <w:sz w:val="12"/>
          </w:rPr>
          <w:t>17</w:t>
        </w:r>
      </w:hyperlink>
      <w:r>
        <w:rPr>
          <w:rFonts w:ascii="黑体" w:eastAsia="黑体" w:hint="eastAsia"/>
          <w:w w:val="95"/>
          <w:sz w:val="24"/>
        </w:rPr>
        <w:t>、</w:t>
      </w:r>
      <w:r>
        <w:rPr>
          <w:rFonts w:ascii="黑体" w:eastAsia="黑体" w:hint="eastAsia"/>
          <w:b/>
          <w:w w:val="95"/>
          <w:sz w:val="24"/>
        </w:rPr>
        <w:t>先天性畸形、变形或染色体异常</w:t>
      </w:r>
      <w:hyperlink w:history="true" w:anchor="_bookmark17">
        <w:r>
          <w:rPr>
            <w:rFonts w:ascii="黑体" w:eastAsia="黑体" w:hint="eastAsia"/>
            <w:b/>
            <w:w w:val="95"/>
            <w:position w:val="12"/>
            <w:sz w:val="12"/>
          </w:rPr>
          <w:t>18</w:t>
        </w:r>
      </w:hyperlink>
      <w:r>
        <w:rPr>
          <w:w w:val="95"/>
          <w:sz w:val="24"/>
        </w:rPr>
        <w:t>。</w:t>
      </w:r>
    </w:p>
    <w:p>
      <w:pPr>
        <w:pStyle w:val="Heading3"/>
        <w:spacing w:line="244" w:lineRule="auto" w:before="9"/>
        <w:ind w:right="174"/>
      </w:pPr>
      <w:r>
        <w:rPr/>
        <w:t>发生上述第（一）种情形，导致被保险人罹患重大疾病或特定疾病的，本附加合同及主合同效力一并终止，我们将向被保险人退还本附加合同及主合同的现金价值。</w:t>
      </w:r>
    </w:p>
    <w:p>
      <w:pPr>
        <w:spacing w:line="244" w:lineRule="auto" w:before="2"/>
        <w:ind w:left="118" w:right="174" w:firstLine="0"/>
        <w:jc w:val="left"/>
        <w:rPr>
          <w:sz w:val="24"/>
        </w:rPr>
      </w:pPr>
      <w:r>
        <w:rPr>
          <w:sz w:val="24"/>
        </w:rPr>
        <w:t>发生上述其他情形，导致被保险人罹患重大疾病或特定疾病的，本附加合同及主合同效力一并终止，我们将向您退还本附加合同及主合同的现金价值。</w:t>
      </w:r>
    </w:p>
    <w:p>
      <w:pPr>
        <w:spacing w:line="244" w:lineRule="auto" w:before="0"/>
        <w:ind w:left="118" w:right="174" w:firstLine="0"/>
        <w:jc w:val="left"/>
        <w:rPr>
          <w:sz w:val="24"/>
        </w:rPr>
      </w:pPr>
      <w:r>
        <w:rPr>
          <w:sz w:val="24"/>
        </w:rPr>
        <w:t>主合同因其约定的责任免除情形而效力终止时，本附加合同效力一并终止，并依照主合同的约定，退还本附加合同的现金价值。</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1"/>
        </w:rPr>
      </w:pPr>
      <w:r>
        <w:rPr/>
        <w:pict>
          <v:line style="position:absolute;mso-position-horizontal-relative:page;mso-position-vertical-relative:paragraph;z-index:1168;mso-wrap-distance-left:0;mso-wrap-distance-right:0" from="70.900002pt,16.206629pt" to="214.900002pt,16.206629pt" stroked="true" strokeweight="0pt" strokecolor="#000000">
            <v:stroke dashstyle="solid"/>
            <w10:wrap type="topAndBottom"/>
          </v:line>
        </w:pict>
      </w:r>
    </w:p>
    <w:p>
      <w:pPr>
        <w:pStyle w:val="BodyText"/>
        <w:spacing w:before="12"/>
        <w:ind w:left="0"/>
        <w:rPr>
          <w:sz w:val="5"/>
        </w:rPr>
      </w:pPr>
    </w:p>
    <w:p>
      <w:pPr>
        <w:spacing w:line="323" w:lineRule="exact" w:before="0"/>
        <w:ind w:left="118" w:right="0" w:firstLine="0"/>
        <w:jc w:val="left"/>
        <w:rPr>
          <w:sz w:val="20"/>
        </w:rPr>
      </w:pPr>
      <w:bookmarkStart w:name="_bookmark11" w:id="12"/>
      <w:bookmarkEnd w:id="12"/>
      <w:r>
        <w:rPr/>
      </w:r>
      <w:r>
        <w:rPr>
          <w:w w:val="95"/>
          <w:sz w:val="20"/>
        </w:rPr>
        <w:t>12</w:t>
      </w:r>
      <w:r>
        <w:rPr>
          <w:spacing w:val="-3"/>
          <w:w w:val="95"/>
          <w:sz w:val="20"/>
        </w:rPr>
        <w:t>、</w:t>
      </w:r>
      <w:r>
        <w:rPr>
          <w:rFonts w:ascii="Microsoft JhengHei" w:eastAsia="Microsoft JhengHei" w:hint="eastAsia"/>
          <w:b/>
          <w:spacing w:val="-1"/>
          <w:w w:val="95"/>
          <w:sz w:val="20"/>
        </w:rPr>
        <w:t>毒品：</w:t>
      </w:r>
      <w:r>
        <w:rPr>
          <w:spacing w:val="-3"/>
          <w:w w:val="95"/>
          <w:sz w:val="20"/>
        </w:rPr>
        <w:t>指中华人民共和国刑法规定的鸦片、海洛因、甲基苯丙胺</w:t>
      </w:r>
      <w:r>
        <w:rPr>
          <w:w w:val="95"/>
          <w:sz w:val="20"/>
        </w:rPr>
        <w:t>（冰毒</w:t>
      </w:r>
      <w:r>
        <w:rPr>
          <w:spacing w:val="-101"/>
          <w:w w:val="95"/>
          <w:sz w:val="20"/>
        </w:rPr>
        <w:t>）</w:t>
      </w:r>
      <w:r>
        <w:rPr>
          <w:spacing w:val="-2"/>
          <w:w w:val="95"/>
          <w:sz w:val="20"/>
        </w:rPr>
        <w:t>、吗啡、大麻、可卡因以及</w:t>
      </w:r>
    </w:p>
    <w:p>
      <w:pPr>
        <w:spacing w:line="292" w:lineRule="auto" w:before="37"/>
        <w:ind w:left="118" w:right="236" w:firstLine="0"/>
        <w:jc w:val="left"/>
        <w:rPr>
          <w:sz w:val="20"/>
        </w:rPr>
      </w:pPr>
      <w:r>
        <w:rPr>
          <w:sz w:val="20"/>
        </w:rPr>
        <w:t>国家规定管制的其他能够使人形成瘾癖的麻醉药品和精神药品，但不包括由医生开具并遵医嘱使用的用</w:t>
      </w:r>
      <w:r>
        <w:rPr>
          <w:w w:val="95"/>
          <w:sz w:val="20"/>
        </w:rPr>
        <w:t>于治疗疾病但含有毒品成分的处方药品。</w:t>
      </w:r>
    </w:p>
    <w:p>
      <w:pPr>
        <w:spacing w:line="298" w:lineRule="exact" w:before="0"/>
        <w:ind w:left="118" w:right="0" w:firstLine="0"/>
        <w:jc w:val="left"/>
        <w:rPr>
          <w:sz w:val="20"/>
        </w:rPr>
      </w:pPr>
      <w:bookmarkStart w:name="_bookmark12" w:id="13"/>
      <w:bookmarkEnd w:id="13"/>
      <w:r>
        <w:rPr/>
      </w:r>
      <w:r>
        <w:rPr>
          <w:sz w:val="20"/>
        </w:rPr>
        <w:t>13、</w:t>
      </w:r>
      <w:r>
        <w:rPr>
          <w:rFonts w:ascii="Microsoft JhengHei" w:eastAsia="Microsoft JhengHei" w:hint="eastAsia"/>
          <w:b/>
          <w:sz w:val="20"/>
        </w:rPr>
        <w:t>酒后驾驶：</w:t>
      </w:r>
      <w:r>
        <w:rPr>
          <w:sz w:val="20"/>
        </w:rPr>
        <w:t>指经检测或鉴定，发生事故时车辆驾驶人员每百毫升血液中的酒精含量达到或超过一定</w:t>
      </w:r>
    </w:p>
    <w:p>
      <w:pPr>
        <w:spacing w:line="259" w:lineRule="exact" w:before="37"/>
        <w:ind w:left="118" w:right="0" w:firstLine="0"/>
        <w:jc w:val="left"/>
        <w:rPr>
          <w:sz w:val="20"/>
        </w:rPr>
      </w:pPr>
      <w:r>
        <w:rPr>
          <w:w w:val="95"/>
          <w:sz w:val="20"/>
        </w:rPr>
        <w:t>的标准，公安机关交通管理部门依据《道路交通安全法》的规定认定为饮酒后驾驶或醉酒后驾驶。</w:t>
      </w:r>
    </w:p>
    <w:p>
      <w:pPr>
        <w:spacing w:line="278" w:lineRule="auto" w:before="0"/>
        <w:ind w:left="118" w:right="137" w:firstLine="0"/>
        <w:jc w:val="left"/>
        <w:rPr>
          <w:sz w:val="20"/>
        </w:rPr>
      </w:pPr>
      <w:bookmarkStart w:name="_bookmark13" w:id="14"/>
      <w:bookmarkEnd w:id="14"/>
      <w:r>
        <w:rPr/>
      </w:r>
      <w:r>
        <w:rPr>
          <w:spacing w:val="0"/>
          <w:w w:val="99"/>
          <w:sz w:val="20"/>
        </w:rPr>
        <w:t>1</w:t>
      </w:r>
      <w:r>
        <w:rPr>
          <w:spacing w:val="-2"/>
          <w:w w:val="99"/>
          <w:sz w:val="20"/>
        </w:rPr>
        <w:t>4</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59" w:lineRule="exact" w:before="29"/>
        <w:ind w:left="118" w:right="0" w:firstLine="0"/>
        <w:jc w:val="left"/>
        <w:rPr>
          <w:sz w:val="20"/>
        </w:rPr>
      </w:pPr>
      <w:r>
        <w:rPr>
          <w:w w:val="95"/>
          <w:sz w:val="20"/>
        </w:rPr>
        <w:t>（6）公安交通管理部门规定的其他无有效驾驶执照驾驶的情况。</w:t>
      </w:r>
    </w:p>
    <w:p>
      <w:pPr>
        <w:spacing w:line="266" w:lineRule="auto" w:before="0"/>
        <w:ind w:left="118" w:right="301" w:firstLine="0"/>
        <w:jc w:val="left"/>
        <w:rPr>
          <w:sz w:val="20"/>
        </w:rPr>
      </w:pPr>
      <w:bookmarkStart w:name="_bookmark14" w:id="15"/>
      <w:bookmarkEnd w:id="15"/>
      <w:r>
        <w:rPr/>
      </w:r>
      <w:r>
        <w:rPr>
          <w:sz w:val="20"/>
        </w:rPr>
        <w:t>15、</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0" w:lineRule="exact" w:before="16"/>
        <w:ind w:left="118" w:right="236" w:firstLine="0"/>
        <w:jc w:val="left"/>
        <w:rPr>
          <w:sz w:val="20"/>
        </w:rPr>
      </w:pPr>
      <w:bookmarkStart w:name="_bookmark15" w:id="16"/>
      <w:bookmarkEnd w:id="16"/>
      <w:r>
        <w:rPr/>
      </w:r>
      <w:r>
        <w:rPr>
          <w:spacing w:val="0"/>
          <w:w w:val="99"/>
          <w:sz w:val="20"/>
        </w:rPr>
        <w:t>1</w:t>
      </w:r>
      <w:r>
        <w:rPr>
          <w:spacing w:val="-2"/>
          <w:w w:val="99"/>
          <w:sz w:val="20"/>
        </w:rPr>
        <w:t>6</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2" w:lineRule="auto" w:before="24"/>
        <w:ind w:left="118" w:right="30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298" w:lineRule="exact" w:before="0"/>
        <w:ind w:left="118" w:right="0" w:firstLine="0"/>
        <w:jc w:val="left"/>
        <w:rPr>
          <w:sz w:val="20"/>
        </w:rPr>
      </w:pPr>
      <w:bookmarkStart w:name="_bookmark16" w:id="17"/>
      <w:bookmarkEnd w:id="17"/>
      <w:r>
        <w:rPr/>
      </w:r>
      <w:r>
        <w:rPr>
          <w:sz w:val="20"/>
        </w:rPr>
        <w:t>17、</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7"/>
        <w:ind w:left="118" w:right="0" w:firstLine="0"/>
        <w:jc w:val="left"/>
        <w:rPr>
          <w:sz w:val="20"/>
        </w:rPr>
      </w:pPr>
      <w:r>
        <w:rPr>
          <w:w w:val="95"/>
          <w:sz w:val="20"/>
        </w:rPr>
        <w:t>常具有由亲代传至后代的垂直传递的特征。</w:t>
      </w:r>
    </w:p>
    <w:p>
      <w:pPr>
        <w:spacing w:line="264" w:lineRule="auto" w:before="0"/>
        <w:ind w:left="118" w:right="296" w:firstLine="0"/>
        <w:jc w:val="left"/>
        <w:rPr>
          <w:sz w:val="20"/>
        </w:rPr>
      </w:pPr>
      <w:bookmarkStart w:name="_bookmark17" w:id="18"/>
      <w:bookmarkEnd w:id="18"/>
      <w:r>
        <w:rPr/>
      </w:r>
      <w:r>
        <w:rPr>
          <w:sz w:val="20"/>
        </w:rPr>
        <w:t>18、</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after="0" w:line="264" w:lineRule="auto"/>
        <w:jc w:val="left"/>
        <w:rPr>
          <w:sz w:val="20"/>
        </w:rPr>
        <w:sectPr>
          <w:pgSz w:w="11910" w:h="16840"/>
          <w:pgMar w:top="1340" w:bottom="280" w:left="1300" w:right="1180"/>
        </w:sectPr>
      </w:pPr>
    </w:p>
    <w:p>
      <w:pPr>
        <w:pStyle w:val="Heading2"/>
        <w:spacing w:line="317" w:lineRule="exact"/>
      </w:pPr>
      <w:r>
        <w:rPr>
          <w:w w:val="95"/>
        </w:rPr>
        <w:t>5.</w:t>
      </w:r>
      <w:r>
        <w:rPr>
          <w:w w:val="95"/>
          <w:u w:val="single"/>
        </w:rPr>
        <w:t>如实告知及年龄错误</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7"/>
        </w:numPr>
        <w:tabs>
          <w:tab w:pos="560" w:val="left" w:leader="none"/>
        </w:tabs>
        <w:spacing w:line="240" w:lineRule="auto" w:before="3" w:after="0"/>
        <w:ind w:left="560" w:right="0" w:hanging="442"/>
        <w:jc w:val="left"/>
      </w:pPr>
      <w:r>
        <w:rPr>
          <w:spacing w:val="-1"/>
        </w:rPr>
        <w:t>明确说明与如实告知</w:t>
      </w:r>
    </w:p>
    <w:p>
      <w:pPr>
        <w:pStyle w:val="BodyText"/>
        <w:spacing w:before="30"/>
      </w:pPr>
      <w:r>
        <w:rPr/>
        <w:t>订立本附加合同时，我们会向您明确说明本附加合同的内容。</w:t>
      </w:r>
    </w:p>
    <w:p>
      <w:pPr>
        <w:pStyle w:val="BodyText"/>
        <w:spacing w:line="266" w:lineRule="auto" w:before="33"/>
        <w:ind w:right="103"/>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9"/>
      </w:pPr>
      <w:r>
        <w:rPr/>
        <w:t>我们会就您、被保险人的有关情况提出书面询问，您应当如实告知。</w:t>
      </w:r>
    </w:p>
    <w:p>
      <w:pPr>
        <w:pStyle w:val="BodyText"/>
        <w:spacing w:line="266" w:lineRule="auto" w:before="30"/>
        <w:ind w:right="104"/>
      </w:pPr>
      <w:r>
        <w:rPr/>
        <w:t>您故意或因重大过失未履行如实告知义务，足以影响我们决定是否同意承保或者提高保险费率的，我们有权解除本附加合同。</w:t>
      </w:r>
    </w:p>
    <w:p>
      <w:pPr>
        <w:pStyle w:val="BodyText"/>
        <w:spacing w:line="266" w:lineRule="auto" w:before="8"/>
        <w:ind w:right="104"/>
      </w:pPr>
      <w:r>
        <w:rPr/>
        <w:t>我们通知解除本附加合同时，若您因身故、住所不明或其他原因致使通知不能送达的，则我们可以将该项通知传达被保险人或受益人。</w:t>
      </w:r>
    </w:p>
    <w:p>
      <w:pPr>
        <w:pStyle w:val="BodyText"/>
        <w:spacing w:line="268" w:lineRule="auto" w:before="6"/>
        <w:ind w:right="104"/>
      </w:pPr>
      <w:r>
        <w:rPr/>
        <w:t>您故意不履行如实告知义务的，我们对本附加合同解除前发生的保险事故，不承担给付保险金的责任，并不退还保险费。</w:t>
      </w:r>
    </w:p>
    <w:p>
      <w:pPr>
        <w:pStyle w:val="BodyText"/>
        <w:spacing w:line="266" w:lineRule="auto" w:before="4"/>
        <w:ind w:right="104"/>
      </w:pPr>
      <w:r>
        <w:rPr/>
        <w:t>您因重大过失未履行如实告知义务，对保险事故的发生有严重影响的，我们对本附加合同解除前发生的保险事故，不承担给付保险金的责任，但应当退还保险费。</w:t>
      </w:r>
    </w:p>
    <w:p>
      <w:pPr>
        <w:pStyle w:val="BodyText"/>
        <w:spacing w:before="1"/>
        <w:ind w:left="0"/>
        <w:rPr>
          <w:sz w:val="25"/>
        </w:rPr>
      </w:pPr>
    </w:p>
    <w:p>
      <w:pPr>
        <w:pStyle w:val="Heading4"/>
        <w:numPr>
          <w:ilvl w:val="1"/>
          <w:numId w:val="7"/>
        </w:numPr>
        <w:tabs>
          <w:tab w:pos="560" w:val="left" w:leader="none"/>
        </w:tabs>
        <w:spacing w:line="240" w:lineRule="auto" w:before="0" w:after="0"/>
        <w:ind w:left="560" w:right="0" w:hanging="442"/>
        <w:jc w:val="left"/>
      </w:pPr>
      <w:r>
        <w:rPr>
          <w:spacing w:val="-1"/>
        </w:rPr>
        <w:t>年龄的计算及错误的处理</w:t>
      </w:r>
    </w:p>
    <w:p>
      <w:pPr>
        <w:pStyle w:val="BodyText"/>
        <w:spacing w:line="268" w:lineRule="auto" w:before="14"/>
        <w:ind w:right="104"/>
      </w:pPr>
      <w:r>
        <w:rPr/>
        <w:t>被保险人的年龄以周岁计算。您在申请投保时，应将与有效身份证件相符的被保险人的出生日期及性别在投保单上填明，若发生错误，则按下列规定办理：</w:t>
      </w:r>
    </w:p>
    <w:p>
      <w:pPr>
        <w:pStyle w:val="BodyText"/>
        <w:spacing w:line="266" w:lineRule="auto" w:before="4"/>
        <w:ind w:left="778" w:right="104" w:hanging="660"/>
      </w:pPr>
      <w:r>
        <w:rPr/>
        <w:t>（一）您申报的被保险人年龄或性别不真实，并且其真实年龄不符合本附加合同约定的被保险人年龄限制的，我们有权解除本附加合同，并退还本附加合同的现金价值；</w:t>
      </w:r>
    </w:p>
    <w:p>
      <w:pPr>
        <w:pStyle w:val="BodyText"/>
        <w:spacing w:line="266" w:lineRule="auto" w:before="9"/>
        <w:ind w:left="778" w:right="105" w:hanging="660"/>
        <w:jc w:val="both"/>
      </w:pPr>
      <w:r>
        <w:rPr/>
        <w:t>（二）您申报的被保险人年龄或性别不真实，致使您实交保险费少于应交保险费的，我们有权更正并要求您补交保险费。若已发生保险事故，我们将按实交保险费和应交保险费的比例折算给付各项保险金；</w:t>
      </w:r>
    </w:p>
    <w:p>
      <w:pPr>
        <w:pStyle w:val="BodyText"/>
        <w:spacing w:line="266" w:lineRule="auto" w:before="9"/>
        <w:ind w:left="780" w:right="104" w:hanging="663"/>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4"/>
        <w:numPr>
          <w:ilvl w:val="1"/>
          <w:numId w:val="7"/>
        </w:numPr>
        <w:tabs>
          <w:tab w:pos="560" w:val="left" w:leader="none"/>
        </w:tabs>
        <w:spacing w:line="240" w:lineRule="auto" w:before="1" w:after="0"/>
        <w:ind w:left="560" w:right="0" w:hanging="442"/>
        <w:jc w:val="left"/>
      </w:pPr>
      <w:r>
        <w:rPr>
          <w:spacing w:val="-1"/>
        </w:rPr>
        <w:t>我们解除权的限制（不可抗辩、禁反言</w:t>
      </w:r>
      <w:r>
        <w:rPr/>
        <w:t>）</w:t>
      </w:r>
    </w:p>
    <w:p>
      <w:pPr>
        <w:pStyle w:val="BodyText"/>
        <w:spacing w:before="14"/>
      </w:pPr>
      <w:r>
        <w:rPr/>
        <w:t>发生下列情形之一的，我们不得依照第5.1条、第5.2条解除本附加合同：</w:t>
      </w:r>
    </w:p>
    <w:p>
      <w:pPr>
        <w:pStyle w:val="BodyText"/>
        <w:spacing w:before="30"/>
      </w:pPr>
      <w:r>
        <w:rPr/>
        <w:t>（一）自我们知道有解除事由之日起，超过三十日不行使解除权的；</w:t>
      </w:r>
    </w:p>
    <w:p>
      <w:pPr>
        <w:pStyle w:val="BodyText"/>
        <w:spacing w:before="33"/>
      </w:pPr>
      <w:r>
        <w:rPr/>
        <w:t>（二）自本附加合同成立之日起超过两年的；</w:t>
      </w:r>
    </w:p>
    <w:p>
      <w:pPr>
        <w:pStyle w:val="BodyText"/>
        <w:spacing w:line="300" w:lineRule="auto" w:before="50"/>
        <w:ind w:left="778" w:right="104" w:hanging="660"/>
      </w:pPr>
      <w:r>
        <w:rPr/>
        <w:t>（三）订立本附加合同时，我们已经知道您有未如实告知情况，或已知道被保险人的年龄或性别不真实的。</w:t>
      </w:r>
    </w:p>
    <w:p>
      <w:pPr>
        <w:pStyle w:val="BodyText"/>
        <w:spacing w:before="0"/>
        <w:ind w:left="0"/>
      </w:pPr>
    </w:p>
    <w:p>
      <w:pPr>
        <w:pStyle w:val="BodyText"/>
        <w:spacing w:before="0"/>
        <w:ind w:left="0"/>
        <w:rPr>
          <w:sz w:val="23"/>
        </w:rPr>
      </w:pPr>
    </w:p>
    <w:p>
      <w:pPr>
        <w:pStyle w:val="Heading2"/>
        <w:spacing w:line="326" w:lineRule="exact" w:before="1"/>
      </w:pPr>
      <w:r>
        <w:rPr>
          <w:w w:val="95"/>
        </w:rPr>
        <w:t>6.保险费</w:t>
      </w:r>
    </w:p>
    <w:p>
      <w:pPr>
        <w:pStyle w:val="Heading3"/>
        <w:spacing w:line="369"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80" w:lineRule="exact" w:before="0" w:after="0"/>
        <w:ind w:left="560" w:right="0" w:hanging="442"/>
        <w:jc w:val="left"/>
      </w:pPr>
      <w:r>
        <w:rPr>
          <w:spacing w:val="-1"/>
        </w:rPr>
        <w:t>保险费的交付</w:t>
      </w:r>
    </w:p>
    <w:p>
      <w:pPr>
        <w:pStyle w:val="BodyText"/>
        <w:spacing w:before="34"/>
      </w:pPr>
      <w:r>
        <w:rPr/>
        <w:t>本附加合同的保险费应与主合同保险费同时交付。</w:t>
      </w:r>
    </w:p>
    <w:p>
      <w:pPr>
        <w:pStyle w:val="BodyText"/>
        <w:spacing w:before="10"/>
        <w:ind w:left="0"/>
        <w:rPr>
          <w:sz w:val="26"/>
        </w:rPr>
      </w:pPr>
    </w:p>
    <w:p>
      <w:pPr>
        <w:pStyle w:val="Heading4"/>
        <w:numPr>
          <w:ilvl w:val="1"/>
          <w:numId w:val="8"/>
        </w:numPr>
        <w:tabs>
          <w:tab w:pos="560" w:val="left" w:leader="none"/>
        </w:tabs>
        <w:spacing w:line="240" w:lineRule="auto" w:before="0" w:after="0"/>
        <w:ind w:left="560" w:right="0" w:hanging="442"/>
        <w:jc w:val="left"/>
      </w:pPr>
      <w:r>
        <w:rPr>
          <w:spacing w:val="-1"/>
        </w:rPr>
        <w:t>宽限期</w:t>
      </w:r>
    </w:p>
    <w:p>
      <w:pPr>
        <w:spacing w:after="0" w:line="240" w:lineRule="auto"/>
        <w:jc w:val="left"/>
        <w:sectPr>
          <w:pgSz w:w="11910" w:h="16840"/>
          <w:pgMar w:top="1340" w:bottom="280" w:left="1300" w:right="1360"/>
        </w:sectPr>
      </w:pPr>
    </w:p>
    <w:p>
      <w:pPr>
        <w:pStyle w:val="BodyText"/>
        <w:spacing w:line="268" w:lineRule="auto" w:before="22"/>
        <w:ind w:right="264"/>
      </w:pPr>
      <w:r>
        <w:rPr/>
        <w:t>您支付首期保险费后，除本附加合同另有约定外，如果您到期未交付保险费，自保险费应交日的次日起六十日为宽限期。宽限期内本附加合同仍然有效。</w:t>
      </w:r>
    </w:p>
    <w:p>
      <w:pPr>
        <w:pStyle w:val="BodyText"/>
        <w:spacing w:line="266" w:lineRule="auto" w:before="5"/>
        <w:ind w:right="266"/>
      </w:pPr>
      <w:r>
        <w:rPr/>
        <w:t>被保险人在宽限期内发生的保险事故，我们仍承担保险责任，但在给付保险金时会扣减您的</w:t>
      </w:r>
      <w:r>
        <w:rPr>
          <w:rFonts w:ascii="黑体" w:eastAsia="黑体" w:hint="eastAsia"/>
          <w:b/>
        </w:rPr>
        <w:t>欠交保险费</w:t>
      </w:r>
      <w:hyperlink w:history="true" w:anchor="_bookmark18">
        <w:r>
          <w:rPr>
            <w:b/>
            <w:position w:val="11"/>
            <w:sz w:val="11"/>
          </w:rPr>
          <w:t>19</w:t>
        </w:r>
      </w:hyperlink>
      <w:r>
        <w:rPr/>
        <w:t>。</w:t>
      </w:r>
    </w:p>
    <w:p>
      <w:pPr>
        <w:pStyle w:val="BodyText"/>
        <w:spacing w:before="0"/>
        <w:ind w:left="0"/>
        <w:rPr>
          <w:sz w:val="24"/>
        </w:rPr>
      </w:pPr>
    </w:p>
    <w:p>
      <w:pPr>
        <w:pStyle w:val="BodyText"/>
        <w:spacing w:before="11"/>
        <w:ind w:left="0"/>
        <w:rPr>
          <w:sz w:val="21"/>
        </w:rPr>
      </w:pPr>
    </w:p>
    <w:p>
      <w:pPr>
        <w:pStyle w:val="Heading2"/>
        <w:spacing w:line="324" w:lineRule="exact"/>
      </w:pPr>
      <w:r>
        <w:rPr>
          <w:w w:val="95"/>
        </w:rPr>
        <w:t>7.合同效力的中止和恢复</w:t>
      </w:r>
    </w:p>
    <w:p>
      <w:pPr>
        <w:pStyle w:val="Heading3"/>
        <w:spacing w:line="376"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05" w:val="left" w:leader="none"/>
        </w:tabs>
        <w:spacing w:line="240" w:lineRule="auto" w:before="4" w:after="0"/>
        <w:ind w:left="504" w:right="0" w:hanging="386"/>
        <w:jc w:val="left"/>
      </w:pPr>
      <w:r>
        <w:rPr>
          <w:spacing w:val="-1"/>
        </w:rPr>
        <w:t>合同效力的中止</w:t>
      </w:r>
    </w:p>
    <w:p>
      <w:pPr>
        <w:pStyle w:val="BodyText"/>
        <w:spacing w:line="268" w:lineRule="auto"/>
        <w:ind w:right="264"/>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9"/>
        <w:ind w:left="0"/>
        <w:rPr>
          <w:sz w:val="24"/>
        </w:rPr>
      </w:pPr>
    </w:p>
    <w:p>
      <w:pPr>
        <w:pStyle w:val="Heading4"/>
        <w:numPr>
          <w:ilvl w:val="1"/>
          <w:numId w:val="9"/>
        </w:numPr>
        <w:tabs>
          <w:tab w:pos="560" w:val="left" w:leader="none"/>
        </w:tabs>
        <w:spacing w:line="240" w:lineRule="auto" w:before="0" w:after="0"/>
        <w:ind w:left="560" w:right="0" w:hanging="442"/>
        <w:jc w:val="left"/>
      </w:pPr>
      <w:r>
        <w:rPr>
          <w:spacing w:val="-1"/>
        </w:rPr>
        <w:t>合同效力的恢复（</w:t>
      </w:r>
      <w:r>
        <w:rPr>
          <w:spacing w:val="-2"/>
        </w:rPr>
        <w:t>以下简称“复效”</w:t>
      </w:r>
      <w:r>
        <w:rPr/>
        <w:t>）</w:t>
      </w:r>
    </w:p>
    <w:p>
      <w:pPr>
        <w:pStyle w:val="BodyText"/>
        <w:spacing w:line="266" w:lineRule="auto" w:before="16"/>
        <w:ind w:right="264"/>
        <w:jc w:val="both"/>
      </w:pPr>
      <w:r>
        <w:rPr>
          <w:spacing w:val="-3"/>
        </w:rPr>
        <w:t>本附加合同效力中止后两年内，您可以向我们提出复效的书面形式申请，并提供被保险人的健</w:t>
      </w:r>
      <w:r>
        <w:rPr>
          <w:spacing w:val="-5"/>
        </w:rPr>
        <w:t>康声明书或我们</w:t>
      </w:r>
      <w:r>
        <w:rPr>
          <w:rFonts w:ascii="黑体" w:eastAsia="黑体" w:hint="eastAsia"/>
          <w:b/>
          <w:spacing w:val="-5"/>
        </w:rPr>
        <w:t>指定或认可的医疗机构</w:t>
      </w:r>
      <w:hyperlink w:history="true" w:anchor="_bookmark19">
        <w:r>
          <w:rPr>
            <w:rFonts w:ascii="黑体" w:eastAsia="黑体" w:hint="eastAsia"/>
            <w:b/>
            <w:position w:val="11"/>
            <w:sz w:val="11"/>
          </w:rPr>
          <w:t>20</w:t>
        </w:r>
      </w:hyperlink>
      <w:r>
        <w:rPr>
          <w:spacing w:val="-5"/>
        </w:rPr>
        <w:t>出具的体检报告书，经我们审核通过并补交欠交保险费加计</w:t>
      </w:r>
      <w:r>
        <w:rPr>
          <w:rFonts w:ascii="黑体" w:eastAsia="黑体" w:hint="eastAsia"/>
          <w:b/>
          <w:spacing w:val="-5"/>
        </w:rPr>
        <w:t>利息</w:t>
      </w:r>
      <w:hyperlink w:history="true" w:anchor="_bookmark20">
        <w:r>
          <w:rPr>
            <w:rFonts w:ascii="黑体" w:eastAsia="黑体" w:hint="eastAsia"/>
            <w:b/>
            <w:position w:val="11"/>
            <w:sz w:val="11"/>
          </w:rPr>
          <w:t>21</w:t>
        </w:r>
      </w:hyperlink>
      <w:r>
        <w:rPr>
          <w:spacing w:val="-3"/>
        </w:rPr>
        <w:t>扣除合同效力中止期间的</w:t>
      </w:r>
      <w:r>
        <w:rPr>
          <w:rFonts w:ascii="黑体" w:eastAsia="黑体" w:hint="eastAsia"/>
          <w:b/>
        </w:rPr>
        <w:t>危险保险费</w:t>
      </w:r>
      <w:hyperlink w:history="true" w:anchor="_bookmark21">
        <w:r>
          <w:rPr>
            <w:rFonts w:ascii="黑体" w:eastAsia="黑体" w:hint="eastAsia"/>
            <w:b/>
            <w:position w:val="11"/>
            <w:sz w:val="11"/>
          </w:rPr>
          <w:t>22</w:t>
        </w:r>
      </w:hyperlink>
      <w:r>
        <w:rPr>
          <w:spacing w:val="-3"/>
        </w:rPr>
        <w:t>后的余额，自次日零时起本附加合同的效力恢复。但主合同未申请复效的，本附加合同不可以申请复效。</w:t>
      </w:r>
    </w:p>
    <w:p>
      <w:pPr>
        <w:pStyle w:val="BodyText"/>
        <w:spacing w:line="266" w:lineRule="auto" w:before="7"/>
        <w:ind w:right="264"/>
        <w:jc w:val="both"/>
      </w:pPr>
      <w:r>
        <w:rPr/>
        <w:t>自本附加合同效力中止日起满两年，您未提出复效申请或复效申请未经我们审核通过的，我们有权解除本附加合同。我们解除本附加合同的，向您退还合同效力中止时本附加合同的现金价值。</w:t>
      </w:r>
    </w:p>
    <w:p>
      <w:pPr>
        <w:pStyle w:val="BodyText"/>
        <w:spacing w:before="0"/>
        <w:ind w:left="0"/>
      </w:pPr>
    </w:p>
    <w:p>
      <w:pPr>
        <w:pStyle w:val="BodyText"/>
        <w:spacing w:before="5"/>
        <w:ind w:left="0"/>
        <w:rPr>
          <w:sz w:val="23"/>
        </w:rPr>
      </w:pPr>
    </w:p>
    <w:p>
      <w:pPr>
        <w:pStyle w:val="Heading2"/>
        <w:spacing w:before="1"/>
        <w:jc w:val="both"/>
      </w:pPr>
      <w:r>
        <w:rPr>
          <w:w w:val="95"/>
        </w:rPr>
        <w:t>8.</w:t>
      </w:r>
      <w:r>
        <w:rPr>
          <w:w w:val="95"/>
          <w:u w:val="single"/>
        </w:rPr>
        <w:t>保险金的申请</w:t>
      </w:r>
    </w:p>
    <w:p>
      <w:pPr>
        <w:pStyle w:val="Heading3"/>
        <w:spacing w:line="379" w:lineRule="exact"/>
        <w:jc w:val="both"/>
        <w:rPr>
          <w:rFonts w:ascii="Microsoft JhengHei" w:eastAsia="Microsoft JhengHei" w:hint="eastAsia"/>
        </w:rPr>
      </w:pPr>
      <w:r>
        <w:rPr>
          <w:rFonts w:ascii="Microsoft JhengHei" w:eastAsia="Microsoft JhengHei" w:hint="eastAsia"/>
        </w:rPr>
        <w:t>〜〜〜〜〜〜〜〜〜〜〜〜〜〜〜〜〜〜〜〜〜〜〜〜〜〜〜〜〜〜〜〜〜〜〜〜〜</w:t>
      </w:r>
    </w:p>
    <w:p>
      <w:pPr>
        <w:pStyle w:val="Heading4"/>
        <w:numPr>
          <w:ilvl w:val="1"/>
          <w:numId w:val="10"/>
        </w:numPr>
        <w:tabs>
          <w:tab w:pos="560" w:val="left" w:leader="none"/>
        </w:tabs>
        <w:spacing w:line="240" w:lineRule="auto" w:before="1" w:after="0"/>
        <w:ind w:left="560" w:right="0" w:hanging="442"/>
        <w:jc w:val="both"/>
      </w:pPr>
      <w:r>
        <w:rPr>
          <w:spacing w:val="-1"/>
        </w:rPr>
        <w:t>保险事故的通知</w:t>
      </w:r>
    </w:p>
    <w:p>
      <w:pPr>
        <w:pStyle w:val="BodyText"/>
        <w:spacing w:before="17"/>
        <w:jc w:val="both"/>
      </w:pPr>
      <w:r>
        <w:rPr/>
        <w:t>您或受益人应于知道保险事故发生之日起十日内通知我们。</w:t>
      </w:r>
    </w:p>
    <w:p>
      <w:pPr>
        <w:pStyle w:val="BodyText"/>
        <w:spacing w:line="266" w:lineRule="auto"/>
        <w:ind w:right="21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rFonts w:ascii="黑体" w:eastAsia="黑体" w:hint="eastAsia"/>
          <w:b/>
        </w:rPr>
        <w:t>不可抗力</w:t>
      </w:r>
      <w:hyperlink w:history="true" w:anchor="_bookmark22">
        <w:r>
          <w:rPr>
            <w:rFonts w:ascii="黑体" w:eastAsia="黑体" w:hint="eastAsia"/>
            <w:b/>
            <w:position w:val="11"/>
            <w:sz w:val="11"/>
          </w:rPr>
          <w:t>23</w:t>
        </w:r>
      </w:hyperlink>
      <w:r>
        <w:rPr>
          <w:spacing w:val="-7"/>
        </w:rPr>
        <w:t>导致的延误除外。若因不可抗力而不能在规</w:t>
      </w:r>
      <w:r>
        <w:rPr>
          <w:spacing w:val="-3"/>
        </w:rPr>
        <w:t>定的十日内通知我们,应在不可抗力消除后十日内通知我们。</w:t>
      </w:r>
    </w:p>
    <w:p>
      <w:pPr>
        <w:pStyle w:val="BodyText"/>
        <w:spacing w:before="4"/>
        <w:ind w:left="0"/>
        <w:rPr>
          <w:sz w:val="26"/>
        </w:rPr>
      </w:pPr>
    </w:p>
    <w:p>
      <w:pPr>
        <w:pStyle w:val="Heading4"/>
        <w:numPr>
          <w:ilvl w:val="1"/>
          <w:numId w:val="10"/>
        </w:numPr>
        <w:tabs>
          <w:tab w:pos="560" w:val="left" w:leader="none"/>
        </w:tabs>
        <w:spacing w:line="240" w:lineRule="auto" w:before="1" w:after="0"/>
        <w:ind w:left="560" w:right="0" w:hanging="442"/>
        <w:jc w:val="both"/>
      </w:pPr>
      <w:r>
        <w:rPr>
          <w:spacing w:val="-1"/>
        </w:rPr>
        <w:t>保险金的申请</w:t>
      </w:r>
    </w:p>
    <w:p>
      <w:pPr>
        <w:pStyle w:val="BodyText"/>
        <w:jc w:val="both"/>
      </w:pPr>
      <w:r>
        <w:rPr/>
        <w:t>申请人申请重大疾病保险金或特定疾病保险金时，应提供下列证明文件资料：</w:t>
      </w:r>
    </w:p>
    <w:p>
      <w:pPr>
        <w:pStyle w:val="BodyText"/>
        <w:spacing w:before="14"/>
        <w:jc w:val="both"/>
      </w:pPr>
      <w:r>
        <w:rPr/>
        <w:t>（1）保险金给付申请书；</w:t>
      </w:r>
    </w:p>
    <w:p>
      <w:pPr>
        <w:pStyle w:val="BodyText"/>
        <w:spacing w:before="0"/>
        <w:ind w:left="0"/>
        <w:rPr>
          <w:sz w:val="20"/>
        </w:rPr>
      </w:pPr>
    </w:p>
    <w:p>
      <w:pPr>
        <w:pStyle w:val="BodyText"/>
        <w:spacing w:before="6"/>
        <w:ind w:left="0"/>
        <w:rPr>
          <w:sz w:val="14"/>
        </w:rPr>
      </w:pPr>
      <w:r>
        <w:rPr/>
        <w:pict>
          <v:line style="position:absolute;mso-position-horizontal-relative:page;mso-position-vertical-relative:paragraph;z-index:1192;mso-wrap-distance-left:0;mso-wrap-distance-right:0" from="70.900002pt,11.415698pt" to="214.900002pt,11.415698pt" stroked="true" strokeweight="0pt" strokecolor="#000000">
            <v:stroke dashstyle="solid"/>
            <w10:wrap type="topAndBottom"/>
          </v:line>
        </w:pict>
      </w:r>
    </w:p>
    <w:p>
      <w:pPr>
        <w:pStyle w:val="BodyText"/>
        <w:spacing w:before="0"/>
        <w:ind w:left="0"/>
        <w:rPr>
          <w:sz w:val="6"/>
        </w:rPr>
      </w:pPr>
    </w:p>
    <w:p>
      <w:pPr>
        <w:spacing w:line="320" w:lineRule="exact" w:before="15"/>
        <w:ind w:left="118" w:right="211" w:firstLine="0"/>
        <w:jc w:val="left"/>
        <w:rPr>
          <w:sz w:val="20"/>
        </w:rPr>
      </w:pPr>
      <w:bookmarkStart w:name="_bookmark18" w:id="19"/>
      <w:bookmarkEnd w:id="19"/>
      <w:r>
        <w:rPr/>
      </w:r>
      <w:r>
        <w:rPr>
          <w:sz w:val="20"/>
        </w:rPr>
        <w:t>19、</w:t>
      </w:r>
      <w:r>
        <w:rPr>
          <w:rFonts w:ascii="Microsoft JhengHei" w:eastAsia="Microsoft JhengHei" w:hint="eastAsia"/>
          <w:b/>
          <w:sz w:val="20"/>
        </w:rPr>
        <w:t>欠交保险费：</w:t>
      </w:r>
      <w:r>
        <w:rPr>
          <w:sz w:val="20"/>
        </w:rPr>
        <w:t>指依本附加合同约定您（投保人）到期应交付而未交付的保险费。但本附加合同如有</w:t>
      </w:r>
      <w:r>
        <w:rPr>
          <w:w w:val="95"/>
          <w:sz w:val="20"/>
        </w:rPr>
        <w:t>垫交保险费的情形，则还应包括垫交保险费及其利息。</w:t>
      </w:r>
    </w:p>
    <w:p>
      <w:pPr>
        <w:spacing w:line="320" w:lineRule="exact" w:before="1"/>
        <w:ind w:left="118" w:right="59" w:firstLine="0"/>
        <w:jc w:val="left"/>
        <w:rPr>
          <w:sz w:val="20"/>
        </w:rPr>
      </w:pPr>
      <w:bookmarkStart w:name="_bookmark19" w:id="20"/>
      <w:bookmarkEnd w:id="20"/>
      <w:r>
        <w:rPr/>
      </w:r>
      <w:r>
        <w:rPr>
          <w:sz w:val="20"/>
        </w:rPr>
        <w:t>20、</w:t>
      </w:r>
      <w:r>
        <w:rPr>
          <w:rFonts w:ascii="Microsoft JhengHei" w:eastAsia="Microsoft JhengHei" w:hint="eastAsia"/>
          <w:b/>
          <w:sz w:val="20"/>
        </w:rPr>
        <w:t>指定或认可的医疗机构：</w:t>
      </w:r>
      <w:r>
        <w:rPr>
          <w:sz w:val="20"/>
        </w:rPr>
        <w:t>指国务院卫生部门评审确定的属于三级（含）以上的医院。但不包括诊所、</w:t>
      </w:r>
      <w:r>
        <w:rPr>
          <w:w w:val="95"/>
          <w:sz w:val="20"/>
        </w:rPr>
        <w:t>康复、疗养、护理、联合病房休养、戒酒、戒毒、养老等的医疗机构。</w:t>
      </w:r>
    </w:p>
    <w:p>
      <w:pPr>
        <w:spacing w:line="306" w:lineRule="exact" w:before="0"/>
        <w:ind w:left="118" w:right="0" w:firstLine="0"/>
        <w:jc w:val="left"/>
        <w:rPr>
          <w:sz w:val="20"/>
        </w:rPr>
      </w:pPr>
      <w:bookmarkStart w:name="_bookmark20" w:id="21"/>
      <w:bookmarkEnd w:id="21"/>
      <w:r>
        <w:rPr/>
      </w:r>
      <w:r>
        <w:rPr>
          <w:w w:val="95"/>
          <w:sz w:val="20"/>
        </w:rPr>
        <w:t>21、</w:t>
      </w:r>
      <w:r>
        <w:rPr>
          <w:rFonts w:ascii="Microsoft JhengHei" w:eastAsia="Microsoft JhengHei" w:hint="eastAsia"/>
          <w:b/>
          <w:w w:val="95"/>
          <w:sz w:val="20"/>
        </w:rPr>
        <w:t>利息：</w:t>
      </w:r>
      <w:r>
        <w:rPr>
          <w:w w:val="95"/>
          <w:sz w:val="20"/>
        </w:rPr>
        <w:t>指本附加合同效力中止日后补交欠交保险费的利息，按补交欠交保险费的金额、经过天数及</w:t>
      </w:r>
    </w:p>
    <w:p>
      <w:pPr>
        <w:spacing w:line="259" w:lineRule="exact" w:before="37"/>
        <w:ind w:left="118" w:right="0" w:firstLine="0"/>
        <w:jc w:val="left"/>
        <w:rPr>
          <w:sz w:val="20"/>
        </w:rPr>
      </w:pPr>
      <w:r>
        <w:rPr>
          <w:w w:val="95"/>
          <w:sz w:val="20"/>
        </w:rPr>
        <w:t>利率，依单利方式计算。利率以本附加合同所采用的预定利率计算。</w:t>
      </w:r>
    </w:p>
    <w:p>
      <w:pPr>
        <w:spacing w:line="331" w:lineRule="exact" w:before="0"/>
        <w:ind w:left="118" w:right="0" w:firstLine="0"/>
        <w:jc w:val="left"/>
        <w:rPr>
          <w:sz w:val="20"/>
        </w:rPr>
      </w:pPr>
      <w:bookmarkStart w:name="_bookmark21" w:id="22"/>
      <w:bookmarkEnd w:id="22"/>
      <w:r>
        <w:rPr/>
      </w:r>
      <w:r>
        <w:rPr>
          <w:w w:val="95"/>
          <w:sz w:val="20"/>
        </w:rPr>
        <w:t>22、</w:t>
      </w:r>
      <w:r>
        <w:rPr>
          <w:rFonts w:ascii="Microsoft JhengHei" w:eastAsia="Microsoft JhengHei" w:hint="eastAsia"/>
          <w:b/>
          <w:w w:val="95"/>
          <w:sz w:val="20"/>
        </w:rPr>
        <w:t>危险保险费：</w:t>
      </w:r>
      <w:r>
        <w:rPr>
          <w:w w:val="95"/>
          <w:sz w:val="20"/>
        </w:rPr>
        <w:t>指本附加合同的保险成本。</w:t>
      </w:r>
    </w:p>
    <w:p>
      <w:pPr>
        <w:spacing w:line="334" w:lineRule="exact" w:before="0"/>
        <w:ind w:left="118" w:right="0" w:firstLine="0"/>
        <w:jc w:val="left"/>
        <w:rPr>
          <w:sz w:val="20"/>
        </w:rPr>
      </w:pPr>
      <w:bookmarkStart w:name="_bookmark22" w:id="23"/>
      <w:bookmarkEnd w:id="23"/>
      <w:r>
        <w:rPr/>
      </w:r>
      <w:r>
        <w:rPr>
          <w:w w:val="95"/>
          <w:sz w:val="20"/>
        </w:rPr>
        <w:t>23、</w:t>
      </w:r>
      <w:r>
        <w:rPr>
          <w:rFonts w:ascii="Microsoft JhengHei" w:eastAsia="Microsoft JhengHei" w:hint="eastAsia"/>
          <w:b/>
          <w:w w:val="95"/>
          <w:sz w:val="20"/>
        </w:rPr>
        <w:t>不可抗力：</w:t>
      </w:r>
      <w:r>
        <w:rPr>
          <w:w w:val="95"/>
          <w:sz w:val="20"/>
        </w:rPr>
        <w:t>指不能预见、不能避免并不能克服的客观情况。</w:t>
      </w:r>
    </w:p>
    <w:p>
      <w:pPr>
        <w:spacing w:after="0" w:line="334" w:lineRule="exact"/>
        <w:jc w:val="left"/>
        <w:rPr>
          <w:sz w:val="20"/>
        </w:rPr>
        <w:sectPr>
          <w:pgSz w:w="11910" w:h="16840"/>
          <w:pgMar w:top="1360" w:bottom="280" w:left="1300" w:right="1200"/>
        </w:sectPr>
      </w:pPr>
    </w:p>
    <w:p>
      <w:pPr>
        <w:pStyle w:val="BodyText"/>
        <w:spacing w:before="22"/>
      </w:pPr>
      <w:r>
        <w:rPr/>
        <w:t>（2）保险合同；</w:t>
      </w:r>
    </w:p>
    <w:p>
      <w:pPr>
        <w:pStyle w:val="BodyText"/>
        <w:spacing w:before="33"/>
      </w:pPr>
      <w:r>
        <w:rPr/>
        <w:t>（3）申请人的户籍证明及身份证明；</w:t>
      </w:r>
    </w:p>
    <w:p>
      <w:pPr>
        <w:pStyle w:val="BodyText"/>
        <w:spacing w:line="266" w:lineRule="auto" w:before="30"/>
        <w:ind w:left="668" w:right="68" w:hanging="550"/>
      </w:pPr>
      <w:r>
        <w:rPr/>
        <w:t>（4）医院专科医生出具的重大疾病或特定疾病诊断证明书及相关检验或病理切片报告。但被保险人本人为医师的，其所开具的不可以作为诊断证明；</w:t>
      </w:r>
    </w:p>
    <w:p>
      <w:pPr>
        <w:pStyle w:val="BodyText"/>
        <w:spacing w:before="25"/>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68" w:lineRule="auto"/>
        <w:ind w:right="296"/>
      </w:pPr>
      <w:r>
        <w:rPr/>
        <w:t>（7）保险金如转变为被保险人遗产时，申请人必须提供可证明合法继承权的相关权利文件。如申请人提供的证明文件资料不齐全的，我们将一次性通知补齐。</w:t>
      </w:r>
    </w:p>
    <w:p>
      <w:pPr>
        <w:pStyle w:val="BodyText"/>
        <w:spacing w:before="0"/>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诉讼时效</w:t>
      </w:r>
    </w:p>
    <w:p>
      <w:pPr>
        <w:pStyle w:val="BodyText"/>
        <w:spacing w:line="266" w:lineRule="auto" w:before="16"/>
        <w:ind w:right="135"/>
      </w:pPr>
      <w:r>
        <w:rPr/>
        <w:t>受益人向我们请求给付保险金的诉讼时效期间为二年，自其知道或者应当知道保险事故发生之日起计算。</w:t>
      </w:r>
    </w:p>
    <w:p>
      <w:pPr>
        <w:pStyle w:val="BodyText"/>
        <w:spacing w:before="4"/>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保险金的给付</w:t>
      </w:r>
    </w:p>
    <w:p>
      <w:pPr>
        <w:pStyle w:val="BodyText"/>
        <w:spacing w:line="266" w:lineRule="auto" w:before="14"/>
        <w:ind w:right="184"/>
      </w:pPr>
      <w:r>
        <w:rPr/>
        <w:t>我们收到保险金给付申请书及本附加合同约定的证明和资料后，将在五日内作出核定；情形复杂的，我们会将进展情况通知受益人，并应在三十日内作出核定。</w:t>
      </w:r>
    </w:p>
    <w:p>
      <w:pPr>
        <w:pStyle w:val="BodyText"/>
        <w:spacing w:line="264" w:lineRule="auto" w:before="3"/>
        <w:ind w:right="16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4"/>
        <w:spacing w:line="266" w:lineRule="auto"/>
        <w:ind w:left="118" w:right="100"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w:t>
      </w:r>
      <w:r>
        <w:rPr>
          <w:spacing w:val="-16"/>
          <w:u w:val="single"/>
        </w:rPr>
        <w:t>我们除支付保险金外，还将按给付当月中国人民银行一年定期存款利率加计利息给付。此外，对于给付保险金的数额不能确定的，我们将针对可以确定的数额先予给付，等最终确</w:t>
      </w:r>
      <w:r>
        <w:rPr>
          <w:spacing w:val="-1"/>
          <w:u w:val="single"/>
        </w:rPr>
        <w:t>定给付保险金的数额后，再支付相应的差额。</w:t>
      </w:r>
    </w:p>
    <w:p>
      <w:pPr>
        <w:pStyle w:val="BodyText"/>
        <w:spacing w:before="0"/>
        <w:ind w:left="0"/>
        <w:rPr>
          <w:b/>
          <w:sz w:val="20"/>
        </w:rPr>
      </w:pPr>
    </w:p>
    <w:p>
      <w:pPr>
        <w:pStyle w:val="BodyText"/>
        <w:spacing w:before="9"/>
        <w:ind w:left="0"/>
        <w:rPr>
          <w:b/>
          <w:sz w:val="24"/>
        </w:rPr>
      </w:pPr>
    </w:p>
    <w:p>
      <w:pPr>
        <w:spacing w:line="328" w:lineRule="exact" w:before="15"/>
        <w:ind w:left="118" w:right="0" w:firstLine="0"/>
        <w:jc w:val="left"/>
        <w:rPr>
          <w:b/>
          <w:sz w:val="28"/>
        </w:rPr>
      </w:pPr>
      <w:r>
        <w:rPr>
          <w:b/>
          <w:w w:val="95"/>
          <w:sz w:val="28"/>
        </w:rPr>
        <w:t>9.受益人</w:t>
      </w:r>
    </w:p>
    <w:p>
      <w:pPr>
        <w:spacing w:line="373"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ListParagraph"/>
        <w:numPr>
          <w:ilvl w:val="1"/>
          <w:numId w:val="11"/>
        </w:numPr>
        <w:tabs>
          <w:tab w:pos="560" w:val="left" w:leader="none"/>
        </w:tabs>
        <w:spacing w:line="281" w:lineRule="exact" w:before="0" w:after="0"/>
        <w:ind w:left="560" w:right="0" w:hanging="442"/>
        <w:jc w:val="left"/>
        <w:rPr>
          <w:b/>
          <w:sz w:val="22"/>
        </w:rPr>
      </w:pPr>
      <w:r>
        <w:rPr>
          <w:b/>
          <w:spacing w:val="-1"/>
          <w:sz w:val="22"/>
        </w:rPr>
        <w:t>受益人的指定</w:t>
      </w:r>
    </w:p>
    <w:p>
      <w:pPr>
        <w:pStyle w:val="BodyText"/>
      </w:pPr>
      <w:r>
        <w:rPr/>
        <w:t>本附加合同重大疾病保险金和特定疾病保险金的受益人为被保险人本人。</w:t>
      </w:r>
    </w:p>
    <w:p>
      <w:pPr>
        <w:pStyle w:val="BodyText"/>
        <w:spacing w:before="12"/>
        <w:ind w:left="0"/>
        <w:rPr>
          <w:sz w:val="26"/>
        </w:rPr>
      </w:pPr>
    </w:p>
    <w:p>
      <w:pPr>
        <w:pStyle w:val="Heading4"/>
        <w:numPr>
          <w:ilvl w:val="1"/>
          <w:numId w:val="11"/>
        </w:numPr>
        <w:tabs>
          <w:tab w:pos="560" w:val="left" w:leader="none"/>
        </w:tabs>
        <w:spacing w:line="240" w:lineRule="auto" w:before="0" w:after="0"/>
        <w:ind w:left="560" w:right="0" w:hanging="442"/>
        <w:jc w:val="left"/>
      </w:pPr>
      <w:r>
        <w:rPr>
          <w:spacing w:val="-1"/>
        </w:rPr>
        <w:t>保险金转变为遗产的处理</w:t>
      </w:r>
    </w:p>
    <w:p>
      <w:pPr>
        <w:pStyle w:val="BodyText"/>
        <w:spacing w:line="300" w:lineRule="auto" w:before="50"/>
        <w:ind w:right="13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9"/>
        <w:ind w:left="0"/>
      </w:pPr>
    </w:p>
    <w:p>
      <w:pPr>
        <w:pStyle w:val="Heading2"/>
      </w:pPr>
      <w:r>
        <w:rPr>
          <w:w w:val="95"/>
        </w:rPr>
        <w:t>10.</w:t>
      </w:r>
      <w:r>
        <w:rPr>
          <w:w w:val="95"/>
          <w:u w:val="single"/>
        </w:rPr>
        <w:t>合同解除和效力终止</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2"/>
        </w:numPr>
        <w:tabs>
          <w:tab w:pos="616" w:val="left" w:leader="none"/>
        </w:tabs>
        <w:spacing w:line="240" w:lineRule="auto" w:before="1" w:after="0"/>
        <w:ind w:left="615" w:right="0" w:hanging="497"/>
        <w:jc w:val="left"/>
      </w:pPr>
      <w:r>
        <w:rPr>
          <w:spacing w:val="-1"/>
        </w:rPr>
        <w:t>您解除合同的手续及风险（退保</w:t>
      </w:r>
      <w:r>
        <w:rPr/>
        <w:t>）</w:t>
      </w:r>
    </w:p>
    <w:p>
      <w:pPr>
        <w:pStyle w:val="BodyText"/>
        <w:spacing w:line="266" w:lineRule="auto" w:before="16"/>
        <w:ind w:right="136"/>
      </w:pPr>
      <w:r>
        <w:rPr/>
        <w:t>在本附加合同有效期间内，您可以书面形式通知我们要求同时解除主合同及本附加合同。我们不接受单独解除本附加合同的申请。申请解除本附加合同时，您应提供下列证明文件和资料：</w:t>
      </w:r>
    </w:p>
    <w:p>
      <w:pPr>
        <w:pStyle w:val="BodyText"/>
        <w:spacing w:before="7"/>
      </w:pPr>
      <w:r>
        <w:rPr/>
        <w:t>（1）解除合同申请书；</w:t>
      </w:r>
    </w:p>
    <w:p>
      <w:pPr>
        <w:pStyle w:val="BodyText"/>
        <w:spacing w:before="34"/>
      </w:pPr>
      <w:r>
        <w:rPr/>
        <w:t>（2）保险合同；</w:t>
      </w:r>
    </w:p>
    <w:p>
      <w:pPr>
        <w:spacing w:after="0"/>
        <w:sectPr>
          <w:pgSz w:w="11910" w:h="16840"/>
          <w:pgMar w:top="1360" w:bottom="280" w:left="1300" w:right="1280"/>
        </w:sectPr>
      </w:pPr>
    </w:p>
    <w:p>
      <w:pPr>
        <w:pStyle w:val="BodyText"/>
        <w:spacing w:before="22"/>
      </w:pPr>
      <w:r>
        <w:rPr/>
        <w:t>（3）您的身份证明。</w:t>
      </w:r>
    </w:p>
    <w:p>
      <w:pPr>
        <w:pStyle w:val="BodyText"/>
        <w:spacing w:line="266" w:lineRule="auto" w:before="33"/>
        <w:ind w:right="116"/>
      </w:pPr>
      <w:r>
        <w:rPr/>
        <w:t>我们接到解除合同申请的次日零时起，本附加合同效力终止。我们将于收齐前述证明文件和资料后三十日内退还本附加合同的现金价值。</w:t>
      </w:r>
    </w:p>
    <w:p>
      <w:pPr>
        <w:pStyle w:val="BodyText"/>
        <w:spacing w:line="283" w:lineRule="auto" w:before="6"/>
        <w:ind w:right="3463"/>
      </w:pPr>
      <w:r>
        <w:rPr/>
        <w:t>如果您申请解除主合同的，视同一并申请解除本附加合同。您犹豫期后解除合同会遭受一定损失。</w:t>
      </w:r>
    </w:p>
    <w:p>
      <w:pPr>
        <w:pStyle w:val="BodyText"/>
        <w:spacing w:before="9"/>
        <w:ind w:left="0"/>
        <w:rPr>
          <w:sz w:val="23"/>
        </w:rPr>
      </w:pPr>
    </w:p>
    <w:p>
      <w:pPr>
        <w:pStyle w:val="Heading4"/>
        <w:numPr>
          <w:ilvl w:val="1"/>
          <w:numId w:val="12"/>
        </w:numPr>
        <w:tabs>
          <w:tab w:pos="671" w:val="left" w:leader="none"/>
        </w:tabs>
        <w:spacing w:line="240" w:lineRule="auto" w:before="0" w:after="0"/>
        <w:ind w:left="670" w:right="0" w:hanging="552"/>
        <w:jc w:val="left"/>
      </w:pPr>
      <w:r>
        <w:rPr>
          <w:spacing w:val="-1"/>
        </w:rPr>
        <w:t>合同效力的终止</w:t>
      </w:r>
    </w:p>
    <w:p>
      <w:pPr>
        <w:pStyle w:val="BodyText"/>
        <w:spacing w:before="16"/>
      </w:pPr>
      <w:r>
        <w:rPr/>
        <w:t>在本附加合同有效期间内，有下列情形之一的，其效力即行终止。</w:t>
      </w:r>
    </w:p>
    <w:p>
      <w:pPr>
        <w:pStyle w:val="BodyText"/>
      </w:pPr>
      <w:r>
        <w:rPr/>
        <w:t>（一）您或我们解除本附加合同的；</w:t>
      </w:r>
    </w:p>
    <w:p>
      <w:pPr>
        <w:pStyle w:val="BodyText"/>
      </w:pPr>
      <w:r>
        <w:rPr/>
        <w:t>（二）您或我们解除主合同的；</w:t>
      </w:r>
    </w:p>
    <w:p>
      <w:pPr>
        <w:pStyle w:val="BodyText"/>
        <w:spacing w:before="33"/>
      </w:pPr>
      <w:r>
        <w:rPr/>
        <w:t>（三）主合同已经终止的；</w:t>
      </w:r>
    </w:p>
    <w:p>
      <w:pPr>
        <w:pStyle w:val="BodyText"/>
      </w:pPr>
      <w:r>
        <w:rPr/>
        <w:t>（四）主合同变更为减额交清保险的；</w:t>
      </w:r>
    </w:p>
    <w:p>
      <w:pPr>
        <w:pStyle w:val="BodyText"/>
      </w:pPr>
      <w:r>
        <w:rPr/>
        <w:t>（五）本附加合同约定的合同效力终止的其他情形。</w:t>
      </w:r>
    </w:p>
    <w:p>
      <w:pPr>
        <w:pStyle w:val="BodyText"/>
        <w:spacing w:before="0"/>
        <w:ind w:left="0"/>
      </w:pPr>
    </w:p>
    <w:p>
      <w:pPr>
        <w:pStyle w:val="BodyText"/>
        <w:spacing w:before="3"/>
        <w:ind w:left="0"/>
        <w:rPr>
          <w:sz w:val="25"/>
        </w:rPr>
      </w:pPr>
    </w:p>
    <w:p>
      <w:pPr>
        <w:pStyle w:val="Heading2"/>
      </w:pPr>
      <w:r>
        <w:rPr>
          <w:w w:val="95"/>
        </w:rPr>
        <w:t>11.其他您应注意的事项</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13"/>
        </w:numPr>
        <w:tabs>
          <w:tab w:pos="671" w:val="left" w:leader="none"/>
        </w:tabs>
        <w:spacing w:line="281" w:lineRule="exact" w:before="0" w:after="0"/>
        <w:ind w:left="670" w:right="0" w:hanging="552"/>
        <w:jc w:val="left"/>
      </w:pPr>
      <w:r>
        <w:rPr>
          <w:spacing w:val="-1"/>
        </w:rPr>
        <w:t>欠交保险费的扣除</w:t>
      </w:r>
    </w:p>
    <w:p>
      <w:pPr>
        <w:pStyle w:val="BodyText"/>
        <w:spacing w:line="268" w:lineRule="auto"/>
        <w:ind w:right="116"/>
      </w:pPr>
      <w:r>
        <w:rPr/>
        <w:t>我们给付各项保险金、退还现金价值或退还保险费时，若有欠交保险费及利息的，我们将在扣除所欠保险费及利息后，再行给付。</w:t>
      </w:r>
    </w:p>
    <w:p>
      <w:pPr>
        <w:pStyle w:val="BodyText"/>
        <w:spacing w:before="0"/>
        <w:ind w:left="0"/>
        <w:rPr>
          <w:sz w:val="26"/>
        </w:rPr>
      </w:pPr>
    </w:p>
    <w:p>
      <w:pPr>
        <w:pStyle w:val="Heading4"/>
        <w:numPr>
          <w:ilvl w:val="1"/>
          <w:numId w:val="13"/>
        </w:numPr>
        <w:tabs>
          <w:tab w:pos="671" w:val="left" w:leader="none"/>
        </w:tabs>
        <w:spacing w:line="240" w:lineRule="auto" w:before="1" w:after="0"/>
        <w:ind w:left="670" w:right="0" w:hanging="552"/>
        <w:jc w:val="left"/>
      </w:pPr>
      <w:r>
        <w:rPr>
          <w:spacing w:val="-1"/>
        </w:rPr>
        <w:t>争议的处理</w:t>
      </w:r>
    </w:p>
    <w:p>
      <w:pPr>
        <w:pStyle w:val="BodyText"/>
        <w:spacing w:line="266" w:lineRule="auto" w:before="34"/>
        <w:ind w:right="116"/>
      </w:pPr>
      <w:r>
        <w:rPr/>
        <w:t>因履行本附加合同发生的争议，由双方协商解决；协商不成的，合同争议解决方式由您和我们从下列两种方式中选择一种：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3"/>
      </w:pPr>
      <w:r>
        <w:rPr/>
        <w:t>（二）依法向有管辖权的人民法院提起诉讼。</w:t>
      </w:r>
    </w:p>
    <w:p>
      <w:pPr>
        <w:pStyle w:val="BodyText"/>
        <w:spacing w:before="9"/>
        <w:ind w:left="0"/>
        <w:rPr>
          <w:sz w:val="26"/>
        </w:rPr>
      </w:pPr>
    </w:p>
    <w:p>
      <w:pPr>
        <w:pStyle w:val="Heading4"/>
        <w:numPr>
          <w:ilvl w:val="1"/>
          <w:numId w:val="13"/>
        </w:numPr>
        <w:tabs>
          <w:tab w:pos="671" w:val="left" w:leader="none"/>
        </w:tabs>
        <w:spacing w:line="240" w:lineRule="auto" w:before="1" w:after="0"/>
        <w:ind w:left="670" w:right="0" w:hanging="552"/>
        <w:jc w:val="left"/>
      </w:pPr>
      <w:r>
        <w:rPr>
          <w:spacing w:val="-1"/>
        </w:rPr>
        <w:t>索引</w:t>
      </w:r>
    </w:p>
    <w:p>
      <w:pPr>
        <w:pStyle w:val="BodyText"/>
        <w:spacing w:line="266" w:lineRule="auto" w:before="34"/>
        <w:ind w:right="164"/>
      </w:pPr>
      <w:r>
        <w:rPr/>
        <w:t>为方便您查找内容，我们制作了条款索引，通过该索引，您可以轻易地找到想进一步了解的条款内容。</w:t>
      </w:r>
    </w:p>
    <w:p>
      <w:pPr>
        <w:spacing w:after="0" w:line="266" w:lineRule="auto"/>
        <w:sectPr>
          <w:pgSz w:w="11910" w:h="16840"/>
          <w:pgMar w:top="1360" w:bottom="280" w:left="1300" w:right="1300"/>
        </w:sectPr>
      </w:pPr>
    </w:p>
    <w:p>
      <w:pPr>
        <w:pStyle w:val="Heading4"/>
        <w:spacing w:before="22"/>
        <w:ind w:left="4354" w:right="3812" w:firstLine="0"/>
        <w:jc w:val="center"/>
      </w:pPr>
      <w:r>
        <w:rPr/>
        <w:t>【索引】</w:t>
      </w:r>
    </w:p>
    <w:p>
      <w:pPr>
        <w:pStyle w:val="BodyText"/>
        <w:spacing w:before="0"/>
        <w:ind w:left="0"/>
        <w:rPr>
          <w:b/>
          <w:sz w:val="20"/>
        </w:rPr>
      </w:pPr>
    </w:p>
    <w:p>
      <w:pPr>
        <w:pStyle w:val="BodyText"/>
        <w:spacing w:before="1"/>
        <w:ind w:left="0"/>
        <w:rPr>
          <w:b/>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8"/>
        <w:gridCol w:w="2766"/>
        <w:gridCol w:w="1341"/>
      </w:tblGrid>
      <w:tr>
        <w:trPr>
          <w:trHeight w:val="270" w:hRule="atLeast"/>
        </w:trPr>
        <w:tc>
          <w:tcPr>
            <w:tcW w:w="2911" w:type="dxa"/>
          </w:tcPr>
          <w:p>
            <w:pPr>
              <w:pStyle w:val="TableParagraph"/>
              <w:spacing w:line="221" w:lineRule="exact"/>
              <w:ind w:left="50"/>
              <w:rPr>
                <w:sz w:val="22"/>
              </w:rPr>
            </w:pPr>
            <w:r>
              <w:rPr>
                <w:sz w:val="22"/>
              </w:rPr>
              <w:t>释义</w:t>
            </w:r>
          </w:p>
        </w:tc>
        <w:tc>
          <w:tcPr>
            <w:tcW w:w="1588" w:type="dxa"/>
          </w:tcPr>
          <w:p>
            <w:pPr>
              <w:pStyle w:val="TableParagraph"/>
              <w:spacing w:line="221" w:lineRule="exact"/>
              <w:ind w:right="374"/>
              <w:jc w:val="right"/>
              <w:rPr>
                <w:sz w:val="22"/>
              </w:rPr>
            </w:pPr>
            <w:r>
              <w:rPr>
                <w:sz w:val="22"/>
              </w:rPr>
              <w:t>1.1</w:t>
            </w:r>
          </w:p>
        </w:tc>
        <w:tc>
          <w:tcPr>
            <w:tcW w:w="2766" w:type="dxa"/>
          </w:tcPr>
          <w:p>
            <w:pPr>
              <w:pStyle w:val="TableParagraph"/>
              <w:spacing w:line="221" w:lineRule="exact"/>
              <w:ind w:left="374"/>
              <w:rPr>
                <w:sz w:val="22"/>
              </w:rPr>
            </w:pPr>
            <w:r>
              <w:rPr>
                <w:sz w:val="22"/>
              </w:rPr>
              <w:t>禁反言</w:t>
            </w:r>
          </w:p>
        </w:tc>
        <w:tc>
          <w:tcPr>
            <w:tcW w:w="1341" w:type="dxa"/>
          </w:tcPr>
          <w:p>
            <w:pPr>
              <w:pStyle w:val="TableParagraph"/>
              <w:spacing w:line="221" w:lineRule="exact"/>
              <w:ind w:left="848"/>
              <w:rPr>
                <w:sz w:val="22"/>
              </w:rPr>
            </w:pPr>
            <w:r>
              <w:rPr>
                <w:sz w:val="22"/>
              </w:rPr>
              <w:t>5.3</w:t>
            </w:r>
          </w:p>
        </w:tc>
      </w:tr>
      <w:tr>
        <w:trPr>
          <w:trHeight w:val="320" w:hRule="atLeast"/>
        </w:trPr>
        <w:tc>
          <w:tcPr>
            <w:tcW w:w="2911" w:type="dxa"/>
          </w:tcPr>
          <w:p>
            <w:pPr>
              <w:pStyle w:val="TableParagraph"/>
              <w:ind w:left="50"/>
              <w:rPr>
                <w:sz w:val="22"/>
              </w:rPr>
            </w:pPr>
            <w:r>
              <w:rPr>
                <w:sz w:val="22"/>
              </w:rPr>
              <w:t>合同的构成</w:t>
            </w:r>
          </w:p>
        </w:tc>
        <w:tc>
          <w:tcPr>
            <w:tcW w:w="1588" w:type="dxa"/>
          </w:tcPr>
          <w:p>
            <w:pPr>
              <w:pStyle w:val="TableParagraph"/>
              <w:ind w:right="374"/>
              <w:jc w:val="right"/>
              <w:rPr>
                <w:sz w:val="22"/>
              </w:rPr>
            </w:pPr>
            <w:r>
              <w:rPr>
                <w:sz w:val="22"/>
              </w:rPr>
              <w:t>2.1</w:t>
            </w:r>
          </w:p>
        </w:tc>
        <w:tc>
          <w:tcPr>
            <w:tcW w:w="2766" w:type="dxa"/>
          </w:tcPr>
          <w:p>
            <w:pPr>
              <w:pStyle w:val="TableParagraph"/>
              <w:ind w:left="374"/>
              <w:rPr>
                <w:sz w:val="22"/>
              </w:rPr>
            </w:pPr>
            <w:r>
              <w:rPr>
                <w:sz w:val="22"/>
              </w:rPr>
              <w:t>宽限期</w:t>
            </w:r>
          </w:p>
        </w:tc>
        <w:tc>
          <w:tcPr>
            <w:tcW w:w="1341" w:type="dxa"/>
          </w:tcPr>
          <w:p>
            <w:pPr>
              <w:pStyle w:val="TableParagraph"/>
              <w:ind w:left="848"/>
              <w:rPr>
                <w:sz w:val="22"/>
              </w:rPr>
            </w:pPr>
            <w:r>
              <w:rPr>
                <w:sz w:val="22"/>
              </w:rPr>
              <w:t>6.2</w:t>
            </w:r>
          </w:p>
        </w:tc>
      </w:tr>
      <w:tr>
        <w:trPr>
          <w:trHeight w:val="320" w:hRule="atLeast"/>
        </w:trPr>
        <w:tc>
          <w:tcPr>
            <w:tcW w:w="2911" w:type="dxa"/>
          </w:tcPr>
          <w:p>
            <w:pPr>
              <w:pStyle w:val="TableParagraph"/>
              <w:spacing w:line="271" w:lineRule="exact"/>
              <w:ind w:left="50"/>
              <w:rPr>
                <w:sz w:val="22"/>
              </w:rPr>
            </w:pPr>
            <w:r>
              <w:rPr>
                <w:sz w:val="22"/>
              </w:rPr>
              <w:t>投保范围</w:t>
            </w:r>
          </w:p>
        </w:tc>
        <w:tc>
          <w:tcPr>
            <w:tcW w:w="1588" w:type="dxa"/>
          </w:tcPr>
          <w:p>
            <w:pPr>
              <w:pStyle w:val="TableParagraph"/>
              <w:spacing w:line="271" w:lineRule="exact"/>
              <w:ind w:right="374"/>
              <w:jc w:val="right"/>
              <w:rPr>
                <w:sz w:val="22"/>
              </w:rPr>
            </w:pPr>
            <w:r>
              <w:rPr>
                <w:sz w:val="22"/>
              </w:rPr>
              <w:t>2.2</w:t>
            </w:r>
          </w:p>
        </w:tc>
        <w:tc>
          <w:tcPr>
            <w:tcW w:w="2766" w:type="dxa"/>
          </w:tcPr>
          <w:p>
            <w:pPr>
              <w:pStyle w:val="TableParagraph"/>
              <w:spacing w:line="271" w:lineRule="exact"/>
              <w:ind w:left="374"/>
              <w:rPr>
                <w:sz w:val="22"/>
              </w:rPr>
            </w:pPr>
            <w:r>
              <w:rPr>
                <w:sz w:val="22"/>
              </w:rPr>
              <w:t>合同效力的中止</w:t>
            </w:r>
          </w:p>
        </w:tc>
        <w:tc>
          <w:tcPr>
            <w:tcW w:w="1341" w:type="dxa"/>
          </w:tcPr>
          <w:p>
            <w:pPr>
              <w:pStyle w:val="TableParagraph"/>
              <w:spacing w:line="271" w:lineRule="exact"/>
              <w:ind w:left="848"/>
              <w:rPr>
                <w:sz w:val="22"/>
              </w:rPr>
            </w:pPr>
            <w:r>
              <w:rPr>
                <w:sz w:val="22"/>
              </w:rPr>
              <w:t>7.1</w:t>
            </w:r>
          </w:p>
        </w:tc>
      </w:tr>
      <w:tr>
        <w:trPr>
          <w:trHeight w:val="319" w:hRule="atLeast"/>
        </w:trPr>
        <w:tc>
          <w:tcPr>
            <w:tcW w:w="2911" w:type="dxa"/>
          </w:tcPr>
          <w:p>
            <w:pPr>
              <w:pStyle w:val="TableParagraph"/>
              <w:ind w:left="50"/>
              <w:rPr>
                <w:sz w:val="22"/>
              </w:rPr>
            </w:pPr>
            <w:r>
              <w:rPr>
                <w:sz w:val="22"/>
              </w:rPr>
              <w:t>合同生效</w:t>
            </w:r>
          </w:p>
        </w:tc>
        <w:tc>
          <w:tcPr>
            <w:tcW w:w="1588" w:type="dxa"/>
          </w:tcPr>
          <w:p>
            <w:pPr>
              <w:pStyle w:val="TableParagraph"/>
              <w:ind w:right="374"/>
              <w:jc w:val="right"/>
              <w:rPr>
                <w:sz w:val="22"/>
              </w:rPr>
            </w:pPr>
            <w:r>
              <w:rPr>
                <w:sz w:val="22"/>
              </w:rPr>
              <w:t>2.3</w:t>
            </w:r>
          </w:p>
        </w:tc>
        <w:tc>
          <w:tcPr>
            <w:tcW w:w="2766" w:type="dxa"/>
          </w:tcPr>
          <w:p>
            <w:pPr>
              <w:pStyle w:val="TableParagraph"/>
              <w:ind w:left="374"/>
              <w:rPr>
                <w:sz w:val="22"/>
              </w:rPr>
            </w:pPr>
            <w:r>
              <w:rPr>
                <w:sz w:val="22"/>
              </w:rPr>
              <w:t>复效</w:t>
            </w:r>
          </w:p>
        </w:tc>
        <w:tc>
          <w:tcPr>
            <w:tcW w:w="1341" w:type="dxa"/>
          </w:tcPr>
          <w:p>
            <w:pPr>
              <w:pStyle w:val="TableParagraph"/>
              <w:ind w:left="848"/>
              <w:rPr>
                <w:sz w:val="22"/>
              </w:rPr>
            </w:pPr>
            <w:r>
              <w:rPr>
                <w:sz w:val="22"/>
              </w:rPr>
              <w:t>7.2</w:t>
            </w:r>
          </w:p>
        </w:tc>
      </w:tr>
      <w:tr>
        <w:trPr>
          <w:trHeight w:val="320" w:hRule="atLeast"/>
        </w:trPr>
        <w:tc>
          <w:tcPr>
            <w:tcW w:w="2911" w:type="dxa"/>
          </w:tcPr>
          <w:p>
            <w:pPr>
              <w:pStyle w:val="TableParagraph"/>
              <w:ind w:left="50"/>
              <w:rPr>
                <w:sz w:val="22"/>
              </w:rPr>
            </w:pPr>
            <w:r>
              <w:rPr>
                <w:sz w:val="22"/>
              </w:rPr>
              <w:t>撤销合同（犹豫期）</w:t>
            </w:r>
          </w:p>
        </w:tc>
        <w:tc>
          <w:tcPr>
            <w:tcW w:w="1588" w:type="dxa"/>
          </w:tcPr>
          <w:p>
            <w:pPr>
              <w:pStyle w:val="TableParagraph"/>
              <w:ind w:right="374"/>
              <w:jc w:val="right"/>
              <w:rPr>
                <w:sz w:val="22"/>
              </w:rPr>
            </w:pPr>
            <w:r>
              <w:rPr>
                <w:sz w:val="22"/>
              </w:rPr>
              <w:t>2.5</w:t>
            </w:r>
          </w:p>
        </w:tc>
        <w:tc>
          <w:tcPr>
            <w:tcW w:w="2766" w:type="dxa"/>
          </w:tcPr>
          <w:p>
            <w:pPr>
              <w:pStyle w:val="TableParagraph"/>
              <w:ind w:left="374"/>
              <w:rPr>
                <w:sz w:val="22"/>
              </w:rPr>
            </w:pPr>
            <w:r>
              <w:rPr>
                <w:sz w:val="22"/>
              </w:rPr>
              <w:t>保险事故通知</w:t>
            </w:r>
          </w:p>
        </w:tc>
        <w:tc>
          <w:tcPr>
            <w:tcW w:w="1341" w:type="dxa"/>
          </w:tcPr>
          <w:p>
            <w:pPr>
              <w:pStyle w:val="TableParagraph"/>
              <w:ind w:left="848"/>
              <w:rPr>
                <w:sz w:val="22"/>
              </w:rPr>
            </w:pPr>
            <w:r>
              <w:rPr>
                <w:sz w:val="22"/>
              </w:rPr>
              <w:t>8.1</w:t>
            </w:r>
          </w:p>
        </w:tc>
      </w:tr>
      <w:tr>
        <w:trPr>
          <w:trHeight w:val="320" w:hRule="atLeast"/>
        </w:trPr>
        <w:tc>
          <w:tcPr>
            <w:tcW w:w="2911" w:type="dxa"/>
          </w:tcPr>
          <w:p>
            <w:pPr>
              <w:pStyle w:val="TableParagraph"/>
              <w:spacing w:line="271" w:lineRule="exact"/>
              <w:ind w:left="50"/>
              <w:rPr>
                <w:sz w:val="22"/>
              </w:rPr>
            </w:pPr>
            <w:r>
              <w:rPr>
                <w:sz w:val="22"/>
              </w:rPr>
              <w:t>重大疾病保险金</w:t>
            </w:r>
          </w:p>
        </w:tc>
        <w:tc>
          <w:tcPr>
            <w:tcW w:w="1588" w:type="dxa"/>
          </w:tcPr>
          <w:p>
            <w:pPr>
              <w:pStyle w:val="TableParagraph"/>
              <w:spacing w:line="271" w:lineRule="exact"/>
              <w:ind w:right="374"/>
              <w:jc w:val="right"/>
              <w:rPr>
                <w:sz w:val="22"/>
              </w:rPr>
            </w:pPr>
            <w:r>
              <w:rPr>
                <w:sz w:val="22"/>
              </w:rPr>
              <w:t>3.1</w:t>
            </w:r>
          </w:p>
        </w:tc>
        <w:tc>
          <w:tcPr>
            <w:tcW w:w="2766" w:type="dxa"/>
          </w:tcPr>
          <w:p>
            <w:pPr>
              <w:pStyle w:val="TableParagraph"/>
              <w:spacing w:line="271" w:lineRule="exact"/>
              <w:ind w:left="374"/>
              <w:rPr>
                <w:sz w:val="22"/>
              </w:rPr>
            </w:pPr>
            <w:r>
              <w:rPr>
                <w:sz w:val="22"/>
              </w:rPr>
              <w:t>保险金申请</w:t>
            </w:r>
          </w:p>
        </w:tc>
        <w:tc>
          <w:tcPr>
            <w:tcW w:w="1341" w:type="dxa"/>
          </w:tcPr>
          <w:p>
            <w:pPr>
              <w:pStyle w:val="TableParagraph"/>
              <w:spacing w:line="271" w:lineRule="exact"/>
              <w:ind w:left="848"/>
              <w:rPr>
                <w:sz w:val="22"/>
              </w:rPr>
            </w:pPr>
            <w:r>
              <w:rPr>
                <w:sz w:val="22"/>
              </w:rPr>
              <w:t>8.2</w:t>
            </w:r>
          </w:p>
        </w:tc>
      </w:tr>
      <w:tr>
        <w:trPr>
          <w:trHeight w:val="319" w:hRule="atLeast"/>
        </w:trPr>
        <w:tc>
          <w:tcPr>
            <w:tcW w:w="2911" w:type="dxa"/>
          </w:tcPr>
          <w:p>
            <w:pPr>
              <w:pStyle w:val="TableParagraph"/>
              <w:ind w:left="50"/>
              <w:rPr>
                <w:sz w:val="22"/>
              </w:rPr>
            </w:pPr>
            <w:r>
              <w:rPr>
                <w:sz w:val="22"/>
              </w:rPr>
              <w:t>特定疾病保险金</w:t>
            </w:r>
          </w:p>
        </w:tc>
        <w:tc>
          <w:tcPr>
            <w:tcW w:w="1588" w:type="dxa"/>
          </w:tcPr>
          <w:p>
            <w:pPr>
              <w:pStyle w:val="TableParagraph"/>
              <w:ind w:right="374"/>
              <w:jc w:val="right"/>
              <w:rPr>
                <w:sz w:val="22"/>
              </w:rPr>
            </w:pPr>
            <w:r>
              <w:rPr>
                <w:sz w:val="22"/>
              </w:rPr>
              <w:t>3.2</w:t>
            </w:r>
          </w:p>
        </w:tc>
        <w:tc>
          <w:tcPr>
            <w:tcW w:w="2766" w:type="dxa"/>
          </w:tcPr>
          <w:p>
            <w:pPr>
              <w:pStyle w:val="TableParagraph"/>
              <w:ind w:left="374"/>
              <w:rPr>
                <w:sz w:val="22"/>
              </w:rPr>
            </w:pPr>
            <w:r>
              <w:rPr>
                <w:sz w:val="22"/>
              </w:rPr>
              <w:t>诉讼时效</w:t>
            </w:r>
          </w:p>
        </w:tc>
        <w:tc>
          <w:tcPr>
            <w:tcW w:w="1341" w:type="dxa"/>
          </w:tcPr>
          <w:p>
            <w:pPr>
              <w:pStyle w:val="TableParagraph"/>
              <w:ind w:left="848"/>
              <w:rPr>
                <w:sz w:val="22"/>
              </w:rPr>
            </w:pPr>
            <w:r>
              <w:rPr>
                <w:sz w:val="22"/>
              </w:rPr>
              <w:t>8.3</w:t>
            </w:r>
          </w:p>
        </w:tc>
      </w:tr>
      <w:tr>
        <w:trPr>
          <w:trHeight w:val="320" w:hRule="atLeast"/>
        </w:trPr>
        <w:tc>
          <w:tcPr>
            <w:tcW w:w="2911" w:type="dxa"/>
          </w:tcPr>
          <w:p>
            <w:pPr>
              <w:pStyle w:val="TableParagraph"/>
              <w:ind w:left="50"/>
              <w:rPr>
                <w:sz w:val="22"/>
              </w:rPr>
            </w:pPr>
            <w:r>
              <w:rPr>
                <w:sz w:val="22"/>
              </w:rPr>
              <w:t>32种重大疾病</w:t>
            </w:r>
          </w:p>
        </w:tc>
        <w:tc>
          <w:tcPr>
            <w:tcW w:w="1588" w:type="dxa"/>
          </w:tcPr>
          <w:p>
            <w:pPr>
              <w:pStyle w:val="TableParagraph"/>
              <w:ind w:right="374"/>
              <w:jc w:val="right"/>
              <w:rPr>
                <w:sz w:val="22"/>
              </w:rPr>
            </w:pPr>
            <w:r>
              <w:rPr>
                <w:sz w:val="22"/>
              </w:rPr>
              <w:t>3.3</w:t>
            </w:r>
          </w:p>
        </w:tc>
        <w:tc>
          <w:tcPr>
            <w:tcW w:w="2766" w:type="dxa"/>
          </w:tcPr>
          <w:p>
            <w:pPr>
              <w:pStyle w:val="TableParagraph"/>
              <w:ind w:left="374"/>
              <w:rPr>
                <w:sz w:val="22"/>
              </w:rPr>
            </w:pPr>
            <w:r>
              <w:rPr>
                <w:sz w:val="22"/>
              </w:rPr>
              <w:t>保险金给付</w:t>
            </w:r>
          </w:p>
        </w:tc>
        <w:tc>
          <w:tcPr>
            <w:tcW w:w="1341" w:type="dxa"/>
          </w:tcPr>
          <w:p>
            <w:pPr>
              <w:pStyle w:val="TableParagraph"/>
              <w:ind w:left="848"/>
              <w:rPr>
                <w:sz w:val="22"/>
              </w:rPr>
            </w:pPr>
            <w:r>
              <w:rPr>
                <w:sz w:val="22"/>
              </w:rPr>
              <w:t>8.4</w:t>
            </w:r>
          </w:p>
        </w:tc>
      </w:tr>
      <w:tr>
        <w:trPr>
          <w:trHeight w:val="320" w:hRule="atLeast"/>
        </w:trPr>
        <w:tc>
          <w:tcPr>
            <w:tcW w:w="2911" w:type="dxa"/>
          </w:tcPr>
          <w:p>
            <w:pPr>
              <w:pStyle w:val="TableParagraph"/>
              <w:spacing w:line="271" w:lineRule="exact"/>
              <w:ind w:left="50"/>
              <w:rPr>
                <w:sz w:val="22"/>
              </w:rPr>
            </w:pPr>
            <w:r>
              <w:rPr>
                <w:sz w:val="22"/>
              </w:rPr>
              <w:t>10种特定疾病</w:t>
            </w:r>
          </w:p>
        </w:tc>
        <w:tc>
          <w:tcPr>
            <w:tcW w:w="1588" w:type="dxa"/>
          </w:tcPr>
          <w:p>
            <w:pPr>
              <w:pStyle w:val="TableParagraph"/>
              <w:spacing w:line="271" w:lineRule="exact"/>
              <w:ind w:right="374"/>
              <w:jc w:val="right"/>
              <w:rPr>
                <w:sz w:val="22"/>
              </w:rPr>
            </w:pPr>
            <w:r>
              <w:rPr>
                <w:sz w:val="22"/>
              </w:rPr>
              <w:t>3.4</w:t>
            </w:r>
          </w:p>
        </w:tc>
        <w:tc>
          <w:tcPr>
            <w:tcW w:w="2766" w:type="dxa"/>
          </w:tcPr>
          <w:p>
            <w:pPr>
              <w:pStyle w:val="TableParagraph"/>
              <w:spacing w:line="271" w:lineRule="exact"/>
              <w:ind w:left="374"/>
              <w:rPr>
                <w:sz w:val="22"/>
              </w:rPr>
            </w:pPr>
            <w:r>
              <w:rPr>
                <w:sz w:val="22"/>
              </w:rPr>
              <w:t>受益人</w:t>
            </w:r>
          </w:p>
        </w:tc>
        <w:tc>
          <w:tcPr>
            <w:tcW w:w="1341" w:type="dxa"/>
          </w:tcPr>
          <w:p>
            <w:pPr>
              <w:pStyle w:val="TableParagraph"/>
              <w:spacing w:line="271" w:lineRule="exact"/>
              <w:ind w:left="848"/>
              <w:rPr>
                <w:sz w:val="22"/>
              </w:rPr>
            </w:pPr>
            <w:r>
              <w:rPr>
                <w:sz w:val="22"/>
              </w:rPr>
              <w:t>9.1</w:t>
            </w:r>
          </w:p>
        </w:tc>
      </w:tr>
      <w:tr>
        <w:trPr>
          <w:trHeight w:val="319" w:hRule="atLeast"/>
        </w:trPr>
        <w:tc>
          <w:tcPr>
            <w:tcW w:w="2911" w:type="dxa"/>
          </w:tcPr>
          <w:p>
            <w:pPr>
              <w:pStyle w:val="TableParagraph"/>
              <w:ind w:left="50"/>
              <w:rPr>
                <w:sz w:val="22"/>
              </w:rPr>
            </w:pPr>
            <w:r>
              <w:rPr>
                <w:sz w:val="22"/>
              </w:rPr>
              <w:t>责任免除</w:t>
            </w:r>
          </w:p>
        </w:tc>
        <w:tc>
          <w:tcPr>
            <w:tcW w:w="1588" w:type="dxa"/>
          </w:tcPr>
          <w:p>
            <w:pPr>
              <w:pStyle w:val="TableParagraph"/>
              <w:ind w:right="374"/>
              <w:jc w:val="right"/>
              <w:rPr>
                <w:sz w:val="22"/>
              </w:rPr>
            </w:pPr>
            <w:r>
              <w:rPr>
                <w:sz w:val="22"/>
              </w:rPr>
              <w:t>4.1</w:t>
            </w:r>
          </w:p>
        </w:tc>
        <w:tc>
          <w:tcPr>
            <w:tcW w:w="2766" w:type="dxa"/>
          </w:tcPr>
          <w:p>
            <w:pPr>
              <w:pStyle w:val="TableParagraph"/>
              <w:ind w:left="374"/>
              <w:rPr>
                <w:sz w:val="22"/>
              </w:rPr>
            </w:pPr>
            <w:r>
              <w:rPr>
                <w:sz w:val="22"/>
              </w:rPr>
              <w:t>退保</w:t>
            </w:r>
          </w:p>
        </w:tc>
        <w:tc>
          <w:tcPr>
            <w:tcW w:w="1341" w:type="dxa"/>
          </w:tcPr>
          <w:p>
            <w:pPr>
              <w:pStyle w:val="TableParagraph"/>
              <w:ind w:left="848"/>
              <w:rPr>
                <w:sz w:val="22"/>
              </w:rPr>
            </w:pPr>
            <w:r>
              <w:rPr>
                <w:sz w:val="22"/>
              </w:rPr>
              <w:t>10.1</w:t>
            </w:r>
          </w:p>
        </w:tc>
      </w:tr>
      <w:tr>
        <w:trPr>
          <w:trHeight w:val="320" w:hRule="atLeast"/>
        </w:trPr>
        <w:tc>
          <w:tcPr>
            <w:tcW w:w="2911" w:type="dxa"/>
          </w:tcPr>
          <w:p>
            <w:pPr>
              <w:pStyle w:val="TableParagraph"/>
              <w:ind w:left="50"/>
              <w:rPr>
                <w:sz w:val="22"/>
              </w:rPr>
            </w:pPr>
            <w:r>
              <w:rPr>
                <w:sz w:val="22"/>
              </w:rPr>
              <w:t>询问告知</w:t>
            </w:r>
          </w:p>
        </w:tc>
        <w:tc>
          <w:tcPr>
            <w:tcW w:w="1588" w:type="dxa"/>
          </w:tcPr>
          <w:p>
            <w:pPr>
              <w:pStyle w:val="TableParagraph"/>
              <w:ind w:right="374"/>
              <w:jc w:val="right"/>
              <w:rPr>
                <w:sz w:val="22"/>
              </w:rPr>
            </w:pPr>
            <w:r>
              <w:rPr>
                <w:sz w:val="22"/>
              </w:rPr>
              <w:t>5.1</w:t>
            </w:r>
          </w:p>
        </w:tc>
        <w:tc>
          <w:tcPr>
            <w:tcW w:w="2766" w:type="dxa"/>
          </w:tcPr>
          <w:p>
            <w:pPr>
              <w:pStyle w:val="TableParagraph"/>
              <w:ind w:left="374"/>
              <w:rPr>
                <w:sz w:val="22"/>
              </w:rPr>
            </w:pPr>
            <w:r>
              <w:rPr>
                <w:sz w:val="22"/>
              </w:rPr>
              <w:t>合同效力终止</w:t>
            </w:r>
          </w:p>
        </w:tc>
        <w:tc>
          <w:tcPr>
            <w:tcW w:w="1341" w:type="dxa"/>
          </w:tcPr>
          <w:p>
            <w:pPr>
              <w:pStyle w:val="TableParagraph"/>
              <w:ind w:left="848"/>
              <w:rPr>
                <w:sz w:val="22"/>
              </w:rPr>
            </w:pPr>
            <w:r>
              <w:rPr>
                <w:sz w:val="22"/>
              </w:rPr>
              <w:t>10.2</w:t>
            </w:r>
          </w:p>
        </w:tc>
      </w:tr>
      <w:tr>
        <w:trPr>
          <w:trHeight w:val="320" w:hRule="atLeast"/>
        </w:trPr>
        <w:tc>
          <w:tcPr>
            <w:tcW w:w="2911" w:type="dxa"/>
          </w:tcPr>
          <w:p>
            <w:pPr>
              <w:pStyle w:val="TableParagraph"/>
              <w:spacing w:line="271" w:lineRule="exact"/>
              <w:ind w:left="50"/>
              <w:rPr>
                <w:sz w:val="22"/>
              </w:rPr>
            </w:pPr>
            <w:r>
              <w:rPr>
                <w:sz w:val="22"/>
              </w:rPr>
              <w:t>年龄错误处理</w:t>
            </w:r>
          </w:p>
        </w:tc>
        <w:tc>
          <w:tcPr>
            <w:tcW w:w="1588" w:type="dxa"/>
          </w:tcPr>
          <w:p>
            <w:pPr>
              <w:pStyle w:val="TableParagraph"/>
              <w:spacing w:line="271" w:lineRule="exact"/>
              <w:ind w:right="374"/>
              <w:jc w:val="right"/>
              <w:rPr>
                <w:sz w:val="22"/>
              </w:rPr>
            </w:pPr>
            <w:r>
              <w:rPr>
                <w:sz w:val="22"/>
              </w:rPr>
              <w:t>5.2</w:t>
            </w:r>
          </w:p>
        </w:tc>
        <w:tc>
          <w:tcPr>
            <w:tcW w:w="2766" w:type="dxa"/>
          </w:tcPr>
          <w:p>
            <w:pPr>
              <w:pStyle w:val="TableParagraph"/>
              <w:spacing w:line="271" w:lineRule="exact"/>
              <w:ind w:left="374"/>
              <w:rPr>
                <w:sz w:val="22"/>
              </w:rPr>
            </w:pPr>
            <w:r>
              <w:rPr>
                <w:sz w:val="22"/>
              </w:rPr>
              <w:t>争议处理</w:t>
            </w:r>
          </w:p>
        </w:tc>
        <w:tc>
          <w:tcPr>
            <w:tcW w:w="1341" w:type="dxa"/>
          </w:tcPr>
          <w:p>
            <w:pPr>
              <w:pStyle w:val="TableParagraph"/>
              <w:spacing w:line="271" w:lineRule="exact"/>
              <w:ind w:left="848"/>
              <w:rPr>
                <w:sz w:val="22"/>
              </w:rPr>
            </w:pPr>
            <w:r>
              <w:rPr>
                <w:sz w:val="22"/>
              </w:rPr>
              <w:t>11.2</w:t>
            </w:r>
          </w:p>
        </w:tc>
      </w:tr>
      <w:tr>
        <w:trPr>
          <w:trHeight w:val="270" w:hRule="atLeast"/>
        </w:trPr>
        <w:tc>
          <w:tcPr>
            <w:tcW w:w="2911" w:type="dxa"/>
          </w:tcPr>
          <w:p>
            <w:pPr>
              <w:pStyle w:val="TableParagraph"/>
              <w:spacing w:line="250" w:lineRule="exact"/>
              <w:ind w:left="50"/>
              <w:rPr>
                <w:sz w:val="22"/>
              </w:rPr>
            </w:pPr>
            <w:r>
              <w:rPr>
                <w:sz w:val="22"/>
              </w:rPr>
              <w:t>不可抗辩</w:t>
            </w:r>
          </w:p>
        </w:tc>
        <w:tc>
          <w:tcPr>
            <w:tcW w:w="1588" w:type="dxa"/>
          </w:tcPr>
          <w:p>
            <w:pPr>
              <w:pStyle w:val="TableParagraph"/>
              <w:spacing w:line="250" w:lineRule="exact"/>
              <w:ind w:right="374"/>
              <w:jc w:val="right"/>
              <w:rPr>
                <w:sz w:val="22"/>
              </w:rPr>
            </w:pPr>
            <w:r>
              <w:rPr>
                <w:sz w:val="22"/>
              </w:rPr>
              <w:t>5.3</w:t>
            </w:r>
          </w:p>
        </w:tc>
        <w:tc>
          <w:tcPr>
            <w:tcW w:w="2766" w:type="dxa"/>
          </w:tcPr>
          <w:p>
            <w:pPr>
              <w:pStyle w:val="TableParagraph"/>
              <w:spacing w:line="250" w:lineRule="exact"/>
              <w:ind w:left="374"/>
              <w:rPr>
                <w:sz w:val="22"/>
              </w:rPr>
            </w:pPr>
            <w:r>
              <w:rPr>
                <w:sz w:val="22"/>
              </w:rPr>
              <w:t>索引</w:t>
            </w:r>
          </w:p>
        </w:tc>
        <w:tc>
          <w:tcPr>
            <w:tcW w:w="1341" w:type="dxa"/>
          </w:tcPr>
          <w:p>
            <w:pPr>
              <w:pStyle w:val="TableParagraph"/>
              <w:spacing w:line="250" w:lineRule="exact"/>
              <w:ind w:left="848"/>
              <w:rPr>
                <w:sz w:val="22"/>
              </w:rPr>
            </w:pPr>
            <w:r>
              <w:rPr>
                <w:sz w:val="22"/>
              </w:rPr>
              <w:t>11.3</w:t>
            </w:r>
          </w:p>
        </w:tc>
      </w:tr>
    </w:tbl>
    <w:sectPr>
      <w:pgSz w:w="11910" w:h="16840"/>
      <w:pgMar w:top="1360" w:bottom="280" w:left="11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spacing w:val="-1"/>
        <w:w w:val="99"/>
        <w:sz w:val="22"/>
        <w:szCs w:val="22"/>
      </w:rPr>
    </w:lvl>
    <w:lvl w:ilvl="2">
      <w:start w:val="0"/>
      <w:numFmt w:val="bullet"/>
      <w:lvlText w:val="•"/>
      <w:lvlJc w:val="left"/>
      <w:pPr>
        <w:ind w:left="2405" w:hanging="552"/>
      </w:pPr>
      <w:rPr>
        <w:rFonts w:hint="default"/>
      </w:rPr>
    </w:lvl>
    <w:lvl w:ilvl="3">
      <w:start w:val="0"/>
      <w:numFmt w:val="bullet"/>
      <w:lvlText w:val="•"/>
      <w:lvlJc w:val="left"/>
      <w:pPr>
        <w:ind w:left="3267" w:hanging="552"/>
      </w:pPr>
      <w:rPr>
        <w:rFonts w:hint="default"/>
      </w:rPr>
    </w:lvl>
    <w:lvl w:ilvl="4">
      <w:start w:val="0"/>
      <w:numFmt w:val="bullet"/>
      <w:lvlText w:val="•"/>
      <w:lvlJc w:val="left"/>
      <w:pPr>
        <w:ind w:left="4130" w:hanging="552"/>
      </w:pPr>
      <w:rPr>
        <w:rFonts w:hint="default"/>
      </w:rPr>
    </w:lvl>
    <w:lvl w:ilvl="5">
      <w:start w:val="0"/>
      <w:numFmt w:val="bullet"/>
      <w:lvlText w:val="•"/>
      <w:lvlJc w:val="left"/>
      <w:pPr>
        <w:ind w:left="4993" w:hanging="552"/>
      </w:pPr>
      <w:rPr>
        <w:rFonts w:hint="default"/>
      </w:rPr>
    </w:lvl>
    <w:lvl w:ilvl="6">
      <w:start w:val="0"/>
      <w:numFmt w:val="bullet"/>
      <w:lvlText w:val="•"/>
      <w:lvlJc w:val="left"/>
      <w:pPr>
        <w:ind w:left="5855" w:hanging="552"/>
      </w:pPr>
      <w:rPr>
        <w:rFonts w:hint="default"/>
      </w:rPr>
    </w:lvl>
    <w:lvl w:ilvl="7">
      <w:start w:val="0"/>
      <w:numFmt w:val="bullet"/>
      <w:lvlText w:val="•"/>
      <w:lvlJc w:val="left"/>
      <w:pPr>
        <w:ind w:left="6718" w:hanging="552"/>
      </w:pPr>
      <w:rPr>
        <w:rFonts w:hint="default"/>
      </w:rPr>
    </w:lvl>
    <w:lvl w:ilvl="8">
      <w:start w:val="0"/>
      <w:numFmt w:val="bullet"/>
      <w:lvlText w:val="•"/>
      <w:lvlJc w:val="left"/>
      <w:pPr>
        <w:ind w:left="7580" w:hanging="552"/>
      </w:pPr>
      <w:rPr>
        <w:rFonts w:hint="default"/>
      </w:rPr>
    </w:lvl>
  </w:abstractNum>
  <w:abstractNum w:abstractNumId="11">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spacing w:val="-1"/>
        <w:w w:val="99"/>
        <w:sz w:val="22"/>
        <w:szCs w:val="22"/>
      </w:rPr>
    </w:lvl>
    <w:lvl w:ilvl="2">
      <w:start w:val="0"/>
      <w:numFmt w:val="bullet"/>
      <w:lvlText w:val="•"/>
      <w:lvlJc w:val="left"/>
      <w:pPr>
        <w:ind w:left="2361" w:hanging="497"/>
      </w:pPr>
      <w:rPr>
        <w:rFonts w:hint="default"/>
      </w:rPr>
    </w:lvl>
    <w:lvl w:ilvl="3">
      <w:start w:val="0"/>
      <w:numFmt w:val="bullet"/>
      <w:lvlText w:val="•"/>
      <w:lvlJc w:val="left"/>
      <w:pPr>
        <w:ind w:left="3231" w:hanging="497"/>
      </w:pPr>
      <w:rPr>
        <w:rFonts w:hint="default"/>
      </w:rPr>
    </w:lvl>
    <w:lvl w:ilvl="4">
      <w:start w:val="0"/>
      <w:numFmt w:val="bullet"/>
      <w:lvlText w:val="•"/>
      <w:lvlJc w:val="left"/>
      <w:pPr>
        <w:ind w:left="4102" w:hanging="497"/>
      </w:pPr>
      <w:rPr>
        <w:rFonts w:hint="default"/>
      </w:rPr>
    </w:lvl>
    <w:lvl w:ilvl="5">
      <w:start w:val="0"/>
      <w:numFmt w:val="bullet"/>
      <w:lvlText w:val="•"/>
      <w:lvlJc w:val="left"/>
      <w:pPr>
        <w:ind w:left="4973" w:hanging="497"/>
      </w:pPr>
      <w:rPr>
        <w:rFonts w:hint="default"/>
      </w:rPr>
    </w:lvl>
    <w:lvl w:ilvl="6">
      <w:start w:val="0"/>
      <w:numFmt w:val="bullet"/>
      <w:lvlText w:val="•"/>
      <w:lvlJc w:val="left"/>
      <w:pPr>
        <w:ind w:left="5843" w:hanging="497"/>
      </w:pPr>
      <w:rPr>
        <w:rFonts w:hint="default"/>
      </w:rPr>
    </w:lvl>
    <w:lvl w:ilvl="7">
      <w:start w:val="0"/>
      <w:numFmt w:val="bullet"/>
      <w:lvlText w:val="•"/>
      <w:lvlJc w:val="left"/>
      <w:pPr>
        <w:ind w:left="6714" w:hanging="497"/>
      </w:pPr>
      <w:rPr>
        <w:rFonts w:hint="default"/>
      </w:rPr>
    </w:lvl>
    <w:lvl w:ilvl="8">
      <w:start w:val="0"/>
      <w:numFmt w:val="bullet"/>
      <w:lvlText w:val="•"/>
      <w:lvlJc w:val="left"/>
      <w:pPr>
        <w:ind w:left="7584" w:hanging="497"/>
      </w:pPr>
      <w:rPr>
        <w:rFonts w:hint="default"/>
      </w:rPr>
    </w:lvl>
  </w:abstractNum>
  <w:abstractNum w:abstractNumId="10">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9">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8">
    <w:multiLevelType w:val="hybridMultilevel"/>
    <w:lvl w:ilvl="0">
      <w:start w:val="7"/>
      <w:numFmt w:val="decimal"/>
      <w:lvlText w:val="%1"/>
      <w:lvlJc w:val="left"/>
      <w:pPr>
        <w:ind w:left="504" w:hanging="387"/>
        <w:jc w:val="left"/>
      </w:pPr>
      <w:rPr>
        <w:rFonts w:hint="default"/>
      </w:rPr>
    </w:lvl>
    <w:lvl w:ilvl="1">
      <w:start w:val="1"/>
      <w:numFmt w:val="decimal"/>
      <w:lvlText w:val="%1.%2"/>
      <w:lvlJc w:val="left"/>
      <w:pPr>
        <w:ind w:left="504" w:hanging="387"/>
        <w:jc w:val="left"/>
      </w:pPr>
      <w:rPr>
        <w:rFonts w:hint="default" w:ascii="宋体" w:hAnsi="宋体" w:eastAsia="宋体" w:cs="宋体"/>
        <w:b/>
        <w:bCs/>
        <w:spacing w:val="-1"/>
        <w:w w:val="99"/>
        <w:sz w:val="22"/>
        <w:szCs w:val="22"/>
      </w:rPr>
    </w:lvl>
    <w:lvl w:ilvl="2">
      <w:start w:val="0"/>
      <w:numFmt w:val="bullet"/>
      <w:lvlText w:val="•"/>
      <w:lvlJc w:val="left"/>
      <w:pPr>
        <w:ind w:left="2281" w:hanging="387"/>
      </w:pPr>
      <w:rPr>
        <w:rFonts w:hint="default"/>
      </w:rPr>
    </w:lvl>
    <w:lvl w:ilvl="3">
      <w:start w:val="0"/>
      <w:numFmt w:val="bullet"/>
      <w:lvlText w:val="•"/>
      <w:lvlJc w:val="left"/>
      <w:pPr>
        <w:ind w:left="3171" w:hanging="387"/>
      </w:pPr>
      <w:rPr>
        <w:rFonts w:hint="default"/>
      </w:rPr>
    </w:lvl>
    <w:lvl w:ilvl="4">
      <w:start w:val="0"/>
      <w:numFmt w:val="bullet"/>
      <w:lvlText w:val="•"/>
      <w:lvlJc w:val="left"/>
      <w:pPr>
        <w:ind w:left="4062" w:hanging="387"/>
      </w:pPr>
      <w:rPr>
        <w:rFonts w:hint="default"/>
      </w:rPr>
    </w:lvl>
    <w:lvl w:ilvl="5">
      <w:start w:val="0"/>
      <w:numFmt w:val="bullet"/>
      <w:lvlText w:val="•"/>
      <w:lvlJc w:val="left"/>
      <w:pPr>
        <w:ind w:left="4953" w:hanging="387"/>
      </w:pPr>
      <w:rPr>
        <w:rFonts w:hint="default"/>
      </w:rPr>
    </w:lvl>
    <w:lvl w:ilvl="6">
      <w:start w:val="0"/>
      <w:numFmt w:val="bullet"/>
      <w:lvlText w:val="•"/>
      <w:lvlJc w:val="left"/>
      <w:pPr>
        <w:ind w:left="5843" w:hanging="387"/>
      </w:pPr>
      <w:rPr>
        <w:rFonts w:hint="default"/>
      </w:rPr>
    </w:lvl>
    <w:lvl w:ilvl="7">
      <w:start w:val="0"/>
      <w:numFmt w:val="bullet"/>
      <w:lvlText w:val="•"/>
      <w:lvlJc w:val="left"/>
      <w:pPr>
        <w:ind w:left="6734" w:hanging="387"/>
      </w:pPr>
      <w:rPr>
        <w:rFonts w:hint="default"/>
      </w:rPr>
    </w:lvl>
    <w:lvl w:ilvl="8">
      <w:start w:val="0"/>
      <w:numFmt w:val="bullet"/>
      <w:lvlText w:val="•"/>
      <w:lvlJc w:val="left"/>
      <w:pPr>
        <w:ind w:left="7624" w:hanging="387"/>
      </w:pPr>
      <w:rPr>
        <w:rFonts w:hint="default"/>
      </w:rPr>
    </w:lvl>
  </w:abstractNum>
  <w:abstractNum w:abstractNumId="7">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297" w:hanging="442"/>
      </w:pPr>
      <w:rPr>
        <w:rFonts w:hint="default"/>
      </w:rPr>
    </w:lvl>
    <w:lvl w:ilvl="3">
      <w:start w:val="0"/>
      <w:numFmt w:val="bullet"/>
      <w:lvlText w:val="•"/>
      <w:lvlJc w:val="left"/>
      <w:pPr>
        <w:ind w:left="3165" w:hanging="442"/>
      </w:pPr>
      <w:rPr>
        <w:rFonts w:hint="default"/>
      </w:rPr>
    </w:lvl>
    <w:lvl w:ilvl="4">
      <w:start w:val="0"/>
      <w:numFmt w:val="bullet"/>
      <w:lvlText w:val="•"/>
      <w:lvlJc w:val="left"/>
      <w:pPr>
        <w:ind w:left="4034" w:hanging="442"/>
      </w:pPr>
      <w:rPr>
        <w:rFonts w:hint="default"/>
      </w:rPr>
    </w:lvl>
    <w:lvl w:ilvl="5">
      <w:start w:val="0"/>
      <w:numFmt w:val="bullet"/>
      <w:lvlText w:val="•"/>
      <w:lvlJc w:val="left"/>
      <w:pPr>
        <w:ind w:left="4903" w:hanging="442"/>
      </w:pPr>
      <w:rPr>
        <w:rFonts w:hint="default"/>
      </w:rPr>
    </w:lvl>
    <w:lvl w:ilvl="6">
      <w:start w:val="0"/>
      <w:numFmt w:val="bullet"/>
      <w:lvlText w:val="•"/>
      <w:lvlJc w:val="left"/>
      <w:pPr>
        <w:ind w:left="5771" w:hanging="442"/>
      </w:pPr>
      <w:rPr>
        <w:rFonts w:hint="default"/>
      </w:rPr>
    </w:lvl>
    <w:lvl w:ilvl="7">
      <w:start w:val="0"/>
      <w:numFmt w:val="bullet"/>
      <w:lvlText w:val="•"/>
      <w:lvlJc w:val="left"/>
      <w:pPr>
        <w:ind w:left="6640" w:hanging="442"/>
      </w:pPr>
      <w:rPr>
        <w:rFonts w:hint="default"/>
      </w:rPr>
    </w:lvl>
    <w:lvl w:ilvl="8">
      <w:start w:val="0"/>
      <w:numFmt w:val="bullet"/>
      <w:lvlText w:val="•"/>
      <w:lvlJc w:val="left"/>
      <w:pPr>
        <w:ind w:left="7508" w:hanging="442"/>
      </w:pPr>
      <w:rPr>
        <w:rFonts w:hint="default"/>
      </w:rPr>
    </w:lvl>
  </w:abstractNum>
  <w:abstractNum w:abstractNumId="6">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297" w:hanging="442"/>
      </w:pPr>
      <w:rPr>
        <w:rFonts w:hint="default"/>
      </w:rPr>
    </w:lvl>
    <w:lvl w:ilvl="3">
      <w:start w:val="0"/>
      <w:numFmt w:val="bullet"/>
      <w:lvlText w:val="•"/>
      <w:lvlJc w:val="left"/>
      <w:pPr>
        <w:ind w:left="3165" w:hanging="442"/>
      </w:pPr>
      <w:rPr>
        <w:rFonts w:hint="default"/>
      </w:rPr>
    </w:lvl>
    <w:lvl w:ilvl="4">
      <w:start w:val="0"/>
      <w:numFmt w:val="bullet"/>
      <w:lvlText w:val="•"/>
      <w:lvlJc w:val="left"/>
      <w:pPr>
        <w:ind w:left="4034" w:hanging="442"/>
      </w:pPr>
      <w:rPr>
        <w:rFonts w:hint="default"/>
      </w:rPr>
    </w:lvl>
    <w:lvl w:ilvl="5">
      <w:start w:val="0"/>
      <w:numFmt w:val="bullet"/>
      <w:lvlText w:val="•"/>
      <w:lvlJc w:val="left"/>
      <w:pPr>
        <w:ind w:left="4903" w:hanging="442"/>
      </w:pPr>
      <w:rPr>
        <w:rFonts w:hint="default"/>
      </w:rPr>
    </w:lvl>
    <w:lvl w:ilvl="6">
      <w:start w:val="0"/>
      <w:numFmt w:val="bullet"/>
      <w:lvlText w:val="•"/>
      <w:lvlJc w:val="left"/>
      <w:pPr>
        <w:ind w:left="5771" w:hanging="442"/>
      </w:pPr>
      <w:rPr>
        <w:rFonts w:hint="default"/>
      </w:rPr>
    </w:lvl>
    <w:lvl w:ilvl="7">
      <w:start w:val="0"/>
      <w:numFmt w:val="bullet"/>
      <w:lvlText w:val="•"/>
      <w:lvlJc w:val="left"/>
      <w:pPr>
        <w:ind w:left="6640" w:hanging="442"/>
      </w:pPr>
      <w:rPr>
        <w:rFonts w:hint="default"/>
      </w:rPr>
    </w:lvl>
    <w:lvl w:ilvl="8">
      <w:start w:val="0"/>
      <w:numFmt w:val="bullet"/>
      <w:lvlText w:val="•"/>
      <w:lvlJc w:val="left"/>
      <w:pPr>
        <w:ind w:left="7508" w:hanging="442"/>
      </w:pPr>
      <w:rPr>
        <w:rFonts w:hint="default"/>
      </w:rPr>
    </w:lvl>
  </w:abstractNum>
  <w:abstractNum w:abstractNumId="5">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780" w:hanging="442"/>
      </w:pPr>
      <w:rPr>
        <w:rFonts w:hint="default"/>
      </w:rPr>
    </w:lvl>
    <w:lvl w:ilvl="3">
      <w:start w:val="0"/>
      <w:numFmt w:val="bullet"/>
      <w:lvlText w:val="•"/>
      <w:lvlJc w:val="left"/>
      <w:pPr>
        <w:ind w:left="2720" w:hanging="442"/>
      </w:pPr>
      <w:rPr>
        <w:rFonts w:hint="default"/>
      </w:rPr>
    </w:lvl>
    <w:lvl w:ilvl="4">
      <w:start w:val="0"/>
      <w:numFmt w:val="bullet"/>
      <w:lvlText w:val="•"/>
      <w:lvlJc w:val="left"/>
      <w:pPr>
        <w:ind w:left="3661" w:hanging="442"/>
      </w:pPr>
      <w:rPr>
        <w:rFonts w:hint="default"/>
      </w:rPr>
    </w:lvl>
    <w:lvl w:ilvl="5">
      <w:start w:val="0"/>
      <w:numFmt w:val="bullet"/>
      <w:lvlText w:val="•"/>
      <w:lvlJc w:val="left"/>
      <w:pPr>
        <w:ind w:left="4602" w:hanging="442"/>
      </w:pPr>
      <w:rPr>
        <w:rFonts w:hint="default"/>
      </w:rPr>
    </w:lvl>
    <w:lvl w:ilvl="6">
      <w:start w:val="0"/>
      <w:numFmt w:val="bullet"/>
      <w:lvlText w:val="•"/>
      <w:lvlJc w:val="left"/>
      <w:pPr>
        <w:ind w:left="5543" w:hanging="442"/>
      </w:pPr>
      <w:rPr>
        <w:rFonts w:hint="default"/>
      </w:rPr>
    </w:lvl>
    <w:lvl w:ilvl="7">
      <w:start w:val="0"/>
      <w:numFmt w:val="bullet"/>
      <w:lvlText w:val="•"/>
      <w:lvlJc w:val="left"/>
      <w:pPr>
        <w:ind w:left="6483" w:hanging="442"/>
      </w:pPr>
      <w:rPr>
        <w:rFonts w:hint="default"/>
      </w:rPr>
    </w:lvl>
    <w:lvl w:ilvl="8">
      <w:start w:val="0"/>
      <w:numFmt w:val="bullet"/>
      <w:lvlText w:val="•"/>
      <w:lvlJc w:val="left"/>
      <w:pPr>
        <w:ind w:left="7424" w:hanging="442"/>
      </w:pPr>
      <w:rPr>
        <w:rFonts w:hint="default"/>
      </w:rPr>
    </w:lvl>
  </w:abstractNum>
  <w:abstractNum w:abstractNumId="4">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3">
    <w:multiLevelType w:val="hybridMultilevel"/>
    <w:lvl w:ilvl="0">
      <w:start w:val="6"/>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2">
    <w:multiLevelType w:val="hybridMultilevel"/>
    <w:lvl w:ilvl="0">
      <w:start w:val="5"/>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1">
    <w:multiLevelType w:val="hybridMultilevel"/>
    <w:lvl w:ilvl="0">
      <w:start w:val="3"/>
      <w:numFmt w:val="decimal"/>
      <w:lvlText w:val="%1"/>
      <w:lvlJc w:val="left"/>
      <w:pPr>
        <w:ind w:left="772" w:hanging="440"/>
        <w:jc w:val="left"/>
      </w:pPr>
      <w:rPr>
        <w:rFonts w:hint="default"/>
      </w:rPr>
    </w:lvl>
    <w:lvl w:ilvl="1">
      <w:start w:val="1"/>
      <w:numFmt w:val="decimal"/>
      <w:lvlText w:val="%1.%2"/>
      <w:lvlJc w:val="left"/>
      <w:pPr>
        <w:ind w:left="772" w:hanging="440"/>
        <w:jc w:val="left"/>
      </w:pPr>
      <w:rPr>
        <w:rFonts w:hint="default" w:ascii="宋体" w:hAnsi="宋体" w:eastAsia="宋体" w:cs="宋体"/>
        <w:spacing w:val="-1"/>
        <w:w w:val="100"/>
        <w:position w:val="2"/>
        <w:sz w:val="22"/>
        <w:szCs w:val="22"/>
      </w:rPr>
    </w:lvl>
    <w:lvl w:ilvl="2">
      <w:start w:val="0"/>
      <w:numFmt w:val="bullet"/>
      <w:lvlText w:val="•"/>
      <w:lvlJc w:val="left"/>
      <w:pPr>
        <w:ind w:left="2333"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6" w:hanging="440"/>
      </w:pPr>
      <w:rPr>
        <w:rFonts w:hint="default"/>
      </w:rPr>
    </w:lvl>
    <w:lvl w:ilvl="5">
      <w:start w:val="0"/>
      <w:numFmt w:val="bullet"/>
      <w:lvlText w:val="•"/>
      <w:lvlJc w:val="left"/>
      <w:pPr>
        <w:ind w:left="4663" w:hanging="440"/>
      </w:pPr>
      <w:rPr>
        <w:rFonts w:hint="default"/>
      </w:rPr>
    </w:lvl>
    <w:lvl w:ilvl="6">
      <w:start w:val="0"/>
      <w:numFmt w:val="bullet"/>
      <w:lvlText w:val="•"/>
      <w:lvlJc w:val="left"/>
      <w:pPr>
        <w:ind w:left="5439" w:hanging="440"/>
      </w:pPr>
      <w:rPr>
        <w:rFonts w:hint="default"/>
      </w:rPr>
    </w:lvl>
    <w:lvl w:ilvl="7">
      <w:start w:val="0"/>
      <w:numFmt w:val="bullet"/>
      <w:lvlText w:val="•"/>
      <w:lvlJc w:val="left"/>
      <w:pPr>
        <w:ind w:left="6216" w:hanging="440"/>
      </w:pPr>
      <w:rPr>
        <w:rFonts w:hint="default"/>
      </w:rPr>
    </w:lvl>
    <w:lvl w:ilvl="8">
      <w:start w:val="0"/>
      <w:numFmt w:val="bullet"/>
      <w:lvlText w:val="•"/>
      <w:lvlJc w:val="left"/>
      <w:pPr>
        <w:ind w:left="6992" w:hanging="440"/>
      </w:pPr>
      <w:rPr>
        <w:rFonts w:hint="default"/>
      </w:rPr>
    </w:lvl>
  </w:abstractNum>
  <w:abstractNum w:abstractNumId="0">
    <w:multiLevelType w:val="hybridMultilevel"/>
    <w:lvl w:ilvl="0">
      <w:start w:val="2"/>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0100054206</dc:creator>
  <dc:title>国泰附加XXXX重大疾病保险条款</dc:title>
  <dcterms:created xsi:type="dcterms:W3CDTF">2018-10-20T02:55:28Z</dcterms:created>
  <dcterms:modified xsi:type="dcterms:W3CDTF">2018-10-20T02:55:28Z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