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7"/>
        <w:ind w:left="1360" w:right="0" w:firstLine="0"/>
        <w:jc w:val="left"/>
        <w:rPr>
          <w:sz w:val="24"/>
        </w:rPr>
      </w:pPr>
      <w:r>
        <w:rPr>
          <w:spacing w:val="-25"/>
          <w:sz w:val="24"/>
        </w:rPr>
        <w:t>附件 </w:t>
      </w:r>
      <w:r>
        <w:rPr>
          <w:sz w:val="24"/>
        </w:rPr>
        <w:t>3-2</w:t>
      </w:r>
    </w:p>
    <w:p>
      <w:pPr>
        <w:pStyle w:val="BodyText"/>
        <w:spacing w:before="8"/>
        <w:ind w:left="5019"/>
        <w:rPr>
          <w:rFonts w:ascii="仿宋" w:eastAsia="仿宋" w:hint="eastAsia"/>
        </w:rPr>
      </w:pPr>
      <w:r>
        <w:rPr/>
        <w:br w:type="column"/>
      </w:r>
      <w:r>
        <w:rPr>
          <w:rFonts w:ascii="仿宋" w:eastAsia="仿宋" w:hint="eastAsia"/>
        </w:rPr>
        <w:t>长城人寿[2010</w:t>
      </w:r>
      <w:r>
        <w:rPr>
          <w:rFonts w:ascii="仿宋" w:eastAsia="仿宋" w:hint="eastAsia"/>
          <w:spacing w:val="-9"/>
        </w:rPr>
        <w:t>]疾病保险 </w:t>
      </w:r>
      <w:r>
        <w:rPr>
          <w:rFonts w:ascii="仿宋" w:eastAsia="仿宋" w:hint="eastAsia"/>
        </w:rPr>
        <w:t>029</w:t>
      </w:r>
      <w:r>
        <w:rPr>
          <w:rFonts w:ascii="仿宋" w:eastAsia="仿宋" w:hint="eastAsia"/>
          <w:spacing w:val="-27"/>
        </w:rPr>
        <w:t> 号</w:t>
      </w:r>
    </w:p>
    <w:p>
      <w:pPr>
        <w:pStyle w:val="BodyText"/>
        <w:rPr>
          <w:rFonts w:ascii="仿宋"/>
          <w:sz w:val="20"/>
        </w:rPr>
      </w:pPr>
    </w:p>
    <w:p>
      <w:pPr>
        <w:pStyle w:val="BodyText"/>
        <w:spacing w:before="4"/>
        <w:rPr>
          <w:rFonts w:ascii="仿宋"/>
          <w:sz w:val="17"/>
        </w:rPr>
      </w:pPr>
    </w:p>
    <w:p>
      <w:pPr>
        <w:spacing w:before="0"/>
        <w:ind w:left="640"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5680709</wp:posOffset>
            </wp:positionH>
            <wp:positionV relativeFrom="paragraph">
              <wp:posOffset>-243251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长城附加康顺重大疾病保险条款</w:t>
      </w:r>
    </w:p>
    <w:p>
      <w:pPr>
        <w:spacing w:after="0"/>
        <w:jc w:val="left"/>
        <w:rPr>
          <w:rFonts w:ascii="微软雅黑" w:eastAsia="微软雅黑" w:hint="eastAsia"/>
          <w:sz w:val="32"/>
        </w:rPr>
        <w:sectPr>
          <w:footerReference w:type="default" r:id="rId5"/>
          <w:type w:val="continuous"/>
          <w:pgSz w:w="11910" w:h="16840"/>
          <w:pgMar w:footer="994" w:top="660" w:bottom="1180" w:left="740" w:right="820"/>
          <w:pgNumType w:start="1"/>
          <w:cols w:num="2" w:equalWidth="0">
            <w:col w:w="2248" w:space="40"/>
            <w:col w:w="8062"/>
          </w:cols>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14"/>
        </w:rPr>
      </w:pPr>
      <w:r>
        <w:rPr/>
        <w:br w:type="column"/>
      </w:r>
      <w:r>
        <w:rPr>
          <w:rFonts w:ascii="微软雅黑"/>
          <w:b/>
          <w:sz w:val="14"/>
        </w:rPr>
      </w:r>
    </w:p>
    <w:p>
      <w:pPr>
        <w:pStyle w:val="BodyText"/>
        <w:ind w:left="1635"/>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60" w:bottom="1180" w:left="740" w:right="820"/>
          <w:cols w:num="2" w:equalWidth="0">
            <w:col w:w="6052" w:space="40"/>
            <w:col w:w="4258"/>
          </w:cols>
        </w:sectPr>
      </w:pPr>
    </w:p>
    <w:p>
      <w:pPr>
        <w:pStyle w:val="BodyText"/>
        <w:spacing w:before="3"/>
        <w:rPr>
          <w:rFonts w:ascii="仿宋"/>
          <w:sz w:val="13"/>
        </w:rPr>
      </w:pPr>
    </w:p>
    <w:p>
      <w:pPr>
        <w:pStyle w:val="BodyText"/>
        <w:spacing w:before="36"/>
        <w:ind w:left="1808" w:right="1812"/>
        <w:jc w:val="center"/>
      </w:pPr>
      <w:r>
        <w:rPr/>
        <w:pict>
          <v:group style="position:absolute;margin-left:42pt;margin-top:21.563644pt;width:507.05pt;height:560.5pt;mso-position-horizontal-relative:page;mso-position-vertical-relative:paragraph;z-index:-49336" coordorigin="840,431" coordsize="10141,11210">
            <v:shape style="position:absolute;left:1112;top:5632;width:10;height:10" type="#_x0000_t75" stroked="false">
              <v:imagedata r:id="rId7" o:title=""/>
            </v:shape>
            <v:shape style="position:absolute;left:1112;top:5632;width:29;height:10" type="#_x0000_t75" stroked="false">
              <v:imagedata r:id="rId8" o:title=""/>
            </v:shape>
            <v:shape style="position:absolute;left:1141;top:5632;width:20;height:10" type="#_x0000_t75" stroked="false">
              <v:imagedata r:id="rId9" o:title=""/>
            </v:shape>
            <v:shape style="position:absolute;left:1160;top:5632;width:20;height:10" type="#_x0000_t75" stroked="false">
              <v:imagedata r:id="rId7" o:title=""/>
            </v:shape>
            <v:shape style="position:absolute;left:1179;top:5632;width:20;height:10" type="#_x0000_t75" stroked="false">
              <v:imagedata r:id="rId9" o:title=""/>
            </v:shape>
            <v:shape style="position:absolute;left:1198;top:5632;width:20;height:10" type="#_x0000_t75" stroked="false">
              <v:imagedata r:id="rId7" o:title=""/>
            </v:shape>
            <v:shape style="position:absolute;left:1218;top:5632;width:20;height:10" type="#_x0000_t75" stroked="false">
              <v:imagedata r:id="rId9" o:title=""/>
            </v:shape>
            <v:shape style="position:absolute;left:1237;top:5632;width:20;height:10" type="#_x0000_t75" stroked="false">
              <v:imagedata r:id="rId9" o:title=""/>
            </v:shape>
            <v:shape style="position:absolute;left:1256;top:5632;width:20;height:10" type="#_x0000_t75" stroked="false">
              <v:imagedata r:id="rId7" o:title=""/>
            </v:shape>
            <v:shape style="position:absolute;left:1275;top:5632;width:20;height:10" type="#_x0000_t75" stroked="false">
              <v:imagedata r:id="rId9" o:title=""/>
            </v:shape>
            <v:shape style="position:absolute;left:1294;top:5632;width:39;height:10" type="#_x0000_t75" stroked="false">
              <v:imagedata r:id="rId10" o:title=""/>
            </v:shape>
            <v:shape style="position:absolute;left:1333;top:5632;width:39;height:10" type="#_x0000_t75" stroked="false">
              <v:imagedata r:id="rId10" o:title=""/>
            </v:shape>
            <v:shape style="position:absolute;left:1371;top:5632;width:39;height:10" type="#_x0000_t75" stroked="false">
              <v:imagedata r:id="rId10" o:title=""/>
            </v:shape>
            <v:shape style="position:absolute;left:1410;top:5632;width:20;height:10" type="#_x0000_t75" stroked="false">
              <v:imagedata r:id="rId9" o:title=""/>
            </v:shape>
            <v:shape style="position:absolute;left:1429;top:5632;width:39;height:10" type="#_x0000_t75" stroked="false">
              <v:imagedata r:id="rId10" o:title=""/>
            </v:shape>
            <v:shape style="position:absolute;left:1467;top:5632;width:39;height:10" type="#_x0000_t75" stroked="false">
              <v:imagedata r:id="rId10" o:title=""/>
            </v:shape>
            <v:shape style="position:absolute;left:1506;top:5632;width:39;height:10" type="#_x0000_t75" stroked="false">
              <v:imagedata r:id="rId10" o:title=""/>
            </v:shape>
            <v:shape style="position:absolute;left:1544;top:5632;width:39;height:10" type="#_x0000_t75" stroked="false">
              <v:imagedata r:id="rId10" o:title=""/>
            </v:shape>
            <v:shape style="position:absolute;left:1582;top:5632;width:20;height:10" type="#_x0000_t75" stroked="false">
              <v:imagedata r:id="rId9" o:title=""/>
            </v:shape>
            <v:shape style="position:absolute;left:1602;top:5632;width:39;height:10" type="#_x0000_t75" stroked="false">
              <v:imagedata r:id="rId10" o:title=""/>
            </v:shape>
            <v:shape style="position:absolute;left:1640;top:5632;width:20;height:10" type="#_x0000_t75" stroked="false">
              <v:imagedata r:id="rId7" o:title=""/>
            </v:shape>
            <v:shape style="position:absolute;left:1659;top:5632;width:20;height:10" type="#_x0000_t75" stroked="false">
              <v:imagedata r:id="rId9" o:title=""/>
            </v:shape>
            <v:shape style="position:absolute;left:1678;top:5632;width:39;height:10" type="#_x0000_t75" stroked="false">
              <v:imagedata r:id="rId10" o:title=""/>
            </v:shape>
            <v:shape style="position:absolute;left:1717;top:5632;width:20;height:10" type="#_x0000_t75" stroked="false">
              <v:imagedata r:id="rId9" o:title=""/>
            </v:shape>
            <v:shape style="position:absolute;left:1736;top:5632;width:39;height:10" type="#_x0000_t75" stroked="false">
              <v:imagedata r:id="rId10" o:title=""/>
            </v:shape>
            <v:shape style="position:absolute;left:1774;top:5632;width:39;height:10" type="#_x0000_t75" stroked="false">
              <v:imagedata r:id="rId10" o:title=""/>
            </v:shape>
            <v:shape style="position:absolute;left:1813;top:5632;width:39;height:10" type="#_x0000_t75" stroked="false">
              <v:imagedata r:id="rId10" o:title=""/>
            </v:shape>
            <v:shape style="position:absolute;left:1851;top:5632;width:39;height:10" type="#_x0000_t75" stroked="false">
              <v:imagedata r:id="rId10" o:title=""/>
            </v:shape>
            <v:shape style="position:absolute;left:1890;top:5632;width:20;height:10" type="#_x0000_t75" stroked="false">
              <v:imagedata r:id="rId9" o:title=""/>
            </v:shape>
            <v:shape style="position:absolute;left:1909;top:5632;width:39;height:10" type="#_x0000_t75" stroked="false">
              <v:imagedata r:id="rId10" o:title=""/>
            </v:shape>
            <v:shape style="position:absolute;left:1947;top:5632;width:39;height:10" type="#_x0000_t75" stroked="false">
              <v:imagedata r:id="rId10" o:title=""/>
            </v:shape>
            <v:shape style="position:absolute;left:1986;top:5632;width:39;height:10" type="#_x0000_t75" stroked="false">
              <v:imagedata r:id="rId10" o:title=""/>
            </v:shape>
            <v:shape style="position:absolute;left:2024;top:5632;width:39;height:10" type="#_x0000_t75" stroked="false">
              <v:imagedata r:id="rId10" o:title=""/>
            </v:shape>
            <v:shape style="position:absolute;left:2062;top:5632;width:20;height:10" type="#_x0000_t75" stroked="false">
              <v:imagedata r:id="rId9" o:title=""/>
            </v:shape>
            <v:shape style="position:absolute;left:2082;top:5632;width:39;height:10" type="#_x0000_t75" stroked="false">
              <v:imagedata r:id="rId10" o:title=""/>
            </v:shape>
            <v:shape style="position:absolute;left:2120;top:5632;width:20;height:10" type="#_x0000_t75" stroked="false">
              <v:imagedata r:id="rId7" o:title=""/>
            </v:shape>
            <v:shape style="position:absolute;left:2139;top:5632;width:20;height:10" type="#_x0000_t75" stroked="false">
              <v:imagedata r:id="rId9" o:title=""/>
            </v:shape>
            <v:shape style="position:absolute;left:2158;top:5632;width:39;height:10" type="#_x0000_t75" stroked="false">
              <v:imagedata r:id="rId10" o:title=""/>
            </v:shape>
            <v:shape style="position:absolute;left:2197;top:5632;width:20;height:10" type="#_x0000_t75" stroked="false">
              <v:imagedata r:id="rId9" o:title=""/>
            </v:shape>
            <v:shape style="position:absolute;left:2216;top:5632;width:39;height:10" type="#_x0000_t75" stroked="false">
              <v:imagedata r:id="rId10" o:title=""/>
            </v:shape>
            <v:shape style="position:absolute;left:2254;top:5632;width:39;height:10" type="#_x0000_t75" stroked="false">
              <v:imagedata r:id="rId10" o:title=""/>
            </v:shape>
            <v:shape style="position:absolute;left:2293;top:5632;width:39;height:10" type="#_x0000_t75" stroked="false">
              <v:imagedata r:id="rId10" o:title=""/>
            </v:shape>
            <v:shape style="position:absolute;left:2331;top:5632;width:39;height:10" type="#_x0000_t75" stroked="false">
              <v:imagedata r:id="rId10" o:title=""/>
            </v:shape>
            <v:shape style="position:absolute;left:2370;top:5632;width:20;height:10" type="#_x0000_t75" stroked="false">
              <v:imagedata r:id="rId9" o:title=""/>
            </v:shape>
            <v:shape style="position:absolute;left:2389;top:5632;width:39;height:10" type="#_x0000_t75" stroked="false">
              <v:imagedata r:id="rId10" o:title=""/>
            </v:shape>
            <v:shape style="position:absolute;left:2427;top:5632;width:39;height:10" type="#_x0000_t75" stroked="false">
              <v:imagedata r:id="rId11" o:title=""/>
            </v:shape>
            <v:shape style="position:absolute;left:2466;top:5632;width:39;height:10" type="#_x0000_t75" stroked="false">
              <v:imagedata r:id="rId10" o:title=""/>
            </v:shape>
            <v:shape style="position:absolute;left:2504;top:5632;width:39;height:10" type="#_x0000_t75" stroked="false">
              <v:imagedata r:id="rId10" o:title=""/>
            </v:shape>
            <v:shape style="position:absolute;left:2543;top:5632;width:39;height:10" type="#_x0000_t75" stroked="false">
              <v:imagedata r:id="rId10" o:title=""/>
            </v:shape>
            <v:shape style="position:absolute;left:2581;top:5632;width:39;height:10" type="#_x0000_t75" stroked="false">
              <v:imagedata r:id="rId10" o:title=""/>
            </v:shape>
            <v:shape style="position:absolute;left:2620;top:5632;width:20;height:10" type="#_x0000_t75" stroked="false">
              <v:imagedata r:id="rId9" o:title=""/>
            </v:shape>
            <v:shape style="position:absolute;left:2639;top:5632;width:39;height:10" type="#_x0000_t75" stroked="false">
              <v:imagedata r:id="rId10" o:title=""/>
            </v:shape>
            <v:shape style="position:absolute;left:2677;top:5632;width:39;height:10" type="#_x0000_t75" stroked="false">
              <v:imagedata r:id="rId10" o:title=""/>
            </v:shape>
            <v:shape style="position:absolute;left:2716;top:5632;width:39;height:10" type="#_x0000_t75" stroked="false">
              <v:imagedata r:id="rId10" o:title=""/>
            </v:shape>
            <v:shape style="position:absolute;left:2754;top:5632;width:39;height:10" type="#_x0000_t75" stroked="false">
              <v:imagedata r:id="rId10" o:title=""/>
            </v:shape>
            <v:shape style="position:absolute;left:2792;top:5632;width:20;height:10" type="#_x0000_t75" stroked="false">
              <v:imagedata r:id="rId9" o:title=""/>
            </v:shape>
            <v:shape style="position:absolute;left:2812;top:5632;width:39;height:10" type="#_x0000_t75" stroked="false">
              <v:imagedata r:id="rId10" o:title=""/>
            </v:shape>
            <v:shape style="position:absolute;left:2850;top:5632;width:39;height:10" type="#_x0000_t75" stroked="false">
              <v:imagedata r:id="rId10" o:title=""/>
            </v:shape>
            <v:shape style="position:absolute;left:2888;top:5632;width:39;height:10" type="#_x0000_t75" stroked="false">
              <v:imagedata r:id="rId10" o:title=""/>
            </v:shape>
            <v:shape style="position:absolute;left:2927;top:5632;width:20;height:10" type="#_x0000_t75" stroked="false">
              <v:imagedata r:id="rId9" o:title=""/>
            </v:shape>
            <v:shape style="position:absolute;left:2946;top:5632;width:39;height:10" type="#_x0000_t75" stroked="false">
              <v:imagedata r:id="rId10" o:title=""/>
            </v:shape>
            <v:shape style="position:absolute;left:2984;top:5632;width:39;height:10" type="#_x0000_t75" stroked="false">
              <v:imagedata r:id="rId10" o:title=""/>
            </v:shape>
            <v:shape style="position:absolute;left:3023;top:5632;width:39;height:10" type="#_x0000_t75" stroked="false">
              <v:imagedata r:id="rId10" o:title=""/>
            </v:shape>
            <v:shape style="position:absolute;left:3061;top:5632;width:39;height:10" type="#_x0000_t75" stroked="false">
              <v:imagedata r:id="rId10" o:title=""/>
            </v:shape>
            <v:shape style="position:absolute;left:3100;top:5632;width:20;height:10" type="#_x0000_t75" stroked="false">
              <v:imagedata r:id="rId9" o:title=""/>
            </v:shape>
            <v:shape style="position:absolute;left:3119;top:5632;width:39;height:10" type="#_x0000_t75" stroked="false">
              <v:imagedata r:id="rId10" o:title=""/>
            </v:shape>
            <v:shape style="position:absolute;left:3157;top:5632;width:39;height:10" type="#_x0000_t75" stroked="false">
              <v:imagedata r:id="rId10" o:title=""/>
            </v:shape>
            <v:shape style="position:absolute;left:3196;top:5632;width:39;height:10" type="#_x0000_t75" stroked="false">
              <v:imagedata r:id="rId10" o:title=""/>
            </v:shape>
            <v:shape style="position:absolute;left:3234;top:5632;width:39;height:10" type="#_x0000_t75" stroked="false">
              <v:imagedata r:id="rId10" o:title=""/>
            </v:shape>
            <v:shape style="position:absolute;left:3272;top:5632;width:20;height:10" type="#_x0000_t75" stroked="false">
              <v:imagedata r:id="rId9" o:title=""/>
            </v:shape>
            <v:shape style="position:absolute;left:3292;top:5632;width:39;height:10" type="#_x0000_t75" stroked="false">
              <v:imagedata r:id="rId10" o:title=""/>
            </v:shape>
            <v:shape style="position:absolute;left:3330;top:5632;width:39;height:10" type="#_x0000_t75" stroked="false">
              <v:imagedata r:id="rId10" o:title=""/>
            </v:shape>
            <v:shape style="position:absolute;left:3368;top:5632;width:39;height:10" type="#_x0000_t75" stroked="false">
              <v:imagedata r:id="rId10" o:title=""/>
            </v:shape>
            <v:shape style="position:absolute;left:3407;top:5632;width:20;height:10" type="#_x0000_t75" stroked="false">
              <v:imagedata r:id="rId9" o:title=""/>
            </v:shape>
            <v:shape style="position:absolute;left:3426;top:5632;width:39;height:10" type="#_x0000_t75" stroked="false">
              <v:imagedata r:id="rId10" o:title=""/>
            </v:shape>
            <v:shape style="position:absolute;left:3464;top:5632;width:39;height:10" type="#_x0000_t75" stroked="false">
              <v:imagedata r:id="rId10" o:title=""/>
            </v:shape>
            <v:shape style="position:absolute;left:3503;top:5632;width:39;height:10" type="#_x0000_t75" stroked="false">
              <v:imagedata r:id="rId10" o:title=""/>
            </v:shape>
            <v:shape style="position:absolute;left:3541;top:5632;width:8;height:10" type="#_x0000_t75" stroked="false">
              <v:imagedata r:id="rId12" o:title=""/>
            </v:shape>
            <v:shape style="position:absolute;left:3548;top:5632;width:10;height:10" type="#_x0000_t75" stroked="false">
              <v:imagedata r:id="rId12" o:title=""/>
            </v:shape>
            <v:shape style="position:absolute;left:3558;top:5632;width:20;height:10" type="#_x0000_t75" stroked="false">
              <v:imagedata r:id="rId9" o:title=""/>
            </v:shape>
            <v:shape style="position:absolute;left:3577;top:5632;width:39;height:10" type="#_x0000_t75" stroked="false">
              <v:imagedata r:id="rId10" o:title=""/>
            </v:shape>
            <v:shape style="position:absolute;left:3616;top:5632;width:39;height:10" type="#_x0000_t75" stroked="false">
              <v:imagedata r:id="rId10" o:title=""/>
            </v:shape>
            <v:shape style="position:absolute;left:3654;top:5632;width:39;height:10" type="#_x0000_t75" stroked="false">
              <v:imagedata r:id="rId10" o:title=""/>
            </v:shape>
            <v:shape style="position:absolute;left:3692;top:5632;width:20;height:10" type="#_x0000_t75" stroked="false">
              <v:imagedata r:id="rId9" o:title=""/>
            </v:shape>
            <v:shape style="position:absolute;left:3712;top:5632;width:39;height:10" type="#_x0000_t75" stroked="false">
              <v:imagedata r:id="rId10" o:title=""/>
            </v:shape>
            <v:shape style="position:absolute;left:3750;top:5632;width:39;height:10" type="#_x0000_t75" stroked="false">
              <v:imagedata r:id="rId10" o:title=""/>
            </v:shape>
            <v:shape style="position:absolute;left:3788;top:5632;width:39;height:10" type="#_x0000_t75" stroked="false">
              <v:imagedata r:id="rId10" o:title=""/>
            </v:shape>
            <v:shape style="position:absolute;left:3827;top:5632;width:20;height:10" type="#_x0000_t75" stroked="false">
              <v:imagedata r:id="rId9" o:title=""/>
            </v:shape>
            <v:shape style="position:absolute;left:3846;top:5632;width:39;height:10" type="#_x0000_t75" stroked="false">
              <v:imagedata r:id="rId10" o:title=""/>
            </v:shape>
            <v:shape style="position:absolute;left:3884;top:5632;width:39;height:10" type="#_x0000_t75" stroked="false">
              <v:imagedata r:id="rId10" o:title=""/>
            </v:shape>
            <v:shape style="position:absolute;left:3923;top:5632;width:39;height:10" type="#_x0000_t75" stroked="false">
              <v:imagedata r:id="rId10" o:title=""/>
            </v:shape>
            <v:shape style="position:absolute;left:3961;top:5632;width:39;height:10" type="#_x0000_t75" stroked="false">
              <v:imagedata r:id="rId10" o:title=""/>
            </v:shape>
            <v:shape style="position:absolute;left:4000;top:5632;width:20;height:10" type="#_x0000_t75" stroked="false">
              <v:imagedata r:id="rId9" o:title=""/>
            </v:shape>
            <v:shape style="position:absolute;left:4019;top:5632;width:39;height:10" type="#_x0000_t75" stroked="false">
              <v:imagedata r:id="rId10" o:title=""/>
            </v:shape>
            <v:shape style="position:absolute;left:4057;top:5632;width:39;height:10" type="#_x0000_t75" stroked="false">
              <v:imagedata r:id="rId10" o:title=""/>
            </v:shape>
            <v:shape style="position:absolute;left:4096;top:5632;width:39;height:10" type="#_x0000_t75" stroked="false">
              <v:imagedata r:id="rId10" o:title=""/>
            </v:shape>
            <v:shape style="position:absolute;left:4134;top:5632;width:39;height:10" type="#_x0000_t75" stroked="false">
              <v:imagedata r:id="rId10" o:title=""/>
            </v:shape>
            <v:shape style="position:absolute;left:4172;top:5632;width:20;height:10" type="#_x0000_t75" stroked="false">
              <v:imagedata r:id="rId9" o:title=""/>
            </v:shape>
            <v:shape style="position:absolute;left:4192;top:5632;width:39;height:10" type="#_x0000_t75" stroked="false">
              <v:imagedata r:id="rId10" o:title=""/>
            </v:shape>
            <v:shape style="position:absolute;left:4230;top:5632;width:39;height:10" type="#_x0000_t75" stroked="false">
              <v:imagedata r:id="rId10" o:title=""/>
            </v:shape>
            <v:shape style="position:absolute;left:4268;top:5632;width:39;height:10" type="#_x0000_t75" stroked="false">
              <v:imagedata r:id="rId10" o:title=""/>
            </v:shape>
            <v:shape style="position:absolute;left:4307;top:5632;width:20;height:10" type="#_x0000_t75" stroked="false">
              <v:imagedata r:id="rId9" o:title=""/>
            </v:shape>
            <v:shape style="position:absolute;left:4326;top:5632;width:39;height:10" type="#_x0000_t75" stroked="false">
              <v:imagedata r:id="rId10" o:title=""/>
            </v:shape>
            <v:shape style="position:absolute;left:4364;top:5632;width:39;height:10" type="#_x0000_t75" stroked="false">
              <v:imagedata r:id="rId10" o:title=""/>
            </v:shape>
            <v:shape style="position:absolute;left:4403;top:5632;width:39;height:10" type="#_x0000_t75" stroked="false">
              <v:imagedata r:id="rId10" o:title=""/>
            </v:shape>
            <v:shape style="position:absolute;left:4441;top:5632;width:39;height:10" type="#_x0000_t75" stroked="false">
              <v:imagedata r:id="rId10" o:title=""/>
            </v:shape>
            <v:shape style="position:absolute;left:4480;top:5632;width:20;height:10" type="#_x0000_t75" stroked="false">
              <v:imagedata r:id="rId9" o:title=""/>
            </v:shape>
            <v:shape style="position:absolute;left:4499;top:5632;width:39;height:10" type="#_x0000_t75" stroked="false">
              <v:imagedata r:id="rId10" o:title=""/>
            </v:shape>
            <v:shape style="position:absolute;left:4537;top:5632;width:39;height:10" type="#_x0000_t75" stroked="false">
              <v:imagedata r:id="rId10" o:title=""/>
            </v:shape>
            <v:shape style="position:absolute;left:4576;top:5632;width:39;height:10" type="#_x0000_t75" stroked="false">
              <v:imagedata r:id="rId10" o:title=""/>
            </v:shape>
            <v:shape style="position:absolute;left:4614;top:5632;width:39;height:10" type="#_x0000_t75" stroked="false">
              <v:imagedata r:id="rId10" o:title=""/>
            </v:shape>
            <v:shape style="position:absolute;left:4652;top:5632;width:20;height:10" type="#_x0000_t75" stroked="false">
              <v:imagedata r:id="rId9" o:title=""/>
            </v:shape>
            <v:shape style="position:absolute;left:4672;top:5632;width:39;height:10" type="#_x0000_t75" stroked="false">
              <v:imagedata r:id="rId10" o:title=""/>
            </v:shape>
            <v:shape style="position:absolute;left:4710;top:5632;width:39;height:10" type="#_x0000_t75" stroked="false">
              <v:imagedata r:id="rId10" o:title=""/>
            </v:shape>
            <v:shape style="position:absolute;left:4748;top:5632;width:39;height:10" type="#_x0000_t75" stroked="false">
              <v:imagedata r:id="rId10" o:title=""/>
            </v:shape>
            <v:shape style="position:absolute;left:4787;top:5632;width:20;height:10" type="#_x0000_t75" stroked="false">
              <v:imagedata r:id="rId9" o:title=""/>
            </v:shape>
            <v:shape style="position:absolute;left:4806;top:5632;width:39;height:10" type="#_x0000_t75" stroked="false">
              <v:imagedata r:id="rId10" o:title=""/>
            </v:shape>
            <v:shape style="position:absolute;left:4844;top:5632;width:39;height:10" type="#_x0000_t75" stroked="false">
              <v:imagedata r:id="rId10" o:title=""/>
            </v:shape>
            <v:shape style="position:absolute;left:4883;top:5632;width:39;height:10" type="#_x0000_t75" stroked="false">
              <v:imagedata r:id="rId10" o:title=""/>
            </v:shape>
            <v:shape style="position:absolute;left:4921;top:5632;width:39;height:10" type="#_x0000_t75" stroked="false">
              <v:imagedata r:id="rId10" o:title=""/>
            </v:shape>
            <v:shape style="position:absolute;left:4960;top:5632;width:20;height:10" type="#_x0000_t75" stroked="false">
              <v:imagedata r:id="rId9" o:title=""/>
            </v:shape>
            <v:shape style="position:absolute;left:4979;top:5632;width:39;height:10" type="#_x0000_t75" stroked="false">
              <v:imagedata r:id="rId10" o:title=""/>
            </v:shape>
            <v:shape style="position:absolute;left:5017;top:5632;width:39;height:10" type="#_x0000_t75" stroked="false">
              <v:imagedata r:id="rId10" o:title=""/>
            </v:shape>
            <v:shape style="position:absolute;left:5056;top:5632;width:39;height:10" type="#_x0000_t75" stroked="false">
              <v:imagedata r:id="rId10" o:title=""/>
            </v:shape>
            <v:shape style="position:absolute;left:5094;top:5632;width:39;height:10" type="#_x0000_t75" stroked="false">
              <v:imagedata r:id="rId10" o:title=""/>
            </v:shape>
            <v:shape style="position:absolute;left:5132;top:5632;width:77;height:10" type="#_x0000_t75" stroked="false">
              <v:imagedata r:id="rId13" o:title=""/>
            </v:shape>
            <v:shape style="position:absolute;left:5209;top:5632;width:77;height:10" type="#_x0000_t75" stroked="false">
              <v:imagedata r:id="rId14" o:title=""/>
            </v:shape>
            <v:shape style="position:absolute;left:5286;top:5632;width:58;height:10" type="#_x0000_t75" stroked="false">
              <v:imagedata r:id="rId15" o:title=""/>
            </v:shape>
            <v:shape style="position:absolute;left:5344;top:5632;width:77;height:10" type="#_x0000_t75" stroked="false">
              <v:imagedata r:id="rId14" o:title=""/>
            </v:shape>
            <v:shape style="position:absolute;left:5420;top:5632;width:58;height:10" type="#_x0000_t75" stroked="false">
              <v:imagedata r:id="rId16" o:title=""/>
            </v:shape>
            <v:shape style="position:absolute;left:5478;top:5632;width:77;height:10" type="#_x0000_t75" stroked="false">
              <v:imagedata r:id="rId13" o:title=""/>
            </v:shape>
            <v:shape style="position:absolute;left:5555;top:5632;width:58;height:10" type="#_x0000_t75" stroked="false">
              <v:imagedata r:id="rId16" o:title=""/>
            </v:shape>
            <v:shape style="position:absolute;left:5612;top:5632;width:77;height:10" type="#_x0000_t75" stroked="false">
              <v:imagedata r:id="rId13" o:title=""/>
            </v:shape>
            <v:shape style="position:absolute;left:5689;top:5632;width:77;height:10" type="#_x0000_t75" stroked="false">
              <v:imagedata r:id="rId14" o:title=""/>
            </v:shape>
            <v:shape style="position:absolute;left:5766;top:5632;width:58;height:10" type="#_x0000_t75" stroked="false">
              <v:imagedata r:id="rId15" o:title=""/>
            </v:shape>
            <v:shape style="position:absolute;left:5824;top:5632;width:77;height:10" type="#_x0000_t75" stroked="false">
              <v:imagedata r:id="rId14" o:title=""/>
            </v:shape>
            <v:shape style="position:absolute;left:5900;top:5632;width:58;height:10" type="#_x0000_t75" stroked="false">
              <v:imagedata r:id="rId16" o:title=""/>
            </v:shape>
            <v:shape style="position:absolute;left:5958;top:5632;width:77;height:10" type="#_x0000_t75" stroked="false">
              <v:imagedata r:id="rId13" o:title=""/>
            </v:shape>
            <v:shape style="position:absolute;left:6035;top:5632;width:58;height:10" type="#_x0000_t75" stroked="false">
              <v:imagedata r:id="rId16" o:title=""/>
            </v:shape>
            <v:shape style="position:absolute;left:6092;top:5632;width:77;height:10" type="#_x0000_t75" stroked="false">
              <v:imagedata r:id="rId13" o:title=""/>
            </v:shape>
            <v:shape style="position:absolute;left:6169;top:5632;width:77;height:10" type="#_x0000_t75" stroked="false">
              <v:imagedata r:id="rId14" o:title=""/>
            </v:shape>
            <v:shape style="position:absolute;left:6246;top:5632;width:58;height:10" type="#_x0000_t75" stroked="false">
              <v:imagedata r:id="rId15" o:title=""/>
            </v:shape>
            <v:shape style="position:absolute;left:6304;top:5632;width:77;height:10" type="#_x0000_t75" stroked="false">
              <v:imagedata r:id="rId14" o:title=""/>
            </v:shape>
            <v:shape style="position:absolute;left:6380;top:5632;width:58;height:10" type="#_x0000_t75" stroked="false">
              <v:imagedata r:id="rId16" o:title=""/>
            </v:shape>
            <v:shape style="position:absolute;left:6438;top:5632;width:77;height:10" type="#_x0000_t75" stroked="false">
              <v:imagedata r:id="rId13" o:title=""/>
            </v:shape>
            <v:shape style="position:absolute;left:6515;top:5632;width:58;height:10" type="#_x0000_t75" stroked="false">
              <v:imagedata r:id="rId16" o:title=""/>
            </v:shape>
            <v:shape style="position:absolute;left:6572;top:5632;width:77;height:10" type="#_x0000_t75" stroked="false">
              <v:imagedata r:id="rId13" o:title=""/>
            </v:shape>
            <v:shape style="position:absolute;left:6649;top:5632;width:77;height:10" type="#_x0000_t75" stroked="false">
              <v:imagedata r:id="rId14" o:title=""/>
            </v:shape>
            <v:shape style="position:absolute;left:6726;top:5632;width:22;height:10" type="#_x0000_t75" stroked="false">
              <v:imagedata r:id="rId17" o:title=""/>
            </v:shape>
            <v:shape style="position:absolute;left:6748;top:5632;width:10;height:10" type="#_x0000_t75" stroked="false">
              <v:imagedata r:id="rId12" o:title=""/>
            </v:shape>
            <v:shape style="position:absolute;left:6757;top:5632;width:58;height:10" type="#_x0000_t75" stroked="false">
              <v:imagedata r:id="rId18" o:title=""/>
            </v:shape>
            <v:shape style="position:absolute;left:6815;top:5632;width:58;height:10" type="#_x0000_t75" stroked="false">
              <v:imagedata r:id="rId19" o:title=""/>
            </v:shape>
            <v:shape style="position:absolute;left:6872;top:5632;width:77;height:10" type="#_x0000_t75" stroked="false">
              <v:imagedata r:id="rId20" o:title=""/>
            </v:shape>
            <v:shape style="position:absolute;left:6949;top:5632;width:77;height:10" type="#_x0000_t75" stroked="false">
              <v:imagedata r:id="rId21" o:title=""/>
            </v:shape>
            <v:shape style="position:absolute;left:7026;top:5632;width:58;height:10" type="#_x0000_t75" stroked="false">
              <v:imagedata r:id="rId18" o:title=""/>
            </v:shape>
            <v:shape style="position:absolute;left:7084;top:5632;width:77;height:10" type="#_x0000_t75" stroked="false">
              <v:imagedata r:id="rId21" o:title=""/>
            </v:shape>
            <v:shape style="position:absolute;left:7160;top:5632;width:58;height:10" type="#_x0000_t75" stroked="false">
              <v:imagedata r:id="rId19" o:title=""/>
            </v:shape>
            <v:shape style="position:absolute;left:7218;top:5632;width:77;height:10" type="#_x0000_t75" stroked="false">
              <v:imagedata r:id="rId20" o:title=""/>
            </v:shape>
            <v:shape style="position:absolute;left:7295;top:5632;width:58;height:10" type="#_x0000_t75" stroked="false">
              <v:imagedata r:id="rId19" o:title=""/>
            </v:shape>
            <v:shape style="position:absolute;left:7352;top:5632;width:58;height:10" type="#_x0000_t75" stroked="false">
              <v:imagedata r:id="rId18" o:title=""/>
            </v:shape>
            <v:shape style="position:absolute;left:7410;top:5632;width:58;height:10" type="#_x0000_t75" stroked="false">
              <v:imagedata r:id="rId18" o:title=""/>
            </v:shape>
            <v:shape style="position:absolute;left:7468;top:5632;width:77;height:10" type="#_x0000_t75" stroked="false">
              <v:imagedata r:id="rId21" o:title=""/>
            </v:shape>
            <v:shape style="position:absolute;left:7545;top:5632;width:58;height:10" type="#_x0000_t75" stroked="false">
              <v:imagedata r:id="rId18" o:title=""/>
            </v:shape>
            <v:shape style="position:absolute;left:7602;top:5632;width:77;height:10" type="#_x0000_t75" stroked="false">
              <v:imagedata r:id="rId21" o:title=""/>
            </v:shape>
            <v:shape style="position:absolute;left:7679;top:5632;width:77;height:10" type="#_x0000_t75" stroked="false">
              <v:imagedata r:id="rId21" o:title=""/>
            </v:shape>
            <v:shape style="position:absolute;left:7756;top:5632;width:58;height:10" type="#_x0000_t75" stroked="false">
              <v:imagedata r:id="rId18" o:title=""/>
            </v:shape>
            <v:shape style="position:absolute;left:7814;top:5632;width:77;height:10" type="#_x0000_t75" stroked="false">
              <v:imagedata r:id="rId21" o:title=""/>
            </v:shape>
            <v:shape style="position:absolute;left:7890;top:5632;width:58;height:10" type="#_x0000_t75" stroked="false">
              <v:imagedata r:id="rId18" o:title=""/>
            </v:shape>
            <v:shape style="position:absolute;left:7948;top:5632;width:77;height:10" type="#_x0000_t75" stroked="false">
              <v:imagedata r:id="rId21" o:title=""/>
            </v:shape>
            <v:shape style="position:absolute;left:8025;top:5632;width:58;height:10" type="#_x0000_t75" stroked="false">
              <v:imagedata r:id="rId18" o:title=""/>
            </v:shape>
            <v:shape style="position:absolute;left:8082;top:5632;width:77;height:10" type="#_x0000_t75" stroked="false">
              <v:imagedata r:id="rId21" o:title=""/>
            </v:shape>
            <v:shape style="position:absolute;left:8159;top:5632;width:77;height:10" type="#_x0000_t75" stroked="false">
              <v:imagedata r:id="rId21" o:title=""/>
            </v:shape>
            <v:shape style="position:absolute;left:8236;top:5632;width:58;height:10" type="#_x0000_t75" stroked="false">
              <v:imagedata r:id="rId18" o:title=""/>
            </v:shape>
            <v:shape style="position:absolute;left:8294;top:5632;width:77;height:10" type="#_x0000_t75" stroked="false">
              <v:imagedata r:id="rId21" o:title=""/>
            </v:shape>
            <v:shape style="position:absolute;left:8370;top:5632;width:58;height:10" type="#_x0000_t75" stroked="false">
              <v:imagedata r:id="rId18" o:title=""/>
            </v:shape>
            <v:shape style="position:absolute;left:8428;top:5632;width:77;height:10" type="#_x0000_t75" stroked="false">
              <v:imagedata r:id="rId21" o:title=""/>
            </v:shape>
            <v:shape style="position:absolute;left:8505;top:5632;width:58;height:10" type="#_x0000_t75" stroked="false">
              <v:imagedata r:id="rId18" o:title=""/>
            </v:shape>
            <v:shape style="position:absolute;left:8562;top:5632;width:77;height:10" type="#_x0000_t75" stroked="false">
              <v:imagedata r:id="rId21" o:title=""/>
            </v:shape>
            <v:shape style="position:absolute;left:8639;top:5632;width:77;height:10" type="#_x0000_t75" stroked="false">
              <v:imagedata r:id="rId21" o:title=""/>
            </v:shape>
            <v:shape style="position:absolute;left:8716;top:5632;width:58;height:10" type="#_x0000_t75" stroked="false">
              <v:imagedata r:id="rId18" o:title=""/>
            </v:shape>
            <v:shape style="position:absolute;left:8774;top:5632;width:77;height:10" type="#_x0000_t75" stroked="false">
              <v:imagedata r:id="rId21" o:title=""/>
            </v:shape>
            <v:shape style="position:absolute;left:8850;top:5632;width:58;height:10" type="#_x0000_t75" stroked="false">
              <v:imagedata r:id="rId18" o:title=""/>
            </v:shape>
            <v:shape style="position:absolute;left:8908;top:5632;width:77;height:10" type="#_x0000_t75" stroked="false">
              <v:imagedata r:id="rId21" o:title=""/>
            </v:shape>
            <v:shape style="position:absolute;left:8985;top:5632;width:58;height:10" type="#_x0000_t75" stroked="false">
              <v:imagedata r:id="rId18" o:title=""/>
            </v:shape>
            <v:shape style="position:absolute;left:9042;top:5632;width:77;height:10" type="#_x0000_t75" stroked="false">
              <v:imagedata r:id="rId21" o:title=""/>
            </v:shape>
            <v:shape style="position:absolute;left:9119;top:5632;width:77;height:10" type="#_x0000_t75" stroked="false">
              <v:imagedata r:id="rId21" o:title=""/>
            </v:shape>
            <v:shape style="position:absolute;left:9196;top:5632;width:58;height:10" type="#_x0000_t75" stroked="false">
              <v:imagedata r:id="rId18" o:title=""/>
            </v:shape>
            <v:shape style="position:absolute;left:9254;top:5632;width:77;height:10" type="#_x0000_t75" stroked="false">
              <v:imagedata r:id="rId21" o:title=""/>
            </v:shape>
            <v:shape style="position:absolute;left:9330;top:5632;width:58;height:10" type="#_x0000_t75" stroked="false">
              <v:imagedata r:id="rId18" o:title=""/>
            </v:shape>
            <v:shape style="position:absolute;left:9388;top:5632;width:77;height:10" type="#_x0000_t75" stroked="false">
              <v:imagedata r:id="rId21" o:title=""/>
            </v:shape>
            <v:shape style="position:absolute;left:9465;top:5632;width:58;height:10" type="#_x0000_t75" stroked="false">
              <v:imagedata r:id="rId18" o:title=""/>
            </v:shape>
            <v:shape style="position:absolute;left:9522;top:5632;width:77;height:10" type="#_x0000_t75" stroked="false">
              <v:imagedata r:id="rId21" o:title=""/>
            </v:shape>
            <v:shape style="position:absolute;left:9599;top:5632;width:77;height:10" type="#_x0000_t75" stroked="false">
              <v:imagedata r:id="rId21" o:title=""/>
            </v:shape>
            <v:shape style="position:absolute;left:9676;top:5632;width:58;height:10" type="#_x0000_t75" stroked="false">
              <v:imagedata r:id="rId18" o:title=""/>
            </v:shape>
            <v:shape style="position:absolute;left:9734;top:5632;width:77;height:10" type="#_x0000_t75" stroked="false">
              <v:imagedata r:id="rId21" o:title=""/>
            </v:shape>
            <v:shape style="position:absolute;left:9810;top:5632;width:58;height:10" type="#_x0000_t75" stroked="false">
              <v:imagedata r:id="rId18" o:title=""/>
            </v:shape>
            <v:shape style="position:absolute;left:9868;top:5632;width:77;height:10" type="#_x0000_t75" stroked="false">
              <v:imagedata r:id="rId21" o:title=""/>
            </v:shape>
            <v:shape style="position:absolute;left:9945;top:5632;width:58;height:10" type="#_x0000_t75" stroked="false">
              <v:imagedata r:id="rId18" o:title=""/>
            </v:shape>
            <v:shape style="position:absolute;left:10002;top:5632;width:77;height:10" type="#_x0000_t75" stroked="false">
              <v:imagedata r:id="rId21" o:title=""/>
            </v:shape>
            <v:shape style="position:absolute;left:10079;top:5632;width:77;height:10" type="#_x0000_t75" stroked="false">
              <v:imagedata r:id="rId21" o:title=""/>
            </v:shape>
            <v:shape style="position:absolute;left:10156;top:5632;width:58;height:10" type="#_x0000_t75" stroked="false">
              <v:imagedata r:id="rId18" o:title=""/>
            </v:shape>
            <v:shape style="position:absolute;left:10214;top:5632;width:58;height:10" type="#_x0000_t75" stroked="false">
              <v:imagedata r:id="rId18" o:title=""/>
            </v:shape>
            <v:shape style="position:absolute;left:10271;top:5632;width:39;height:10" type="#_x0000_t75" stroked="false">
              <v:imagedata r:id="rId11" o:title=""/>
            </v:shape>
            <v:shape style="position:absolute;left:10310;top:5632;width:20;height:10" type="#_x0000_t75" stroked="false">
              <v:imagedata r:id="rId7" o:title=""/>
            </v:shape>
            <v:shape style="position:absolute;left:10329;top:5632;width:39;height:10" type="#_x0000_t75" stroked="false">
              <v:imagedata r:id="rId11" o:title=""/>
            </v:shape>
            <v:shape style="position:absolute;left:10367;top:5632;width:20;height:10" type="#_x0000_t75" stroked="false">
              <v:imagedata r:id="rId9" o:title=""/>
            </v:shape>
            <v:shape style="position:absolute;left:10386;top:5632;width:39;height:10" type="#_x0000_t75" stroked="false">
              <v:imagedata r:id="rId11" o:title=""/>
            </v:shape>
            <v:shape style="position:absolute;left:10425;top:5632;width:39;height:10" type="#_x0000_t75" stroked="false">
              <v:imagedata r:id="rId11" o:title=""/>
            </v:shape>
            <v:shape style="position:absolute;left:10463;top:5632;width:20;height:10" type="#_x0000_t75" stroked="false">
              <v:imagedata r:id="rId9" o:title=""/>
            </v:shape>
            <v:shape style="position:absolute;left:10482;top:5632;width:39;height:10" type="#_x0000_t75" stroked="false">
              <v:imagedata r:id="rId11" o:title=""/>
            </v:shape>
            <v:shape style="position:absolute;left:10521;top:5632;width:20;height:10" type="#_x0000_t75" stroked="false">
              <v:imagedata r:id="rId7" o:title=""/>
            </v:shape>
            <v:shape style="position:absolute;left:10540;top:5632;width:39;height:10" type="#_x0000_t75" stroked="false">
              <v:imagedata r:id="rId22" o:title=""/>
            </v:shape>
            <v:shape style="position:absolute;left:10578;top:5632;width:20;height:10" type="#_x0000_t75" stroked="false">
              <v:imagedata r:id="rId7" o:title=""/>
            </v:shape>
            <v:shape style="position:absolute;left:10598;top:5632;width:39;height:10" type="#_x0000_t75" stroked="false">
              <v:imagedata r:id="rId11" o:title=""/>
            </v:shape>
            <v:shape style="position:absolute;left:10636;top:5632;width:20;height:10" type="#_x0000_t75" stroked="false">
              <v:imagedata r:id="rId9" o:title=""/>
            </v:shape>
            <v:shape style="position:absolute;left:10655;top:5632;width:39;height:10" type="#_x0000_t75" stroked="false">
              <v:imagedata r:id="rId11" o:title=""/>
            </v:shape>
            <v:shape style="position:absolute;left:10694;top:5632;width:15;height:10" type="#_x0000_t75" stroked="false">
              <v:imagedata r:id="rId7" o:title=""/>
            </v:shape>
            <v:shape style="position:absolute;left:10698;top:5632;width:10;height:10" type="#_x0000_t75" stroked="false">
              <v:imagedata r:id="rId12" o:title=""/>
            </v:shape>
            <v:shape style="position:absolute;left:10698;top:5641;width:10;height:5930" coordorigin="10699,5642" coordsize="10,5930" path="m10708,11548l10699,11548,10699,11567,10699,11572,10708,11572,10708,11567,10708,11548m10708,11490l10699,11490,10699,11509,10699,11528,10699,11548,10708,11548,10708,11528,10708,11509,10708,11490m10708,11452l10699,11452,10699,11471,10699,11490,10708,11490,10708,11471,10708,11452m10708,11394l10699,11394,10699,11413,10699,11432,10699,11452,10708,11452,10708,11432,10708,11413,10708,11394m10708,11336l10699,11336,10699,11356,10699,11375,10699,11394,10708,11394,10708,11375,10708,11356,10708,11336m10708,11298l10699,11298,10699,11317,10699,11336,10708,11336,10708,11317,10708,11298m10708,11254l10699,11254,10699,11259,10699,11278,10699,11298,10708,11298,10708,11278,10708,11259,10708,11254m10708,11235l10699,11235,10699,11254,10708,11254,10708,11235m10708,11178l10699,11178,10699,11197,10699,11216,10699,11235,10708,11235,10708,11216,10708,11197,10708,11178m10708,11120l10699,11120,10699,11139,10699,11158,10699,11178,10708,11178,10708,11158,10708,11139,10708,11120m10708,11082l10699,11082,10699,11101,10699,11120,10708,11120,10708,11101,10708,11082m10708,11024l10699,11024,10699,11043,10699,11062,10699,11082,10708,11082,10708,11062,10708,11043,10708,11024m10708,10966l10699,10966,10699,10986,10699,11005,10699,11024,10708,11024,10708,11005,10708,10986,10708,10966m10708,10942l10699,10942,10699,10947,10699,10966,10708,10966,10708,10947,10708,10942m10708,10904l10699,10904,10699,10923,10699,10942,10708,10942,10708,10923,10708,10904m10708,10846l10699,10846,10699,10866,10699,10885,10699,10904,10708,10904,10708,10885,10708,10866,10708,10846m10708,10789l10699,10789,10699,10808,10699,10827,10699,10846,10708,10846,10708,10827,10708,10808,10708,10789m10708,10731l10699,10731,10699,10750,10699,10770,10699,10789,10708,10789,10708,10770,10708,10750,10708,10731m10708,10693l10699,10693,10699,10712,10699,10731,10708,10731,10708,10712,10708,10693m10708,10635l10699,10635,10699,10654,10699,10674,10699,10693,10708,10693,10708,10674,10708,10654,10708,10635m10708,10611l10699,10611,10699,10630,10699,10635,10708,10635,10708,10630,10708,10611m10708,10573l10699,10573,10699,10592,10699,10611,10708,10611,10708,10592,10708,10573m10708,10515l10699,10515,10699,10534,10699,10554,10699,10573,10708,10573,10708,10554,10708,10534,10708,10515m10708,10458l10699,10458,10699,10477,10699,10496,10699,10515,10708,10515,10708,10496,10708,10477,10708,10458m10708,10400l10699,10400,10699,10419,10699,10438,10699,10458,10708,10458,10708,10438,10708,10419,10708,10400m10708,10362l10699,10362,10699,10381,10699,10400,10708,10400,10708,10381,10708,10362m10708,10318l10699,10318,10699,10323,10699,10342,10699,10362,10708,10362,10708,10342,10708,10323,10708,10318m10708,10280l10699,10280,10699,10299,10699,10318,10708,10318,10708,10299,10708,10280m10708,10242l10699,10242,10699,10261,10699,10280,10708,10280,10708,10261,10708,10242m10708,10184l10699,10184,10699,10203,10699,10222,10699,10242,10708,10242,10708,10222,10708,10203,10708,10184m10708,10126l10699,10126,10699,10146,10699,10165,10699,10184,10708,10184,10708,10165,10708,10146,10708,10126m10708,10069l10699,10069,10699,10088,10699,10107,10699,10126,10708,10126,10708,10107,10708,10088,10708,10069m10708,10011l10699,10011,10699,10030,10699,10050,10699,10069,10708,10069,10708,10050,10708,10030,10708,10011m10708,10006l10699,10006,10699,10011,10708,10011,10708,10006m10708,9949l10699,9949,10699,9968,10699,9987,10699,10006,10708,10006,10708,9987,10708,9968,10708,9949m10708,9891l10699,9891,10699,9910,10699,9930,10699,9949,10708,9949,10708,9930,10708,9910,10708,9891m10708,9853l10699,9853,10699,9872,10699,9891,10708,9891,10708,9872,10708,9853m10708,9795l10699,9795,10699,9814,10699,9834,10699,9853,10708,9853,10708,9834,10708,9814,10708,9795m10708,9738l10699,9738,10699,9757,10699,9776,10699,9795,10708,9795,10708,9776,10708,9757,10708,9738m10708,9694l10699,9694,10699,9699,10699,9718,10699,9738,10708,9738,10708,9718,10708,9699,10708,9694m10708,9675l10699,9675,10699,9694,10708,9694,10708,9675m10708,9618l10699,9618,10699,9637,10699,9656,10699,9675,10708,9675,10708,9656,10708,9637,10708,9618m10708,9560l10699,9560,10699,9579,10699,9598,10699,9618,10708,9618,10708,9598,10708,9579,10708,9560m10708,9522l10699,9522,10699,9541,10699,9560,10708,9560,10708,9541,10708,9522m10708,9464l10699,9464,10699,9483,10699,9502,10699,9522,10708,9522,10708,9502,10708,9483,10708,9464m10708,9406l10699,9406,10699,9426,10699,9445,10699,9464,10708,9464,10708,9445,10708,9426,10708,9406m10708,9382l10699,9382,10699,9387,10699,9406,10708,9406,10708,9387,10708,9382m10708,9344l10699,9344,10699,9363,10699,9382,10708,9382,10708,9363,10708,9344m10708,9286l10699,9286,10699,9306,10699,9325,10699,9344,10708,9344,10708,9325,10708,9306,10708,9286m10708,9229l10699,9229,10699,9248,10699,9267,10699,9286,10708,9286,10708,9267,10708,9248,10708,9229m10708,9171l10699,9171,10699,9190,10699,9210,10699,9229,10708,9229,10708,9210,10708,9190,10708,9171m10708,9133l10699,9133,10699,9152,10699,9171,10708,9171,10708,9152,10708,9133m10708,9075l10699,9075,10699,9094,10699,9114,10699,9133,10708,9133,10708,9114,10708,9094,10708,9075m10708,9051l10699,9051,10699,9070,10699,9075,10708,9075,10708,9070,10708,9051m10708,8898l10699,8898,10699,8917,10699,8936,10699,8955,10699,8974,10699,8994,10699,9013,10699,9032,10699,9051,10708,9051,10708,9032,10708,9013,10708,8994,10708,8974,10708,8955,10708,8936,10708,8917,10708,8898m10708,8840l10699,8840,10699,8859,10699,8878,10699,8898,10708,8898,10708,8878,10708,8859,10708,8840m10708,8802l10699,8802,10699,8821,10699,8840,10708,8840,10708,8821,10708,8802m10708,8758l10699,8758,10699,8763,10699,8782,10699,8802,10708,8802,10708,8782,10708,8763,10708,8758m10708,8720l10699,8720,10699,8739,10699,8758,10708,8758,10708,8739,10708,8720m10708,8682l10699,8682,10699,8701,10699,8720,10708,8720,10708,8701,10708,8682m10708,8624l10699,8624,10699,8643,10699,8662,10699,8682,10708,8682,10708,8662,10708,8643,10708,8624m10708,8566l10699,8566,10699,8586,10699,8605,10699,8624,10708,8624,10708,8605,10708,8586,10708,8566m10708,8509l10699,8509,10699,8528,10699,8547,10699,8566,10708,8566,10708,8547,10708,8528,10708,8509m10708,8451l10699,8451,10699,8470,10699,8490,10699,8509,10708,8509,10708,8490,10708,8470,10708,8451m10708,8446l10699,8446,10699,8451,10708,8451,10708,8446m10708,8389l10699,8389,10699,8408,10699,8427,10699,8446,10708,8446,10708,8427,10708,8408,10708,8389m10708,8331l10699,8331,10699,8350,10699,8370,10699,8389,10708,8389,10708,8370,10708,8350,10708,8331m10708,8293l10699,8293,10699,8312,10699,8331,10708,8331,10708,8312,10708,8293m10708,8235l10699,8235,10699,8254,10699,8274,10699,8293,10708,8293,10708,8274,10708,8254,10708,8235m10708,8178l10699,8178,10699,8197,10699,8216,10699,8235,10708,8235,10708,8216,10708,8197,10708,8178m10708,8134l10699,8134,10699,8139,10699,8158,10699,8178,10708,8178,10708,8158,10708,8139,10708,8134m10708,8115l10699,8115,10699,8134,10708,8134,10708,8115m10708,8058l10699,8058,10699,8077,10699,8096,10699,8115,10708,8115,10708,8096,10708,8077,10708,8058m10708,8000l10699,8000,10699,8019,10699,8038,10699,8058,10708,8058,10708,8038,10708,8019,10708,8000m10708,7962l10699,7962,10699,7981,10699,8000,10708,8000,10708,7981,10708,7962m10708,7904l10699,7904,10699,7923,10699,7942,10699,7962,10708,7962,10708,7942,10708,7923,10708,7904m10708,7846l10699,7846,10699,7866,10699,7885,10699,7904,10708,7904,10708,7885,10708,7866,10708,7846m10708,7822l10699,7822,10699,7827,10699,7846,10708,7846,10708,7827,10708,7822m10708,7784l10699,7784,10699,7803,10699,7822,10708,7822,10708,7803,10708,7784m10708,7726l10699,7726,10699,7746,10699,7765,10699,7784,10708,7784,10708,7765,10708,7746,10708,7726m10708,7669l10699,7669,10699,7688,10699,7707,10699,7726,10708,7726,10708,7707,10708,7688,10708,7669m10708,7611l10699,7611,10699,7630,10699,7650,10699,7669,10708,7669,10708,7650,10708,7630,10708,7611m10708,7573l10699,7573,10699,7592,10699,7611,10708,7611,10708,7592,10708,7573m10708,7534l10699,7534,10699,7554,10699,7573,10708,7573,10708,7554,10708,7534m10708,7510l10699,7510,10699,7515,10699,7534,10708,7534,10708,7515,10708,7510m10708,7491l10699,7491,10699,7510,10708,7510,10708,7491m10708,7453l10699,7453,10699,7472,10699,7491,10708,7491,10708,7472,10708,7453m10708,7434l10699,7434,10699,7453,10708,7453,10708,7434m10708,7414l10699,7414,10699,7434,10708,7434,10708,7414m10708,7376l10699,7376,10699,7395,10699,7414,10708,7414,10708,7395,10708,7376m10708,7357l10699,7357,10699,7376,10708,7376,10708,7357m10708,7318l10699,7318,10699,7338,10699,7357,10708,7357,10708,7338,10708,7318m10708,7299l10699,7299,10699,7318,10708,7318,10708,7299m10708,7280l10699,7280,10699,7299,10708,7299,10708,7280m10708,7242l10699,7242,10699,7261,10699,7280,10708,7280,10708,7261,10708,7242m10708,7222l10699,7222,10699,7242,10708,7242,10708,7222m10708,7198l10699,7198,10699,7203,10699,7222,10708,7222,10708,7203,10708,7198m10708,7179l10699,7179,10699,7198,10708,7198,10708,7179m10708,7160l10699,7160,10699,7179,10708,7179,10708,7160m10708,7122l10699,7122,10699,7141,10699,7160,10708,7160,10708,7141,10708,7122m10708,7102l10699,7102,10699,7122,10708,7122,10708,7102m10708,7064l10699,7064,10699,7083,10699,7102,10708,7102,10708,7083,10708,7064m10708,7045l10699,7045,10699,7064,10708,7064,10708,7045m10708,7026l10699,7026,10699,7045,10708,7045,10708,7026m10708,6987l10699,6987,10699,7006,10699,7026,10708,7026,10708,7006,10708,6987m10708,6968l10699,6968,10699,6987,10708,6987,10708,6968m10708,6949l10699,6949,10699,6968,10708,6968,10708,6949m10708,6910l10699,6910,10699,6930,10699,6949,10708,6949,10708,6930,10708,6910m10708,6891l10699,6891,10699,6910,10708,6910,10708,6891m10708,6867l10699,6867,10699,6886,10699,6891,10708,6891,10708,6886,10708,6867m10708,6848l10699,6848,10699,6867,10708,6867,10708,6848m10708,6829l10699,6829,10699,6848,10708,6848,10708,6829m10708,6790l10699,6790,10699,6810,10699,6829,10708,6829,10708,6810,10708,6790m10708,6771l10699,6771,10699,6790,10708,6790,10708,6771m10708,6733l10699,6733,10699,6752,10699,6771,10708,6771,10708,6752,10708,6733m10708,6714l10699,6714,10699,6733,10708,6733,10708,6714m10708,6694l10699,6694,10699,6714,10708,6714,10708,6694m10708,6656l10699,6656,10699,6675,10699,6694,10708,6694,10708,6675,10708,6656m10708,6637l10699,6637,10699,6656,10708,6656,10708,6637m10708,6598l10699,6598,10699,6618,10699,6637,10708,6637,10708,6618,10708,6598m10708,6579l10699,6579,10699,6598,10708,6598,10708,6579m10708,6574l10699,6574,10699,6579,10708,6579,10708,6574m10708,6536l10699,6536,10699,6555,10699,6574,10708,6574,10708,6555,10708,6536m10708,6517l10699,6517,10699,6536,10708,6536,10708,6517m10708,6478l10699,6478,10699,6498,10699,6517,10708,6517,10708,6498,10708,6478m10708,6459l10699,6459,10699,6478,10708,6478,10708,6459m10708,6440l10699,6440,10699,6459,10708,6459,10708,6440m10708,6402l10699,6402,10699,6421,10699,6440,10708,6440,10708,6421,10708,6402m10708,6382l10699,6382,10699,6402,10708,6402,10708,6382m10708,6344l10699,6344,10699,6363,10699,6382,10708,6382,10708,6363,10708,6344m10708,6325l10699,6325,10699,6344,10708,6344,10708,6325m10708,6306l10699,6306,10699,6325,10708,6325,10708,6306m10708,6267l10699,6267,10699,6286,10699,6306,10708,6306,10708,6286,10708,6267m10708,6262l10699,6262,10699,6267,10708,6267,10708,6262m10708,6224l10699,6224,10699,6243,10699,6262,10708,6262,10708,6243,10708,6224m10708,6205l10699,6205,10699,6224,10708,6224,10708,6205m10708,6186l10699,6186,10699,6205,10708,6205,10708,6186m10708,6147l10699,6147,10699,6166,10699,6186,10708,6186,10708,6166,10708,6147m10708,6128l10699,6128,10699,6147,10708,6147,10708,6128m10708,6109l10699,6109,10699,6128,10708,6128,10708,6109m10708,6070l10699,6070,10699,6090,10699,6109,10708,6109,10708,6090,10708,6070m10708,6051l10699,6051,10699,6070,10708,6070,10708,6051m10708,6013l10699,6013,10699,6032,10699,6051,10708,6051,10708,6032,10708,6013m10708,5994l10699,5994,10699,6013,10708,6013,10708,5994m10708,5974l10699,5974,10699,5994,10708,5994,10708,5974m10708,5949l10699,5949,10699,5955,10699,5974,10708,5974,10708,5955,10708,5949m10708,5930l10699,5930,10699,5949,10708,5949,10708,5930m10708,5892l10699,5892,10699,5911,10699,5930,10708,5930,10708,5911,10708,5892m10708,5872l10699,5872,10699,5892,10708,5892,10708,5872m10708,5834l10699,5834,10699,5853,10699,5872,10708,5872,10708,5853,10708,5834m10708,5815l10699,5815,10699,5834,10708,5834,10708,5815m10708,5796l10699,5796,10699,5815,10708,5815,10708,5796m10708,5757l10699,5757,10699,5776,10699,5796,10708,5796,10708,5776,10708,5757m10708,5738l10699,5738,10699,5757,10708,5757,10708,5738m10708,5699l10699,5699,10699,5718,10699,5738,10708,5738,10708,5718,10708,5699m10708,5680l10699,5680,10699,5699,10708,5699,10708,5680m10708,5642l10699,5642,10699,5661,10699,5680,10708,5680,10708,5661,10708,5642e" filled="true" fillcolor="#000000" stroked="false">
              <v:path arrowok="t"/>
              <v:fill type="solid"/>
            </v:shape>
            <v:shape style="position:absolute;left:1122;top:11571;width:9587;height:10" type="#_x0000_t75" stroked="false">
              <v:imagedata r:id="rId23" o:title=""/>
            </v:shape>
            <v:rect style="position:absolute;left:10698;top:11571;width:10;height:10" filled="true" fillcolor="#000000" stroked="false">
              <v:fill type="solid"/>
            </v:rect>
            <v:shape style="position:absolute;left:840;top:431;width:10141;height:11210" type="#_x0000_t75" stroked="false">
              <v:imagedata r:id="rId24"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7"/>
        <w:rPr>
          <w:sz w:val="19"/>
        </w:rPr>
      </w:pPr>
    </w:p>
    <w:p>
      <w:pPr>
        <w:spacing w:before="0"/>
        <w:ind w:left="237"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59" w:val="left" w:leader="none"/>
          <w:tab w:pos="1060" w:val="left" w:leader="none"/>
          <w:tab w:pos="9562" w:val="right" w:leader="dot"/>
        </w:tabs>
        <w:spacing w:line="281" w:lineRule="exact" w:before="121" w:after="0"/>
        <w:ind w:left="1060"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80" w:val="left" w:leader="none"/>
          <w:tab w:pos="1081" w:val="left" w:leader="none"/>
          <w:tab w:pos="9583" w:val="right" w:leader="dot"/>
        </w:tabs>
        <w:spacing w:line="272" w:lineRule="exact" w:before="0" w:after="0"/>
        <w:ind w:left="1080" w:right="0" w:hanging="420"/>
        <w:jc w:val="left"/>
        <w:rPr>
          <w:sz w:val="21"/>
        </w:rPr>
      </w:pPr>
      <w:r>
        <w:rPr>
          <w:sz w:val="21"/>
        </w:rPr>
        <w:t>被保险人可以享受本附加险合同提供的保障</w:t>
        <w:tab/>
        <w:t>2.1</w:t>
      </w:r>
    </w:p>
    <w:p>
      <w:pPr>
        <w:pStyle w:val="ListParagraph"/>
        <w:numPr>
          <w:ilvl w:val="0"/>
          <w:numId w:val="1"/>
        </w:numPr>
        <w:tabs>
          <w:tab w:pos="1080" w:val="left" w:leader="none"/>
          <w:tab w:pos="1081" w:val="left" w:leader="none"/>
          <w:tab w:pos="9583" w:val="right" w:leader="dot"/>
        </w:tabs>
        <w:spacing w:line="272" w:lineRule="exact" w:before="0" w:after="0"/>
        <w:ind w:left="1080" w:right="0" w:hanging="420"/>
        <w:jc w:val="left"/>
        <w:rPr>
          <w:sz w:val="21"/>
        </w:rPr>
      </w:pPr>
      <w:r>
        <w:rPr>
          <w:sz w:val="21"/>
        </w:rPr>
        <w:t>您有选择保险费自动垫交的权利</w:t>
        <w:tab/>
        <w:t>5.2</w:t>
      </w:r>
    </w:p>
    <w:p>
      <w:pPr>
        <w:pStyle w:val="ListParagraph"/>
        <w:numPr>
          <w:ilvl w:val="0"/>
          <w:numId w:val="1"/>
        </w:numPr>
        <w:tabs>
          <w:tab w:pos="1080" w:val="left" w:leader="none"/>
          <w:tab w:pos="1081" w:val="left" w:leader="none"/>
          <w:tab w:pos="9581" w:val="right" w:leader="dot"/>
        </w:tabs>
        <w:spacing w:line="281" w:lineRule="exact" w:before="0" w:after="0"/>
        <w:ind w:left="1080" w:right="0" w:hanging="420"/>
        <w:jc w:val="left"/>
        <w:rPr>
          <w:sz w:val="21"/>
        </w:rPr>
      </w:pPr>
      <w:r>
        <w:rPr>
          <w:sz w:val="21"/>
        </w:rPr>
        <w:t>您有退保的权利</w:t>
        <w:tab/>
        <w:t>7.1</w:t>
      </w:r>
    </w:p>
    <w:p>
      <w:pPr>
        <w:spacing w:before="18"/>
        <w:ind w:left="23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0" w:val="left" w:leader="none"/>
          <w:tab w:pos="1081" w:val="left" w:leader="none"/>
          <w:tab w:pos="9583" w:val="right" w:leader="dot"/>
        </w:tabs>
        <w:spacing w:line="281" w:lineRule="exact" w:before="121" w:after="0"/>
        <w:ind w:left="1080" w:right="0" w:hanging="420"/>
        <w:jc w:val="left"/>
        <w:rPr>
          <w:sz w:val="21"/>
        </w:rPr>
      </w:pPr>
      <w:r>
        <w:rPr>
          <w:sz w:val="21"/>
        </w:rPr>
        <w:t>在某些情况下，我们不承担保险责任</w:t>
        <w:tab/>
        <w:t>2.3</w:t>
      </w:r>
    </w:p>
    <w:p>
      <w:pPr>
        <w:pStyle w:val="ListParagraph"/>
        <w:numPr>
          <w:ilvl w:val="0"/>
          <w:numId w:val="1"/>
        </w:numPr>
        <w:tabs>
          <w:tab w:pos="1059" w:val="left" w:leader="none"/>
          <w:tab w:pos="1060" w:val="left" w:leader="none"/>
          <w:tab w:pos="9562" w:val="right" w:leader="dot"/>
        </w:tabs>
        <w:spacing w:line="272" w:lineRule="exact" w:before="0" w:after="0"/>
        <w:ind w:left="1060" w:right="0" w:hanging="400"/>
        <w:jc w:val="left"/>
        <w:rPr>
          <w:sz w:val="21"/>
        </w:rPr>
      </w:pPr>
      <w:r>
        <w:rPr>
          <w:sz w:val="21"/>
        </w:rPr>
        <w:t>您有及时向我们通知保险事故的责任</w:t>
        <w:tab/>
        <w:t>3.2</w:t>
      </w:r>
    </w:p>
    <w:p>
      <w:pPr>
        <w:pStyle w:val="ListParagraph"/>
        <w:numPr>
          <w:ilvl w:val="0"/>
          <w:numId w:val="1"/>
        </w:numPr>
        <w:tabs>
          <w:tab w:pos="1059" w:val="left" w:leader="none"/>
          <w:tab w:pos="1060" w:val="left" w:leader="none"/>
          <w:tab w:pos="9562" w:val="right" w:leader="dot"/>
        </w:tabs>
        <w:spacing w:line="272" w:lineRule="exact" w:before="0" w:after="0"/>
        <w:ind w:left="1060" w:right="0" w:hanging="400"/>
        <w:jc w:val="left"/>
        <w:rPr>
          <w:sz w:val="21"/>
        </w:rPr>
      </w:pPr>
      <w:r>
        <w:rPr>
          <w:sz w:val="21"/>
        </w:rPr>
        <w:t>您应当按时交纳保险费</w:t>
        <w:tab/>
        <w:t>4.1</w:t>
      </w:r>
    </w:p>
    <w:p>
      <w:pPr>
        <w:pStyle w:val="ListParagraph"/>
        <w:numPr>
          <w:ilvl w:val="0"/>
          <w:numId w:val="1"/>
        </w:numPr>
        <w:tabs>
          <w:tab w:pos="1059" w:val="left" w:leader="none"/>
          <w:tab w:pos="1060" w:val="left" w:leader="none"/>
          <w:tab w:pos="9562" w:val="right" w:leader="dot"/>
        </w:tabs>
        <w:spacing w:line="272" w:lineRule="exact" w:before="0" w:after="0"/>
        <w:ind w:left="1060" w:right="0" w:hanging="400"/>
        <w:jc w:val="left"/>
        <w:rPr>
          <w:sz w:val="21"/>
        </w:rPr>
      </w:pPr>
      <w:r>
        <w:rPr>
          <w:sz w:val="21"/>
        </w:rPr>
        <w:t>退保会给您造成一定的损失，请您慎重决策</w:t>
        <w:tab/>
        <w:t>7.1</w:t>
      </w:r>
    </w:p>
    <w:p>
      <w:pPr>
        <w:pStyle w:val="ListParagraph"/>
        <w:numPr>
          <w:ilvl w:val="0"/>
          <w:numId w:val="1"/>
        </w:numPr>
        <w:tabs>
          <w:tab w:pos="1059" w:val="left" w:leader="none"/>
          <w:tab w:pos="1060" w:val="left" w:leader="none"/>
          <w:tab w:pos="9562" w:val="right" w:leader="dot"/>
        </w:tabs>
        <w:spacing w:line="272" w:lineRule="exact" w:before="0" w:after="0"/>
        <w:ind w:left="1060" w:right="0" w:hanging="400"/>
        <w:jc w:val="left"/>
        <w:rPr>
          <w:sz w:val="21"/>
        </w:rPr>
      </w:pPr>
      <w:r>
        <w:rPr>
          <w:sz w:val="21"/>
        </w:rPr>
        <w:t>您有如实告知的义务</w:t>
        <w:tab/>
        <w:t>8.1</w:t>
      </w:r>
    </w:p>
    <w:p>
      <w:pPr>
        <w:pStyle w:val="ListParagraph"/>
        <w:numPr>
          <w:ilvl w:val="0"/>
          <w:numId w:val="1"/>
        </w:numPr>
        <w:tabs>
          <w:tab w:pos="1080" w:val="left" w:leader="none"/>
          <w:tab w:pos="1081" w:val="left" w:leader="none"/>
          <w:tab w:pos="9374" w:val="right" w:leader="dot"/>
        </w:tabs>
        <w:spacing w:line="272" w:lineRule="exact" w:before="0" w:after="0"/>
        <w:ind w:left="1080" w:right="0" w:hanging="420"/>
        <w:jc w:val="left"/>
        <w:rPr>
          <w:sz w:val="21"/>
        </w:rPr>
      </w:pPr>
      <w:r>
        <w:rPr>
          <w:sz w:val="21"/>
        </w:rPr>
        <w:t>我们对一些重要术语进行了解释，并作了显著标识，请您注意</w:t>
        <w:tab/>
        <w:t>9</w:t>
      </w:r>
    </w:p>
    <w:p>
      <w:pPr>
        <w:pStyle w:val="ListParagraph"/>
        <w:numPr>
          <w:ilvl w:val="0"/>
          <w:numId w:val="1"/>
        </w:numPr>
        <w:tabs>
          <w:tab w:pos="1080" w:val="left" w:leader="none"/>
          <w:tab w:pos="1081" w:val="left" w:leader="none"/>
          <w:tab w:pos="9583" w:val="right" w:leader="dot"/>
        </w:tabs>
        <w:spacing w:line="281" w:lineRule="exact" w:before="0" w:after="0"/>
        <w:ind w:left="1080" w:right="0" w:hanging="420"/>
        <w:jc w:val="left"/>
        <w:rPr>
          <w:sz w:val="21"/>
        </w:rPr>
      </w:pPr>
      <w:r>
        <w:rPr>
          <w:sz w:val="21"/>
        </w:rPr>
        <w:t>保险条款有关于重大疾病的释义，请您留意</w:t>
        <w:tab/>
        <w:t>9.3</w:t>
      </w:r>
    </w:p>
    <w:p>
      <w:pPr>
        <w:spacing w:before="16"/>
        <w:ind w:left="237"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0"/>
        <w:ind w:left="237"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4"/>
        <w:rPr>
          <w:b/>
          <w:sz w:val="20"/>
        </w:rPr>
      </w:pPr>
    </w:p>
    <w:tbl>
      <w:tblPr>
        <w:tblW w:w="0" w:type="auto"/>
        <w:jc w:val="left"/>
        <w:tblInd w:w="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3283"/>
        <w:gridCol w:w="4077"/>
      </w:tblGrid>
      <w:tr>
        <w:trPr>
          <w:trHeight w:val="312" w:hRule="atLeast"/>
        </w:trPr>
        <w:tc>
          <w:tcPr>
            <w:tcW w:w="2431" w:type="dxa"/>
            <w:tcBorders>
              <w:left w:val="single" w:sz="4" w:space="0" w:color="000000"/>
            </w:tcBorders>
          </w:tcPr>
          <w:p>
            <w:pPr>
              <w:pStyle w:val="TableParagraph"/>
              <w:spacing w:line="262" w:lineRule="exact"/>
              <w:ind w:left="108"/>
              <w:rPr>
                <w:b/>
                <w:sz w:val="21"/>
              </w:rPr>
            </w:pPr>
            <w:r>
              <w:rPr>
                <w:b/>
                <w:w w:val="95"/>
                <w:sz w:val="21"/>
              </w:rPr>
              <w:t>1．您与我们的合同</w:t>
            </w:r>
          </w:p>
        </w:tc>
        <w:tc>
          <w:tcPr>
            <w:tcW w:w="3283" w:type="dxa"/>
          </w:tcPr>
          <w:p>
            <w:pPr>
              <w:pStyle w:val="TableParagraph"/>
              <w:spacing w:line="262" w:lineRule="exact"/>
              <w:ind w:left="113"/>
              <w:rPr>
                <w:b/>
                <w:sz w:val="21"/>
              </w:rPr>
            </w:pPr>
            <w:r>
              <w:rPr>
                <w:b/>
                <w:w w:val="95"/>
                <w:sz w:val="21"/>
              </w:rPr>
              <w:t>5．现金价值权益</w:t>
            </w:r>
          </w:p>
        </w:tc>
        <w:tc>
          <w:tcPr>
            <w:tcW w:w="4077" w:type="dxa"/>
          </w:tcPr>
          <w:p>
            <w:pPr>
              <w:pStyle w:val="TableParagraph"/>
              <w:spacing w:line="262" w:lineRule="exact"/>
              <w:ind w:left="239"/>
              <w:rPr>
                <w:sz w:val="21"/>
              </w:rPr>
            </w:pPr>
            <w:r>
              <w:rPr>
                <w:sz w:val="21"/>
              </w:rPr>
              <w:t>9.3 重大疾病</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1.1 合同订立</w:t>
            </w:r>
          </w:p>
        </w:tc>
        <w:tc>
          <w:tcPr>
            <w:tcW w:w="3283" w:type="dxa"/>
          </w:tcPr>
          <w:p>
            <w:pPr>
              <w:pStyle w:val="TableParagraph"/>
              <w:spacing w:line="261" w:lineRule="exact"/>
              <w:ind w:left="323"/>
              <w:rPr>
                <w:sz w:val="21"/>
              </w:rPr>
            </w:pPr>
            <w:r>
              <w:rPr>
                <w:sz w:val="21"/>
              </w:rPr>
              <w:t>5.1 现金价值</w:t>
            </w:r>
          </w:p>
        </w:tc>
        <w:tc>
          <w:tcPr>
            <w:tcW w:w="4077" w:type="dxa"/>
          </w:tcPr>
          <w:p>
            <w:pPr>
              <w:pStyle w:val="TableParagraph"/>
              <w:spacing w:line="261" w:lineRule="exact"/>
              <w:ind w:left="239"/>
              <w:rPr>
                <w:sz w:val="21"/>
              </w:rPr>
            </w:pPr>
            <w:r>
              <w:rPr>
                <w:sz w:val="21"/>
              </w:rPr>
              <w:t>9.4 意外伤害</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1.2 合同成立与生效</w:t>
            </w:r>
          </w:p>
        </w:tc>
        <w:tc>
          <w:tcPr>
            <w:tcW w:w="3283" w:type="dxa"/>
          </w:tcPr>
          <w:p>
            <w:pPr>
              <w:pStyle w:val="TableParagraph"/>
              <w:spacing w:line="261" w:lineRule="exact"/>
              <w:ind w:left="323"/>
              <w:rPr>
                <w:sz w:val="21"/>
              </w:rPr>
            </w:pPr>
            <w:r>
              <w:rPr>
                <w:sz w:val="21"/>
              </w:rPr>
              <w:t>5.2 自动垫交</w:t>
            </w:r>
          </w:p>
        </w:tc>
        <w:tc>
          <w:tcPr>
            <w:tcW w:w="4077" w:type="dxa"/>
          </w:tcPr>
          <w:p>
            <w:pPr>
              <w:pStyle w:val="TableParagraph"/>
              <w:spacing w:line="261" w:lineRule="exact"/>
              <w:ind w:left="239"/>
              <w:rPr>
                <w:sz w:val="21"/>
              </w:rPr>
            </w:pPr>
            <w:r>
              <w:rPr>
                <w:sz w:val="21"/>
              </w:rPr>
              <w:t>9.5 专科医生</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1.3 投保年龄</w:t>
            </w:r>
          </w:p>
        </w:tc>
        <w:tc>
          <w:tcPr>
            <w:tcW w:w="3283" w:type="dxa"/>
          </w:tcPr>
          <w:p>
            <w:pPr>
              <w:pStyle w:val="TableParagraph"/>
              <w:spacing w:line="261" w:lineRule="exact"/>
              <w:ind w:left="323"/>
              <w:rPr>
                <w:sz w:val="21"/>
              </w:rPr>
            </w:pPr>
            <w:r>
              <w:rPr>
                <w:sz w:val="21"/>
              </w:rPr>
              <w:t>5.3 保险单借款</w:t>
            </w:r>
          </w:p>
        </w:tc>
        <w:tc>
          <w:tcPr>
            <w:tcW w:w="4077" w:type="dxa"/>
          </w:tcPr>
          <w:p>
            <w:pPr>
              <w:pStyle w:val="TableParagraph"/>
              <w:spacing w:line="261" w:lineRule="exact"/>
              <w:ind w:left="239"/>
              <w:rPr>
                <w:sz w:val="21"/>
              </w:rPr>
            </w:pPr>
            <w:r>
              <w:rPr>
                <w:sz w:val="21"/>
              </w:rPr>
              <w:t>9.6 毒品</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1.4 犹豫期</w:t>
            </w:r>
          </w:p>
        </w:tc>
        <w:tc>
          <w:tcPr>
            <w:tcW w:w="3283" w:type="dxa"/>
          </w:tcPr>
          <w:p>
            <w:pPr>
              <w:pStyle w:val="TableParagraph"/>
              <w:spacing w:line="261" w:lineRule="exact"/>
              <w:ind w:left="113"/>
              <w:rPr>
                <w:b/>
                <w:sz w:val="21"/>
              </w:rPr>
            </w:pPr>
            <w:r>
              <w:rPr>
                <w:b/>
                <w:sz w:val="21"/>
              </w:rPr>
              <w:t>6. 合同效力的中止及恢复</w:t>
            </w:r>
          </w:p>
        </w:tc>
        <w:tc>
          <w:tcPr>
            <w:tcW w:w="4077" w:type="dxa"/>
          </w:tcPr>
          <w:p>
            <w:pPr>
              <w:pStyle w:val="TableParagraph"/>
              <w:spacing w:line="261" w:lineRule="exact"/>
              <w:ind w:left="239"/>
              <w:rPr>
                <w:sz w:val="21"/>
              </w:rPr>
            </w:pPr>
            <w:r>
              <w:rPr>
                <w:sz w:val="21"/>
              </w:rPr>
              <w:t>9.7 酒后驾驶</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1.5 保险期间</w:t>
            </w:r>
          </w:p>
        </w:tc>
        <w:tc>
          <w:tcPr>
            <w:tcW w:w="3283" w:type="dxa"/>
          </w:tcPr>
          <w:p>
            <w:pPr>
              <w:pStyle w:val="TableParagraph"/>
              <w:spacing w:line="261" w:lineRule="exact"/>
              <w:ind w:left="323"/>
              <w:rPr>
                <w:sz w:val="21"/>
              </w:rPr>
            </w:pPr>
            <w:r>
              <w:rPr>
                <w:sz w:val="21"/>
              </w:rPr>
              <w:t>6.1 效力中止</w:t>
            </w:r>
          </w:p>
        </w:tc>
        <w:tc>
          <w:tcPr>
            <w:tcW w:w="4077" w:type="dxa"/>
          </w:tcPr>
          <w:p>
            <w:pPr>
              <w:pStyle w:val="TableParagraph"/>
              <w:spacing w:line="261" w:lineRule="exact"/>
              <w:ind w:left="239"/>
              <w:rPr>
                <w:sz w:val="21"/>
              </w:rPr>
            </w:pPr>
            <w:r>
              <w:rPr>
                <w:sz w:val="21"/>
              </w:rPr>
              <w:t>9.8 无合法有效驾驶证驾驶</w:t>
            </w:r>
          </w:p>
        </w:tc>
      </w:tr>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2．我们提供的保障</w:t>
            </w:r>
          </w:p>
        </w:tc>
        <w:tc>
          <w:tcPr>
            <w:tcW w:w="3283" w:type="dxa"/>
          </w:tcPr>
          <w:p>
            <w:pPr>
              <w:pStyle w:val="TableParagraph"/>
              <w:spacing w:line="261" w:lineRule="exact"/>
              <w:ind w:left="323"/>
              <w:rPr>
                <w:sz w:val="21"/>
              </w:rPr>
            </w:pPr>
            <w:r>
              <w:rPr>
                <w:sz w:val="21"/>
              </w:rPr>
              <w:t>6.2 效力恢复</w:t>
            </w:r>
          </w:p>
        </w:tc>
        <w:tc>
          <w:tcPr>
            <w:tcW w:w="4077" w:type="dxa"/>
          </w:tcPr>
          <w:p>
            <w:pPr>
              <w:pStyle w:val="TableParagraph"/>
              <w:spacing w:line="261" w:lineRule="exact"/>
              <w:ind w:left="239"/>
              <w:rPr>
                <w:sz w:val="21"/>
              </w:rPr>
            </w:pPr>
            <w:r>
              <w:rPr>
                <w:sz w:val="21"/>
              </w:rPr>
              <w:t>9.9 无有效行驶证</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2.1 基本保险金额</w:t>
            </w:r>
          </w:p>
        </w:tc>
        <w:tc>
          <w:tcPr>
            <w:tcW w:w="3283" w:type="dxa"/>
          </w:tcPr>
          <w:p>
            <w:pPr>
              <w:pStyle w:val="TableParagraph"/>
              <w:spacing w:line="261" w:lineRule="exact"/>
              <w:ind w:left="113"/>
              <w:rPr>
                <w:b/>
                <w:sz w:val="21"/>
              </w:rPr>
            </w:pPr>
            <w:r>
              <w:rPr>
                <w:b/>
                <w:w w:val="95"/>
                <w:sz w:val="21"/>
              </w:rPr>
              <w:t>7．如何解除保险合同</w:t>
            </w:r>
          </w:p>
        </w:tc>
        <w:tc>
          <w:tcPr>
            <w:tcW w:w="4077" w:type="dxa"/>
          </w:tcPr>
          <w:p>
            <w:pPr>
              <w:pStyle w:val="TableParagraph"/>
              <w:spacing w:line="261" w:lineRule="exact"/>
              <w:ind w:left="239"/>
              <w:rPr>
                <w:sz w:val="21"/>
              </w:rPr>
            </w:pPr>
            <w:r>
              <w:rPr>
                <w:sz w:val="21"/>
              </w:rPr>
              <w:t>9.10 感染艾滋病病毒或患艾滋病</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2.2 保险责任</w:t>
            </w:r>
          </w:p>
        </w:tc>
        <w:tc>
          <w:tcPr>
            <w:tcW w:w="3283" w:type="dxa"/>
          </w:tcPr>
          <w:p>
            <w:pPr>
              <w:pStyle w:val="TableParagraph"/>
              <w:spacing w:line="261" w:lineRule="exact"/>
              <w:ind w:left="323"/>
              <w:rPr>
                <w:sz w:val="21"/>
              </w:rPr>
            </w:pPr>
            <w:r>
              <w:rPr>
                <w:sz w:val="21"/>
              </w:rPr>
              <w:t>7.1 您解除合同的手续及风险</w:t>
            </w:r>
          </w:p>
        </w:tc>
        <w:tc>
          <w:tcPr>
            <w:tcW w:w="4077" w:type="dxa"/>
          </w:tcPr>
          <w:p>
            <w:pPr>
              <w:pStyle w:val="TableParagraph"/>
              <w:spacing w:line="261" w:lineRule="exact"/>
              <w:ind w:left="239"/>
              <w:rPr>
                <w:sz w:val="21"/>
              </w:rPr>
            </w:pPr>
            <w:r>
              <w:rPr>
                <w:sz w:val="21"/>
              </w:rPr>
              <w:t>9.11 遗传性疾病</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2.3 责任免除</w:t>
            </w:r>
          </w:p>
        </w:tc>
        <w:tc>
          <w:tcPr>
            <w:tcW w:w="3283" w:type="dxa"/>
          </w:tcPr>
          <w:p>
            <w:pPr>
              <w:pStyle w:val="TableParagraph"/>
              <w:spacing w:line="261" w:lineRule="exact"/>
              <w:ind w:left="113"/>
              <w:rPr>
                <w:b/>
                <w:sz w:val="21"/>
              </w:rPr>
            </w:pPr>
            <w:r>
              <w:rPr>
                <w:b/>
                <w:sz w:val="21"/>
              </w:rPr>
              <w:t>8. 其他需要关注的事项</w:t>
            </w:r>
          </w:p>
        </w:tc>
        <w:tc>
          <w:tcPr>
            <w:tcW w:w="4077" w:type="dxa"/>
          </w:tcPr>
          <w:p>
            <w:pPr>
              <w:pStyle w:val="TableParagraph"/>
              <w:spacing w:line="261" w:lineRule="exact"/>
              <w:ind w:left="239"/>
              <w:rPr>
                <w:sz w:val="21"/>
              </w:rPr>
            </w:pPr>
            <w:r>
              <w:rPr>
                <w:sz w:val="21"/>
              </w:rPr>
              <w:t>9.12 先天性畸形、变形或染色体异常</w:t>
            </w:r>
          </w:p>
        </w:tc>
      </w:tr>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3．如何申请领取保险金</w:t>
            </w:r>
          </w:p>
        </w:tc>
        <w:tc>
          <w:tcPr>
            <w:tcW w:w="3283" w:type="dxa"/>
          </w:tcPr>
          <w:p>
            <w:pPr>
              <w:pStyle w:val="TableParagraph"/>
              <w:spacing w:line="261" w:lineRule="exact"/>
              <w:ind w:left="323"/>
              <w:rPr>
                <w:sz w:val="21"/>
              </w:rPr>
            </w:pPr>
            <w:r>
              <w:rPr>
                <w:sz w:val="21"/>
              </w:rPr>
              <w:t>8.1 明确说明与如实告知</w:t>
            </w:r>
          </w:p>
        </w:tc>
        <w:tc>
          <w:tcPr>
            <w:tcW w:w="4077" w:type="dxa"/>
          </w:tcPr>
          <w:p>
            <w:pPr>
              <w:pStyle w:val="TableParagraph"/>
              <w:spacing w:line="261" w:lineRule="exact"/>
              <w:ind w:left="239"/>
              <w:rPr>
                <w:sz w:val="21"/>
              </w:rPr>
            </w:pPr>
            <w:r>
              <w:rPr>
                <w:sz w:val="21"/>
              </w:rPr>
              <w:t>9.13 现金价值</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3.1 受益人</w:t>
            </w:r>
          </w:p>
        </w:tc>
        <w:tc>
          <w:tcPr>
            <w:tcW w:w="3283" w:type="dxa"/>
          </w:tcPr>
          <w:p>
            <w:pPr>
              <w:pStyle w:val="TableParagraph"/>
              <w:spacing w:line="261" w:lineRule="exact"/>
              <w:ind w:left="323"/>
              <w:rPr>
                <w:sz w:val="21"/>
              </w:rPr>
            </w:pPr>
            <w:r>
              <w:rPr>
                <w:sz w:val="21"/>
              </w:rPr>
              <w:t>8.2 我们合同解除权的限制</w:t>
            </w:r>
          </w:p>
        </w:tc>
        <w:tc>
          <w:tcPr>
            <w:tcW w:w="4077" w:type="dxa"/>
          </w:tcPr>
          <w:p>
            <w:pPr>
              <w:pStyle w:val="TableParagraph"/>
              <w:spacing w:line="261" w:lineRule="exact"/>
              <w:ind w:left="239"/>
              <w:rPr>
                <w:sz w:val="21"/>
              </w:rPr>
            </w:pPr>
            <w:r>
              <w:rPr>
                <w:sz w:val="21"/>
              </w:rPr>
              <w:t>9.14 医院</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3.2 保险事故通知</w:t>
            </w:r>
          </w:p>
        </w:tc>
        <w:tc>
          <w:tcPr>
            <w:tcW w:w="3283" w:type="dxa"/>
          </w:tcPr>
          <w:p>
            <w:pPr>
              <w:pStyle w:val="TableParagraph"/>
              <w:spacing w:line="261" w:lineRule="exact"/>
              <w:ind w:left="323"/>
              <w:rPr>
                <w:sz w:val="21"/>
              </w:rPr>
            </w:pPr>
            <w:r>
              <w:rPr>
                <w:sz w:val="21"/>
              </w:rPr>
              <w:t>8.3 年龄错误</w:t>
            </w:r>
          </w:p>
        </w:tc>
        <w:tc>
          <w:tcPr>
            <w:tcW w:w="4077" w:type="dxa"/>
          </w:tcPr>
          <w:p>
            <w:pPr>
              <w:pStyle w:val="TableParagraph"/>
              <w:spacing w:line="261" w:lineRule="exact"/>
              <w:ind w:left="239"/>
              <w:rPr>
                <w:sz w:val="21"/>
              </w:rPr>
            </w:pPr>
            <w:r>
              <w:rPr>
                <w:sz w:val="21"/>
              </w:rPr>
              <w:t>9.15 肢体机能完全丧失</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3.3 保险金申请</w:t>
            </w:r>
          </w:p>
        </w:tc>
        <w:tc>
          <w:tcPr>
            <w:tcW w:w="3283" w:type="dxa"/>
          </w:tcPr>
          <w:p>
            <w:pPr>
              <w:pStyle w:val="TableParagraph"/>
              <w:spacing w:line="261" w:lineRule="exact"/>
              <w:ind w:left="323"/>
              <w:rPr>
                <w:sz w:val="21"/>
              </w:rPr>
            </w:pPr>
            <w:r>
              <w:rPr>
                <w:sz w:val="21"/>
              </w:rPr>
              <w:t>8.4 未还款项</w:t>
            </w:r>
          </w:p>
        </w:tc>
        <w:tc>
          <w:tcPr>
            <w:tcW w:w="4077" w:type="dxa"/>
          </w:tcPr>
          <w:p>
            <w:pPr>
              <w:pStyle w:val="TableParagraph"/>
              <w:spacing w:line="261" w:lineRule="exact"/>
              <w:ind w:left="239"/>
              <w:rPr>
                <w:sz w:val="21"/>
              </w:rPr>
            </w:pPr>
            <w:r>
              <w:rPr>
                <w:sz w:val="21"/>
              </w:rPr>
              <w:t>9.16 语言能力或咀嚼吞咽能力完全</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3.4 保险金的给付</w:t>
            </w:r>
          </w:p>
        </w:tc>
        <w:tc>
          <w:tcPr>
            <w:tcW w:w="3283" w:type="dxa"/>
          </w:tcPr>
          <w:p>
            <w:pPr>
              <w:pStyle w:val="TableParagraph"/>
              <w:spacing w:line="261" w:lineRule="exact"/>
              <w:ind w:left="319"/>
              <w:rPr>
                <w:sz w:val="21"/>
              </w:rPr>
            </w:pPr>
            <w:r>
              <w:rPr>
                <w:sz w:val="21"/>
              </w:rPr>
              <w:t>8.5 效力终止</w:t>
            </w:r>
          </w:p>
        </w:tc>
        <w:tc>
          <w:tcPr>
            <w:tcW w:w="4077" w:type="dxa"/>
          </w:tcPr>
          <w:p>
            <w:pPr>
              <w:pStyle w:val="TableParagraph"/>
              <w:spacing w:line="261" w:lineRule="exact"/>
              <w:ind w:left="760"/>
              <w:rPr>
                <w:sz w:val="21"/>
              </w:rPr>
            </w:pPr>
            <w:r>
              <w:rPr>
                <w:sz w:val="21"/>
              </w:rPr>
              <w:t>丧失</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3.5 诉讼时效</w:t>
            </w:r>
          </w:p>
        </w:tc>
        <w:tc>
          <w:tcPr>
            <w:tcW w:w="3283" w:type="dxa"/>
          </w:tcPr>
          <w:p>
            <w:pPr>
              <w:pStyle w:val="TableParagraph"/>
              <w:spacing w:line="261" w:lineRule="exact"/>
              <w:ind w:left="323"/>
              <w:rPr>
                <w:sz w:val="21"/>
              </w:rPr>
            </w:pPr>
            <w:r>
              <w:rPr>
                <w:sz w:val="21"/>
              </w:rPr>
              <w:t>8.6 适用主险合同条款</w:t>
            </w:r>
          </w:p>
        </w:tc>
        <w:tc>
          <w:tcPr>
            <w:tcW w:w="4077" w:type="dxa"/>
          </w:tcPr>
          <w:p>
            <w:pPr>
              <w:pStyle w:val="TableParagraph"/>
              <w:spacing w:line="261" w:lineRule="exact"/>
              <w:ind w:left="239"/>
              <w:rPr>
                <w:sz w:val="21"/>
              </w:rPr>
            </w:pPr>
            <w:r>
              <w:rPr>
                <w:sz w:val="21"/>
              </w:rPr>
              <w:t>9.17 六项基本日常生活活动</w:t>
            </w:r>
          </w:p>
        </w:tc>
      </w:tr>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4．如何交纳保险费</w:t>
            </w:r>
          </w:p>
        </w:tc>
        <w:tc>
          <w:tcPr>
            <w:tcW w:w="3283" w:type="dxa"/>
          </w:tcPr>
          <w:p>
            <w:pPr>
              <w:pStyle w:val="TableParagraph"/>
              <w:spacing w:line="261" w:lineRule="exact"/>
              <w:ind w:left="113"/>
              <w:rPr>
                <w:b/>
                <w:sz w:val="21"/>
              </w:rPr>
            </w:pPr>
            <w:r>
              <w:rPr>
                <w:b/>
                <w:w w:val="95"/>
                <w:sz w:val="21"/>
              </w:rPr>
              <w:t>9．释义</w:t>
            </w:r>
          </w:p>
        </w:tc>
        <w:tc>
          <w:tcPr>
            <w:tcW w:w="4077" w:type="dxa"/>
          </w:tcPr>
          <w:p>
            <w:pPr>
              <w:pStyle w:val="TableParagraph"/>
              <w:spacing w:line="261" w:lineRule="exact"/>
              <w:ind w:left="239"/>
              <w:rPr>
                <w:sz w:val="21"/>
              </w:rPr>
            </w:pPr>
            <w:r>
              <w:rPr>
                <w:sz w:val="21"/>
              </w:rPr>
              <w:t>9.18 永久不可逆</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4.1 保险费的交纳</w:t>
            </w:r>
          </w:p>
        </w:tc>
        <w:tc>
          <w:tcPr>
            <w:tcW w:w="3283" w:type="dxa"/>
          </w:tcPr>
          <w:p>
            <w:pPr>
              <w:pStyle w:val="TableParagraph"/>
              <w:spacing w:line="261" w:lineRule="exact"/>
              <w:ind w:left="323"/>
              <w:rPr>
                <w:sz w:val="21"/>
              </w:rPr>
            </w:pPr>
            <w:r>
              <w:rPr>
                <w:sz w:val="21"/>
              </w:rPr>
              <w:t>9.1 周岁</w:t>
            </w:r>
          </w:p>
        </w:tc>
        <w:tc>
          <w:tcPr>
            <w:tcW w:w="4077" w:type="dxa"/>
          </w:tcPr>
          <w:p>
            <w:pPr>
              <w:pStyle w:val="TableParagraph"/>
              <w:rPr>
                <w:rFonts w:ascii="Times New Roman"/>
                <w:sz w:val="20"/>
              </w:rPr>
            </w:pPr>
          </w:p>
        </w:tc>
      </w:tr>
      <w:tr>
        <w:trPr>
          <w:trHeight w:val="322" w:hRule="atLeast"/>
        </w:trPr>
        <w:tc>
          <w:tcPr>
            <w:tcW w:w="2431" w:type="dxa"/>
            <w:tcBorders>
              <w:left w:val="single" w:sz="4" w:space="0" w:color="000000"/>
            </w:tcBorders>
          </w:tcPr>
          <w:p>
            <w:pPr>
              <w:pStyle w:val="TableParagraph"/>
              <w:spacing w:line="261" w:lineRule="exact"/>
              <w:ind w:left="318"/>
              <w:rPr>
                <w:sz w:val="21"/>
              </w:rPr>
            </w:pPr>
            <w:r>
              <w:rPr>
                <w:sz w:val="21"/>
              </w:rPr>
              <w:t>4.2 宽限期</w:t>
            </w:r>
          </w:p>
        </w:tc>
        <w:tc>
          <w:tcPr>
            <w:tcW w:w="3283" w:type="dxa"/>
          </w:tcPr>
          <w:p>
            <w:pPr>
              <w:pStyle w:val="TableParagraph"/>
              <w:spacing w:line="261" w:lineRule="exact"/>
              <w:ind w:left="323"/>
              <w:rPr>
                <w:sz w:val="21"/>
              </w:rPr>
            </w:pPr>
            <w:r>
              <w:rPr>
                <w:sz w:val="21"/>
              </w:rPr>
              <w:t>9.2 有效身份证件</w:t>
            </w:r>
          </w:p>
        </w:tc>
        <w:tc>
          <w:tcPr>
            <w:tcW w:w="4077" w:type="dxa"/>
          </w:tcPr>
          <w:p>
            <w:pPr>
              <w:pStyle w:val="TableParagraph"/>
              <w:rPr>
                <w:rFonts w:ascii="Times New Roman"/>
                <w:sz w:val="20"/>
              </w:rPr>
            </w:pPr>
          </w:p>
        </w:tc>
      </w:tr>
    </w:tbl>
    <w:p>
      <w:pPr>
        <w:spacing w:after="0"/>
        <w:rPr>
          <w:rFonts w:ascii="Times New Roman"/>
          <w:sz w:val="20"/>
        </w:rPr>
        <w:sectPr>
          <w:type w:val="continuous"/>
          <w:pgSz w:w="11910" w:h="16840"/>
          <w:pgMar w:top="660" w:bottom="1180" w:left="740" w:right="820"/>
        </w:sectPr>
      </w:pPr>
    </w:p>
    <w:p>
      <w:pPr>
        <w:pStyle w:val="BodyText"/>
        <w:spacing w:before="8"/>
        <w:rPr>
          <w:b/>
          <w:sz w:val="19"/>
        </w:rPr>
      </w:pPr>
    </w:p>
    <w:p>
      <w:pPr>
        <w:spacing w:line="564" w:lineRule="exact" w:before="0"/>
        <w:ind w:left="2133" w:right="2137"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rPr>
          <w:rFonts w:ascii="Microsoft JhengHei"/>
          <w:b/>
          <w:sz w:val="39"/>
        </w:rPr>
      </w:pPr>
    </w:p>
    <w:p>
      <w:pPr>
        <w:spacing w:before="0"/>
        <w:ind w:left="2132" w:right="2137" w:firstLine="0"/>
        <w:jc w:val="center"/>
        <w:rPr>
          <w:rFonts w:ascii="微软雅黑" w:eastAsia="微软雅黑" w:hint="eastAsia"/>
          <w:b/>
          <w:sz w:val="30"/>
        </w:rPr>
      </w:pPr>
      <w:r>
        <w:rPr>
          <w:rFonts w:ascii="微软雅黑" w:eastAsia="微软雅黑" w:hint="eastAsia"/>
          <w:b/>
          <w:sz w:val="30"/>
        </w:rPr>
        <w:t>长城附加康顺重大疾病保险条款</w:t>
      </w:r>
    </w:p>
    <w:p>
      <w:pPr>
        <w:pStyle w:val="BodyText"/>
        <w:rPr>
          <w:rFonts w:ascii="微软雅黑"/>
          <w:b/>
          <w:sz w:val="40"/>
        </w:rPr>
      </w:pPr>
    </w:p>
    <w:p>
      <w:pPr>
        <w:pStyle w:val="BodyText"/>
        <w:spacing w:before="15"/>
        <w:rPr>
          <w:rFonts w:ascii="微软雅黑"/>
          <w:b/>
          <w:sz w:val="20"/>
        </w:rPr>
      </w:pPr>
    </w:p>
    <w:p>
      <w:pPr>
        <w:pStyle w:val="BodyText"/>
        <w:ind w:left="350"/>
      </w:pPr>
      <w:r>
        <w:rPr>
          <w:spacing w:val="-23"/>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2"/>
      </w:tblGrid>
      <w:tr>
        <w:trPr>
          <w:trHeight w:val="586" w:hRule="atLeast"/>
        </w:trPr>
        <w:tc>
          <w:tcPr>
            <w:tcW w:w="768" w:type="dxa"/>
            <w:tcBorders>
              <w:bottom w:val="single" w:sz="6"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1" w:type="dxa"/>
            <w:gridSpan w:val="2"/>
            <w:tcBorders>
              <w:bottom w:val="single" w:sz="6" w:space="0" w:color="000000"/>
            </w:tcBorders>
          </w:tcPr>
          <w:p>
            <w:pPr>
              <w:pStyle w:val="TableParagraph"/>
              <w:spacing w:before="46"/>
              <w:ind w:left="196"/>
              <w:rPr>
                <w:b/>
                <w:sz w:val="28"/>
              </w:rPr>
            </w:pPr>
            <w:r>
              <w:rPr>
                <w:b/>
                <w:w w:val="95"/>
                <w:sz w:val="28"/>
              </w:rPr>
              <w:t>您与我们的合同</w:t>
            </w:r>
          </w:p>
        </w:tc>
      </w:tr>
      <w:tr>
        <w:trPr>
          <w:trHeight w:val="1075" w:hRule="atLeast"/>
        </w:trPr>
        <w:tc>
          <w:tcPr>
            <w:tcW w:w="768" w:type="dxa"/>
            <w:tcBorders>
              <w:top w:val="single" w:sz="6" w:space="0" w:color="000000"/>
            </w:tcBorders>
          </w:tcPr>
          <w:p>
            <w:pPr>
              <w:pStyle w:val="TableParagraph"/>
              <w:spacing w:before="6"/>
              <w:rPr>
                <w:sz w:val="21"/>
              </w:rPr>
            </w:pPr>
          </w:p>
          <w:p>
            <w:pPr>
              <w:pStyle w:val="TableParagraph"/>
              <w:ind w:left="107"/>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6"/>
              <w:rPr>
                <w:b/>
                <w:sz w:val="21"/>
              </w:rPr>
            </w:pPr>
            <w:r>
              <w:rPr>
                <w:b/>
                <w:sz w:val="21"/>
              </w:rPr>
              <w:t>合同订立</w:t>
            </w:r>
          </w:p>
        </w:tc>
        <w:tc>
          <w:tcPr>
            <w:tcW w:w="6932" w:type="dxa"/>
            <w:tcBorders>
              <w:top w:val="single" w:sz="6" w:space="0" w:color="000000"/>
            </w:tcBorders>
          </w:tcPr>
          <w:p>
            <w:pPr>
              <w:pStyle w:val="TableParagraph"/>
              <w:spacing w:before="6"/>
              <w:rPr>
                <w:sz w:val="21"/>
              </w:rPr>
            </w:pPr>
          </w:p>
          <w:p>
            <w:pPr>
              <w:pStyle w:val="TableParagraph"/>
              <w:spacing w:line="273" w:lineRule="auto"/>
              <w:ind w:left="208" w:right="105"/>
              <w:rPr>
                <w:sz w:val="21"/>
              </w:rPr>
            </w:pPr>
            <w:r>
              <w:rPr>
                <w:sz w:val="21"/>
              </w:rPr>
              <w:t>“长城附加康顺重大疾病保险合同</w:t>
            </w:r>
            <w:r>
              <w:rPr>
                <w:spacing w:val="-141"/>
                <w:sz w:val="21"/>
              </w:rPr>
              <w:t>”</w:t>
            </w:r>
            <w:r>
              <w:rPr>
                <w:sz w:val="21"/>
              </w:rPr>
              <w:t>（</w:t>
            </w:r>
            <w:r>
              <w:rPr>
                <w:spacing w:val="-15"/>
                <w:sz w:val="21"/>
              </w:rPr>
              <w:t>以下简称“本附加险合同”</w:t>
            </w:r>
            <w:r>
              <w:rPr>
                <w:spacing w:val="-35"/>
                <w:sz w:val="21"/>
              </w:rPr>
              <w:t>）</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936" w:hRule="atLeast"/>
        </w:trPr>
        <w:tc>
          <w:tcPr>
            <w:tcW w:w="768" w:type="dxa"/>
          </w:tcPr>
          <w:p>
            <w:pPr>
              <w:pStyle w:val="TableParagraph"/>
              <w:spacing w:before="142"/>
              <w:ind w:left="107"/>
              <w:rPr>
                <w:b/>
                <w:sz w:val="21"/>
              </w:rPr>
            </w:pPr>
            <w:r>
              <w:rPr>
                <w:b/>
                <w:sz w:val="21"/>
              </w:rPr>
              <w:t>1.2</w:t>
            </w:r>
          </w:p>
        </w:tc>
        <w:tc>
          <w:tcPr>
            <w:tcW w:w="1669" w:type="dxa"/>
          </w:tcPr>
          <w:p>
            <w:pPr>
              <w:pStyle w:val="TableParagraph"/>
              <w:spacing w:line="273" w:lineRule="auto" w:before="142"/>
              <w:ind w:left="196" w:right="206"/>
              <w:rPr>
                <w:b/>
                <w:sz w:val="21"/>
              </w:rPr>
            </w:pPr>
            <w:r>
              <w:rPr>
                <w:b/>
                <w:sz w:val="21"/>
              </w:rPr>
              <w:t>合同成立与生效</w:t>
            </w:r>
          </w:p>
        </w:tc>
        <w:tc>
          <w:tcPr>
            <w:tcW w:w="6932" w:type="dxa"/>
          </w:tcPr>
          <w:p>
            <w:pPr>
              <w:pStyle w:val="TableParagraph"/>
              <w:spacing w:line="273" w:lineRule="auto" w:before="142"/>
              <w:ind w:left="208" w:right="104"/>
              <w:rPr>
                <w:sz w:val="21"/>
              </w:rPr>
            </w:pPr>
            <w:r>
              <w:rPr>
                <w:spacing w:val="-6"/>
                <w:sz w:val="21"/>
              </w:rPr>
              <w:t>本附加险合同应与主险合同同时投保，本附加险合同的成立日、生效日与主险合同的成立日、生效日相同。</w:t>
            </w:r>
          </w:p>
        </w:tc>
      </w:tr>
      <w:tr>
        <w:trPr>
          <w:trHeight w:val="936" w:hRule="atLeast"/>
        </w:trPr>
        <w:tc>
          <w:tcPr>
            <w:tcW w:w="768" w:type="dxa"/>
          </w:tcPr>
          <w:p>
            <w:pPr>
              <w:pStyle w:val="TableParagraph"/>
              <w:spacing w:before="142"/>
              <w:ind w:left="107"/>
              <w:rPr>
                <w:b/>
                <w:sz w:val="21"/>
              </w:rPr>
            </w:pPr>
            <w:r>
              <w:rPr>
                <w:b/>
                <w:sz w:val="21"/>
              </w:rPr>
              <w:t>1.3</w:t>
            </w:r>
          </w:p>
        </w:tc>
        <w:tc>
          <w:tcPr>
            <w:tcW w:w="1669" w:type="dxa"/>
          </w:tcPr>
          <w:p>
            <w:pPr>
              <w:pStyle w:val="TableParagraph"/>
              <w:spacing w:before="142"/>
              <w:ind w:left="196"/>
              <w:rPr>
                <w:b/>
                <w:sz w:val="21"/>
              </w:rPr>
            </w:pPr>
            <w:r>
              <w:rPr>
                <w:b/>
                <w:sz w:val="21"/>
              </w:rPr>
              <w:t>投保年龄</w:t>
            </w:r>
          </w:p>
        </w:tc>
        <w:tc>
          <w:tcPr>
            <w:tcW w:w="6932" w:type="dxa"/>
          </w:tcPr>
          <w:p>
            <w:pPr>
              <w:pStyle w:val="TableParagraph"/>
              <w:spacing w:line="273" w:lineRule="auto" w:before="142"/>
              <w:ind w:left="214" w:right="205" w:hanging="6"/>
              <w:rPr>
                <w:sz w:val="21"/>
              </w:rPr>
            </w:pPr>
            <w:r>
              <w:rPr>
                <w:sz w:val="21"/>
              </w:rPr>
              <w:t>指投保时被保险人的年龄，投保年龄以</w:t>
            </w:r>
            <w:r>
              <w:rPr>
                <w:b/>
                <w:sz w:val="21"/>
              </w:rPr>
              <w:t>周岁</w:t>
            </w:r>
            <w:r>
              <w:rPr>
                <w:sz w:val="21"/>
              </w:rPr>
              <w:t>计算，本附加险合同接受的</w:t>
            </w:r>
            <w:r>
              <w:rPr>
                <w:spacing w:val="-9"/>
                <w:sz w:val="21"/>
              </w:rPr>
              <w:t>投保年龄为 </w:t>
            </w:r>
            <w:r>
              <w:rPr>
                <w:sz w:val="21"/>
              </w:rPr>
              <w:t>0</w:t>
            </w:r>
            <w:r>
              <w:rPr>
                <w:spacing w:val="-18"/>
                <w:sz w:val="21"/>
              </w:rPr>
              <w:t> 周岁</w:t>
            </w:r>
            <w:r>
              <w:rPr>
                <w:sz w:val="21"/>
              </w:rPr>
              <w:t>（</w:t>
            </w:r>
            <w:r>
              <w:rPr>
                <w:spacing w:val="-11"/>
                <w:sz w:val="21"/>
              </w:rPr>
              <w:t>指出生满 </w:t>
            </w:r>
            <w:r>
              <w:rPr>
                <w:sz w:val="21"/>
              </w:rPr>
              <w:t>30</w:t>
            </w:r>
            <w:r>
              <w:rPr>
                <w:spacing w:val="-8"/>
                <w:sz w:val="21"/>
              </w:rPr>
              <w:t> 日且已健康出院的婴儿</w:t>
            </w:r>
            <w:r>
              <w:rPr>
                <w:sz w:val="21"/>
              </w:rPr>
              <w:t>）</w:t>
            </w:r>
            <w:r>
              <w:rPr>
                <w:spacing w:val="-27"/>
                <w:sz w:val="21"/>
              </w:rPr>
              <w:t>至 </w:t>
            </w:r>
            <w:r>
              <w:rPr>
                <w:sz w:val="21"/>
              </w:rPr>
              <w:t>60</w:t>
            </w:r>
            <w:r>
              <w:rPr>
                <w:spacing w:val="-14"/>
                <w:sz w:val="21"/>
              </w:rPr>
              <w:t> 周岁。</w:t>
            </w:r>
          </w:p>
        </w:tc>
      </w:tr>
      <w:tr>
        <w:trPr>
          <w:trHeight w:val="2496" w:hRule="atLeast"/>
        </w:trPr>
        <w:tc>
          <w:tcPr>
            <w:tcW w:w="768" w:type="dxa"/>
          </w:tcPr>
          <w:p>
            <w:pPr>
              <w:pStyle w:val="TableParagraph"/>
              <w:spacing w:before="142"/>
              <w:ind w:left="107"/>
              <w:rPr>
                <w:b/>
                <w:sz w:val="21"/>
              </w:rPr>
            </w:pPr>
            <w:r>
              <w:rPr>
                <w:b/>
                <w:sz w:val="21"/>
              </w:rPr>
              <w:t>1.4</w:t>
            </w:r>
          </w:p>
        </w:tc>
        <w:tc>
          <w:tcPr>
            <w:tcW w:w="1669" w:type="dxa"/>
          </w:tcPr>
          <w:p>
            <w:pPr>
              <w:pStyle w:val="TableParagraph"/>
              <w:spacing w:before="142"/>
              <w:ind w:left="196"/>
              <w:rPr>
                <w:b/>
                <w:sz w:val="21"/>
              </w:rPr>
            </w:pPr>
            <w:r>
              <w:rPr>
                <w:b/>
                <w:sz w:val="21"/>
              </w:rPr>
              <w:t>犹豫期</w:t>
            </w:r>
          </w:p>
        </w:tc>
        <w:tc>
          <w:tcPr>
            <w:tcW w:w="6932" w:type="dxa"/>
          </w:tcPr>
          <w:p>
            <w:pPr>
              <w:pStyle w:val="TableParagraph"/>
              <w:spacing w:line="273" w:lineRule="auto" w:before="142"/>
              <w:ind w:left="208" w:right="105"/>
              <w:jc w:val="both"/>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w:t>
            </w:r>
            <w:r>
              <w:rPr>
                <w:spacing w:val="-15"/>
                <w:sz w:val="21"/>
              </w:rPr>
              <w:t>此期间提出解除本附加险合同，我们扣除不超过 </w:t>
            </w:r>
            <w:r>
              <w:rPr>
                <w:sz w:val="21"/>
              </w:rPr>
              <w:t>10</w:t>
            </w:r>
            <w:r>
              <w:rPr>
                <w:spacing w:val="-8"/>
                <w:sz w:val="21"/>
              </w:rPr>
              <w:t> 元的合同工本费后无息退还您所交纳的保险费。</w:t>
            </w:r>
          </w:p>
          <w:p>
            <w:pPr>
              <w:pStyle w:val="TableParagraph"/>
              <w:spacing w:line="273" w:lineRule="auto" w:before="7"/>
              <w:ind w:left="208" w:right="208"/>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242" w:hRule="atLeast"/>
        </w:trPr>
        <w:tc>
          <w:tcPr>
            <w:tcW w:w="768" w:type="dxa"/>
          </w:tcPr>
          <w:p>
            <w:pPr>
              <w:pStyle w:val="TableParagraph"/>
              <w:spacing w:before="142"/>
              <w:ind w:left="107"/>
              <w:rPr>
                <w:b/>
                <w:sz w:val="21"/>
              </w:rPr>
            </w:pPr>
            <w:r>
              <w:rPr>
                <w:b/>
                <w:sz w:val="21"/>
              </w:rPr>
              <w:t>1.5</w:t>
            </w:r>
          </w:p>
        </w:tc>
        <w:tc>
          <w:tcPr>
            <w:tcW w:w="1669" w:type="dxa"/>
          </w:tcPr>
          <w:p>
            <w:pPr>
              <w:pStyle w:val="TableParagraph"/>
              <w:spacing w:before="142"/>
              <w:ind w:left="196"/>
              <w:rPr>
                <w:b/>
                <w:sz w:val="21"/>
              </w:rPr>
            </w:pPr>
            <w:r>
              <w:rPr>
                <w:b/>
                <w:sz w:val="21"/>
              </w:rPr>
              <w:t>保险期间</w:t>
            </w:r>
          </w:p>
        </w:tc>
        <w:tc>
          <w:tcPr>
            <w:tcW w:w="6932" w:type="dxa"/>
          </w:tcPr>
          <w:p>
            <w:pPr>
              <w:pStyle w:val="TableParagraph"/>
              <w:spacing w:before="142"/>
              <w:ind w:left="208"/>
              <w:rPr>
                <w:sz w:val="21"/>
              </w:rPr>
            </w:pPr>
            <w:r>
              <w:rPr>
                <w:sz w:val="21"/>
              </w:rPr>
              <w:t>本附加险合同的保险期间与主险合同一致。</w:t>
            </w:r>
          </w:p>
          <w:p>
            <w:pPr>
              <w:pStyle w:val="TableParagraph"/>
              <w:spacing w:line="273" w:lineRule="auto" w:before="37"/>
              <w:ind w:left="208" w:right="105"/>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我们提供的保障</w:t>
            </w:r>
          </w:p>
        </w:tc>
      </w:tr>
      <w:tr>
        <w:trPr>
          <w:trHeight w:val="1092" w:hRule="atLeast"/>
        </w:trPr>
        <w:tc>
          <w:tcPr>
            <w:tcW w:w="768" w:type="dxa"/>
            <w:tcBorders>
              <w:top w:val="single" w:sz="4" w:space="0" w:color="000000"/>
            </w:tcBorders>
          </w:tcPr>
          <w:p>
            <w:pPr>
              <w:pStyle w:val="TableParagraph"/>
              <w:spacing w:before="10"/>
              <w:rPr>
                <w:sz w:val="22"/>
              </w:rPr>
            </w:pPr>
          </w:p>
          <w:p>
            <w:pPr>
              <w:pStyle w:val="TableParagraph"/>
              <w:ind w:left="107"/>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6"/>
              <w:rPr>
                <w:b/>
                <w:sz w:val="21"/>
              </w:rPr>
            </w:pPr>
            <w:r>
              <w:rPr>
                <w:b/>
                <w:w w:val="95"/>
                <w:sz w:val="21"/>
              </w:rPr>
              <w:t>基本保险金额</w:t>
            </w:r>
          </w:p>
        </w:tc>
        <w:tc>
          <w:tcPr>
            <w:tcW w:w="6932" w:type="dxa"/>
            <w:tcBorders>
              <w:top w:val="single" w:sz="4" w:space="0" w:color="000000"/>
            </w:tcBorders>
          </w:tcPr>
          <w:p>
            <w:pPr>
              <w:pStyle w:val="TableParagraph"/>
              <w:spacing w:before="10"/>
              <w:rPr>
                <w:sz w:val="22"/>
              </w:rPr>
            </w:pPr>
          </w:p>
          <w:p>
            <w:pPr>
              <w:pStyle w:val="TableParagraph"/>
              <w:spacing w:line="273" w:lineRule="auto"/>
              <w:ind w:left="208" w:right="105"/>
              <w:rPr>
                <w:sz w:val="21"/>
              </w:rPr>
            </w:pPr>
            <w:r>
              <w:rPr>
                <w:sz w:val="21"/>
              </w:rPr>
              <w:t>本附加险合同的基本保险金额由您在投保时与我们约定并在保险单上载明。若该金额发生变更，则以变更后的金额为基本保险金额。</w:t>
            </w:r>
          </w:p>
        </w:tc>
      </w:tr>
      <w:tr>
        <w:trPr>
          <w:trHeight w:val="417" w:hRule="atLeast"/>
        </w:trPr>
        <w:tc>
          <w:tcPr>
            <w:tcW w:w="768" w:type="dxa"/>
          </w:tcPr>
          <w:p>
            <w:pPr>
              <w:pStyle w:val="TableParagraph"/>
              <w:spacing w:line="255" w:lineRule="exact" w:before="142"/>
              <w:ind w:left="107"/>
              <w:rPr>
                <w:b/>
                <w:sz w:val="21"/>
              </w:rPr>
            </w:pPr>
            <w:r>
              <w:rPr>
                <w:b/>
                <w:sz w:val="21"/>
              </w:rPr>
              <w:t>2.2</w:t>
            </w:r>
          </w:p>
        </w:tc>
        <w:tc>
          <w:tcPr>
            <w:tcW w:w="1669" w:type="dxa"/>
          </w:tcPr>
          <w:p>
            <w:pPr>
              <w:pStyle w:val="TableParagraph"/>
              <w:spacing w:line="255" w:lineRule="exact" w:before="142"/>
              <w:ind w:left="196"/>
              <w:rPr>
                <w:b/>
                <w:sz w:val="21"/>
              </w:rPr>
            </w:pPr>
            <w:r>
              <w:rPr>
                <w:b/>
                <w:sz w:val="21"/>
              </w:rPr>
              <w:t>保险责任</w:t>
            </w:r>
          </w:p>
        </w:tc>
        <w:tc>
          <w:tcPr>
            <w:tcW w:w="6932" w:type="dxa"/>
          </w:tcPr>
          <w:p>
            <w:pPr>
              <w:pStyle w:val="TableParagraph"/>
              <w:spacing w:line="255" w:lineRule="exact" w:before="142"/>
              <w:ind w:left="208"/>
              <w:rPr>
                <w:sz w:val="21"/>
              </w:rPr>
            </w:pPr>
            <w:r>
              <w:rPr>
                <w:sz w:val="21"/>
              </w:rPr>
              <w:t>在本附加险合同有效期内，我们承担如下保险责任：</w:t>
            </w:r>
          </w:p>
        </w:tc>
      </w:tr>
    </w:tbl>
    <w:p>
      <w:pPr>
        <w:spacing w:after="0" w:line="255" w:lineRule="exact"/>
        <w:rPr>
          <w:sz w:val="21"/>
        </w:rPr>
        <w:sectPr>
          <w:headerReference w:type="default" r:id="rId25"/>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2132" w:hRule="atLeast"/>
        </w:trPr>
        <w:tc>
          <w:tcPr>
            <w:tcW w:w="768" w:type="dxa"/>
          </w:tcPr>
          <w:p>
            <w:pPr>
              <w:pStyle w:val="TableParagraph"/>
              <w:rPr>
                <w:rFonts w:ascii="Times New Roman"/>
                <w:sz w:val="20"/>
              </w:rPr>
            </w:pPr>
          </w:p>
        </w:tc>
        <w:tc>
          <w:tcPr>
            <w:tcW w:w="1668" w:type="dxa"/>
          </w:tcPr>
          <w:p>
            <w:pPr>
              <w:pStyle w:val="TableParagraph"/>
              <w:spacing w:before="34"/>
              <w:ind w:left="196"/>
              <w:rPr>
                <w:rFonts w:ascii="Microsoft JhengHei" w:eastAsia="Microsoft JhengHei" w:hint="eastAsia"/>
                <w:b/>
                <w:sz w:val="21"/>
              </w:rPr>
            </w:pPr>
            <w:r>
              <w:rPr>
                <w:rFonts w:ascii="Microsoft JhengHei" w:eastAsia="Microsoft JhengHei" w:hint="eastAsia"/>
                <w:b/>
                <w:sz w:val="21"/>
              </w:rPr>
              <w:t>等待期</w:t>
            </w:r>
          </w:p>
        </w:tc>
        <w:tc>
          <w:tcPr>
            <w:tcW w:w="6932" w:type="dxa"/>
          </w:tcPr>
          <w:p>
            <w:pPr>
              <w:pStyle w:val="TableParagraph"/>
              <w:spacing w:line="210" w:lineRule="exact"/>
              <w:ind w:left="209"/>
              <w:rPr>
                <w:sz w:val="21"/>
              </w:rPr>
            </w:pPr>
            <w:r>
              <w:rPr>
                <w:sz w:val="21"/>
              </w:rPr>
              <w:t>自本附加险合同生效（或最后复效）之日起一年内（含</w:t>
            </w:r>
            <w:r>
              <w:rPr>
                <w:spacing w:val="-105"/>
                <w:sz w:val="21"/>
              </w:rPr>
              <w:t>）</w:t>
            </w:r>
            <w:r>
              <w:rPr>
                <w:sz w:val="21"/>
              </w:rPr>
              <w:t>，被保险人发生</w:t>
            </w:r>
          </w:p>
          <w:p>
            <w:pPr>
              <w:pStyle w:val="TableParagraph"/>
              <w:spacing w:line="273" w:lineRule="auto" w:before="36"/>
              <w:ind w:left="209" w:right="1"/>
              <w:rPr>
                <w:sz w:val="21"/>
              </w:rPr>
            </w:pPr>
            <w:r>
              <w:rPr>
                <w:sz w:val="21"/>
              </w:rPr>
              <w:t>本附加险合同约定的</w:t>
            </w:r>
            <w:r>
              <w:rPr>
                <w:b/>
                <w:spacing w:val="0"/>
                <w:sz w:val="21"/>
              </w:rPr>
              <w:t>重大疾病</w:t>
            </w:r>
            <w:r>
              <w:rPr>
                <w:sz w:val="21"/>
              </w:rPr>
              <w:t>或因导致重大疾病的相关疾病就诊，我们</w:t>
            </w:r>
            <w:r>
              <w:rPr>
                <w:spacing w:val="-15"/>
                <w:sz w:val="21"/>
              </w:rPr>
              <w:t>不承担保险责任，但无息退还您已交本附加险保险费，本附加险合同终止。</w:t>
            </w:r>
            <w:r>
              <w:rPr>
                <w:spacing w:val="-11"/>
                <w:sz w:val="21"/>
              </w:rPr>
              <w:t>这一年的时间称为等待期；被保险人因</w:t>
            </w:r>
            <w:r>
              <w:rPr>
                <w:b/>
                <w:spacing w:val="0"/>
                <w:sz w:val="21"/>
              </w:rPr>
              <w:t>意外伤害</w:t>
            </w:r>
            <w:r>
              <w:rPr>
                <w:sz w:val="21"/>
              </w:rPr>
              <w:t>事故发生上述情形之一的，无等待期。</w:t>
            </w:r>
          </w:p>
          <w:p>
            <w:pPr>
              <w:pStyle w:val="TableParagraph"/>
              <w:spacing w:before="7"/>
              <w:ind w:left="209"/>
              <w:rPr>
                <w:sz w:val="21"/>
              </w:rPr>
            </w:pPr>
            <w:r>
              <w:rPr>
                <w:sz w:val="21"/>
              </w:rPr>
              <w:t>如果在等待期后发生重大疾病，我们按照下列方式给付保险金：</w:t>
            </w:r>
          </w:p>
        </w:tc>
      </w:tr>
      <w:tr>
        <w:trPr>
          <w:trHeight w:val="1715"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spacing w:line="410" w:lineRule="auto"/>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32" w:type="dxa"/>
          </w:tcPr>
          <w:p>
            <w:pPr>
              <w:pStyle w:val="TableParagraph"/>
              <w:spacing w:before="10"/>
              <w:rPr>
                <w:rFonts w:ascii="Times New Roman"/>
                <w:sz w:val="25"/>
              </w:rPr>
            </w:pPr>
          </w:p>
          <w:p>
            <w:pPr>
              <w:pStyle w:val="TableParagraph"/>
              <w:spacing w:line="273" w:lineRule="auto"/>
              <w:ind w:left="209" w:right="104"/>
              <w:jc w:val="both"/>
              <w:rPr>
                <w:sz w:val="21"/>
              </w:rPr>
            </w:pPr>
            <w:r>
              <w:rPr>
                <w:sz w:val="21"/>
              </w:rPr>
              <w:t>被保险人在本附加险合同有效期内经</w:t>
            </w:r>
            <w:r>
              <w:rPr>
                <w:b/>
                <w:spacing w:val="0"/>
                <w:sz w:val="21"/>
              </w:rPr>
              <w:t>专科医生</w:t>
            </w:r>
            <w:r>
              <w:rPr>
                <w:sz w:val="21"/>
              </w:rPr>
              <w:t>明确诊断初次发生本附加</w:t>
            </w:r>
            <w:r>
              <w:rPr>
                <w:spacing w:val="-11"/>
                <w:sz w:val="21"/>
              </w:rPr>
              <w:t>险合同约定的重大疾病</w:t>
            </w:r>
            <w:r>
              <w:rPr>
                <w:sz w:val="21"/>
              </w:rPr>
              <w:t>（在本附加险合同生效日之前已患的有关疾病或症状除外），</w:t>
            </w:r>
            <w:r>
              <w:rPr>
                <w:spacing w:val="-14"/>
                <w:sz w:val="21"/>
              </w:rPr>
              <w:t>且确诊 </w:t>
            </w:r>
            <w:r>
              <w:rPr>
                <w:sz w:val="21"/>
              </w:rPr>
              <w:t>15</w:t>
            </w:r>
            <w:r>
              <w:rPr>
                <w:spacing w:val="-8"/>
                <w:sz w:val="21"/>
              </w:rPr>
              <w:t> 天后仍生存，我们按保险单载明的基本保险金额向重大疾病保险金受益人给付“重大疾病保险金”，本附加险合同终止。</w:t>
            </w:r>
          </w:p>
        </w:tc>
      </w:tr>
      <w:tr>
        <w:trPr>
          <w:trHeight w:val="5610" w:hRule="atLeast"/>
        </w:trPr>
        <w:tc>
          <w:tcPr>
            <w:tcW w:w="768" w:type="dxa"/>
          </w:tcPr>
          <w:p>
            <w:pPr>
              <w:pStyle w:val="TableParagraph"/>
              <w:spacing w:before="142"/>
              <w:ind w:left="107"/>
              <w:rPr>
                <w:b/>
                <w:sz w:val="21"/>
              </w:rPr>
            </w:pPr>
            <w:r>
              <w:rPr>
                <w:b/>
                <w:sz w:val="21"/>
              </w:rPr>
              <w:t>2.3</w:t>
            </w:r>
          </w:p>
        </w:tc>
        <w:tc>
          <w:tcPr>
            <w:tcW w:w="1668"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2" w:type="dxa"/>
          </w:tcPr>
          <w:p>
            <w:pPr>
              <w:pStyle w:val="TableParagraph"/>
              <w:spacing w:line="273" w:lineRule="auto" w:before="142"/>
              <w:ind w:left="209" w:right="104"/>
              <w:rPr>
                <w:rFonts w:ascii="黑体" w:eastAsia="黑体" w:hint="eastAsia"/>
                <w:sz w:val="21"/>
              </w:rPr>
            </w:pPr>
            <w:r>
              <w:rPr>
                <w:rFonts w:ascii="黑体" w:eastAsia="黑体" w:hint="eastAsia"/>
                <w:spacing w:val="-7"/>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疾病、达到疾病状态或进行手术的，我们不承担保险责任：</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52" w:val="left" w:leader="none"/>
              </w:tabs>
              <w:spacing w:line="273" w:lineRule="auto" w:before="36" w:after="0"/>
              <w:ind w:left="839" w:right="101"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8"/>
              <w:rPr>
                <w:rFonts w:ascii="Times New Roman"/>
                <w:sz w:val="16"/>
              </w:rPr>
            </w:pPr>
          </w:p>
          <w:p>
            <w:pPr>
              <w:pStyle w:val="TableParagraph"/>
              <w:spacing w:line="273" w:lineRule="auto"/>
              <w:ind w:left="209" w:right="103"/>
              <w:jc w:val="both"/>
              <w:rPr>
                <w:rFonts w:ascii="黑体" w:eastAsia="黑体" w:hint="eastAsia"/>
                <w:sz w:val="21"/>
              </w:rPr>
            </w:pPr>
            <w:r>
              <w:rPr>
                <w:rFonts w:ascii="黑体" w:eastAsia="黑体" w:hint="eastAsia"/>
                <w:sz w:val="21"/>
              </w:rPr>
              <w:t>发Th上述第（1）项情形导致被保险人发Th重大疾病的，本附加险合同终</w:t>
            </w:r>
            <w:r>
              <w:rPr>
                <w:rFonts w:ascii="黑体" w:eastAsia="黑体" w:hint="eastAsia"/>
                <w:spacing w:val="-11"/>
                <w:sz w:val="21"/>
              </w:rPr>
              <w:t>止，您已交足两年以上保险费的，我们向其他权利人退还本附加险合同的</w:t>
            </w:r>
            <w:r>
              <w:rPr>
                <w:rFonts w:ascii="黑体" w:eastAsia="黑体" w:hint="eastAsia"/>
                <w:b/>
                <w:spacing w:val="-11"/>
                <w:sz w:val="21"/>
              </w:rPr>
              <w:t>现金价值</w:t>
            </w:r>
            <w:r>
              <w:rPr>
                <w:rFonts w:ascii="黑体" w:eastAsia="黑体" w:hint="eastAsia"/>
                <w:spacing w:val="-11"/>
                <w:sz w:val="21"/>
              </w:rPr>
              <w:t>。</w:t>
            </w:r>
          </w:p>
          <w:p>
            <w:pPr>
              <w:pStyle w:val="TableParagraph"/>
              <w:spacing w:line="273" w:lineRule="auto" w:before="163"/>
              <w:ind w:left="209" w:right="104"/>
              <w:rPr>
                <w:rFonts w:ascii="黑体" w:eastAsia="黑体" w:hint="eastAsia"/>
                <w:sz w:val="21"/>
              </w:rPr>
            </w:pPr>
            <w:r>
              <w:rPr>
                <w:rFonts w:ascii="黑体" w:eastAsia="黑体" w:hint="eastAsia"/>
                <w:sz w:val="21"/>
              </w:rPr>
              <w:t>发Th上述其他情形导致被保险人发Th</w:t>
            </w:r>
            <w:r>
              <w:rPr>
                <w:rFonts w:ascii="黑体" w:eastAsia="黑体" w:hint="eastAsia"/>
                <w:spacing w:val="-10"/>
                <w:sz w:val="21"/>
              </w:rPr>
              <w:t>重大疾病的，本附加险合同终止，我们向投保人退还本附加险合同的现金价值。</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如何申请领取保险金</w:t>
            </w:r>
          </w:p>
        </w:tc>
      </w:tr>
      <w:tr>
        <w:trPr>
          <w:trHeight w:val="1091"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3.1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受益人</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4"/>
              <w:rPr>
                <w:sz w:val="21"/>
              </w:rPr>
            </w:pPr>
            <w:r>
              <w:rPr>
                <w:spacing w:val="-5"/>
                <w:sz w:val="21"/>
              </w:rPr>
              <w:t>本附加险合同重大疾病保险金受益人为被保险人本人，经被保险人或被保险人的监护人同意，我们受理指定或变更。</w:t>
            </w:r>
          </w:p>
        </w:tc>
      </w:tr>
      <w:tr>
        <w:trPr>
          <w:trHeight w:val="1977" w:hRule="atLeast"/>
        </w:trPr>
        <w:tc>
          <w:tcPr>
            <w:tcW w:w="768" w:type="dxa"/>
          </w:tcPr>
          <w:p>
            <w:pPr>
              <w:pStyle w:val="TableParagraph"/>
              <w:spacing w:before="142"/>
              <w:ind w:left="107"/>
              <w:rPr>
                <w:b/>
                <w:sz w:val="21"/>
              </w:rPr>
            </w:pPr>
            <w:r>
              <w:rPr>
                <w:b/>
                <w:sz w:val="21"/>
              </w:rPr>
              <w:t>3.2</w:t>
            </w:r>
          </w:p>
        </w:tc>
        <w:tc>
          <w:tcPr>
            <w:tcW w:w="1668" w:type="dxa"/>
          </w:tcPr>
          <w:p>
            <w:pPr>
              <w:pStyle w:val="TableParagraph"/>
              <w:spacing w:before="142"/>
              <w:ind w:left="196"/>
              <w:rPr>
                <w:b/>
                <w:sz w:val="21"/>
              </w:rPr>
            </w:pPr>
            <w:r>
              <w:rPr>
                <w:b/>
                <w:w w:val="95"/>
                <w:sz w:val="21"/>
              </w:rPr>
              <w:t>保险事故通知</w:t>
            </w:r>
          </w:p>
        </w:tc>
        <w:tc>
          <w:tcPr>
            <w:tcW w:w="6932" w:type="dxa"/>
          </w:tcPr>
          <w:p>
            <w:pPr>
              <w:pStyle w:val="TableParagraph"/>
              <w:spacing w:before="142"/>
              <w:ind w:left="209"/>
              <w:rPr>
                <w:sz w:val="21"/>
              </w:rPr>
            </w:pPr>
            <w:r>
              <w:rPr>
                <w:sz w:val="21"/>
              </w:rPr>
              <w:t>您或受益人应在知道保险事故发生之日起 10 日内通知我们。</w:t>
            </w:r>
          </w:p>
          <w:p>
            <w:pPr>
              <w:pStyle w:val="TableParagraph"/>
              <w:spacing w:line="273" w:lineRule="auto" w:before="37"/>
              <w:ind w:left="209"/>
              <w:rPr>
                <w:sz w:val="21"/>
              </w:rPr>
            </w:pPr>
            <w:r>
              <w:rPr>
                <w:sz w:val="21"/>
              </w:rPr>
              <w:t>如果您或受益人故意或者因重大过失未及时通知，致使保险事故的性质、</w:t>
            </w:r>
            <w:r>
              <w:rPr>
                <w:spacing w:val="-11"/>
                <w:sz w:val="21"/>
              </w:rPr>
              <w:t>原因、损失程度等难以确定的，我们对无法确定的部分，不承担给付保险</w:t>
            </w:r>
            <w:r>
              <w:rPr>
                <w:spacing w:val="-13"/>
                <w:sz w:val="21"/>
              </w:rPr>
              <w:t>金的责任，但我们通过其他途径已经及时知道或者应当及时知道保险事故</w:t>
            </w:r>
            <w:r>
              <w:rPr>
                <w:spacing w:val="-5"/>
                <w:sz w:val="21"/>
              </w:rPr>
              <w:t>发生或者虽未及时通知但不影响本公司确定保险事故的性质、原因、损失</w:t>
            </w:r>
          </w:p>
          <w:p>
            <w:pPr>
              <w:pStyle w:val="TableParagraph"/>
              <w:spacing w:line="255" w:lineRule="exact" w:before="7"/>
              <w:ind w:left="209"/>
              <w:rPr>
                <w:sz w:val="21"/>
              </w:rPr>
            </w:pPr>
            <w:r>
              <w:rPr>
                <w:sz w:val="21"/>
              </w:rPr>
              <w:t>程度的除外。</w:t>
            </w:r>
          </w:p>
        </w:tc>
      </w:tr>
    </w:tbl>
    <w:p>
      <w:pPr>
        <w:spacing w:after="0" w:line="255" w:lineRule="exact"/>
        <w:rPr>
          <w:sz w:val="21"/>
        </w:rPr>
        <w:sectPr>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68"/>
        <w:gridCol w:w="6932"/>
      </w:tblGrid>
      <w:tr>
        <w:trPr>
          <w:trHeight w:val="406" w:hRule="atLeast"/>
        </w:trPr>
        <w:tc>
          <w:tcPr>
            <w:tcW w:w="782" w:type="dxa"/>
          </w:tcPr>
          <w:p>
            <w:pPr>
              <w:pStyle w:val="TableParagraph"/>
              <w:spacing w:line="210" w:lineRule="exact"/>
              <w:ind w:left="122"/>
              <w:rPr>
                <w:b/>
                <w:sz w:val="21"/>
              </w:rPr>
            </w:pPr>
            <w:r>
              <w:rPr>
                <w:b/>
                <w:sz w:val="21"/>
              </w:rPr>
              <w:t>3.3</w:t>
            </w:r>
          </w:p>
        </w:tc>
        <w:tc>
          <w:tcPr>
            <w:tcW w:w="1668" w:type="dxa"/>
          </w:tcPr>
          <w:p>
            <w:pPr>
              <w:pStyle w:val="TableParagraph"/>
              <w:spacing w:line="210" w:lineRule="exact"/>
              <w:ind w:left="197"/>
              <w:rPr>
                <w:b/>
                <w:sz w:val="21"/>
              </w:rPr>
            </w:pPr>
            <w:r>
              <w:rPr>
                <w:b/>
                <w:w w:val="95"/>
                <w:sz w:val="21"/>
              </w:rPr>
              <w:t>保险金申请</w:t>
            </w:r>
          </w:p>
        </w:tc>
        <w:tc>
          <w:tcPr>
            <w:tcW w:w="6932" w:type="dxa"/>
          </w:tcPr>
          <w:p>
            <w:pPr>
              <w:pStyle w:val="TableParagraph"/>
              <w:spacing w:line="210" w:lineRule="exact"/>
              <w:ind w:left="209"/>
              <w:rPr>
                <w:sz w:val="21"/>
              </w:rPr>
            </w:pPr>
            <w:r>
              <w:rPr>
                <w:sz w:val="21"/>
              </w:rPr>
              <w:t>在申请保险金时，请按照下列方式办理：</w:t>
            </w:r>
          </w:p>
        </w:tc>
      </w:tr>
      <w:tr>
        <w:trPr>
          <w:trHeight w:val="2310" w:hRule="atLeast"/>
        </w:trPr>
        <w:tc>
          <w:tcPr>
            <w:tcW w:w="782" w:type="dxa"/>
          </w:tcPr>
          <w:p>
            <w:pPr>
              <w:pStyle w:val="TableParagraph"/>
              <w:rPr>
                <w:rFonts w:ascii="Times New Roman"/>
                <w:sz w:val="20"/>
              </w:rPr>
            </w:pPr>
          </w:p>
        </w:tc>
        <w:tc>
          <w:tcPr>
            <w:tcW w:w="1668" w:type="dxa"/>
          </w:tcPr>
          <w:p>
            <w:pPr>
              <w:pStyle w:val="TableParagraph"/>
              <w:spacing w:line="410" w:lineRule="auto" w:before="250"/>
              <w:ind w:left="197" w:right="208"/>
              <w:rPr>
                <w:rFonts w:ascii="Microsoft JhengHei" w:eastAsia="Microsoft JhengHei" w:hint="eastAsia"/>
                <w:b/>
                <w:sz w:val="21"/>
              </w:rPr>
            </w:pPr>
            <w:r>
              <w:rPr>
                <w:rFonts w:ascii="Microsoft JhengHei" w:eastAsia="Microsoft JhengHei" w:hint="eastAsia"/>
                <w:b/>
                <w:sz w:val="21"/>
              </w:rPr>
              <w:t>重大疾病保险金申请</w:t>
            </w:r>
          </w:p>
        </w:tc>
        <w:tc>
          <w:tcPr>
            <w:tcW w:w="6932" w:type="dxa"/>
          </w:tcPr>
          <w:p>
            <w:pPr>
              <w:pStyle w:val="TableParagraph"/>
              <w:spacing w:before="131"/>
              <w:ind w:left="209"/>
              <w:rPr>
                <w:sz w:val="21"/>
              </w:rPr>
            </w:pPr>
            <w:r>
              <w:rPr>
                <w:sz w:val="21"/>
              </w:rPr>
              <w:t>由重大疾病保险金受益人填写理赔申请书，并须提供下列证明和资料：</w:t>
            </w:r>
          </w:p>
          <w:p>
            <w:pPr>
              <w:pStyle w:val="TableParagraph"/>
              <w:numPr>
                <w:ilvl w:val="0"/>
                <w:numId w:val="3"/>
              </w:numPr>
              <w:tabs>
                <w:tab w:pos="841" w:val="left" w:leader="none"/>
              </w:tabs>
              <w:spacing w:line="240" w:lineRule="auto" w:before="17" w:after="0"/>
              <w:ind w:left="845" w:right="0" w:hanging="636"/>
              <w:jc w:val="left"/>
              <w:rPr>
                <w:sz w:val="21"/>
              </w:rPr>
            </w:pPr>
            <w:r>
              <w:rPr>
                <w:spacing w:val="-1"/>
                <w:sz w:val="21"/>
              </w:rPr>
              <w:t>保险合同；</w:t>
            </w:r>
          </w:p>
          <w:p>
            <w:pPr>
              <w:pStyle w:val="TableParagraph"/>
              <w:numPr>
                <w:ilvl w:val="0"/>
                <w:numId w:val="3"/>
              </w:numPr>
              <w:tabs>
                <w:tab w:pos="841" w:val="left" w:leader="none"/>
              </w:tabs>
              <w:spacing w:line="240" w:lineRule="auto" w:before="37" w:after="0"/>
              <w:ind w:left="845" w:right="0" w:hanging="636"/>
              <w:jc w:val="left"/>
              <w:rPr>
                <w:sz w:val="21"/>
              </w:rPr>
            </w:pPr>
            <w:r>
              <w:rPr>
                <w:spacing w:val="-1"/>
                <w:sz w:val="21"/>
              </w:rPr>
              <w:t>受益人的有效身份证件；</w:t>
            </w:r>
          </w:p>
          <w:p>
            <w:pPr>
              <w:pStyle w:val="TableParagraph"/>
              <w:numPr>
                <w:ilvl w:val="0"/>
                <w:numId w:val="3"/>
              </w:numPr>
              <w:tabs>
                <w:tab w:pos="856" w:val="left" w:leader="none"/>
              </w:tabs>
              <w:spacing w:line="273" w:lineRule="auto" w:before="37" w:after="0"/>
              <w:ind w:left="845" w:right="109" w:hanging="633"/>
              <w:jc w:val="left"/>
              <w:rPr>
                <w:sz w:val="21"/>
              </w:rPr>
            </w:pPr>
            <w:r>
              <w:rPr>
                <w:b/>
                <w:spacing w:val="0"/>
                <w:sz w:val="21"/>
              </w:rPr>
              <w:t>医院</w:t>
            </w:r>
            <w:r>
              <w:rPr>
                <w:sz w:val="21"/>
              </w:rPr>
              <w:t>出具的附有病理显微镜检查、血液检验及其他科学方法检验报告的被保险人疾病诊断证明；</w:t>
            </w:r>
          </w:p>
          <w:p>
            <w:pPr>
              <w:pStyle w:val="TableParagraph"/>
              <w:numPr>
                <w:ilvl w:val="0"/>
                <w:numId w:val="3"/>
              </w:numPr>
              <w:tabs>
                <w:tab w:pos="845" w:val="left" w:leader="none"/>
              </w:tabs>
              <w:spacing w:line="240" w:lineRule="auto" w:before="7" w:after="0"/>
              <w:ind w:left="844" w:right="0" w:hanging="629"/>
              <w:jc w:val="left"/>
              <w:rPr>
                <w:sz w:val="21"/>
              </w:rPr>
            </w:pPr>
            <w:r>
              <w:rPr>
                <w:spacing w:val="-2"/>
                <w:sz w:val="21"/>
              </w:rPr>
              <w:t>所能提供的与确认保险事故性质、原因等有关的其他证明和资料。</w:t>
            </w:r>
          </w:p>
        </w:tc>
      </w:tr>
      <w:tr>
        <w:trPr>
          <w:trHeight w:val="1092" w:hRule="atLeast"/>
        </w:trPr>
        <w:tc>
          <w:tcPr>
            <w:tcW w:w="782"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before="10"/>
              <w:rPr>
                <w:rFonts w:ascii="Times New Roman"/>
                <w:sz w:val="25"/>
              </w:rPr>
            </w:pPr>
          </w:p>
          <w:p>
            <w:pPr>
              <w:pStyle w:val="TableParagraph"/>
              <w:spacing w:line="273" w:lineRule="auto"/>
              <w:ind w:left="209" w:right="104"/>
              <w:rPr>
                <w:sz w:val="21"/>
              </w:rPr>
            </w:pPr>
            <w:r>
              <w:rPr>
                <w:spacing w:val="-5"/>
                <w:sz w:val="21"/>
              </w:rPr>
              <w:t>以上重大疾病保险金申请所需证明和资料不完整的，我们将及时一次性书面通知受益人补充提供有关的证明和资料。</w:t>
            </w:r>
          </w:p>
        </w:tc>
      </w:tr>
      <w:tr>
        <w:trPr>
          <w:trHeight w:val="3744" w:hRule="atLeast"/>
        </w:trPr>
        <w:tc>
          <w:tcPr>
            <w:tcW w:w="782" w:type="dxa"/>
          </w:tcPr>
          <w:p>
            <w:pPr>
              <w:pStyle w:val="TableParagraph"/>
              <w:spacing w:before="142"/>
              <w:ind w:left="122"/>
              <w:rPr>
                <w:b/>
                <w:sz w:val="21"/>
              </w:rPr>
            </w:pPr>
            <w:r>
              <w:rPr>
                <w:b/>
                <w:sz w:val="21"/>
              </w:rPr>
              <w:t>3.4</w:t>
            </w:r>
          </w:p>
        </w:tc>
        <w:tc>
          <w:tcPr>
            <w:tcW w:w="1668" w:type="dxa"/>
          </w:tcPr>
          <w:p>
            <w:pPr>
              <w:pStyle w:val="TableParagraph"/>
              <w:spacing w:before="142"/>
              <w:ind w:left="197"/>
              <w:rPr>
                <w:b/>
                <w:sz w:val="21"/>
              </w:rPr>
            </w:pPr>
            <w:r>
              <w:rPr>
                <w:b/>
                <w:w w:val="95"/>
                <w:sz w:val="21"/>
              </w:rPr>
              <w:t>保险金的给付</w:t>
            </w:r>
          </w:p>
        </w:tc>
        <w:tc>
          <w:tcPr>
            <w:tcW w:w="6932" w:type="dxa"/>
          </w:tcPr>
          <w:p>
            <w:pPr>
              <w:pStyle w:val="TableParagraph"/>
              <w:spacing w:line="273" w:lineRule="auto" w:before="142"/>
              <w:ind w:left="209"/>
              <w:rPr>
                <w:sz w:val="21"/>
              </w:rPr>
            </w:pPr>
            <w:r>
              <w:rPr>
                <w:sz w:val="21"/>
              </w:rPr>
              <w:t>我们在收到受益人的理赔申请书及有关证明和资料后，将及时作出核定； 情形复杂的，在 30 日内作出核定。</w:t>
            </w:r>
          </w:p>
          <w:p>
            <w:pPr>
              <w:pStyle w:val="TableParagraph"/>
              <w:spacing w:line="273" w:lineRule="auto" w:before="7"/>
              <w:ind w:left="209" w:right="105"/>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3"/>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4"/>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3"/>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82" w:type="dxa"/>
          </w:tcPr>
          <w:p>
            <w:pPr>
              <w:pStyle w:val="TableParagraph"/>
              <w:spacing w:before="142"/>
              <w:ind w:left="122"/>
              <w:rPr>
                <w:b/>
                <w:sz w:val="21"/>
              </w:rPr>
            </w:pPr>
            <w:r>
              <w:rPr>
                <w:b/>
                <w:sz w:val="21"/>
              </w:rPr>
              <w:t>3.5</w:t>
            </w:r>
          </w:p>
        </w:tc>
        <w:tc>
          <w:tcPr>
            <w:tcW w:w="1668" w:type="dxa"/>
          </w:tcPr>
          <w:p>
            <w:pPr>
              <w:pStyle w:val="TableParagraph"/>
              <w:spacing w:before="142"/>
              <w:ind w:left="197"/>
              <w:rPr>
                <w:b/>
                <w:sz w:val="21"/>
              </w:rPr>
            </w:pPr>
            <w:r>
              <w:rPr>
                <w:b/>
                <w:sz w:val="21"/>
              </w:rPr>
              <w:t>诉讼时效</w:t>
            </w:r>
          </w:p>
        </w:tc>
        <w:tc>
          <w:tcPr>
            <w:tcW w:w="6932" w:type="dxa"/>
          </w:tcPr>
          <w:p>
            <w:pPr>
              <w:pStyle w:val="TableParagraph"/>
              <w:spacing w:line="273" w:lineRule="auto" w:before="142"/>
              <w:ind w:left="209" w:right="104"/>
              <w:rPr>
                <w:sz w:val="21"/>
              </w:rPr>
            </w:pPr>
            <w:r>
              <w:rPr>
                <w:spacing w:val="-3"/>
                <w:sz w:val="21"/>
              </w:rPr>
              <w:t>受益人对我们请求给付保险金的诉讼时效期间为 </w:t>
            </w:r>
            <w:r>
              <w:rPr>
                <w:sz w:val="21"/>
              </w:rPr>
              <w:t>5</w:t>
            </w:r>
            <w:r>
              <w:rPr>
                <w:spacing w:val="-17"/>
                <w:sz w:val="21"/>
              </w:rPr>
              <w:t> 年，自其知道或者应当知道保险事故发生之日起计算。</w:t>
            </w:r>
          </w:p>
        </w:tc>
      </w:tr>
      <w:tr>
        <w:trPr>
          <w:trHeight w:val="786" w:hRule="atLeast"/>
        </w:trPr>
        <w:tc>
          <w:tcPr>
            <w:tcW w:w="782" w:type="dxa"/>
            <w:tcBorders>
              <w:bottom w:val="single" w:sz="4" w:space="0" w:color="000000"/>
            </w:tcBorders>
          </w:tcPr>
          <w:p>
            <w:pPr>
              <w:pStyle w:val="TableParagraph"/>
              <w:spacing w:before="172"/>
              <w:ind w:left="122"/>
              <w:rPr>
                <w:rFonts w:ascii="Wingdings" w:hAnsi="Wingdings"/>
                <w:sz w:val="52"/>
              </w:rPr>
            </w:pPr>
            <w:r>
              <w:rPr>
                <w:rFonts w:ascii="Wingdings" w:hAnsi="Wingdings"/>
                <w:w w:val="84"/>
                <w:sz w:val="52"/>
              </w:rPr>
              <w:t></w:t>
            </w:r>
          </w:p>
        </w:tc>
        <w:tc>
          <w:tcPr>
            <w:tcW w:w="8600" w:type="dxa"/>
            <w:gridSpan w:val="2"/>
            <w:tcBorders>
              <w:bottom w:val="single" w:sz="4" w:space="0" w:color="000000"/>
            </w:tcBorders>
          </w:tcPr>
          <w:p>
            <w:pPr>
              <w:pStyle w:val="TableParagraph"/>
              <w:spacing w:before="247"/>
              <w:ind w:left="197"/>
              <w:rPr>
                <w:b/>
                <w:sz w:val="28"/>
              </w:rPr>
            </w:pPr>
            <w:r>
              <w:rPr>
                <w:b/>
                <w:w w:val="95"/>
                <w:sz w:val="28"/>
              </w:rPr>
              <w:t>如何交纳保险费</w:t>
            </w:r>
          </w:p>
        </w:tc>
      </w:tr>
      <w:tr>
        <w:trPr>
          <w:trHeight w:val="1715" w:hRule="atLeast"/>
        </w:trPr>
        <w:tc>
          <w:tcPr>
            <w:tcW w:w="782" w:type="dxa"/>
            <w:tcBorders>
              <w:top w:val="single" w:sz="4" w:space="0" w:color="000000"/>
            </w:tcBorders>
          </w:tcPr>
          <w:p>
            <w:pPr>
              <w:pStyle w:val="TableParagraph"/>
              <w:spacing w:before="10"/>
              <w:rPr>
                <w:rFonts w:ascii="Times New Roman"/>
                <w:sz w:val="25"/>
              </w:rPr>
            </w:pPr>
          </w:p>
          <w:p>
            <w:pPr>
              <w:pStyle w:val="TableParagraph"/>
              <w:ind w:left="122"/>
              <w:rPr>
                <w:b/>
                <w:sz w:val="21"/>
              </w:rPr>
            </w:pPr>
            <w:r>
              <w:rPr>
                <w:b/>
                <w:sz w:val="21"/>
              </w:rPr>
              <w:t>4.1</w:t>
            </w:r>
          </w:p>
        </w:tc>
        <w:tc>
          <w:tcPr>
            <w:tcW w:w="1668" w:type="dxa"/>
            <w:tcBorders>
              <w:top w:val="single" w:sz="4" w:space="0" w:color="000000"/>
            </w:tcBorders>
          </w:tcPr>
          <w:p>
            <w:pPr>
              <w:pStyle w:val="TableParagraph"/>
              <w:spacing w:before="10"/>
              <w:rPr>
                <w:rFonts w:ascii="Times New Roman"/>
                <w:sz w:val="25"/>
              </w:rPr>
            </w:pPr>
          </w:p>
          <w:p>
            <w:pPr>
              <w:pStyle w:val="TableParagraph"/>
              <w:ind w:left="197"/>
              <w:rPr>
                <w:b/>
                <w:sz w:val="21"/>
              </w:rPr>
            </w:pPr>
            <w:r>
              <w:rPr>
                <w:b/>
                <w:w w:val="95"/>
                <w:sz w:val="21"/>
              </w:rPr>
              <w:t>保险费的交纳</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p>
            <w:pPr>
              <w:pStyle w:val="TableParagraph"/>
              <w:spacing w:before="7"/>
              <w:ind w:left="209"/>
              <w:rPr>
                <w:sz w:val="21"/>
              </w:rPr>
            </w:pPr>
            <w:r>
              <w:rPr>
                <w:sz w:val="21"/>
              </w:rPr>
              <w:t>本附加险合同的保险费必须随主险合同保险费一同支付，不能单独交纳。</w:t>
            </w:r>
          </w:p>
        </w:tc>
      </w:tr>
      <w:tr>
        <w:trPr>
          <w:trHeight w:val="1866" w:hRule="atLeast"/>
        </w:trPr>
        <w:tc>
          <w:tcPr>
            <w:tcW w:w="782" w:type="dxa"/>
          </w:tcPr>
          <w:p>
            <w:pPr>
              <w:pStyle w:val="TableParagraph"/>
              <w:spacing w:before="142"/>
              <w:ind w:left="122"/>
              <w:rPr>
                <w:b/>
                <w:sz w:val="21"/>
              </w:rPr>
            </w:pPr>
            <w:r>
              <w:rPr>
                <w:b/>
                <w:sz w:val="21"/>
              </w:rPr>
              <w:t>4.2</w:t>
            </w:r>
          </w:p>
        </w:tc>
        <w:tc>
          <w:tcPr>
            <w:tcW w:w="1668" w:type="dxa"/>
          </w:tcPr>
          <w:p>
            <w:pPr>
              <w:pStyle w:val="TableParagraph"/>
              <w:spacing w:before="142"/>
              <w:ind w:left="197"/>
              <w:rPr>
                <w:b/>
                <w:sz w:val="21"/>
              </w:rPr>
            </w:pPr>
            <w:r>
              <w:rPr>
                <w:b/>
                <w:sz w:val="21"/>
              </w:rPr>
              <w:t>宽限期</w:t>
            </w:r>
          </w:p>
        </w:tc>
        <w:tc>
          <w:tcPr>
            <w:tcW w:w="6932" w:type="dxa"/>
          </w:tcPr>
          <w:p>
            <w:pPr>
              <w:pStyle w:val="TableParagraph"/>
              <w:spacing w:line="273" w:lineRule="auto" w:before="142"/>
              <w:ind w:left="209" w:right="104"/>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6"/>
                <w:sz w:val="21"/>
              </w:rPr>
              <w:t>为宽限期。宽限期内发生的保险事故，我们仍会承担保险责任，但在给付保险金时会扣除您欠交的保险费。</w:t>
            </w:r>
          </w:p>
          <w:p>
            <w:pPr>
              <w:pStyle w:val="TableParagraph"/>
              <w:spacing w:line="273" w:lineRule="auto" w:before="7"/>
              <w:ind w:left="209"/>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82" w:type="dxa"/>
            <w:tcBorders>
              <w:bottom w:val="single" w:sz="4" w:space="0" w:color="000000"/>
            </w:tcBorders>
          </w:tcPr>
          <w:p>
            <w:pPr>
              <w:pStyle w:val="TableParagraph"/>
              <w:spacing w:before="172"/>
              <w:ind w:left="122"/>
              <w:rPr>
                <w:rFonts w:ascii="Wingdings" w:hAnsi="Wingdings"/>
                <w:sz w:val="52"/>
              </w:rPr>
            </w:pPr>
            <w:r>
              <w:rPr>
                <w:rFonts w:ascii="Wingdings" w:hAnsi="Wingdings"/>
                <w:w w:val="84"/>
                <w:sz w:val="52"/>
              </w:rPr>
              <w:t></w:t>
            </w:r>
          </w:p>
        </w:tc>
        <w:tc>
          <w:tcPr>
            <w:tcW w:w="8600" w:type="dxa"/>
            <w:gridSpan w:val="2"/>
            <w:tcBorders>
              <w:bottom w:val="single" w:sz="4" w:space="0" w:color="000000"/>
            </w:tcBorders>
          </w:tcPr>
          <w:p>
            <w:pPr>
              <w:pStyle w:val="TableParagraph"/>
              <w:spacing w:before="247"/>
              <w:ind w:left="197"/>
              <w:rPr>
                <w:b/>
                <w:sz w:val="28"/>
              </w:rPr>
            </w:pPr>
            <w:r>
              <w:rPr>
                <w:b/>
                <w:w w:val="95"/>
                <w:sz w:val="28"/>
              </w:rPr>
              <w:t>现金价值权益</w:t>
            </w:r>
          </w:p>
        </w:tc>
      </w:tr>
    </w:tbl>
    <w:p>
      <w:pPr>
        <w:spacing w:after="0"/>
        <w:rPr>
          <w:sz w:val="28"/>
        </w:rPr>
        <w:sectPr>
          <w:pgSz w:w="11910" w:h="16840"/>
          <w:pgMar w:header="899" w:footer="994" w:top="1220" w:bottom="1180" w:left="1100" w:right="1200"/>
        </w:sectPr>
      </w:pPr>
    </w:p>
    <w:p>
      <w:pPr>
        <w:pStyle w:val="BodyText"/>
        <w:spacing w:after="1"/>
        <w:rPr>
          <w:rFonts w:ascii="Times New Roman"/>
          <w:sz w:val="2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2"/>
      </w:tblGrid>
      <w:tr>
        <w:trPr>
          <w:trHeight w:val="1090" w:hRule="atLeast"/>
        </w:trPr>
        <w:tc>
          <w:tcPr>
            <w:tcW w:w="768" w:type="dxa"/>
            <w:tcBorders>
              <w:top w:val="single" w:sz="4" w:space="0" w:color="000000"/>
            </w:tcBorders>
          </w:tcPr>
          <w:p>
            <w:pPr>
              <w:pStyle w:val="TableParagraph"/>
              <w:spacing w:before="9"/>
              <w:rPr>
                <w:rFonts w:ascii="Times New Roman"/>
                <w:sz w:val="25"/>
              </w:rPr>
            </w:pPr>
          </w:p>
          <w:p>
            <w:pPr>
              <w:pStyle w:val="TableParagraph"/>
              <w:ind w:left="107"/>
              <w:rPr>
                <w:b/>
                <w:sz w:val="21"/>
              </w:rPr>
            </w:pPr>
            <w:r>
              <w:rPr>
                <w:b/>
                <w:sz w:val="21"/>
              </w:rPr>
              <w:t>5.1</w:t>
            </w:r>
          </w:p>
        </w:tc>
        <w:tc>
          <w:tcPr>
            <w:tcW w:w="1669" w:type="dxa"/>
            <w:tcBorders>
              <w:top w:val="single" w:sz="4" w:space="0" w:color="000000"/>
            </w:tcBorders>
          </w:tcPr>
          <w:p>
            <w:pPr>
              <w:pStyle w:val="TableParagraph"/>
              <w:spacing w:before="9"/>
              <w:rPr>
                <w:rFonts w:ascii="Times New Roman"/>
                <w:sz w:val="25"/>
              </w:rPr>
            </w:pPr>
          </w:p>
          <w:p>
            <w:pPr>
              <w:pStyle w:val="TableParagraph"/>
              <w:ind w:left="196"/>
              <w:rPr>
                <w:b/>
                <w:sz w:val="21"/>
              </w:rPr>
            </w:pPr>
            <w:r>
              <w:rPr>
                <w:b/>
                <w:sz w:val="21"/>
              </w:rPr>
              <w:t>现金价值</w:t>
            </w:r>
          </w:p>
        </w:tc>
        <w:tc>
          <w:tcPr>
            <w:tcW w:w="6932" w:type="dxa"/>
            <w:tcBorders>
              <w:top w:val="single" w:sz="4" w:space="0" w:color="000000"/>
            </w:tcBorders>
          </w:tcPr>
          <w:p>
            <w:pPr>
              <w:pStyle w:val="TableParagraph"/>
              <w:spacing w:before="9"/>
              <w:rPr>
                <w:rFonts w:ascii="Times New Roman"/>
                <w:sz w:val="25"/>
              </w:rPr>
            </w:pPr>
          </w:p>
          <w:p>
            <w:pPr>
              <w:pStyle w:val="TableParagraph"/>
              <w:spacing w:line="273" w:lineRule="auto"/>
              <w:ind w:left="208" w:right="105"/>
              <w:rPr>
                <w:sz w:val="21"/>
              </w:rPr>
            </w:pPr>
            <w:r>
              <w:rPr>
                <w:spacing w:val="-5"/>
                <w:sz w:val="21"/>
              </w:rPr>
              <w:t>本附加险合同保险单年度末的现金价值会在保险单上载明，保险单年度内的现金价值，您可以向我们咨询。</w:t>
            </w:r>
          </w:p>
        </w:tc>
      </w:tr>
      <w:tr>
        <w:trPr>
          <w:trHeight w:val="1248" w:hRule="atLeast"/>
        </w:trPr>
        <w:tc>
          <w:tcPr>
            <w:tcW w:w="768" w:type="dxa"/>
          </w:tcPr>
          <w:p>
            <w:pPr>
              <w:pStyle w:val="TableParagraph"/>
              <w:spacing w:before="142"/>
              <w:ind w:left="107"/>
              <w:rPr>
                <w:b/>
                <w:sz w:val="21"/>
              </w:rPr>
            </w:pPr>
            <w:r>
              <w:rPr>
                <w:b/>
                <w:sz w:val="21"/>
              </w:rPr>
              <w:t>5.2</w:t>
            </w:r>
          </w:p>
        </w:tc>
        <w:tc>
          <w:tcPr>
            <w:tcW w:w="1669" w:type="dxa"/>
          </w:tcPr>
          <w:p>
            <w:pPr>
              <w:pStyle w:val="TableParagraph"/>
              <w:spacing w:before="142"/>
              <w:ind w:left="196"/>
              <w:rPr>
                <w:b/>
                <w:sz w:val="21"/>
              </w:rPr>
            </w:pPr>
            <w:r>
              <w:rPr>
                <w:b/>
                <w:sz w:val="21"/>
              </w:rPr>
              <w:t>自动垫交</w:t>
            </w:r>
          </w:p>
        </w:tc>
        <w:tc>
          <w:tcPr>
            <w:tcW w:w="6932" w:type="dxa"/>
          </w:tcPr>
          <w:p>
            <w:pPr>
              <w:pStyle w:val="TableParagraph"/>
              <w:spacing w:line="273" w:lineRule="auto" w:before="142"/>
              <w:ind w:left="208" w:right="105"/>
              <w:jc w:val="both"/>
              <w:rPr>
                <w:sz w:val="21"/>
              </w:rPr>
            </w:pPr>
            <w:r>
              <w:rPr>
                <w:spacing w:val="-7"/>
                <w:sz w:val="21"/>
              </w:rPr>
              <w:t>主险合同进行保险费自动垫交时，本附加险合同应同时进行保险费自动垫</w:t>
            </w:r>
            <w:r>
              <w:rPr>
                <w:spacing w:val="-12"/>
                <w:sz w:val="21"/>
              </w:rPr>
              <w:t>交，并适用主险合同“自动垫交”的相关规定。本附加险合同不能单独进行保险费自动垫交。</w:t>
            </w:r>
          </w:p>
        </w:tc>
      </w:tr>
      <w:tr>
        <w:trPr>
          <w:trHeight w:val="1242" w:hRule="atLeast"/>
        </w:trPr>
        <w:tc>
          <w:tcPr>
            <w:tcW w:w="768" w:type="dxa"/>
          </w:tcPr>
          <w:p>
            <w:pPr>
              <w:pStyle w:val="TableParagraph"/>
              <w:spacing w:before="142"/>
              <w:ind w:left="107"/>
              <w:rPr>
                <w:b/>
                <w:sz w:val="21"/>
              </w:rPr>
            </w:pPr>
            <w:r>
              <w:rPr>
                <w:b/>
                <w:sz w:val="21"/>
              </w:rPr>
              <w:t>5.3</w:t>
            </w:r>
          </w:p>
        </w:tc>
        <w:tc>
          <w:tcPr>
            <w:tcW w:w="1669" w:type="dxa"/>
          </w:tcPr>
          <w:p>
            <w:pPr>
              <w:pStyle w:val="TableParagraph"/>
              <w:spacing w:before="142"/>
              <w:ind w:left="196"/>
              <w:rPr>
                <w:b/>
                <w:sz w:val="21"/>
              </w:rPr>
            </w:pPr>
            <w:r>
              <w:rPr>
                <w:b/>
                <w:w w:val="95"/>
                <w:sz w:val="21"/>
              </w:rPr>
              <w:t>保险单借款</w:t>
            </w:r>
          </w:p>
        </w:tc>
        <w:tc>
          <w:tcPr>
            <w:tcW w:w="6932" w:type="dxa"/>
          </w:tcPr>
          <w:p>
            <w:pPr>
              <w:pStyle w:val="TableParagraph"/>
              <w:spacing w:line="273" w:lineRule="auto" w:before="142"/>
              <w:ind w:left="208" w:right="1"/>
              <w:rPr>
                <w:sz w:val="21"/>
              </w:rPr>
            </w:pPr>
            <w:r>
              <w:rPr>
                <w:sz w:val="21"/>
              </w:rPr>
              <w:t>您对主险合同申请保险单借款时，本附加险合同应同时进行保险单借款， 借款比例和利息计算方式与主险一致，并适用主险合同“保险单借款”的相关规定。您不能单独对本附加险合同进行保险单借款。</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1"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8" w:hRule="atLeast"/>
        </w:trPr>
        <w:tc>
          <w:tcPr>
            <w:tcW w:w="768" w:type="dxa"/>
            <w:tcBorders>
              <w:top w:val="single" w:sz="8" w:space="0" w:color="000000"/>
            </w:tcBorders>
          </w:tcPr>
          <w:p>
            <w:pPr>
              <w:pStyle w:val="TableParagraph"/>
              <w:spacing w:before="9"/>
              <w:rPr>
                <w:rFonts w:ascii="Times New Roman"/>
                <w:sz w:val="25"/>
              </w:rPr>
            </w:pPr>
          </w:p>
          <w:p>
            <w:pPr>
              <w:pStyle w:val="TableParagraph"/>
              <w:ind w:left="107"/>
              <w:rPr>
                <w:b/>
                <w:sz w:val="21"/>
              </w:rPr>
            </w:pPr>
            <w:r>
              <w:rPr>
                <w:b/>
                <w:sz w:val="21"/>
              </w:rPr>
              <w:t>6.1</w:t>
            </w:r>
          </w:p>
        </w:tc>
        <w:tc>
          <w:tcPr>
            <w:tcW w:w="1669" w:type="dxa"/>
            <w:tcBorders>
              <w:top w:val="single" w:sz="8" w:space="0" w:color="000000"/>
            </w:tcBorders>
          </w:tcPr>
          <w:p>
            <w:pPr>
              <w:pStyle w:val="TableParagraph"/>
              <w:spacing w:before="9"/>
              <w:rPr>
                <w:rFonts w:ascii="Times New Roman"/>
                <w:sz w:val="25"/>
              </w:rPr>
            </w:pPr>
          </w:p>
          <w:p>
            <w:pPr>
              <w:pStyle w:val="TableParagraph"/>
              <w:ind w:left="196"/>
              <w:rPr>
                <w:b/>
                <w:sz w:val="21"/>
              </w:rPr>
            </w:pPr>
            <w:r>
              <w:rPr>
                <w:b/>
                <w:sz w:val="21"/>
              </w:rPr>
              <w:t>效力中止</w:t>
            </w:r>
          </w:p>
        </w:tc>
        <w:tc>
          <w:tcPr>
            <w:tcW w:w="6932" w:type="dxa"/>
            <w:tcBorders>
              <w:top w:val="single" w:sz="8" w:space="0" w:color="000000"/>
            </w:tcBorders>
          </w:tcPr>
          <w:p>
            <w:pPr>
              <w:pStyle w:val="TableParagraph"/>
              <w:spacing w:before="9"/>
              <w:rPr>
                <w:rFonts w:ascii="Times New Roman"/>
                <w:sz w:val="25"/>
              </w:rPr>
            </w:pPr>
          </w:p>
          <w:p>
            <w:pPr>
              <w:pStyle w:val="TableParagraph"/>
              <w:ind w:left="208"/>
              <w:rPr>
                <w:sz w:val="21"/>
              </w:rPr>
            </w:pPr>
            <w:r>
              <w:rPr>
                <w:sz w:val="21"/>
              </w:rPr>
              <w:t>在本附加险合同效力中止期间，我们不承担保险责任。</w:t>
            </w:r>
          </w:p>
        </w:tc>
      </w:tr>
      <w:tr>
        <w:trPr>
          <w:trHeight w:val="2490" w:hRule="atLeast"/>
        </w:trPr>
        <w:tc>
          <w:tcPr>
            <w:tcW w:w="768" w:type="dxa"/>
          </w:tcPr>
          <w:p>
            <w:pPr>
              <w:pStyle w:val="TableParagraph"/>
              <w:spacing w:before="142"/>
              <w:ind w:left="107"/>
              <w:rPr>
                <w:b/>
                <w:sz w:val="21"/>
              </w:rPr>
            </w:pPr>
            <w:r>
              <w:rPr>
                <w:b/>
                <w:sz w:val="21"/>
              </w:rPr>
              <w:t>6.2</w:t>
            </w:r>
          </w:p>
        </w:tc>
        <w:tc>
          <w:tcPr>
            <w:tcW w:w="1669" w:type="dxa"/>
          </w:tcPr>
          <w:p>
            <w:pPr>
              <w:pStyle w:val="TableParagraph"/>
              <w:spacing w:before="142"/>
              <w:ind w:left="196"/>
              <w:rPr>
                <w:b/>
                <w:sz w:val="21"/>
              </w:rPr>
            </w:pPr>
            <w:r>
              <w:rPr>
                <w:b/>
                <w:sz w:val="21"/>
              </w:rPr>
              <w:t>效力恢复</w:t>
            </w:r>
          </w:p>
        </w:tc>
        <w:tc>
          <w:tcPr>
            <w:tcW w:w="6932" w:type="dxa"/>
          </w:tcPr>
          <w:p>
            <w:pPr>
              <w:pStyle w:val="TableParagraph"/>
              <w:spacing w:line="273" w:lineRule="auto" w:before="142"/>
              <w:ind w:left="208" w:right="104"/>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8" w:right="105"/>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8"/>
              <w:jc w:val="both"/>
              <w:rPr>
                <w:sz w:val="21"/>
              </w:rPr>
            </w:pPr>
            <w:r>
              <w:rPr>
                <w:sz w:val="21"/>
              </w:rPr>
              <w:t>主险合同效力中止期间，本附加险合同不得单独申请复效。</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如何解除保险合同</w:t>
            </w:r>
          </w:p>
        </w:tc>
      </w:tr>
      <w:tr>
        <w:trPr>
          <w:trHeight w:val="2958"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7.1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7"/>
              <w:rPr>
                <w:b/>
                <w:sz w:val="21"/>
              </w:rPr>
            </w:pPr>
            <w:r>
              <w:rPr>
                <w:b/>
                <w:sz w:val="21"/>
              </w:rPr>
              <w:t>您解除合同的</w:t>
            </w:r>
            <w:r>
              <w:rPr>
                <w:b/>
                <w:w w:val="95"/>
                <w:sz w:val="21"/>
              </w:rPr>
              <w:t>手续及风险</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8" w:right="105"/>
              <w:rPr>
                <w:sz w:val="21"/>
              </w:rPr>
            </w:pPr>
            <w:r>
              <w:rPr>
                <w:spacing w:val="-9"/>
                <w:sz w:val="21"/>
              </w:rPr>
              <w:t>您在犹豫期后，可以书面通知要求解除本附加险合同，并向我们提供下列证明和资料：</w:t>
            </w:r>
          </w:p>
          <w:p>
            <w:pPr>
              <w:pStyle w:val="TableParagraph"/>
              <w:numPr>
                <w:ilvl w:val="0"/>
                <w:numId w:val="4"/>
              </w:numPr>
              <w:tabs>
                <w:tab w:pos="840" w:val="left" w:leader="none"/>
              </w:tabs>
              <w:spacing w:line="240" w:lineRule="auto" w:before="7" w:after="0"/>
              <w:ind w:left="839" w:right="0" w:hanging="631"/>
              <w:jc w:val="left"/>
              <w:rPr>
                <w:sz w:val="21"/>
              </w:rPr>
            </w:pPr>
            <w:r>
              <w:rPr>
                <w:spacing w:val="-1"/>
                <w:sz w:val="21"/>
              </w:rPr>
              <w:t>保险合同；</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解除合同申请书；</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您的有效身份证件。</w:t>
            </w:r>
          </w:p>
          <w:p>
            <w:pPr>
              <w:pStyle w:val="TableParagraph"/>
              <w:spacing w:line="273" w:lineRule="auto" w:before="37"/>
              <w:ind w:left="208" w:right="105"/>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before="7"/>
              <w:ind w:left="208"/>
              <w:rPr>
                <w:sz w:val="21"/>
              </w:rPr>
            </w:pPr>
            <w:r>
              <w:rPr>
                <w:sz w:val="21"/>
              </w:rPr>
              <w:t>您在犹豫期后解除本附加险合同会遭受一定损失。</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其他需要关注的事项</w:t>
            </w:r>
          </w:p>
        </w:tc>
      </w:tr>
      <w:tr>
        <w:trPr>
          <w:trHeight w:val="1508" w:hRule="atLeast"/>
        </w:trPr>
        <w:tc>
          <w:tcPr>
            <w:tcW w:w="768" w:type="dxa"/>
            <w:tcBorders>
              <w:top w:val="single" w:sz="4" w:space="0" w:color="000000"/>
            </w:tcBorders>
          </w:tcPr>
          <w:p>
            <w:pPr>
              <w:pStyle w:val="TableParagraph"/>
              <w:spacing w:before="9"/>
              <w:rPr>
                <w:rFonts w:ascii="Times New Roman"/>
                <w:sz w:val="25"/>
              </w:rPr>
            </w:pPr>
          </w:p>
          <w:p>
            <w:pPr>
              <w:pStyle w:val="TableParagraph"/>
              <w:spacing w:before="1"/>
              <w:ind w:left="107"/>
              <w:rPr>
                <w:b/>
                <w:sz w:val="21"/>
              </w:rPr>
            </w:pPr>
            <w:r>
              <w:rPr>
                <w:b/>
                <w:sz w:val="21"/>
              </w:rPr>
              <w:t>8.1</w:t>
            </w:r>
          </w:p>
        </w:tc>
        <w:tc>
          <w:tcPr>
            <w:tcW w:w="1669" w:type="dxa"/>
            <w:tcBorders>
              <w:top w:val="single" w:sz="4" w:space="0" w:color="000000"/>
            </w:tcBorders>
          </w:tcPr>
          <w:p>
            <w:pPr>
              <w:pStyle w:val="TableParagraph"/>
              <w:spacing w:before="9"/>
              <w:rPr>
                <w:rFonts w:ascii="Times New Roman"/>
                <w:sz w:val="25"/>
              </w:rPr>
            </w:pPr>
          </w:p>
          <w:p>
            <w:pPr>
              <w:pStyle w:val="TableParagraph"/>
              <w:spacing w:line="273" w:lineRule="auto" w:before="1"/>
              <w:ind w:left="196" w:right="206"/>
              <w:rPr>
                <w:b/>
                <w:sz w:val="21"/>
              </w:rPr>
            </w:pPr>
            <w:r>
              <w:rPr>
                <w:b/>
                <w:sz w:val="21"/>
              </w:rPr>
              <w:t>明确说明与如</w:t>
            </w:r>
            <w:r>
              <w:rPr>
                <w:b/>
                <w:w w:val="95"/>
                <w:sz w:val="21"/>
              </w:rPr>
              <w:t>实告知</w:t>
            </w:r>
          </w:p>
        </w:tc>
        <w:tc>
          <w:tcPr>
            <w:tcW w:w="6932" w:type="dxa"/>
            <w:tcBorders>
              <w:top w:val="single" w:sz="4" w:space="0" w:color="000000"/>
            </w:tcBorders>
          </w:tcPr>
          <w:p>
            <w:pPr>
              <w:pStyle w:val="TableParagraph"/>
              <w:spacing w:before="9"/>
              <w:rPr>
                <w:rFonts w:ascii="Times New Roman"/>
                <w:sz w:val="25"/>
              </w:rPr>
            </w:pPr>
          </w:p>
          <w:p>
            <w:pPr>
              <w:pStyle w:val="TableParagraph"/>
              <w:spacing w:before="1"/>
              <w:ind w:left="208"/>
              <w:rPr>
                <w:sz w:val="21"/>
              </w:rPr>
            </w:pPr>
            <w:r>
              <w:rPr>
                <w:sz w:val="21"/>
              </w:rPr>
              <w:t>订立本附加险合同时，我们应向您说明本附加险合同的内容。</w:t>
            </w:r>
          </w:p>
          <w:p>
            <w:pPr>
              <w:pStyle w:val="TableParagraph"/>
              <w:spacing w:line="310" w:lineRule="atLeast" w:before="2"/>
              <w:ind w:left="208" w:right="105"/>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w:t>
            </w:r>
          </w:p>
        </w:tc>
      </w:tr>
    </w:tbl>
    <w:p>
      <w:pPr>
        <w:spacing w:after="0" w:line="310" w:lineRule="atLeast"/>
        <w:jc w:val="both"/>
        <w:rPr>
          <w:sz w:val="21"/>
        </w:rPr>
        <w:sectPr>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1"/>
        <w:gridCol w:w="7130"/>
      </w:tblGrid>
      <w:tr>
        <w:trPr>
          <w:trHeight w:val="3536" w:hRule="atLeast"/>
        </w:trPr>
        <w:tc>
          <w:tcPr>
            <w:tcW w:w="787" w:type="dxa"/>
          </w:tcPr>
          <w:p>
            <w:pPr>
              <w:pStyle w:val="TableParagraph"/>
              <w:rPr>
                <w:rFonts w:ascii="Times New Roman"/>
                <w:sz w:val="20"/>
              </w:rPr>
            </w:pPr>
          </w:p>
        </w:tc>
        <w:tc>
          <w:tcPr>
            <w:tcW w:w="1741" w:type="dxa"/>
          </w:tcPr>
          <w:p>
            <w:pPr>
              <w:pStyle w:val="TableParagraph"/>
              <w:rPr>
                <w:rFonts w:ascii="Times New Roman"/>
                <w:sz w:val="20"/>
              </w:rPr>
            </w:pPr>
          </w:p>
        </w:tc>
        <w:tc>
          <w:tcPr>
            <w:tcW w:w="7130" w:type="dxa"/>
          </w:tcPr>
          <w:p>
            <w:pPr>
              <w:pStyle w:val="TableParagraph"/>
              <w:spacing w:line="210" w:lineRule="exact"/>
              <w:ind w:left="209"/>
              <w:rPr>
                <w:sz w:val="21"/>
              </w:rPr>
            </w:pPr>
            <w:r>
              <w:rPr>
                <w:sz w:val="21"/>
              </w:rPr>
              <w:t>的，该条款不产生效力。</w:t>
            </w:r>
          </w:p>
          <w:p>
            <w:pPr>
              <w:pStyle w:val="TableParagraph"/>
              <w:spacing w:before="36"/>
              <w:ind w:left="209"/>
              <w:rPr>
                <w:sz w:val="21"/>
              </w:rPr>
            </w:pPr>
            <w:r>
              <w:rPr>
                <w:sz w:val="21"/>
              </w:rPr>
              <w:t>我们就您和被保险人的有关情况提出询问，您应当如实告知。</w:t>
            </w:r>
          </w:p>
          <w:p>
            <w:pPr>
              <w:pStyle w:val="TableParagraph"/>
              <w:spacing w:line="273" w:lineRule="auto" w:before="37"/>
              <w:ind w:left="209" w:right="198"/>
              <w:rPr>
                <w:sz w:val="21"/>
              </w:rPr>
            </w:pPr>
            <w:r>
              <w:rPr>
                <w:spacing w:val="-4"/>
                <w:sz w:val="21"/>
              </w:rPr>
              <w:t>如果您故意或者因重大过失未履行前款规定的如实告知义务，足以影响我们决定是否同意承保或者提高保险费率的，我们有权解除本附加险合同。</w:t>
            </w:r>
            <w:r>
              <w:rPr>
                <w:spacing w:val="-11"/>
                <w:sz w:val="21"/>
              </w:rPr>
              <w:t>如果您故意不履行如实告知义务，对于本附加险合同解除前发生的保险事故，我们不承担给付保险金的责任，并不退还保险费。</w:t>
            </w:r>
          </w:p>
          <w:p>
            <w:pPr>
              <w:pStyle w:val="TableParagraph"/>
              <w:spacing w:line="273" w:lineRule="auto" w:before="7"/>
              <w:ind w:left="209" w:right="302"/>
              <w:rPr>
                <w:sz w:val="21"/>
              </w:rPr>
            </w:pPr>
            <w:r>
              <w:rPr>
                <w:sz w:val="21"/>
              </w:rPr>
              <w:t>如果您因重大过失未履行如实告知义务，对保险事故的发生有严重影响</w:t>
            </w:r>
            <w:r>
              <w:rPr>
                <w:spacing w:val="-11"/>
                <w:sz w:val="21"/>
              </w:rPr>
              <w:t>的，对于本附加险合同解除前发生的保险事故，我们不承担给付保险金的责任，但应当退还保险费。</w:t>
            </w:r>
          </w:p>
          <w:p>
            <w:pPr>
              <w:pStyle w:val="TableParagraph"/>
              <w:spacing w:line="273" w:lineRule="auto" w:before="7"/>
              <w:ind w:left="209" w:right="303"/>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8" w:hRule="atLeast"/>
        </w:trPr>
        <w:tc>
          <w:tcPr>
            <w:tcW w:w="787" w:type="dxa"/>
          </w:tcPr>
          <w:p>
            <w:pPr>
              <w:pStyle w:val="TableParagraph"/>
              <w:spacing w:before="142"/>
              <w:ind w:left="181" w:right="248"/>
              <w:jc w:val="center"/>
              <w:rPr>
                <w:b/>
                <w:sz w:val="21"/>
              </w:rPr>
            </w:pPr>
            <w:r>
              <w:rPr>
                <w:b/>
                <w:sz w:val="21"/>
              </w:rPr>
              <w:t>8.2</w:t>
            </w:r>
          </w:p>
        </w:tc>
        <w:tc>
          <w:tcPr>
            <w:tcW w:w="1741" w:type="dxa"/>
          </w:tcPr>
          <w:p>
            <w:pPr>
              <w:pStyle w:val="TableParagraph"/>
              <w:spacing w:line="273" w:lineRule="auto" w:before="142"/>
              <w:ind w:left="269" w:right="206"/>
              <w:rPr>
                <w:b/>
                <w:sz w:val="21"/>
              </w:rPr>
            </w:pPr>
            <w:r>
              <w:rPr>
                <w:b/>
                <w:sz w:val="21"/>
              </w:rPr>
              <w:t>我们合同解除权的限制</w:t>
            </w:r>
          </w:p>
        </w:tc>
        <w:tc>
          <w:tcPr>
            <w:tcW w:w="7130" w:type="dxa"/>
          </w:tcPr>
          <w:p>
            <w:pPr>
              <w:pStyle w:val="TableParagraph"/>
              <w:spacing w:before="142"/>
              <w:ind w:left="209"/>
              <w:rPr>
                <w:sz w:val="21"/>
              </w:rPr>
            </w:pPr>
            <w:r>
              <w:rPr>
                <w:sz w:val="21"/>
              </w:rPr>
              <w:t>前条规定的合同解除权，自我们知道有解除事由之日起，超过 30 日不行</w:t>
            </w:r>
          </w:p>
          <w:p>
            <w:pPr>
              <w:pStyle w:val="TableParagraph"/>
              <w:spacing w:line="273" w:lineRule="auto" w:before="37"/>
              <w:ind w:left="215" w:right="197"/>
              <w:rPr>
                <w:sz w:val="21"/>
              </w:rPr>
            </w:pPr>
            <w:r>
              <w:rPr>
                <w:spacing w:val="-4"/>
                <w:sz w:val="21"/>
              </w:rPr>
              <w:t>使而消灭。自本附加险合同成立之日起超过 </w:t>
            </w:r>
            <w:r>
              <w:rPr>
                <w:sz w:val="21"/>
              </w:rPr>
              <w:t>2</w:t>
            </w:r>
            <w:r>
              <w:rPr>
                <w:spacing w:val="-8"/>
                <w:sz w:val="21"/>
              </w:rPr>
              <w:t> 年的，我们不得解除合同； 发生保险事故的，我们承担给付保险金的责任。</w:t>
            </w:r>
          </w:p>
        </w:tc>
      </w:tr>
      <w:tr>
        <w:trPr>
          <w:trHeight w:val="3744" w:hRule="atLeast"/>
        </w:trPr>
        <w:tc>
          <w:tcPr>
            <w:tcW w:w="787" w:type="dxa"/>
          </w:tcPr>
          <w:p>
            <w:pPr>
              <w:pStyle w:val="TableParagraph"/>
              <w:spacing w:before="142"/>
              <w:ind w:left="181" w:right="248"/>
              <w:jc w:val="center"/>
              <w:rPr>
                <w:b/>
                <w:sz w:val="21"/>
              </w:rPr>
            </w:pPr>
            <w:r>
              <w:rPr>
                <w:b/>
                <w:sz w:val="21"/>
              </w:rPr>
              <w:t>8.3</w:t>
            </w:r>
          </w:p>
        </w:tc>
        <w:tc>
          <w:tcPr>
            <w:tcW w:w="1741" w:type="dxa"/>
          </w:tcPr>
          <w:p>
            <w:pPr>
              <w:pStyle w:val="TableParagraph"/>
              <w:spacing w:before="142"/>
              <w:ind w:left="269"/>
              <w:rPr>
                <w:b/>
                <w:sz w:val="21"/>
              </w:rPr>
            </w:pPr>
            <w:r>
              <w:rPr>
                <w:b/>
                <w:sz w:val="21"/>
              </w:rPr>
              <w:t>年龄错误</w:t>
            </w:r>
          </w:p>
        </w:tc>
        <w:tc>
          <w:tcPr>
            <w:tcW w:w="7130" w:type="dxa"/>
          </w:tcPr>
          <w:p>
            <w:pPr>
              <w:pStyle w:val="TableParagraph"/>
              <w:spacing w:line="273" w:lineRule="auto" w:before="142"/>
              <w:ind w:left="209" w:right="303"/>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9" w:val="left" w:leader="none"/>
              </w:tabs>
              <w:spacing w:line="273" w:lineRule="auto" w:before="7" w:after="0"/>
              <w:ind w:left="787" w:right="251"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9" w:val="left" w:leader="none"/>
              </w:tabs>
              <w:spacing w:line="273" w:lineRule="auto" w:before="7" w:after="0"/>
              <w:ind w:left="787" w:right="250"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9" w:val="left" w:leader="none"/>
              </w:tabs>
              <w:spacing w:line="273" w:lineRule="auto" w:before="7" w:after="0"/>
              <w:ind w:left="787" w:right="302" w:hanging="578"/>
              <w:jc w:val="both"/>
              <w:rPr>
                <w:sz w:val="21"/>
              </w:rPr>
            </w:pPr>
            <w:r>
              <w:rPr>
                <w:spacing w:val="-4"/>
                <w:sz w:val="21"/>
              </w:rPr>
              <w:t>您申报的被保险人年龄不真实，致使您支付的保险费多于应交保险费的，我们会将多收的保险费无息退还给您。</w:t>
            </w:r>
          </w:p>
        </w:tc>
      </w:tr>
      <w:tr>
        <w:trPr>
          <w:trHeight w:val="936" w:hRule="atLeast"/>
        </w:trPr>
        <w:tc>
          <w:tcPr>
            <w:tcW w:w="787" w:type="dxa"/>
          </w:tcPr>
          <w:p>
            <w:pPr>
              <w:pStyle w:val="TableParagraph"/>
              <w:spacing w:before="142"/>
              <w:ind w:left="181" w:right="248"/>
              <w:jc w:val="center"/>
              <w:rPr>
                <w:b/>
                <w:sz w:val="21"/>
              </w:rPr>
            </w:pPr>
            <w:r>
              <w:rPr>
                <w:b/>
                <w:sz w:val="21"/>
              </w:rPr>
              <w:t>8.4</w:t>
            </w:r>
          </w:p>
        </w:tc>
        <w:tc>
          <w:tcPr>
            <w:tcW w:w="1741" w:type="dxa"/>
          </w:tcPr>
          <w:p>
            <w:pPr>
              <w:pStyle w:val="TableParagraph"/>
              <w:spacing w:before="142"/>
              <w:ind w:left="269"/>
              <w:rPr>
                <w:b/>
                <w:sz w:val="21"/>
              </w:rPr>
            </w:pPr>
            <w:r>
              <w:rPr>
                <w:b/>
                <w:sz w:val="21"/>
              </w:rPr>
              <w:t>未还款项</w:t>
            </w:r>
          </w:p>
        </w:tc>
        <w:tc>
          <w:tcPr>
            <w:tcW w:w="7130" w:type="dxa"/>
          </w:tcPr>
          <w:p>
            <w:pPr>
              <w:pStyle w:val="TableParagraph"/>
              <w:spacing w:line="273" w:lineRule="auto" w:before="142"/>
              <w:ind w:left="209" w:right="302"/>
              <w:rPr>
                <w:sz w:val="21"/>
              </w:rPr>
            </w:pPr>
            <w:r>
              <w:rPr>
                <w:spacing w:val="-8"/>
                <w:sz w:val="21"/>
              </w:rPr>
              <w:t>我们在给付保险金、退还现金价值或返还保险费时，如果您有欠交的保险费或其他未还清款项，我们会在扣除上述欠款后给付。</w:t>
            </w:r>
          </w:p>
        </w:tc>
      </w:tr>
      <w:tr>
        <w:trPr>
          <w:trHeight w:val="2495" w:hRule="atLeast"/>
        </w:trPr>
        <w:tc>
          <w:tcPr>
            <w:tcW w:w="787" w:type="dxa"/>
          </w:tcPr>
          <w:p>
            <w:pPr>
              <w:pStyle w:val="TableParagraph"/>
              <w:spacing w:before="142"/>
              <w:ind w:left="181" w:right="248"/>
              <w:jc w:val="center"/>
              <w:rPr>
                <w:b/>
                <w:sz w:val="21"/>
              </w:rPr>
            </w:pPr>
            <w:r>
              <w:rPr>
                <w:b/>
                <w:sz w:val="21"/>
              </w:rPr>
              <w:t>8.5</w:t>
            </w:r>
          </w:p>
        </w:tc>
        <w:tc>
          <w:tcPr>
            <w:tcW w:w="1741" w:type="dxa"/>
          </w:tcPr>
          <w:p>
            <w:pPr>
              <w:pStyle w:val="TableParagraph"/>
              <w:spacing w:before="142"/>
              <w:ind w:left="269"/>
              <w:rPr>
                <w:b/>
                <w:sz w:val="21"/>
              </w:rPr>
            </w:pPr>
            <w:r>
              <w:rPr>
                <w:b/>
                <w:sz w:val="21"/>
              </w:rPr>
              <w:t>效力终止</w:t>
            </w:r>
          </w:p>
        </w:tc>
        <w:tc>
          <w:tcPr>
            <w:tcW w:w="7130" w:type="dxa"/>
          </w:tcPr>
          <w:p>
            <w:pPr>
              <w:pStyle w:val="TableParagraph"/>
              <w:spacing w:before="142"/>
              <w:ind w:left="209"/>
              <w:rPr>
                <w:sz w:val="21"/>
              </w:rPr>
            </w:pPr>
            <w:r>
              <w:rPr>
                <w:sz w:val="21"/>
              </w:rPr>
              <w:t>发生下列情况之一时，本附加险合同效力终止：</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主险合同效力终止；</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您申请解除主险合同或将主险合同变更为减额交清保险；</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被保险人初次发生本附加险合同约定的重大疾病；</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您申请单独解除本附加险合同；</w:t>
            </w:r>
          </w:p>
          <w:p>
            <w:pPr>
              <w:pStyle w:val="TableParagraph"/>
              <w:numPr>
                <w:ilvl w:val="0"/>
                <w:numId w:val="6"/>
              </w:numPr>
              <w:tabs>
                <w:tab w:pos="841" w:val="left" w:leader="none"/>
              </w:tabs>
              <w:spacing w:line="240" w:lineRule="auto" w:before="37" w:after="0"/>
              <w:ind w:left="840"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其他可导致本附加险合同效力终止的情况。</w:t>
            </w:r>
          </w:p>
        </w:tc>
      </w:tr>
      <w:tr>
        <w:trPr>
          <w:trHeight w:val="1665" w:hRule="atLeast"/>
        </w:trPr>
        <w:tc>
          <w:tcPr>
            <w:tcW w:w="787" w:type="dxa"/>
          </w:tcPr>
          <w:p>
            <w:pPr>
              <w:pStyle w:val="TableParagraph"/>
              <w:spacing w:before="142"/>
              <w:ind w:left="181" w:right="248"/>
              <w:jc w:val="center"/>
              <w:rPr>
                <w:b/>
                <w:sz w:val="21"/>
              </w:rPr>
            </w:pPr>
            <w:r>
              <w:rPr>
                <w:b/>
                <w:sz w:val="21"/>
              </w:rPr>
              <w:t>8.6</w:t>
            </w:r>
          </w:p>
        </w:tc>
        <w:tc>
          <w:tcPr>
            <w:tcW w:w="1741" w:type="dxa"/>
          </w:tcPr>
          <w:p>
            <w:pPr>
              <w:pStyle w:val="TableParagraph"/>
              <w:spacing w:line="273" w:lineRule="auto" w:before="142"/>
              <w:ind w:left="269" w:right="206"/>
              <w:rPr>
                <w:b/>
                <w:sz w:val="21"/>
              </w:rPr>
            </w:pPr>
            <w:r>
              <w:rPr>
                <w:b/>
                <w:sz w:val="21"/>
              </w:rPr>
              <w:t>适用主险合同条款</w:t>
            </w:r>
          </w:p>
        </w:tc>
        <w:tc>
          <w:tcPr>
            <w:tcW w:w="7130" w:type="dxa"/>
          </w:tcPr>
          <w:p>
            <w:pPr>
              <w:pStyle w:val="TableParagraph"/>
              <w:spacing w:before="142"/>
              <w:ind w:left="209"/>
              <w:rPr>
                <w:sz w:val="21"/>
              </w:rPr>
            </w:pPr>
            <w:r>
              <w:rPr>
                <w:sz w:val="21"/>
              </w:rPr>
              <w:t>下列各项条款，适用主险合同条款：</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合同内容变更；</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联系方式变更；</w:t>
            </w:r>
          </w:p>
          <w:p>
            <w:pPr>
              <w:pStyle w:val="TableParagraph"/>
              <w:numPr>
                <w:ilvl w:val="0"/>
                <w:numId w:val="7"/>
              </w:numPr>
              <w:tabs>
                <w:tab w:pos="841" w:val="left" w:leader="none"/>
              </w:tabs>
              <w:spacing w:line="255" w:lineRule="exact" w:before="36" w:after="0"/>
              <w:ind w:left="840" w:right="0" w:hanging="631"/>
              <w:jc w:val="left"/>
              <w:rPr>
                <w:sz w:val="21"/>
              </w:rPr>
            </w:pPr>
            <w:r>
              <w:rPr>
                <w:spacing w:val="-1"/>
                <w:sz w:val="21"/>
              </w:rPr>
              <w:t>争议处理；</w:t>
            </w:r>
          </w:p>
        </w:tc>
      </w:tr>
    </w:tbl>
    <w:p>
      <w:pPr>
        <w:spacing w:after="0" w:line="255" w:lineRule="exact"/>
        <w:jc w:val="left"/>
        <w:rPr>
          <w:sz w:val="21"/>
        </w:rPr>
        <w:sectPr>
          <w:pgSz w:w="11910" w:h="16840"/>
          <w:pgMar w:header="899" w:footer="994" w:top="1220" w:bottom="1180" w:left="1020" w:right="1000"/>
        </w:sectPr>
      </w:pPr>
    </w:p>
    <w:p>
      <w:pPr>
        <w:pStyle w:val="BodyText"/>
        <w:spacing w:before="4"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410"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line="210" w:lineRule="exact"/>
              <w:ind w:left="209"/>
              <w:rPr>
                <w:sz w:val="21"/>
              </w:rPr>
            </w:pPr>
            <w:r>
              <w:rPr>
                <w:sz w:val="21"/>
              </w:rPr>
              <w:t>（5） 本附加险合同中其他未明事项。</w:t>
            </w:r>
          </w:p>
        </w:tc>
      </w:tr>
      <w:tr>
        <w:trPr>
          <w:trHeight w:val="785"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247"/>
              <w:ind w:left="196"/>
              <w:rPr>
                <w:b/>
                <w:sz w:val="28"/>
              </w:rPr>
            </w:pPr>
            <w:r>
              <w:rPr>
                <w:b/>
                <w:w w:val="95"/>
                <w:sz w:val="28"/>
              </w:rPr>
              <w:t>释义</w:t>
            </w:r>
          </w:p>
        </w:tc>
        <w:tc>
          <w:tcPr>
            <w:tcW w:w="6932" w:type="dxa"/>
            <w:tcBorders>
              <w:bottom w:val="single" w:sz="8" w:space="0" w:color="000000"/>
            </w:tcBorders>
          </w:tcPr>
          <w:p>
            <w:pPr>
              <w:pStyle w:val="TableParagraph"/>
              <w:rPr>
                <w:rFonts w:ascii="Times New Roman"/>
                <w:sz w:val="20"/>
              </w:rPr>
            </w:pPr>
          </w:p>
        </w:tc>
      </w:tr>
      <w:tr>
        <w:trPr>
          <w:trHeight w:val="1092" w:hRule="atLeast"/>
        </w:trPr>
        <w:tc>
          <w:tcPr>
            <w:tcW w:w="768" w:type="dxa"/>
            <w:tcBorders>
              <w:top w:val="single" w:sz="8" w:space="0" w:color="000000"/>
            </w:tcBorders>
          </w:tcPr>
          <w:p>
            <w:pPr>
              <w:pStyle w:val="TableParagraph"/>
              <w:spacing w:before="10"/>
              <w:rPr>
                <w:rFonts w:ascii="Times New Roman"/>
                <w:sz w:val="25"/>
              </w:rPr>
            </w:pPr>
          </w:p>
          <w:p>
            <w:pPr>
              <w:pStyle w:val="TableParagraph"/>
              <w:spacing w:before="1"/>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spacing w:before="1"/>
              <w:ind w:left="196"/>
              <w:rPr>
                <w:b/>
                <w:sz w:val="21"/>
              </w:rPr>
            </w:pPr>
            <w:r>
              <w:rPr>
                <w:b/>
                <w:sz w:val="21"/>
              </w:rPr>
              <w:t>周岁</w:t>
            </w:r>
          </w:p>
        </w:tc>
        <w:tc>
          <w:tcPr>
            <w:tcW w:w="6932" w:type="dxa"/>
            <w:tcBorders>
              <w:top w:val="single" w:sz="8" w:space="0" w:color="000000"/>
            </w:tcBorders>
          </w:tcPr>
          <w:p>
            <w:pPr>
              <w:pStyle w:val="TableParagraph"/>
              <w:spacing w:before="10"/>
              <w:rPr>
                <w:rFonts w:ascii="Times New Roman"/>
                <w:sz w:val="25"/>
              </w:rPr>
            </w:pPr>
          </w:p>
          <w:p>
            <w:pPr>
              <w:pStyle w:val="TableParagraph"/>
              <w:spacing w:line="273" w:lineRule="auto" w:before="1"/>
              <w:ind w:left="209" w:right="210"/>
              <w:rPr>
                <w:sz w:val="21"/>
              </w:rPr>
            </w:pPr>
            <w:r>
              <w:rPr>
                <w:sz w:val="21"/>
              </w:rPr>
              <w:t>指按有效身份证件中记载的出生日期计算的年龄，自出生之日起为零周岁，每经过一年增加一岁，不足一年的不计。</w:t>
            </w:r>
          </w:p>
        </w:tc>
      </w:tr>
      <w:tr>
        <w:trPr>
          <w:trHeight w:val="1247" w:hRule="atLeast"/>
        </w:trPr>
        <w:tc>
          <w:tcPr>
            <w:tcW w:w="768" w:type="dxa"/>
          </w:tcPr>
          <w:p>
            <w:pPr>
              <w:pStyle w:val="TableParagraph"/>
              <w:spacing w:before="142"/>
              <w:ind w:left="107"/>
              <w:rPr>
                <w:b/>
                <w:sz w:val="21"/>
              </w:rPr>
            </w:pPr>
            <w:r>
              <w:rPr>
                <w:b/>
                <w:sz w:val="21"/>
              </w:rPr>
              <w:t>9.2</w:t>
            </w:r>
          </w:p>
        </w:tc>
        <w:tc>
          <w:tcPr>
            <w:tcW w:w="1668" w:type="dxa"/>
          </w:tcPr>
          <w:p>
            <w:pPr>
              <w:pStyle w:val="TableParagraph"/>
              <w:spacing w:before="142"/>
              <w:ind w:left="196"/>
              <w:rPr>
                <w:b/>
                <w:sz w:val="21"/>
              </w:rPr>
            </w:pPr>
            <w:r>
              <w:rPr>
                <w:b/>
                <w:w w:val="95"/>
                <w:sz w:val="21"/>
              </w:rPr>
              <w:t>有效身份证件</w:t>
            </w:r>
          </w:p>
        </w:tc>
        <w:tc>
          <w:tcPr>
            <w:tcW w:w="6932" w:type="dxa"/>
          </w:tcPr>
          <w:p>
            <w:pPr>
              <w:pStyle w:val="TableParagraph"/>
              <w:spacing w:line="273" w:lineRule="auto" w:before="142"/>
              <w:ind w:left="209"/>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702" w:hRule="atLeast"/>
        </w:trPr>
        <w:tc>
          <w:tcPr>
            <w:tcW w:w="768" w:type="dxa"/>
          </w:tcPr>
          <w:p>
            <w:pPr>
              <w:pStyle w:val="TableParagraph"/>
              <w:spacing w:before="142"/>
              <w:ind w:left="107"/>
              <w:rPr>
                <w:b/>
                <w:sz w:val="21"/>
              </w:rPr>
            </w:pPr>
            <w:r>
              <w:rPr>
                <w:b/>
                <w:sz w:val="21"/>
              </w:rPr>
              <w:t>9.3</w:t>
            </w:r>
          </w:p>
        </w:tc>
        <w:tc>
          <w:tcPr>
            <w:tcW w:w="1668" w:type="dxa"/>
          </w:tcPr>
          <w:p>
            <w:pPr>
              <w:pStyle w:val="TableParagraph"/>
              <w:spacing w:before="142"/>
              <w:ind w:left="196"/>
              <w:rPr>
                <w:b/>
                <w:sz w:val="21"/>
              </w:rPr>
            </w:pPr>
            <w:r>
              <w:rPr>
                <w:b/>
                <w:sz w:val="21"/>
              </w:rPr>
              <w:t>重大疾病</w:t>
            </w:r>
          </w:p>
        </w:tc>
        <w:tc>
          <w:tcPr>
            <w:tcW w:w="6932" w:type="dxa"/>
          </w:tcPr>
          <w:p>
            <w:pPr>
              <w:pStyle w:val="TableParagraph"/>
              <w:spacing w:before="142"/>
              <w:ind w:left="209"/>
              <w:rPr>
                <w:sz w:val="21"/>
              </w:rPr>
            </w:pPr>
            <w:r>
              <w:rPr>
                <w:sz w:val="21"/>
              </w:rPr>
              <w:t>指下面列出的 50 种重大疾病：</w:t>
            </w:r>
          </w:p>
        </w:tc>
      </w:tr>
      <w:tr>
        <w:trPr>
          <w:trHeight w:val="3978" w:hRule="atLeast"/>
        </w:trPr>
        <w:tc>
          <w:tcPr>
            <w:tcW w:w="768" w:type="dxa"/>
          </w:tcPr>
          <w:p>
            <w:pPr>
              <w:pStyle w:val="TableParagraph"/>
              <w:rPr>
                <w:rFonts w:ascii="Times New Roman"/>
                <w:sz w:val="20"/>
              </w:rPr>
            </w:pPr>
          </w:p>
        </w:tc>
        <w:tc>
          <w:tcPr>
            <w:tcW w:w="1668" w:type="dxa"/>
          </w:tcPr>
          <w:p>
            <w:pPr>
              <w:pStyle w:val="TableParagraph"/>
              <w:spacing w:before="8"/>
              <w:rPr>
                <w:rFonts w:ascii="Times New Roman"/>
                <w:sz w:val="27"/>
              </w:rPr>
            </w:pPr>
          </w:p>
          <w:p>
            <w:pPr>
              <w:pStyle w:val="TableParagraph"/>
              <w:ind w:left="196"/>
              <w:rPr>
                <w:rFonts w:ascii="Microsoft JhengHei" w:eastAsia="Microsoft JhengHei" w:hint="eastAsia"/>
                <w:b/>
                <w:sz w:val="21"/>
              </w:rPr>
            </w:pPr>
            <w:r>
              <w:rPr>
                <w:rFonts w:ascii="Microsoft JhengHei" w:eastAsia="Microsoft JhengHei" w:hint="eastAsia"/>
                <w:b/>
                <w:sz w:val="21"/>
              </w:rPr>
              <w:t>恶性肿瘤</w:t>
            </w:r>
          </w:p>
        </w:tc>
        <w:tc>
          <w:tcPr>
            <w:tcW w:w="6932" w:type="dxa"/>
          </w:tcPr>
          <w:p>
            <w:pPr>
              <w:pStyle w:val="TableParagraph"/>
              <w:spacing w:before="1"/>
              <w:rPr>
                <w:rFonts w:ascii="Times New Roman"/>
                <w:sz w:val="19"/>
              </w:rPr>
            </w:pPr>
          </w:p>
          <w:p>
            <w:pPr>
              <w:pStyle w:val="TableParagraph"/>
              <w:spacing w:line="273" w:lineRule="auto"/>
              <w:ind w:left="209" w:right="103"/>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209"/>
              <w:jc w:val="both"/>
              <w:rPr>
                <w:sz w:val="21"/>
              </w:rPr>
            </w:pPr>
            <w:r>
              <w:rPr>
                <w:sz w:val="21"/>
              </w:rPr>
              <w:t>下列疾病不在保障范围内：</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原位癌；</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1" w:val="left" w:leader="none"/>
              </w:tabs>
              <w:spacing w:line="240" w:lineRule="auto" w:before="36" w:after="0"/>
              <w:ind w:left="840"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0" w:val="left" w:leader="none"/>
              </w:tabs>
              <w:spacing w:line="240" w:lineRule="auto" w:before="36" w:after="0"/>
              <w:ind w:left="839"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感染艾滋病病毒或患艾滋病期间所患恶性肿瘤。</w:t>
            </w:r>
          </w:p>
        </w:tc>
      </w:tr>
      <w:tr>
        <w:trPr>
          <w:trHeight w:val="3119"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急性心肌梗塞</w:t>
            </w:r>
          </w:p>
        </w:tc>
        <w:tc>
          <w:tcPr>
            <w:tcW w:w="6932" w:type="dxa"/>
          </w:tcPr>
          <w:p>
            <w:pPr>
              <w:pStyle w:val="TableParagraph"/>
              <w:spacing w:before="10"/>
              <w:rPr>
                <w:rFonts w:ascii="Times New Roman"/>
                <w:sz w:val="25"/>
              </w:rPr>
            </w:pPr>
          </w:p>
          <w:p>
            <w:pPr>
              <w:pStyle w:val="TableParagraph"/>
              <w:spacing w:line="273" w:lineRule="auto"/>
              <w:ind w:left="209" w:right="105"/>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1" w:val="left" w:leader="none"/>
              </w:tabs>
              <w:spacing w:line="240" w:lineRule="auto" w:before="7" w:after="0"/>
              <w:ind w:left="845" w:right="0" w:hanging="636"/>
              <w:jc w:val="left"/>
              <w:rPr>
                <w:sz w:val="21"/>
              </w:rPr>
            </w:pPr>
            <w:r>
              <w:rPr>
                <w:spacing w:val="-1"/>
                <w:sz w:val="21"/>
              </w:rPr>
              <w:t>典型临床表现，例如急性胸痛等；</w:t>
            </w:r>
          </w:p>
          <w:p>
            <w:pPr>
              <w:pStyle w:val="TableParagraph"/>
              <w:numPr>
                <w:ilvl w:val="0"/>
                <w:numId w:val="9"/>
              </w:numPr>
              <w:tabs>
                <w:tab w:pos="841" w:val="left" w:leader="none"/>
              </w:tabs>
              <w:spacing w:line="240" w:lineRule="auto" w:before="37" w:after="0"/>
              <w:ind w:left="845" w:right="0" w:hanging="636"/>
              <w:jc w:val="left"/>
              <w:rPr>
                <w:sz w:val="21"/>
              </w:rPr>
            </w:pPr>
            <w:r>
              <w:rPr>
                <w:spacing w:val="-1"/>
                <w:sz w:val="21"/>
              </w:rPr>
              <w:t>新近的心电图改变提示急性心肌梗塞；</w:t>
            </w:r>
          </w:p>
          <w:p>
            <w:pPr>
              <w:pStyle w:val="TableParagraph"/>
              <w:numPr>
                <w:ilvl w:val="0"/>
                <w:numId w:val="9"/>
              </w:numPr>
              <w:tabs>
                <w:tab w:pos="789" w:val="left" w:leader="none"/>
              </w:tabs>
              <w:spacing w:line="273" w:lineRule="auto" w:before="37" w:after="0"/>
              <w:ind w:left="845" w:right="104"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1" w:val="left" w:leader="none"/>
              </w:tabs>
              <w:spacing w:line="273" w:lineRule="auto" w:before="7" w:after="0"/>
              <w:ind w:left="845" w:right="105"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r>
        <w:trPr>
          <w:trHeight w:val="2133"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脑中风后遗症</w:t>
            </w:r>
          </w:p>
        </w:tc>
        <w:tc>
          <w:tcPr>
            <w:tcW w:w="6932" w:type="dxa"/>
          </w:tcPr>
          <w:p>
            <w:pPr>
              <w:pStyle w:val="TableParagraph"/>
              <w:spacing w:before="10"/>
              <w:rPr>
                <w:rFonts w:ascii="Times New Roman"/>
                <w:sz w:val="25"/>
              </w:rPr>
            </w:pPr>
          </w:p>
          <w:p>
            <w:pPr>
              <w:pStyle w:val="TableParagraph"/>
              <w:spacing w:line="273" w:lineRule="auto"/>
              <w:ind w:left="209" w:right="103"/>
              <w:jc w:val="both"/>
              <w:rPr>
                <w:sz w:val="21"/>
              </w:rPr>
            </w:pPr>
            <w:r>
              <w:rPr>
                <w:spacing w:val="-6"/>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0"/>
              </w:numPr>
              <w:tabs>
                <w:tab w:pos="841" w:val="left" w:leader="none"/>
              </w:tabs>
              <w:spacing w:line="240" w:lineRule="auto" w:before="7" w:after="0"/>
              <w:ind w:left="840" w:right="0" w:hanging="631"/>
              <w:jc w:val="both"/>
              <w:rPr>
                <w:sz w:val="21"/>
              </w:rPr>
            </w:pPr>
            <w:r>
              <w:rPr>
                <w:w w:val="95"/>
                <w:sz w:val="21"/>
              </w:rPr>
              <w:t>一肢或一肢以上</w:t>
            </w:r>
            <w:r>
              <w:rPr>
                <w:b/>
                <w:w w:val="95"/>
                <w:sz w:val="21"/>
              </w:rPr>
              <w:t>肢体机能完全丧失</w:t>
            </w:r>
            <w:r>
              <w:rPr>
                <w:w w:val="95"/>
                <w:sz w:val="21"/>
              </w:rPr>
              <w:t>；</w:t>
            </w:r>
          </w:p>
          <w:p>
            <w:pPr>
              <w:pStyle w:val="TableParagraph"/>
              <w:numPr>
                <w:ilvl w:val="0"/>
                <w:numId w:val="10"/>
              </w:numPr>
              <w:tabs>
                <w:tab w:pos="841" w:val="left" w:leader="none"/>
              </w:tabs>
              <w:spacing w:line="240" w:lineRule="auto" w:before="37" w:after="0"/>
              <w:ind w:left="840" w:right="0" w:hanging="631"/>
              <w:jc w:val="both"/>
              <w:rPr>
                <w:sz w:val="21"/>
              </w:rPr>
            </w:pPr>
            <w:r>
              <w:rPr>
                <w:b/>
                <w:w w:val="95"/>
                <w:sz w:val="21"/>
              </w:rPr>
              <w:t>语言能力或咀嚼吞咽能力完全丧失</w:t>
            </w:r>
            <w:r>
              <w:rPr>
                <w:w w:val="95"/>
                <w:sz w:val="21"/>
              </w:rPr>
              <w:t>；</w:t>
            </w:r>
          </w:p>
          <w:p>
            <w:pPr>
              <w:pStyle w:val="TableParagraph"/>
              <w:numPr>
                <w:ilvl w:val="0"/>
                <w:numId w:val="10"/>
              </w:numPr>
              <w:tabs>
                <w:tab w:pos="853" w:val="left" w:leader="none"/>
              </w:tabs>
              <w:spacing w:line="255" w:lineRule="exact" w:before="37" w:after="0"/>
              <w:ind w:left="852" w:right="0" w:hanging="643"/>
              <w:jc w:val="both"/>
              <w:rPr>
                <w:sz w:val="21"/>
              </w:rPr>
            </w:pPr>
            <w:r>
              <w:rPr>
                <w:sz w:val="21"/>
              </w:rPr>
              <w:t>自主生活能力完全丧失，无法独立完成</w:t>
            </w:r>
            <w:r>
              <w:rPr>
                <w:b/>
                <w:sz w:val="21"/>
              </w:rPr>
              <w:t>六项基本日常生活活动</w:t>
            </w:r>
            <w:r>
              <w:rPr>
                <w:sz w:val="21"/>
              </w:rPr>
              <w:t>中</w:t>
            </w:r>
          </w:p>
        </w:tc>
      </w:tr>
    </w:tbl>
    <w:p>
      <w:pPr>
        <w:spacing w:after="0" w:line="255" w:lineRule="exact"/>
        <w:jc w:val="both"/>
        <w:rPr>
          <w:sz w:val="21"/>
        </w:rPr>
        <w:sectPr>
          <w:pgSz w:w="11910" w:h="16840"/>
          <w:pgMar w:header="899" w:footer="994" w:top="1220" w:bottom="1180" w:left="1120" w:right="12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6"/>
      </w:tblGrid>
      <w:tr>
        <w:trPr>
          <w:trHeight w:val="572" w:hRule="atLeast"/>
        </w:trPr>
        <w:tc>
          <w:tcPr>
            <w:tcW w:w="1776" w:type="dxa"/>
          </w:tcPr>
          <w:p>
            <w:pPr>
              <w:pStyle w:val="TableParagraph"/>
              <w:rPr>
                <w:rFonts w:ascii="Times New Roman"/>
                <w:sz w:val="20"/>
              </w:rPr>
            </w:pPr>
          </w:p>
        </w:tc>
        <w:tc>
          <w:tcPr>
            <w:tcW w:w="7026" w:type="dxa"/>
          </w:tcPr>
          <w:p>
            <w:pPr>
              <w:pStyle w:val="TableParagraph"/>
              <w:spacing w:line="210" w:lineRule="exact"/>
              <w:ind w:left="740"/>
              <w:rPr>
                <w:sz w:val="21"/>
              </w:rPr>
            </w:pPr>
            <w:r>
              <w:rPr>
                <w:sz w:val="21"/>
              </w:rPr>
              <w:t>的三项或三项以上。</w:t>
            </w:r>
          </w:p>
        </w:tc>
      </w:tr>
      <w:tr>
        <w:trPr>
          <w:trHeight w:val="2436" w:hRule="atLeast"/>
        </w:trPr>
        <w:tc>
          <w:tcPr>
            <w:tcW w:w="1776" w:type="dxa"/>
          </w:tcPr>
          <w:p>
            <w:pPr>
              <w:pStyle w:val="TableParagraph"/>
              <w:spacing w:before="5"/>
              <w:rPr>
                <w:rFonts w:ascii="Times New Roman"/>
                <w:sz w:val="34"/>
              </w:rPr>
            </w:pPr>
          </w:p>
          <w:p>
            <w:pPr>
              <w:pStyle w:val="TableParagraph"/>
              <w:spacing w:line="410" w:lineRule="auto" w:before="1"/>
              <w:ind w:left="200" w:right="31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6" w:type="dxa"/>
          </w:tcPr>
          <w:p>
            <w:pPr>
              <w:pStyle w:val="TableParagraph"/>
              <w:spacing w:before="10"/>
              <w:rPr>
                <w:rFonts w:ascii="Times New Roman"/>
                <w:sz w:val="25"/>
              </w:rPr>
            </w:pPr>
          </w:p>
          <w:p>
            <w:pPr>
              <w:pStyle w:val="TableParagraph"/>
              <w:spacing w:line="273" w:lineRule="auto"/>
              <w:ind w:left="104" w:right="304"/>
              <w:rPr>
                <w:sz w:val="21"/>
              </w:rPr>
            </w:pPr>
            <w:r>
              <w:rPr>
                <w:spacing w:val="-8"/>
                <w:sz w:val="21"/>
              </w:rPr>
              <w:t>重大器官移植术，指因相应器官功能衰竭，已经实施了肾脏、肝脏、心脏或肺脏的异体移植手术。</w:t>
            </w:r>
          </w:p>
          <w:p>
            <w:pPr>
              <w:pStyle w:val="TableParagraph"/>
              <w:spacing w:line="273" w:lineRule="auto" w:before="7"/>
              <w:ind w:left="104"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5"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10"/>
                <w:sz w:val="21"/>
              </w:rPr>
              <w:t>指为治疗严重的冠心病，实际实施了开胸进行的冠状动脉血管旁路移植的手术。</w:t>
            </w:r>
          </w:p>
          <w:p>
            <w:pPr>
              <w:pStyle w:val="TableParagraph"/>
              <w:spacing w:line="273" w:lineRule="auto" w:before="7"/>
              <w:ind w:left="104" w:right="302"/>
              <w:rPr>
                <w:sz w:val="21"/>
              </w:rPr>
            </w:pPr>
            <w:r>
              <w:rPr>
                <w:spacing w:val="-9"/>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6"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4"/>
                <w:sz w:val="21"/>
              </w:rPr>
              <w:t>指因疾病或意外伤害导致两个或两个以上肢体自腕关节或踝关节近端</w:t>
            </w:r>
            <w:r>
              <w:rPr>
                <w:sz w:val="21"/>
              </w:rPr>
              <w:t>（靠近躯干端）以上完全性断离。</w:t>
            </w:r>
          </w:p>
        </w:tc>
      </w:tr>
      <w:tr>
        <w:trPr>
          <w:trHeight w:val="2340"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6" w:type="dxa"/>
          </w:tcPr>
          <w:p>
            <w:pPr>
              <w:pStyle w:val="TableParagraph"/>
              <w:spacing w:before="10"/>
              <w:rPr>
                <w:rFonts w:ascii="Times New Roman"/>
                <w:sz w:val="25"/>
              </w:rPr>
            </w:pPr>
          </w:p>
          <w:p>
            <w:pPr>
              <w:pStyle w:val="TableParagraph"/>
              <w:spacing w:line="273" w:lineRule="auto"/>
              <w:ind w:left="104" w:right="302"/>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1977" w:hRule="atLeast"/>
        </w:trPr>
        <w:tc>
          <w:tcPr>
            <w:tcW w:w="177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026" w:type="dxa"/>
          </w:tcPr>
          <w:p>
            <w:pPr>
              <w:pStyle w:val="TableParagraph"/>
              <w:spacing w:line="273" w:lineRule="auto" w:before="142"/>
              <w:ind w:left="104" w:right="200"/>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 并须满足下列至少一项条件：</w:t>
            </w:r>
          </w:p>
          <w:p>
            <w:pPr>
              <w:pStyle w:val="TableParagraph"/>
              <w:numPr>
                <w:ilvl w:val="0"/>
                <w:numId w:val="12"/>
              </w:numPr>
              <w:tabs>
                <w:tab w:pos="736" w:val="left" w:leader="none"/>
              </w:tabs>
              <w:spacing w:line="240" w:lineRule="auto" w:before="7" w:after="0"/>
              <w:ind w:left="735" w:right="0" w:hanging="631"/>
              <w:jc w:val="left"/>
              <w:rPr>
                <w:sz w:val="21"/>
              </w:rPr>
            </w:pPr>
            <w:r>
              <w:rPr>
                <w:spacing w:val="-1"/>
                <w:sz w:val="21"/>
              </w:rPr>
              <w:t>实际实施了开颅进行的脑肿瘤完全切除或部分切除的手术；</w:t>
            </w:r>
          </w:p>
          <w:p>
            <w:pPr>
              <w:pStyle w:val="TableParagraph"/>
              <w:numPr>
                <w:ilvl w:val="0"/>
                <w:numId w:val="12"/>
              </w:numPr>
              <w:tabs>
                <w:tab w:pos="736" w:val="left" w:leader="none"/>
              </w:tabs>
              <w:spacing w:line="255" w:lineRule="exact" w:before="36" w:after="0"/>
              <w:ind w:left="735" w:right="0" w:hanging="631"/>
              <w:jc w:val="left"/>
              <w:rPr>
                <w:sz w:val="21"/>
              </w:rPr>
            </w:pPr>
            <w:r>
              <w:rPr>
                <w:spacing w:val="-1"/>
                <w:sz w:val="21"/>
              </w:rPr>
              <w:t>实际实施了对脑肿瘤进行的放射治疗。</w:t>
            </w:r>
          </w:p>
        </w:tc>
      </w:tr>
    </w:tbl>
    <w:p>
      <w:pPr>
        <w:spacing w:after="0" w:line="255" w:lineRule="exact"/>
        <w:jc w:val="lef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57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脑垂体瘤、脑囊肿、脑血管性疾病不在保障范围内。</w:t>
            </w:r>
          </w:p>
        </w:tc>
      </w:tr>
      <w:tr>
        <w:trPr>
          <w:trHeight w:val="2495" w:hRule="atLeast"/>
        </w:trPr>
        <w:tc>
          <w:tcPr>
            <w:tcW w:w="1670" w:type="dxa"/>
          </w:tcPr>
          <w:p>
            <w:pPr>
              <w:pStyle w:val="TableParagraph"/>
              <w:spacing w:before="5"/>
              <w:rPr>
                <w:rFonts w:ascii="Times New Roman"/>
                <w:sz w:val="34"/>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30" w:type="dxa"/>
          </w:tcPr>
          <w:p>
            <w:pPr>
              <w:pStyle w:val="TableParagraph"/>
              <w:spacing w:before="10"/>
              <w:rPr>
                <w:rFonts w:ascii="Times New Roman"/>
                <w:sz w:val="25"/>
              </w:rPr>
            </w:pPr>
          </w:p>
          <w:p>
            <w:pPr>
              <w:pStyle w:val="TableParagraph"/>
              <w:ind w:left="210"/>
              <w:rPr>
                <w:sz w:val="21"/>
              </w:rPr>
            </w:pPr>
            <w:r>
              <w:rPr>
                <w:sz w:val="21"/>
              </w:rPr>
              <w:t>指因慢性肝脏疾病导致肝功能衰竭。须满足下列全部条件：</w:t>
            </w:r>
          </w:p>
          <w:p>
            <w:pPr>
              <w:pStyle w:val="TableParagraph"/>
              <w:numPr>
                <w:ilvl w:val="0"/>
                <w:numId w:val="13"/>
              </w:numPr>
              <w:tabs>
                <w:tab w:pos="842" w:val="left" w:leader="none"/>
              </w:tabs>
              <w:spacing w:line="240" w:lineRule="auto" w:before="37" w:after="0"/>
              <w:ind w:left="210" w:right="0" w:firstLine="0"/>
              <w:jc w:val="left"/>
              <w:rPr>
                <w:sz w:val="21"/>
              </w:rPr>
            </w:pPr>
            <w:r>
              <w:rPr>
                <w:spacing w:val="-1"/>
                <w:sz w:val="21"/>
              </w:rPr>
              <w:t>持续性黄疸；</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腹水；</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肝性脑病；</w:t>
            </w:r>
          </w:p>
          <w:p>
            <w:pPr>
              <w:pStyle w:val="TableParagraph"/>
              <w:numPr>
                <w:ilvl w:val="0"/>
                <w:numId w:val="13"/>
              </w:numPr>
              <w:tabs>
                <w:tab w:pos="842" w:val="left" w:leader="none"/>
              </w:tabs>
              <w:spacing w:line="273" w:lineRule="auto" w:before="36" w:after="0"/>
              <w:ind w:left="210" w:right="1667"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指因患脑炎或脑膜炎导致的神经系统永久性的功能障碍。神经系统永久性</w:t>
            </w:r>
            <w:r>
              <w:rPr>
                <w:spacing w:val="-10"/>
                <w:sz w:val="21"/>
              </w:rPr>
              <w:t>的功能障碍，指疾病确诊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7" w:after="0"/>
              <w:ind w:left="846" w:right="300"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5"/>
              </w:rPr>
            </w:pPr>
          </w:p>
          <w:p>
            <w:pPr>
              <w:pStyle w:val="TableParagraph"/>
              <w:spacing w:line="273" w:lineRule="auto"/>
              <w:ind w:left="210" w:right="299"/>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2"/>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1"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10" w:right="197"/>
              <w:rPr>
                <w:sz w:val="21"/>
              </w:rPr>
            </w:pPr>
            <w:r>
              <w:rPr>
                <w:spacing w:val="-14"/>
                <w:sz w:val="21"/>
              </w:rPr>
              <w:t>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7"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273" w:lineRule="auto" w:before="37" w:after="0"/>
              <w:ind w:left="832" w:right="302"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15"/>
              </w:numPr>
              <w:tabs>
                <w:tab w:pos="842" w:val="left" w:leader="none"/>
              </w:tabs>
              <w:spacing w:line="240" w:lineRule="auto" w:before="7" w:after="0"/>
              <w:ind w:left="832" w:right="0" w:hanging="622"/>
              <w:jc w:val="left"/>
              <w:rPr>
                <w:sz w:val="21"/>
              </w:rPr>
            </w:pPr>
            <w:r>
              <w:rPr>
                <w:spacing w:val="-8"/>
                <w:sz w:val="21"/>
              </w:rPr>
              <w:t>视野半径小于 </w:t>
            </w:r>
            <w:r>
              <w:rPr>
                <w:sz w:val="21"/>
              </w:rPr>
              <w:t>5</w:t>
            </w:r>
            <w:r>
              <w:rPr>
                <w:spacing w:val="-18"/>
                <w:sz w:val="21"/>
              </w:rPr>
              <w:t> 度。</w:t>
            </w:r>
          </w:p>
        </w:tc>
      </w:tr>
      <w:tr>
        <w:trPr>
          <w:trHeight w:val="119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6"/>
              <w:rPr>
                <w:rFonts w:ascii="Times New Roman"/>
                <w:sz w:val="25"/>
              </w:rPr>
            </w:pPr>
          </w:p>
          <w:p>
            <w:pPr>
              <w:pStyle w:val="TableParagraph"/>
              <w:spacing w:line="312" w:lineRule="exact"/>
              <w:ind w:left="210" w:right="300"/>
              <w:jc w:val="both"/>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bl>
    <w:p>
      <w:pPr>
        <w:spacing w:after="0" w:line="312" w:lineRule="exact"/>
        <w:jc w:val="both"/>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884"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line="210" w:lineRule="exact"/>
              <w:ind w:left="210"/>
              <w:rPr>
                <w:sz w:val="21"/>
              </w:rPr>
            </w:pPr>
            <w:r>
              <w:rPr>
                <w:sz w:val="21"/>
              </w:rPr>
              <w:t>指为治疗心脏瓣膜疾病，实际实施了开胸进行的心脏瓣膜置换或修复的手</w:t>
            </w:r>
          </w:p>
          <w:p>
            <w:pPr>
              <w:pStyle w:val="TableParagraph"/>
              <w:spacing w:before="36"/>
              <w:ind w:left="210"/>
              <w:rPr>
                <w:sz w:val="21"/>
              </w:rPr>
            </w:pPr>
            <w:r>
              <w:rPr>
                <w:sz w:val="21"/>
              </w:rPr>
              <w:t>术。</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before="1"/>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8"/>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before="1"/>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8"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r>
              <w:rPr>
                <w:spacing w:val="-19"/>
                <w:sz w:val="21"/>
              </w:rPr>
              <w:t>能状态分级 </w:t>
            </w:r>
            <w:r>
              <w:rPr>
                <w:sz w:val="21"/>
              </w:rPr>
              <w:t>IV</w:t>
            </w:r>
            <w:r>
              <w:rPr>
                <w:spacing w:val="-11"/>
                <w:sz w:val="21"/>
              </w:rPr>
              <w:t> 级，且静息状态下肺动脉平均压超过 </w:t>
            </w:r>
            <w:r>
              <w:rPr>
                <w:sz w:val="21"/>
              </w:rPr>
              <w:t>30mmHg。</w:t>
            </w:r>
          </w:p>
        </w:tc>
      </w:tr>
      <w:tr>
        <w:trPr>
          <w:trHeight w:val="1568" w:hRule="atLeast"/>
        </w:trPr>
        <w:tc>
          <w:tcPr>
            <w:tcW w:w="1670" w:type="dxa"/>
          </w:tcPr>
          <w:p>
            <w:pPr>
              <w:pStyle w:val="TableParagraph"/>
              <w:spacing w:line="620" w:lineRule="atLeast" w:before="202"/>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30" w:type="dxa"/>
          </w:tcPr>
          <w:p>
            <w:pPr>
              <w:pStyle w:val="TableParagraph"/>
              <w:rPr>
                <w:rFonts w:ascii="Times New Roman"/>
                <w:sz w:val="28"/>
              </w:rPr>
            </w:pPr>
          </w:p>
          <w:p>
            <w:pPr>
              <w:pStyle w:val="TableParagraph"/>
              <w:spacing w:line="310" w:lineRule="atLeast"/>
              <w:ind w:left="210" w:right="301"/>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bl>
    <w:p>
      <w:pPr>
        <w:spacing w:after="0" w:line="310" w:lineRule="atLeast"/>
        <w:jc w:val="both"/>
        <w:rPr>
          <w:sz w:val="21"/>
        </w:rPr>
        <w:sectPr>
          <w:pgSz w:w="11910" w:h="16840"/>
          <w:pgMar w:header="899" w:footer="994" w:top="1220" w:bottom="1180" w:left="1680" w:right="10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7045"/>
      </w:tblGrid>
      <w:tr>
        <w:trPr>
          <w:trHeight w:val="1353" w:hRule="atLeast"/>
        </w:trPr>
        <w:tc>
          <w:tcPr>
            <w:tcW w:w="175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语言能力丧失</w:t>
            </w:r>
          </w:p>
        </w:tc>
        <w:tc>
          <w:tcPr>
            <w:tcW w:w="7045" w:type="dxa"/>
          </w:tcPr>
          <w:p>
            <w:pPr>
              <w:pStyle w:val="TableParagraph"/>
              <w:spacing w:line="210" w:lineRule="exact"/>
              <w:ind w:left="124"/>
              <w:rPr>
                <w:sz w:val="21"/>
              </w:rPr>
            </w:pPr>
            <w:r>
              <w:rPr>
                <w:sz w:val="21"/>
              </w:rPr>
              <w:t>指因疾病或意外伤害导致完全丧失语言能力，经过积极治疗至少 12 个月</w:t>
            </w:r>
          </w:p>
          <w:p>
            <w:pPr>
              <w:pStyle w:val="TableParagraph"/>
              <w:spacing w:line="273" w:lineRule="auto" w:before="37"/>
              <w:ind w:left="124" w:right="618"/>
              <w:rPr>
                <w:sz w:val="21"/>
              </w:rPr>
            </w:pPr>
            <w:r>
              <w:rPr>
                <w:sz w:val="21"/>
              </w:rPr>
              <w:t>（声带完全切除不受此时间限制），仍无法通过现有医疗手段恢复。精神心理因素所致的语言能力丧失不在保障范围内。</w:t>
            </w:r>
          </w:p>
          <w:p>
            <w:pPr>
              <w:pStyle w:val="TableParagraph"/>
              <w:spacing w:before="7"/>
              <w:ind w:left="124"/>
              <w:rPr>
                <w:sz w:val="21"/>
              </w:rPr>
            </w:pPr>
            <w:r>
              <w:rPr>
                <w:sz w:val="21"/>
              </w:rPr>
              <w:t>在0周岁至3周岁的保险单周年日期间，被保险人初患语言能力丧失除外。</w:t>
            </w:r>
          </w:p>
        </w:tc>
      </w:tr>
      <w:tr>
        <w:trPr>
          <w:trHeight w:val="3057" w:hRule="atLeast"/>
        </w:trPr>
        <w:tc>
          <w:tcPr>
            <w:tcW w:w="1756" w:type="dxa"/>
          </w:tcPr>
          <w:p>
            <w:pPr>
              <w:pStyle w:val="TableParagraph"/>
              <w:spacing w:line="410" w:lineRule="auto" w:before="241"/>
              <w:ind w:left="200" w:right="295"/>
              <w:rPr>
                <w:rFonts w:ascii="Microsoft JhengHei" w:eastAsia="Microsoft JhengHei" w:hint="eastAsia"/>
                <w:b/>
                <w:sz w:val="21"/>
              </w:rPr>
            </w:pPr>
            <w:r>
              <w:rPr>
                <w:rFonts w:ascii="Microsoft JhengHei" w:eastAsia="Microsoft JhengHei" w:hint="eastAsia"/>
                <w:b/>
                <w:sz w:val="21"/>
              </w:rPr>
              <w:t>重型再生障碍性贫血</w:t>
            </w:r>
          </w:p>
        </w:tc>
        <w:tc>
          <w:tcPr>
            <w:tcW w:w="7045" w:type="dxa"/>
          </w:tcPr>
          <w:p>
            <w:pPr>
              <w:pStyle w:val="TableParagraph"/>
              <w:spacing w:line="273" w:lineRule="auto" w:before="142"/>
              <w:ind w:left="124" w:right="302"/>
              <w:rPr>
                <w:sz w:val="21"/>
              </w:rPr>
            </w:pPr>
            <w:r>
              <w:rPr>
                <w:spacing w:val="-5"/>
                <w:sz w:val="21"/>
              </w:rPr>
              <w:t>指因骨髓造血功能慢性持续性衰竭导致的贫血、中性粒细胞减少及血小板减少。须满足下列全部条件：</w:t>
            </w:r>
          </w:p>
          <w:p>
            <w:pPr>
              <w:pStyle w:val="TableParagraph"/>
              <w:numPr>
                <w:ilvl w:val="0"/>
                <w:numId w:val="18"/>
              </w:numPr>
              <w:tabs>
                <w:tab w:pos="756" w:val="left" w:leader="none"/>
              </w:tabs>
              <w:spacing w:line="240" w:lineRule="auto" w:before="7" w:after="0"/>
              <w:ind w:left="755" w:right="0" w:hanging="631"/>
              <w:jc w:val="left"/>
              <w:rPr>
                <w:sz w:val="21"/>
              </w:rPr>
            </w:pPr>
            <w:r>
              <w:rPr>
                <w:spacing w:val="-1"/>
                <w:sz w:val="21"/>
              </w:rPr>
              <w:t>骨髓穿刺检查或骨髓活检结果支持诊断；</w:t>
            </w:r>
          </w:p>
          <w:p>
            <w:pPr>
              <w:pStyle w:val="TableParagraph"/>
              <w:numPr>
                <w:ilvl w:val="0"/>
                <w:numId w:val="18"/>
              </w:numPr>
              <w:tabs>
                <w:tab w:pos="756" w:val="left" w:leader="none"/>
              </w:tabs>
              <w:spacing w:line="240" w:lineRule="auto" w:before="36" w:after="0"/>
              <w:ind w:left="755" w:right="0" w:hanging="631"/>
              <w:jc w:val="left"/>
              <w:rPr>
                <w:sz w:val="21"/>
              </w:rPr>
            </w:pPr>
            <w:r>
              <w:rPr>
                <w:spacing w:val="-1"/>
                <w:sz w:val="21"/>
              </w:rPr>
              <w:t>外周血象须具备以下三项条件：</w:t>
            </w:r>
          </w:p>
          <w:p>
            <w:pPr>
              <w:pStyle w:val="TableParagraph"/>
              <w:spacing w:line="99" w:lineRule="exact" w:before="169"/>
              <w:ind w:left="611"/>
              <w:jc w:val="center"/>
              <w:rPr>
                <w:sz w:val="11"/>
              </w:rPr>
            </w:pPr>
            <w:r>
              <w:rPr>
                <w:w w:val="100"/>
                <w:sz w:val="11"/>
              </w:rPr>
              <w:t>9</w:t>
            </w:r>
          </w:p>
          <w:p>
            <w:pPr>
              <w:pStyle w:val="TableParagraph"/>
              <w:spacing w:line="230" w:lineRule="exact"/>
              <w:ind w:left="860"/>
              <w:rPr>
                <w:sz w:val="21"/>
              </w:rPr>
            </w:pPr>
            <w:r>
              <w:rPr>
                <w:spacing w:val="-2"/>
                <w:sz w:val="21"/>
              </w:rPr>
              <w:t>① 中性粒细胞绝对值</w:t>
            </w:r>
            <w:r>
              <w:rPr>
                <w:sz w:val="21"/>
              </w:rPr>
              <w:t>≤0.5×10</w:t>
            </w:r>
            <w:r>
              <w:rPr>
                <w:spacing w:val="-52"/>
                <w:sz w:val="21"/>
              </w:rPr>
              <w:t> </w:t>
            </w:r>
            <w:r>
              <w:rPr>
                <w:sz w:val="21"/>
              </w:rPr>
              <w:t>/L；</w:t>
            </w:r>
          </w:p>
          <w:p>
            <w:pPr>
              <w:pStyle w:val="TableParagraph"/>
              <w:spacing w:before="163"/>
              <w:ind w:left="860"/>
              <w:rPr>
                <w:sz w:val="21"/>
              </w:rPr>
            </w:pPr>
            <w:r>
              <w:rPr>
                <w:sz w:val="21"/>
              </w:rPr>
              <w:t>② 网织红细胞＜1%；</w:t>
            </w:r>
          </w:p>
          <w:p>
            <w:pPr>
              <w:pStyle w:val="TableParagraph"/>
              <w:spacing w:line="99" w:lineRule="exact" w:before="169"/>
              <w:ind w:right="440"/>
              <w:jc w:val="center"/>
              <w:rPr>
                <w:sz w:val="11"/>
              </w:rPr>
            </w:pPr>
            <w:r>
              <w:rPr>
                <w:w w:val="100"/>
                <w:sz w:val="11"/>
              </w:rPr>
              <w:t>9</w:t>
            </w:r>
          </w:p>
          <w:p>
            <w:pPr>
              <w:pStyle w:val="TableParagraph"/>
              <w:spacing w:line="230" w:lineRule="exact"/>
              <w:ind w:left="860"/>
              <w:rPr>
                <w:sz w:val="21"/>
              </w:rPr>
            </w:pPr>
            <w:r>
              <w:rPr>
                <w:spacing w:val="-2"/>
                <w:sz w:val="21"/>
              </w:rPr>
              <w:t>③ 血小板绝对值</w:t>
            </w:r>
            <w:r>
              <w:rPr>
                <w:sz w:val="21"/>
              </w:rPr>
              <w:t>≤20×10</w:t>
            </w:r>
            <w:r>
              <w:rPr>
                <w:spacing w:val="-53"/>
                <w:sz w:val="21"/>
              </w:rPr>
              <w:t> </w:t>
            </w:r>
            <w:r>
              <w:rPr>
                <w:sz w:val="21"/>
              </w:rPr>
              <w:t>/L。</w:t>
            </w:r>
          </w:p>
        </w:tc>
      </w:tr>
      <w:tr>
        <w:trPr>
          <w:trHeight w:val="1623" w:hRule="atLeast"/>
        </w:trPr>
        <w:tc>
          <w:tcPr>
            <w:tcW w:w="1756"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45" w:type="dxa"/>
          </w:tcPr>
          <w:p>
            <w:pPr>
              <w:pStyle w:val="TableParagraph"/>
              <w:spacing w:before="9"/>
              <w:rPr>
                <w:rFonts w:ascii="Times New Roman"/>
                <w:sz w:val="17"/>
              </w:rPr>
            </w:pPr>
          </w:p>
          <w:p>
            <w:pPr>
              <w:pStyle w:val="TableParagraph"/>
              <w:spacing w:line="273" w:lineRule="auto"/>
              <w:ind w:left="124" w:right="301"/>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124"/>
              <w:jc w:val="both"/>
              <w:rPr>
                <w:sz w:val="21"/>
              </w:rPr>
            </w:pPr>
            <w:r>
              <w:rPr>
                <w:sz w:val="21"/>
              </w:rPr>
              <w:t>动脉内血管成形术不在保障范围内。</w:t>
            </w:r>
          </w:p>
        </w:tc>
      </w:tr>
      <w:tr>
        <w:trPr>
          <w:trHeight w:val="780" w:hRule="atLeast"/>
        </w:trPr>
        <w:tc>
          <w:tcPr>
            <w:tcW w:w="8801"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5" w:type="dxa"/>
          </w:tcPr>
          <w:p>
            <w:pPr>
              <w:pStyle w:val="TableParagraph"/>
              <w:spacing w:before="10"/>
              <w:rPr>
                <w:rFonts w:ascii="Times New Roman"/>
                <w:sz w:val="25"/>
              </w:rPr>
            </w:pPr>
          </w:p>
          <w:p>
            <w:pPr>
              <w:pStyle w:val="TableParagraph"/>
              <w:spacing w:line="273" w:lineRule="auto"/>
              <w:ind w:left="124" w:right="251"/>
              <w:jc w:val="both"/>
              <w:rPr>
                <w:sz w:val="21"/>
              </w:rPr>
            </w:pPr>
            <w:r>
              <w:rPr>
                <w:sz w:val="21"/>
              </w:rPr>
              <w:t>胰岛素依赖型糖尿病是由于胰岛素分泌绝对不足而引起以血浆葡萄糖水</w:t>
            </w:r>
            <w:r>
              <w:rPr>
                <w:spacing w:val="-6"/>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124"/>
              <w:jc w:val="both"/>
              <w:rPr>
                <w:sz w:val="21"/>
              </w:rPr>
            </w:pPr>
            <w:r>
              <w:rPr>
                <w:sz w:val="21"/>
              </w:rPr>
              <w:t>（1）出现增殖性糖尿病视网膜病变；</w:t>
            </w:r>
          </w:p>
          <w:p>
            <w:pPr>
              <w:pStyle w:val="TableParagraph"/>
              <w:spacing w:before="37"/>
              <w:ind w:left="124"/>
              <w:jc w:val="both"/>
              <w:rPr>
                <w:sz w:val="21"/>
              </w:rPr>
            </w:pPr>
            <w:r>
              <w:rPr>
                <w:sz w:val="21"/>
              </w:rPr>
              <w:t>（2）糖尿病肾病，且尿蛋白&gt;0.5g/24h；</w:t>
            </w:r>
          </w:p>
          <w:p>
            <w:pPr>
              <w:pStyle w:val="TableParagraph"/>
              <w:spacing w:before="37"/>
              <w:ind w:left="126"/>
              <w:jc w:val="both"/>
              <w:rPr>
                <w:sz w:val="21"/>
              </w:rPr>
            </w:pPr>
            <w:r>
              <w:rPr>
                <w:sz w:val="21"/>
              </w:rPr>
              <w:t>（3）因糖尿病足趾坏疽进行足趾或下肢截断术。</w:t>
            </w:r>
          </w:p>
        </w:tc>
      </w:tr>
      <w:tr>
        <w:trPr>
          <w:trHeight w:val="2808"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45" w:type="dxa"/>
          </w:tcPr>
          <w:p>
            <w:pPr>
              <w:pStyle w:val="TableParagraph"/>
              <w:spacing w:line="273" w:lineRule="auto" w:before="142"/>
              <w:ind w:left="124" w:right="198"/>
              <w:rPr>
                <w:sz w:val="21"/>
              </w:rPr>
            </w:pPr>
            <w:r>
              <w:rPr>
                <w:spacing w:val="-6"/>
                <w:sz w:val="21"/>
              </w:rPr>
              <w:t>指一种中枢神经系统脱髓鞘疾病，造成身体部位不可逆的功能障碍。临床表现为视力受损、截瘫、平衡失调、构音障碍、大小便机能失调等症状， </w:t>
            </w:r>
            <w:r>
              <w:rPr>
                <w:spacing w:val="-8"/>
                <w:sz w:val="21"/>
              </w:rPr>
              <w:t>须经国家机关认可的有合法资质的神经专科医师确诊，并有 </w:t>
            </w:r>
            <w:r>
              <w:rPr>
                <w:sz w:val="21"/>
              </w:rPr>
              <w:t>CT</w:t>
            </w:r>
            <w:r>
              <w:rPr>
                <w:spacing w:val="-12"/>
                <w:sz w:val="21"/>
              </w:rPr>
              <w:t> 或核磁共</w:t>
            </w:r>
            <w:r>
              <w:rPr>
                <w:spacing w:val="-15"/>
                <w:sz w:val="21"/>
              </w:rPr>
              <w:t>振检查结果诊断报告。所谓身体部位不可逆的功能障碍指初次诊断为功能</w:t>
            </w:r>
            <w:r>
              <w:rPr>
                <w:spacing w:val="-21"/>
                <w:sz w:val="21"/>
              </w:rPr>
              <w:t>障碍后需持续 </w:t>
            </w:r>
            <w:r>
              <w:rPr>
                <w:sz w:val="21"/>
              </w:rPr>
              <w:t>180</w:t>
            </w:r>
            <w:r>
              <w:rPr>
                <w:spacing w:val="-8"/>
                <w:sz w:val="21"/>
              </w:rPr>
              <w:t> 天以上。其诊断必须满足下列全部条件:</w:t>
            </w:r>
          </w:p>
          <w:p>
            <w:pPr>
              <w:pStyle w:val="TableParagraph"/>
              <w:spacing w:before="7"/>
              <w:ind w:left="124"/>
              <w:rPr>
                <w:sz w:val="21"/>
              </w:rPr>
            </w:pPr>
            <w:r>
              <w:rPr>
                <w:sz w:val="21"/>
              </w:rPr>
              <w:t>（1）由于视神经、脑干和脊髓损伤而导致的临床表现；</w:t>
            </w:r>
          </w:p>
          <w:p>
            <w:pPr>
              <w:pStyle w:val="TableParagraph"/>
              <w:spacing w:before="36"/>
              <w:ind w:left="124"/>
              <w:rPr>
                <w:sz w:val="21"/>
              </w:rPr>
            </w:pPr>
            <w:r>
              <w:rPr>
                <w:sz w:val="21"/>
              </w:rPr>
              <w:t>（2）散在的身体损害的多样性；</w:t>
            </w:r>
          </w:p>
          <w:p>
            <w:pPr>
              <w:pStyle w:val="TableParagraph"/>
              <w:spacing w:before="36"/>
              <w:ind w:left="124"/>
              <w:rPr>
                <w:sz w:val="21"/>
              </w:rPr>
            </w:pPr>
            <w:r>
              <w:rPr>
                <w:sz w:val="21"/>
              </w:rPr>
              <w:t>（3）上述症状反复发作、恶化及神经损伤的病史记录。</w:t>
            </w:r>
          </w:p>
        </w:tc>
      </w:tr>
      <w:tr>
        <w:trPr>
          <w:trHeight w:val="1041"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系统性红斑狼</w:t>
            </w:r>
          </w:p>
        </w:tc>
        <w:tc>
          <w:tcPr>
            <w:tcW w:w="7045" w:type="dxa"/>
          </w:tcPr>
          <w:p>
            <w:pPr>
              <w:pStyle w:val="TableParagraph"/>
              <w:spacing w:line="273" w:lineRule="auto" w:before="142"/>
              <w:ind w:left="124" w:right="302"/>
              <w:rPr>
                <w:sz w:val="21"/>
              </w:rPr>
            </w:pPr>
            <w:r>
              <w:rPr>
                <w:spacing w:val="-5"/>
                <w:sz w:val="21"/>
              </w:rPr>
              <w:t>是一种累及多脏器的自身免疫性的炎症性结缔组织病。其诊断须满足下列两个条件：</w:t>
            </w:r>
          </w:p>
          <w:p>
            <w:pPr>
              <w:pStyle w:val="TableParagraph"/>
              <w:spacing w:line="255" w:lineRule="exact" w:before="7"/>
              <w:ind w:left="124"/>
              <w:rPr>
                <w:sz w:val="21"/>
              </w:rPr>
            </w:pPr>
            <w:r>
              <w:rPr>
                <w:sz w:val="21"/>
              </w:rPr>
              <w:t>(1) 临床表现至少具备如下条件的四个：</w:t>
            </w:r>
          </w:p>
        </w:tc>
      </w:tr>
    </w:tbl>
    <w:p>
      <w:pPr>
        <w:spacing w:after="0" w:line="255" w:lineRule="exac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4160"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疮</w:t>
            </w:r>
          </w:p>
        </w:tc>
        <w:tc>
          <w:tcPr>
            <w:tcW w:w="7130" w:type="dxa"/>
          </w:tcPr>
          <w:p>
            <w:pPr>
              <w:pStyle w:val="TableParagraph"/>
              <w:spacing w:line="210" w:lineRule="exact"/>
              <w:ind w:left="420"/>
              <w:rPr>
                <w:sz w:val="21"/>
              </w:rPr>
            </w:pPr>
            <w:r>
              <w:rPr>
                <w:sz w:val="21"/>
              </w:rPr>
              <w:t>① 蝶形红斑或盘形红斑；</w:t>
            </w:r>
          </w:p>
          <w:p>
            <w:pPr>
              <w:pStyle w:val="TableParagraph"/>
              <w:spacing w:before="36"/>
              <w:ind w:left="421"/>
              <w:rPr>
                <w:sz w:val="21"/>
              </w:rPr>
            </w:pPr>
            <w:r>
              <w:rPr>
                <w:sz w:val="21"/>
              </w:rPr>
              <w:t>② 光敏感；</w:t>
            </w:r>
          </w:p>
          <w:p>
            <w:pPr>
              <w:pStyle w:val="TableParagraph"/>
              <w:spacing w:before="37"/>
              <w:ind w:left="420"/>
              <w:rPr>
                <w:sz w:val="21"/>
              </w:rPr>
            </w:pPr>
            <w:r>
              <w:rPr>
                <w:sz w:val="21"/>
              </w:rPr>
              <w:t>③ 口腔溃疡；</w:t>
            </w:r>
          </w:p>
          <w:p>
            <w:pPr>
              <w:pStyle w:val="TableParagraph"/>
              <w:spacing w:before="37"/>
              <w:ind w:left="420"/>
              <w:rPr>
                <w:sz w:val="21"/>
              </w:rPr>
            </w:pPr>
            <w:r>
              <w:rPr>
                <w:sz w:val="21"/>
              </w:rPr>
              <w:t>④ 非畸形关节炎或多关节痛；</w:t>
            </w:r>
          </w:p>
          <w:p>
            <w:pPr>
              <w:pStyle w:val="TableParagraph"/>
              <w:spacing w:before="37"/>
              <w:ind w:left="421"/>
              <w:rPr>
                <w:sz w:val="21"/>
              </w:rPr>
            </w:pPr>
            <w:r>
              <w:rPr>
                <w:sz w:val="21"/>
              </w:rPr>
              <w:t>⑤ 浆膜炎、胸膜炎或心包炎；</w:t>
            </w:r>
          </w:p>
          <w:p>
            <w:pPr>
              <w:pStyle w:val="TableParagraph"/>
              <w:spacing w:before="36"/>
              <w:ind w:left="421"/>
              <w:rPr>
                <w:sz w:val="21"/>
              </w:rPr>
            </w:pPr>
            <w:r>
              <w:rPr>
                <w:sz w:val="21"/>
              </w:rPr>
              <w:t>⑥ 神经系统损伤（癫痫或精神症状）；</w:t>
            </w:r>
          </w:p>
          <w:p>
            <w:pPr>
              <w:pStyle w:val="TableParagraph"/>
              <w:spacing w:before="36"/>
              <w:ind w:left="420"/>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spacing w:before="36"/>
              <w:ind w:left="210"/>
              <w:rPr>
                <w:rFonts w:ascii="MingLiU_HKSCS-ExtB" w:hAnsi="MingLiU_HKSCS-ExtB" w:eastAsia="MingLiU_HKSCS-ExtB"/>
                <w:sz w:val="21"/>
              </w:rPr>
            </w:pPr>
            <w:r>
              <w:rPr>
                <w:sz w:val="21"/>
              </w:rPr>
              <w:t>(2) 检测结果至少具备如下条件的两个：</w:t>
            </w:r>
            <w:r>
              <w:rPr>
                <w:rFonts w:ascii="MingLiU_HKSCS-ExtB" w:hAnsi="MingLiU_HKSCS-ExtB" w:eastAsia="MingLiU_HKSCS-ExtB"/>
                <w:sz w:val="21"/>
              </w:rPr>
              <w:t></w:t>
            </w:r>
          </w:p>
          <w:p>
            <w:pPr>
              <w:pStyle w:val="TableParagraph"/>
              <w:spacing w:before="24"/>
              <w:ind w:left="420"/>
              <w:rPr>
                <w:sz w:val="21"/>
              </w:rPr>
            </w:pPr>
            <w:r>
              <w:rPr>
                <w:sz w:val="21"/>
              </w:rPr>
              <w:t>① 狼疮细胞或抗双链 DNA 抗体阳性；</w:t>
            </w:r>
          </w:p>
          <w:p>
            <w:pPr>
              <w:pStyle w:val="TableParagraph"/>
              <w:spacing w:before="37"/>
              <w:ind w:left="420"/>
              <w:rPr>
                <w:sz w:val="21"/>
              </w:rPr>
            </w:pPr>
            <w:r>
              <w:rPr>
                <w:sz w:val="21"/>
              </w:rPr>
              <w:t>② 抗 Sm 抗体阳性；</w:t>
            </w:r>
          </w:p>
          <w:p>
            <w:pPr>
              <w:pStyle w:val="TableParagraph"/>
              <w:spacing w:before="37"/>
              <w:ind w:left="420"/>
              <w:rPr>
                <w:sz w:val="21"/>
              </w:rPr>
            </w:pPr>
            <w:r>
              <w:rPr>
                <w:sz w:val="21"/>
              </w:rPr>
              <w:t>③ 抗核抗体阳性；</w:t>
            </w:r>
          </w:p>
          <w:p>
            <w:pPr>
              <w:pStyle w:val="TableParagraph"/>
              <w:spacing w:before="37"/>
              <w:ind w:left="420"/>
              <w:rPr>
                <w:sz w:val="21"/>
              </w:rPr>
            </w:pPr>
            <w:r>
              <w:rPr>
                <w:sz w:val="21"/>
              </w:rPr>
              <w:t>④ 狼疮带试验阳性；</w:t>
            </w:r>
          </w:p>
          <w:p>
            <w:pPr>
              <w:pStyle w:val="TableParagraph"/>
              <w:spacing w:before="37"/>
              <w:ind w:left="420"/>
              <w:rPr>
                <w:sz w:val="21"/>
              </w:rPr>
            </w:pPr>
            <w:r>
              <w:rPr>
                <w:sz w:val="21"/>
              </w:rPr>
              <w:t>⑤ C3 补体低于正常。</w:t>
            </w:r>
          </w:p>
        </w:tc>
      </w:tr>
      <w:tr>
        <w:trPr>
          <w:trHeight w:val="2529"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0" w:type="dxa"/>
          </w:tcPr>
          <w:p>
            <w:pPr>
              <w:pStyle w:val="TableParagraph"/>
              <w:spacing w:line="273" w:lineRule="auto" w:before="142"/>
              <w:ind w:left="210" w:right="300"/>
              <w:jc w:val="both"/>
              <w:rPr>
                <w:sz w:val="21"/>
              </w:rPr>
            </w:pPr>
            <w:r>
              <w:rPr>
                <w:sz w:val="21"/>
              </w:rPr>
              <w:t>是指被保险人因原发性心肌病而出现的心室功能障碍而使其出现明显的心功能衰竭(纽约心脏病协会分类标准心功能至少达Ⅳ级*)，须经国家机</w:t>
            </w:r>
            <w:r>
              <w:rPr>
                <w:spacing w:val="-6"/>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6"/>
              <w:ind w:left="210" w:right="301" w:firstLine="105"/>
              <w:rPr>
                <w:sz w:val="21"/>
              </w:rPr>
            </w:pPr>
            <w:r>
              <w:rPr>
                <w:sz w:val="21"/>
              </w:rPr>
              <w:t>* 纽约心脏病协会分类标准心功能Ⅳ级是指不能从事任何体力活动，休息时仍有心悸、呼吸困难等心力衰竭表现，体力活动后加重。</w:t>
            </w:r>
          </w:p>
        </w:tc>
      </w:tr>
      <w:tr>
        <w:trPr>
          <w:trHeight w:val="3221" w:hRule="atLeast"/>
        </w:trPr>
        <w:tc>
          <w:tcPr>
            <w:tcW w:w="1670" w:type="dxa"/>
          </w:tcPr>
          <w:p>
            <w:pPr>
              <w:pStyle w:val="TableParagraph"/>
              <w:spacing w:before="9"/>
              <w:rPr>
                <w:rFonts w:ascii="Times New Roman"/>
                <w:sz w:val="23"/>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30" w:type="dxa"/>
          </w:tcPr>
          <w:p>
            <w:pPr>
              <w:pStyle w:val="TableParagraph"/>
              <w:spacing w:line="273" w:lineRule="auto" w:before="175"/>
              <w:ind w:left="210" w:right="300"/>
              <w:jc w:val="both"/>
              <w:rPr>
                <w:sz w:val="21"/>
              </w:rPr>
            </w:pPr>
            <w:r>
              <w:rPr>
                <w:spacing w:val="-5"/>
                <w:sz w:val="21"/>
              </w:rPr>
              <w:t>是指一种神经与肌肉接头部位传递障碍的自身免疫性疾病，临床特征是局</w:t>
            </w:r>
            <w:r>
              <w:rPr>
                <w:spacing w:val="-10"/>
                <w:sz w:val="21"/>
              </w:rPr>
              <w:t>部或全身横纹肌于活动时易于疲劳无力，颅神经眼外肌最易累及，也可涉</w:t>
            </w:r>
            <w:r>
              <w:rPr>
                <w:spacing w:val="-13"/>
                <w:sz w:val="21"/>
              </w:rPr>
              <w:t>及呼吸肌、下肢近端肌群乃至全身肌肉。其诊断必须同时满足下列全部条件：</w:t>
            </w:r>
          </w:p>
          <w:p>
            <w:pPr>
              <w:pStyle w:val="TableParagraph"/>
              <w:numPr>
                <w:ilvl w:val="0"/>
                <w:numId w:val="19"/>
              </w:numPr>
              <w:tabs>
                <w:tab w:pos="632" w:val="left" w:leader="none"/>
              </w:tabs>
              <w:spacing w:line="240" w:lineRule="auto" w:before="7" w:after="0"/>
              <w:ind w:left="630" w:right="0" w:hanging="420"/>
              <w:jc w:val="left"/>
              <w:rPr>
                <w:sz w:val="21"/>
              </w:rPr>
            </w:pPr>
            <w:r>
              <w:rPr>
                <w:spacing w:val="-1"/>
                <w:sz w:val="21"/>
              </w:rPr>
              <w:t>经药物、胸腺手术治疗一年以上无法控制病情，丧失正常工作能力；</w:t>
            </w:r>
          </w:p>
          <w:p>
            <w:pPr>
              <w:pStyle w:val="TableParagraph"/>
              <w:numPr>
                <w:ilvl w:val="0"/>
                <w:numId w:val="19"/>
              </w:numPr>
              <w:tabs>
                <w:tab w:pos="632" w:val="left" w:leader="none"/>
              </w:tabs>
              <w:spacing w:line="273" w:lineRule="auto" w:before="36" w:after="0"/>
              <w:ind w:left="630" w:right="300" w:hanging="420"/>
              <w:jc w:val="left"/>
              <w:rPr>
                <w:sz w:val="21"/>
              </w:rPr>
            </w:pPr>
            <w:r>
              <w:rPr>
                <w:spacing w:val="-7"/>
                <w:sz w:val="21"/>
              </w:rPr>
              <w:t>出现因延髓肌受累引起的构音困难、进食呛咳；或由于肌无力累及延髓肌、呼吸肌而致机体呼吸功能不正常的危急状态即肌无力危象； </w:t>
            </w:r>
            <w:r>
              <w:rPr>
                <w:spacing w:val="-12"/>
                <w:sz w:val="21"/>
              </w:rPr>
              <w:t>症状缓解、复发及恶化交替出现，临床接受新斯的明等抗胆碱酯酶药物治疗的病史。</w:t>
            </w:r>
          </w:p>
        </w:tc>
      </w:tr>
      <w:tr>
        <w:trPr>
          <w:trHeight w:val="2981" w:hRule="atLeast"/>
        </w:trPr>
        <w:tc>
          <w:tcPr>
            <w:tcW w:w="1670" w:type="dxa"/>
          </w:tcPr>
          <w:p>
            <w:pPr>
              <w:pStyle w:val="TableParagraph"/>
              <w:spacing w:before="9"/>
              <w:rPr>
                <w:rFonts w:ascii="Times New Roman"/>
                <w:sz w:val="26"/>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严重类风湿性关节炎</w:t>
            </w:r>
          </w:p>
        </w:tc>
        <w:tc>
          <w:tcPr>
            <w:tcW w:w="7130" w:type="dxa"/>
          </w:tcPr>
          <w:p>
            <w:pPr>
              <w:pStyle w:val="TableParagraph"/>
              <w:spacing w:before="3"/>
              <w:rPr>
                <w:rFonts w:ascii="Times New Roman"/>
                <w:sz w:val="18"/>
              </w:rPr>
            </w:pPr>
          </w:p>
          <w:p>
            <w:pPr>
              <w:pStyle w:val="TableParagraph"/>
              <w:spacing w:line="273" w:lineRule="auto"/>
              <w:ind w:left="210" w:right="197"/>
              <w:rPr>
                <w:sz w:val="21"/>
              </w:rPr>
            </w:pPr>
            <w:r>
              <w:rPr>
                <w:sz w:val="21"/>
              </w:rPr>
              <w:t>类风湿性关节炎系指以关节滑膜炎为特征的慢性全身性自身免疫性疾病， 必须符合国际认可的该疾病的诊断标准。其诊断必须同时满足下列全部条件:</w:t>
            </w:r>
          </w:p>
          <w:p>
            <w:pPr>
              <w:pStyle w:val="TableParagraph"/>
              <w:numPr>
                <w:ilvl w:val="0"/>
                <w:numId w:val="20"/>
              </w:numPr>
              <w:tabs>
                <w:tab w:pos="639" w:val="left" w:leader="none"/>
              </w:tabs>
              <w:spacing w:line="273" w:lineRule="auto" w:before="7" w:after="0"/>
              <w:ind w:left="630" w:right="295" w:hanging="420"/>
              <w:jc w:val="both"/>
              <w:rPr>
                <w:sz w:val="21"/>
              </w:rPr>
            </w:pPr>
            <w:r>
              <w:rPr>
                <w:spacing w:val="5"/>
                <w:sz w:val="21"/>
              </w:rPr>
              <w:t>至少包括下列关节中的三组或以上有广泛受损和畸形改变:手指关</w:t>
            </w:r>
            <w:r>
              <w:rPr>
                <w:spacing w:val="-11"/>
                <w:sz w:val="21"/>
              </w:rPr>
              <w:t>节、腕关节、肘关节、膝关节、髋关节、踝关节、脊椎关节或跖趾关节；</w:t>
            </w:r>
          </w:p>
          <w:p>
            <w:pPr>
              <w:pStyle w:val="TableParagraph"/>
              <w:numPr>
                <w:ilvl w:val="0"/>
                <w:numId w:val="20"/>
              </w:numPr>
              <w:tabs>
                <w:tab w:pos="657" w:val="left" w:leader="none"/>
              </w:tabs>
              <w:spacing w:line="273" w:lineRule="auto" w:before="7" w:after="0"/>
              <w:ind w:left="655" w:right="301" w:hanging="420"/>
              <w:jc w:val="both"/>
              <w:rPr>
                <w:sz w:val="21"/>
              </w:rPr>
            </w:pPr>
            <w:r>
              <w:rPr>
                <w:spacing w:val="-2"/>
                <w:sz w:val="21"/>
              </w:rPr>
              <w:t>手和腕的后前位 </w:t>
            </w:r>
            <w:r>
              <w:rPr>
                <w:sz w:val="21"/>
              </w:rPr>
              <w:t>X</w:t>
            </w:r>
            <w:r>
              <w:rPr>
                <w:spacing w:val="-4"/>
                <w:sz w:val="21"/>
              </w:rPr>
              <w:t> 线拍片检查可见类风湿性关节炎的典型变化，必须包括骨质侵蚀或受累关节及其邻近部位有明确的骨质脱钙。</w:t>
            </w:r>
          </w:p>
          <w:p>
            <w:pPr>
              <w:pStyle w:val="TableParagraph"/>
              <w:numPr>
                <w:ilvl w:val="0"/>
                <w:numId w:val="20"/>
              </w:numPr>
              <w:tabs>
                <w:tab w:pos="632" w:val="left" w:leader="none"/>
              </w:tabs>
              <w:spacing w:line="255" w:lineRule="exact" w:before="7" w:after="0"/>
              <w:ind w:left="631" w:right="0" w:hanging="421"/>
              <w:jc w:val="left"/>
              <w:rPr>
                <w:sz w:val="21"/>
              </w:rPr>
            </w:pPr>
            <w:r>
              <w:rPr>
                <w:spacing w:val="-5"/>
                <w:sz w:val="21"/>
              </w:rPr>
              <w:t>关节的畸形改变至少持续 </w:t>
            </w:r>
            <w:r>
              <w:rPr>
                <w:sz w:val="21"/>
              </w:rPr>
              <w:t>1</w:t>
            </w:r>
            <w:r>
              <w:rPr>
                <w:spacing w:val="-19"/>
                <w:sz w:val="21"/>
              </w:rPr>
              <w:t> 年。</w:t>
            </w:r>
          </w:p>
        </w:tc>
      </w:tr>
    </w:tbl>
    <w:p>
      <w:pPr>
        <w:spacing w:after="0" w:line="255" w:lineRule="exact"/>
        <w:jc w:val="lef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3"/>
      </w:tblGrid>
      <w:tr>
        <w:trPr>
          <w:trHeight w:val="1976" w:hRule="atLeast"/>
        </w:trPr>
        <w:tc>
          <w:tcPr>
            <w:tcW w:w="1670" w:type="dxa"/>
          </w:tcPr>
          <w:p>
            <w:pPr>
              <w:pStyle w:val="TableParagraph"/>
              <w:spacing w:line="408" w:lineRule="auto" w:before="34"/>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33" w:type="dxa"/>
          </w:tcPr>
          <w:p>
            <w:pPr>
              <w:pStyle w:val="TableParagraph"/>
              <w:spacing w:line="210" w:lineRule="exact"/>
              <w:ind w:left="210"/>
              <w:rPr>
                <w:sz w:val="21"/>
              </w:rPr>
            </w:pPr>
            <w:r>
              <w:rPr>
                <w:sz w:val="21"/>
              </w:rPr>
              <w:t>慢性肺部疾病导致永久不可逆性的慢性呼吸功能衰竭，必须符合下列所有</w:t>
            </w:r>
          </w:p>
          <w:p>
            <w:pPr>
              <w:pStyle w:val="TableParagraph"/>
              <w:spacing w:before="36"/>
              <w:ind w:left="210"/>
              <w:rPr>
                <w:sz w:val="21"/>
              </w:rPr>
            </w:pPr>
            <w:r>
              <w:rPr>
                <w:sz w:val="21"/>
              </w:rPr>
              <w:t>条件：</w:t>
            </w:r>
          </w:p>
          <w:p>
            <w:pPr>
              <w:pStyle w:val="TableParagraph"/>
              <w:numPr>
                <w:ilvl w:val="0"/>
                <w:numId w:val="21"/>
              </w:numPr>
              <w:tabs>
                <w:tab w:pos="632" w:val="left" w:leader="none"/>
              </w:tabs>
              <w:spacing w:line="240" w:lineRule="auto" w:before="37" w:after="0"/>
              <w:ind w:left="631" w:right="0" w:hanging="421"/>
              <w:jc w:val="left"/>
              <w:rPr>
                <w:sz w:val="21"/>
              </w:rPr>
            </w:pPr>
            <w:r>
              <w:rPr>
                <w:spacing w:val="-1"/>
                <w:sz w:val="21"/>
              </w:rPr>
              <w:t>休息时出现呼吸困难；</w:t>
            </w:r>
          </w:p>
          <w:p>
            <w:pPr>
              <w:pStyle w:val="TableParagraph"/>
              <w:numPr>
                <w:ilvl w:val="0"/>
                <w:numId w:val="21"/>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1"/>
              </w:numPr>
              <w:tabs>
                <w:tab w:pos="632" w:val="left" w:leader="none"/>
              </w:tabs>
              <w:spacing w:line="240" w:lineRule="auto" w:before="37" w:after="0"/>
              <w:ind w:left="631" w:right="0" w:hanging="421"/>
              <w:jc w:val="left"/>
              <w:rPr>
                <w:sz w:val="21"/>
              </w:rPr>
            </w:pPr>
            <w:r>
              <w:rPr>
                <w:position w:val="1"/>
                <w:sz w:val="21"/>
              </w:rPr>
              <w:t>动脉血氧饱和度（SaO</w:t>
            </w:r>
            <w:r>
              <w:rPr>
                <w:sz w:val="11"/>
              </w:rPr>
              <w:t>2</w:t>
            </w:r>
            <w:r>
              <w:rPr>
                <w:position w:val="1"/>
                <w:sz w:val="21"/>
              </w:rPr>
              <w:t>）</w:t>
            </w:r>
            <w:r>
              <w:rPr>
                <w:spacing w:val="-4"/>
                <w:position w:val="1"/>
                <w:sz w:val="21"/>
              </w:rPr>
              <w:t>&lt; </w:t>
            </w:r>
            <w:r>
              <w:rPr>
                <w:position w:val="1"/>
                <w:sz w:val="21"/>
              </w:rPr>
              <w:t>80％；</w:t>
            </w:r>
          </w:p>
          <w:p>
            <w:pPr>
              <w:pStyle w:val="TableParagraph"/>
              <w:numPr>
                <w:ilvl w:val="0"/>
                <w:numId w:val="21"/>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严重冠心病</w:t>
            </w:r>
          </w:p>
        </w:tc>
        <w:tc>
          <w:tcPr>
            <w:tcW w:w="7133" w:type="dxa"/>
          </w:tcPr>
          <w:p>
            <w:pPr>
              <w:pStyle w:val="TableParagraph"/>
              <w:spacing w:line="273" w:lineRule="auto" w:before="142"/>
              <w:ind w:left="210" w:right="303"/>
              <w:jc w:val="both"/>
              <w:rPr>
                <w:sz w:val="21"/>
              </w:rPr>
            </w:pPr>
            <w:r>
              <w:rPr>
                <w:spacing w:val="-5"/>
                <w:sz w:val="21"/>
              </w:rPr>
              <w:t>指根据冠状动脉造影检查结果确诊的三支主要血管</w:t>
            </w:r>
            <w:r>
              <w:rPr>
                <w:sz w:val="21"/>
              </w:rPr>
              <w:t>（左冠状动脉主干和右</w:t>
            </w:r>
            <w:r>
              <w:rPr>
                <w:spacing w:val="-8"/>
                <w:sz w:val="21"/>
              </w:rPr>
              <w:t>冠状动脉，或前降支、左旋支和右冠状动脉</w:t>
            </w:r>
            <w:r>
              <w:rPr>
                <w:spacing w:val="-27"/>
                <w:sz w:val="21"/>
              </w:rPr>
              <w:t>）</w:t>
            </w:r>
            <w:r>
              <w:rPr>
                <w:spacing w:val="-4"/>
                <w:sz w:val="21"/>
              </w:rPr>
              <w:t>严重狭窄性病变</w:t>
            </w:r>
            <w:r>
              <w:rPr>
                <w:sz w:val="21"/>
              </w:rPr>
              <w:t>（至少一支</w:t>
            </w:r>
            <w:r>
              <w:rPr>
                <w:spacing w:val="-6"/>
                <w:sz w:val="21"/>
              </w:rPr>
              <w:t>血管管腔直径减少 </w:t>
            </w:r>
            <w:r>
              <w:rPr>
                <w:sz w:val="21"/>
              </w:rPr>
              <w:t>75</w:t>
            </w:r>
            <w:r>
              <w:rPr>
                <w:spacing w:val="-4"/>
                <w:sz w:val="21"/>
              </w:rPr>
              <w:t>％以上和其他两支血管管腔直径减少 </w:t>
            </w:r>
            <w:r>
              <w:rPr>
                <w:sz w:val="21"/>
              </w:rPr>
              <w:t>60％以上）。前降支、左旋支及右冠状动脉的分支血管的狭窄不作为本保障的衡量指标。</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脊髓灰质炎</w:t>
            </w:r>
          </w:p>
        </w:tc>
        <w:tc>
          <w:tcPr>
            <w:tcW w:w="7133" w:type="dxa"/>
          </w:tcPr>
          <w:p>
            <w:pPr>
              <w:pStyle w:val="TableParagraph"/>
              <w:spacing w:line="273" w:lineRule="auto" w:before="142"/>
              <w:ind w:left="210" w:right="197"/>
              <w:rPr>
                <w:sz w:val="21"/>
              </w:rPr>
            </w:pPr>
            <w:r>
              <w:rPr>
                <w:spacing w:val="-5"/>
                <w:sz w:val="21"/>
              </w:rPr>
              <w:t>脊髓灰质炎是由于脊髓灰质炎病毒感染所致的瘫痪性疾病，临床表现为运</w:t>
            </w:r>
            <w:r>
              <w:rPr>
                <w:spacing w:val="-12"/>
                <w:sz w:val="21"/>
              </w:rPr>
              <w:t>动功能损害或呼吸无力。脊髓灰质炎必须明确诊断。本保单仅对脊髓灰质炎造成的神经系统功能损害导致被保险人一肢或一肢以上肢体机能永久 </w:t>
            </w:r>
            <w:r>
              <w:rPr>
                <w:spacing w:val="-16"/>
                <w:sz w:val="21"/>
              </w:rPr>
              <w:t>完全丧失的情况予以理赔。肢体机能永久完全丧失，指疾病确诊</w:t>
            </w:r>
            <w:r>
              <w:rPr>
                <w:sz w:val="21"/>
              </w:rPr>
              <w:t>180天后， 每肢三大关节中的两大关节仍然完全僵硬，或不能随意识活动。</w:t>
            </w:r>
          </w:p>
        </w:tc>
      </w:tr>
      <w:tr>
        <w:trPr>
          <w:trHeight w:val="1404"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严重克隆病</w:t>
            </w:r>
          </w:p>
        </w:tc>
        <w:tc>
          <w:tcPr>
            <w:tcW w:w="7133" w:type="dxa"/>
          </w:tcPr>
          <w:p>
            <w:pPr>
              <w:pStyle w:val="TableParagraph"/>
              <w:spacing w:line="273" w:lineRule="auto" w:before="142"/>
              <w:ind w:left="210" w:right="200"/>
              <w:rPr>
                <w:sz w:val="21"/>
              </w:rPr>
            </w:pPr>
            <w:r>
              <w:rPr>
                <w:sz w:val="21"/>
              </w:rPr>
              <w:t>克隆病是一种慢性肉芽肿性肠炎，具有特征性的克隆病病理组织学变化。</w:t>
            </w:r>
            <w:r>
              <w:rPr>
                <w:spacing w:val="-8"/>
                <w:sz w:val="21"/>
              </w:rPr>
              <w:t>诊断必须由病理检查结果证实。被保险人所患的克隆病必须已经造成瘘管形成并伴有肠梗阻或肠穿孔。</w:t>
            </w:r>
          </w:p>
        </w:tc>
      </w:tr>
      <w:tr>
        <w:trPr>
          <w:trHeight w:val="2028"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33" w:type="dxa"/>
          </w:tcPr>
          <w:p>
            <w:pPr>
              <w:pStyle w:val="TableParagraph"/>
              <w:spacing w:before="10"/>
              <w:rPr>
                <w:rFonts w:ascii="Times New Roman"/>
                <w:sz w:val="25"/>
              </w:rPr>
            </w:pPr>
          </w:p>
          <w:p>
            <w:pPr>
              <w:pStyle w:val="TableParagraph"/>
              <w:spacing w:line="273" w:lineRule="auto" w:before="1"/>
              <w:ind w:left="210" w:right="200"/>
              <w:rPr>
                <w:sz w:val="21"/>
              </w:rPr>
            </w:pPr>
            <w:r>
              <w:rPr>
                <w:sz w:val="21"/>
              </w:rPr>
              <w:t>本保单所保障的溃疡性结肠炎是指伴有致命性电解质紊乱的急性暴发性 溃疡性结肠炎，病变累及全结肠，表现为严重的血便和系统性症状体征， </w:t>
            </w:r>
            <w:r>
              <w:rPr>
                <w:spacing w:val="-6"/>
                <w:sz w:val="21"/>
              </w:rPr>
              <w:t>治疗通常采取全结肠切除和回肠造瘘术。溃疡性结肠炎必须根据组织病理学特点诊断，并且被保险人已经接受了结肠切除和回肠造瘘术。</w:t>
            </w:r>
          </w:p>
        </w:tc>
      </w:tr>
      <w:tr>
        <w:trPr>
          <w:trHeight w:val="1872" w:hRule="atLeast"/>
        </w:trPr>
        <w:tc>
          <w:tcPr>
            <w:tcW w:w="1670" w:type="dxa"/>
          </w:tcPr>
          <w:p>
            <w:pPr>
              <w:pStyle w:val="TableParagraph"/>
              <w:rPr>
                <w:rFonts w:ascii="Times New Roman"/>
                <w:sz w:val="28"/>
              </w:rPr>
            </w:pPr>
          </w:p>
          <w:p>
            <w:pPr>
              <w:pStyle w:val="TableParagraph"/>
              <w:spacing w:before="231"/>
              <w:ind w:left="200"/>
              <w:rPr>
                <w:rFonts w:ascii="Microsoft JhengHei" w:eastAsia="Microsoft JhengHei" w:hint="eastAsia"/>
                <w:b/>
                <w:sz w:val="21"/>
              </w:rPr>
            </w:pPr>
            <w:r>
              <w:rPr>
                <w:rFonts w:ascii="Microsoft JhengHei" w:eastAsia="Microsoft JhengHei" w:hint="eastAsia"/>
                <w:b/>
                <w:sz w:val="21"/>
              </w:rPr>
              <w:t>植物人状态</w:t>
            </w:r>
          </w:p>
        </w:tc>
        <w:tc>
          <w:tcPr>
            <w:tcW w:w="7133" w:type="dxa"/>
          </w:tcPr>
          <w:p>
            <w:pPr>
              <w:pStyle w:val="TableParagraph"/>
              <w:rPr>
                <w:rFonts w:ascii="Times New Roman"/>
                <w:sz w:val="20"/>
              </w:rPr>
            </w:pPr>
          </w:p>
          <w:p>
            <w:pPr>
              <w:pStyle w:val="TableParagraph"/>
              <w:spacing w:before="5"/>
              <w:rPr>
                <w:rFonts w:ascii="Times New Roman"/>
                <w:sz w:val="19"/>
              </w:rPr>
            </w:pPr>
          </w:p>
          <w:p>
            <w:pPr>
              <w:pStyle w:val="TableParagraph"/>
              <w:spacing w:line="273" w:lineRule="auto"/>
              <w:ind w:left="210" w:right="200"/>
              <w:rPr>
                <w:sz w:val="21"/>
              </w:rPr>
            </w:pPr>
            <w:r>
              <w:rPr>
                <w:sz w:val="21"/>
              </w:rPr>
              <w:t>植物人状态系指由于意外事故或疾病引起的大脑和脑干严重损害导致完 </w:t>
            </w:r>
            <w:r>
              <w:rPr>
                <w:spacing w:val="-4"/>
                <w:sz w:val="21"/>
              </w:rPr>
              <w:t>全永久性的对自身和环境的意识丧失和中枢神经系统功能丧失，仅残存植物神经功能的疾病状态。诊断必须明确诊断并且具有严重脑损害的证据。</w:t>
            </w:r>
            <w:r>
              <w:rPr>
                <w:spacing w:val="-1"/>
                <w:sz w:val="21"/>
              </w:rPr>
              <w:t>植物人状态必须持续</w:t>
            </w:r>
            <w:r>
              <w:rPr>
                <w:sz w:val="21"/>
              </w:rPr>
              <w:t>180天以上方可申请理赔。</w:t>
            </w:r>
          </w:p>
        </w:tc>
      </w:tr>
      <w:tr>
        <w:trPr>
          <w:trHeight w:val="1404"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独立能力丧失</w:t>
            </w:r>
          </w:p>
        </w:tc>
        <w:tc>
          <w:tcPr>
            <w:tcW w:w="7133" w:type="dxa"/>
          </w:tcPr>
          <w:p>
            <w:pPr>
              <w:pStyle w:val="TableParagraph"/>
              <w:spacing w:line="273" w:lineRule="auto" w:before="142"/>
              <w:ind w:left="210" w:right="304"/>
              <w:jc w:val="both"/>
              <w:rPr>
                <w:sz w:val="21"/>
              </w:rPr>
            </w:pPr>
            <w:r>
              <w:rPr>
                <w:sz w:val="21"/>
              </w:rPr>
              <w:t>指疾病或外伤造成被保险人至少持续6个月以上完全无法独立完成六项基</w:t>
            </w:r>
            <w:r>
              <w:rPr>
                <w:spacing w:val="-7"/>
                <w:sz w:val="21"/>
              </w:rPr>
              <w:t>本日常生活活动中的三项或三项以上。被保险人的日常生活活动能力丧失必须是永久性的。</w:t>
            </w:r>
          </w:p>
        </w:tc>
      </w:tr>
      <w:tr>
        <w:trPr>
          <w:trHeight w:val="119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133" w:type="dxa"/>
          </w:tcPr>
          <w:p>
            <w:pPr>
              <w:pStyle w:val="TableParagraph"/>
              <w:spacing w:before="10"/>
              <w:rPr>
                <w:rFonts w:ascii="Times New Roman"/>
                <w:sz w:val="25"/>
              </w:rPr>
            </w:pPr>
          </w:p>
          <w:p>
            <w:pPr>
              <w:pStyle w:val="TableParagraph"/>
              <w:spacing w:line="273" w:lineRule="auto" w:before="1"/>
              <w:ind w:left="210" w:right="304"/>
              <w:rPr>
                <w:sz w:val="21"/>
              </w:rPr>
            </w:pPr>
            <w:r>
              <w:rPr>
                <w:spacing w:val="-5"/>
                <w:sz w:val="21"/>
              </w:rPr>
              <w:t>被保险人必须在过去两年内曾发生哮喘持续状态，并符合以下其中两项标准，本公司才承担保险责任：</w:t>
            </w:r>
          </w:p>
          <w:p>
            <w:pPr>
              <w:pStyle w:val="TableParagraph"/>
              <w:spacing w:line="255" w:lineRule="exact" w:before="8"/>
              <w:ind w:left="210"/>
              <w:rPr>
                <w:sz w:val="21"/>
              </w:rPr>
            </w:pPr>
            <w:r>
              <w:rPr>
                <w:sz w:val="21"/>
              </w:rPr>
              <w:t>(1) 运动耐受力永久并持续地减少并却轻微的运动能引起气促；</w:t>
            </w:r>
          </w:p>
        </w:tc>
      </w:tr>
    </w:tbl>
    <w:p>
      <w:pPr>
        <w:spacing w:after="0" w:line="255" w:lineRule="exac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5"/>
      </w:tblGrid>
      <w:tr>
        <w:trPr>
          <w:trHeight w:val="1040" w:hRule="atLeast"/>
        </w:trPr>
        <w:tc>
          <w:tcPr>
            <w:tcW w:w="1706" w:type="dxa"/>
          </w:tcPr>
          <w:p>
            <w:pPr>
              <w:pStyle w:val="TableParagraph"/>
              <w:rPr>
                <w:rFonts w:ascii="Times New Roman"/>
                <w:sz w:val="20"/>
              </w:rPr>
            </w:pPr>
          </w:p>
        </w:tc>
        <w:tc>
          <w:tcPr>
            <w:tcW w:w="7095" w:type="dxa"/>
          </w:tcPr>
          <w:p>
            <w:pPr>
              <w:pStyle w:val="TableParagraph"/>
              <w:numPr>
                <w:ilvl w:val="0"/>
                <w:numId w:val="22"/>
              </w:numPr>
              <w:tabs>
                <w:tab w:pos="596" w:val="left" w:leader="none"/>
              </w:tabs>
              <w:spacing w:line="210" w:lineRule="exact" w:before="0" w:after="0"/>
              <w:ind w:left="595" w:right="0" w:hanging="421"/>
              <w:jc w:val="left"/>
              <w:rPr>
                <w:sz w:val="21"/>
              </w:rPr>
            </w:pPr>
            <w:r>
              <w:rPr>
                <w:spacing w:val="-1"/>
                <w:sz w:val="21"/>
              </w:rPr>
              <w:t>长期胸腔过渡膨胀而导致胸腔畸形；</w:t>
            </w:r>
          </w:p>
          <w:p>
            <w:pPr>
              <w:pStyle w:val="TableParagraph"/>
              <w:numPr>
                <w:ilvl w:val="0"/>
                <w:numId w:val="22"/>
              </w:numPr>
              <w:tabs>
                <w:tab w:pos="596" w:val="left" w:leader="none"/>
              </w:tabs>
              <w:spacing w:line="240" w:lineRule="auto" w:before="36" w:after="0"/>
              <w:ind w:left="595" w:right="0" w:hanging="421"/>
              <w:jc w:val="left"/>
              <w:rPr>
                <w:sz w:val="21"/>
              </w:rPr>
            </w:pPr>
            <w:r>
              <w:rPr>
                <w:spacing w:val="-1"/>
                <w:sz w:val="21"/>
              </w:rPr>
              <w:t>在家及在静息状态下需要吸氧；</w:t>
            </w:r>
          </w:p>
          <w:p>
            <w:pPr>
              <w:pStyle w:val="TableParagraph"/>
              <w:numPr>
                <w:ilvl w:val="0"/>
                <w:numId w:val="22"/>
              </w:numPr>
              <w:tabs>
                <w:tab w:pos="596" w:val="left" w:leader="none"/>
              </w:tabs>
              <w:spacing w:line="240" w:lineRule="auto" w:before="37" w:after="0"/>
              <w:ind w:left="595" w:right="0" w:hanging="421"/>
              <w:jc w:val="left"/>
              <w:rPr>
                <w:sz w:val="21"/>
              </w:rPr>
            </w:pPr>
            <w:r>
              <w:rPr>
                <w:spacing w:val="-1"/>
                <w:sz w:val="21"/>
              </w:rPr>
              <w:t>持续的每天服用类固醇药物(至少持续六个月以上)。</w:t>
            </w:r>
          </w:p>
        </w:tc>
      </w:tr>
      <w:tr>
        <w:trPr>
          <w:trHeight w:val="2184"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095" w:type="dxa"/>
          </w:tcPr>
          <w:p>
            <w:pPr>
              <w:pStyle w:val="TableParagraph"/>
              <w:spacing w:before="142"/>
              <w:ind w:left="174"/>
              <w:rPr>
                <w:sz w:val="21"/>
              </w:rPr>
            </w:pPr>
            <w:r>
              <w:rPr>
                <w:sz w:val="21"/>
              </w:rPr>
              <w:t>坏死性筋膜炎的诊断须同时符合下列要求：</w:t>
            </w:r>
          </w:p>
          <w:p>
            <w:pPr>
              <w:pStyle w:val="TableParagraph"/>
              <w:numPr>
                <w:ilvl w:val="0"/>
                <w:numId w:val="23"/>
              </w:numPr>
              <w:tabs>
                <w:tab w:pos="596" w:val="left" w:leader="none"/>
              </w:tabs>
              <w:spacing w:line="240" w:lineRule="auto" w:before="36" w:after="0"/>
              <w:ind w:left="594" w:right="0" w:hanging="420"/>
              <w:jc w:val="left"/>
              <w:rPr>
                <w:sz w:val="21"/>
              </w:rPr>
            </w:pPr>
            <w:r>
              <w:rPr>
                <w:spacing w:val="-1"/>
                <w:sz w:val="21"/>
              </w:rPr>
              <w:t>符合坏死性筋膜炎的一般临床表现；</w:t>
            </w:r>
          </w:p>
          <w:p>
            <w:pPr>
              <w:pStyle w:val="TableParagraph"/>
              <w:numPr>
                <w:ilvl w:val="0"/>
                <w:numId w:val="23"/>
              </w:numPr>
              <w:tabs>
                <w:tab w:pos="596" w:val="left" w:leader="none"/>
              </w:tabs>
              <w:spacing w:line="240" w:lineRule="auto" w:before="36" w:after="0"/>
              <w:ind w:left="594" w:right="0" w:hanging="420"/>
              <w:jc w:val="left"/>
              <w:rPr>
                <w:sz w:val="21"/>
              </w:rPr>
            </w:pPr>
            <w:r>
              <w:rPr>
                <w:spacing w:val="-1"/>
                <w:sz w:val="21"/>
              </w:rPr>
              <w:t>细菌培养检出致病菌；</w:t>
            </w:r>
          </w:p>
          <w:p>
            <w:pPr>
              <w:pStyle w:val="TableParagraph"/>
              <w:numPr>
                <w:ilvl w:val="0"/>
                <w:numId w:val="23"/>
              </w:numPr>
              <w:tabs>
                <w:tab w:pos="596" w:val="left" w:leader="none"/>
              </w:tabs>
              <w:spacing w:line="273" w:lineRule="auto" w:before="37" w:after="0"/>
              <w:ind w:left="594" w:right="302" w:hanging="420"/>
              <w:jc w:val="both"/>
              <w:rPr>
                <w:sz w:val="21"/>
              </w:rPr>
            </w:pPr>
            <w:r>
              <w:rPr>
                <w:spacing w:val="-8"/>
                <w:sz w:val="21"/>
              </w:rPr>
              <w:t>出现广泛性肌肉及软组织坏死，并导致身体受影响部位永久完全失去</w:t>
            </w:r>
            <w:r>
              <w:rPr>
                <w:spacing w:val="-12"/>
                <w:sz w:val="21"/>
              </w:rPr>
              <w:t>功能。所谓永久完全失去功能是指受影响部位的功能丧失超过六个月者。</w:t>
            </w:r>
          </w:p>
        </w:tc>
      </w:tr>
      <w:tr>
        <w:trPr>
          <w:trHeight w:val="3119"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慢性肾上腺皮质功能衰竭</w:t>
            </w:r>
          </w:p>
        </w:tc>
        <w:tc>
          <w:tcPr>
            <w:tcW w:w="7095" w:type="dxa"/>
          </w:tcPr>
          <w:p>
            <w:pPr>
              <w:pStyle w:val="TableParagraph"/>
              <w:spacing w:line="273" w:lineRule="auto" w:before="142"/>
              <w:ind w:left="174" w:right="301"/>
              <w:jc w:val="both"/>
              <w:rPr>
                <w:sz w:val="21"/>
              </w:rPr>
            </w:pPr>
            <w:r>
              <w:rPr>
                <w:spacing w:val="-8"/>
                <w:sz w:val="21"/>
              </w:rPr>
              <w:t>因为自身免疫功能紊乱，使肾上腺组织逐渐受损，而需要长期接受糖皮质</w:t>
            </w:r>
            <w:r>
              <w:rPr>
                <w:spacing w:val="-15"/>
                <w:sz w:val="21"/>
              </w:rPr>
              <w:t>激素及肾上腺皮质激素替代疗法。该病必须经国家机关认可的有合法资质的内分泌专科医生确诊，并有以下报告作为证据：</w:t>
            </w:r>
          </w:p>
          <w:p>
            <w:pPr>
              <w:pStyle w:val="TableParagraph"/>
              <w:numPr>
                <w:ilvl w:val="0"/>
                <w:numId w:val="24"/>
              </w:numPr>
              <w:tabs>
                <w:tab w:pos="596" w:val="left" w:leader="none"/>
              </w:tabs>
              <w:spacing w:line="240" w:lineRule="auto" w:before="7" w:after="0"/>
              <w:ind w:left="595" w:right="0" w:hanging="421"/>
              <w:jc w:val="both"/>
              <w:rPr>
                <w:sz w:val="21"/>
              </w:rPr>
            </w:pPr>
            <w:r>
              <w:rPr>
                <w:spacing w:val="-1"/>
                <w:sz w:val="21"/>
              </w:rPr>
              <w:t>促肾上腺皮质激素</w:t>
            </w:r>
            <w:r>
              <w:rPr>
                <w:sz w:val="21"/>
              </w:rPr>
              <w:t>(ACTH)刺激试验；</w:t>
            </w:r>
          </w:p>
          <w:p>
            <w:pPr>
              <w:pStyle w:val="TableParagraph"/>
              <w:numPr>
                <w:ilvl w:val="0"/>
                <w:numId w:val="24"/>
              </w:numPr>
              <w:tabs>
                <w:tab w:pos="596" w:val="left" w:leader="none"/>
              </w:tabs>
              <w:spacing w:line="240" w:lineRule="auto" w:before="36" w:after="0"/>
              <w:ind w:left="595" w:right="0" w:hanging="421"/>
              <w:jc w:val="both"/>
              <w:rPr>
                <w:sz w:val="21"/>
              </w:rPr>
            </w:pPr>
            <w:r>
              <w:rPr>
                <w:spacing w:val="-1"/>
                <w:sz w:val="21"/>
              </w:rPr>
              <w:t>胰岛素血糖减少测试；</w:t>
            </w:r>
          </w:p>
          <w:p>
            <w:pPr>
              <w:pStyle w:val="TableParagraph"/>
              <w:numPr>
                <w:ilvl w:val="0"/>
                <w:numId w:val="24"/>
              </w:numPr>
              <w:tabs>
                <w:tab w:pos="596" w:val="left" w:leader="none"/>
              </w:tabs>
              <w:spacing w:line="240" w:lineRule="auto" w:before="36" w:after="0"/>
              <w:ind w:left="595" w:right="0" w:hanging="421"/>
              <w:jc w:val="both"/>
              <w:rPr>
                <w:sz w:val="21"/>
              </w:rPr>
            </w:pPr>
            <w:r>
              <w:rPr>
                <w:spacing w:val="-1"/>
                <w:sz w:val="21"/>
              </w:rPr>
              <w:t>血浆促肾上腺皮质激素</w:t>
            </w:r>
            <w:r>
              <w:rPr>
                <w:sz w:val="21"/>
              </w:rPr>
              <w:t>(ACTH)水平测定；</w:t>
            </w:r>
          </w:p>
          <w:p>
            <w:pPr>
              <w:pStyle w:val="TableParagraph"/>
              <w:numPr>
                <w:ilvl w:val="0"/>
                <w:numId w:val="24"/>
              </w:numPr>
              <w:tabs>
                <w:tab w:pos="596" w:val="left" w:leader="none"/>
              </w:tabs>
              <w:spacing w:line="240" w:lineRule="auto" w:before="36" w:after="0"/>
              <w:ind w:left="595" w:right="0" w:hanging="421"/>
              <w:jc w:val="both"/>
              <w:rPr>
                <w:sz w:val="21"/>
              </w:rPr>
            </w:pPr>
            <w:r>
              <w:rPr>
                <w:spacing w:val="-1"/>
                <w:sz w:val="21"/>
              </w:rPr>
              <w:t>血浆肾素活性</w:t>
            </w:r>
            <w:r>
              <w:rPr>
                <w:sz w:val="21"/>
              </w:rPr>
              <w:t>(PRA)测定。</w:t>
            </w:r>
          </w:p>
          <w:p>
            <w:pPr>
              <w:pStyle w:val="TableParagraph"/>
              <w:spacing w:line="273" w:lineRule="auto" w:before="36"/>
              <w:ind w:left="174" w:right="198"/>
              <w:rPr>
                <w:sz w:val="21"/>
              </w:rPr>
            </w:pPr>
            <w:r>
              <w:rPr>
                <w:sz w:val="21"/>
              </w:rPr>
              <w:t>慢性肾上腺皮质功能衰竭只对由自身免疫功能紊乱引起的承担保险责任， 其他原因引起的除外。</w:t>
            </w:r>
          </w:p>
        </w:tc>
      </w:tr>
      <w:tr>
        <w:trPr>
          <w:trHeight w:val="150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埃博拉病毒感染</w:t>
            </w:r>
          </w:p>
        </w:tc>
        <w:tc>
          <w:tcPr>
            <w:tcW w:w="7095" w:type="dxa"/>
          </w:tcPr>
          <w:p>
            <w:pPr>
              <w:pStyle w:val="TableParagraph"/>
              <w:spacing w:line="273" w:lineRule="auto" w:before="142"/>
              <w:ind w:left="174" w:right="302"/>
              <w:jc w:val="both"/>
              <w:rPr>
                <w:sz w:val="21"/>
              </w:rPr>
            </w:pPr>
            <w:r>
              <w:rPr>
                <w:spacing w:val="-7"/>
                <w:sz w:val="21"/>
              </w:rPr>
              <w:t>受埃博拉病毒感染导致出血性发热。埃博拉病必须经国家机关认可的有合</w:t>
            </w:r>
            <w:r>
              <w:rPr>
                <w:spacing w:val="-14"/>
                <w:sz w:val="21"/>
              </w:rPr>
              <w:t>法资质的传染病专家确诊，并且埃博拉病毒的存在必须经过实验室检查证</w:t>
            </w:r>
            <w:r>
              <w:rPr>
                <w:spacing w:val="-1"/>
                <w:sz w:val="21"/>
              </w:rPr>
              <w:t>实。该病必须从症状开始后三十</w:t>
            </w:r>
            <w:r>
              <w:rPr>
                <w:sz w:val="21"/>
              </w:rPr>
              <w:t>(30)天后持续出现并发症。</w:t>
            </w:r>
          </w:p>
        </w:tc>
      </w:tr>
      <w:tr>
        <w:trPr>
          <w:trHeight w:val="1307"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9"/>
                <w:sz w:val="21"/>
              </w:rPr>
              <w:t>指末期丝虫病，按国际淋巴学会分级为三度淋巴液肿，其临床表现为肢体</w:t>
            </w:r>
            <w:r>
              <w:rPr>
                <w:spacing w:val="-14"/>
                <w:sz w:val="21"/>
              </w:rPr>
              <w:t>非凹陷性水肿伴畸形增大、硬皮症和疣状增生。此病症须经国家机关认可的有合法资质的专科医生根据临床表现和微丝蚴的化验结果确诊。</w:t>
            </w:r>
          </w:p>
        </w:tc>
      </w:tr>
      <w:tr>
        <w:trPr>
          <w:trHeight w:val="2124" w:hRule="atLeast"/>
        </w:trPr>
        <w:tc>
          <w:tcPr>
            <w:tcW w:w="1706" w:type="dxa"/>
          </w:tcPr>
          <w:p>
            <w:pPr>
              <w:pStyle w:val="TableParagraph"/>
              <w:spacing w:line="410" w:lineRule="auto" w:before="241"/>
              <w:ind w:left="200" w:right="172"/>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95" w:type="dxa"/>
          </w:tcPr>
          <w:p>
            <w:pPr>
              <w:pStyle w:val="TableParagraph"/>
              <w:spacing w:line="273" w:lineRule="auto" w:before="142"/>
              <w:ind w:left="174" w:right="302"/>
              <w:jc w:val="both"/>
              <w:rPr>
                <w:sz w:val="21"/>
              </w:rPr>
            </w:pPr>
            <w:r>
              <w:rPr>
                <w:spacing w:val="-4"/>
                <w:sz w:val="21"/>
              </w:rPr>
              <w:t>指胰酶在胰腺内激活后引起胰腺组织自身消化的急性化学性炎症。本病须</w:t>
            </w:r>
            <w:r>
              <w:rPr>
                <w:spacing w:val="-9"/>
                <w:sz w:val="21"/>
              </w:rPr>
              <w:t>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r>
        <w:trPr>
          <w:trHeight w:val="1724"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7"/>
                <w:sz w:val="21"/>
              </w:rPr>
              <w:t>被保险人被确诊为疾病的终末期状态，疾病已经无法以现有的医疗技术医</w:t>
            </w:r>
            <w:r>
              <w:rPr>
                <w:spacing w:val="-11"/>
                <w:sz w:val="21"/>
              </w:rPr>
              <w:t>治缓解，并且根据临床医学经验判断被保险人将于未来六个月内死亡。在</w:t>
            </w:r>
            <w:r>
              <w:rPr>
                <w:spacing w:val="-15"/>
                <w:sz w:val="21"/>
              </w:rPr>
              <w:t>家属及患者的要求和医师的同意下积极治疗已被放弃，所有治疗措施仅以</w:t>
            </w:r>
            <w:r>
              <w:rPr>
                <w:spacing w:val="-16"/>
                <w:sz w:val="21"/>
              </w:rPr>
              <w:t>减轻患者痛苦为目的。此疾病状态必须在被保险人生前已经确诊并且具有</w:t>
            </w:r>
          </w:p>
          <w:p>
            <w:pPr>
              <w:pStyle w:val="TableParagraph"/>
              <w:spacing w:line="255" w:lineRule="exact" w:before="7"/>
              <w:ind w:left="174"/>
              <w:jc w:val="both"/>
              <w:rPr>
                <w:sz w:val="21"/>
              </w:rPr>
            </w:pPr>
            <w:r>
              <w:rPr>
                <w:sz w:val="21"/>
              </w:rPr>
              <w:t>医疗证明文件和临床检查依据。</w:t>
            </w:r>
          </w:p>
        </w:tc>
      </w:tr>
    </w:tbl>
    <w:p>
      <w:pPr>
        <w:spacing w:after="0" w:line="255" w:lineRule="exact"/>
        <w:jc w:val="both"/>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62"/>
      </w:tblGrid>
      <w:tr>
        <w:trPr>
          <w:trHeight w:val="2288" w:hRule="atLeast"/>
        </w:trPr>
        <w:tc>
          <w:tcPr>
            <w:tcW w:w="1735" w:type="dxa"/>
          </w:tcPr>
          <w:p>
            <w:pPr>
              <w:pStyle w:val="TableParagraph"/>
              <w:spacing w:line="408" w:lineRule="auto" w:before="34"/>
              <w:ind w:left="200" w:right="274"/>
              <w:rPr>
                <w:rFonts w:ascii="Microsoft JhengHei" w:eastAsia="Microsoft JhengHei" w:hint="eastAsia"/>
                <w:b/>
                <w:sz w:val="21"/>
              </w:rPr>
            </w:pPr>
            <w:r>
              <w:rPr>
                <w:rFonts w:ascii="Microsoft JhengHei" w:eastAsia="Microsoft JhengHei" w:hint="eastAsia"/>
                <w:b/>
                <w:sz w:val="21"/>
              </w:rPr>
              <w:t>原发性硬化性胆管炎</w:t>
            </w:r>
          </w:p>
        </w:tc>
        <w:tc>
          <w:tcPr>
            <w:tcW w:w="6962" w:type="dxa"/>
          </w:tcPr>
          <w:p>
            <w:pPr>
              <w:pStyle w:val="TableParagraph"/>
              <w:spacing w:line="210" w:lineRule="exact"/>
              <w:ind w:left="145"/>
              <w:rPr>
                <w:sz w:val="21"/>
              </w:rPr>
            </w:pPr>
            <w:r>
              <w:rPr>
                <w:sz w:val="21"/>
              </w:rPr>
              <w:t>指一种胆汁淤积综合征，其特征是肝内、肝外胆道因纤维化性炎症逐渐狭</w:t>
            </w:r>
          </w:p>
          <w:p>
            <w:pPr>
              <w:pStyle w:val="TableParagraph"/>
              <w:spacing w:line="273" w:lineRule="auto" w:before="36"/>
              <w:ind w:left="145" w:right="197"/>
              <w:rPr>
                <w:sz w:val="21"/>
              </w:rPr>
            </w:pPr>
            <w:r>
              <w:rPr>
                <w:spacing w:val="-11"/>
                <w:sz w:val="21"/>
              </w:rPr>
              <w:t>窄，并最终导致完全阻塞而发展为肝硬化。本病须经内镜逆行胰胆管造影等影像学检查证实，并须满足下列全部条件：</w:t>
            </w:r>
          </w:p>
          <w:p>
            <w:pPr>
              <w:pStyle w:val="TableParagraph"/>
              <w:numPr>
                <w:ilvl w:val="0"/>
                <w:numId w:val="25"/>
              </w:numPr>
              <w:tabs>
                <w:tab w:pos="777" w:val="left" w:leader="none"/>
              </w:tabs>
              <w:spacing w:line="240" w:lineRule="auto" w:before="7" w:after="0"/>
              <w:ind w:left="776" w:right="0" w:hanging="631"/>
              <w:jc w:val="left"/>
              <w:rPr>
                <w:sz w:val="21"/>
              </w:rPr>
            </w:pPr>
            <w:r>
              <w:rPr>
                <w:spacing w:val="-1"/>
                <w:sz w:val="21"/>
              </w:rPr>
              <w:t>总胆红素和直接胆红素同时升高，血清</w:t>
            </w:r>
            <w:r>
              <w:rPr>
                <w:sz w:val="21"/>
              </w:rPr>
              <w:t>ALP&gt;200U/L；</w:t>
            </w:r>
          </w:p>
          <w:p>
            <w:pPr>
              <w:pStyle w:val="TableParagraph"/>
              <w:numPr>
                <w:ilvl w:val="0"/>
                <w:numId w:val="25"/>
              </w:numPr>
              <w:tabs>
                <w:tab w:pos="777" w:val="left" w:leader="none"/>
              </w:tabs>
              <w:spacing w:line="240" w:lineRule="auto" w:before="36" w:after="0"/>
              <w:ind w:left="776" w:right="0" w:hanging="631"/>
              <w:jc w:val="left"/>
              <w:rPr>
                <w:sz w:val="21"/>
              </w:rPr>
            </w:pPr>
            <w:r>
              <w:rPr>
                <w:spacing w:val="-1"/>
                <w:sz w:val="21"/>
              </w:rPr>
              <w:t>持续性黄疸病史；</w:t>
            </w:r>
          </w:p>
          <w:p>
            <w:pPr>
              <w:pStyle w:val="TableParagraph"/>
              <w:numPr>
                <w:ilvl w:val="0"/>
                <w:numId w:val="25"/>
              </w:numPr>
              <w:tabs>
                <w:tab w:pos="777" w:val="left" w:leader="none"/>
              </w:tabs>
              <w:spacing w:line="240" w:lineRule="auto" w:before="36" w:after="0"/>
              <w:ind w:left="776" w:right="0" w:hanging="631"/>
              <w:jc w:val="left"/>
              <w:rPr>
                <w:sz w:val="21"/>
              </w:rPr>
            </w:pPr>
            <w:r>
              <w:rPr>
                <w:spacing w:val="-1"/>
                <w:sz w:val="21"/>
              </w:rPr>
              <w:t>出现胆汁性肝硬化或门脉高压。</w:t>
            </w:r>
          </w:p>
          <w:p>
            <w:pPr>
              <w:pStyle w:val="TableParagraph"/>
              <w:spacing w:before="36"/>
              <w:ind w:left="145"/>
              <w:rPr>
                <w:sz w:val="21"/>
              </w:rPr>
            </w:pPr>
            <w:r>
              <w:rPr>
                <w:sz w:val="21"/>
              </w:rPr>
              <w:t>因肿瘤或胆管损伤等继发性的硬化性胆管炎不在保障范围内。</w:t>
            </w:r>
          </w:p>
        </w:tc>
      </w:tr>
      <w:tr>
        <w:trPr>
          <w:trHeight w:val="3432" w:hRule="atLeast"/>
        </w:trPr>
        <w:tc>
          <w:tcPr>
            <w:tcW w:w="1735" w:type="dxa"/>
          </w:tcPr>
          <w:p>
            <w:pPr>
              <w:pStyle w:val="TableParagraph"/>
              <w:spacing w:line="410" w:lineRule="auto" w:before="241"/>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2" w:type="dxa"/>
          </w:tcPr>
          <w:p>
            <w:pPr>
              <w:pStyle w:val="TableParagraph"/>
              <w:spacing w:before="142"/>
              <w:ind w:left="145"/>
              <w:rPr>
                <w:sz w:val="21"/>
              </w:rPr>
            </w:pPr>
            <w:r>
              <w:rPr>
                <w:sz w:val="21"/>
              </w:rPr>
              <w:t>被保险人感染上人类免疫缺陷病毒（HIV）并且满足下列全部条件：</w:t>
            </w:r>
          </w:p>
          <w:p>
            <w:pPr>
              <w:pStyle w:val="TableParagraph"/>
              <w:numPr>
                <w:ilvl w:val="0"/>
                <w:numId w:val="26"/>
              </w:numPr>
              <w:tabs>
                <w:tab w:pos="567" w:val="left" w:leader="none"/>
              </w:tabs>
              <w:spacing w:line="240" w:lineRule="auto" w:before="37"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26"/>
              </w:numPr>
              <w:tabs>
                <w:tab w:pos="571" w:val="left" w:leader="none"/>
              </w:tabs>
              <w:spacing w:line="273" w:lineRule="auto" w:before="37" w:after="0"/>
              <w:ind w:left="565" w:right="206"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26"/>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6"/>
              <w:ind w:left="145" w:right="197"/>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r>
              <w:rPr>
                <w:spacing w:val="-10"/>
                <w:sz w:val="21"/>
              </w:rPr>
              <w:t>本保单保障范围内。保险公司必须拥有获得使用被保险人的所有血液样本的权利和能够对这些样本进行独立检验的权利。</w:t>
            </w:r>
          </w:p>
        </w:tc>
      </w:tr>
      <w:tr>
        <w:trPr>
          <w:trHeight w:val="2496"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62" w:type="dxa"/>
          </w:tcPr>
          <w:p>
            <w:pPr>
              <w:pStyle w:val="TableParagraph"/>
              <w:spacing w:before="142"/>
              <w:ind w:left="145"/>
              <w:rPr>
                <w:sz w:val="21"/>
              </w:rPr>
            </w:pPr>
            <w:r>
              <w:rPr>
                <w:sz w:val="21"/>
              </w:rPr>
              <w:t>神经系统疾病及致命的成胶质状脑病，并有以下症状：</w:t>
            </w:r>
          </w:p>
          <w:p>
            <w:pPr>
              <w:pStyle w:val="TableParagraph"/>
              <w:numPr>
                <w:ilvl w:val="0"/>
                <w:numId w:val="27"/>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27"/>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27"/>
              </w:numPr>
              <w:tabs>
                <w:tab w:pos="567" w:val="left" w:leader="none"/>
              </w:tabs>
              <w:spacing w:line="240" w:lineRule="auto" w:before="37" w:after="0"/>
              <w:ind w:left="566" w:right="0" w:hanging="421"/>
              <w:jc w:val="left"/>
              <w:rPr>
                <w:sz w:val="21"/>
              </w:rPr>
            </w:pPr>
            <w:r>
              <w:rPr>
                <w:spacing w:val="-1"/>
                <w:sz w:val="21"/>
              </w:rPr>
              <w:t>小脑功能不良，共济失调；</w:t>
            </w:r>
          </w:p>
          <w:p>
            <w:pPr>
              <w:pStyle w:val="TableParagraph"/>
              <w:numPr>
                <w:ilvl w:val="0"/>
                <w:numId w:val="27"/>
              </w:numPr>
              <w:tabs>
                <w:tab w:pos="567" w:val="left" w:leader="none"/>
              </w:tabs>
              <w:spacing w:line="240" w:lineRule="auto" w:before="36" w:after="0"/>
              <w:ind w:left="566" w:right="0" w:hanging="421"/>
              <w:jc w:val="left"/>
              <w:rPr>
                <w:sz w:val="21"/>
              </w:rPr>
            </w:pPr>
            <w:r>
              <w:rPr>
                <w:spacing w:val="-1"/>
                <w:sz w:val="21"/>
              </w:rPr>
              <w:t>手足徐动症；</w:t>
            </w:r>
          </w:p>
          <w:p>
            <w:pPr>
              <w:pStyle w:val="TableParagraph"/>
              <w:spacing w:line="273" w:lineRule="auto" w:before="36"/>
              <w:ind w:left="145" w:right="197"/>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4"/>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62" w:type="dxa"/>
          </w:tcPr>
          <w:p>
            <w:pPr>
              <w:pStyle w:val="TableParagraph"/>
              <w:spacing w:line="273" w:lineRule="auto" w:before="142"/>
              <w:ind w:left="145" w:right="197"/>
              <w:rPr>
                <w:sz w:val="21"/>
              </w:rPr>
            </w:pPr>
            <w:r>
              <w:rPr>
                <w:spacing w:val="-5"/>
                <w:sz w:val="21"/>
              </w:rPr>
              <w:t>指心肌局限性或弥漫性的急性或慢性炎症病变，导致心脏功能障碍，达到</w:t>
            </w:r>
            <w:r>
              <w:rPr>
                <w:spacing w:val="-1"/>
                <w:sz w:val="21"/>
              </w:rPr>
              <w:t>美国纽约心脏病学会心功能状态分级</w:t>
            </w:r>
            <w:r>
              <w:rPr>
                <w:sz w:val="21"/>
              </w:rPr>
              <w:t>IV级，且持续至少90天。</w:t>
            </w:r>
          </w:p>
        </w:tc>
      </w:tr>
      <w:tr>
        <w:trPr>
          <w:trHeight w:val="3284" w:hRule="atLeast"/>
        </w:trPr>
        <w:tc>
          <w:tcPr>
            <w:tcW w:w="1735" w:type="dxa"/>
          </w:tcPr>
          <w:p>
            <w:pPr>
              <w:pStyle w:val="TableParagraph"/>
              <w:spacing w:before="1"/>
              <w:rPr>
                <w:rFonts w:ascii="Times New Roman"/>
                <w:sz w:val="26"/>
              </w:rPr>
            </w:pPr>
          </w:p>
          <w:p>
            <w:pPr>
              <w:pStyle w:val="TableParagraph"/>
              <w:spacing w:line="410" w:lineRule="auto"/>
              <w:ind w:left="200" w:right="236"/>
              <w:jc w:val="both"/>
              <w:rPr>
                <w:rFonts w:ascii="Microsoft JhengHei" w:eastAsia="Microsoft JhengHei" w:hint="eastAsia"/>
                <w:b/>
                <w:sz w:val="21"/>
              </w:rPr>
            </w:pPr>
            <w:r>
              <w:rPr>
                <w:rFonts w:ascii="Microsoft JhengHei" w:eastAsia="Microsoft JhengHei" w:hint="eastAsia"/>
                <w:b/>
                <w:sz w:val="21"/>
              </w:rPr>
              <w:t>系统性红斑狼疮－III</w:t>
            </w:r>
            <w:r>
              <w:rPr>
                <w:rFonts w:ascii="Microsoft JhengHei" w:eastAsia="Microsoft JhengHei" w:hint="eastAsia"/>
                <w:b/>
                <w:spacing w:val="-9"/>
                <w:sz w:val="21"/>
              </w:rPr>
              <w:t> 型或 </w:t>
            </w:r>
            <w:r>
              <w:rPr>
                <w:rFonts w:ascii="Microsoft JhengHei" w:eastAsia="Microsoft JhengHei" w:hint="eastAsia"/>
                <w:b/>
                <w:sz w:val="21"/>
              </w:rPr>
              <w:t>III 型以上狼疮性肾炎</w:t>
            </w:r>
          </w:p>
        </w:tc>
        <w:tc>
          <w:tcPr>
            <w:tcW w:w="6962" w:type="dxa"/>
          </w:tcPr>
          <w:p>
            <w:pPr>
              <w:pStyle w:val="TableParagraph"/>
              <w:spacing w:before="6"/>
              <w:rPr>
                <w:rFonts w:ascii="Times New Roman"/>
                <w:sz w:val="17"/>
              </w:rPr>
            </w:pPr>
          </w:p>
          <w:p>
            <w:pPr>
              <w:pStyle w:val="TableParagraph"/>
              <w:spacing w:line="273" w:lineRule="auto"/>
              <w:ind w:left="145" w:right="197"/>
              <w:rPr>
                <w:sz w:val="21"/>
              </w:rPr>
            </w:pPr>
            <w:r>
              <w:rPr>
                <w:spacing w:val="-6"/>
                <w:sz w:val="21"/>
              </w:rPr>
              <w:t>系统性红斑狼疮是由多种因素引起，累及多系统的自身免疫性疾病。其特点是生成自身抗体对抗多种自身抗原。多见于育龄妇女。</w:t>
            </w:r>
          </w:p>
          <w:p>
            <w:pPr>
              <w:pStyle w:val="TableParagraph"/>
              <w:spacing w:before="7"/>
              <w:ind w:left="145"/>
              <w:rPr>
                <w:sz w:val="21"/>
              </w:rPr>
            </w:pPr>
            <w:r>
              <w:rPr>
                <w:sz w:val="21"/>
              </w:rPr>
              <w:t>本保单所指的系统性红斑狼疮仅限于累及肾脏（经肾脏活检确认的，符合</w:t>
            </w:r>
          </w:p>
          <w:p>
            <w:pPr>
              <w:pStyle w:val="TableParagraph"/>
              <w:spacing w:line="273" w:lineRule="auto" w:before="36"/>
              <w:ind w:left="145" w:right="197"/>
              <w:jc w:val="both"/>
              <w:rPr>
                <w:sz w:val="21"/>
              </w:rPr>
            </w:pPr>
            <w:r>
              <w:rPr>
                <w:sz w:val="21"/>
              </w:rPr>
              <w:t>WHO诊断标准定义III型或III型以上狼疮性肾炎）的系统性红斑狼疮。其</w:t>
            </w:r>
            <w:r>
              <w:rPr>
                <w:spacing w:val="-9"/>
                <w:sz w:val="21"/>
              </w:rPr>
              <w:t>他类型的红斑性狼疮，如盘状狼疮、仅累及血液及关节的狼疮不在本保单</w:t>
            </w:r>
            <w:r>
              <w:rPr>
                <w:spacing w:val="-8"/>
                <w:sz w:val="21"/>
              </w:rPr>
              <w:t>保障范围内。 世界卫生组织</w:t>
            </w:r>
            <w:r>
              <w:rPr>
                <w:sz w:val="21"/>
              </w:rPr>
              <w:t>（WHO）狼疮性肾炎分型：</w:t>
            </w:r>
          </w:p>
          <w:p>
            <w:pPr>
              <w:pStyle w:val="TableParagraph"/>
              <w:spacing w:before="7"/>
              <w:ind w:left="145"/>
              <w:jc w:val="both"/>
              <w:rPr>
                <w:sz w:val="21"/>
              </w:rPr>
            </w:pPr>
            <w:r>
              <w:rPr>
                <w:sz w:val="21"/>
              </w:rPr>
              <w:t>I型  微小病变型</w:t>
            </w:r>
          </w:p>
          <w:p>
            <w:pPr>
              <w:pStyle w:val="TableParagraph"/>
              <w:spacing w:before="36"/>
              <w:ind w:left="145"/>
              <w:jc w:val="both"/>
              <w:rPr>
                <w:sz w:val="21"/>
              </w:rPr>
            </w:pPr>
            <w:r>
              <w:rPr>
                <w:sz w:val="21"/>
              </w:rPr>
              <w:t>II型 系膜病变型</w:t>
            </w:r>
          </w:p>
          <w:p>
            <w:pPr>
              <w:pStyle w:val="TableParagraph"/>
              <w:spacing w:before="36"/>
              <w:ind w:left="145"/>
              <w:jc w:val="both"/>
              <w:rPr>
                <w:sz w:val="21"/>
              </w:rPr>
            </w:pPr>
            <w:r>
              <w:rPr>
                <w:sz w:val="21"/>
              </w:rPr>
              <w:t>III型 局灶及节段增生型</w:t>
            </w:r>
          </w:p>
          <w:p>
            <w:pPr>
              <w:pStyle w:val="TableParagraph"/>
              <w:spacing w:line="255" w:lineRule="exact" w:before="36"/>
              <w:ind w:left="145"/>
              <w:jc w:val="both"/>
              <w:rPr>
                <w:sz w:val="21"/>
              </w:rPr>
            </w:pPr>
            <w:r>
              <w:rPr>
                <w:sz w:val="21"/>
              </w:rPr>
              <w:t>IV型 弥漫增生型</w:t>
            </w:r>
          </w:p>
        </w:tc>
      </w:tr>
    </w:tbl>
    <w:p>
      <w:pPr>
        <w:spacing w:after="0" w:line="255" w:lineRule="exact"/>
        <w:jc w:val="both"/>
        <w:rPr>
          <w:sz w:val="21"/>
        </w:rPr>
        <w:sectPr>
          <w:pgSz w:w="11910" w:h="16840"/>
          <w:pgMar w:header="899" w:footer="994" w:top="1220" w:bottom="1180" w:left="1680" w:right="1120"/>
        </w:sectPr>
      </w:pPr>
    </w:p>
    <w:p>
      <w:pPr>
        <w:pStyle w:val="BodyText"/>
        <w:spacing w:before="4"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88"/>
        <w:gridCol w:w="7031"/>
      </w:tblGrid>
      <w:tr>
        <w:trPr>
          <w:trHeight w:val="884" w:hRule="atLeast"/>
        </w:trPr>
        <w:tc>
          <w:tcPr>
            <w:tcW w:w="839" w:type="dxa"/>
          </w:tcPr>
          <w:p>
            <w:pPr>
              <w:pStyle w:val="TableParagraph"/>
              <w:rPr>
                <w:rFonts w:ascii="Times New Roman"/>
                <w:sz w:val="20"/>
              </w:rPr>
            </w:pPr>
          </w:p>
        </w:tc>
        <w:tc>
          <w:tcPr>
            <w:tcW w:w="1788" w:type="dxa"/>
          </w:tcPr>
          <w:p>
            <w:pPr>
              <w:pStyle w:val="TableParagraph"/>
              <w:rPr>
                <w:rFonts w:ascii="Times New Roman"/>
                <w:sz w:val="20"/>
              </w:rPr>
            </w:pPr>
          </w:p>
        </w:tc>
        <w:tc>
          <w:tcPr>
            <w:tcW w:w="7031" w:type="dxa"/>
          </w:tcPr>
          <w:p>
            <w:pPr>
              <w:pStyle w:val="TableParagraph"/>
              <w:tabs>
                <w:tab w:pos="741" w:val="left" w:leader="none"/>
              </w:tabs>
              <w:spacing w:line="210" w:lineRule="exact"/>
              <w:ind w:left="110"/>
              <w:rPr>
                <w:sz w:val="21"/>
              </w:rPr>
            </w:pPr>
            <w:r>
              <w:rPr>
                <w:sz w:val="21"/>
              </w:rPr>
              <w:t>V型</w:t>
              <w:tab/>
              <w:t>膜型</w:t>
            </w:r>
          </w:p>
          <w:p>
            <w:pPr>
              <w:pStyle w:val="TableParagraph"/>
              <w:tabs>
                <w:tab w:pos="741" w:val="left" w:leader="none"/>
              </w:tabs>
              <w:spacing w:before="36"/>
              <w:ind w:left="110"/>
              <w:rPr>
                <w:sz w:val="21"/>
              </w:rPr>
            </w:pPr>
            <w:r>
              <w:rPr>
                <w:sz w:val="21"/>
              </w:rPr>
              <w:t>VI型</w:t>
              <w:tab/>
            </w:r>
            <w:r>
              <w:rPr>
                <w:spacing w:val="-1"/>
                <w:sz w:val="21"/>
              </w:rPr>
              <w:t>肾小</w:t>
            </w:r>
            <w:r>
              <w:rPr>
                <w:sz w:val="21"/>
              </w:rPr>
              <w:t>球硬化型</w:t>
            </w:r>
          </w:p>
        </w:tc>
      </w:tr>
      <w:tr>
        <w:trPr>
          <w:trHeight w:val="1248" w:hRule="atLeast"/>
        </w:trPr>
        <w:tc>
          <w:tcPr>
            <w:tcW w:w="839" w:type="dxa"/>
          </w:tcPr>
          <w:p>
            <w:pPr>
              <w:pStyle w:val="TableParagraph"/>
              <w:spacing w:before="10"/>
              <w:rPr>
                <w:rFonts w:ascii="Times New Roman"/>
                <w:sz w:val="25"/>
              </w:rPr>
            </w:pPr>
          </w:p>
          <w:p>
            <w:pPr>
              <w:pStyle w:val="TableParagraph"/>
              <w:spacing w:before="1"/>
              <w:ind w:left="75" w:right="194"/>
              <w:jc w:val="center"/>
              <w:rPr>
                <w:b/>
                <w:sz w:val="21"/>
              </w:rPr>
            </w:pPr>
            <w:r>
              <w:rPr>
                <w:b/>
                <w:sz w:val="21"/>
              </w:rPr>
              <w:t>9.4</w:t>
            </w:r>
          </w:p>
        </w:tc>
        <w:tc>
          <w:tcPr>
            <w:tcW w:w="1788" w:type="dxa"/>
          </w:tcPr>
          <w:p>
            <w:pPr>
              <w:pStyle w:val="TableParagraph"/>
              <w:spacing w:before="10"/>
              <w:rPr>
                <w:rFonts w:ascii="Times New Roman"/>
                <w:sz w:val="25"/>
              </w:rPr>
            </w:pPr>
          </w:p>
          <w:p>
            <w:pPr>
              <w:pStyle w:val="TableParagraph"/>
              <w:spacing w:before="1"/>
              <w:ind w:left="217"/>
              <w:rPr>
                <w:b/>
                <w:sz w:val="21"/>
              </w:rPr>
            </w:pPr>
            <w:r>
              <w:rPr>
                <w:b/>
                <w:sz w:val="21"/>
              </w:rPr>
              <w:t>意外伤害</w:t>
            </w:r>
          </w:p>
        </w:tc>
        <w:tc>
          <w:tcPr>
            <w:tcW w:w="7031" w:type="dxa"/>
          </w:tcPr>
          <w:p>
            <w:pPr>
              <w:pStyle w:val="TableParagraph"/>
              <w:spacing w:before="10"/>
              <w:rPr>
                <w:rFonts w:ascii="Times New Roman"/>
                <w:sz w:val="25"/>
              </w:rPr>
            </w:pPr>
          </w:p>
          <w:p>
            <w:pPr>
              <w:pStyle w:val="TableParagraph"/>
              <w:spacing w:line="273" w:lineRule="auto" w:before="1"/>
              <w:ind w:left="112" w:right="311"/>
              <w:rPr>
                <w:sz w:val="21"/>
              </w:rPr>
            </w:pPr>
            <w:r>
              <w:rPr>
                <w:sz w:val="21"/>
              </w:rPr>
              <w:t>指外来的、突发的、非本意的、非疾病的客观事件直接致使身体受到的伤害。</w:t>
            </w:r>
          </w:p>
        </w:tc>
      </w:tr>
      <w:tr>
        <w:trPr>
          <w:trHeight w:val="2807"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9.5</w:t>
            </w:r>
          </w:p>
        </w:tc>
        <w:tc>
          <w:tcPr>
            <w:tcW w:w="1788" w:type="dxa"/>
          </w:tcPr>
          <w:p>
            <w:pPr>
              <w:pStyle w:val="TableParagraph"/>
              <w:spacing w:before="10"/>
              <w:rPr>
                <w:rFonts w:ascii="Times New Roman"/>
                <w:sz w:val="25"/>
              </w:rPr>
            </w:pPr>
          </w:p>
          <w:p>
            <w:pPr>
              <w:pStyle w:val="TableParagraph"/>
              <w:ind w:left="217"/>
              <w:rPr>
                <w:b/>
                <w:sz w:val="21"/>
              </w:rPr>
            </w:pPr>
            <w:r>
              <w:rPr>
                <w:b/>
                <w:sz w:val="21"/>
              </w:rPr>
              <w:t>专科医生</w:t>
            </w:r>
          </w:p>
        </w:tc>
        <w:tc>
          <w:tcPr>
            <w:tcW w:w="7031" w:type="dxa"/>
          </w:tcPr>
          <w:p>
            <w:pPr>
              <w:pStyle w:val="TableParagraph"/>
              <w:spacing w:before="10"/>
              <w:rPr>
                <w:rFonts w:ascii="Times New Roman"/>
                <w:sz w:val="25"/>
              </w:rPr>
            </w:pPr>
          </w:p>
          <w:p>
            <w:pPr>
              <w:pStyle w:val="TableParagraph"/>
              <w:ind w:left="110"/>
              <w:rPr>
                <w:sz w:val="21"/>
              </w:rPr>
            </w:pPr>
            <w:r>
              <w:rPr>
                <w:sz w:val="21"/>
              </w:rPr>
              <w:t>专科医生应当同时满足以下四项资格条件：</w:t>
            </w:r>
          </w:p>
          <w:p>
            <w:pPr>
              <w:pStyle w:val="TableParagraph"/>
              <w:numPr>
                <w:ilvl w:val="0"/>
                <w:numId w:val="28"/>
              </w:numPr>
              <w:tabs>
                <w:tab w:pos="742" w:val="left" w:leader="none"/>
              </w:tabs>
              <w:spacing w:line="240" w:lineRule="auto" w:before="36" w:after="0"/>
              <w:ind w:left="746" w:right="0" w:hanging="636"/>
              <w:jc w:val="left"/>
              <w:rPr>
                <w:sz w:val="21"/>
              </w:rPr>
            </w:pPr>
            <w:r>
              <w:rPr>
                <w:spacing w:val="-7"/>
                <w:sz w:val="21"/>
              </w:rPr>
              <w:t>具有有效的中华人民共和国《医师资格证书》；</w:t>
            </w:r>
          </w:p>
          <w:p>
            <w:pPr>
              <w:pStyle w:val="TableParagraph"/>
              <w:numPr>
                <w:ilvl w:val="0"/>
                <w:numId w:val="28"/>
              </w:numPr>
              <w:tabs>
                <w:tab w:pos="742" w:val="left" w:leader="none"/>
              </w:tabs>
              <w:spacing w:line="273" w:lineRule="auto" w:before="36" w:after="0"/>
              <w:ind w:left="746" w:right="304" w:hanging="636"/>
              <w:jc w:val="left"/>
              <w:rPr>
                <w:sz w:val="21"/>
              </w:rPr>
            </w:pPr>
            <w:r>
              <w:rPr>
                <w:spacing w:val="-7"/>
                <w:sz w:val="21"/>
              </w:rPr>
              <w:t>具有有效的中华人民共和国《医师执业证书》，并按期到相关部门登记注册；</w:t>
            </w:r>
          </w:p>
          <w:p>
            <w:pPr>
              <w:pStyle w:val="TableParagraph"/>
              <w:numPr>
                <w:ilvl w:val="0"/>
                <w:numId w:val="28"/>
              </w:numPr>
              <w:tabs>
                <w:tab w:pos="690" w:val="left" w:leader="none"/>
              </w:tabs>
              <w:spacing w:line="273" w:lineRule="auto" w:before="7" w:after="0"/>
              <w:ind w:left="718" w:right="302"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28"/>
              </w:numPr>
              <w:tabs>
                <w:tab w:pos="742" w:val="left" w:leader="none"/>
              </w:tabs>
              <w:spacing w:line="240" w:lineRule="auto" w:before="7" w:after="0"/>
              <w:ind w:left="746" w:right="0" w:hanging="636"/>
              <w:jc w:val="left"/>
              <w:rPr>
                <w:sz w:val="21"/>
              </w:rPr>
            </w:pPr>
            <w:r>
              <w:rPr>
                <w:spacing w:val="-1"/>
                <w:sz w:val="21"/>
              </w:rPr>
              <w:t>在二级或二级以上医院的相应科室从事临床工作三年以上。</w:t>
            </w:r>
          </w:p>
        </w:tc>
      </w:tr>
      <w:tr>
        <w:trPr>
          <w:trHeight w:val="1872"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9.6</w:t>
            </w:r>
          </w:p>
        </w:tc>
        <w:tc>
          <w:tcPr>
            <w:tcW w:w="1788" w:type="dxa"/>
          </w:tcPr>
          <w:p>
            <w:pPr>
              <w:pStyle w:val="TableParagraph"/>
              <w:spacing w:before="10"/>
              <w:rPr>
                <w:rFonts w:ascii="Times New Roman"/>
                <w:sz w:val="25"/>
              </w:rPr>
            </w:pPr>
          </w:p>
          <w:p>
            <w:pPr>
              <w:pStyle w:val="TableParagraph"/>
              <w:ind w:left="217"/>
              <w:rPr>
                <w:b/>
                <w:sz w:val="21"/>
              </w:rPr>
            </w:pPr>
            <w:r>
              <w:rPr>
                <w:b/>
                <w:sz w:val="21"/>
              </w:rPr>
              <w:t>毒品</w:t>
            </w:r>
          </w:p>
        </w:tc>
        <w:tc>
          <w:tcPr>
            <w:tcW w:w="7031" w:type="dxa"/>
          </w:tcPr>
          <w:p>
            <w:pPr>
              <w:pStyle w:val="TableParagraph"/>
              <w:spacing w:before="10"/>
              <w:rPr>
                <w:rFonts w:ascii="Times New Roman"/>
                <w:sz w:val="25"/>
              </w:rPr>
            </w:pPr>
          </w:p>
          <w:p>
            <w:pPr>
              <w:pStyle w:val="TableParagraph"/>
              <w:spacing w:line="273" w:lineRule="auto"/>
              <w:ind w:left="112" w:right="197"/>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 品成分的处方药品。</w:t>
            </w:r>
          </w:p>
        </w:tc>
      </w:tr>
      <w:tr>
        <w:trPr>
          <w:trHeight w:val="1560" w:hRule="atLeast"/>
        </w:trPr>
        <w:tc>
          <w:tcPr>
            <w:tcW w:w="839" w:type="dxa"/>
          </w:tcPr>
          <w:p>
            <w:pPr>
              <w:pStyle w:val="TableParagraph"/>
              <w:spacing w:before="10"/>
              <w:rPr>
                <w:rFonts w:ascii="Times New Roman"/>
                <w:sz w:val="25"/>
              </w:rPr>
            </w:pPr>
          </w:p>
          <w:p>
            <w:pPr>
              <w:pStyle w:val="TableParagraph"/>
              <w:spacing w:before="1"/>
              <w:ind w:left="75" w:right="194"/>
              <w:jc w:val="center"/>
              <w:rPr>
                <w:b/>
                <w:sz w:val="21"/>
              </w:rPr>
            </w:pPr>
            <w:r>
              <w:rPr>
                <w:b/>
                <w:sz w:val="21"/>
              </w:rPr>
              <w:t>9.7</w:t>
            </w:r>
          </w:p>
        </w:tc>
        <w:tc>
          <w:tcPr>
            <w:tcW w:w="1788" w:type="dxa"/>
          </w:tcPr>
          <w:p>
            <w:pPr>
              <w:pStyle w:val="TableParagraph"/>
              <w:spacing w:before="10"/>
              <w:rPr>
                <w:rFonts w:ascii="Times New Roman"/>
                <w:sz w:val="25"/>
              </w:rPr>
            </w:pPr>
          </w:p>
          <w:p>
            <w:pPr>
              <w:pStyle w:val="TableParagraph"/>
              <w:spacing w:before="1"/>
              <w:ind w:left="217"/>
              <w:rPr>
                <w:b/>
                <w:sz w:val="21"/>
              </w:rPr>
            </w:pPr>
            <w:r>
              <w:rPr>
                <w:b/>
                <w:sz w:val="21"/>
              </w:rPr>
              <w:t>酒后驾驶</w:t>
            </w:r>
          </w:p>
        </w:tc>
        <w:tc>
          <w:tcPr>
            <w:tcW w:w="7031" w:type="dxa"/>
          </w:tcPr>
          <w:p>
            <w:pPr>
              <w:pStyle w:val="TableParagraph"/>
              <w:spacing w:before="10"/>
              <w:rPr>
                <w:rFonts w:ascii="Times New Roman"/>
                <w:sz w:val="25"/>
              </w:rPr>
            </w:pPr>
          </w:p>
          <w:p>
            <w:pPr>
              <w:pStyle w:val="TableParagraph"/>
              <w:spacing w:line="273" w:lineRule="auto" w:before="1"/>
              <w:ind w:left="112" w:right="196"/>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r>
        <w:trPr>
          <w:trHeight w:val="2340"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9.8</w:t>
            </w:r>
          </w:p>
        </w:tc>
        <w:tc>
          <w:tcPr>
            <w:tcW w:w="1788" w:type="dxa"/>
          </w:tcPr>
          <w:p>
            <w:pPr>
              <w:pStyle w:val="TableParagraph"/>
              <w:spacing w:before="10"/>
              <w:rPr>
                <w:rFonts w:ascii="Times New Roman"/>
                <w:sz w:val="25"/>
              </w:rPr>
            </w:pPr>
          </w:p>
          <w:p>
            <w:pPr>
              <w:pStyle w:val="TableParagraph"/>
              <w:spacing w:line="273" w:lineRule="auto"/>
              <w:ind w:left="217" w:right="106"/>
              <w:rPr>
                <w:b/>
                <w:sz w:val="21"/>
              </w:rPr>
            </w:pPr>
            <w:r>
              <w:rPr>
                <w:b/>
                <w:spacing w:val="-33"/>
                <w:sz w:val="21"/>
              </w:rPr>
              <w:t>无 合 法 有 效 驾驶证驾驶</w:t>
            </w:r>
          </w:p>
        </w:tc>
        <w:tc>
          <w:tcPr>
            <w:tcW w:w="7031" w:type="dxa"/>
          </w:tcPr>
          <w:p>
            <w:pPr>
              <w:pStyle w:val="TableParagraph"/>
              <w:spacing w:before="10"/>
              <w:rPr>
                <w:rFonts w:ascii="Times New Roman"/>
                <w:sz w:val="25"/>
              </w:rPr>
            </w:pPr>
          </w:p>
          <w:p>
            <w:pPr>
              <w:pStyle w:val="TableParagraph"/>
              <w:ind w:left="110"/>
              <w:rPr>
                <w:sz w:val="21"/>
              </w:rPr>
            </w:pPr>
            <w:r>
              <w:rPr>
                <w:sz w:val="21"/>
              </w:rPr>
              <w:t>指下列情形之一：</w:t>
            </w:r>
          </w:p>
          <w:p>
            <w:pPr>
              <w:pStyle w:val="TableParagraph"/>
              <w:numPr>
                <w:ilvl w:val="0"/>
                <w:numId w:val="29"/>
              </w:numPr>
              <w:tabs>
                <w:tab w:pos="742" w:val="left" w:leader="none"/>
              </w:tabs>
              <w:spacing w:line="240" w:lineRule="auto" w:before="36" w:after="0"/>
              <w:ind w:left="740" w:right="0" w:hanging="630"/>
              <w:jc w:val="left"/>
              <w:rPr>
                <w:sz w:val="21"/>
              </w:rPr>
            </w:pPr>
            <w:r>
              <w:rPr>
                <w:spacing w:val="-1"/>
                <w:sz w:val="21"/>
              </w:rPr>
              <w:t>没有驾驶证驾驶；</w:t>
            </w:r>
          </w:p>
          <w:p>
            <w:pPr>
              <w:pStyle w:val="TableParagraph"/>
              <w:numPr>
                <w:ilvl w:val="0"/>
                <w:numId w:val="29"/>
              </w:numPr>
              <w:tabs>
                <w:tab w:pos="742" w:val="left" w:leader="none"/>
              </w:tabs>
              <w:spacing w:line="240" w:lineRule="auto" w:before="36" w:after="0"/>
              <w:ind w:left="740" w:right="0" w:hanging="630"/>
              <w:jc w:val="left"/>
              <w:rPr>
                <w:sz w:val="21"/>
              </w:rPr>
            </w:pPr>
            <w:r>
              <w:rPr>
                <w:spacing w:val="-1"/>
                <w:sz w:val="21"/>
              </w:rPr>
              <w:t>驾驶与驾驶证准驾车型不相符合的车辆；</w:t>
            </w:r>
          </w:p>
          <w:p>
            <w:pPr>
              <w:pStyle w:val="TableParagraph"/>
              <w:numPr>
                <w:ilvl w:val="0"/>
                <w:numId w:val="29"/>
              </w:numPr>
              <w:tabs>
                <w:tab w:pos="742" w:val="left" w:leader="none"/>
              </w:tabs>
              <w:spacing w:line="240" w:lineRule="auto" w:before="36" w:after="0"/>
              <w:ind w:left="740" w:right="0" w:hanging="630"/>
              <w:jc w:val="left"/>
              <w:rPr>
                <w:sz w:val="21"/>
              </w:rPr>
            </w:pPr>
            <w:r>
              <w:rPr>
                <w:spacing w:val="-1"/>
                <w:sz w:val="21"/>
              </w:rPr>
              <w:t>持审验不合格的驾驶证驾驶；</w:t>
            </w:r>
          </w:p>
          <w:p>
            <w:pPr>
              <w:pStyle w:val="TableParagraph"/>
              <w:numPr>
                <w:ilvl w:val="0"/>
                <w:numId w:val="29"/>
              </w:numPr>
              <w:tabs>
                <w:tab w:pos="742" w:val="left" w:leader="none"/>
              </w:tabs>
              <w:spacing w:line="273" w:lineRule="auto" w:before="36" w:after="0"/>
              <w:ind w:left="740" w:right="198" w:hanging="630"/>
              <w:jc w:val="left"/>
              <w:rPr>
                <w:sz w:val="21"/>
              </w:rPr>
            </w:pPr>
            <w:r>
              <w:rPr>
                <w:sz w:val="21"/>
              </w:rPr>
              <w:t>持学习驾驶证学习驾车时，无教练员随车指导，或不按指定时间、路线学习驾车。</w:t>
            </w:r>
          </w:p>
        </w:tc>
      </w:tr>
      <w:tr>
        <w:trPr>
          <w:trHeight w:val="1247" w:hRule="atLeast"/>
        </w:trPr>
        <w:tc>
          <w:tcPr>
            <w:tcW w:w="839" w:type="dxa"/>
          </w:tcPr>
          <w:p>
            <w:pPr>
              <w:pStyle w:val="TableParagraph"/>
              <w:spacing w:before="142"/>
              <w:ind w:left="75" w:right="194"/>
              <w:jc w:val="center"/>
              <w:rPr>
                <w:b/>
                <w:sz w:val="21"/>
              </w:rPr>
            </w:pPr>
            <w:r>
              <w:rPr>
                <w:b/>
                <w:sz w:val="21"/>
              </w:rPr>
              <w:t>9.9</w:t>
            </w:r>
          </w:p>
        </w:tc>
        <w:tc>
          <w:tcPr>
            <w:tcW w:w="1788" w:type="dxa"/>
          </w:tcPr>
          <w:p>
            <w:pPr>
              <w:pStyle w:val="TableParagraph"/>
              <w:spacing w:before="142"/>
              <w:ind w:left="217"/>
              <w:rPr>
                <w:b/>
                <w:sz w:val="21"/>
              </w:rPr>
            </w:pPr>
            <w:r>
              <w:rPr>
                <w:b/>
                <w:w w:val="95"/>
                <w:sz w:val="21"/>
              </w:rPr>
              <w:t>无有效行驶证</w:t>
            </w:r>
          </w:p>
        </w:tc>
        <w:tc>
          <w:tcPr>
            <w:tcW w:w="7031" w:type="dxa"/>
          </w:tcPr>
          <w:p>
            <w:pPr>
              <w:pStyle w:val="TableParagraph"/>
              <w:spacing w:before="142"/>
              <w:ind w:left="110"/>
              <w:rPr>
                <w:sz w:val="21"/>
              </w:rPr>
            </w:pPr>
            <w:r>
              <w:rPr>
                <w:sz w:val="21"/>
              </w:rPr>
              <w:t>指下列情形之一：</w:t>
            </w:r>
          </w:p>
          <w:p>
            <w:pPr>
              <w:pStyle w:val="TableParagraph"/>
              <w:numPr>
                <w:ilvl w:val="0"/>
                <w:numId w:val="30"/>
              </w:numPr>
              <w:tabs>
                <w:tab w:pos="742" w:val="left" w:leader="none"/>
              </w:tabs>
              <w:spacing w:line="240" w:lineRule="auto" w:before="37" w:after="0"/>
              <w:ind w:left="741" w:right="0" w:hanging="631"/>
              <w:jc w:val="left"/>
              <w:rPr>
                <w:sz w:val="21"/>
              </w:rPr>
            </w:pPr>
            <w:r>
              <w:rPr>
                <w:spacing w:val="-1"/>
                <w:sz w:val="21"/>
              </w:rPr>
              <w:t>机动车被依法注销登记的；</w:t>
            </w:r>
          </w:p>
          <w:p>
            <w:pPr>
              <w:pStyle w:val="TableParagraph"/>
              <w:numPr>
                <w:ilvl w:val="0"/>
                <w:numId w:val="30"/>
              </w:numPr>
              <w:tabs>
                <w:tab w:pos="742" w:val="left" w:leader="none"/>
              </w:tabs>
              <w:spacing w:line="240" w:lineRule="auto" w:before="37" w:after="0"/>
              <w:ind w:left="741" w:right="0" w:hanging="631"/>
              <w:jc w:val="left"/>
              <w:rPr>
                <w:sz w:val="21"/>
              </w:rPr>
            </w:pPr>
            <w:r>
              <w:rPr>
                <w:spacing w:val="-1"/>
                <w:sz w:val="21"/>
              </w:rPr>
              <w:t>未依法按时进行或通过机动车安全技术检验。</w:t>
            </w:r>
          </w:p>
        </w:tc>
      </w:tr>
      <w:tr>
        <w:trPr>
          <w:trHeight w:val="1665" w:hRule="atLeast"/>
        </w:trPr>
        <w:tc>
          <w:tcPr>
            <w:tcW w:w="839" w:type="dxa"/>
          </w:tcPr>
          <w:p>
            <w:pPr>
              <w:pStyle w:val="TableParagraph"/>
              <w:spacing w:before="142"/>
              <w:ind w:left="180" w:right="194"/>
              <w:jc w:val="center"/>
              <w:rPr>
                <w:b/>
                <w:sz w:val="21"/>
              </w:rPr>
            </w:pPr>
            <w:r>
              <w:rPr>
                <w:b/>
                <w:sz w:val="21"/>
              </w:rPr>
              <w:t>9.10</w:t>
            </w:r>
          </w:p>
        </w:tc>
        <w:tc>
          <w:tcPr>
            <w:tcW w:w="1788" w:type="dxa"/>
          </w:tcPr>
          <w:p>
            <w:pPr>
              <w:pStyle w:val="TableParagraph"/>
              <w:spacing w:line="273" w:lineRule="auto" w:before="142"/>
              <w:ind w:left="217" w:right="305"/>
              <w:rPr>
                <w:b/>
                <w:sz w:val="21"/>
              </w:rPr>
            </w:pPr>
            <w:r>
              <w:rPr>
                <w:b/>
                <w:sz w:val="21"/>
              </w:rPr>
              <w:t>感染艾滋病病</w:t>
            </w:r>
            <w:r>
              <w:rPr>
                <w:b/>
                <w:w w:val="95"/>
                <w:sz w:val="21"/>
              </w:rPr>
              <w:t>毒或患艾滋病</w:t>
            </w:r>
          </w:p>
        </w:tc>
        <w:tc>
          <w:tcPr>
            <w:tcW w:w="7031" w:type="dxa"/>
          </w:tcPr>
          <w:p>
            <w:pPr>
              <w:pStyle w:val="TableParagraph"/>
              <w:spacing w:line="273" w:lineRule="auto" w:before="142"/>
              <w:ind w:left="110" w:right="301"/>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312" w:lineRule="exact" w:before="3"/>
              <w:ind w:left="110" w:right="302"/>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bl>
    <w:p>
      <w:pPr>
        <w:spacing w:after="0" w:line="312" w:lineRule="exact"/>
        <w:jc w:val="both"/>
        <w:rPr>
          <w:sz w:val="21"/>
        </w:rPr>
        <w:sectPr>
          <w:pgSz w:w="11910" w:h="16840"/>
          <w:pgMar w:header="899" w:footer="994" w:top="1220" w:bottom="1180" w:left="1020" w:right="100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88"/>
        <w:gridCol w:w="7029"/>
      </w:tblGrid>
      <w:tr>
        <w:trPr>
          <w:trHeight w:val="885" w:hRule="atLeast"/>
        </w:trPr>
        <w:tc>
          <w:tcPr>
            <w:tcW w:w="840" w:type="dxa"/>
          </w:tcPr>
          <w:p>
            <w:pPr>
              <w:pStyle w:val="TableParagraph"/>
              <w:spacing w:line="210" w:lineRule="exact"/>
              <w:ind w:left="180" w:right="194"/>
              <w:jc w:val="center"/>
              <w:rPr>
                <w:b/>
                <w:sz w:val="21"/>
              </w:rPr>
            </w:pPr>
            <w:r>
              <w:rPr>
                <w:b/>
                <w:sz w:val="21"/>
              </w:rPr>
              <w:t>9.11</w:t>
            </w:r>
          </w:p>
        </w:tc>
        <w:tc>
          <w:tcPr>
            <w:tcW w:w="1788" w:type="dxa"/>
          </w:tcPr>
          <w:p>
            <w:pPr>
              <w:pStyle w:val="TableParagraph"/>
              <w:spacing w:line="210" w:lineRule="exact"/>
              <w:ind w:left="216"/>
              <w:rPr>
                <w:b/>
                <w:sz w:val="21"/>
              </w:rPr>
            </w:pPr>
            <w:r>
              <w:rPr>
                <w:b/>
                <w:w w:val="95"/>
                <w:sz w:val="21"/>
              </w:rPr>
              <w:t>遗传性疾病</w:t>
            </w:r>
          </w:p>
        </w:tc>
        <w:tc>
          <w:tcPr>
            <w:tcW w:w="7029" w:type="dxa"/>
          </w:tcPr>
          <w:p>
            <w:pPr>
              <w:pStyle w:val="TableParagraph"/>
              <w:spacing w:line="210" w:lineRule="exact"/>
              <w:ind w:left="109"/>
              <w:rPr>
                <w:sz w:val="21"/>
              </w:rPr>
            </w:pPr>
            <w:r>
              <w:rPr>
                <w:spacing w:val="-4"/>
                <w:sz w:val="21"/>
              </w:rPr>
              <w:t>指生殖细胞或受精卵的遗传物质</w:t>
            </w:r>
            <w:r>
              <w:rPr>
                <w:sz w:val="21"/>
              </w:rPr>
              <w:t>（染色体和基因</w:t>
            </w:r>
            <w:r>
              <w:rPr>
                <w:spacing w:val="-52"/>
                <w:sz w:val="21"/>
              </w:rPr>
              <w:t>）</w:t>
            </w:r>
            <w:r>
              <w:rPr>
                <w:sz w:val="21"/>
              </w:rPr>
              <w:t>发生突变或畸变所引起</w:t>
            </w:r>
          </w:p>
          <w:p>
            <w:pPr>
              <w:pStyle w:val="TableParagraph"/>
              <w:spacing w:before="37"/>
              <w:ind w:left="109"/>
              <w:rPr>
                <w:sz w:val="21"/>
              </w:rPr>
            </w:pPr>
            <w:r>
              <w:rPr>
                <w:sz w:val="21"/>
              </w:rPr>
              <w:t>的疾病，通常具有由亲代传至后代的垂直传递的特征。</w:t>
            </w:r>
          </w:p>
        </w:tc>
      </w:tr>
      <w:tr>
        <w:trPr>
          <w:trHeight w:val="1404" w:hRule="atLeast"/>
        </w:trPr>
        <w:tc>
          <w:tcPr>
            <w:tcW w:w="840" w:type="dxa"/>
          </w:tcPr>
          <w:p>
            <w:pPr>
              <w:pStyle w:val="TableParagraph"/>
              <w:spacing w:before="10"/>
              <w:rPr>
                <w:rFonts w:ascii="Times New Roman"/>
                <w:sz w:val="25"/>
              </w:rPr>
            </w:pPr>
          </w:p>
          <w:p>
            <w:pPr>
              <w:pStyle w:val="TableParagraph"/>
              <w:spacing w:before="1"/>
              <w:ind w:left="180" w:right="194"/>
              <w:jc w:val="center"/>
              <w:rPr>
                <w:b/>
                <w:sz w:val="21"/>
              </w:rPr>
            </w:pPr>
            <w:r>
              <w:rPr>
                <w:b/>
                <w:sz w:val="21"/>
              </w:rPr>
              <w:t>9.12</w:t>
            </w:r>
          </w:p>
        </w:tc>
        <w:tc>
          <w:tcPr>
            <w:tcW w:w="1788" w:type="dxa"/>
          </w:tcPr>
          <w:p>
            <w:pPr>
              <w:pStyle w:val="TableParagraph"/>
              <w:spacing w:before="10"/>
              <w:rPr>
                <w:rFonts w:ascii="Times New Roman"/>
                <w:sz w:val="25"/>
              </w:rPr>
            </w:pPr>
          </w:p>
          <w:p>
            <w:pPr>
              <w:pStyle w:val="TableParagraph"/>
              <w:spacing w:line="273" w:lineRule="auto" w:before="1"/>
              <w:ind w:left="216" w:right="61"/>
              <w:rPr>
                <w:b/>
                <w:sz w:val="21"/>
              </w:rPr>
            </w:pPr>
            <w:r>
              <w:rPr>
                <w:b/>
                <w:w w:val="95"/>
                <w:sz w:val="21"/>
              </w:rPr>
              <w:t>先天性畸形、变</w:t>
            </w:r>
            <w:r>
              <w:rPr>
                <w:b/>
                <w:sz w:val="21"/>
              </w:rPr>
              <w:t>形或染色体异常</w:t>
            </w:r>
          </w:p>
        </w:tc>
        <w:tc>
          <w:tcPr>
            <w:tcW w:w="7029" w:type="dxa"/>
          </w:tcPr>
          <w:p>
            <w:pPr>
              <w:pStyle w:val="TableParagraph"/>
              <w:spacing w:before="10"/>
              <w:rPr>
                <w:rFonts w:ascii="Times New Roman"/>
                <w:sz w:val="25"/>
              </w:rPr>
            </w:pPr>
          </w:p>
          <w:p>
            <w:pPr>
              <w:pStyle w:val="TableParagraph"/>
              <w:spacing w:line="273" w:lineRule="auto" w:before="1"/>
              <w:ind w:left="109"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9"/>
              <w:rPr>
                <w:sz w:val="21"/>
              </w:rPr>
            </w:pPr>
            <w:r>
              <w:rPr>
                <w:sz w:val="21"/>
              </w:rPr>
              <w:t>（ICD-10）确定。</w:t>
            </w:r>
          </w:p>
        </w:tc>
      </w:tr>
      <w:tr>
        <w:trPr>
          <w:trHeight w:val="935" w:hRule="atLeast"/>
        </w:trPr>
        <w:tc>
          <w:tcPr>
            <w:tcW w:w="840" w:type="dxa"/>
          </w:tcPr>
          <w:p>
            <w:pPr>
              <w:pStyle w:val="TableParagraph"/>
              <w:spacing w:before="142"/>
              <w:ind w:left="179" w:right="195"/>
              <w:jc w:val="center"/>
              <w:rPr>
                <w:b/>
                <w:sz w:val="21"/>
              </w:rPr>
            </w:pPr>
            <w:r>
              <w:rPr>
                <w:b/>
                <w:sz w:val="21"/>
              </w:rPr>
              <w:t>9.13</w:t>
            </w:r>
          </w:p>
        </w:tc>
        <w:tc>
          <w:tcPr>
            <w:tcW w:w="1788" w:type="dxa"/>
          </w:tcPr>
          <w:p>
            <w:pPr>
              <w:pStyle w:val="TableParagraph"/>
              <w:spacing w:before="142"/>
              <w:ind w:left="216"/>
              <w:rPr>
                <w:b/>
                <w:sz w:val="21"/>
              </w:rPr>
            </w:pPr>
            <w:r>
              <w:rPr>
                <w:b/>
                <w:sz w:val="21"/>
              </w:rPr>
              <w:t>现金价值</w:t>
            </w:r>
          </w:p>
        </w:tc>
        <w:tc>
          <w:tcPr>
            <w:tcW w:w="7029" w:type="dxa"/>
          </w:tcPr>
          <w:p>
            <w:pPr>
              <w:pStyle w:val="TableParagraph"/>
              <w:spacing w:line="273" w:lineRule="auto" w:before="142"/>
              <w:ind w:left="109" w:right="197"/>
              <w:rPr>
                <w:sz w:val="21"/>
              </w:rPr>
            </w:pPr>
            <w:r>
              <w:rPr>
                <w:sz w:val="21"/>
              </w:rPr>
              <w:t>指保险单所具有的价值，通常体现为解除合同时，根据精算原理计算的， 由本公司退还的那部分金额。</w:t>
            </w:r>
          </w:p>
        </w:tc>
      </w:tr>
      <w:tr>
        <w:trPr>
          <w:trHeight w:val="938" w:hRule="atLeast"/>
        </w:trPr>
        <w:tc>
          <w:tcPr>
            <w:tcW w:w="840" w:type="dxa"/>
          </w:tcPr>
          <w:p>
            <w:pPr>
              <w:pStyle w:val="TableParagraph"/>
              <w:spacing w:before="142"/>
              <w:ind w:left="179" w:right="195"/>
              <w:jc w:val="center"/>
              <w:rPr>
                <w:b/>
                <w:sz w:val="21"/>
              </w:rPr>
            </w:pPr>
            <w:r>
              <w:rPr>
                <w:b/>
                <w:sz w:val="21"/>
              </w:rPr>
              <w:t>9.14</w:t>
            </w:r>
          </w:p>
        </w:tc>
        <w:tc>
          <w:tcPr>
            <w:tcW w:w="1788" w:type="dxa"/>
          </w:tcPr>
          <w:p>
            <w:pPr>
              <w:pStyle w:val="TableParagraph"/>
              <w:spacing w:before="142"/>
              <w:ind w:left="216"/>
              <w:rPr>
                <w:b/>
                <w:sz w:val="21"/>
              </w:rPr>
            </w:pPr>
            <w:r>
              <w:rPr>
                <w:b/>
                <w:sz w:val="21"/>
              </w:rPr>
              <w:t>医院</w:t>
            </w:r>
          </w:p>
        </w:tc>
        <w:tc>
          <w:tcPr>
            <w:tcW w:w="7029" w:type="dxa"/>
          </w:tcPr>
          <w:p>
            <w:pPr>
              <w:pStyle w:val="TableParagraph"/>
              <w:spacing w:line="273" w:lineRule="auto" w:before="142"/>
              <w:ind w:left="109" w:right="301"/>
              <w:rPr>
                <w:sz w:val="21"/>
              </w:rPr>
            </w:pPr>
            <w:r>
              <w:rPr>
                <w:spacing w:val="-7"/>
                <w:sz w:val="21"/>
              </w:rPr>
              <w:t>指我们指定的定点医院，我们保留变更定点医院的权利。定点医院发生变更时，我们会书面通知您。</w:t>
            </w:r>
          </w:p>
        </w:tc>
      </w:tr>
      <w:tr>
        <w:trPr>
          <w:trHeight w:val="938" w:hRule="atLeast"/>
        </w:trPr>
        <w:tc>
          <w:tcPr>
            <w:tcW w:w="840" w:type="dxa"/>
          </w:tcPr>
          <w:p>
            <w:pPr>
              <w:pStyle w:val="TableParagraph"/>
              <w:spacing w:before="144"/>
              <w:ind w:left="179" w:right="195"/>
              <w:jc w:val="center"/>
              <w:rPr>
                <w:b/>
                <w:sz w:val="21"/>
              </w:rPr>
            </w:pPr>
            <w:r>
              <w:rPr>
                <w:b/>
                <w:sz w:val="21"/>
              </w:rPr>
              <w:t>9.15</w:t>
            </w:r>
          </w:p>
        </w:tc>
        <w:tc>
          <w:tcPr>
            <w:tcW w:w="1788" w:type="dxa"/>
          </w:tcPr>
          <w:p>
            <w:pPr>
              <w:pStyle w:val="TableParagraph"/>
              <w:spacing w:line="273" w:lineRule="auto" w:before="144"/>
              <w:ind w:left="216" w:right="306"/>
              <w:rPr>
                <w:b/>
                <w:sz w:val="21"/>
              </w:rPr>
            </w:pPr>
            <w:r>
              <w:rPr>
                <w:b/>
                <w:sz w:val="21"/>
              </w:rPr>
              <w:t>肢体机能完全丧失</w:t>
            </w:r>
          </w:p>
        </w:tc>
        <w:tc>
          <w:tcPr>
            <w:tcW w:w="7029" w:type="dxa"/>
          </w:tcPr>
          <w:p>
            <w:pPr>
              <w:pStyle w:val="TableParagraph"/>
              <w:spacing w:line="273" w:lineRule="auto" w:before="144"/>
              <w:ind w:left="109" w:right="301"/>
              <w:rPr>
                <w:sz w:val="21"/>
              </w:rPr>
            </w:pPr>
            <w:r>
              <w:rPr>
                <w:spacing w:val="-6"/>
                <w:sz w:val="21"/>
              </w:rPr>
              <w:t>指肢体的三大关节中的两大关节僵硬，或不能随意识活动。肢体是指包括肩关节的整个上肢或包括髋关节的整个下肢。</w:t>
            </w:r>
          </w:p>
        </w:tc>
      </w:tr>
      <w:tr>
        <w:trPr>
          <w:trHeight w:val="1872" w:hRule="atLeast"/>
        </w:trPr>
        <w:tc>
          <w:tcPr>
            <w:tcW w:w="840" w:type="dxa"/>
          </w:tcPr>
          <w:p>
            <w:pPr>
              <w:pStyle w:val="TableParagraph"/>
              <w:spacing w:before="142"/>
              <w:ind w:left="179" w:right="195"/>
              <w:jc w:val="center"/>
              <w:rPr>
                <w:b/>
                <w:sz w:val="21"/>
              </w:rPr>
            </w:pPr>
            <w:r>
              <w:rPr>
                <w:b/>
                <w:sz w:val="21"/>
              </w:rPr>
              <w:t>9.16</w:t>
            </w:r>
          </w:p>
        </w:tc>
        <w:tc>
          <w:tcPr>
            <w:tcW w:w="1788" w:type="dxa"/>
          </w:tcPr>
          <w:p>
            <w:pPr>
              <w:pStyle w:val="TableParagraph"/>
              <w:spacing w:line="273" w:lineRule="auto" w:before="142"/>
              <w:ind w:left="216" w:right="306"/>
              <w:jc w:val="both"/>
              <w:rPr>
                <w:b/>
                <w:sz w:val="21"/>
              </w:rPr>
            </w:pPr>
            <w:r>
              <w:rPr>
                <w:b/>
                <w:sz w:val="21"/>
              </w:rPr>
              <w:t>语言能力或咀嚼吞咽能力完全丧失</w:t>
            </w:r>
          </w:p>
        </w:tc>
        <w:tc>
          <w:tcPr>
            <w:tcW w:w="7029" w:type="dxa"/>
          </w:tcPr>
          <w:p>
            <w:pPr>
              <w:pStyle w:val="TableParagraph"/>
              <w:spacing w:line="273" w:lineRule="auto" w:before="142"/>
              <w:ind w:left="109" w:right="302"/>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273" w:lineRule="auto" w:before="7"/>
              <w:ind w:left="109" w:right="197"/>
              <w:rPr>
                <w:sz w:val="21"/>
              </w:rPr>
            </w:pPr>
            <w:r>
              <w:rPr>
                <w:sz w:val="21"/>
              </w:rPr>
              <w:t>咀嚼吞咽能力完全丧失，指因牙齿以外的原因导致器质障碍或机能障碍， 以致不能作咀嚼吞咽运动，除流质食物外不能摄取或吞咽的状态。</w:t>
            </w:r>
          </w:p>
        </w:tc>
      </w:tr>
      <w:tr>
        <w:trPr>
          <w:trHeight w:val="2495" w:hRule="atLeast"/>
        </w:trPr>
        <w:tc>
          <w:tcPr>
            <w:tcW w:w="840" w:type="dxa"/>
          </w:tcPr>
          <w:p>
            <w:pPr>
              <w:pStyle w:val="TableParagraph"/>
              <w:spacing w:before="142"/>
              <w:ind w:left="179" w:right="195"/>
              <w:jc w:val="center"/>
              <w:rPr>
                <w:b/>
                <w:sz w:val="21"/>
              </w:rPr>
            </w:pPr>
            <w:r>
              <w:rPr>
                <w:b/>
                <w:sz w:val="21"/>
              </w:rPr>
              <w:t>9.17</w:t>
            </w:r>
          </w:p>
        </w:tc>
        <w:tc>
          <w:tcPr>
            <w:tcW w:w="1788" w:type="dxa"/>
          </w:tcPr>
          <w:p>
            <w:pPr>
              <w:pStyle w:val="TableParagraph"/>
              <w:spacing w:line="273" w:lineRule="auto" w:before="142"/>
              <w:ind w:left="216" w:right="306"/>
              <w:rPr>
                <w:b/>
                <w:sz w:val="21"/>
              </w:rPr>
            </w:pPr>
            <w:r>
              <w:rPr>
                <w:b/>
                <w:sz w:val="21"/>
              </w:rPr>
              <w:t>六项基本日常生活活动</w:t>
            </w:r>
          </w:p>
        </w:tc>
        <w:tc>
          <w:tcPr>
            <w:tcW w:w="7029" w:type="dxa"/>
          </w:tcPr>
          <w:p>
            <w:pPr>
              <w:pStyle w:val="TableParagraph"/>
              <w:spacing w:before="142"/>
              <w:ind w:left="109"/>
              <w:rPr>
                <w:sz w:val="21"/>
              </w:rPr>
            </w:pPr>
            <w:r>
              <w:rPr>
                <w:sz w:val="21"/>
              </w:rPr>
              <w:t>六项基本日常生活活动是指：</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穿衣：自己能够穿衣及脱衣；</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移动：自己从一个房间到另一个房间；</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行动：自己上下床或上下轮椅；</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如厕：自己控制进行大小便；</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进食：自己从已准备好的碗或碟中取食物放入口中；</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洗澡：自己进行淋浴或盆浴。</w:t>
            </w:r>
          </w:p>
        </w:tc>
      </w:tr>
      <w:tr>
        <w:trPr>
          <w:trHeight w:val="729" w:hRule="atLeast"/>
        </w:trPr>
        <w:tc>
          <w:tcPr>
            <w:tcW w:w="840" w:type="dxa"/>
          </w:tcPr>
          <w:p>
            <w:pPr>
              <w:pStyle w:val="TableParagraph"/>
              <w:spacing w:before="142"/>
              <w:ind w:left="179" w:right="195"/>
              <w:jc w:val="center"/>
              <w:rPr>
                <w:b/>
                <w:sz w:val="21"/>
              </w:rPr>
            </w:pPr>
            <w:r>
              <w:rPr>
                <w:b/>
                <w:sz w:val="21"/>
              </w:rPr>
              <w:t>9.18</w:t>
            </w:r>
          </w:p>
        </w:tc>
        <w:tc>
          <w:tcPr>
            <w:tcW w:w="1788" w:type="dxa"/>
          </w:tcPr>
          <w:p>
            <w:pPr>
              <w:pStyle w:val="TableParagraph"/>
              <w:spacing w:before="142"/>
              <w:ind w:left="216"/>
              <w:rPr>
                <w:b/>
                <w:sz w:val="21"/>
              </w:rPr>
            </w:pPr>
            <w:r>
              <w:rPr>
                <w:b/>
                <w:w w:val="95"/>
                <w:sz w:val="21"/>
              </w:rPr>
              <w:t>永久不可逆</w:t>
            </w:r>
          </w:p>
        </w:tc>
        <w:tc>
          <w:tcPr>
            <w:tcW w:w="7029" w:type="dxa"/>
          </w:tcPr>
          <w:p>
            <w:pPr>
              <w:pStyle w:val="TableParagraph"/>
              <w:spacing w:line="310" w:lineRule="atLeast" w:before="107"/>
              <w:ind w:left="109" w:right="300"/>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仿宋">
    <w:altName w:val="仿宋"/>
    <w:charset w:val="86"/>
    <w:family w:val="modern"/>
    <w:pitch w:val="fixed"/>
  </w:font>
  <w:font w:name="微软雅黑">
    <w:altName w:val="微软雅黑"/>
    <w:charset w:val="86"/>
    <w:family w:val="swiss"/>
    <w:pitch w:val="variable"/>
  </w:font>
  <w:font w:name="黑体">
    <w:altName w:val="黑体"/>
    <w:charset w:val="86"/>
    <w:family w:val="modern"/>
    <w:pitch w:val="fixed"/>
  </w:font>
  <w:font w:name="MingLiU_HKSCS-ExtB">
    <w:altName w:val="MingLiU_HKSCS-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739990pt;margin-top:781.23999pt;width:21.6pt;height:12pt;mso-position-horizontal-relative:page;mso-position-vertical-relative:page;z-index:-4933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4pt;margin-top:43.953812pt;width:46.4pt;height:18.1pt;mso-position-horizontal-relative:page;mso-position-vertical-relative:page;z-index:-49312" type="#_x0000_t202" filled="false" stroked="false">
          <v:textbox inset="0,0,0,0">
            <w:txbxContent>
              <w:p>
                <w:pPr>
                  <w:spacing w:line="310" w:lineRule="exact" w:before="0"/>
                  <w:ind w:left="20" w:right="0" w:firstLine="0"/>
                  <w:jc w:val="left"/>
                  <w:rPr>
                    <w:sz w:val="24"/>
                  </w:rPr>
                </w:pPr>
                <w:r>
                  <w:rPr>
                    <w:spacing w:val="-25"/>
                    <w:sz w:val="24"/>
                  </w:rPr>
                  <w:t>附件 </w:t>
                </w:r>
                <w:r>
                  <w:rPr>
                    <w:sz w:val="24"/>
                  </w:rPr>
                  <w:t>3-2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6" w:hanging="632"/>
      </w:pPr>
      <w:rPr>
        <w:rFonts w:hint="default"/>
      </w:rPr>
    </w:lvl>
    <w:lvl w:ilvl="4">
      <w:start w:val="0"/>
      <w:numFmt w:val="bullet"/>
      <w:lvlText w:val="•"/>
      <w:lvlJc w:val="left"/>
      <w:pPr>
        <w:ind w:left="3255" w:hanging="632"/>
      </w:pPr>
      <w:rPr>
        <w:rFonts w:hint="default"/>
      </w:rPr>
    </w:lvl>
    <w:lvl w:ilvl="5">
      <w:start w:val="0"/>
      <w:numFmt w:val="bullet"/>
      <w:lvlText w:val="•"/>
      <w:lvlJc w:val="left"/>
      <w:pPr>
        <w:ind w:left="3884" w:hanging="632"/>
      </w:pPr>
      <w:rPr>
        <w:rFonts w:hint="default"/>
      </w:rPr>
    </w:lvl>
    <w:lvl w:ilvl="6">
      <w:start w:val="0"/>
      <w:numFmt w:val="bullet"/>
      <w:lvlText w:val="•"/>
      <w:lvlJc w:val="left"/>
      <w:pPr>
        <w:ind w:left="4513" w:hanging="632"/>
      </w:pPr>
      <w:rPr>
        <w:rFonts w:hint="default"/>
      </w:rPr>
    </w:lvl>
    <w:lvl w:ilvl="7">
      <w:start w:val="0"/>
      <w:numFmt w:val="bullet"/>
      <w:lvlText w:val="•"/>
      <w:lvlJc w:val="left"/>
      <w:pPr>
        <w:ind w:left="5142" w:hanging="632"/>
      </w:pPr>
      <w:rPr>
        <w:rFonts w:hint="default"/>
      </w:rPr>
    </w:lvl>
    <w:lvl w:ilvl="8">
      <w:start w:val="0"/>
      <w:numFmt w:val="bullet"/>
      <w:lvlText w:val="•"/>
      <w:lvlJc w:val="left"/>
      <w:pPr>
        <w:ind w:left="5771" w:hanging="632"/>
      </w:pPr>
      <w:rPr>
        <w:rFonts w:hint="default"/>
      </w:rPr>
    </w:lvl>
  </w:abstractNum>
  <w:abstractNum w:abstractNumId="29">
    <w:multiLevelType w:val="hybridMultilevel"/>
    <w:lvl w:ilvl="0">
      <w:start w:val="1"/>
      <w:numFmt w:val="decimal"/>
      <w:lvlText w:val="（%1）"/>
      <w:lvlJc w:val="left"/>
      <w:pPr>
        <w:ind w:left="741"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8">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7">
    <w:multiLevelType w:val="hybridMultilevel"/>
    <w:lvl w:ilvl="0">
      <w:start w:val="1"/>
      <w:numFmt w:val="decimal"/>
      <w:lvlText w:val="（%1）"/>
      <w:lvlJc w:val="left"/>
      <w:pPr>
        <w:ind w:left="746" w:hanging="632"/>
        <w:jc w:val="left"/>
      </w:pPr>
      <w:rPr>
        <w:rFonts w:hint="default" w:ascii="宋体" w:hAnsi="宋体" w:eastAsia="宋体" w:cs="宋体"/>
        <w:spacing w:val="-105"/>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6">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5">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4">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107" w:hanging="632"/>
      </w:pPr>
      <w:rPr>
        <w:rFonts w:hint="default"/>
      </w:rPr>
    </w:lvl>
    <w:lvl w:ilvl="8">
      <w:start w:val="0"/>
      <w:numFmt w:val="bullet"/>
      <w:lvlText w:val="•"/>
      <w:lvlJc w:val="left"/>
      <w:pPr>
        <w:ind w:left="5725" w:hanging="632"/>
      </w:pPr>
      <w:rPr>
        <w:rFonts w:hint="default"/>
      </w:rPr>
    </w:lvl>
  </w:abstractNum>
  <w:abstractNum w:abstractNumId="23">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2">
    <w:multiLevelType w:val="hybridMultilevel"/>
    <w:lvl w:ilvl="0">
      <w:start w:val="1"/>
      <w:numFmt w:val="decimal"/>
      <w:lvlText w:val="(%1)"/>
      <w:lvlJc w:val="left"/>
      <w:pPr>
        <w:ind w:left="594"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1">
    <w:multiLevelType w:val="hybridMultilevel"/>
    <w:lvl w:ilvl="0">
      <w:start w:val="2"/>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0">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6" w:hanging="422"/>
      </w:pPr>
      <w:rPr>
        <w:rFonts w:hint="default"/>
      </w:rPr>
    </w:lvl>
    <w:lvl w:ilvl="6">
      <w:start w:val="0"/>
      <w:numFmt w:val="bullet"/>
      <w:lvlText w:val="•"/>
      <w:lvlJc w:val="left"/>
      <w:pPr>
        <w:ind w:left="4535"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4" w:hanging="422"/>
      </w:pPr>
      <w:rPr>
        <w:rFonts w:hint="default"/>
      </w:rPr>
    </w:lvl>
  </w:abstractNum>
  <w:abstractNum w:abstractNumId="19">
    <w:multiLevelType w:val="hybridMultilevel"/>
    <w:lvl w:ilvl="0">
      <w:start w:val="1"/>
      <w:numFmt w:val="decimal"/>
      <w:lvlText w:val="(%1)"/>
      <w:lvlJc w:val="left"/>
      <w:pPr>
        <w:ind w:left="630" w:hanging="429"/>
        <w:jc w:val="left"/>
      </w:pPr>
      <w:rPr>
        <w:rFonts w:hint="default" w:ascii="宋体" w:hAnsi="宋体" w:eastAsia="宋体" w:cs="宋体"/>
        <w:w w:val="100"/>
        <w:sz w:val="21"/>
        <w:szCs w:val="21"/>
      </w:rPr>
    </w:lvl>
    <w:lvl w:ilvl="1">
      <w:start w:val="0"/>
      <w:numFmt w:val="bullet"/>
      <w:lvlText w:val="•"/>
      <w:lvlJc w:val="left"/>
      <w:pPr>
        <w:ind w:left="1289" w:hanging="429"/>
      </w:pPr>
      <w:rPr>
        <w:rFonts w:hint="default"/>
      </w:rPr>
    </w:lvl>
    <w:lvl w:ilvl="2">
      <w:start w:val="0"/>
      <w:numFmt w:val="bullet"/>
      <w:lvlText w:val="•"/>
      <w:lvlJc w:val="left"/>
      <w:pPr>
        <w:ind w:left="1938" w:hanging="429"/>
      </w:pPr>
      <w:rPr>
        <w:rFonts w:hint="default"/>
      </w:rPr>
    </w:lvl>
    <w:lvl w:ilvl="3">
      <w:start w:val="0"/>
      <w:numFmt w:val="bullet"/>
      <w:lvlText w:val="•"/>
      <w:lvlJc w:val="left"/>
      <w:pPr>
        <w:ind w:left="2587" w:hanging="429"/>
      </w:pPr>
      <w:rPr>
        <w:rFonts w:hint="default"/>
      </w:rPr>
    </w:lvl>
    <w:lvl w:ilvl="4">
      <w:start w:val="0"/>
      <w:numFmt w:val="bullet"/>
      <w:lvlText w:val="•"/>
      <w:lvlJc w:val="left"/>
      <w:pPr>
        <w:ind w:left="3236" w:hanging="429"/>
      </w:pPr>
      <w:rPr>
        <w:rFonts w:hint="default"/>
      </w:rPr>
    </w:lvl>
    <w:lvl w:ilvl="5">
      <w:start w:val="0"/>
      <w:numFmt w:val="bullet"/>
      <w:lvlText w:val="•"/>
      <w:lvlJc w:val="left"/>
      <w:pPr>
        <w:ind w:left="3885" w:hanging="429"/>
      </w:pPr>
      <w:rPr>
        <w:rFonts w:hint="default"/>
      </w:rPr>
    </w:lvl>
    <w:lvl w:ilvl="6">
      <w:start w:val="0"/>
      <w:numFmt w:val="bullet"/>
      <w:lvlText w:val="•"/>
      <w:lvlJc w:val="left"/>
      <w:pPr>
        <w:ind w:left="4534" w:hanging="429"/>
      </w:pPr>
      <w:rPr>
        <w:rFonts w:hint="default"/>
      </w:rPr>
    </w:lvl>
    <w:lvl w:ilvl="7">
      <w:start w:val="0"/>
      <w:numFmt w:val="bullet"/>
      <w:lvlText w:val="•"/>
      <w:lvlJc w:val="left"/>
      <w:pPr>
        <w:ind w:left="5183" w:hanging="429"/>
      </w:pPr>
      <w:rPr>
        <w:rFonts w:hint="default"/>
      </w:rPr>
    </w:lvl>
    <w:lvl w:ilvl="8">
      <w:start w:val="0"/>
      <w:numFmt w:val="bullet"/>
      <w:lvlText w:val="•"/>
      <w:lvlJc w:val="left"/>
      <w:pPr>
        <w:ind w:left="5832" w:hanging="429"/>
      </w:pPr>
      <w:rPr>
        <w:rFonts w:hint="default"/>
      </w:rPr>
    </w:lvl>
  </w:abstractNum>
  <w:abstractNum w:abstractNumId="18">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7">
    <w:multiLevelType w:val="hybridMultilevel"/>
    <w:lvl w:ilvl="0">
      <w:start w:val="1"/>
      <w:numFmt w:val="decimal"/>
      <w:lvlText w:val="（%1）"/>
      <w:lvlJc w:val="left"/>
      <w:pPr>
        <w:ind w:left="755"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7" w:hanging="632"/>
      </w:pPr>
      <w:rPr>
        <w:rFonts w:hint="default"/>
      </w:rPr>
    </w:lvl>
    <w:lvl w:ilvl="3">
      <w:start w:val="0"/>
      <w:numFmt w:val="bullet"/>
      <w:lvlText w:val="•"/>
      <w:lvlJc w:val="left"/>
      <w:pPr>
        <w:ind w:left="2645" w:hanging="632"/>
      </w:pPr>
      <w:rPr>
        <w:rFonts w:hint="default"/>
      </w:rPr>
    </w:lvl>
    <w:lvl w:ilvl="4">
      <w:start w:val="0"/>
      <w:numFmt w:val="bullet"/>
      <w:lvlText w:val="•"/>
      <w:lvlJc w:val="left"/>
      <w:pPr>
        <w:ind w:left="3274" w:hanging="632"/>
      </w:pPr>
      <w:rPr>
        <w:rFonts w:hint="default"/>
      </w:rPr>
    </w:lvl>
    <w:lvl w:ilvl="5">
      <w:start w:val="0"/>
      <w:numFmt w:val="bullet"/>
      <w:lvlText w:val="•"/>
      <w:lvlJc w:val="left"/>
      <w:pPr>
        <w:ind w:left="3902" w:hanging="632"/>
      </w:pPr>
      <w:rPr>
        <w:rFonts w:hint="default"/>
      </w:rPr>
    </w:lvl>
    <w:lvl w:ilvl="6">
      <w:start w:val="0"/>
      <w:numFmt w:val="bullet"/>
      <w:lvlText w:val="•"/>
      <w:lvlJc w:val="left"/>
      <w:pPr>
        <w:ind w:left="4531" w:hanging="632"/>
      </w:pPr>
      <w:rPr>
        <w:rFonts w:hint="default"/>
      </w:rPr>
    </w:lvl>
    <w:lvl w:ilvl="7">
      <w:start w:val="0"/>
      <w:numFmt w:val="bullet"/>
      <w:lvlText w:val="•"/>
      <w:lvlJc w:val="left"/>
      <w:pPr>
        <w:ind w:left="5159" w:hanging="632"/>
      </w:pPr>
      <w:rPr>
        <w:rFonts w:hint="default"/>
      </w:rPr>
    </w:lvl>
    <w:lvl w:ilvl="8">
      <w:start w:val="0"/>
      <w:numFmt w:val="bullet"/>
      <w:lvlText w:val="•"/>
      <w:lvlJc w:val="left"/>
      <w:pPr>
        <w:ind w:left="5788"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2">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1" w:hanging="632"/>
      </w:pPr>
      <w:rPr>
        <w:rFonts w:hint="default"/>
      </w:rPr>
    </w:lvl>
    <w:lvl w:ilvl="2">
      <w:start w:val="0"/>
      <w:numFmt w:val="bullet"/>
      <w:lvlText w:val="•"/>
      <w:lvlJc w:val="left"/>
      <w:pPr>
        <w:ind w:left="1602" w:hanging="632"/>
      </w:pPr>
      <w:rPr>
        <w:rFonts w:hint="default"/>
      </w:rPr>
    </w:lvl>
    <w:lvl w:ilvl="3">
      <w:start w:val="0"/>
      <w:numFmt w:val="bullet"/>
      <w:lvlText w:val="•"/>
      <w:lvlJc w:val="left"/>
      <w:pPr>
        <w:ind w:left="2293" w:hanging="632"/>
      </w:pPr>
      <w:rPr>
        <w:rFonts w:hint="default"/>
      </w:rPr>
    </w:lvl>
    <w:lvl w:ilvl="4">
      <w:start w:val="0"/>
      <w:numFmt w:val="bullet"/>
      <w:lvlText w:val="•"/>
      <w:lvlJc w:val="left"/>
      <w:pPr>
        <w:ind w:left="2984" w:hanging="632"/>
      </w:pPr>
      <w:rPr>
        <w:rFonts w:hint="default"/>
      </w:rPr>
    </w:lvl>
    <w:lvl w:ilvl="5">
      <w:start w:val="0"/>
      <w:numFmt w:val="bullet"/>
      <w:lvlText w:val="•"/>
      <w:lvlJc w:val="left"/>
      <w:pPr>
        <w:ind w:left="3675" w:hanging="632"/>
      </w:pPr>
      <w:rPr>
        <w:rFonts w:hint="default"/>
      </w:rPr>
    </w:lvl>
    <w:lvl w:ilvl="6">
      <w:start w:val="0"/>
      <w:numFmt w:val="bullet"/>
      <w:lvlText w:val="•"/>
      <w:lvlJc w:val="left"/>
      <w:pPr>
        <w:ind w:left="4366" w:hanging="632"/>
      </w:pPr>
      <w:rPr>
        <w:rFonts w:hint="default"/>
      </w:rPr>
    </w:lvl>
    <w:lvl w:ilvl="7">
      <w:start w:val="0"/>
      <w:numFmt w:val="bullet"/>
      <w:lvlText w:val="•"/>
      <w:lvlJc w:val="left"/>
      <w:pPr>
        <w:ind w:left="5057" w:hanging="632"/>
      </w:pPr>
      <w:rPr>
        <w:rFonts w:hint="default"/>
      </w:rPr>
    </w:lvl>
    <w:lvl w:ilvl="8">
      <w:start w:val="0"/>
      <w:numFmt w:val="bullet"/>
      <w:lvlText w:val="•"/>
      <w:lvlJc w:val="left"/>
      <w:pPr>
        <w:ind w:left="5748" w:hanging="632"/>
      </w:pPr>
      <w:rPr>
        <w:rFonts w:hint="default"/>
      </w:rPr>
    </w:lvl>
  </w:abstractNum>
  <w:abstractNum w:abstractNumId="11">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9">
    <w:multiLevelType w:val="hybridMultilevel"/>
    <w:lvl w:ilvl="0">
      <w:start w:val="1"/>
      <w:numFmt w:val="decimal"/>
      <w:lvlText w:val="（%1）"/>
      <w:lvlJc w:val="left"/>
      <w:pPr>
        <w:ind w:left="840" w:hanging="632"/>
        <w:jc w:val="left"/>
      </w:pPr>
      <w:rPr>
        <w:rFonts w:hint="default" w:ascii="宋体" w:hAnsi="宋体" w:eastAsia="宋体" w:cs="宋体"/>
        <w:spacing w:val="-2"/>
        <w:w w:val="99"/>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8">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7">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6">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5">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4">
    <w:multiLevelType w:val="hybridMultilevel"/>
    <w:lvl w:ilvl="0">
      <w:start w:val="1"/>
      <w:numFmt w:val="decimal"/>
      <w:lvlText w:val="（%1）"/>
      <w:lvlJc w:val="left"/>
      <w:pPr>
        <w:ind w:left="787" w:hanging="580"/>
        <w:jc w:val="left"/>
      </w:pPr>
      <w:rPr>
        <w:rFonts w:hint="default" w:ascii="宋体" w:hAnsi="宋体" w:eastAsia="宋体" w:cs="宋体"/>
        <w:w w:val="100"/>
        <w:sz w:val="21"/>
        <w:szCs w:val="21"/>
      </w:rPr>
    </w:lvl>
    <w:lvl w:ilvl="1">
      <w:start w:val="0"/>
      <w:numFmt w:val="bullet"/>
      <w:lvlText w:val="•"/>
      <w:lvlJc w:val="left"/>
      <w:pPr>
        <w:ind w:left="1415" w:hanging="580"/>
      </w:pPr>
      <w:rPr>
        <w:rFonts w:hint="default"/>
      </w:rPr>
    </w:lvl>
    <w:lvl w:ilvl="2">
      <w:start w:val="0"/>
      <w:numFmt w:val="bullet"/>
      <w:lvlText w:val="•"/>
      <w:lvlJc w:val="left"/>
      <w:pPr>
        <w:ind w:left="2050" w:hanging="580"/>
      </w:pPr>
      <w:rPr>
        <w:rFonts w:hint="default"/>
      </w:rPr>
    </w:lvl>
    <w:lvl w:ilvl="3">
      <w:start w:val="0"/>
      <w:numFmt w:val="bullet"/>
      <w:lvlText w:val="•"/>
      <w:lvlJc w:val="left"/>
      <w:pPr>
        <w:ind w:left="2685" w:hanging="580"/>
      </w:pPr>
      <w:rPr>
        <w:rFonts w:hint="default"/>
      </w:rPr>
    </w:lvl>
    <w:lvl w:ilvl="4">
      <w:start w:val="0"/>
      <w:numFmt w:val="bullet"/>
      <w:lvlText w:val="•"/>
      <w:lvlJc w:val="left"/>
      <w:pPr>
        <w:ind w:left="3320" w:hanging="580"/>
      </w:pPr>
      <w:rPr>
        <w:rFonts w:hint="default"/>
      </w:rPr>
    </w:lvl>
    <w:lvl w:ilvl="5">
      <w:start w:val="0"/>
      <w:numFmt w:val="bullet"/>
      <w:lvlText w:val="•"/>
      <w:lvlJc w:val="left"/>
      <w:pPr>
        <w:ind w:left="3955" w:hanging="580"/>
      </w:pPr>
      <w:rPr>
        <w:rFonts w:hint="default"/>
      </w:rPr>
    </w:lvl>
    <w:lvl w:ilvl="6">
      <w:start w:val="0"/>
      <w:numFmt w:val="bullet"/>
      <w:lvlText w:val="•"/>
      <w:lvlJc w:val="left"/>
      <w:pPr>
        <w:ind w:left="4590" w:hanging="580"/>
      </w:pPr>
      <w:rPr>
        <w:rFonts w:hint="default"/>
      </w:rPr>
    </w:lvl>
    <w:lvl w:ilvl="7">
      <w:start w:val="0"/>
      <w:numFmt w:val="bullet"/>
      <w:lvlText w:val="•"/>
      <w:lvlJc w:val="left"/>
      <w:pPr>
        <w:ind w:left="5225" w:hanging="580"/>
      </w:pPr>
      <w:rPr>
        <w:rFonts w:hint="default"/>
      </w:rPr>
    </w:lvl>
    <w:lvl w:ilvl="8">
      <w:start w:val="0"/>
      <w:numFmt w:val="bullet"/>
      <w:lvlText w:val="•"/>
      <w:lvlJc w:val="left"/>
      <w:pPr>
        <w:ind w:left="5860" w:hanging="580"/>
      </w:pPr>
      <w:rPr>
        <w:rFonts w:hint="default"/>
      </w:rPr>
    </w:lvl>
  </w:abstractNum>
  <w:abstractNum w:abstractNumId="3">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2">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1">
    <w:multiLevelType w:val="hybridMultilevel"/>
    <w:lvl w:ilvl="0">
      <w:start w:val="1"/>
      <w:numFmt w:val="decimal"/>
      <w:lvlText w:val="（%1）"/>
      <w:lvlJc w:val="left"/>
      <w:pPr>
        <w:ind w:left="839" w:hanging="630"/>
        <w:jc w:val="left"/>
      </w:pPr>
      <w:rPr>
        <w:rFonts w:hint="default" w:ascii="黑体" w:hAnsi="黑体" w:eastAsia="黑体" w:cs="黑体"/>
        <w:spacing w:val="-1"/>
        <w:w w:val="100"/>
        <w:sz w:val="21"/>
        <w:szCs w:val="21"/>
      </w:rPr>
    </w:lvl>
    <w:lvl w:ilvl="1">
      <w:start w:val="0"/>
      <w:numFmt w:val="bullet"/>
      <w:lvlText w:val="•"/>
      <w:lvlJc w:val="left"/>
      <w:pPr>
        <w:ind w:left="1449" w:hanging="630"/>
      </w:pPr>
      <w:rPr>
        <w:rFonts w:hint="default"/>
      </w:rPr>
    </w:lvl>
    <w:lvl w:ilvl="2">
      <w:start w:val="0"/>
      <w:numFmt w:val="bullet"/>
      <w:lvlText w:val="•"/>
      <w:lvlJc w:val="left"/>
      <w:pPr>
        <w:ind w:left="2058" w:hanging="630"/>
      </w:pPr>
      <w:rPr>
        <w:rFonts w:hint="default"/>
      </w:rPr>
    </w:lvl>
    <w:lvl w:ilvl="3">
      <w:start w:val="0"/>
      <w:numFmt w:val="bullet"/>
      <w:lvlText w:val="•"/>
      <w:lvlJc w:val="left"/>
      <w:pPr>
        <w:ind w:left="2667" w:hanging="630"/>
      </w:pPr>
      <w:rPr>
        <w:rFonts w:hint="default"/>
      </w:rPr>
    </w:lvl>
    <w:lvl w:ilvl="4">
      <w:start w:val="0"/>
      <w:numFmt w:val="bullet"/>
      <w:lvlText w:val="•"/>
      <w:lvlJc w:val="left"/>
      <w:pPr>
        <w:ind w:left="3276" w:hanging="630"/>
      </w:pPr>
      <w:rPr>
        <w:rFonts w:hint="default"/>
      </w:rPr>
    </w:lvl>
    <w:lvl w:ilvl="5">
      <w:start w:val="0"/>
      <w:numFmt w:val="bullet"/>
      <w:lvlText w:val="•"/>
      <w:lvlJc w:val="left"/>
      <w:pPr>
        <w:ind w:left="3886" w:hanging="630"/>
      </w:pPr>
      <w:rPr>
        <w:rFonts w:hint="default"/>
      </w:rPr>
    </w:lvl>
    <w:lvl w:ilvl="6">
      <w:start w:val="0"/>
      <w:numFmt w:val="bullet"/>
      <w:lvlText w:val="•"/>
      <w:lvlJc w:val="left"/>
      <w:pPr>
        <w:ind w:left="4495" w:hanging="630"/>
      </w:pPr>
      <w:rPr>
        <w:rFonts w:hint="default"/>
      </w:rPr>
    </w:lvl>
    <w:lvl w:ilvl="7">
      <w:start w:val="0"/>
      <w:numFmt w:val="bullet"/>
      <w:lvlText w:val="•"/>
      <w:lvlJc w:val="left"/>
      <w:pPr>
        <w:ind w:left="5104" w:hanging="630"/>
      </w:pPr>
      <w:rPr>
        <w:rFonts w:hint="default"/>
      </w:rPr>
    </w:lvl>
    <w:lvl w:ilvl="8">
      <w:start w:val="0"/>
      <w:numFmt w:val="bullet"/>
      <w:lvlText w:val="•"/>
      <w:lvlJc w:val="left"/>
      <w:pPr>
        <w:ind w:left="5713" w:hanging="630"/>
      </w:pPr>
      <w:rPr>
        <w:rFonts w:hint="default"/>
      </w:rPr>
    </w:lvl>
  </w:abstractNum>
  <w:abstractNum w:abstractNumId="0">
    <w:multiLevelType w:val="hybridMultilevel"/>
    <w:lvl w:ilvl="0">
      <w:start w:val="0"/>
      <w:numFmt w:val="bullet"/>
      <w:lvlText w:val=""/>
      <w:lvlJc w:val="left"/>
      <w:pPr>
        <w:ind w:left="1060" w:hanging="400"/>
      </w:pPr>
      <w:rPr>
        <w:rFonts w:hint="default" w:ascii="Wingdings" w:hAnsi="Wingdings" w:eastAsia="Wingdings" w:cs="Wingdings"/>
        <w:b/>
        <w:bCs/>
        <w:w w:val="99"/>
        <w:sz w:val="21"/>
        <w:szCs w:val="21"/>
      </w:rPr>
    </w:lvl>
    <w:lvl w:ilvl="1">
      <w:start w:val="0"/>
      <w:numFmt w:val="bullet"/>
      <w:lvlText w:val="•"/>
      <w:lvlJc w:val="left"/>
      <w:pPr>
        <w:ind w:left="1988" w:hanging="400"/>
      </w:pPr>
      <w:rPr>
        <w:rFonts w:hint="default"/>
      </w:rPr>
    </w:lvl>
    <w:lvl w:ilvl="2">
      <w:start w:val="0"/>
      <w:numFmt w:val="bullet"/>
      <w:lvlText w:val="•"/>
      <w:lvlJc w:val="left"/>
      <w:pPr>
        <w:ind w:left="2917" w:hanging="400"/>
      </w:pPr>
      <w:rPr>
        <w:rFonts w:hint="default"/>
      </w:rPr>
    </w:lvl>
    <w:lvl w:ilvl="3">
      <w:start w:val="0"/>
      <w:numFmt w:val="bullet"/>
      <w:lvlText w:val="•"/>
      <w:lvlJc w:val="left"/>
      <w:pPr>
        <w:ind w:left="3846" w:hanging="400"/>
      </w:pPr>
      <w:rPr>
        <w:rFonts w:hint="default"/>
      </w:rPr>
    </w:lvl>
    <w:lvl w:ilvl="4">
      <w:start w:val="0"/>
      <w:numFmt w:val="bullet"/>
      <w:lvlText w:val="•"/>
      <w:lvlJc w:val="left"/>
      <w:pPr>
        <w:ind w:left="4775" w:hanging="400"/>
      </w:pPr>
      <w:rPr>
        <w:rFonts w:hint="default"/>
      </w:rPr>
    </w:lvl>
    <w:lvl w:ilvl="5">
      <w:start w:val="0"/>
      <w:numFmt w:val="bullet"/>
      <w:lvlText w:val="•"/>
      <w:lvlJc w:val="left"/>
      <w:pPr>
        <w:ind w:left="5703" w:hanging="400"/>
      </w:pPr>
      <w:rPr>
        <w:rFonts w:hint="default"/>
      </w:rPr>
    </w:lvl>
    <w:lvl w:ilvl="6">
      <w:start w:val="0"/>
      <w:numFmt w:val="bullet"/>
      <w:lvlText w:val="•"/>
      <w:lvlJc w:val="left"/>
      <w:pPr>
        <w:ind w:left="6632" w:hanging="400"/>
      </w:pPr>
      <w:rPr>
        <w:rFonts w:hint="default"/>
      </w:rPr>
    </w:lvl>
    <w:lvl w:ilvl="7">
      <w:start w:val="0"/>
      <w:numFmt w:val="bullet"/>
      <w:lvlText w:val="•"/>
      <w:lvlJc w:val="left"/>
      <w:pPr>
        <w:ind w:left="7561" w:hanging="400"/>
      </w:pPr>
      <w:rPr>
        <w:rFonts w:hint="default"/>
      </w:rPr>
    </w:lvl>
    <w:lvl w:ilvl="8">
      <w:start w:val="0"/>
      <w:numFmt w:val="bullet"/>
      <w:lvlText w:val="•"/>
      <w:lvlJc w:val="left"/>
      <w:pPr>
        <w:ind w:left="8490" w:hanging="40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8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2018-10-20T03:08:41Z</dcterms:created>
  <dcterms:modified xsi:type="dcterms:W3CDTF">2018-10-20T03:08:41Z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