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90" w:firstLine="0"/>
        <w:jc w:val="right"/>
        <w:rPr>
          <w:sz w:val="18"/>
        </w:rPr>
      </w:pPr>
      <w:r>
        <w:rPr/>
        <w:drawing>
          <wp:anchor distT="0" distB="0" distL="0" distR="0" allowOverlap="1" layoutInCell="1" locked="0" behindDoc="0" simplePos="0" relativeHeight="0">
            <wp:simplePos x="0" y="0"/>
            <wp:positionH relativeFrom="page">
              <wp:posOffset>5796278</wp:posOffset>
            </wp:positionH>
            <wp:positionV relativeFrom="paragraph">
              <wp:posOffset>178289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吉祥人寿[2012]疾病保险036号</w:t>
      </w:r>
    </w:p>
    <w:p>
      <w:pPr>
        <w:spacing w:line="153" w:lineRule="exact" w:before="0"/>
        <w:ind w:left="0" w:right="507" w:firstLine="0"/>
        <w:jc w:val="right"/>
        <w:rPr>
          <w:sz w:val="18"/>
        </w:rPr>
      </w:pPr>
      <w:r>
        <w:rPr>
          <w:sz w:val="18"/>
        </w:rPr>
        <w:t>请扫描以查询验证条款</w:t>
      </w:r>
    </w:p>
    <w:p>
      <w:pPr>
        <w:spacing w:line="455" w:lineRule="exact" w:before="0"/>
        <w:ind w:left="2968" w:right="2942" w:firstLine="0"/>
        <w:jc w:val="center"/>
        <w:rPr>
          <w:sz w:val="36"/>
        </w:rPr>
      </w:pPr>
      <w:r>
        <w:rPr>
          <w:sz w:val="36"/>
        </w:rPr>
        <w:t>吉祥人寿保险股份有限公司</w:t>
      </w:r>
    </w:p>
    <w:p>
      <w:pPr>
        <w:spacing w:before="4"/>
        <w:ind w:left="2968" w:right="2942" w:firstLine="0"/>
        <w:jc w:val="center"/>
        <w:rPr>
          <w:b/>
          <w:sz w:val="30"/>
        </w:rPr>
      </w:pPr>
      <w:r>
        <w:rPr>
          <w:b/>
          <w:w w:val="95"/>
          <w:sz w:val="30"/>
        </w:rPr>
        <w:t>吉祥人寿团体重大疾病保险条款</w:t>
      </w:r>
    </w:p>
    <w:p>
      <w:pPr>
        <w:pStyle w:val="BodyText"/>
        <w:ind w:left="0"/>
        <w:rPr>
          <w:b/>
          <w:sz w:val="30"/>
        </w:rPr>
      </w:pPr>
    </w:p>
    <w:p>
      <w:pPr>
        <w:pStyle w:val="BodyText"/>
        <w:ind w:left="0"/>
        <w:rPr>
          <w:b/>
          <w:sz w:val="30"/>
        </w:rPr>
      </w:pPr>
    </w:p>
    <w:p>
      <w:pPr>
        <w:pStyle w:val="BodyText"/>
        <w:spacing w:before="7"/>
        <w:ind w:left="0"/>
        <w:rPr>
          <w:b/>
          <w:sz w:val="33"/>
        </w:rPr>
      </w:pPr>
    </w:p>
    <w:p>
      <w:pPr>
        <w:spacing w:before="0"/>
        <w:ind w:left="2968" w:right="2940" w:firstLine="0"/>
        <w:jc w:val="center"/>
        <w:rPr>
          <w:rFonts w:ascii="等线" w:eastAsia="等线" w:hint="eastAsia"/>
          <w:b/>
          <w:sz w:val="24"/>
        </w:rPr>
      </w:pPr>
      <w:r>
        <w:rPr>
          <w:rFonts w:ascii="等线" w:eastAsia="等线" w:hint="eastAsia"/>
          <w:b/>
          <w:sz w:val="24"/>
        </w:rPr>
        <w:t>特别提示</w:t>
      </w:r>
    </w:p>
    <w:p>
      <w:pPr>
        <w:pStyle w:val="BodyText"/>
        <w:spacing w:before="7"/>
        <w:ind w:left="0"/>
        <w:rPr>
          <w:rFonts w:ascii="等线"/>
          <w:b/>
          <w:sz w:val="19"/>
        </w:rPr>
      </w:pPr>
    </w:p>
    <w:p>
      <w:pPr>
        <w:pStyle w:val="BodyText"/>
        <w:spacing w:line="237" w:lineRule="auto" w:before="31"/>
        <w:ind w:left="200" w:right="166" w:hanging="1"/>
      </w:pPr>
      <w:r>
        <w:rPr/>
        <w:t>在本条款中，“您”指投保人，“我们”、“本公司”均指吉祥人寿保险股份有限公司，“本合同”指您与我们之间订立的“吉祥人寿团体重大疾病保险合同”。</w:t>
      </w:r>
    </w:p>
    <w:p>
      <w:pPr>
        <w:pStyle w:val="BodyText"/>
        <w:spacing w:before="9"/>
        <w:ind w:left="0"/>
        <w:rPr>
          <w:sz w:val="23"/>
        </w:rPr>
      </w:pPr>
    </w:p>
    <w:p>
      <w:pPr>
        <w:pStyle w:val="BodyText"/>
        <w:spacing w:line="516" w:lineRule="auto" w:before="1"/>
        <w:ind w:left="200" w:right="3338"/>
        <w:rPr>
          <w:rFonts w:ascii="等线" w:eastAsia="等线" w:hint="eastAsia"/>
          <w:b/>
        </w:rPr>
      </w:pPr>
      <w:r>
        <w:rPr/>
        <w:pict>
          <v:shape style="position:absolute;margin-left:46.400002pt;margin-top:46.369236pt;width:502.4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2" w:hRule="atLeast"/>
                    </w:trPr>
                    <w:tc>
                      <w:tcPr>
                        <w:tcW w:w="1348" w:type="dxa"/>
                      </w:tcPr>
                      <w:p>
                        <w:pPr>
                          <w:pStyle w:val="TableParagraph"/>
                          <w:tabs>
                            <w:tab w:pos="844" w:val="left" w:leader="none"/>
                          </w:tabs>
                          <w:spacing w:line="222" w:lineRule="exact"/>
                          <w:ind w:right="91"/>
                          <w:jc w:val="right"/>
                          <w:rPr>
                            <w:rFonts w:ascii="等线" w:eastAsia="等线" w:hint="eastAsia"/>
                            <w:b/>
                            <w:sz w:val="21"/>
                          </w:rPr>
                        </w:pPr>
                        <w:r>
                          <w:rPr>
                            <w:rFonts w:ascii="等线" w:eastAsia="等线" w:hint="eastAsia"/>
                            <w:b/>
                            <w:sz w:val="21"/>
                          </w:rPr>
                          <w:t>投保人</w:t>
                          <w:tab/>
                        </w:r>
                        <w:r>
                          <w:rPr>
                            <w:rFonts w:ascii="等线" w:eastAsia="等线" w:hint="eastAsia"/>
                            <w:b/>
                            <w:spacing w:val="-1"/>
                            <w:sz w:val="21"/>
                          </w:rPr>
                          <w:t>：</w:t>
                        </w:r>
                      </w:p>
                    </w:tc>
                    <w:tc>
                      <w:tcPr>
                        <w:tcW w:w="8699"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3" w:lineRule="exact"/>
                          <w:ind w:right="91"/>
                          <w:jc w:val="right"/>
                          <w:rPr>
                            <w:rFonts w:ascii="等线" w:eastAsia="等线" w:hint="eastAsia"/>
                            <w:b/>
                            <w:sz w:val="21"/>
                          </w:rPr>
                        </w:pPr>
                        <w:r>
                          <w:rPr>
                            <w:rFonts w:ascii="等线" w:eastAsia="等线" w:hint="eastAsia"/>
                            <w:b/>
                            <w:sz w:val="21"/>
                          </w:rPr>
                          <w:t>被保险人：</w:t>
                        </w:r>
                      </w:p>
                    </w:tc>
                    <w:tc>
                      <w:tcPr>
                        <w:tcW w:w="8699"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3" w:lineRule="exact"/>
                          <w:ind w:left="92"/>
                          <w:rPr>
                            <w:sz w:val="21"/>
                          </w:rPr>
                        </w:pPr>
                        <w:r>
                          <w:rPr>
                            <w:sz w:val="21"/>
                          </w:rPr>
                          <w:t>投保，成为被保险人。</w:t>
                        </w:r>
                      </w:p>
                    </w:tc>
                  </w:tr>
                  <w:tr>
                    <w:trPr>
                      <w:trHeight w:val="242" w:hRule="atLeast"/>
                    </w:trPr>
                    <w:tc>
                      <w:tcPr>
                        <w:tcW w:w="1348" w:type="dxa"/>
                      </w:tcPr>
                      <w:p>
                        <w:pPr>
                          <w:pStyle w:val="TableParagraph"/>
                          <w:tabs>
                            <w:tab w:pos="844" w:val="left" w:leader="none"/>
                          </w:tabs>
                          <w:spacing w:line="222" w:lineRule="exact"/>
                          <w:ind w:right="91"/>
                          <w:jc w:val="right"/>
                          <w:rPr>
                            <w:rFonts w:ascii="等线" w:eastAsia="等线" w:hint="eastAsia"/>
                            <w:b/>
                            <w:sz w:val="21"/>
                          </w:rPr>
                        </w:pPr>
                        <w:r>
                          <w:rPr>
                            <w:rFonts w:ascii="等线" w:eastAsia="等线" w:hint="eastAsia"/>
                            <w:b/>
                            <w:sz w:val="21"/>
                          </w:rPr>
                          <w:t>受益人</w:t>
                          <w:tab/>
                        </w:r>
                        <w:r>
                          <w:rPr>
                            <w:rFonts w:ascii="等线" w:eastAsia="等线" w:hint="eastAsia"/>
                            <w:b/>
                            <w:spacing w:val="-1"/>
                            <w:sz w:val="21"/>
                          </w:rPr>
                          <w:t>：</w:t>
                        </w:r>
                      </w:p>
                    </w:tc>
                    <w:tc>
                      <w:tcPr>
                        <w:tcW w:w="8699" w:type="dxa"/>
                      </w:tcPr>
                      <w:p>
                        <w:pPr>
                          <w:pStyle w:val="TableParagraph"/>
                          <w:spacing w:line="222" w:lineRule="exact"/>
                          <w:ind w:left="92"/>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ind w:left="0"/>
        <w:rPr>
          <w:rFonts w:ascii="等线"/>
          <w:b/>
          <w:sz w:val="20"/>
        </w:rPr>
      </w:pPr>
    </w:p>
    <w:p>
      <w:pPr>
        <w:pStyle w:val="BodyText"/>
        <w:ind w:left="0"/>
        <w:rPr>
          <w:rFonts w:ascii="等线"/>
          <w:b/>
          <w:sz w:val="20"/>
        </w:rPr>
      </w:pPr>
    </w:p>
    <w:p>
      <w:pPr>
        <w:pStyle w:val="BodyText"/>
        <w:ind w:left="0"/>
        <w:rPr>
          <w:rFonts w:ascii="等线"/>
          <w:b/>
          <w:sz w:val="20"/>
        </w:rPr>
      </w:pPr>
    </w:p>
    <w:p>
      <w:pPr>
        <w:pStyle w:val="BodyText"/>
        <w:spacing w:before="5"/>
        <w:ind w:left="0"/>
        <w:rPr>
          <w:rFonts w:ascii="等线"/>
          <w:b/>
        </w:rPr>
      </w:pPr>
    </w:p>
    <w:p>
      <w:pPr>
        <w:tabs>
          <w:tab w:pos="951" w:val="left" w:leader="none"/>
        </w:tabs>
        <w:spacing w:before="1"/>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z w:val="21"/>
        </w:rPr>
        <w:t>您拥有的重要权益</w:t>
      </w:r>
    </w:p>
    <w:p>
      <w:pPr>
        <w:pStyle w:val="ListParagraph"/>
        <w:numPr>
          <w:ilvl w:val="0"/>
          <w:numId w:val="1"/>
        </w:numPr>
        <w:tabs>
          <w:tab w:pos="935" w:val="left" w:leader="none"/>
        </w:tabs>
        <w:spacing w:line="280" w:lineRule="exact" w:before="280" w:after="0"/>
        <w:ind w:left="934" w:right="0" w:hanging="307"/>
        <w:jc w:val="left"/>
        <w:rPr>
          <w:sz w:val="21"/>
        </w:rPr>
      </w:pPr>
      <w:r>
        <w:rPr>
          <w:spacing w:val="-3"/>
          <w:sz w:val="21"/>
        </w:rPr>
        <w:t>被保险人可以享受本合同提供的保障...............................................第六条</w:t>
      </w:r>
    </w:p>
    <w:p>
      <w:pPr>
        <w:pStyle w:val="ListParagraph"/>
        <w:numPr>
          <w:ilvl w:val="0"/>
          <w:numId w:val="1"/>
        </w:numPr>
        <w:tabs>
          <w:tab w:pos="935" w:val="left" w:leader="none"/>
        </w:tabs>
        <w:spacing w:line="280" w:lineRule="exact" w:before="0" w:after="0"/>
        <w:ind w:left="934" w:right="0" w:hanging="308"/>
        <w:jc w:val="left"/>
        <w:rPr>
          <w:sz w:val="21"/>
        </w:rPr>
      </w:pPr>
      <w:r>
        <w:rPr>
          <w:spacing w:val="-3"/>
          <w:sz w:val="21"/>
        </w:rPr>
        <w:t>您有解除本合同的权利.........................................................第十五条</w:t>
      </w:r>
    </w:p>
    <w:p>
      <w:pPr>
        <w:pStyle w:val="BodyText"/>
        <w:spacing w:before="5"/>
        <w:ind w:left="0"/>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935" w:val="left" w:leader="none"/>
        </w:tabs>
        <w:spacing w:line="282" w:lineRule="exact" w:before="278" w:after="0"/>
        <w:ind w:left="934" w:right="0" w:hanging="307"/>
        <w:jc w:val="left"/>
        <w:rPr>
          <w:sz w:val="21"/>
        </w:rPr>
      </w:pPr>
      <w:r>
        <w:rPr>
          <w:spacing w:val="-3"/>
          <w:sz w:val="21"/>
        </w:rPr>
        <w:t>发生责任免除情形之一的，我们不承担保险责任.....................................第七条</w:t>
      </w:r>
    </w:p>
    <w:p>
      <w:pPr>
        <w:pStyle w:val="ListParagraph"/>
        <w:numPr>
          <w:ilvl w:val="0"/>
          <w:numId w:val="1"/>
        </w:numPr>
        <w:tabs>
          <w:tab w:pos="935" w:val="left" w:leader="none"/>
        </w:tabs>
        <w:spacing w:line="272" w:lineRule="exact" w:before="0" w:after="0"/>
        <w:ind w:left="934" w:right="0" w:hanging="307"/>
        <w:jc w:val="left"/>
        <w:rPr>
          <w:sz w:val="21"/>
        </w:rPr>
      </w:pPr>
      <w:r>
        <w:rPr>
          <w:spacing w:val="-3"/>
          <w:sz w:val="21"/>
        </w:rPr>
        <w:t>您应当如何交纳保险费...........................................................第八条</w:t>
      </w:r>
    </w:p>
    <w:p>
      <w:pPr>
        <w:pStyle w:val="ListParagraph"/>
        <w:numPr>
          <w:ilvl w:val="0"/>
          <w:numId w:val="1"/>
        </w:numPr>
        <w:tabs>
          <w:tab w:pos="935" w:val="left" w:leader="none"/>
        </w:tabs>
        <w:spacing w:line="272" w:lineRule="exact" w:before="0" w:after="0"/>
        <w:ind w:left="934" w:right="0" w:hanging="307"/>
        <w:jc w:val="left"/>
        <w:rPr>
          <w:sz w:val="21"/>
        </w:rPr>
      </w:pPr>
      <w:r>
        <w:rPr>
          <w:spacing w:val="-3"/>
          <w:sz w:val="21"/>
        </w:rPr>
        <w:t>您有及时向我们通知保险事故的责任...............................................第十条</w:t>
      </w:r>
    </w:p>
    <w:p>
      <w:pPr>
        <w:pStyle w:val="ListParagraph"/>
        <w:numPr>
          <w:ilvl w:val="0"/>
          <w:numId w:val="1"/>
        </w:numPr>
        <w:tabs>
          <w:tab w:pos="935" w:val="left" w:leader="none"/>
        </w:tabs>
        <w:spacing w:line="272" w:lineRule="exact" w:before="0" w:after="0"/>
        <w:ind w:left="934" w:right="0" w:hanging="308"/>
        <w:jc w:val="left"/>
        <w:rPr>
          <w:sz w:val="21"/>
        </w:rPr>
      </w:pPr>
      <w:r>
        <w:rPr>
          <w:spacing w:val="-3"/>
          <w:sz w:val="21"/>
        </w:rPr>
        <w:t>解除本合同会给您造成一定损失，请您慎重决策...................................第十五条</w:t>
      </w:r>
    </w:p>
    <w:p>
      <w:pPr>
        <w:pStyle w:val="ListParagraph"/>
        <w:numPr>
          <w:ilvl w:val="0"/>
          <w:numId w:val="1"/>
        </w:numPr>
        <w:tabs>
          <w:tab w:pos="934" w:val="left" w:leader="none"/>
        </w:tabs>
        <w:spacing w:line="280" w:lineRule="exact" w:before="0" w:after="0"/>
        <w:ind w:left="933" w:right="0" w:hanging="307"/>
        <w:jc w:val="left"/>
        <w:rPr>
          <w:sz w:val="21"/>
        </w:rPr>
      </w:pPr>
      <w:r>
        <w:rPr>
          <w:spacing w:val="-3"/>
          <w:sz w:val="21"/>
        </w:rPr>
        <w:t>您有如实告知的义务...........................................................第十六条</w:t>
      </w:r>
    </w:p>
    <w:p>
      <w:pPr>
        <w:pStyle w:val="BodyText"/>
        <w:spacing w:before="5"/>
        <w:ind w:left="0"/>
        <w:rPr>
          <w:sz w:val="24"/>
        </w:rPr>
      </w:pPr>
    </w:p>
    <w:p>
      <w:pPr>
        <w:pStyle w:val="BodyText"/>
        <w:spacing w:line="220" w:lineRule="auto"/>
        <w:ind w:left="200" w:right="186" w:hanging="1"/>
        <w:rPr>
          <w:rFonts w:ascii="等线" w:eastAsia="等线" w:hint="eastAsia"/>
          <w:b/>
        </w:rPr>
      </w:pPr>
      <w:r>
        <w:rPr>
          <w:spacing w:val="-3"/>
        </w:rPr>
        <w:t>此外，在您阅读本条款正文之前，请先浏览一下</w:t>
      </w:r>
      <w:r>
        <w:rPr>
          <w:rFonts w:ascii="等线" w:eastAsia="等线" w:hint="eastAsia"/>
          <w:b/>
        </w:rPr>
        <w:t>目录</w:t>
      </w:r>
      <w:r>
        <w:rPr>
          <w:spacing w:val="-3"/>
        </w:rPr>
        <w:t>，以便对条款结构有一个大致的了解。本条款中的每一部分都关乎到您的切身利益，请</w:t>
      </w:r>
      <w:r>
        <w:rPr>
          <w:rFonts w:ascii="等线" w:eastAsia="等线" w:hint="eastAsia"/>
          <w:b/>
          <w:spacing w:val="-149"/>
        </w:rPr>
        <w:t>务</w:t>
      </w:r>
      <w:r>
        <w:rPr>
          <w:spacing w:val="-63"/>
          <w:position w:val="-7"/>
        </w:rPr>
        <w:t>．</w:t>
      </w:r>
      <w:r>
        <w:rPr>
          <w:rFonts w:ascii="等线" w:eastAsia="等线" w:hint="eastAsia"/>
          <w:b/>
          <w:spacing w:val="-149"/>
        </w:rPr>
        <w:t>必</w:t>
      </w:r>
      <w:r>
        <w:rPr>
          <w:spacing w:val="-63"/>
          <w:position w:val="-7"/>
        </w:rPr>
        <w:t>．</w:t>
      </w:r>
      <w:r>
        <w:rPr>
          <w:rFonts w:ascii="等线" w:eastAsia="等线" w:hint="eastAsia"/>
          <w:b/>
          <w:spacing w:val="-149"/>
        </w:rPr>
        <w:t>逐</w:t>
      </w:r>
      <w:r>
        <w:rPr>
          <w:spacing w:val="-63"/>
          <w:position w:val="-7"/>
        </w:rPr>
        <w:t>．</w:t>
      </w:r>
      <w:r>
        <w:rPr>
          <w:rFonts w:ascii="等线" w:eastAsia="等线" w:hint="eastAsia"/>
          <w:b/>
          <w:spacing w:val="-149"/>
        </w:rPr>
        <w:t>条</w:t>
      </w:r>
      <w:r>
        <w:rPr>
          <w:spacing w:val="-63"/>
          <w:position w:val="-7"/>
        </w:rPr>
        <w:t>．</w:t>
      </w:r>
      <w:r>
        <w:rPr>
          <w:rFonts w:ascii="等线" w:eastAsia="等线" w:hint="eastAsia"/>
          <w:b/>
          <w:spacing w:val="-149"/>
        </w:rPr>
        <w:t>仔</w:t>
      </w:r>
      <w:r>
        <w:rPr>
          <w:spacing w:val="-63"/>
          <w:position w:val="-7"/>
        </w:rPr>
        <w:t>．</w:t>
      </w:r>
      <w:r>
        <w:rPr>
          <w:rFonts w:ascii="等线" w:eastAsia="等线" w:hint="eastAsia"/>
          <w:b/>
          <w:spacing w:val="-152"/>
        </w:rPr>
        <w:t>细</w:t>
      </w:r>
      <w:r>
        <w:rPr>
          <w:spacing w:val="-63"/>
          <w:position w:val="-7"/>
        </w:rPr>
        <w:t>．</w:t>
      </w:r>
      <w:r>
        <w:rPr>
          <w:rFonts w:ascii="等线" w:eastAsia="等线" w:hint="eastAsia"/>
          <w:b/>
          <w:spacing w:val="-149"/>
        </w:rPr>
        <w:t>阅</w:t>
      </w:r>
      <w:r>
        <w:rPr>
          <w:spacing w:val="-63"/>
          <w:position w:val="-7"/>
        </w:rPr>
        <w:t>．</w:t>
      </w:r>
      <w:r>
        <w:rPr>
          <w:rFonts w:ascii="等线" w:eastAsia="等线" w:hint="eastAsia"/>
          <w:b/>
          <w:spacing w:val="-152"/>
        </w:rPr>
        <w:t>读</w:t>
      </w:r>
      <w:r>
        <w:rPr>
          <w:spacing w:val="-63"/>
          <w:position w:val="-7"/>
        </w:rPr>
        <w:t>．</w:t>
      </w:r>
      <w:r>
        <w:rPr>
          <w:rFonts w:ascii="等线" w:eastAsia="等线" w:hint="eastAsia"/>
          <w:b/>
          <w:spacing w:val="-149"/>
        </w:rPr>
        <w:t>并</w:t>
      </w:r>
      <w:r>
        <w:rPr>
          <w:spacing w:val="-63"/>
          <w:position w:val="-7"/>
        </w:rPr>
        <w:t>．</w:t>
      </w:r>
      <w:r>
        <w:rPr>
          <w:rFonts w:ascii="等线" w:eastAsia="等线" w:hint="eastAsia"/>
          <w:b/>
          <w:spacing w:val="-149"/>
        </w:rPr>
        <w:t>关</w:t>
      </w:r>
      <w:r>
        <w:rPr>
          <w:spacing w:val="-63"/>
          <w:position w:val="-7"/>
        </w:rPr>
        <w:t>．</w:t>
      </w:r>
      <w:r>
        <w:rPr>
          <w:rFonts w:ascii="等线" w:eastAsia="等线" w:hint="eastAsia"/>
          <w:b/>
          <w:spacing w:val="-149"/>
        </w:rPr>
        <w:t>注</w:t>
      </w:r>
      <w:r>
        <w:rPr>
          <w:spacing w:val="-63"/>
          <w:position w:val="-7"/>
        </w:rPr>
        <w:t>．</w:t>
      </w:r>
      <w:r>
        <w:rPr>
          <w:rFonts w:ascii="等线" w:eastAsia="等线" w:hint="eastAsia"/>
          <w:b/>
          <w:spacing w:val="-149"/>
        </w:rPr>
        <w:t>释</w:t>
      </w:r>
      <w:r>
        <w:rPr>
          <w:spacing w:val="-63"/>
          <w:position w:val="-7"/>
        </w:rPr>
        <w:t>．</w:t>
      </w:r>
      <w:r>
        <w:rPr>
          <w:rFonts w:ascii="等线" w:eastAsia="等线" w:hint="eastAsia"/>
          <w:b/>
          <w:spacing w:val="-149"/>
        </w:rPr>
        <w:t>义</w:t>
      </w:r>
      <w:r>
        <w:rPr>
          <w:spacing w:val="-63"/>
          <w:position w:val="-7"/>
        </w:rPr>
        <w:t>．</w:t>
      </w:r>
      <w:r>
        <w:rPr>
          <w:rFonts w:ascii="等线" w:eastAsia="等线" w:hint="eastAsia"/>
          <w:b/>
          <w:spacing w:val="-149"/>
        </w:rPr>
        <w:t>内</w:t>
      </w:r>
      <w:r>
        <w:rPr>
          <w:spacing w:val="-63"/>
          <w:position w:val="-7"/>
        </w:rPr>
        <w:t>．</w:t>
      </w:r>
      <w:r>
        <w:rPr>
          <w:rFonts w:ascii="等线" w:eastAsia="等线" w:hint="eastAsia"/>
          <w:b/>
          <w:spacing w:val="-149"/>
        </w:rPr>
        <w:t>容</w:t>
      </w:r>
      <w:r>
        <w:rPr>
          <w:spacing w:val="-63"/>
          <w:position w:val="-7"/>
        </w:rPr>
        <w:t>．</w:t>
      </w:r>
      <w:r>
        <w:rPr>
          <w:rFonts w:ascii="等线" w:eastAsia="等线" w:hint="eastAsia"/>
          <w:b/>
        </w:rPr>
        <w:t>。</w:t>
      </w:r>
    </w:p>
    <w:p>
      <w:pPr>
        <w:spacing w:after="0" w:line="220" w:lineRule="auto"/>
        <w:rPr>
          <w:rFonts w:ascii="等线" w:eastAsia="等线" w:hint="eastAsia"/>
        </w:rPr>
        <w:sectPr>
          <w:footerReference w:type="default" r:id="rId5"/>
          <w:type w:val="continuous"/>
          <w:pgSz w:w="11910" w:h="16840"/>
          <w:pgMar w:footer="808" w:top="1360" w:bottom="1000" w:left="820" w:right="820"/>
          <w:pgNumType w:start="1"/>
        </w:sectPr>
      </w:pPr>
    </w:p>
    <w:p>
      <w:pPr>
        <w:tabs>
          <w:tab w:pos="1064" w:val="left" w:leader="none"/>
        </w:tabs>
        <w:spacing w:line="340" w:lineRule="exact" w:before="0"/>
        <w:ind w:left="224"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2" w:val="right" w:leader="dot"/>
            </w:tabs>
            <w:spacing w:line="240" w:lineRule="auto" w:before="10"/>
            <w:rPr>
              <w:rFonts w:ascii="Calibri" w:eastAsia="Calibri"/>
            </w:rPr>
          </w:pPr>
          <w:hyperlink w:history="true" w:anchor="_TOC_250022">
            <w:r>
              <w:rPr/>
              <w:t>第一部分</w:t>
              <w:tab/>
              <w:t>您与我们订立的合同</w:t>
              <w:tab/>
            </w:r>
            <w:r>
              <w:rPr>
                <w:rFonts w:ascii="Calibri" w:eastAsia="Calibri"/>
              </w:rPr>
              <w:t>3</w:t>
            </w:r>
          </w:hyperlink>
        </w:p>
        <w:p>
          <w:pPr>
            <w:pStyle w:val="TOC2"/>
            <w:tabs>
              <w:tab w:pos="1371" w:val="left" w:leader="none"/>
              <w:tab w:pos="10204" w:val="right" w:leader="dot"/>
            </w:tabs>
            <w:spacing w:before="2"/>
            <w:rPr>
              <w:rFonts w:ascii="Calibri" w:eastAsia="Calibri"/>
              <w:b w:val="0"/>
            </w:rPr>
          </w:pPr>
          <w:hyperlink w:history="true" w:anchor="_TOC_250021">
            <w:r>
              <w:rPr/>
              <w:t>第一条</w:t>
              <w:tab/>
              <w:t>保险合同构成</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20">
            <w:r>
              <w:rPr/>
              <w:t>第二条</w:t>
              <w:tab/>
              <w:t>投保范围</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19">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204" w:val="right" w:leader="dot"/>
            </w:tabs>
            <w:spacing w:line="290" w:lineRule="exact"/>
            <w:rPr>
              <w:rFonts w:ascii="Calibri" w:eastAsia="Calibri"/>
              <w:b w:val="0"/>
            </w:rPr>
          </w:pPr>
          <w:hyperlink w:history="true" w:anchor="_TOC_250018">
            <w:r>
              <w:rPr/>
              <w:t>第四条</w:t>
              <w:tab/>
              <w:t>保险期间和续保</w:t>
              <w:tab/>
            </w:r>
            <w:r>
              <w:rPr>
                <w:rFonts w:ascii="Calibri" w:eastAsia="Calibri"/>
                <w:b w:val="0"/>
              </w:rPr>
              <w:t>3</w:t>
            </w:r>
          </w:hyperlink>
        </w:p>
        <w:p>
          <w:pPr>
            <w:pStyle w:val="TOC1"/>
            <w:tabs>
              <w:tab w:pos="1371" w:val="left" w:leader="none"/>
              <w:tab w:pos="10202" w:val="right" w:leader="dot"/>
            </w:tabs>
            <w:rPr>
              <w:rFonts w:ascii="Calibri" w:eastAsia="Calibri"/>
            </w:rPr>
          </w:pPr>
          <w:hyperlink w:history="true" w:anchor="_TOC_250017">
            <w:r>
              <w:rPr/>
              <w:t>第二部分</w:t>
              <w:tab/>
              <w:t>我们提供哪些保障利益</w:t>
              <w:tab/>
            </w:r>
            <w:r>
              <w:rPr>
                <w:rFonts w:ascii="Calibri" w:eastAsia="Calibri"/>
              </w:rPr>
              <w:t>3</w:t>
            </w:r>
          </w:hyperlink>
        </w:p>
        <w:p>
          <w:pPr>
            <w:pStyle w:val="TOC2"/>
            <w:tabs>
              <w:tab w:pos="1371" w:val="left" w:leader="none"/>
              <w:tab w:pos="10204" w:val="right" w:leader="dot"/>
            </w:tabs>
            <w:spacing w:before="2"/>
            <w:rPr>
              <w:rFonts w:ascii="Calibri" w:eastAsia="Calibri"/>
              <w:b w:val="0"/>
            </w:rPr>
          </w:pPr>
          <w:hyperlink w:history="true" w:anchor="_TOC_250016">
            <w:r>
              <w:rPr/>
              <w:t>第五条</w:t>
              <w:tab/>
              <w:t>基本保险金额</w:t>
              <w:tab/>
            </w:r>
            <w:r>
              <w:rPr>
                <w:rFonts w:ascii="Calibri" w:eastAsia="Calibri"/>
                <w:b w:val="0"/>
              </w:rPr>
              <w:t>3</w:t>
            </w:r>
          </w:hyperlink>
        </w:p>
        <w:p>
          <w:pPr>
            <w:pStyle w:val="TOC2"/>
            <w:tabs>
              <w:tab w:pos="1371" w:val="left" w:leader="none"/>
              <w:tab w:pos="10204" w:val="right" w:leader="dot"/>
            </w:tabs>
            <w:spacing w:before="17"/>
            <w:rPr>
              <w:rFonts w:ascii="Calibri" w:eastAsia="Calibri"/>
              <w:b w:val="0"/>
            </w:rPr>
          </w:pPr>
          <w:r>
            <w:rPr/>
            <w:t>第六条</w:t>
            <w:tab/>
            <w:t>保险责任</w:t>
            <w:tab/>
          </w:r>
          <w:r>
            <w:rPr>
              <w:rFonts w:ascii="Calibri" w:eastAsia="Calibri"/>
              <w:b w:val="0"/>
            </w:rPr>
            <w:t>3</w:t>
          </w:r>
        </w:p>
        <w:p>
          <w:pPr>
            <w:pStyle w:val="TOC2"/>
            <w:tabs>
              <w:tab w:pos="1371" w:val="left" w:leader="none"/>
              <w:tab w:pos="10204" w:val="right" w:leader="dot"/>
            </w:tabs>
            <w:spacing w:line="290" w:lineRule="exact" w:before="17"/>
            <w:rPr>
              <w:rFonts w:ascii="Calibri" w:eastAsia="Calibri"/>
              <w:b w:val="0"/>
            </w:rPr>
          </w:pPr>
          <w:hyperlink w:history="true" w:anchor="_TOC_250015">
            <w:r>
              <w:rPr/>
              <w:t>第七条</w:t>
              <w:tab/>
              <w:t>责任免除</w:t>
              <w:tab/>
            </w:r>
            <w:r>
              <w:rPr>
                <w:rFonts w:ascii="Calibri" w:eastAsia="Calibri"/>
                <w:b w:val="0"/>
              </w:rPr>
              <w:t>4</w:t>
            </w:r>
          </w:hyperlink>
        </w:p>
        <w:p>
          <w:pPr>
            <w:pStyle w:val="TOC1"/>
            <w:tabs>
              <w:tab w:pos="1371" w:val="left" w:leader="none"/>
              <w:tab w:pos="10202" w:val="right" w:leader="dot"/>
            </w:tabs>
            <w:rPr>
              <w:rFonts w:ascii="Calibri" w:eastAsia="Calibri"/>
            </w:rPr>
          </w:pPr>
          <w:hyperlink w:history="true" w:anchor="_TOC_250014">
            <w:r>
              <w:rPr/>
              <w:t>第三部分</w:t>
              <w:tab/>
              <w:t>如何交纳保险费</w:t>
              <w:tab/>
            </w:r>
            <w:r>
              <w:rPr>
                <w:rFonts w:ascii="Calibri" w:eastAsia="Calibri"/>
              </w:rPr>
              <w:t>5</w:t>
            </w:r>
          </w:hyperlink>
        </w:p>
        <w:p>
          <w:pPr>
            <w:pStyle w:val="TOC2"/>
            <w:tabs>
              <w:tab w:pos="1371" w:val="left" w:leader="none"/>
              <w:tab w:pos="10204" w:val="right" w:leader="dot"/>
            </w:tabs>
            <w:spacing w:line="290" w:lineRule="exact" w:before="3"/>
            <w:rPr>
              <w:rFonts w:ascii="Calibri" w:eastAsia="Calibri"/>
              <w:b w:val="0"/>
            </w:rPr>
          </w:pPr>
          <w:hyperlink w:history="true" w:anchor="_TOC_250013">
            <w:r>
              <w:rPr/>
              <w:t>第八条</w:t>
              <w:tab/>
              <w:t>保险费的交付</w:t>
              <w:tab/>
            </w:r>
            <w:r>
              <w:rPr>
                <w:rFonts w:ascii="Calibri" w:eastAsia="Calibri"/>
                <w:b w:val="0"/>
              </w:rPr>
              <w:t>5</w:t>
            </w:r>
          </w:hyperlink>
        </w:p>
        <w:p>
          <w:pPr>
            <w:pStyle w:val="TOC1"/>
            <w:tabs>
              <w:tab w:pos="1371" w:val="left" w:leader="none"/>
              <w:tab w:pos="10202" w:val="right" w:leader="dot"/>
            </w:tabs>
            <w:rPr>
              <w:rFonts w:ascii="Calibri" w:eastAsia="Calibri"/>
            </w:rPr>
          </w:pPr>
          <w:hyperlink w:history="true" w:anchor="_TOC_250012">
            <w:r>
              <w:rPr/>
              <w:t>第四部分</w:t>
              <w:tab/>
              <w:t>如何申请保险金</w:t>
              <w:tab/>
            </w:r>
            <w:r>
              <w:rPr>
                <w:rFonts w:ascii="Calibri" w:eastAsia="Calibri"/>
              </w:rPr>
              <w:t>5</w:t>
            </w:r>
          </w:hyperlink>
        </w:p>
        <w:p>
          <w:pPr>
            <w:pStyle w:val="TOC2"/>
            <w:tabs>
              <w:tab w:pos="1371" w:val="left" w:leader="none"/>
              <w:tab w:pos="10204" w:val="right" w:leader="dot"/>
            </w:tabs>
            <w:spacing w:before="3"/>
            <w:rPr>
              <w:rFonts w:ascii="Calibri" w:eastAsia="Calibri"/>
              <w:b w:val="0"/>
            </w:rPr>
          </w:pPr>
          <w:hyperlink w:history="true" w:anchor="_TOC_250011">
            <w:r>
              <w:rPr/>
              <w:t>第九条</w:t>
              <w:tab/>
              <w:t>受益人</w:t>
              <w:tab/>
            </w:r>
            <w:r>
              <w:rPr>
                <w:rFonts w:ascii="Calibri" w:eastAsia="Calibri"/>
                <w:b w:val="0"/>
              </w:rPr>
              <w:t>5</w:t>
            </w:r>
          </w:hyperlink>
        </w:p>
        <w:p>
          <w:pPr>
            <w:pStyle w:val="TOC2"/>
            <w:tabs>
              <w:tab w:pos="1371" w:val="left" w:leader="none"/>
              <w:tab w:pos="10204" w:val="right" w:leader="dot"/>
            </w:tabs>
            <w:rPr>
              <w:rFonts w:ascii="Calibri" w:eastAsia="Calibri"/>
              <w:b w:val="0"/>
            </w:rPr>
          </w:pPr>
          <w:r>
            <w:rPr/>
            <w:t>第十条</w:t>
            <w:tab/>
            <w:t>保险事故的通知</w:t>
            <w:tab/>
          </w:r>
          <w:r>
            <w:rPr>
              <w:rFonts w:ascii="Calibri" w:eastAsia="Calibri"/>
              <w:b w:val="0"/>
            </w:rPr>
            <w:t>5</w:t>
          </w:r>
        </w:p>
        <w:p>
          <w:pPr>
            <w:pStyle w:val="TOC2"/>
            <w:tabs>
              <w:tab w:pos="1579" w:val="left" w:leader="none"/>
              <w:tab w:pos="10204" w:val="right" w:leader="dot"/>
            </w:tabs>
            <w:rPr>
              <w:rFonts w:ascii="Calibri" w:eastAsia="Calibri"/>
              <w:b w:val="0"/>
            </w:rPr>
          </w:pPr>
          <w:hyperlink w:history="true" w:anchor="_TOC_250010">
            <w:r>
              <w:rPr/>
              <w:t>第十一条</w:t>
              <w:tab/>
              <w:t>诉讼时效</w:t>
              <w:tab/>
            </w:r>
            <w:r>
              <w:rPr>
                <w:rFonts w:ascii="Calibri" w:eastAsia="Calibri"/>
                <w:b w:val="0"/>
              </w:rPr>
              <w:t>5</w:t>
            </w:r>
          </w:hyperlink>
        </w:p>
        <w:p>
          <w:pPr>
            <w:pStyle w:val="TOC2"/>
            <w:tabs>
              <w:tab w:pos="1579" w:val="left" w:leader="none"/>
              <w:tab w:pos="10204" w:val="right" w:leader="dot"/>
            </w:tabs>
            <w:rPr>
              <w:rFonts w:ascii="Calibri" w:eastAsia="Calibri"/>
              <w:b w:val="0"/>
            </w:rPr>
          </w:pPr>
          <w:r>
            <w:rPr/>
            <w:t>第十二条</w:t>
            <w:tab/>
            <w:t>保险金申请</w:t>
            <w:tab/>
          </w:r>
          <w:r>
            <w:rPr>
              <w:rFonts w:ascii="Calibri" w:eastAsia="Calibri"/>
              <w:b w:val="0"/>
            </w:rPr>
            <w:t>5</w:t>
          </w:r>
        </w:p>
        <w:p>
          <w:pPr>
            <w:pStyle w:val="TOC2"/>
            <w:tabs>
              <w:tab w:pos="1579" w:val="left" w:leader="none"/>
              <w:tab w:pos="10204" w:val="right" w:leader="dot"/>
            </w:tabs>
            <w:spacing w:line="290" w:lineRule="exact"/>
            <w:rPr>
              <w:rFonts w:ascii="Calibri" w:eastAsia="Calibri"/>
              <w:b w:val="0"/>
            </w:rPr>
          </w:pPr>
          <w:r>
            <w:rPr/>
            <w:t>第十三条</w:t>
            <w:tab/>
            <w:t>保险金给付</w:t>
            <w:tab/>
          </w:r>
          <w:r>
            <w:rPr>
              <w:rFonts w:ascii="Calibri" w:eastAsia="Calibri"/>
              <w:b w:val="0"/>
            </w:rPr>
            <w:t>5</w:t>
          </w:r>
        </w:p>
        <w:p>
          <w:pPr>
            <w:pStyle w:val="TOC1"/>
            <w:tabs>
              <w:tab w:pos="1371" w:val="left" w:leader="none"/>
              <w:tab w:pos="10202" w:val="right" w:leader="dot"/>
            </w:tabs>
            <w:rPr>
              <w:rFonts w:ascii="Calibri" w:eastAsia="Calibri"/>
            </w:rPr>
          </w:pPr>
          <w:hyperlink w:history="true" w:anchor="_TOC_250009">
            <w:r>
              <w:rPr/>
              <w:t>第五部分</w:t>
              <w:tab/>
              <w:t>您还享有哪些权益</w:t>
              <w:tab/>
            </w:r>
            <w:r>
              <w:rPr>
                <w:rFonts w:ascii="Calibri" w:eastAsia="Calibri"/>
              </w:rPr>
              <w:t>6</w:t>
            </w:r>
          </w:hyperlink>
        </w:p>
        <w:p>
          <w:pPr>
            <w:pStyle w:val="TOC2"/>
            <w:tabs>
              <w:tab w:pos="1579" w:val="left" w:leader="none"/>
              <w:tab w:pos="10204" w:val="right" w:leader="dot"/>
            </w:tabs>
            <w:spacing w:before="2"/>
            <w:rPr>
              <w:rFonts w:ascii="Calibri" w:eastAsia="Calibri"/>
              <w:b w:val="0"/>
            </w:rPr>
          </w:pPr>
          <w:hyperlink w:history="true" w:anchor="_TOC_250008">
            <w:r>
              <w:rPr/>
              <w:t>第十四条</w:t>
              <w:tab/>
              <w:t>合同内容变更</w:t>
              <w:tab/>
            </w:r>
            <w:r>
              <w:rPr>
                <w:rFonts w:ascii="Calibri" w:eastAsia="Calibri"/>
                <w:b w:val="0"/>
              </w:rPr>
              <w:t>6</w:t>
            </w:r>
          </w:hyperlink>
        </w:p>
        <w:p>
          <w:pPr>
            <w:pStyle w:val="TOC2"/>
            <w:tabs>
              <w:tab w:pos="1579" w:val="left" w:leader="none"/>
              <w:tab w:pos="10204" w:val="right" w:leader="dot"/>
            </w:tabs>
            <w:spacing w:line="290" w:lineRule="exact" w:before="17"/>
            <w:rPr>
              <w:rFonts w:ascii="Calibri" w:eastAsia="Calibri"/>
              <w:b w:val="0"/>
            </w:rPr>
          </w:pPr>
          <w:hyperlink w:history="true" w:anchor="_TOC_250007">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202" w:val="right" w:leader="dot"/>
            </w:tabs>
            <w:rPr>
              <w:rFonts w:ascii="Calibri" w:eastAsia="Calibri"/>
            </w:rPr>
          </w:pPr>
          <w:hyperlink w:history="true" w:anchor="_TOC_250006">
            <w:r>
              <w:rPr/>
              <w:t>第六部分</w:t>
              <w:tab/>
              <w:t>您需要了解的其它事项</w:t>
              <w:tab/>
            </w:r>
            <w:r>
              <w:rPr>
                <w:rFonts w:ascii="Calibri" w:eastAsia="Calibri"/>
              </w:rPr>
              <w:t>6</w:t>
            </w:r>
          </w:hyperlink>
        </w:p>
        <w:p>
          <w:pPr>
            <w:pStyle w:val="TOC2"/>
            <w:tabs>
              <w:tab w:pos="1579" w:val="left" w:leader="none"/>
              <w:tab w:pos="10204" w:val="right" w:leader="dot"/>
            </w:tabs>
            <w:spacing w:before="3"/>
            <w:rPr>
              <w:rFonts w:ascii="Calibri" w:eastAsia="Calibri"/>
              <w:b w:val="0"/>
            </w:rPr>
          </w:pPr>
          <w:hyperlink w:history="true" w:anchor="_TOC_250005">
            <w:r>
              <w:rPr/>
              <w:t>第十六条</w:t>
              <w:tab/>
              <w:t>明确说明和如实告知</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04">
            <w:r>
              <w:rPr/>
              <w:t>第十七条</w:t>
              <w:tab/>
              <w:t>年龄计算及错误处理</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03">
            <w:r>
              <w:rPr/>
              <w:t>第十八条</w:t>
              <w:tab/>
              <w:t>住所或通讯地址变更</w:t>
              <w:tab/>
            </w:r>
            <w:r>
              <w:rPr>
                <w:rFonts w:ascii="Calibri" w:eastAsia="Calibri"/>
                <w:b w:val="0"/>
              </w:rPr>
              <w:t>7</w:t>
            </w:r>
          </w:hyperlink>
        </w:p>
        <w:p>
          <w:pPr>
            <w:pStyle w:val="TOC2"/>
            <w:tabs>
              <w:tab w:pos="1579" w:val="left" w:leader="none"/>
              <w:tab w:pos="10204" w:val="right" w:leader="dot"/>
            </w:tabs>
            <w:rPr>
              <w:rFonts w:ascii="Calibri" w:eastAsia="Calibri"/>
              <w:b w:val="0"/>
            </w:rPr>
          </w:pPr>
          <w:hyperlink w:history="true" w:anchor="_TOC_250002">
            <w:r>
              <w:rPr/>
              <w:t>第十九条</w:t>
              <w:tab/>
              <w:t>被保险人的变动</w:t>
              <w:tab/>
            </w:r>
            <w:r>
              <w:rPr>
                <w:rFonts w:ascii="Calibri" w:eastAsia="Calibri"/>
                <w:b w:val="0"/>
              </w:rPr>
              <w:t>7</w:t>
            </w:r>
          </w:hyperlink>
        </w:p>
        <w:p>
          <w:pPr>
            <w:pStyle w:val="TOC2"/>
            <w:tabs>
              <w:tab w:pos="1579" w:val="left" w:leader="none"/>
              <w:tab w:pos="10204" w:val="right" w:leader="dot"/>
            </w:tabs>
            <w:rPr>
              <w:rFonts w:ascii="Calibri" w:eastAsia="Calibri"/>
              <w:b w:val="0"/>
            </w:rPr>
          </w:pPr>
          <w:hyperlink w:history="true" w:anchor="_TOC_250001">
            <w:r>
              <w:rPr/>
              <w:t>第二十条</w:t>
              <w:tab/>
              <w:t>争议处理</w:t>
              <w:tab/>
            </w:r>
            <w:r>
              <w:rPr>
                <w:rFonts w:ascii="Calibri" w:eastAsia="Calibri"/>
                <w:b w:val="0"/>
              </w:rPr>
              <w:t>7</w:t>
            </w:r>
          </w:hyperlink>
        </w:p>
        <w:p>
          <w:pPr>
            <w:pStyle w:val="TOC2"/>
            <w:tabs>
              <w:tab w:pos="1791" w:val="left" w:leader="none"/>
              <w:tab w:pos="10204" w:val="right" w:leader="dot"/>
            </w:tabs>
            <w:rPr>
              <w:rFonts w:ascii="Calibri" w:eastAsia="Calibri"/>
              <w:b w:val="0"/>
            </w:rPr>
          </w:pPr>
          <w:hyperlink w:history="true" w:anchor="_TOC_250000">
            <w:r>
              <w:rPr/>
              <w:t>第二十一条</w:t>
              <w:tab/>
              <w:t>重大疾病的种类和</w:t>
            </w:r>
            <w:r>
              <w:rPr>
                <w:spacing w:val="-3"/>
              </w:rPr>
              <w:t>定</w:t>
            </w:r>
            <w:r>
              <w:rPr/>
              <w:t>义</w:t>
              <w:tab/>
            </w:r>
            <w:r>
              <w:rPr>
                <w:rFonts w:ascii="Calibri" w:eastAsia="Calibri"/>
                <w:b w:val="0"/>
              </w:rPr>
              <w:t>7</w:t>
            </w:r>
          </w:hyperlink>
        </w:p>
      </w:sdtContent>
    </w:sdt>
    <w:p>
      <w:pPr>
        <w:pStyle w:val="BodyText"/>
        <w:spacing w:before="382"/>
        <w:ind w:left="802"/>
      </w:pPr>
      <w:r>
        <w:rPr>
          <w:w w:val="100"/>
        </w:rPr>
        <w:t>．</w:t>
      </w:r>
    </w:p>
    <w:p>
      <w:pPr>
        <w:spacing w:after="0"/>
        <w:sectPr>
          <w:pgSz w:w="11910" w:h="16840"/>
          <w:pgMar w:header="0" w:footer="808" w:top="1380" w:bottom="1000" w:left="700" w:right="900"/>
        </w:sectPr>
      </w:pPr>
    </w:p>
    <w:p>
      <w:pPr>
        <w:pStyle w:val="Heading1"/>
        <w:spacing w:before="8"/>
        <w:ind w:left="3336"/>
      </w:pPr>
      <w:bookmarkStart w:name="_TOC_250022" w:id="1"/>
      <w:bookmarkEnd w:id="1"/>
      <w:r>
        <w:rPr/>
        <w:t>第一部分 您与我们订立的合同</w:t>
      </w:r>
    </w:p>
    <w:p>
      <w:pPr>
        <w:pStyle w:val="BodyText"/>
        <w:spacing w:before="1"/>
        <w:ind w:left="0"/>
        <w:rPr>
          <w:rFonts w:ascii="等线"/>
          <w:b/>
          <w:sz w:val="22"/>
        </w:rPr>
      </w:pPr>
    </w:p>
    <w:p>
      <w:pPr>
        <w:pStyle w:val="Heading2"/>
      </w:pPr>
      <w:bookmarkStart w:name="_TOC_250021" w:id="2"/>
      <w:bookmarkStart w:name="您与我们订立的合同" w:id="3"/>
      <w:r>
        <w:rPr>
          <w:b w:val="0"/>
        </w:rPr>
      </w:r>
      <w:bookmarkStart w:name="保险合同构成" w:id="4"/>
      <w:bookmarkEnd w:id="4"/>
      <w:r>
        <w:rPr>
          <w:b w:val="0"/>
        </w:rPr>
      </w:r>
      <w:bookmarkEnd w:id="2"/>
      <w:r>
        <w:rPr/>
        <w:t>第一条 保险合同构成</w:t>
      </w:r>
    </w:p>
    <w:p>
      <w:pPr>
        <w:pStyle w:val="BodyText"/>
        <w:spacing w:before="5"/>
        <w:ind w:left="0"/>
        <w:rPr>
          <w:rFonts w:ascii="等线"/>
          <w:b/>
        </w:rPr>
      </w:pPr>
    </w:p>
    <w:p>
      <w:pPr>
        <w:pStyle w:val="BodyText"/>
        <w:spacing w:line="237" w:lineRule="auto"/>
        <w:ind w:left="120" w:right="207" w:firstLine="419"/>
      </w:pPr>
      <w:r>
        <w:rPr>
          <w:spacing w:val="-13"/>
        </w:rPr>
        <w:t>本合同由本保险条款、保险单或其它保险凭证、投保单、与保险合同有关的投保文件、合法有效的声明、</w:t>
      </w:r>
      <w:r>
        <w:rPr>
          <w:spacing w:val="-3"/>
        </w:rPr>
        <w:t>批注、批单及其它您与我们共同认可的书面协议构成。</w:t>
      </w:r>
    </w:p>
    <w:p>
      <w:pPr>
        <w:pStyle w:val="BodyText"/>
        <w:spacing w:before="4"/>
        <w:ind w:left="0"/>
        <w:rPr>
          <w:sz w:val="24"/>
        </w:rPr>
      </w:pPr>
    </w:p>
    <w:p>
      <w:pPr>
        <w:pStyle w:val="Heading2"/>
      </w:pPr>
      <w:bookmarkStart w:name="_TOC_250020" w:id="5"/>
      <w:bookmarkStart w:name="投保范围" w:id="6"/>
      <w:r>
        <w:rPr>
          <w:b w:val="0"/>
        </w:rPr>
      </w:r>
      <w:bookmarkEnd w:id="5"/>
      <w:r>
        <w:rPr/>
        <w:t>第二条 投保范围</w:t>
      </w:r>
    </w:p>
    <w:p>
      <w:pPr>
        <w:pStyle w:val="BodyText"/>
        <w:spacing w:before="9"/>
        <w:ind w:left="0"/>
        <w:rPr>
          <w:rFonts w:ascii="等线"/>
          <w:b/>
          <w:sz w:val="22"/>
        </w:rPr>
      </w:pPr>
    </w:p>
    <w:p>
      <w:pPr>
        <w:pStyle w:val="BodyText"/>
        <w:spacing w:line="223" w:lineRule="auto"/>
        <w:ind w:left="119" w:right="208" w:firstLine="420"/>
        <w:jc w:val="both"/>
      </w:pPr>
      <w:r>
        <w:rPr>
          <w:spacing w:val="-3"/>
          <w:w w:val="100"/>
        </w:rPr>
        <w:t>被保险人范围：凡</w:t>
      </w:r>
      <w:r>
        <w:rPr>
          <w:w w:val="100"/>
        </w:rPr>
        <w:t>1</w:t>
      </w:r>
      <w:r>
        <w:rPr>
          <w:spacing w:val="-3"/>
          <w:w w:val="100"/>
        </w:rPr>
        <w:t>6</w:t>
      </w:r>
      <w:r>
        <w:rPr>
          <w:rFonts w:ascii="等线" w:eastAsia="等线" w:hint="eastAsia"/>
          <w:b/>
          <w:spacing w:val="3"/>
          <w:w w:val="100"/>
        </w:rPr>
        <w:t>周岁</w:t>
      </w:r>
      <w:hyperlink w:history="true" w:anchor="_bookmark0">
        <w:r>
          <w:rPr>
            <w:rFonts w:ascii="等线" w:eastAsia="等线" w:hint="eastAsia"/>
            <w:b/>
            <w:spacing w:val="0"/>
            <w:w w:val="90"/>
            <w:position w:val="11"/>
            <w:sz w:val="11"/>
          </w:rPr>
          <w:t>1</w:t>
        </w:r>
      </w:hyperlink>
      <w:r>
        <w:rPr>
          <w:w w:val="100"/>
        </w:rPr>
        <w:t>以上</w:t>
      </w:r>
      <w:r>
        <w:rPr>
          <w:spacing w:val="-3"/>
          <w:w w:val="100"/>
        </w:rPr>
        <w:t>（</w:t>
      </w:r>
      <w:r>
        <w:rPr>
          <w:w w:val="100"/>
        </w:rPr>
        <w:t>含1</w:t>
      </w:r>
      <w:r>
        <w:rPr>
          <w:spacing w:val="-3"/>
          <w:w w:val="100"/>
        </w:rPr>
        <w:t>6</w:t>
      </w:r>
      <w:r>
        <w:rPr>
          <w:spacing w:val="-2"/>
          <w:w w:val="100"/>
        </w:rPr>
        <w:t>周岁</w:t>
      </w:r>
      <w:r>
        <w:rPr>
          <w:w w:val="100"/>
        </w:rPr>
        <w:t>）6</w:t>
      </w:r>
      <w:r>
        <w:rPr>
          <w:spacing w:val="-3"/>
          <w:w w:val="100"/>
        </w:rPr>
        <w:t>5</w:t>
      </w:r>
      <w:r>
        <w:rPr>
          <w:spacing w:val="-2"/>
          <w:w w:val="100"/>
        </w:rPr>
        <w:t>周岁以下</w:t>
      </w:r>
      <w:r>
        <w:rPr>
          <w:spacing w:val="-3"/>
          <w:w w:val="100"/>
        </w:rPr>
        <w:t>（</w:t>
      </w:r>
      <w:r>
        <w:rPr>
          <w:w w:val="100"/>
        </w:rPr>
        <w:t>含6</w:t>
      </w:r>
      <w:r>
        <w:rPr>
          <w:spacing w:val="-3"/>
          <w:w w:val="100"/>
        </w:rPr>
        <w:t>5</w:t>
      </w:r>
      <w:r>
        <w:rPr>
          <w:spacing w:val="-2"/>
          <w:w w:val="100"/>
        </w:rPr>
        <w:t>周岁</w:t>
      </w:r>
      <w:r>
        <w:rPr>
          <w:spacing w:val="-106"/>
          <w:w w:val="100"/>
        </w:rPr>
        <w:t>）</w:t>
      </w:r>
      <w:r>
        <w:rPr>
          <w:spacing w:val="-3"/>
          <w:w w:val="100"/>
        </w:rPr>
        <w:t>，身体健康能够正常工作的机关、</w:t>
      </w:r>
      <w:r>
        <w:rPr>
          <w:spacing w:val="-5"/>
        </w:rPr>
        <w:t>企业、事业单位和社会</w:t>
      </w:r>
      <w:r>
        <w:rPr>
          <w:rFonts w:ascii="等线" w:eastAsia="等线" w:hint="eastAsia"/>
          <w:b/>
          <w:spacing w:val="1"/>
        </w:rPr>
        <w:t>团体</w:t>
      </w:r>
      <w:hyperlink w:history="true" w:anchor="_bookmark1">
        <w:r>
          <w:rPr>
            <w:rFonts w:ascii="等线" w:eastAsia="等线" w:hint="eastAsia"/>
            <w:b/>
            <w:position w:val="11"/>
            <w:sz w:val="11"/>
          </w:rPr>
          <w:t>2</w:t>
        </w:r>
      </w:hyperlink>
      <w:r>
        <w:rPr>
          <w:spacing w:val="-6"/>
        </w:rPr>
        <w:t>的在职人员，或其他我们认可的成员，可作为被保险人参加本保险。被保险人的</w:t>
      </w:r>
      <w:r>
        <w:rPr>
          <w:spacing w:val="-3"/>
        </w:rPr>
        <w:t>配偶和子女，经我们审核同意，可作为其附带的被保险人，参加本保险。</w:t>
      </w:r>
    </w:p>
    <w:p>
      <w:pPr>
        <w:pStyle w:val="BodyText"/>
        <w:spacing w:line="237" w:lineRule="auto" w:before="1"/>
        <w:ind w:left="120" w:right="230" w:firstLine="419"/>
      </w:pPr>
      <w:r>
        <w:rPr/>
        <w:t>投保人范围：机关、企业、事业单位和社会团体可作为投保人为本单位符合参保条件的人员向我们投保本保险。单位投保时，其投保人数不应低于5人，而且本单位符合投保条件的人员必须75%以上投保。</w:t>
      </w:r>
    </w:p>
    <w:p>
      <w:pPr>
        <w:pStyle w:val="BodyText"/>
        <w:spacing w:before="4"/>
        <w:ind w:left="0"/>
        <w:rPr>
          <w:sz w:val="24"/>
        </w:rPr>
      </w:pPr>
    </w:p>
    <w:p>
      <w:pPr>
        <w:pStyle w:val="Heading2"/>
      </w:pPr>
      <w:bookmarkStart w:name="_TOC_250019" w:id="7"/>
      <w:bookmarkStart w:name="保险合同成立、生效和保险责任开始" w:id="8"/>
      <w:r>
        <w:rPr>
          <w:b w:val="0"/>
        </w:rPr>
      </w:r>
      <w:bookmarkEnd w:id="7"/>
      <w:r>
        <w:rPr/>
        <w:t>第三条  保险合同成立、生效和保险责任开始</w:t>
      </w:r>
    </w:p>
    <w:p>
      <w:pPr>
        <w:pStyle w:val="BodyText"/>
        <w:spacing w:before="2"/>
        <w:ind w:left="0"/>
        <w:rPr>
          <w:rFonts w:ascii="等线"/>
          <w:b/>
        </w:rPr>
      </w:pPr>
    </w:p>
    <w:p>
      <w:pPr>
        <w:pStyle w:val="BodyText"/>
        <w:spacing w:line="274" w:lineRule="exact"/>
      </w:pPr>
      <w:r>
        <w:rPr/>
        <w:t>您提出保险申请、我们同意承保，本合同成立，合同成立日期在保险单上载明。</w:t>
      </w:r>
    </w:p>
    <w:p>
      <w:pPr>
        <w:pStyle w:val="BodyText"/>
        <w:spacing w:line="237" w:lineRule="auto" w:before="2"/>
        <w:ind w:right="209"/>
      </w:pPr>
      <w:r>
        <w:rPr>
          <w:spacing w:val="-15"/>
        </w:rPr>
        <w:t>自本合同成立、我们收取保险费并签发保险单的次日零时起本合同生效，合同生效日期在保险单上载明。</w:t>
      </w:r>
      <w:r>
        <w:rPr>
          <w:spacing w:val="-7"/>
        </w:rPr>
        <w:t>除另有约定外，本合同生效的日期为我们开始承担保险责任的日期。</w:t>
      </w:r>
    </w:p>
    <w:p>
      <w:pPr>
        <w:pStyle w:val="BodyText"/>
        <w:spacing w:before="4"/>
        <w:ind w:left="0"/>
        <w:rPr>
          <w:sz w:val="24"/>
        </w:rPr>
      </w:pPr>
    </w:p>
    <w:p>
      <w:pPr>
        <w:pStyle w:val="Heading2"/>
      </w:pPr>
      <w:bookmarkStart w:name="_TOC_250018" w:id="9"/>
      <w:bookmarkStart w:name="保险期间和续保" w:id="10"/>
      <w:r>
        <w:rPr>
          <w:b w:val="0"/>
        </w:rPr>
      </w:r>
      <w:bookmarkEnd w:id="9"/>
      <w:r>
        <w:rPr/>
        <w:t>第四条 保险期间和续保</w:t>
      </w:r>
    </w:p>
    <w:p>
      <w:pPr>
        <w:pStyle w:val="BodyText"/>
        <w:spacing w:before="2"/>
        <w:ind w:left="0"/>
        <w:rPr>
          <w:rFonts w:ascii="等线"/>
          <w:b/>
        </w:rPr>
      </w:pPr>
    </w:p>
    <w:p>
      <w:pPr>
        <w:pStyle w:val="BodyText"/>
        <w:ind w:left="119" w:right="105" w:firstLine="420"/>
      </w:pPr>
      <w:r>
        <w:rPr/>
        <w:t>本合同的保险期间最长为1年，除另有约定外，自本合同生效日零时起至本合同约定终止日二十四时止。具体保险期间在保险合同上载明。</w:t>
      </w:r>
    </w:p>
    <w:p>
      <w:pPr>
        <w:pStyle w:val="BodyText"/>
        <w:ind w:left="119" w:right="228" w:firstLine="419"/>
      </w:pPr>
      <w:r>
        <w:rPr/>
        <w:t>您可以在保险期间满期日的15日前，以书面形式通知我们续保，经我们同意后，续保的生效日期以合同满期日的次日零时为准，每次续保保险期间不超过1年。</w:t>
      </w:r>
    </w:p>
    <w:p>
      <w:pPr>
        <w:pStyle w:val="BodyText"/>
        <w:ind w:left="0"/>
        <w:rPr>
          <w:sz w:val="24"/>
        </w:rPr>
      </w:pPr>
    </w:p>
    <w:p>
      <w:pPr>
        <w:pStyle w:val="Heading1"/>
        <w:spacing w:before="1"/>
        <w:ind w:left="3336"/>
      </w:pPr>
      <w:bookmarkStart w:name="_TOC_250017" w:id="11"/>
      <w:bookmarkStart w:name="我们提供哪些保障利益" w:id="12"/>
      <w:r>
        <w:rPr>
          <w:b w:val="0"/>
        </w:rPr>
      </w:r>
      <w:bookmarkEnd w:id="11"/>
      <w:r>
        <w:rPr/>
        <w:t>第二部分 我们提供哪些保障利益</w:t>
      </w:r>
    </w:p>
    <w:p>
      <w:pPr>
        <w:pStyle w:val="BodyText"/>
        <w:spacing w:before="2"/>
        <w:ind w:left="0"/>
        <w:rPr>
          <w:rFonts w:ascii="等线"/>
          <w:b/>
          <w:sz w:val="22"/>
        </w:rPr>
      </w:pPr>
    </w:p>
    <w:p>
      <w:pPr>
        <w:pStyle w:val="Heading2"/>
      </w:pPr>
      <w:bookmarkStart w:name="_TOC_250016" w:id="13"/>
      <w:bookmarkStart w:name="基本保险金额" w:id="14"/>
      <w:r>
        <w:rPr>
          <w:b w:val="0"/>
        </w:rPr>
      </w:r>
      <w:bookmarkEnd w:id="13"/>
      <w:r>
        <w:rPr/>
        <w:t>第五条 基本保险金额</w:t>
      </w:r>
    </w:p>
    <w:p>
      <w:pPr>
        <w:pStyle w:val="BodyText"/>
        <w:spacing w:before="2"/>
        <w:ind w:left="0"/>
        <w:rPr>
          <w:rFonts w:ascii="等线"/>
          <w:b/>
        </w:rPr>
      </w:pPr>
    </w:p>
    <w:p>
      <w:pPr>
        <w:spacing w:line="518" w:lineRule="auto" w:before="1"/>
        <w:ind w:left="120" w:right="4008" w:firstLine="420"/>
        <w:jc w:val="left"/>
        <w:rPr>
          <w:rFonts w:ascii="等线" w:eastAsia="等线" w:hint="eastAsia"/>
          <w:b/>
          <w:sz w:val="21"/>
        </w:rPr>
      </w:pPr>
      <w:r>
        <w:rPr>
          <w:sz w:val="21"/>
        </w:rPr>
        <w:t>本合同的基本保险金额由您和我们约定，并在保险单上载明。</w:t>
      </w:r>
      <w:bookmarkStart w:name="保险责任" w:id="15"/>
      <w:bookmarkEnd w:id="15"/>
      <w:r>
        <w:rPr>
          <w:sz w:val="21"/>
        </w:rPr>
      </w:r>
      <w:r>
        <w:rPr>
          <w:rFonts w:ascii="等线" w:eastAsia="等线" w:hint="eastAsia"/>
          <w:b/>
          <w:sz w:val="21"/>
        </w:rPr>
        <w:t>第六条 保险责任</w:t>
      </w:r>
    </w:p>
    <w:p>
      <w:pPr>
        <w:pStyle w:val="BodyText"/>
        <w:spacing w:line="274" w:lineRule="exact" w:before="35"/>
      </w:pPr>
      <w:r>
        <w:rPr/>
        <w:t>在本合同保险期间内，我们承担以下保险责任:</w:t>
      </w:r>
    </w:p>
    <w:p>
      <w:pPr>
        <w:spacing w:line="220" w:lineRule="auto" w:before="22"/>
        <w:ind w:left="120" w:right="336" w:firstLine="422"/>
        <w:jc w:val="left"/>
        <w:rPr>
          <w:sz w:val="21"/>
        </w:rPr>
      </w:pPr>
      <w:r>
        <w:rPr>
          <w:rFonts w:ascii="等线" w:eastAsia="等线" w:hint="eastAsia"/>
          <w:b/>
          <w:sz w:val="21"/>
        </w:rPr>
        <w:t>被保险人在等待期后初次发生并经</w:t>
      </w:r>
      <w:r>
        <w:rPr>
          <w:rFonts w:ascii="黑体" w:eastAsia="黑体" w:hint="eastAsia"/>
          <w:b/>
          <w:sz w:val="21"/>
        </w:rPr>
        <w:t>专科医Th</w:t>
      </w:r>
      <w:hyperlink w:history="true" w:anchor="_bookmark2">
        <w:r>
          <w:rPr>
            <w:rFonts w:ascii="等线" w:eastAsia="等线" w:hint="eastAsia"/>
            <w:b/>
            <w:position w:val="11"/>
            <w:sz w:val="11"/>
          </w:rPr>
          <w:t>3</w:t>
        </w:r>
      </w:hyperlink>
      <w:r>
        <w:rPr>
          <w:rFonts w:ascii="等线" w:eastAsia="等线" w:hint="eastAsia"/>
          <w:b/>
          <w:sz w:val="21"/>
        </w:rPr>
        <w:t>明确诊断患一种或多种本合同第二十一条所定义的重大疾病，</w:t>
      </w:r>
      <w:r>
        <w:rPr>
          <w:sz w:val="21"/>
        </w:rPr>
        <w:t>我们按保险单载明的基本保险金额给付重大疾病保险金，本合同对该被保险人的保险责任终止。</w:t>
      </w:r>
    </w:p>
    <w:p>
      <w:pPr>
        <w:spacing w:line="220" w:lineRule="auto" w:before="2"/>
        <w:ind w:left="120" w:right="208" w:firstLine="422"/>
        <w:jc w:val="left"/>
        <w:rPr>
          <w:sz w:val="21"/>
        </w:rPr>
      </w:pPr>
      <w:r>
        <w:rPr>
          <w:rFonts w:ascii="等线" w:eastAsia="等线" w:hint="eastAsia"/>
          <w:b/>
          <w:spacing w:val="-5"/>
          <w:sz w:val="21"/>
        </w:rPr>
        <w:t>被保险人在等待期内经医院确诊初次发生重大疾病的，我们不承担给付重大疾病保险金的责任。</w:t>
      </w:r>
      <w:r>
        <w:rPr>
          <w:spacing w:val="-3"/>
          <w:sz w:val="21"/>
        </w:rPr>
        <w:t>我们向</w:t>
      </w:r>
      <w:r>
        <w:rPr>
          <w:spacing w:val="-6"/>
          <w:sz w:val="21"/>
        </w:rPr>
        <w:t>您返还该被保险人对应的所交保险费，对该被保险人保险责任终止。被保险人因</w:t>
      </w:r>
      <w:r>
        <w:rPr>
          <w:rFonts w:ascii="等线" w:eastAsia="等线" w:hint="eastAsia"/>
          <w:b/>
          <w:spacing w:val="0"/>
          <w:sz w:val="21"/>
        </w:rPr>
        <w:t>意外伤害</w:t>
      </w:r>
      <w:hyperlink w:history="true" w:anchor="_bookmark3">
        <w:r>
          <w:rPr>
            <w:rFonts w:ascii="等线" w:eastAsia="等线" w:hint="eastAsia"/>
            <w:b/>
            <w:position w:val="11"/>
            <w:sz w:val="11"/>
          </w:rPr>
          <w:t>4</w:t>
        </w:r>
      </w:hyperlink>
      <w:r>
        <w:rPr>
          <w:spacing w:val="-3"/>
          <w:sz w:val="21"/>
        </w:rPr>
        <w:t>导致初次发生本合</w:t>
      </w:r>
    </w:p>
    <w:p>
      <w:pPr>
        <w:pStyle w:val="BodyText"/>
        <w:spacing w:before="4"/>
        <w:ind w:left="0"/>
        <w:rPr>
          <w:sz w:val="18"/>
        </w:rPr>
      </w:pPr>
      <w:r>
        <w:rPr/>
        <w:pict>
          <v:line style="position:absolute;mso-position-horizontal-relative:page;mso-position-vertical-relative:paragraph;z-index:1072;mso-wrap-distance-left:0;mso-wrap-distance-right:0" from="51pt,14.206665pt" to="195pt,14.206665pt" stroked="true" strokeweight=".48pt" strokecolor="#000000">
            <v:stroke dashstyle="solid"/>
            <w10:wrap type="topAndBottom"/>
          </v:line>
        </w:pict>
      </w:r>
    </w:p>
    <w:p>
      <w:pPr>
        <w:spacing w:line="242" w:lineRule="exact" w:before="39"/>
        <w:ind w:left="120" w:right="0" w:firstLine="0"/>
        <w:jc w:val="left"/>
        <w:rPr>
          <w:sz w:val="18"/>
        </w:rPr>
      </w:pPr>
      <w:bookmarkStart w:name="_bookmark0" w:id="16"/>
      <w:bookmarkEnd w:id="16"/>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3" w:lineRule="exact" w:before="0"/>
        <w:ind w:left="120" w:right="0" w:firstLine="0"/>
        <w:jc w:val="left"/>
        <w:rPr>
          <w:sz w:val="18"/>
        </w:rPr>
      </w:pPr>
      <w:bookmarkStart w:name="_bookmark1" w:id="17"/>
      <w:bookmarkEnd w:id="17"/>
      <w:r>
        <w:rPr/>
      </w:r>
      <w:r>
        <w:rPr>
          <w:rFonts w:ascii="Times New Roman" w:eastAsia="Times New Roman"/>
          <w:position w:val="8"/>
          <w:sz w:val="12"/>
        </w:rPr>
        <w:t>2</w:t>
      </w:r>
      <w:r>
        <w:rPr>
          <w:rFonts w:ascii="等线" w:eastAsia="等线" w:hint="eastAsia"/>
          <w:b/>
          <w:sz w:val="18"/>
        </w:rPr>
        <w:t>团体</w:t>
      </w:r>
      <w:r>
        <w:rPr>
          <w:sz w:val="18"/>
        </w:rPr>
        <w:t>：指中华人民共和国境内非因购买保险而组织的合法团体。包括国家机关、院校、企事业单位、行业组织、职业工会等。</w:t>
      </w:r>
    </w:p>
    <w:p>
      <w:pPr>
        <w:spacing w:line="234" w:lineRule="exact" w:before="0"/>
        <w:ind w:left="127" w:right="0" w:firstLine="0"/>
        <w:jc w:val="left"/>
        <w:rPr>
          <w:sz w:val="18"/>
        </w:rPr>
      </w:pPr>
      <w:bookmarkStart w:name="_bookmark2" w:id="18"/>
      <w:bookmarkEnd w:id="18"/>
      <w:r>
        <w:rPr/>
      </w:r>
      <w:r>
        <w:rPr>
          <w:rFonts w:ascii="Times New Roman" w:eastAsia="Times New Roman"/>
          <w:position w:val="8"/>
          <w:sz w:val="12"/>
        </w:rPr>
        <w:t>3</w:t>
      </w:r>
      <w:r>
        <w:rPr>
          <w:rFonts w:ascii="等线" w:eastAsia="等线" w:hint="eastAsia"/>
          <w:b/>
          <w:sz w:val="18"/>
        </w:rPr>
        <w:t>专科医生</w:t>
      </w:r>
      <w:r>
        <w:rPr>
          <w:sz w:val="18"/>
        </w:rPr>
        <w:t>：应当同时满足以下四项资格条件：</w:t>
      </w:r>
    </w:p>
    <w:p>
      <w:pPr>
        <w:pStyle w:val="ListParagraph"/>
        <w:numPr>
          <w:ilvl w:val="0"/>
          <w:numId w:val="2"/>
        </w:numPr>
        <w:tabs>
          <w:tab w:pos="667" w:val="left" w:leader="none"/>
        </w:tabs>
        <w:spacing w:line="226" w:lineRule="exact" w:before="0" w:after="0"/>
        <w:ind w:left="666" w:right="0" w:hanging="539"/>
        <w:jc w:val="left"/>
        <w:rPr>
          <w:sz w:val="18"/>
        </w:rPr>
      </w:pPr>
      <w:r>
        <w:rPr>
          <w:sz w:val="18"/>
        </w:rPr>
        <w:t>具有有效的中华人民共和国《医师资格证书》；</w:t>
      </w:r>
    </w:p>
    <w:p>
      <w:pPr>
        <w:spacing w:line="233" w:lineRule="exact" w:before="0"/>
        <w:ind w:left="126" w:right="0" w:firstLine="0"/>
        <w:jc w:val="left"/>
        <w:rPr>
          <w:sz w:val="18"/>
        </w:rPr>
      </w:pPr>
      <w:r>
        <w:rPr>
          <w:sz w:val="18"/>
        </w:rPr>
        <w:t>（2）具有有效的中华人民共和国《医师执业证书》，并按期到相关部门登记注册；</w:t>
      </w:r>
    </w:p>
    <w:p>
      <w:pPr>
        <w:spacing w:line="233" w:lineRule="exact" w:before="0"/>
        <w:ind w:left="126" w:right="0" w:firstLine="0"/>
        <w:jc w:val="left"/>
        <w:rPr>
          <w:sz w:val="18"/>
        </w:rPr>
      </w:pPr>
      <w:r>
        <w:rPr>
          <w:sz w:val="18"/>
        </w:rPr>
        <w:t>（3）具有有效的中华人民共和国主治医师或者主治医师以上职称的《医师职称证书》；</w:t>
      </w:r>
    </w:p>
    <w:p>
      <w:pPr>
        <w:spacing w:line="234" w:lineRule="exact" w:before="0"/>
        <w:ind w:left="119" w:right="0" w:firstLine="0"/>
        <w:jc w:val="left"/>
        <w:rPr>
          <w:sz w:val="18"/>
        </w:rPr>
      </w:pPr>
      <w:r>
        <w:rPr>
          <w:sz w:val="18"/>
        </w:rPr>
        <w:t>（4）在二级或者二级以上医院的相应科室从事临床工作三年以上。</w:t>
      </w:r>
    </w:p>
    <w:p>
      <w:pPr>
        <w:spacing w:before="0"/>
        <w:ind w:left="120" w:right="0" w:firstLine="0"/>
        <w:jc w:val="left"/>
        <w:rPr>
          <w:sz w:val="18"/>
        </w:rPr>
      </w:pPr>
      <w:bookmarkStart w:name="_bookmark3" w:id="19"/>
      <w:bookmarkEnd w:id="19"/>
      <w:r>
        <w:rPr/>
      </w:r>
      <w:r>
        <w:rPr>
          <w:rFonts w:ascii="Times New Roman" w:eastAsia="Times New Roman"/>
          <w:position w:val="8"/>
          <w:sz w:val="12"/>
        </w:rPr>
        <w:t>4</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after="0"/>
        <w:jc w:val="left"/>
        <w:rPr>
          <w:sz w:val="18"/>
        </w:rPr>
        <w:sectPr>
          <w:pgSz w:w="11910" w:h="16840"/>
          <w:pgMar w:header="0" w:footer="808" w:top="1360" w:bottom="1000" w:left="900" w:right="780"/>
        </w:sectPr>
      </w:pPr>
    </w:p>
    <w:p>
      <w:pPr>
        <w:pStyle w:val="BodyText"/>
        <w:spacing w:line="237" w:lineRule="auto" w:before="8"/>
        <w:ind w:right="3699" w:hanging="421"/>
      </w:pPr>
      <w:r>
        <w:rPr/>
        <w:t>同约定的重大疾病或按照我们相关规定续保的，不受等待期的限制。等待期由您在投保时与我们协商确定并在保险单上载明。</w:t>
      </w:r>
    </w:p>
    <w:p>
      <w:pPr>
        <w:pStyle w:val="BodyText"/>
        <w:spacing w:before="3"/>
        <w:ind w:left="0"/>
        <w:rPr>
          <w:sz w:val="24"/>
        </w:rPr>
      </w:pPr>
    </w:p>
    <w:p>
      <w:pPr>
        <w:pStyle w:val="Heading2"/>
      </w:pPr>
      <w:bookmarkStart w:name="_TOC_250015" w:id="20"/>
      <w:bookmarkStart w:name="责任免除" w:id="21"/>
      <w:r>
        <w:rPr>
          <w:b w:val="0"/>
        </w:rPr>
      </w:r>
      <w:bookmarkEnd w:id="20"/>
      <w:r>
        <w:rPr/>
        <w:t>第七条 责任免除</w:t>
      </w:r>
    </w:p>
    <w:p>
      <w:pPr>
        <w:pStyle w:val="BodyText"/>
        <w:spacing w:before="7"/>
        <w:ind w:left="0"/>
        <w:rPr>
          <w:rFonts w:ascii="等线"/>
          <w:b/>
          <w:sz w:val="22"/>
        </w:rPr>
      </w:pPr>
    </w:p>
    <w:p>
      <w:pPr>
        <w:spacing w:line="230" w:lineRule="auto" w:before="0"/>
        <w:ind w:left="120" w:right="111" w:firstLine="422"/>
        <w:jc w:val="left"/>
        <w:rPr>
          <w:rFonts w:ascii="等线" w:eastAsia="等线" w:hint="eastAsia"/>
          <w:b/>
          <w:sz w:val="21"/>
        </w:rPr>
      </w:pPr>
      <w:r>
        <w:rPr>
          <w:rFonts w:ascii="等线" w:eastAsia="等线" w:hint="eastAsia"/>
          <w:b/>
          <w:spacing w:val="-4"/>
          <w:sz w:val="21"/>
        </w:rPr>
        <w:t>因下列任何情形之一导致被保险人患本合同第二十一条所定义的重大疾病，我们不承担给付保险金的保险责任：</w:t>
      </w:r>
    </w:p>
    <w:p>
      <w:pPr>
        <w:spacing w:line="230" w:lineRule="auto" w:before="0"/>
        <w:ind w:left="540" w:right="1892" w:firstLine="0"/>
        <w:jc w:val="left"/>
        <w:rPr>
          <w:rFonts w:ascii="等线" w:eastAsia="等线" w:hint="eastAsia"/>
          <w:b/>
          <w:sz w:val="21"/>
        </w:rPr>
      </w:pPr>
      <w:r>
        <w:rPr>
          <w:rFonts w:ascii="等线" w:eastAsia="等线" w:hint="eastAsia"/>
          <w:b/>
          <w:sz w:val="21"/>
        </w:rPr>
        <w:t>一、 被保险人患未告知的既往症及保险单中特别约定我们不承担保险责任的事项； 二、  投保人对被保险人的故意杀害、故意伤害；</w:t>
      </w:r>
    </w:p>
    <w:p>
      <w:pPr>
        <w:spacing w:line="265" w:lineRule="exact" w:before="4"/>
        <w:ind w:left="540" w:right="0" w:firstLine="0"/>
        <w:jc w:val="left"/>
        <w:rPr>
          <w:rFonts w:ascii="等线" w:eastAsia="等线" w:hint="eastAsia"/>
          <w:b/>
          <w:sz w:val="21"/>
        </w:rPr>
      </w:pPr>
      <w:r>
        <w:rPr>
          <w:rFonts w:ascii="等线" w:eastAsia="等线" w:hint="eastAsia"/>
          <w:b/>
          <w:sz w:val="21"/>
        </w:rPr>
        <w:t>三、  被保险人故意犯罪或抗拒依法采取的刑事强制措施；</w:t>
      </w:r>
    </w:p>
    <w:p>
      <w:pPr>
        <w:spacing w:line="220" w:lineRule="auto" w:before="16"/>
        <w:ind w:left="540" w:right="1047" w:firstLine="0"/>
        <w:jc w:val="left"/>
        <w:rPr>
          <w:rFonts w:ascii="等线" w:eastAsia="等线" w:hint="eastAsia"/>
          <w:b/>
          <w:sz w:val="21"/>
        </w:rPr>
      </w:pPr>
      <w:r>
        <w:rPr>
          <w:rFonts w:ascii="等线" w:eastAsia="等线" w:hint="eastAsia"/>
          <w:b/>
          <w:spacing w:val="-3"/>
          <w:sz w:val="21"/>
        </w:rPr>
        <w:t>四、 被保险人自杀或故意自伤，但被保险人自杀或故意自伤时为无民事行为能力人的除外； 五、  被保险人殴斗、醉酒，主动服用、吸食或注射</w:t>
      </w:r>
      <w:r>
        <w:rPr>
          <w:rFonts w:ascii="黑体" w:eastAsia="黑体" w:hint="eastAsia"/>
          <w:b/>
          <w:spacing w:val="2"/>
          <w:sz w:val="21"/>
        </w:rPr>
        <w:t>毒品</w:t>
      </w:r>
      <w:hyperlink w:history="true" w:anchor="_bookmark4">
        <w:r>
          <w:rPr>
            <w:rFonts w:ascii="黑体" w:eastAsia="黑体" w:hint="eastAsia"/>
            <w:b/>
            <w:position w:val="11"/>
            <w:sz w:val="11"/>
          </w:rPr>
          <w:t>5</w:t>
        </w:r>
      </w:hyperlink>
      <w:r>
        <w:rPr>
          <w:rFonts w:ascii="等线" w:eastAsia="等线" w:hint="eastAsia"/>
          <w:b/>
          <w:sz w:val="21"/>
        </w:rPr>
        <w:t>；</w:t>
      </w:r>
    </w:p>
    <w:p>
      <w:pPr>
        <w:spacing w:line="220" w:lineRule="auto" w:before="3"/>
        <w:ind w:left="540" w:right="1827" w:firstLine="0"/>
        <w:jc w:val="left"/>
        <w:rPr>
          <w:rFonts w:ascii="等线" w:eastAsia="等线" w:hint="eastAsia"/>
          <w:b/>
          <w:sz w:val="21"/>
        </w:rPr>
      </w:pPr>
      <w:r>
        <w:rPr>
          <w:rFonts w:ascii="等线" w:eastAsia="等线" w:hint="eastAsia"/>
          <w:b/>
          <w:sz w:val="21"/>
        </w:rPr>
        <w:t>六、 被保险人</w:t>
      </w:r>
      <w:r>
        <w:rPr>
          <w:rFonts w:ascii="黑体" w:eastAsia="黑体" w:hint="eastAsia"/>
          <w:b/>
          <w:sz w:val="21"/>
        </w:rPr>
        <w:t>酒后驾驶</w:t>
      </w:r>
      <w:hyperlink w:history="true" w:anchor="_bookmark4">
        <w:r>
          <w:rPr>
            <w:rFonts w:ascii="黑体" w:eastAsia="黑体" w:hint="eastAsia"/>
            <w:b/>
            <w:position w:val="11"/>
            <w:sz w:val="11"/>
          </w:rPr>
          <w:t>6</w:t>
        </w:r>
      </w:hyperlink>
      <w:r>
        <w:rPr>
          <w:rFonts w:ascii="等线" w:eastAsia="等线" w:hint="eastAsia"/>
          <w:b/>
          <w:sz w:val="21"/>
        </w:rPr>
        <w:t>、</w:t>
      </w:r>
      <w:r>
        <w:rPr>
          <w:rFonts w:ascii="黑体" w:eastAsia="黑体" w:hint="eastAsia"/>
          <w:b/>
          <w:sz w:val="21"/>
        </w:rPr>
        <w:t>无合法有效驾驶证驾驶</w:t>
      </w:r>
      <w:hyperlink w:history="true" w:anchor="_bookmark4">
        <w:r>
          <w:rPr>
            <w:rFonts w:ascii="黑体" w:eastAsia="黑体" w:hint="eastAsia"/>
            <w:b/>
            <w:position w:val="11"/>
            <w:sz w:val="11"/>
          </w:rPr>
          <w:t>7</w:t>
        </w:r>
      </w:hyperlink>
      <w:r>
        <w:rPr>
          <w:rFonts w:ascii="等线" w:eastAsia="等线" w:hint="eastAsia"/>
          <w:b/>
          <w:sz w:val="21"/>
        </w:rPr>
        <w:t>或驾驶</w:t>
      </w:r>
      <w:r>
        <w:rPr>
          <w:rFonts w:ascii="黑体" w:eastAsia="黑体" w:hint="eastAsia"/>
          <w:b/>
          <w:sz w:val="21"/>
        </w:rPr>
        <w:t>无有效行驶证</w:t>
      </w:r>
      <w:hyperlink w:history="true" w:anchor="_bookmark4">
        <w:r>
          <w:rPr>
            <w:rFonts w:ascii="黑体" w:eastAsia="黑体" w:hint="eastAsia"/>
            <w:b/>
            <w:position w:val="11"/>
            <w:sz w:val="11"/>
          </w:rPr>
          <w:t>8</w:t>
        </w:r>
      </w:hyperlink>
      <w:r>
        <w:rPr>
          <w:rFonts w:ascii="等线" w:eastAsia="等线" w:hint="eastAsia"/>
          <w:b/>
          <w:sz w:val="21"/>
        </w:rPr>
        <w:t>的</w:t>
      </w:r>
      <w:r>
        <w:rPr>
          <w:rFonts w:ascii="黑体" w:eastAsia="黑体" w:hint="eastAsia"/>
          <w:b/>
          <w:sz w:val="21"/>
        </w:rPr>
        <w:t>机动车</w:t>
      </w:r>
      <w:hyperlink w:history="true" w:anchor="_bookmark4">
        <w:r>
          <w:rPr>
            <w:rFonts w:ascii="黑体" w:eastAsia="黑体" w:hint="eastAsia"/>
            <w:b/>
            <w:position w:val="11"/>
            <w:sz w:val="11"/>
          </w:rPr>
          <w:t>9</w:t>
        </w:r>
      </w:hyperlink>
      <w:r>
        <w:rPr>
          <w:rFonts w:ascii="等线" w:eastAsia="等线" w:hint="eastAsia"/>
          <w:b/>
          <w:sz w:val="21"/>
        </w:rPr>
        <w:t>； 七、  被保险人的</w:t>
      </w:r>
      <w:r>
        <w:rPr>
          <w:rFonts w:ascii="黑体" w:eastAsia="黑体" w:hint="eastAsia"/>
          <w:b/>
          <w:sz w:val="21"/>
        </w:rPr>
        <w:t>遗传性疾病</w:t>
      </w:r>
      <w:hyperlink w:history="true" w:anchor="_bookmark4">
        <w:r>
          <w:rPr>
            <w:rFonts w:ascii="黑体" w:eastAsia="黑体" w:hint="eastAsia"/>
            <w:b/>
            <w:position w:val="11"/>
            <w:sz w:val="11"/>
          </w:rPr>
          <w:t>10</w:t>
        </w:r>
      </w:hyperlink>
      <w:r>
        <w:rPr>
          <w:rFonts w:ascii="等线" w:eastAsia="等线" w:hint="eastAsia"/>
          <w:b/>
          <w:sz w:val="21"/>
        </w:rPr>
        <w:t>，</w:t>
      </w:r>
      <w:r>
        <w:rPr>
          <w:rFonts w:ascii="黑体" w:eastAsia="黑体" w:hint="eastAsia"/>
          <w:b/>
          <w:sz w:val="21"/>
        </w:rPr>
        <w:t>先天性畸形、变形或染色体异常</w:t>
      </w:r>
      <w:hyperlink w:history="true" w:anchor="_bookmark4">
        <w:r>
          <w:rPr>
            <w:rFonts w:ascii="黑体" w:eastAsia="黑体" w:hint="eastAsia"/>
            <w:b/>
            <w:position w:val="11"/>
            <w:sz w:val="11"/>
          </w:rPr>
          <w:t>11</w:t>
        </w:r>
      </w:hyperlink>
      <w:r>
        <w:rPr>
          <w:rFonts w:ascii="等线" w:eastAsia="等线" w:hint="eastAsia"/>
          <w:b/>
          <w:sz w:val="21"/>
        </w:rPr>
        <w:t>；</w:t>
      </w:r>
    </w:p>
    <w:p>
      <w:pPr>
        <w:spacing w:line="228" w:lineRule="auto" w:before="0"/>
        <w:ind w:left="540" w:right="5307" w:firstLine="0"/>
        <w:jc w:val="left"/>
        <w:rPr>
          <w:rFonts w:ascii="等线" w:eastAsia="等线" w:hint="eastAsia"/>
          <w:b/>
          <w:sz w:val="21"/>
        </w:rPr>
      </w:pPr>
      <w:r>
        <w:rPr>
          <w:rFonts w:ascii="等线" w:eastAsia="等线" w:hint="eastAsia"/>
          <w:b/>
          <w:sz w:val="21"/>
        </w:rPr>
        <w:t>八、 </w:t>
      </w:r>
      <w:r>
        <w:rPr>
          <w:rFonts w:ascii="黑体" w:eastAsia="黑体" w:hint="eastAsia"/>
          <w:b/>
          <w:sz w:val="21"/>
        </w:rPr>
        <w:t>战争</w:t>
      </w:r>
      <w:hyperlink w:history="true" w:anchor="_bookmark4">
        <w:r>
          <w:rPr>
            <w:rFonts w:ascii="黑体" w:eastAsia="黑体" w:hint="eastAsia"/>
            <w:b/>
            <w:position w:val="11"/>
            <w:sz w:val="11"/>
          </w:rPr>
          <w:t>12</w:t>
        </w:r>
      </w:hyperlink>
      <w:r>
        <w:rPr>
          <w:rFonts w:ascii="等线" w:eastAsia="等线" w:hint="eastAsia"/>
          <w:b/>
          <w:sz w:val="21"/>
        </w:rPr>
        <w:t>、</w:t>
      </w:r>
      <w:r>
        <w:rPr>
          <w:rFonts w:ascii="黑体" w:eastAsia="黑体" w:hint="eastAsia"/>
          <w:b/>
          <w:sz w:val="21"/>
        </w:rPr>
        <w:t>军事冲突</w:t>
      </w:r>
      <w:hyperlink w:history="true" w:anchor="_bookmark4">
        <w:r>
          <w:rPr>
            <w:rFonts w:ascii="黑体" w:eastAsia="黑体" w:hint="eastAsia"/>
            <w:b/>
            <w:position w:val="11"/>
            <w:sz w:val="11"/>
          </w:rPr>
          <w:t>13</w:t>
        </w:r>
      </w:hyperlink>
      <w:r>
        <w:rPr>
          <w:rFonts w:ascii="等线" w:eastAsia="等线" w:hint="eastAsia"/>
          <w:b/>
          <w:sz w:val="21"/>
        </w:rPr>
        <w:t>、</w:t>
      </w:r>
      <w:r>
        <w:rPr>
          <w:rFonts w:ascii="黑体" w:eastAsia="黑体" w:hint="eastAsia"/>
          <w:b/>
          <w:sz w:val="21"/>
        </w:rPr>
        <w:t>暴乱</w:t>
      </w:r>
      <w:hyperlink w:history="true" w:anchor="_bookmark4">
        <w:r>
          <w:rPr>
            <w:rFonts w:ascii="黑体" w:eastAsia="黑体" w:hint="eastAsia"/>
            <w:b/>
            <w:position w:val="11"/>
            <w:sz w:val="11"/>
          </w:rPr>
          <w:t>14</w:t>
        </w:r>
      </w:hyperlink>
      <w:r>
        <w:rPr>
          <w:rFonts w:ascii="等线" w:eastAsia="等线" w:hint="eastAsia"/>
          <w:b/>
          <w:sz w:val="21"/>
        </w:rPr>
        <w:t>或武装叛乱； 九、  核爆炸、核辐射或核污染。</w:t>
      </w:r>
    </w:p>
    <w:p>
      <w:pPr>
        <w:spacing w:line="262" w:lineRule="exact" w:before="5"/>
        <w:ind w:left="540" w:right="0" w:firstLine="0"/>
        <w:jc w:val="left"/>
        <w:rPr>
          <w:rFonts w:ascii="等线" w:eastAsia="等线" w:hint="eastAsia"/>
          <w:b/>
          <w:sz w:val="21"/>
        </w:rPr>
      </w:pPr>
      <w:r>
        <w:rPr>
          <w:rFonts w:ascii="等线" w:eastAsia="等线" w:hint="eastAsia"/>
          <w:b/>
          <w:sz w:val="21"/>
        </w:rPr>
        <w:t>十、  被保险人未遵医嘱，私自使用药物，但按使用说明的规定使用</w:t>
      </w:r>
      <w:r>
        <w:rPr>
          <w:rFonts w:ascii="黑体" w:eastAsia="黑体" w:hint="eastAsia"/>
          <w:b/>
          <w:sz w:val="21"/>
        </w:rPr>
        <w:t>非处方药</w:t>
      </w:r>
      <w:hyperlink w:history="true" w:anchor="_bookmark4">
        <w:r>
          <w:rPr>
            <w:rFonts w:ascii="黑体" w:eastAsia="黑体" w:hint="eastAsia"/>
            <w:b/>
            <w:position w:val="11"/>
            <w:sz w:val="11"/>
          </w:rPr>
          <w:t>15</w:t>
        </w:r>
      </w:hyperlink>
      <w:r>
        <w:rPr>
          <w:rFonts w:ascii="等线" w:eastAsia="等线" w:hint="eastAsia"/>
          <w:b/>
          <w:sz w:val="21"/>
        </w:rPr>
        <w:t>不在此限；</w:t>
      </w:r>
    </w:p>
    <w:p>
      <w:pPr>
        <w:spacing w:line="228" w:lineRule="auto" w:before="2"/>
        <w:ind w:left="120" w:right="104" w:firstLine="420"/>
        <w:jc w:val="left"/>
        <w:rPr>
          <w:rFonts w:ascii="等线" w:eastAsia="等线" w:hint="eastAsia"/>
          <w:b/>
          <w:sz w:val="21"/>
        </w:rPr>
      </w:pPr>
      <w:r>
        <w:rPr>
          <w:rFonts w:ascii="等线" w:eastAsia="等线" w:hint="eastAsia"/>
          <w:b/>
          <w:sz w:val="21"/>
        </w:rPr>
        <w:t>十一、 被保险人参加</w:t>
      </w:r>
      <w:r>
        <w:rPr>
          <w:rFonts w:ascii="黑体" w:eastAsia="黑体" w:hint="eastAsia"/>
          <w:b/>
          <w:sz w:val="21"/>
        </w:rPr>
        <w:t>潜水</w:t>
      </w:r>
      <w:hyperlink w:history="true" w:anchor="_bookmark4">
        <w:r>
          <w:rPr>
            <w:rFonts w:ascii="黑体" w:eastAsia="黑体" w:hint="eastAsia"/>
            <w:b/>
            <w:position w:val="11"/>
            <w:sz w:val="11"/>
          </w:rPr>
          <w:t>16</w:t>
        </w:r>
      </w:hyperlink>
      <w:r>
        <w:rPr>
          <w:rFonts w:ascii="等线" w:eastAsia="等线" w:hint="eastAsia"/>
          <w:b/>
          <w:sz w:val="21"/>
        </w:rPr>
        <w:t>、跳伞、</w:t>
      </w:r>
      <w:r>
        <w:rPr>
          <w:rFonts w:ascii="黑体" w:eastAsia="黑体" w:hint="eastAsia"/>
          <w:b/>
          <w:sz w:val="21"/>
        </w:rPr>
        <w:t>攀岩</w:t>
      </w:r>
      <w:hyperlink w:history="true" w:anchor="_bookmark4">
        <w:r>
          <w:rPr>
            <w:rFonts w:ascii="黑体" w:eastAsia="黑体" w:hint="eastAsia"/>
            <w:b/>
            <w:position w:val="11"/>
            <w:sz w:val="11"/>
          </w:rPr>
          <w:t>17</w:t>
        </w:r>
      </w:hyperlink>
      <w:r>
        <w:rPr>
          <w:rFonts w:ascii="等线" w:eastAsia="等线" w:hint="eastAsia"/>
          <w:b/>
          <w:sz w:val="21"/>
        </w:rPr>
        <w:t>、</w:t>
      </w:r>
      <w:r>
        <w:rPr>
          <w:rFonts w:ascii="黑体" w:eastAsia="黑体" w:hint="eastAsia"/>
          <w:b/>
          <w:sz w:val="21"/>
        </w:rPr>
        <w:t>探险</w:t>
      </w:r>
      <w:hyperlink w:history="true" w:anchor="_bookmark4">
        <w:r>
          <w:rPr>
            <w:rFonts w:ascii="黑体" w:eastAsia="黑体" w:hint="eastAsia"/>
            <w:b/>
            <w:position w:val="11"/>
            <w:sz w:val="11"/>
          </w:rPr>
          <w:t>18</w:t>
        </w:r>
      </w:hyperlink>
      <w:r>
        <w:rPr>
          <w:rFonts w:ascii="等线" w:eastAsia="等线" w:hint="eastAsia"/>
          <w:b/>
          <w:sz w:val="21"/>
        </w:rPr>
        <w:t>、摔跤、</w:t>
      </w:r>
      <w:r>
        <w:rPr>
          <w:rFonts w:ascii="黑体" w:eastAsia="黑体" w:hint="eastAsia"/>
          <w:b/>
          <w:sz w:val="21"/>
        </w:rPr>
        <w:t>武术比赛</w:t>
      </w:r>
      <w:hyperlink w:history="true" w:anchor="_bookmark4">
        <w:r>
          <w:rPr>
            <w:rFonts w:ascii="黑体" w:eastAsia="黑体" w:hint="eastAsia"/>
            <w:b/>
            <w:position w:val="11"/>
            <w:sz w:val="11"/>
          </w:rPr>
          <w:t>19</w:t>
        </w:r>
      </w:hyperlink>
      <w:r>
        <w:rPr>
          <w:rFonts w:ascii="等线" w:eastAsia="等线" w:hint="eastAsia"/>
          <w:b/>
          <w:sz w:val="21"/>
        </w:rPr>
        <w:t>、</w:t>
      </w:r>
      <w:r>
        <w:rPr>
          <w:rFonts w:ascii="黑体" w:eastAsia="黑体" w:hint="eastAsia"/>
          <w:b/>
          <w:sz w:val="21"/>
        </w:rPr>
        <w:t>特技表演</w:t>
      </w:r>
      <w:hyperlink w:history="true" w:anchor="_bookmark4">
        <w:r>
          <w:rPr>
            <w:rFonts w:ascii="黑体" w:eastAsia="黑体" w:hint="eastAsia"/>
            <w:b/>
            <w:position w:val="11"/>
            <w:sz w:val="11"/>
          </w:rPr>
          <w:t>20</w:t>
        </w:r>
      </w:hyperlink>
      <w:r>
        <w:rPr>
          <w:rFonts w:ascii="等线" w:eastAsia="等线" w:hint="eastAsia"/>
          <w:b/>
          <w:sz w:val="21"/>
        </w:rPr>
        <w:t>、赛马、赛车等高风险运动；</w:t>
      </w:r>
    </w:p>
    <w:p>
      <w:pPr>
        <w:spacing w:line="220" w:lineRule="auto" w:before="9"/>
        <w:ind w:left="120" w:right="111" w:firstLine="422"/>
        <w:jc w:val="left"/>
        <w:rPr>
          <w:rFonts w:ascii="等线" w:eastAsia="等线" w:hint="eastAsia"/>
          <w:b/>
          <w:sz w:val="21"/>
        </w:rPr>
      </w:pPr>
      <w:r>
        <w:rPr>
          <w:rFonts w:ascii="等线" w:eastAsia="等线" w:hint="eastAsia"/>
          <w:b/>
          <w:spacing w:val="-5"/>
          <w:sz w:val="21"/>
        </w:rPr>
        <w:t>发生上述第二项情形导致被保险人发生本合同第二十一条所定义的重大疾病的，本合同终止，我们向其他权利人退还本合同的</w:t>
      </w:r>
      <w:r>
        <w:rPr>
          <w:rFonts w:ascii="黑体" w:eastAsia="黑体" w:hint="eastAsia"/>
          <w:b/>
          <w:spacing w:val="-1"/>
          <w:sz w:val="21"/>
        </w:rPr>
        <w:t>未满期净保险费</w:t>
      </w:r>
      <w:hyperlink w:history="true" w:anchor="_bookmark4">
        <w:r>
          <w:rPr>
            <w:rFonts w:ascii="黑体" w:eastAsia="黑体" w:hint="eastAsia"/>
            <w:b/>
            <w:position w:val="11"/>
            <w:sz w:val="11"/>
          </w:rPr>
          <w:t>21</w:t>
        </w:r>
      </w:hyperlink>
      <w:r>
        <w:rPr>
          <w:rFonts w:ascii="等线" w:eastAsia="等线" w:hint="eastAsia"/>
          <w:b/>
          <w:sz w:val="21"/>
        </w:rPr>
        <w:t>。</w:t>
      </w:r>
    </w:p>
    <w:p>
      <w:pPr>
        <w:spacing w:line="274" w:lineRule="exact" w:before="0"/>
        <w:ind w:left="542" w:right="0" w:firstLine="0"/>
        <w:jc w:val="left"/>
        <w:rPr>
          <w:rFonts w:ascii="等线" w:eastAsia="等线" w:hint="eastAsia"/>
          <w:b/>
          <w:sz w:val="21"/>
        </w:rPr>
      </w:pPr>
      <w:r>
        <w:rPr>
          <w:rFonts w:ascii="等线" w:eastAsia="等线" w:hint="eastAsia"/>
          <w:b/>
          <w:sz w:val="21"/>
        </w:rPr>
        <w:t>发生上述其他情形导致被保险人发生本合同第二十一条所定义的重大疾病的，本合同终止，我们向您退</w:t>
      </w:r>
    </w:p>
    <w:p>
      <w:pPr>
        <w:pStyle w:val="BodyText"/>
        <w:ind w:left="0"/>
        <w:rPr>
          <w:rFonts w:ascii="等线"/>
          <w:b/>
          <w:sz w:val="24"/>
        </w:rPr>
      </w:pPr>
      <w:r>
        <w:rPr/>
        <w:pict>
          <v:line style="position:absolute;mso-position-horizontal-relative:page;mso-position-vertical-relative:paragraph;z-index:1096;mso-wrap-distance-left:0;mso-wrap-distance-right:0" from="51pt,18.586893pt" to="503.759pt,18.586893pt" stroked="true" strokeweight=".48pt" strokecolor="#000000">
            <v:stroke dashstyle="solid"/>
            <w10:wrap type="topAndBottom"/>
          </v:line>
        </w:pict>
      </w:r>
    </w:p>
    <w:p>
      <w:pPr>
        <w:spacing w:line="242" w:lineRule="exact" w:before="39"/>
        <w:ind w:left="120" w:right="0" w:firstLine="0"/>
        <w:jc w:val="left"/>
        <w:rPr>
          <w:sz w:val="18"/>
        </w:rPr>
      </w:pPr>
      <w:bookmarkStart w:name="_bookmark4" w:id="22"/>
      <w:bookmarkEnd w:id="22"/>
      <w:r>
        <w:rPr/>
      </w:r>
      <w:r>
        <w:rPr>
          <w:sz w:val="18"/>
        </w:rPr>
        <w:t>伤害或身故。</w:t>
      </w:r>
      <w:r>
        <w:rPr>
          <w:rFonts w:ascii="等线" w:eastAsia="等线" w:hint="eastAsia"/>
          <w:b/>
          <w:sz w:val="18"/>
        </w:rPr>
        <w:t>猝死不属于意外伤害</w:t>
      </w:r>
      <w:r>
        <w:rPr>
          <w:sz w:val="18"/>
        </w:rPr>
        <w:t>。</w:t>
      </w:r>
    </w:p>
    <w:p>
      <w:pPr>
        <w:spacing w:line="225" w:lineRule="exact" w:before="0"/>
        <w:ind w:left="120" w:right="0" w:firstLine="0"/>
        <w:jc w:val="left"/>
        <w:rPr>
          <w:sz w:val="18"/>
        </w:rPr>
      </w:pPr>
      <w:r>
        <w:rPr>
          <w:rFonts w:ascii="Times New Roman" w:eastAsia="Times New Roman"/>
          <w:position w:val="8"/>
          <w:sz w:val="12"/>
        </w:rPr>
        <w:t>5</w:t>
      </w:r>
      <w:r>
        <w:rPr>
          <w:rFonts w:ascii="黑体" w:eastAsia="黑体" w:hint="eastAsia"/>
          <w:b/>
          <w:sz w:val="18"/>
        </w:rPr>
        <w:t>毒品</w:t>
      </w:r>
      <w:r>
        <w:rPr>
          <w:sz w:val="18"/>
        </w:rPr>
        <w:t>：指中华人民共和国刑法规定的鸦片、海洛因、甲基苯丙胺（冰毒</w:t>
      </w:r>
      <w:r>
        <w:rPr>
          <w:spacing w:val="-92"/>
          <w:sz w:val="18"/>
        </w:rPr>
        <w:t>）</w:t>
      </w:r>
      <w:r>
        <w:rPr>
          <w:sz w:val="18"/>
        </w:rPr>
        <w:t>、吗啡、大麻、可卡因以及国家规定管制的其他能够</w:t>
      </w:r>
    </w:p>
    <w:p>
      <w:pPr>
        <w:spacing w:line="233" w:lineRule="exact" w:before="0"/>
        <w:ind w:left="119" w:right="0" w:firstLine="0"/>
        <w:jc w:val="left"/>
        <w:rPr>
          <w:sz w:val="18"/>
        </w:rPr>
      </w:pPr>
      <w:r>
        <w:rPr>
          <w:sz w:val="18"/>
        </w:rPr>
        <w:t>使人形成瘾癖的麻醉药品和精神药品，但不包括由医生开具并遵医嘱使用的用于治疗疾病但含有毒品成分的处方药品。</w:t>
      </w:r>
    </w:p>
    <w:p>
      <w:pPr>
        <w:spacing w:line="234" w:lineRule="exact" w:before="0"/>
        <w:ind w:left="120" w:right="0" w:firstLine="0"/>
        <w:jc w:val="left"/>
        <w:rPr>
          <w:sz w:val="18"/>
        </w:rPr>
      </w:pPr>
      <w:r>
        <w:rPr>
          <w:rFonts w:ascii="Times New Roman" w:eastAsia="Times New Roman"/>
          <w:position w:val="8"/>
          <w:sz w:val="12"/>
        </w:rPr>
        <w:t>6</w:t>
      </w:r>
      <w:r>
        <w:rPr>
          <w:rFonts w:ascii="黑体" w:eastAsia="黑体" w:hint="eastAsia"/>
          <w:b/>
          <w:sz w:val="18"/>
        </w:rPr>
        <w:t>酒后驾驶</w:t>
      </w:r>
      <w:r>
        <w:rPr>
          <w:sz w:val="18"/>
        </w:rPr>
        <w:t>：指经检测或鉴定，发生事故时车辆驾驶人员每百毫升血液中的酒精含量达到或超过一定的标准，公安机关交通管理</w:t>
      </w:r>
    </w:p>
    <w:p>
      <w:pPr>
        <w:spacing w:line="234" w:lineRule="exact" w:before="0"/>
        <w:ind w:left="119" w:right="0" w:firstLine="0"/>
        <w:jc w:val="left"/>
        <w:rPr>
          <w:sz w:val="18"/>
        </w:rPr>
      </w:pPr>
      <w:r>
        <w:rPr>
          <w:sz w:val="18"/>
        </w:rPr>
        <w:t>部门依据《道路交通安全法》的规定认定为饮酒后驾驶或醉酒后驾驶。</w:t>
      </w:r>
    </w:p>
    <w:p>
      <w:pPr>
        <w:spacing w:line="233" w:lineRule="exact" w:before="0"/>
        <w:ind w:left="120" w:right="0" w:firstLine="0"/>
        <w:jc w:val="left"/>
        <w:rPr>
          <w:sz w:val="18"/>
        </w:rPr>
      </w:pPr>
      <w:r>
        <w:rPr>
          <w:rFonts w:ascii="Times New Roman" w:eastAsia="Times New Roman"/>
          <w:w w:val="95"/>
          <w:position w:val="8"/>
          <w:sz w:val="12"/>
        </w:rPr>
        <w:t>7</w:t>
      </w:r>
      <w:r>
        <w:rPr>
          <w:rFonts w:ascii="黑体" w:eastAsia="黑体" w:hint="eastAsia"/>
          <w:b/>
          <w:w w:val="95"/>
          <w:sz w:val="18"/>
        </w:rPr>
        <w:t>无合法有效驾驶证驾驶</w:t>
      </w:r>
      <w:r>
        <w:rPr>
          <w:w w:val="95"/>
          <w:sz w:val="18"/>
        </w:rPr>
        <w:t>：指下列情形之一：</w:t>
      </w:r>
    </w:p>
    <w:p>
      <w:pPr>
        <w:spacing w:line="233" w:lineRule="exact" w:before="0"/>
        <w:ind w:left="120" w:right="0" w:firstLine="0"/>
        <w:jc w:val="left"/>
        <w:rPr>
          <w:sz w:val="18"/>
        </w:rPr>
      </w:pPr>
      <w:r>
        <w:rPr>
          <w:sz w:val="18"/>
        </w:rPr>
        <w:t>（1）没有取得驾驶资格；</w:t>
      </w:r>
    </w:p>
    <w:p>
      <w:pPr>
        <w:spacing w:line="234" w:lineRule="exact" w:before="0"/>
        <w:ind w:left="119" w:right="0" w:firstLine="0"/>
        <w:jc w:val="left"/>
        <w:rPr>
          <w:sz w:val="18"/>
        </w:rPr>
      </w:pPr>
      <w:r>
        <w:rPr>
          <w:sz w:val="18"/>
        </w:rPr>
        <w:t>（2）驾驶与驾驶证准驾车型不相符合的车辆；</w:t>
      </w:r>
    </w:p>
    <w:p>
      <w:pPr>
        <w:spacing w:line="234" w:lineRule="exact" w:before="0"/>
        <w:ind w:left="119" w:right="0" w:firstLine="0"/>
        <w:jc w:val="left"/>
        <w:rPr>
          <w:sz w:val="18"/>
        </w:rPr>
      </w:pPr>
      <w:r>
        <w:rPr>
          <w:sz w:val="18"/>
        </w:rPr>
        <w:t>（3）持审验不合格的驾驶证驾驶；</w:t>
      </w:r>
    </w:p>
    <w:p>
      <w:pPr>
        <w:spacing w:line="233" w:lineRule="exact" w:before="0"/>
        <w:ind w:left="119" w:right="0" w:firstLine="0"/>
        <w:jc w:val="left"/>
        <w:rPr>
          <w:sz w:val="18"/>
        </w:rPr>
      </w:pPr>
      <w:r>
        <w:rPr>
          <w:sz w:val="18"/>
        </w:rPr>
        <w:t>（4）持学习驾驶证学习驾车时，无教练员随车指导，或不按指定时间、路线学习驾车。</w:t>
      </w:r>
    </w:p>
    <w:p>
      <w:pPr>
        <w:spacing w:line="233" w:lineRule="exact" w:before="0"/>
        <w:ind w:left="120" w:right="0" w:firstLine="0"/>
        <w:jc w:val="left"/>
        <w:rPr>
          <w:sz w:val="18"/>
        </w:rPr>
      </w:pPr>
      <w:r>
        <w:rPr>
          <w:rFonts w:ascii="Times New Roman" w:eastAsia="Times New Roman"/>
          <w:w w:val="95"/>
          <w:position w:val="8"/>
          <w:sz w:val="12"/>
        </w:rPr>
        <w:t>8</w:t>
      </w:r>
      <w:r>
        <w:rPr>
          <w:rFonts w:ascii="黑体" w:eastAsia="黑体" w:hint="eastAsia"/>
          <w:b/>
          <w:w w:val="95"/>
          <w:sz w:val="18"/>
        </w:rPr>
        <w:t>无有效行驶证</w:t>
      </w:r>
      <w:r>
        <w:rPr>
          <w:w w:val="95"/>
          <w:sz w:val="18"/>
        </w:rPr>
        <w:t>：指下列情形之一：</w:t>
      </w:r>
    </w:p>
    <w:p>
      <w:pPr>
        <w:spacing w:line="234" w:lineRule="exact" w:before="0"/>
        <w:ind w:left="120" w:right="0" w:firstLine="0"/>
        <w:jc w:val="left"/>
        <w:rPr>
          <w:sz w:val="18"/>
        </w:rPr>
      </w:pPr>
      <w:r>
        <w:rPr>
          <w:sz w:val="18"/>
        </w:rPr>
        <w:t>（1）机动车被依法注销登记的；</w:t>
      </w:r>
    </w:p>
    <w:p>
      <w:pPr>
        <w:spacing w:line="234" w:lineRule="exact" w:before="0"/>
        <w:ind w:left="119" w:right="0" w:firstLine="0"/>
        <w:jc w:val="left"/>
        <w:rPr>
          <w:sz w:val="18"/>
        </w:rPr>
      </w:pPr>
      <w:r>
        <w:rPr>
          <w:sz w:val="18"/>
        </w:rPr>
        <w:t>（2）未依法按时进行或通过机动车安全技术检验。</w:t>
      </w:r>
    </w:p>
    <w:p>
      <w:pPr>
        <w:spacing w:line="233" w:lineRule="exact" w:before="0"/>
        <w:ind w:left="120" w:right="0" w:firstLine="0"/>
        <w:jc w:val="left"/>
        <w:rPr>
          <w:sz w:val="18"/>
        </w:rPr>
      </w:pPr>
      <w:r>
        <w:rPr>
          <w:rFonts w:ascii="Times New Roman" w:eastAsia="Times New Roman"/>
          <w:w w:val="95"/>
          <w:position w:val="8"/>
          <w:sz w:val="12"/>
        </w:rPr>
        <w:t>9</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3"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left"/>
        <w:rPr>
          <w:sz w:val="18"/>
        </w:rPr>
      </w:pPr>
      <w:r>
        <w:rPr>
          <w:sz w:val="18"/>
        </w:rPr>
        <w:t>垂直传递的特征。</w:t>
      </w:r>
    </w:p>
    <w:p>
      <w:pPr>
        <w:spacing w:line="234" w:lineRule="exact" w:before="0"/>
        <w:ind w:left="120" w:right="0" w:firstLine="0"/>
        <w:jc w:val="left"/>
        <w:rPr>
          <w:sz w:val="18"/>
        </w:rPr>
      </w:pPr>
      <w:r>
        <w:rPr>
          <w:rFonts w:ascii="Times New Roman" w:eastAsia="Times New Roman"/>
          <w:position w:val="8"/>
          <w:sz w:val="12"/>
        </w:rPr>
        <w:t>11</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line="233" w:lineRule="exact" w:before="0"/>
        <w:ind w:left="120" w:right="0" w:firstLine="0"/>
        <w:jc w:val="left"/>
        <w:rPr>
          <w:sz w:val="18"/>
        </w:rPr>
      </w:pPr>
      <w:r>
        <w:rPr>
          <w:sz w:val="18"/>
        </w:rPr>
        <w:t>照世界卫生组织《疾病和有关健康问题的国际统计分类》（ICD-10）确定。</w:t>
      </w:r>
    </w:p>
    <w:p>
      <w:pPr>
        <w:spacing w:line="234" w:lineRule="exact" w:before="0"/>
        <w:ind w:left="120" w:right="0" w:firstLine="0"/>
        <w:jc w:val="left"/>
        <w:rPr>
          <w:sz w:val="18"/>
        </w:rPr>
      </w:pPr>
      <w:r>
        <w:rPr>
          <w:rFonts w:ascii="Times New Roman" w:eastAsia="Times New Roman"/>
          <w:position w:val="8"/>
          <w:sz w:val="12"/>
        </w:rPr>
        <w:t>12</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20" w:right="0" w:firstLine="0"/>
        <w:jc w:val="left"/>
        <w:rPr>
          <w:sz w:val="18"/>
        </w:rPr>
      </w:pPr>
      <w:r>
        <w:rPr>
          <w:sz w:val="18"/>
        </w:rPr>
        <w:t>准。</w:t>
      </w:r>
    </w:p>
    <w:p>
      <w:pPr>
        <w:spacing w:line="233" w:lineRule="exact" w:before="0"/>
        <w:ind w:left="120" w:right="0" w:firstLine="0"/>
        <w:jc w:val="left"/>
        <w:rPr>
          <w:sz w:val="18"/>
        </w:rPr>
      </w:pPr>
      <w:r>
        <w:rPr>
          <w:rFonts w:ascii="Times New Roman" w:eastAsia="Times New Roman"/>
          <w:w w:val="95"/>
          <w:position w:val="8"/>
          <w:sz w:val="12"/>
        </w:rPr>
        <w:t>13</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20" w:right="0" w:firstLine="0"/>
        <w:jc w:val="left"/>
        <w:rPr>
          <w:sz w:val="18"/>
        </w:rPr>
      </w:pPr>
      <w:r>
        <w:rPr>
          <w:rFonts w:ascii="Times New Roman" w:eastAsia="Times New Roman"/>
          <w:position w:val="8"/>
          <w:sz w:val="12"/>
        </w:rPr>
        <w:t>14</w:t>
      </w:r>
      <w:r>
        <w:rPr>
          <w:rFonts w:ascii="黑体" w:eastAsia="黑体" w:hint="eastAsia"/>
          <w:b/>
          <w:sz w:val="18"/>
        </w:rPr>
        <w:t>暴乱</w:t>
      </w:r>
      <w:r>
        <w:rPr>
          <w:sz w:val="18"/>
        </w:rPr>
        <w:t>：指破坏社会秩序的武装骚动，以政府宣布为准。</w:t>
      </w:r>
    </w:p>
    <w:p>
      <w:pPr>
        <w:spacing w:line="234" w:lineRule="exact" w:before="0"/>
        <w:ind w:left="120" w:right="0" w:firstLine="0"/>
        <w:jc w:val="left"/>
        <w:rPr>
          <w:sz w:val="18"/>
        </w:rPr>
      </w:pPr>
      <w:r>
        <w:rPr>
          <w:rFonts w:ascii="Times New Roman" w:eastAsia="Times New Roman"/>
          <w:w w:val="95"/>
          <w:position w:val="8"/>
          <w:sz w:val="12"/>
        </w:rPr>
        <w:t>15</w:t>
      </w:r>
      <w:r>
        <w:rPr>
          <w:rFonts w:ascii="黑体" w:eastAsia="黑体" w:hint="eastAsia"/>
          <w:b/>
          <w:w w:val="95"/>
          <w:sz w:val="18"/>
        </w:rPr>
        <w:t>非处方药</w:t>
      </w:r>
      <w:r>
        <w:rPr>
          <w:w w:val="95"/>
          <w:sz w:val="18"/>
        </w:rPr>
        <w:t>：指在使用药品当时，由国务院药品监督管理部门公布的，不需要凭执业医师和执业助理医师处方，消费者可以自</w:t>
      </w:r>
    </w:p>
    <w:p>
      <w:pPr>
        <w:spacing w:line="234" w:lineRule="exact" w:before="0"/>
        <w:ind w:left="120" w:right="0" w:firstLine="0"/>
        <w:jc w:val="left"/>
        <w:rPr>
          <w:sz w:val="18"/>
        </w:rPr>
      </w:pPr>
      <w:r>
        <w:rPr>
          <w:sz w:val="18"/>
        </w:rPr>
        <w:t>行判断、购买和使用的药品。</w:t>
      </w:r>
    </w:p>
    <w:p>
      <w:pPr>
        <w:spacing w:line="233" w:lineRule="exact" w:before="0"/>
        <w:ind w:left="120" w:right="0" w:firstLine="0"/>
        <w:jc w:val="left"/>
        <w:rPr>
          <w:sz w:val="18"/>
        </w:rPr>
      </w:pPr>
      <w:r>
        <w:rPr>
          <w:rFonts w:ascii="Times New Roman" w:eastAsia="Times New Roman"/>
          <w:position w:val="8"/>
          <w:sz w:val="12"/>
        </w:rPr>
        <w:t>16</w:t>
      </w:r>
      <w:r>
        <w:rPr>
          <w:rFonts w:ascii="黑体" w:eastAsia="黑体" w:hint="eastAsia"/>
          <w:b/>
          <w:sz w:val="18"/>
        </w:rPr>
        <w:t>潜水</w:t>
      </w:r>
      <w:r>
        <w:rPr>
          <w:sz w:val="18"/>
        </w:rPr>
        <w:t>：指使用辅助呼吸器材在江、河、湖、海、水库、运河等水域进行的水下运动。</w:t>
      </w:r>
    </w:p>
    <w:p>
      <w:pPr>
        <w:spacing w:line="233" w:lineRule="exact" w:before="0"/>
        <w:ind w:left="120" w:right="0" w:firstLine="0"/>
        <w:jc w:val="left"/>
        <w:rPr>
          <w:sz w:val="18"/>
        </w:rPr>
      </w:pPr>
      <w:r>
        <w:rPr>
          <w:rFonts w:ascii="Times New Roman" w:eastAsia="Times New Roman"/>
          <w:position w:val="8"/>
          <w:sz w:val="12"/>
        </w:rPr>
        <w:t>17</w:t>
      </w:r>
      <w:r>
        <w:rPr>
          <w:rFonts w:ascii="黑体" w:eastAsia="黑体" w:hint="eastAsia"/>
          <w:b/>
          <w:sz w:val="18"/>
        </w:rPr>
        <w:t>攀岩</w:t>
      </w:r>
      <w:r>
        <w:rPr>
          <w:sz w:val="18"/>
        </w:rPr>
        <w:t>：指攀登悬崖、楼宇外墙、人造悬崖、冰崖、冰山等运动。</w:t>
      </w:r>
    </w:p>
    <w:p>
      <w:pPr>
        <w:spacing w:line="234" w:lineRule="exact" w:before="0"/>
        <w:ind w:left="120" w:right="0" w:firstLine="0"/>
        <w:jc w:val="left"/>
        <w:rPr>
          <w:sz w:val="18"/>
        </w:rPr>
      </w:pPr>
      <w:r>
        <w:rPr>
          <w:rFonts w:ascii="Times New Roman" w:eastAsia="Times New Roman"/>
          <w:position w:val="8"/>
          <w:sz w:val="12"/>
        </w:rPr>
        <w:t>18</w:t>
      </w:r>
      <w:r>
        <w:rPr>
          <w:rFonts w:ascii="黑体" w:eastAsia="黑体" w:hint="eastAsia"/>
          <w:b/>
          <w:sz w:val="18"/>
        </w:rPr>
        <w:t>探险</w:t>
      </w:r>
      <w:r>
        <w:rPr>
          <w:sz w:val="18"/>
        </w:rPr>
        <w:t>：指明知在某种特定的自然条件下有失去生命或使身体受到伤害的危险，而故意使自己置身于其中的行为，如：江河漂</w:t>
      </w:r>
    </w:p>
    <w:p>
      <w:pPr>
        <w:spacing w:line="234" w:lineRule="exact" w:before="0"/>
        <w:ind w:left="120" w:right="0" w:firstLine="0"/>
        <w:jc w:val="left"/>
        <w:rPr>
          <w:sz w:val="18"/>
        </w:rPr>
      </w:pPr>
      <w:r>
        <w:rPr>
          <w:sz w:val="18"/>
        </w:rPr>
        <w:t>流、登山、徒步穿越沙漠或人迹罕至的原始森林等活动。</w:t>
      </w:r>
    </w:p>
    <w:p>
      <w:pPr>
        <w:spacing w:line="233" w:lineRule="exact" w:before="0"/>
        <w:ind w:left="120" w:right="0" w:firstLine="0"/>
        <w:jc w:val="left"/>
        <w:rPr>
          <w:sz w:val="18"/>
        </w:rPr>
      </w:pPr>
      <w:r>
        <w:rPr>
          <w:rFonts w:ascii="Times New Roman" w:eastAsia="Times New Roman"/>
          <w:w w:val="95"/>
          <w:position w:val="8"/>
          <w:sz w:val="12"/>
        </w:rPr>
        <w:t>19</w:t>
      </w:r>
      <w:r>
        <w:rPr>
          <w:rFonts w:ascii="黑体" w:eastAsia="黑体" w:hint="eastAsia"/>
          <w:b/>
          <w:w w:val="95"/>
          <w:sz w:val="18"/>
        </w:rPr>
        <w:t>武术比赛</w:t>
      </w:r>
      <w:r>
        <w:rPr>
          <w:w w:val="95"/>
          <w:sz w:val="18"/>
        </w:rPr>
        <w:t>：指两人或两人以上对抗性柔道、空手道、跆拳道、散打、拳击等各种拳术及使用器械的对抗性比赛。</w:t>
      </w:r>
    </w:p>
    <w:p>
      <w:pPr>
        <w:spacing w:line="233" w:lineRule="exact" w:before="0"/>
        <w:ind w:left="120" w:right="0" w:firstLine="0"/>
        <w:jc w:val="left"/>
        <w:rPr>
          <w:sz w:val="18"/>
        </w:rPr>
      </w:pPr>
      <w:r>
        <w:rPr>
          <w:rFonts w:ascii="Times New Roman" w:eastAsia="Times New Roman"/>
          <w:w w:val="95"/>
          <w:position w:val="8"/>
          <w:sz w:val="12"/>
        </w:rPr>
        <w:t>20</w:t>
      </w:r>
      <w:r>
        <w:rPr>
          <w:rFonts w:ascii="黑体" w:eastAsia="黑体" w:hint="eastAsia"/>
          <w:b/>
          <w:w w:val="95"/>
          <w:sz w:val="18"/>
        </w:rPr>
        <w:t>特技表演</w:t>
      </w:r>
      <w:r>
        <w:rPr>
          <w:w w:val="95"/>
          <w:sz w:val="18"/>
        </w:rPr>
        <w:t>：指进行马术、杂技、驯兽等表演。</w:t>
      </w:r>
    </w:p>
    <w:p>
      <w:pPr>
        <w:spacing w:line="234" w:lineRule="exact" w:before="0"/>
        <w:ind w:left="120" w:right="0" w:firstLine="0"/>
        <w:jc w:val="left"/>
        <w:rPr>
          <w:sz w:val="18"/>
        </w:rPr>
      </w:pPr>
      <w:r>
        <w:rPr>
          <w:rFonts w:ascii="Times New Roman" w:hAnsi="Times New Roman" w:eastAsia="Times New Roman"/>
          <w:position w:val="8"/>
          <w:sz w:val="12"/>
        </w:rPr>
        <w:t>21</w:t>
      </w:r>
      <w:r>
        <w:rPr>
          <w:rFonts w:ascii="黑体" w:hAnsi="黑体" w:eastAsia="黑体" w:hint="eastAsia"/>
          <w:b/>
          <w:sz w:val="18"/>
        </w:rPr>
        <w:t>未满期净保险费</w:t>
      </w:r>
      <w:r>
        <w:rPr>
          <w:sz w:val="18"/>
        </w:rPr>
        <w:t>：指最后一期已交付保险费×（1-25%）×（1－该保险费所保障的已经过日数/该保险费所保障的日数）。经</w:t>
      </w:r>
    </w:p>
    <w:p>
      <w:pPr>
        <w:spacing w:before="0"/>
        <w:ind w:left="119" w:right="0" w:firstLine="0"/>
        <w:jc w:val="left"/>
        <w:rPr>
          <w:sz w:val="18"/>
        </w:rPr>
      </w:pPr>
      <w:r>
        <w:rPr>
          <w:sz w:val="18"/>
        </w:rPr>
        <w:t>过日数不足一日的按一日计算。</w:t>
      </w:r>
    </w:p>
    <w:p>
      <w:pPr>
        <w:spacing w:after="0"/>
        <w:jc w:val="left"/>
        <w:rPr>
          <w:sz w:val="18"/>
        </w:rPr>
        <w:sectPr>
          <w:pgSz w:w="11910" w:h="16840"/>
          <w:pgMar w:header="0" w:footer="808" w:top="1360" w:bottom="1000" w:left="900" w:right="880"/>
        </w:sectPr>
      </w:pPr>
    </w:p>
    <w:p>
      <w:pPr>
        <w:spacing w:before="13"/>
        <w:ind w:left="120" w:right="0" w:firstLine="0"/>
        <w:jc w:val="left"/>
        <w:rPr>
          <w:rFonts w:ascii="等线" w:eastAsia="等线" w:hint="eastAsia"/>
          <w:b/>
          <w:sz w:val="21"/>
        </w:rPr>
      </w:pPr>
      <w:r>
        <w:rPr>
          <w:rFonts w:ascii="等线" w:eastAsia="等线" w:hint="eastAsia"/>
          <w:b/>
          <w:sz w:val="21"/>
        </w:rPr>
        <w:t>还本合同的未满期净保险费。</w:t>
      </w:r>
    </w:p>
    <w:p>
      <w:pPr>
        <w:pStyle w:val="BodyText"/>
        <w:spacing w:before="6"/>
        <w:ind w:left="0"/>
        <w:rPr>
          <w:rFonts w:ascii="等线"/>
          <w:b/>
          <w:sz w:val="19"/>
        </w:rPr>
      </w:pPr>
    </w:p>
    <w:p>
      <w:pPr>
        <w:pStyle w:val="Heading1"/>
        <w:spacing w:before="26"/>
      </w:pPr>
      <w:bookmarkStart w:name="_TOC_250014" w:id="23"/>
      <w:bookmarkStart w:name="如何交纳保险费" w:id="24"/>
      <w:r>
        <w:rPr>
          <w:b w:val="0"/>
        </w:rPr>
      </w:r>
      <w:bookmarkEnd w:id="23"/>
      <w:r>
        <w:rPr/>
        <w:t>第三部分 如何交纳保险费</w:t>
      </w:r>
    </w:p>
    <w:p>
      <w:pPr>
        <w:pStyle w:val="BodyText"/>
        <w:spacing w:before="7"/>
        <w:ind w:left="0"/>
        <w:rPr>
          <w:rFonts w:ascii="等线"/>
          <w:b/>
          <w:sz w:val="19"/>
        </w:rPr>
      </w:pPr>
    </w:p>
    <w:p>
      <w:pPr>
        <w:pStyle w:val="Heading2"/>
        <w:spacing w:before="35"/>
      </w:pPr>
      <w:bookmarkStart w:name="_TOC_250013" w:id="25"/>
      <w:bookmarkStart w:name="保险费的交付" w:id="26"/>
      <w:r>
        <w:rPr>
          <w:b w:val="0"/>
        </w:rPr>
      </w:r>
      <w:bookmarkEnd w:id="25"/>
      <w:r>
        <w:rPr/>
        <w:t>第八条 保险费的交付</w:t>
      </w:r>
    </w:p>
    <w:p>
      <w:pPr>
        <w:pStyle w:val="BodyText"/>
        <w:spacing w:before="2"/>
        <w:ind w:left="0"/>
        <w:rPr>
          <w:rFonts w:ascii="等线"/>
          <w:b/>
        </w:rPr>
      </w:pPr>
    </w:p>
    <w:p>
      <w:pPr>
        <w:pStyle w:val="BodyText"/>
      </w:pPr>
      <w:r>
        <w:rPr/>
        <w:t>本合同的保险费由您在投保时一次性交清。</w:t>
      </w:r>
    </w:p>
    <w:p>
      <w:pPr>
        <w:pStyle w:val="BodyText"/>
        <w:spacing w:before="12"/>
        <w:ind w:left="0"/>
        <w:rPr>
          <w:sz w:val="23"/>
        </w:rPr>
      </w:pPr>
    </w:p>
    <w:p>
      <w:pPr>
        <w:pStyle w:val="Heading1"/>
      </w:pPr>
      <w:bookmarkStart w:name="_TOC_250012" w:id="27"/>
      <w:bookmarkStart w:name="如何申请保险金" w:id="28"/>
      <w:r>
        <w:rPr>
          <w:b w:val="0"/>
        </w:rPr>
      </w:r>
      <w:bookmarkEnd w:id="27"/>
      <w:r>
        <w:rPr/>
        <w:t>第四部分 如何申请保险金</w:t>
      </w:r>
    </w:p>
    <w:p>
      <w:pPr>
        <w:pStyle w:val="BodyText"/>
        <w:spacing w:before="1"/>
        <w:ind w:left="0"/>
        <w:rPr>
          <w:rFonts w:ascii="等线"/>
          <w:b/>
          <w:sz w:val="22"/>
        </w:rPr>
      </w:pPr>
    </w:p>
    <w:p>
      <w:pPr>
        <w:pStyle w:val="Heading2"/>
      </w:pPr>
      <w:bookmarkStart w:name="_TOC_250011" w:id="29"/>
      <w:bookmarkStart w:name="受益人" w:id="30"/>
      <w:r>
        <w:rPr>
          <w:b w:val="0"/>
        </w:rPr>
      </w:r>
      <w:bookmarkEnd w:id="29"/>
      <w:r>
        <w:rPr/>
        <w:t>第九条 受益人</w:t>
      </w:r>
    </w:p>
    <w:p>
      <w:pPr>
        <w:pStyle w:val="BodyText"/>
        <w:spacing w:before="2"/>
        <w:ind w:left="0"/>
        <w:rPr>
          <w:rFonts w:ascii="等线"/>
          <w:b/>
        </w:rPr>
      </w:pPr>
    </w:p>
    <w:p>
      <w:pPr>
        <w:spacing w:line="518" w:lineRule="auto" w:before="0"/>
        <w:ind w:left="120" w:right="4219" w:firstLine="420"/>
        <w:jc w:val="left"/>
        <w:rPr>
          <w:rFonts w:ascii="等线" w:eastAsia="等线" w:hint="eastAsia"/>
          <w:b/>
          <w:sz w:val="21"/>
        </w:rPr>
      </w:pPr>
      <w:r>
        <w:rPr>
          <w:sz w:val="21"/>
        </w:rPr>
        <w:t>除另有约定外，重大疾病保险金的受益人为被保险人本人。</w:t>
      </w:r>
      <w:bookmarkStart w:name="保险事故的通知" w:id="31"/>
      <w:bookmarkEnd w:id="31"/>
      <w:r>
        <w:rPr>
          <w:sz w:val="21"/>
        </w:rPr>
      </w:r>
      <w:r>
        <w:rPr>
          <w:rFonts w:ascii="等线" w:eastAsia="等线" w:hint="eastAsia"/>
          <w:b/>
          <w:sz w:val="21"/>
        </w:rPr>
        <w:t>第十条 保险事故的通知</w:t>
      </w:r>
    </w:p>
    <w:p>
      <w:pPr>
        <w:spacing w:line="225" w:lineRule="auto" w:before="53"/>
        <w:ind w:left="120" w:right="104" w:firstLine="420"/>
        <w:jc w:val="left"/>
        <w:rPr>
          <w:sz w:val="21"/>
        </w:rPr>
      </w:pPr>
      <w:r>
        <w:rPr>
          <w:spacing w:val="-10"/>
          <w:sz w:val="21"/>
        </w:rPr>
        <w:t>您、被保险人或受益人知道保险事故发生后，应当在 </w:t>
      </w:r>
      <w:r>
        <w:rPr>
          <w:sz w:val="21"/>
        </w:rPr>
        <w:t>10</w:t>
      </w:r>
      <w:r>
        <w:rPr>
          <w:spacing w:val="-12"/>
          <w:sz w:val="21"/>
        </w:rPr>
        <w:t> 日内通知我们。</w:t>
      </w:r>
      <w:r>
        <w:rPr>
          <w:rFonts w:ascii="等线" w:eastAsia="等线" w:hint="eastAsia"/>
          <w:b/>
          <w:spacing w:val="-6"/>
          <w:sz w:val="21"/>
        </w:rPr>
        <w:t>若您、被保险人或受益人故意或</w:t>
      </w:r>
      <w:r>
        <w:rPr>
          <w:rFonts w:ascii="等线" w:eastAsia="等线" w:hint="eastAsia"/>
          <w:b/>
          <w:sz w:val="21"/>
        </w:rPr>
        <w:t>者因重大过失未及时通知，致使保险事故的性质、原因、损失程度等难以确定的，我们对无法确定的部分， </w:t>
      </w:r>
      <w:r>
        <w:rPr>
          <w:rFonts w:ascii="等线" w:eastAsia="等线" w:hint="eastAsia"/>
          <w:b/>
          <w:spacing w:val="-2"/>
          <w:sz w:val="21"/>
        </w:rPr>
        <w:t>不承担给付保险金的责任</w:t>
      </w:r>
      <w:r>
        <w:rPr>
          <w:spacing w:val="-3"/>
          <w:sz w:val="21"/>
        </w:rPr>
        <w:t>，但我们通过其他途径已经及时知道或者应当及时知道保险事故发生的除外。</w:t>
      </w:r>
    </w:p>
    <w:p>
      <w:pPr>
        <w:pStyle w:val="BodyText"/>
        <w:spacing w:before="11"/>
        <w:ind w:left="0"/>
        <w:rPr>
          <w:sz w:val="22"/>
        </w:rPr>
      </w:pPr>
    </w:p>
    <w:p>
      <w:pPr>
        <w:pStyle w:val="Heading2"/>
      </w:pPr>
      <w:bookmarkStart w:name="_TOC_250010" w:id="32"/>
      <w:bookmarkStart w:name="诉讼时效" w:id="33"/>
      <w:r>
        <w:rPr>
          <w:b w:val="0"/>
        </w:rPr>
      </w:r>
      <w:bookmarkEnd w:id="32"/>
      <w:r>
        <w:rPr/>
        <w:t>第十一条 诉讼时效</w:t>
      </w:r>
    </w:p>
    <w:p>
      <w:pPr>
        <w:pStyle w:val="BodyText"/>
        <w:spacing w:before="2"/>
        <w:ind w:left="0"/>
        <w:rPr>
          <w:rFonts w:ascii="等线"/>
          <w:b/>
        </w:rPr>
      </w:pPr>
    </w:p>
    <w:p>
      <w:pPr>
        <w:pStyle w:val="BodyText"/>
        <w:spacing w:line="516" w:lineRule="auto"/>
        <w:ind w:left="120" w:right="106" w:firstLine="420"/>
        <w:rPr>
          <w:rFonts w:ascii="等线" w:eastAsia="等线" w:hint="eastAsia"/>
          <w:b/>
        </w:rPr>
      </w:pPr>
      <w:r>
        <w:rPr/>
        <w:t>受益人向我们请求给付保险金的诉讼时效期间为2年，自其知道或者应当知道保险事故发生之日起计算。</w:t>
      </w:r>
      <w:bookmarkStart w:name="保险金申请" w:id="34"/>
      <w:bookmarkEnd w:id="34"/>
      <w:r>
        <w:rPr/>
      </w:r>
      <w:r>
        <w:rPr>
          <w:rFonts w:ascii="等线" w:eastAsia="等线" w:hint="eastAsia"/>
          <w:b/>
        </w:rPr>
        <w:t>第十二条 保险金申请</w:t>
      </w:r>
    </w:p>
    <w:p>
      <w:pPr>
        <w:pStyle w:val="BodyText"/>
        <w:spacing w:line="273" w:lineRule="exact" w:before="39"/>
      </w:pPr>
      <w:r>
        <w:rPr/>
        <w:t>在申请保险金时，请按照下列方式办理：</w:t>
      </w:r>
    </w:p>
    <w:p>
      <w:pPr>
        <w:pStyle w:val="BodyText"/>
        <w:ind w:left="120" w:right="209" w:firstLine="424"/>
      </w:pPr>
      <w:r>
        <w:rPr/>
        <w:t>在申请重大疾病保险金时，由受益人作为申请人，申请人须填写保险金给付申请书，并提供下列证明和资料：</w:t>
      </w:r>
    </w:p>
    <w:p>
      <w:pPr>
        <w:pStyle w:val="BodyText"/>
        <w:spacing w:line="271" w:lineRule="exact" w:before="2"/>
      </w:pPr>
      <w:r>
        <w:rPr/>
        <w:t>（1）保险合同和投保人证明；</w:t>
      </w:r>
    </w:p>
    <w:p>
      <w:pPr>
        <w:spacing w:line="282" w:lineRule="exact" w:before="0"/>
        <w:ind w:left="540" w:right="0" w:firstLine="0"/>
        <w:jc w:val="left"/>
        <w:rPr>
          <w:sz w:val="21"/>
        </w:rPr>
      </w:pPr>
      <w:r>
        <w:rPr>
          <w:sz w:val="21"/>
        </w:rPr>
        <w:t>（2）申请人的</w:t>
      </w:r>
      <w:r>
        <w:rPr>
          <w:rFonts w:ascii="等线" w:eastAsia="等线" w:hint="eastAsia"/>
          <w:b/>
          <w:sz w:val="21"/>
        </w:rPr>
        <w:t>有效身份证件</w:t>
      </w:r>
      <w:hyperlink w:history="true" w:anchor="_bookmark5">
        <w:r>
          <w:rPr>
            <w:rFonts w:ascii="等线" w:eastAsia="等线" w:hint="eastAsia"/>
            <w:b/>
            <w:position w:val="11"/>
            <w:sz w:val="11"/>
          </w:rPr>
          <w:t>22</w:t>
        </w:r>
      </w:hyperlink>
      <w:r>
        <w:rPr>
          <w:sz w:val="21"/>
        </w:rPr>
        <w:t>；</w:t>
      </w:r>
    </w:p>
    <w:p>
      <w:pPr>
        <w:pStyle w:val="BodyText"/>
        <w:ind w:left="120" w:right="210" w:firstLine="420"/>
      </w:pPr>
      <w:r>
        <w:rPr>
          <w:spacing w:val="-28"/>
        </w:rPr>
        <w:t>（3）</w:t>
      </w:r>
      <w:r>
        <w:rPr>
          <w:spacing w:val="-3"/>
        </w:rPr>
        <w:t>由医院专科医生出具的疾病诊断证明书以及由医院出具的与该疾病诊断证明书相关的病理显微镜检查、血液检验及其他科学方法检验报告；若接受外科手术者，还需提供外科手术证明文件；</w:t>
      </w:r>
    </w:p>
    <w:p>
      <w:pPr>
        <w:pStyle w:val="BodyText"/>
        <w:spacing w:line="271" w:lineRule="exact" w:before="11"/>
        <w:ind w:left="539"/>
      </w:pPr>
      <w:r>
        <w:rPr/>
        <w:t>（4）与确认保险事故的性质、原因等有关的其它证明和资料。</w:t>
      </w:r>
    </w:p>
    <w:p>
      <w:pPr>
        <w:spacing w:line="516" w:lineRule="auto" w:before="155"/>
        <w:ind w:left="120" w:right="1908" w:firstLine="420"/>
        <w:jc w:val="left"/>
        <w:rPr>
          <w:rFonts w:ascii="等线" w:eastAsia="等线" w:hint="eastAsia"/>
          <w:b/>
          <w:sz w:val="21"/>
        </w:rPr>
      </w:pPr>
      <w:r>
        <w:rPr>
          <w:sz w:val="21"/>
        </w:rPr>
        <w:t>以上证明和资料不完整的，我们将及时一次性通知申请人补充提供有关证明和资料。</w:t>
      </w:r>
      <w:bookmarkStart w:name="保险金给付" w:id="35"/>
      <w:bookmarkEnd w:id="35"/>
      <w:r>
        <w:rPr>
          <w:sz w:val="21"/>
        </w:rPr>
      </w:r>
      <w:r>
        <w:rPr>
          <w:rFonts w:ascii="等线" w:eastAsia="等线" w:hint="eastAsia"/>
          <w:b/>
          <w:sz w:val="21"/>
        </w:rPr>
        <w:t>第十三条 保险金给付</w:t>
      </w:r>
    </w:p>
    <w:p>
      <w:pPr>
        <w:pStyle w:val="BodyText"/>
        <w:spacing w:line="237" w:lineRule="auto" w:before="43"/>
        <w:ind w:left="119" w:right="211" w:firstLine="420"/>
      </w:pPr>
      <w:r>
        <w:rPr>
          <w:spacing w:val="-4"/>
        </w:rPr>
        <w:t>我们在收到保险金给付申请书及合同约定的有关证明和资料后，将在</w:t>
      </w:r>
      <w:r>
        <w:rPr>
          <w:spacing w:val="-3"/>
        </w:rPr>
        <w:t>5</w:t>
      </w:r>
      <w:r>
        <w:rPr>
          <w:spacing w:val="-9"/>
        </w:rPr>
        <w:t>日内作出核定；情形复杂的，在</w:t>
      </w:r>
      <w:r>
        <w:rPr>
          <w:spacing w:val="-3"/>
        </w:rPr>
        <w:t>30 </w:t>
      </w:r>
      <w:r>
        <w:rPr>
          <w:spacing w:val="-2"/>
        </w:rPr>
        <w:t>日内作出核定。</w:t>
      </w:r>
    </w:p>
    <w:p>
      <w:pPr>
        <w:pStyle w:val="BodyText"/>
        <w:spacing w:line="272" w:lineRule="exact"/>
      </w:pPr>
      <w:r>
        <w:rPr/>
        <w:t>对属于保险责任的，我们在与受益人达成给付保险金的协议后10日内，履行给付保险金义务。</w:t>
      </w:r>
    </w:p>
    <w:p>
      <w:pPr>
        <w:pStyle w:val="BodyText"/>
        <w:spacing w:line="237" w:lineRule="auto" w:before="1"/>
        <w:ind w:left="119" w:right="226" w:firstLine="420"/>
        <w:jc w:val="both"/>
      </w:pPr>
      <w:r>
        <w:rPr/>
        <w:t>我们未及时履行前款规定义务的，除支付保险金外，应当赔偿受益人因此受到的损失。赔偿损失范围和损失计算方法：按最近一次中国人民银行公布的金融机构人民币一年期定期存款基准利率以单利方式计算逾期给付保险金的利息损失。</w:t>
      </w:r>
    </w:p>
    <w:p>
      <w:pPr>
        <w:pStyle w:val="BodyText"/>
        <w:spacing w:line="274" w:lineRule="exact"/>
      </w:pPr>
      <w:r>
        <w:rPr/>
        <w:t>对不属于保险责任的，我们自作出核定之日起3日内向受益人发出拒绝给付保险金通知书并说明理由。</w:t>
      </w:r>
    </w:p>
    <w:p>
      <w:pPr>
        <w:pStyle w:val="BodyText"/>
        <w:spacing w:before="9"/>
        <w:ind w:left="0"/>
        <w:rPr>
          <w:sz w:val="28"/>
        </w:rPr>
      </w:pPr>
      <w:r>
        <w:rPr/>
        <w:pict>
          <v:line style="position:absolute;mso-position-horizontal-relative:page;mso-position-vertical-relative:paragraph;z-index:1120;mso-wrap-distance-left:0;mso-wrap-distance-right:0" from="51pt,20.972723pt" to="195pt,20.972723pt" stroked="true" strokeweight=".481pt" strokecolor="#000000">
            <v:stroke dashstyle="solid"/>
            <w10:wrap type="topAndBottom"/>
          </v:line>
        </w:pict>
      </w:r>
    </w:p>
    <w:p>
      <w:pPr>
        <w:spacing w:line="244" w:lineRule="exact" w:before="36"/>
        <w:ind w:left="120" w:right="0" w:firstLine="0"/>
        <w:jc w:val="left"/>
        <w:rPr>
          <w:sz w:val="18"/>
        </w:rPr>
      </w:pPr>
      <w:bookmarkStart w:name="_bookmark5" w:id="36"/>
      <w:bookmarkEnd w:id="36"/>
      <w:r>
        <w:rPr/>
      </w:r>
      <w:r>
        <w:rPr>
          <w:rFonts w:ascii="Times New Roman" w:eastAsia="Times New Roman"/>
          <w:position w:val="8"/>
          <w:sz w:val="12"/>
        </w:rPr>
        <w:t>22</w:t>
      </w:r>
      <w:r>
        <w:rPr>
          <w:rFonts w:ascii="等线" w:eastAsia="等线" w:hint="eastAsia"/>
          <w:b/>
          <w:sz w:val="18"/>
        </w:rPr>
        <w:t>有效身份证件</w:t>
      </w:r>
      <w:r>
        <w:rPr>
          <w:sz w:val="18"/>
        </w:rPr>
        <w:t>：指依据法律规定，由政府相关部门制作颁发的证明身份的证件、文件等，如居民身份证、户口簿、护照、军</w:t>
      </w:r>
    </w:p>
    <w:p>
      <w:pPr>
        <w:spacing w:line="227" w:lineRule="exact" w:before="0"/>
        <w:ind w:left="119" w:right="0" w:firstLine="0"/>
        <w:jc w:val="left"/>
        <w:rPr>
          <w:sz w:val="18"/>
        </w:rPr>
      </w:pPr>
      <w:r>
        <w:rPr>
          <w:sz w:val="18"/>
        </w:rPr>
        <w:t>人证等。</w:t>
      </w:r>
    </w:p>
    <w:p>
      <w:pPr>
        <w:spacing w:after="0" w:line="227" w:lineRule="exact"/>
        <w:jc w:val="left"/>
        <w:rPr>
          <w:sz w:val="18"/>
        </w:rPr>
        <w:sectPr>
          <w:pgSz w:w="11910" w:h="16840"/>
          <w:pgMar w:header="0" w:footer="808" w:top="1360" w:bottom="1000" w:left="900" w:right="780"/>
        </w:sectPr>
      </w:pPr>
    </w:p>
    <w:p>
      <w:pPr>
        <w:pStyle w:val="BodyText"/>
        <w:spacing w:line="237" w:lineRule="auto" w:before="8"/>
        <w:ind w:left="119" w:right="126" w:firstLine="420"/>
        <w:jc w:val="both"/>
      </w:pPr>
      <w:r>
        <w:rPr/>
        <w:t>我们在收到保险金给付申请书及有关证明和资料之日起60日内，对属于保险责任而给付保险金的数额不能确定的，根据已有证明和资料可以确定的数额先予支付；我们最终确定给付保险金的数额后，将支付相应的差额。</w:t>
      </w:r>
    </w:p>
    <w:p>
      <w:pPr>
        <w:pStyle w:val="BodyText"/>
        <w:spacing w:before="9"/>
        <w:ind w:left="0"/>
        <w:rPr>
          <w:sz w:val="23"/>
        </w:rPr>
      </w:pPr>
    </w:p>
    <w:p>
      <w:pPr>
        <w:pStyle w:val="Heading1"/>
        <w:ind w:left="3" w:right="0"/>
      </w:pPr>
      <w:bookmarkStart w:name="_TOC_250009" w:id="37"/>
      <w:bookmarkStart w:name="您还享有哪些权益" w:id="38"/>
      <w:r>
        <w:rPr>
          <w:b w:val="0"/>
        </w:rPr>
      </w:r>
      <w:bookmarkEnd w:id="37"/>
      <w:r>
        <w:rPr/>
        <w:t>第五部分 您还享有哪些权益</w:t>
      </w:r>
    </w:p>
    <w:p>
      <w:pPr>
        <w:pStyle w:val="BodyText"/>
        <w:spacing w:before="1"/>
        <w:ind w:left="0"/>
        <w:rPr>
          <w:rFonts w:ascii="等线"/>
          <w:b/>
          <w:sz w:val="22"/>
        </w:rPr>
      </w:pPr>
    </w:p>
    <w:p>
      <w:pPr>
        <w:pStyle w:val="Heading2"/>
      </w:pPr>
      <w:bookmarkStart w:name="_TOC_250008" w:id="39"/>
      <w:bookmarkStart w:name="合同内容变更" w:id="40"/>
      <w:r>
        <w:rPr>
          <w:b w:val="0"/>
        </w:rPr>
      </w:r>
      <w:bookmarkEnd w:id="39"/>
      <w:r>
        <w:rPr/>
        <w:t>第十四条 合同内容变更</w:t>
      </w:r>
    </w:p>
    <w:p>
      <w:pPr>
        <w:pStyle w:val="BodyText"/>
        <w:spacing w:before="2"/>
        <w:ind w:left="0"/>
        <w:rPr>
          <w:rFonts w:ascii="等线"/>
          <w:b/>
        </w:rPr>
      </w:pPr>
    </w:p>
    <w:p>
      <w:pPr>
        <w:pStyle w:val="BodyText"/>
        <w:ind w:left="119" w:right="130" w:firstLine="420"/>
      </w:pPr>
      <w:r>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1"/>
        <w:ind w:left="0"/>
        <w:rPr>
          <w:sz w:val="24"/>
        </w:rPr>
      </w:pPr>
    </w:p>
    <w:p>
      <w:pPr>
        <w:pStyle w:val="Heading2"/>
      </w:pPr>
      <w:bookmarkStart w:name="_TOC_250007" w:id="41"/>
      <w:bookmarkStart w:name="您解除合同的手续及风险" w:id="42"/>
      <w:r>
        <w:rPr>
          <w:b w:val="0"/>
        </w:rPr>
      </w:r>
      <w:bookmarkEnd w:id="41"/>
      <w:r>
        <w:rPr/>
        <w:t>第十五条  您解除合同的手续及风险</w:t>
      </w:r>
    </w:p>
    <w:p>
      <w:pPr>
        <w:pStyle w:val="BodyText"/>
        <w:spacing w:before="7"/>
        <w:ind w:left="0"/>
        <w:rPr>
          <w:rFonts w:ascii="等线"/>
          <w:b/>
        </w:rPr>
      </w:pPr>
    </w:p>
    <w:p>
      <w:pPr>
        <w:pStyle w:val="BodyText"/>
        <w:spacing w:line="237" w:lineRule="auto"/>
        <w:ind w:left="119" w:right="126" w:firstLine="420"/>
        <w:jc w:val="both"/>
      </w:pPr>
      <w:r>
        <w:rPr/>
        <w:t>您在本合同成立后，可以要求解除本合同。但已发生任何保险金给付或已发生本合同约定的保险事故但尚未给付保险金的，您不得要求解除本合同。若您申请解除本合同，请填写解除合同申请书并向我们提供下列资料：</w:t>
      </w:r>
    </w:p>
    <w:p>
      <w:pPr>
        <w:pStyle w:val="BodyText"/>
        <w:spacing w:line="271" w:lineRule="exact"/>
        <w:ind w:left="539"/>
      </w:pPr>
      <w:r>
        <w:rPr/>
        <w:t>（1）保险合同；</w:t>
      </w:r>
    </w:p>
    <w:p>
      <w:pPr>
        <w:pStyle w:val="BodyText"/>
        <w:spacing w:line="272" w:lineRule="exact"/>
        <w:ind w:left="539"/>
      </w:pPr>
      <w:r>
        <w:rPr/>
        <w:t>（2）投保人证明。</w:t>
      </w:r>
    </w:p>
    <w:p>
      <w:pPr>
        <w:pStyle w:val="BodyText"/>
        <w:ind w:left="119" w:right="130" w:firstLine="419"/>
      </w:pPr>
      <w:r>
        <w:rPr/>
        <w:t>自我们收到解除合同申请书之日起，本合同终止。我们自收到解除合同申请书之日起30日内向您退还本合同的未满期净保险费。</w:t>
      </w:r>
    </w:p>
    <w:p>
      <w:pPr>
        <w:pStyle w:val="BodyText"/>
        <w:spacing w:line="271" w:lineRule="exact" w:before="2"/>
      </w:pPr>
      <w:r>
        <w:rPr/>
        <w:t>您解除合同会遭受一定损失。</w:t>
      </w:r>
    </w:p>
    <w:p>
      <w:pPr>
        <w:pStyle w:val="BodyText"/>
        <w:spacing w:before="12"/>
        <w:ind w:left="0"/>
        <w:rPr>
          <w:sz w:val="23"/>
        </w:rPr>
      </w:pPr>
    </w:p>
    <w:p>
      <w:pPr>
        <w:pStyle w:val="Heading1"/>
        <w:tabs>
          <w:tab w:pos="1179" w:val="left" w:leader="none"/>
        </w:tabs>
        <w:ind w:left="6" w:right="0"/>
      </w:pPr>
      <w:bookmarkStart w:name="_TOC_250006" w:id="43"/>
      <w:bookmarkStart w:name="您需要了解的其它事项" w:id="44"/>
      <w:r>
        <w:rPr>
          <w:b w:val="0"/>
        </w:rPr>
      </w:r>
      <w:bookmarkEnd w:id="43"/>
      <w:r>
        <w:rPr/>
        <w:t>第六部分</w:t>
        <w:tab/>
        <w:t>您需要了解的其它事项</w:t>
      </w:r>
    </w:p>
    <w:p>
      <w:pPr>
        <w:pStyle w:val="BodyText"/>
        <w:spacing w:before="12"/>
        <w:ind w:left="0"/>
        <w:rPr>
          <w:rFonts w:ascii="等线"/>
          <w:b/>
        </w:rPr>
      </w:pPr>
    </w:p>
    <w:p>
      <w:pPr>
        <w:pStyle w:val="Heading2"/>
      </w:pPr>
      <w:bookmarkStart w:name="_TOC_250005" w:id="45"/>
      <w:bookmarkStart w:name="明确说明和如实告知" w:id="46"/>
      <w:r>
        <w:rPr>
          <w:b w:val="0"/>
        </w:rPr>
      </w:r>
      <w:bookmarkEnd w:id="45"/>
      <w:r>
        <w:rPr/>
        <w:t>第十六条  明确说明和如实告知</w:t>
      </w:r>
    </w:p>
    <w:p>
      <w:pPr>
        <w:pStyle w:val="BodyText"/>
        <w:spacing w:before="7"/>
        <w:ind w:left="0"/>
        <w:rPr>
          <w:rFonts w:ascii="等线"/>
          <w:b/>
        </w:rPr>
      </w:pPr>
    </w:p>
    <w:p>
      <w:pPr>
        <w:pStyle w:val="BodyText"/>
        <w:spacing w:line="237" w:lineRule="auto"/>
        <w:ind w:left="120" w:right="106" w:firstLine="419"/>
        <w:jc w:val="both"/>
      </w:pPr>
      <w:r>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spacing w:line="271" w:lineRule="exact"/>
      </w:pPr>
      <w:r>
        <w:rPr/>
        <w:t>我们可以就您、被保险人的有关情况提出书面询问，您应当如实告知。</w:t>
      </w:r>
    </w:p>
    <w:p>
      <w:pPr>
        <w:spacing w:line="228" w:lineRule="auto" w:before="21"/>
        <w:ind w:left="120" w:right="111" w:firstLine="422"/>
        <w:jc w:val="left"/>
        <w:rPr>
          <w:rFonts w:ascii="等线" w:eastAsia="等线" w:hint="eastAsia"/>
          <w:b/>
          <w:sz w:val="21"/>
        </w:rPr>
      </w:pPr>
      <w:r>
        <w:rPr>
          <w:rFonts w:ascii="等线" w:eastAsia="等线" w:hint="eastAsia"/>
          <w:b/>
          <w:spacing w:val="-4"/>
          <w:sz w:val="21"/>
        </w:rPr>
        <w:t>您故意或者因重大过失未履行前款规定的如实告知义务，足以影响我们决定是否同意承保或者提高保险费率的，我们有权解除合同。</w:t>
      </w:r>
    </w:p>
    <w:p>
      <w:pPr>
        <w:pStyle w:val="BodyText"/>
        <w:spacing w:line="254" w:lineRule="exact"/>
      </w:pPr>
      <w:r>
        <w:rPr/>
        <w:t>前款规定的合同解除权，自我们知道有解除事由之日起，超过 30 日不行使而消灭。</w:t>
      </w:r>
    </w:p>
    <w:p>
      <w:pPr>
        <w:spacing w:line="230" w:lineRule="auto" w:before="16"/>
        <w:ind w:left="120" w:right="111" w:firstLine="422"/>
        <w:jc w:val="left"/>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30" w:lineRule="auto" w:before="0"/>
        <w:ind w:left="120" w:right="111" w:firstLine="422"/>
        <w:jc w:val="left"/>
        <w:rPr>
          <w:rFonts w:ascii="等线" w:eastAsia="等线" w:hint="eastAsia"/>
          <w:b/>
          <w:sz w:val="21"/>
        </w:rPr>
      </w:pPr>
      <w:r>
        <w:rPr>
          <w:rFonts w:ascii="等线" w:eastAsia="等线" w:hint="eastAsia"/>
          <w:b/>
          <w:spacing w:val="-4"/>
          <w:sz w:val="21"/>
        </w:rPr>
        <w:t>您因重大过失未履行如实告知义务，对保险事故的发生有严重影响的，我们对于合同解除前发生的保险事故，不承担给付保险金的责任，但退还保险费。</w:t>
      </w:r>
    </w:p>
    <w:p>
      <w:pPr>
        <w:pStyle w:val="BodyText"/>
        <w:spacing w:line="274" w:lineRule="exact" w:before="7"/>
        <w:ind w:left="119" w:right="111" w:firstLine="420"/>
      </w:pPr>
      <w:r>
        <w:rPr/>
        <w:t>我们在本合同订立时已经知道您未如实告知的情况的，我们不得解除合同；发生保险事故的，我们承担给付保险金的责任。</w:t>
      </w:r>
    </w:p>
    <w:p>
      <w:pPr>
        <w:pStyle w:val="BodyText"/>
        <w:spacing w:before="3"/>
        <w:ind w:left="0"/>
        <w:rPr>
          <w:sz w:val="22"/>
        </w:rPr>
      </w:pPr>
    </w:p>
    <w:p>
      <w:pPr>
        <w:pStyle w:val="Heading2"/>
      </w:pPr>
      <w:bookmarkStart w:name="_TOC_250004" w:id="47"/>
      <w:bookmarkStart w:name="年龄计算及错误处理" w:id="48"/>
      <w:r>
        <w:rPr>
          <w:b w:val="0"/>
        </w:rPr>
      </w:r>
      <w:bookmarkEnd w:id="47"/>
      <w:r>
        <w:rPr/>
        <w:t>第十七条  年龄计算及错误处理</w:t>
      </w:r>
    </w:p>
    <w:p>
      <w:pPr>
        <w:pStyle w:val="BodyText"/>
        <w:spacing w:before="7"/>
        <w:ind w:left="0"/>
        <w:rPr>
          <w:rFonts w:ascii="等线"/>
          <w:b/>
        </w:rPr>
      </w:pPr>
    </w:p>
    <w:p>
      <w:pPr>
        <w:pStyle w:val="BodyText"/>
        <w:spacing w:line="237" w:lineRule="auto" w:before="1"/>
        <w:ind w:left="120" w:right="128" w:firstLine="419"/>
      </w:pPr>
      <w:r>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4"/>
        <w:ind w:left="120" w:right="111" w:firstLine="422"/>
        <w:jc w:val="left"/>
        <w:rPr>
          <w:sz w:val="21"/>
        </w:rPr>
      </w:pPr>
      <w:r>
        <w:rPr>
          <w:rFonts w:ascii="等线" w:eastAsia="等线" w:hint="eastAsia"/>
          <w:b/>
          <w:spacing w:val="-5"/>
          <w:sz w:val="21"/>
        </w:rPr>
        <w:t>一、您申报的被保险人年龄不真实，并且其真实年龄不符合合同约定的年龄限制的，我们有权在知道有</w:t>
      </w:r>
      <w:r>
        <w:rPr>
          <w:rFonts w:ascii="等线" w:eastAsia="等线" w:hint="eastAsia"/>
          <w:b/>
          <w:spacing w:val="-1"/>
          <w:sz w:val="21"/>
        </w:rPr>
        <w:t>解除事由之日起</w:t>
      </w:r>
      <w:r>
        <w:rPr>
          <w:rFonts w:ascii="等线" w:eastAsia="等线" w:hint="eastAsia"/>
          <w:b/>
          <w:sz w:val="21"/>
        </w:rPr>
        <w:t>30</w:t>
      </w:r>
      <w:r>
        <w:rPr>
          <w:rFonts w:ascii="等线" w:eastAsia="等线" w:hint="eastAsia"/>
          <w:b/>
          <w:spacing w:val="-3"/>
          <w:sz w:val="21"/>
        </w:rPr>
        <w:t>日内解除本合同，并向您退还本合同当时的未满期净保险费</w:t>
      </w:r>
      <w:r>
        <w:rPr>
          <w:sz w:val="21"/>
        </w:rPr>
        <w:t>。</w:t>
      </w:r>
    </w:p>
    <w:p>
      <w:pPr>
        <w:pStyle w:val="BodyText"/>
        <w:spacing w:line="274" w:lineRule="exact" w:before="3"/>
        <w:ind w:left="119" w:right="128" w:firstLine="420"/>
      </w:pPr>
      <w:r>
        <w:rPr/>
        <w:t>二、您申报的被保险人年龄不真实，致使您支付的保险费少于应付保险费的，我们有权更正并要求您补交保险费，或在给付保险金时按照实付保险费与应付保险费的比例支付。</w:t>
      </w:r>
    </w:p>
    <w:p>
      <w:pPr>
        <w:pStyle w:val="BodyText"/>
        <w:spacing w:line="246" w:lineRule="exact"/>
      </w:pPr>
      <w:r>
        <w:rPr/>
        <w:t>三、您申报的被保险人年龄不真实，致使您支付的保险费多于应付保险费的，我们应将多收的保险费无</w:t>
      </w:r>
    </w:p>
    <w:p>
      <w:pPr>
        <w:spacing w:after="0" w:line="246" w:lineRule="exact"/>
        <w:sectPr>
          <w:pgSz w:w="11910" w:h="16840"/>
          <w:pgMar w:header="0" w:footer="808" w:top="1360" w:bottom="1000" w:left="900" w:right="880"/>
        </w:sectPr>
      </w:pPr>
    </w:p>
    <w:p>
      <w:pPr>
        <w:pStyle w:val="BodyText"/>
        <w:spacing w:before="6"/>
        <w:ind w:left="120"/>
      </w:pPr>
      <w:r>
        <w:rPr/>
        <w:t>息退还给您。</w:t>
      </w:r>
    </w:p>
    <w:p>
      <w:pPr>
        <w:pStyle w:val="BodyText"/>
        <w:spacing w:before="2"/>
        <w:ind w:left="0"/>
        <w:rPr>
          <w:sz w:val="24"/>
        </w:rPr>
      </w:pPr>
    </w:p>
    <w:p>
      <w:pPr>
        <w:pStyle w:val="Heading2"/>
      </w:pPr>
      <w:bookmarkStart w:name="_TOC_250003" w:id="49"/>
      <w:bookmarkStart w:name="住所或通讯地址变更" w:id="50"/>
      <w:r>
        <w:rPr>
          <w:b w:val="0"/>
        </w:rPr>
      </w:r>
      <w:bookmarkEnd w:id="49"/>
      <w:r>
        <w:rPr/>
        <w:t>第十八条  住所或通讯地址变更</w:t>
      </w:r>
    </w:p>
    <w:p>
      <w:pPr>
        <w:pStyle w:val="BodyText"/>
        <w:spacing w:before="7"/>
        <w:ind w:left="0"/>
        <w:rPr>
          <w:rFonts w:ascii="等线"/>
          <w:b/>
        </w:rPr>
      </w:pPr>
    </w:p>
    <w:p>
      <w:pPr>
        <w:pStyle w:val="BodyText"/>
        <w:spacing w:line="237" w:lineRule="auto" w:before="1"/>
        <w:ind w:left="119" w:right="109" w:firstLine="420"/>
      </w:pPr>
      <w:r>
        <w:rPr/>
        <w:t>您的住所或通讯地址变更时，应及时以书面形式通知我们。您未以书面形式通知的，我们按所知最后的您的住所或通讯地址发送有关通知，均视为已送达给您。</w:t>
      </w:r>
    </w:p>
    <w:p>
      <w:pPr>
        <w:pStyle w:val="BodyText"/>
        <w:spacing w:before="4"/>
        <w:ind w:left="0"/>
        <w:rPr>
          <w:sz w:val="24"/>
        </w:rPr>
      </w:pPr>
    </w:p>
    <w:p>
      <w:pPr>
        <w:pStyle w:val="Heading2"/>
      </w:pPr>
      <w:bookmarkStart w:name="_TOC_250002" w:id="51"/>
      <w:bookmarkStart w:name="被保险人的变动" w:id="52"/>
      <w:r>
        <w:rPr>
          <w:b w:val="0"/>
        </w:rPr>
      </w:r>
      <w:bookmarkEnd w:id="51"/>
      <w:r>
        <w:rPr/>
        <w:t>第十九条 被保险人的变动</w:t>
      </w:r>
    </w:p>
    <w:p>
      <w:pPr>
        <w:pStyle w:val="BodyText"/>
        <w:spacing w:before="2"/>
        <w:ind w:left="0"/>
        <w:rPr>
          <w:rFonts w:ascii="等线"/>
          <w:b/>
        </w:rPr>
      </w:pPr>
    </w:p>
    <w:p>
      <w:pPr>
        <w:pStyle w:val="BodyText"/>
        <w:ind w:left="120" w:right="128" w:firstLine="419"/>
      </w:pPr>
      <w:r>
        <w:rPr/>
        <w:t>一、您因所属成员变动需要增加被保险人的，应以书面形式通知我们，经我们同意后，于收取保险费的次日零时起开始承担保险责任。</w:t>
      </w:r>
    </w:p>
    <w:p>
      <w:pPr>
        <w:pStyle w:val="BodyText"/>
        <w:spacing w:line="237" w:lineRule="auto"/>
        <w:ind w:left="120" w:right="125" w:firstLine="419"/>
        <w:jc w:val="both"/>
      </w:pPr>
      <w:r>
        <w:rPr/>
        <w:t>二、您因被保险人离职或其它原因需要减少被保险人的，应以书面形式通知我们，我们对该被保险人所承担的保险责任自通知到达我们当日的24时起终止；如您发出的通知书所提及的该被保险人退保日期在通知到达日之后，则我们对该被保险人所承担的保险责任自该退保日零时起终止。对于未发生保险金给付的，我们向您退还该被保险人对应的未满期净保险费；对于已发生保险金给付或已发生本合同约定的保险事故但尚未给付保险金的，我们不退还未满期净保险费。</w:t>
      </w:r>
    </w:p>
    <w:p>
      <w:pPr>
        <w:pStyle w:val="BodyText"/>
        <w:spacing w:line="237" w:lineRule="auto" w:before="2"/>
        <w:ind w:left="120" w:right="130" w:firstLine="419"/>
      </w:pPr>
      <w:r>
        <w:rPr/>
        <w:t>三、被保险人的人数因减少致未达团体成员总数的75%或少于5人时，我们有权解除本合同，并退还本合同的未满期净保险费。本合同所承担的保险责任自通知到达您当日的24时起终止。</w:t>
      </w:r>
    </w:p>
    <w:p>
      <w:pPr>
        <w:pStyle w:val="BodyText"/>
        <w:spacing w:before="4"/>
        <w:ind w:left="0"/>
        <w:rPr>
          <w:sz w:val="24"/>
        </w:rPr>
      </w:pPr>
    </w:p>
    <w:p>
      <w:pPr>
        <w:pStyle w:val="Heading2"/>
      </w:pPr>
      <w:bookmarkStart w:name="_TOC_250001" w:id="53"/>
      <w:bookmarkStart w:name="争议处理" w:id="54"/>
      <w:r>
        <w:rPr>
          <w:b w:val="0"/>
        </w:rPr>
      </w:r>
      <w:bookmarkEnd w:id="53"/>
      <w:r>
        <w:rPr/>
        <w:t>第二十条 争议处理</w:t>
      </w:r>
    </w:p>
    <w:p>
      <w:pPr>
        <w:pStyle w:val="BodyText"/>
        <w:spacing w:before="2"/>
        <w:ind w:left="0"/>
        <w:rPr>
          <w:rFonts w:ascii="等线"/>
          <w:b/>
        </w:rPr>
      </w:pPr>
    </w:p>
    <w:p>
      <w:pPr>
        <w:pStyle w:val="BodyText"/>
        <w:spacing w:line="273" w:lineRule="exact" w:before="1"/>
      </w:pPr>
      <w:r>
        <w:rPr/>
        <w:t>合同争议解决方式由当事人在合同约定从下列两种方式中选择一种：</w:t>
      </w:r>
    </w:p>
    <w:p>
      <w:pPr>
        <w:pStyle w:val="BodyText"/>
        <w:ind w:right="1388"/>
      </w:pPr>
      <w:r>
        <w:rPr/>
        <w:t>一、因履行本合同发生的争议，由当事人协商解决，协商不成的，提交仲裁委员会仲裁； 二、因履行本合同发生的争议，由当事人协商解决，协商不成的，依法向人民法院起诉。</w:t>
      </w:r>
    </w:p>
    <w:p>
      <w:pPr>
        <w:pStyle w:val="BodyText"/>
        <w:spacing w:before="3"/>
        <w:ind w:left="0"/>
        <w:rPr>
          <w:sz w:val="24"/>
        </w:rPr>
      </w:pPr>
    </w:p>
    <w:p>
      <w:pPr>
        <w:pStyle w:val="Heading2"/>
      </w:pPr>
      <w:bookmarkStart w:name="_TOC_250000" w:id="55"/>
      <w:bookmarkStart w:name="重大疾病的种类和定义" w:id="56"/>
      <w:r>
        <w:rPr>
          <w:b w:val="0"/>
        </w:rPr>
      </w:r>
      <w:bookmarkEnd w:id="55"/>
      <w:r>
        <w:rPr/>
        <w:t>第二十一条  重大疾病的种类和定义</w:t>
      </w:r>
    </w:p>
    <w:p>
      <w:pPr>
        <w:pStyle w:val="BodyText"/>
        <w:spacing w:before="4"/>
        <w:ind w:left="0"/>
        <w:rPr>
          <w:rFonts w:ascii="等线"/>
          <w:b/>
        </w:rPr>
      </w:pPr>
    </w:p>
    <w:p>
      <w:pPr>
        <w:pStyle w:val="BodyText"/>
        <w:spacing w:line="273" w:lineRule="exact"/>
      </w:pPr>
      <w:r>
        <w:rPr>
          <w:spacing w:val="-8"/>
        </w:rPr>
        <w:t>本合同所指重大疾病，是被保险人发生符合以下定义所述条件的疾病、疾病状态或手术，共计 </w:t>
      </w:r>
      <w:r>
        <w:rPr/>
        <w:t>32</w:t>
      </w:r>
      <w:r>
        <w:rPr>
          <w:spacing w:val="-14"/>
        </w:rPr>
        <w:t> 种。其</w:t>
      </w:r>
    </w:p>
    <w:p>
      <w:pPr>
        <w:pStyle w:val="BodyText"/>
        <w:ind w:left="120" w:right="107"/>
      </w:pPr>
      <w:r>
        <w:rPr>
          <w:spacing w:val="-16"/>
        </w:rPr>
        <w:t>中 </w:t>
      </w:r>
      <w:r>
        <w:rPr/>
        <w:t>1-25</w:t>
      </w:r>
      <w:r>
        <w:rPr>
          <w:spacing w:val="-10"/>
        </w:rPr>
        <w:t> 项是中国保险行业协会与中国医师协会制定的《重大疾病保险疾病定义使用规范》所规范的重大疾病</w:t>
      </w:r>
      <w:r>
        <w:rPr/>
        <w:t>种类，26-32</w:t>
      </w:r>
      <w:r>
        <w:rPr>
          <w:spacing w:val="-11"/>
        </w:rPr>
        <w:t> 项是我们为扩大保障范围所增设的 </w:t>
      </w:r>
      <w:r>
        <w:rPr/>
        <w:t>7</w:t>
      </w:r>
      <w:r>
        <w:rPr>
          <w:spacing w:val="-9"/>
        </w:rPr>
        <w:t> 种重大疾病。</w:t>
      </w:r>
    </w:p>
    <w:p>
      <w:pPr>
        <w:pStyle w:val="BodyText"/>
        <w:spacing w:line="314" w:lineRule="auto" w:before="75"/>
        <w:ind w:right="6850"/>
      </w:pPr>
      <w:r>
        <w:rPr/>
        <w:t>重大疾病的名称及定义如下： 一、恶性肿瘤</w:t>
      </w:r>
    </w:p>
    <w:p>
      <w:pPr>
        <w:pStyle w:val="BodyText"/>
        <w:spacing w:line="217" w:lineRule="exact"/>
      </w:pPr>
      <w:r>
        <w:rPr/>
        <w:t>指恶性细胞不受控制的进行性增长和扩散，浸润和破坏周围正常组织，可以经血管、淋巴管和体腔扩散</w:t>
      </w:r>
    </w:p>
    <w:p>
      <w:pPr>
        <w:pStyle w:val="BodyText"/>
        <w:spacing w:line="237" w:lineRule="auto" w:before="2"/>
        <w:ind w:left="120" w:right="106"/>
      </w:pPr>
      <w:r>
        <w:rPr/>
        <w:t>转移到身体其它部位的疾病。经病理学检查结果明确诊断，临床诊断属于世界卫生组织《疾病和有关健康问题的国际统计分类》（ICD-10）的恶性肿瘤范畴。</w:t>
      </w:r>
    </w:p>
    <w:p>
      <w:pPr>
        <w:pStyle w:val="Heading2"/>
        <w:spacing w:line="275" w:lineRule="exact" w:before="5"/>
        <w:ind w:left="542"/>
      </w:pPr>
      <w:r>
        <w:rPr/>
        <w:t>下列疾病不在保障范围内：</w:t>
      </w:r>
    </w:p>
    <w:p>
      <w:pPr>
        <w:pStyle w:val="ListParagraph"/>
        <w:numPr>
          <w:ilvl w:val="1"/>
          <w:numId w:val="2"/>
        </w:numPr>
        <w:tabs>
          <w:tab w:pos="855" w:val="left" w:leader="none"/>
        </w:tabs>
        <w:spacing w:line="276" w:lineRule="exact" w:before="0" w:after="0"/>
        <w:ind w:left="540" w:right="0" w:firstLine="7"/>
        <w:jc w:val="left"/>
        <w:rPr>
          <w:rFonts w:ascii="等线" w:eastAsia="等线" w:hint="eastAsia"/>
          <w:b/>
          <w:sz w:val="21"/>
        </w:rPr>
      </w:pPr>
      <w:r>
        <w:rPr>
          <w:rFonts w:ascii="黑体" w:eastAsia="黑体" w:hint="eastAsia"/>
          <w:b/>
          <w:spacing w:val="-10"/>
          <w:sz w:val="21"/>
        </w:rPr>
        <w:t>原位癌 </w:t>
      </w:r>
      <w:hyperlink w:history="true" w:anchor="_bookmark6">
        <w:r>
          <w:rPr>
            <w:rFonts w:ascii="黑体" w:eastAsia="黑体" w:hint="eastAsia"/>
            <w:b/>
            <w:position w:val="11"/>
            <w:sz w:val="11"/>
          </w:rPr>
          <w:t>23</w:t>
        </w:r>
      </w:hyperlink>
      <w:r>
        <w:rPr>
          <w:rFonts w:ascii="等线" w:eastAsia="等线" w:hint="eastAsia"/>
          <w:b/>
          <w:sz w:val="21"/>
        </w:rPr>
        <w:t>；</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sz w:val="21"/>
        </w:rPr>
        <w:t>相当于 Binet 分期方案 A</w:t>
      </w:r>
      <w:r>
        <w:rPr>
          <w:rFonts w:ascii="等线" w:eastAsia="等线" w:hint="eastAsia"/>
          <w:b/>
          <w:spacing w:val="-3"/>
          <w:sz w:val="21"/>
        </w:rPr>
        <w:t> 期程度的慢性淋巴细胞白血病；</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spacing w:val="-4"/>
          <w:sz w:val="21"/>
        </w:rPr>
        <w:t>相当于 </w:t>
      </w:r>
      <w:r>
        <w:rPr>
          <w:rFonts w:ascii="等线" w:eastAsia="等线" w:hint="eastAsia"/>
          <w:b/>
          <w:sz w:val="21"/>
        </w:rPr>
        <w:t>Ann</w:t>
      </w:r>
      <w:r>
        <w:rPr>
          <w:rFonts w:ascii="等线" w:eastAsia="等线" w:hint="eastAsia"/>
          <w:b/>
          <w:spacing w:val="30"/>
          <w:sz w:val="21"/>
        </w:rPr>
        <w:t> </w:t>
      </w:r>
      <w:r>
        <w:rPr>
          <w:rFonts w:ascii="等线" w:eastAsia="等线" w:hint="eastAsia"/>
          <w:b/>
          <w:sz w:val="21"/>
        </w:rPr>
        <w:t>Arbor</w:t>
      </w:r>
      <w:r>
        <w:rPr>
          <w:rFonts w:ascii="等线" w:eastAsia="等线" w:hint="eastAsia"/>
          <w:b/>
          <w:spacing w:val="-6"/>
          <w:sz w:val="21"/>
        </w:rPr>
        <w:t> 分期方案 </w:t>
      </w:r>
      <w:r>
        <w:rPr>
          <w:rFonts w:ascii="等线" w:eastAsia="等线" w:hint="eastAsia"/>
          <w:b/>
          <w:w w:val="145"/>
          <w:sz w:val="21"/>
        </w:rPr>
        <w:t>I</w:t>
      </w:r>
      <w:r>
        <w:rPr>
          <w:rFonts w:ascii="等线" w:eastAsia="等线" w:hint="eastAsia"/>
          <w:b/>
          <w:spacing w:val="-40"/>
          <w:w w:val="145"/>
          <w:sz w:val="21"/>
        </w:rPr>
        <w:t> </w:t>
      </w:r>
      <w:r>
        <w:rPr>
          <w:rFonts w:ascii="等线" w:eastAsia="等线" w:hint="eastAsia"/>
          <w:b/>
          <w:spacing w:val="-1"/>
          <w:sz w:val="21"/>
        </w:rPr>
        <w:t>期程度的何杰金氏病；</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0"/>
          <w:w w:val="90"/>
          <w:position w:val="1"/>
          <w:sz w:val="21"/>
        </w:rPr>
        <w:t>  分期为  </w:t>
      </w:r>
      <w:r>
        <w:rPr>
          <w:rFonts w:ascii="等线" w:eastAsia="等线" w:hint="eastAsia"/>
          <w:b/>
          <w:spacing w:val="7"/>
          <w:w w:val="90"/>
          <w:position w:val="1"/>
          <w:sz w:val="21"/>
        </w:rPr>
        <w:t>T</w:t>
      </w:r>
      <w:r>
        <w:rPr>
          <w:rFonts w:ascii="等线" w:eastAsia="等线" w:hint="eastAsia"/>
          <w:b/>
          <w:spacing w:val="7"/>
          <w:w w:val="90"/>
          <w:sz w:val="11"/>
        </w:rPr>
        <w:t>1</w:t>
      </w:r>
      <w:r>
        <w:rPr>
          <w:rFonts w:ascii="等线" w:eastAsia="等线" w:hint="eastAsia"/>
          <w:b/>
          <w:spacing w:val="7"/>
          <w:w w:val="90"/>
          <w:position w:val="1"/>
          <w:sz w:val="21"/>
        </w:rPr>
        <w:t>N</w:t>
      </w:r>
      <w:r>
        <w:rPr>
          <w:rFonts w:ascii="等线" w:eastAsia="等线" w:hint="eastAsia"/>
          <w:b/>
          <w:spacing w:val="7"/>
          <w:w w:val="90"/>
          <w:sz w:val="11"/>
        </w:rPr>
        <w:t>0</w:t>
      </w:r>
      <w:r>
        <w:rPr>
          <w:rFonts w:ascii="等线" w:eastAsia="等线" w:hint="eastAsia"/>
          <w:b/>
          <w:spacing w:val="7"/>
          <w:w w:val="90"/>
          <w:position w:val="1"/>
          <w:sz w:val="21"/>
        </w:rPr>
        <w:t>M</w:t>
      </w:r>
      <w:r>
        <w:rPr>
          <w:rFonts w:ascii="等线" w:eastAsia="等线" w:hint="eastAsia"/>
          <w:b/>
          <w:spacing w:val="7"/>
          <w:w w:val="90"/>
          <w:sz w:val="11"/>
        </w:rPr>
        <w:t>0</w:t>
      </w:r>
      <w:r>
        <w:rPr>
          <w:rFonts w:ascii="等线" w:eastAsia="等线" w:hint="eastAsia"/>
          <w:b/>
          <w:w w:val="90"/>
          <w:position w:val="1"/>
          <w:sz w:val="21"/>
        </w:rPr>
        <w:t>期或更轻分期的前列腺癌；</w:t>
      </w:r>
    </w:p>
    <w:p>
      <w:pPr>
        <w:pStyle w:val="ListParagraph"/>
        <w:numPr>
          <w:ilvl w:val="1"/>
          <w:numId w:val="2"/>
        </w:numPr>
        <w:tabs>
          <w:tab w:pos="855" w:val="left" w:leader="none"/>
        </w:tabs>
        <w:spacing w:line="285" w:lineRule="auto" w:before="0" w:after="0"/>
        <w:ind w:left="540" w:right="4842" w:firstLine="2"/>
        <w:jc w:val="left"/>
        <w:rPr>
          <w:sz w:val="21"/>
        </w:rPr>
      </w:pPr>
      <w:r>
        <w:rPr>
          <w:rFonts w:ascii="等线" w:eastAsia="等线" w:hint="eastAsia"/>
          <w:b/>
          <w:spacing w:val="-3"/>
          <w:sz w:val="21"/>
        </w:rPr>
        <w:t>感染艾滋病病毒或患艾滋病期间所患恶性肿瘤。</w:t>
      </w:r>
      <w:r>
        <w:rPr>
          <w:spacing w:val="-3"/>
          <w:sz w:val="21"/>
        </w:rPr>
        <w:t>二、急性心肌梗塞</w:t>
      </w:r>
    </w:p>
    <w:p>
      <w:pPr>
        <w:pStyle w:val="BodyText"/>
        <w:spacing w:line="243" w:lineRule="exact" w:before="5"/>
        <w:ind w:left="539"/>
      </w:pPr>
      <w:r>
        <w:rPr/>
        <w:t>指因冠状动脉阻塞导致的相应区域供血不足造成部分心肌坏死。须满足下列至少三项条件：</w:t>
      </w:r>
    </w:p>
    <w:p>
      <w:pPr>
        <w:pStyle w:val="ListParagraph"/>
        <w:numPr>
          <w:ilvl w:val="0"/>
          <w:numId w:val="3"/>
        </w:numPr>
        <w:tabs>
          <w:tab w:pos="855" w:val="left" w:leader="none"/>
        </w:tabs>
        <w:spacing w:line="272" w:lineRule="exact" w:before="0" w:after="0"/>
        <w:ind w:left="540" w:right="0" w:firstLine="0"/>
        <w:jc w:val="left"/>
        <w:rPr>
          <w:sz w:val="21"/>
        </w:rPr>
      </w:pPr>
      <w:r>
        <w:rPr>
          <w:spacing w:val="-3"/>
          <w:sz w:val="21"/>
        </w:rPr>
        <w:t>典型临床表现，例如急性胸痛等；</w:t>
      </w:r>
    </w:p>
    <w:p>
      <w:pPr>
        <w:pStyle w:val="ListParagraph"/>
        <w:numPr>
          <w:ilvl w:val="0"/>
          <w:numId w:val="3"/>
        </w:numPr>
        <w:tabs>
          <w:tab w:pos="855" w:val="left" w:leader="none"/>
        </w:tabs>
        <w:spacing w:line="273" w:lineRule="exact" w:before="0" w:after="0"/>
        <w:ind w:left="540" w:right="0" w:firstLine="0"/>
        <w:jc w:val="left"/>
        <w:rPr>
          <w:sz w:val="21"/>
        </w:rPr>
      </w:pPr>
      <w:r>
        <w:rPr>
          <w:spacing w:val="-3"/>
          <w:sz w:val="21"/>
        </w:rPr>
        <w:t>新近的心电图改变提示急性心肌梗塞；</w:t>
      </w:r>
    </w:p>
    <w:p>
      <w:pPr>
        <w:pStyle w:val="BodyText"/>
        <w:spacing w:before="11"/>
        <w:ind w:left="0"/>
        <w:rPr>
          <w:sz w:val="23"/>
        </w:rPr>
      </w:pPr>
      <w:r>
        <w:rPr/>
        <w:pict>
          <v:line style="position:absolute;mso-position-horizontal-relative:page;mso-position-vertical-relative:paragraph;z-index:1144;mso-wrap-distance-left:0;mso-wrap-distance-right:0" from="51pt,17.828394pt" to="195pt,17.828394pt" stroked="true" strokeweight=".481pt" strokecolor="#000000">
            <v:stroke dashstyle="solid"/>
            <w10:wrap type="topAndBottom"/>
          </v:line>
        </w:pict>
      </w:r>
    </w:p>
    <w:p>
      <w:pPr>
        <w:spacing w:line="235" w:lineRule="exact" w:before="36"/>
        <w:ind w:left="120" w:right="0" w:firstLine="0"/>
        <w:jc w:val="left"/>
        <w:rPr>
          <w:sz w:val="18"/>
        </w:rPr>
      </w:pPr>
      <w:bookmarkStart w:name="_bookmark6" w:id="57"/>
      <w:bookmarkEnd w:id="57"/>
      <w:r>
        <w:rPr/>
      </w:r>
      <w:r>
        <w:rPr>
          <w:rFonts w:ascii="黑体" w:eastAsia="黑体" w:hint="eastAsia"/>
          <w:position w:val="9"/>
          <w:sz w:val="9"/>
        </w:rPr>
        <w:t>23</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before="0"/>
        <w:ind w:left="120" w:right="0" w:firstLine="0"/>
        <w:jc w:val="left"/>
        <w:rPr>
          <w:sz w:val="18"/>
        </w:rPr>
      </w:pPr>
      <w:r>
        <w:rPr>
          <w:sz w:val="18"/>
        </w:rPr>
        <w:t>理学检查明确诊断。被保险人必须己经接受了针对原位癌病灶的积极治疗。</w:t>
      </w:r>
    </w:p>
    <w:p>
      <w:pPr>
        <w:spacing w:after="0"/>
        <w:jc w:val="left"/>
        <w:rPr>
          <w:sz w:val="18"/>
        </w:rPr>
        <w:sectPr>
          <w:pgSz w:w="11910" w:h="16840"/>
          <w:pgMar w:header="0" w:footer="808" w:top="1360" w:bottom="1000" w:left="900" w:right="880"/>
        </w:sectPr>
      </w:pPr>
    </w:p>
    <w:p>
      <w:pPr>
        <w:pStyle w:val="ListParagraph"/>
        <w:numPr>
          <w:ilvl w:val="0"/>
          <w:numId w:val="3"/>
        </w:numPr>
        <w:tabs>
          <w:tab w:pos="855" w:val="left" w:leader="none"/>
        </w:tabs>
        <w:spacing w:line="273" w:lineRule="exact" w:before="6" w:after="0"/>
        <w:ind w:left="540" w:right="0" w:firstLine="0"/>
        <w:jc w:val="left"/>
        <w:rPr>
          <w:sz w:val="21"/>
        </w:rPr>
      </w:pPr>
      <w:r>
        <w:rPr>
          <w:spacing w:val="-3"/>
          <w:sz w:val="21"/>
        </w:rPr>
        <w:t>心肌酶或肌钙蛋白有诊断意义的升高，或呈符合急性心肌梗塞的动态性变化；</w:t>
      </w:r>
    </w:p>
    <w:p>
      <w:pPr>
        <w:pStyle w:val="ListParagraph"/>
        <w:numPr>
          <w:ilvl w:val="0"/>
          <w:numId w:val="3"/>
        </w:numPr>
        <w:tabs>
          <w:tab w:pos="855" w:val="left" w:leader="none"/>
        </w:tabs>
        <w:spacing w:line="307" w:lineRule="auto" w:before="0" w:after="0"/>
        <w:ind w:left="540" w:right="2494" w:firstLine="0"/>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r>
        <w:rPr>
          <w:spacing w:val="-3"/>
          <w:sz w:val="21"/>
        </w:rPr>
        <w:t>三、脑中风后遗症</w:t>
      </w:r>
    </w:p>
    <w:p>
      <w:pPr>
        <w:pStyle w:val="BodyText"/>
        <w:spacing w:line="223" w:lineRule="exact" w:before="1"/>
      </w:pPr>
      <w:r>
        <w:rPr/>
        <w:t>指因脑血管的突发病变引起脑血管出血、栓塞或梗塞，并导致神经系统永久性的功能障碍。神经系统永</w:t>
      </w:r>
    </w:p>
    <w:p>
      <w:pPr>
        <w:pStyle w:val="BodyText"/>
        <w:spacing w:line="272" w:lineRule="exact"/>
        <w:ind w:left="120"/>
      </w:pPr>
      <w:r>
        <w:rPr/>
        <w:t>久性的功能障碍，指疾病确诊 180 天后，仍遗留下列一种或一种以上障碍：</w:t>
      </w:r>
    </w:p>
    <w:p>
      <w:pPr>
        <w:pStyle w:val="ListParagraph"/>
        <w:numPr>
          <w:ilvl w:val="0"/>
          <w:numId w:val="4"/>
        </w:numPr>
        <w:tabs>
          <w:tab w:pos="855" w:val="left" w:leader="none"/>
        </w:tabs>
        <w:spacing w:line="282" w:lineRule="exact" w:before="0" w:after="0"/>
        <w:ind w:left="540" w:right="0" w:firstLine="0"/>
        <w:jc w:val="left"/>
        <w:rPr>
          <w:sz w:val="21"/>
        </w:rPr>
      </w:pPr>
      <w:r>
        <w:rPr>
          <w:spacing w:val="-3"/>
          <w:sz w:val="21"/>
        </w:rPr>
        <w:t>一肢或一肢以上</w:t>
      </w:r>
      <w:r>
        <w:rPr>
          <w:rFonts w:ascii="等线" w:eastAsia="等线" w:hint="eastAsia"/>
          <w:b/>
          <w:sz w:val="21"/>
        </w:rPr>
        <w:t>肢体机能完全丧失 </w:t>
      </w:r>
      <w:hyperlink w:history="true" w:anchor="_bookmark7">
        <w:r>
          <w:rPr>
            <w:rFonts w:ascii="等线" w:eastAsia="等线" w:hint="eastAsia"/>
            <w:b/>
            <w:position w:val="11"/>
            <w:sz w:val="11"/>
          </w:rPr>
          <w:t>24</w:t>
        </w:r>
      </w:hyperlink>
      <w:r>
        <w:rPr>
          <w:sz w:val="21"/>
        </w:rPr>
        <w:t>；</w:t>
      </w:r>
    </w:p>
    <w:p>
      <w:pPr>
        <w:pStyle w:val="ListParagraph"/>
        <w:numPr>
          <w:ilvl w:val="0"/>
          <w:numId w:val="4"/>
        </w:numPr>
        <w:tabs>
          <w:tab w:pos="855" w:val="left" w:leader="none"/>
        </w:tabs>
        <w:spacing w:line="272" w:lineRule="exact" w:before="0" w:after="0"/>
        <w:ind w:left="854" w:right="0" w:hanging="312"/>
        <w:jc w:val="left"/>
        <w:rPr>
          <w:sz w:val="21"/>
        </w:rPr>
      </w:pPr>
      <w:r>
        <w:rPr>
          <w:rFonts w:ascii="等线" w:eastAsia="等线" w:hint="eastAsia"/>
          <w:b/>
          <w:spacing w:val="-1"/>
          <w:sz w:val="21"/>
        </w:rPr>
        <w:t>语言能力或咀嚼吞咽能力完全丧失 </w:t>
      </w:r>
      <w:hyperlink w:history="true" w:anchor="_bookmark7">
        <w:r>
          <w:rPr>
            <w:rFonts w:ascii="等线" w:eastAsia="等线" w:hint="eastAsia"/>
            <w:b/>
            <w:position w:val="11"/>
            <w:sz w:val="11"/>
          </w:rPr>
          <w:t>25</w:t>
        </w:r>
      </w:hyperlink>
      <w:r>
        <w:rPr>
          <w:sz w:val="21"/>
        </w:rPr>
        <w:t>；</w:t>
      </w:r>
    </w:p>
    <w:p>
      <w:pPr>
        <w:pStyle w:val="ListParagraph"/>
        <w:numPr>
          <w:ilvl w:val="0"/>
          <w:numId w:val="4"/>
        </w:numPr>
        <w:tabs>
          <w:tab w:pos="855" w:val="left" w:leader="none"/>
        </w:tabs>
        <w:spacing w:line="283" w:lineRule="auto" w:before="0" w:after="0"/>
        <w:ind w:left="540" w:right="1304" w:firstLine="0"/>
        <w:jc w:val="left"/>
        <w:rPr>
          <w:sz w:val="21"/>
        </w:rPr>
      </w:pPr>
      <w:r>
        <w:rPr>
          <w:spacing w:val="-3"/>
          <w:sz w:val="21"/>
        </w:rPr>
        <w:t>自主生活能力完全丧失，无法独立完成</w:t>
      </w:r>
      <w:r>
        <w:rPr>
          <w:rFonts w:ascii="等线" w:eastAsia="等线" w:hint="eastAsia"/>
          <w:b/>
          <w:spacing w:val="1"/>
          <w:sz w:val="21"/>
        </w:rPr>
        <w:t>六项基本日常生活活动 </w:t>
      </w:r>
      <w:hyperlink w:history="true" w:anchor="_bookmark7">
        <w:r>
          <w:rPr>
            <w:rFonts w:ascii="等线" w:eastAsia="等线" w:hint="eastAsia"/>
            <w:b/>
            <w:position w:val="11"/>
            <w:sz w:val="11"/>
          </w:rPr>
          <w:t>26</w:t>
        </w:r>
      </w:hyperlink>
      <w:r>
        <w:rPr>
          <w:spacing w:val="-3"/>
          <w:sz w:val="21"/>
        </w:rPr>
        <w:t>中的三项或三项以上。四、重大器官移植术或造血干细胞移植术</w:t>
      </w:r>
    </w:p>
    <w:p>
      <w:pPr>
        <w:pStyle w:val="BodyText"/>
        <w:spacing w:line="245" w:lineRule="exact" w:before="9"/>
      </w:pPr>
      <w:r>
        <w:rPr/>
        <w:t>重大器官移植术，指因相应器官功能衰竭，已经实施了肾脏、肝脏、心脏或肺脏的异体移植手术。</w:t>
      </w:r>
    </w:p>
    <w:p>
      <w:pPr>
        <w:pStyle w:val="BodyText"/>
        <w:spacing w:line="237" w:lineRule="auto" w:before="1"/>
        <w:ind w:left="120" w:right="109"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75"/>
        <w:ind w:left="539"/>
      </w:pPr>
      <w:r>
        <w:rPr/>
        <w:t>五、冠状动脉搭桥术（或称冠状动脉旁路移植术）</w:t>
      </w:r>
    </w:p>
    <w:p>
      <w:pPr>
        <w:pStyle w:val="BodyText"/>
        <w:spacing w:before="8"/>
      </w:pPr>
      <w:r>
        <w:rPr/>
        <w:t>指为治疗严重的冠心病，实际实施了开胸进行的冠状动脉血管旁路移植的手术。</w:t>
      </w:r>
    </w:p>
    <w:p>
      <w:pPr>
        <w:spacing w:line="230" w:lineRule="auto" w:before="15"/>
        <w:ind w:left="120" w:right="111" w:firstLine="422"/>
        <w:jc w:val="left"/>
        <w:rPr>
          <w:rFonts w:ascii="等线" w:eastAsia="等线" w:hint="eastAsia"/>
          <w:b/>
          <w:sz w:val="21"/>
        </w:rPr>
      </w:pPr>
      <w:r>
        <w:rPr>
          <w:rFonts w:ascii="等线" w:eastAsia="等线" w:hint="eastAsia"/>
          <w:b/>
          <w:spacing w:val="-5"/>
          <w:sz w:val="21"/>
        </w:rPr>
        <w:t>冠状动脉支架植入术、心导管球囊扩张术、激光射频技术及其它非开胸的介入手术、腔镜手术不在保障范围内。</w:t>
      </w:r>
    </w:p>
    <w:p>
      <w:pPr>
        <w:pStyle w:val="BodyText"/>
        <w:spacing w:before="54"/>
      </w:pPr>
      <w:r>
        <w:rPr/>
        <w:t>六、终末期肾病（或称慢性肾功能衰竭尿毒症期）</w:t>
      </w:r>
    </w:p>
    <w:p>
      <w:pPr>
        <w:pStyle w:val="BodyText"/>
        <w:spacing w:before="8"/>
        <w:ind w:left="120" w:right="106" w:firstLine="419"/>
      </w:pPr>
      <w:r>
        <w:rPr>
          <w:spacing w:val="-9"/>
        </w:rPr>
        <w:t>指双肾功能慢性不可逆性衰竭，达到尿毒症期，经诊断后已经进行了至少 </w:t>
      </w:r>
      <w:r>
        <w:rPr/>
        <w:t>90</w:t>
      </w:r>
      <w:r>
        <w:rPr>
          <w:spacing w:val="-7"/>
        </w:rPr>
        <w:t> 天的规律性透析治疗或实施</w:t>
      </w:r>
      <w:r>
        <w:rPr>
          <w:spacing w:val="-5"/>
        </w:rPr>
        <w:t>了肾脏移植手术。</w:t>
      </w:r>
    </w:p>
    <w:p>
      <w:pPr>
        <w:pStyle w:val="BodyText"/>
        <w:spacing w:before="72"/>
      </w:pPr>
      <w:r>
        <w:rPr/>
        <w:t>七、多个肢体缺失</w:t>
      </w:r>
    </w:p>
    <w:p>
      <w:pPr>
        <w:pStyle w:val="BodyText"/>
        <w:spacing w:line="304" w:lineRule="auto" w:before="7"/>
        <w:ind w:right="127"/>
      </w:pPr>
      <w:r>
        <w:rPr/>
        <w:t>指因疾病或意外伤害导致两个或两个以上肢体自腕关节或踝关节近端（靠近躯干端）以上完全性断离。八、急性或亚急性重症肝炎</w:t>
      </w:r>
    </w:p>
    <w:p>
      <w:pPr>
        <w:pStyle w:val="BodyText"/>
        <w:spacing w:line="226" w:lineRule="exact"/>
      </w:pPr>
      <w:r>
        <w:rPr/>
        <w:t>指因肝炎病毒感染引起肝脏组织弥漫性坏死，导致急性肝功能衰竭，且经血清学或病毒学检查证实，并</w:t>
      </w:r>
    </w:p>
    <w:p>
      <w:pPr>
        <w:pStyle w:val="BodyText"/>
        <w:spacing w:line="272" w:lineRule="exact"/>
        <w:ind w:left="120"/>
      </w:pPr>
      <w:r>
        <w:rPr/>
        <w:t>须满足下列全部条件：</w:t>
      </w:r>
    </w:p>
    <w:p>
      <w:pPr>
        <w:pStyle w:val="ListParagraph"/>
        <w:numPr>
          <w:ilvl w:val="0"/>
          <w:numId w:val="5"/>
        </w:numPr>
        <w:tabs>
          <w:tab w:pos="855" w:val="left" w:leader="none"/>
        </w:tabs>
        <w:spacing w:line="272" w:lineRule="exact" w:before="0" w:after="0"/>
        <w:ind w:left="540" w:right="0" w:firstLine="0"/>
        <w:jc w:val="left"/>
        <w:rPr>
          <w:sz w:val="21"/>
        </w:rPr>
      </w:pPr>
      <w:r>
        <w:rPr>
          <w:spacing w:val="-3"/>
          <w:sz w:val="21"/>
        </w:rPr>
        <w:t>重度黄疸或黄疸迅速加重；</w:t>
      </w:r>
    </w:p>
    <w:p>
      <w:pPr>
        <w:pStyle w:val="ListParagraph"/>
        <w:numPr>
          <w:ilvl w:val="0"/>
          <w:numId w:val="5"/>
        </w:numPr>
        <w:tabs>
          <w:tab w:pos="855" w:val="left" w:leader="none"/>
        </w:tabs>
        <w:spacing w:line="272" w:lineRule="exact" w:before="0" w:after="0"/>
        <w:ind w:left="540" w:right="0" w:firstLine="0"/>
        <w:jc w:val="left"/>
        <w:rPr>
          <w:sz w:val="21"/>
        </w:rPr>
      </w:pPr>
      <w:r>
        <w:rPr>
          <w:spacing w:val="-1"/>
          <w:sz w:val="21"/>
        </w:rPr>
        <w:t>肝性脑病；</w:t>
      </w:r>
    </w:p>
    <w:p>
      <w:pPr>
        <w:pStyle w:val="ListParagraph"/>
        <w:numPr>
          <w:ilvl w:val="0"/>
          <w:numId w:val="5"/>
        </w:numPr>
        <w:tabs>
          <w:tab w:pos="855" w:val="left" w:leader="none"/>
        </w:tabs>
        <w:spacing w:line="272" w:lineRule="exact" w:before="0" w:after="0"/>
        <w:ind w:left="540" w:right="0" w:firstLine="0"/>
        <w:jc w:val="left"/>
        <w:rPr>
          <w:sz w:val="21"/>
        </w:rPr>
      </w:pPr>
      <w:r>
        <w:rPr>
          <w:sz w:val="21"/>
        </w:rPr>
        <w:t>B</w:t>
      </w:r>
      <w:r>
        <w:rPr>
          <w:spacing w:val="-7"/>
          <w:sz w:val="21"/>
        </w:rPr>
        <w:t> 超或其它影像学检查显示肝脏体积急速萎缩；</w:t>
      </w:r>
    </w:p>
    <w:p>
      <w:pPr>
        <w:pStyle w:val="ListParagraph"/>
        <w:numPr>
          <w:ilvl w:val="0"/>
          <w:numId w:val="5"/>
        </w:numPr>
        <w:tabs>
          <w:tab w:pos="855" w:val="left" w:leader="none"/>
        </w:tabs>
        <w:spacing w:line="304" w:lineRule="auto" w:before="0" w:after="0"/>
        <w:ind w:left="540" w:right="6956" w:firstLine="0"/>
        <w:jc w:val="left"/>
        <w:rPr>
          <w:sz w:val="21"/>
        </w:rPr>
      </w:pPr>
      <w:r>
        <w:rPr>
          <w:spacing w:val="-3"/>
          <w:sz w:val="21"/>
        </w:rPr>
        <w:t>肝功能指标进行性恶化。九、良性脑肿瘤</w:t>
      </w:r>
    </w:p>
    <w:p>
      <w:pPr>
        <w:pStyle w:val="BodyText"/>
        <w:spacing w:line="226" w:lineRule="exact"/>
      </w:pPr>
      <w:r>
        <w:rPr/>
        <w:t>指脑的良性肿瘤，已经引起颅内压增高，临床表现为视神经乳头水肿、精神症状、癫痫及运动感觉障碍</w:t>
      </w:r>
    </w:p>
    <w:p>
      <w:pPr>
        <w:pStyle w:val="BodyText"/>
        <w:spacing w:line="237" w:lineRule="auto" w:before="2"/>
        <w:ind w:left="120" w:right="106"/>
      </w:pPr>
      <w:r>
        <w:rPr>
          <w:spacing w:val="-6"/>
          <w:w w:val="100"/>
        </w:rPr>
        <w:t>等，并危及生命。须由头颅断层扫描</w:t>
      </w:r>
      <w:r>
        <w:rPr>
          <w:w w:val="100"/>
        </w:rPr>
        <w:t>（</w:t>
      </w:r>
      <w:r>
        <w:rPr>
          <w:spacing w:val="-3"/>
          <w:w w:val="100"/>
        </w:rPr>
        <w:t>C</w:t>
      </w:r>
      <w:r>
        <w:rPr>
          <w:spacing w:val="-1"/>
          <w:w w:val="100"/>
        </w:rPr>
        <w:t>T</w:t>
      </w:r>
      <w:r>
        <w:rPr>
          <w:spacing w:val="-109"/>
          <w:w w:val="100"/>
        </w:rPr>
        <w:t>）</w:t>
      </w:r>
      <w:r>
        <w:rPr>
          <w:spacing w:val="-6"/>
          <w:w w:val="100"/>
        </w:rPr>
        <w:t>、核磁共振检查</w:t>
      </w:r>
      <w:r>
        <w:rPr>
          <w:w w:val="100"/>
        </w:rPr>
        <w:t>（</w:t>
      </w:r>
      <w:r>
        <w:rPr>
          <w:spacing w:val="-3"/>
          <w:w w:val="100"/>
        </w:rPr>
        <w:t>M</w:t>
      </w:r>
      <w:r>
        <w:rPr>
          <w:w w:val="100"/>
        </w:rPr>
        <w:t>R</w:t>
      </w:r>
      <w:r>
        <w:rPr>
          <w:spacing w:val="-3"/>
          <w:w w:val="100"/>
        </w:rPr>
        <w:t>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10"/>
          <w:w w:val="100"/>
        </w:rPr>
        <w:t>）</w:t>
      </w:r>
      <w:r>
        <w:rPr>
          <w:spacing w:val="-3"/>
          <w:w w:val="100"/>
        </w:rPr>
        <w:t>等影像学检</w:t>
      </w:r>
      <w:r>
        <w:rPr>
          <w:spacing w:val="-3"/>
        </w:rPr>
        <w:t>查证实，并须满足下列至少一项条件：</w:t>
      </w:r>
    </w:p>
    <w:p>
      <w:pPr>
        <w:pStyle w:val="ListParagraph"/>
        <w:numPr>
          <w:ilvl w:val="0"/>
          <w:numId w:val="6"/>
        </w:numPr>
        <w:tabs>
          <w:tab w:pos="901" w:val="left" w:leader="none"/>
        </w:tabs>
        <w:spacing w:line="272" w:lineRule="exact" w:before="0" w:after="0"/>
        <w:ind w:left="900" w:right="0" w:hanging="360"/>
        <w:jc w:val="left"/>
        <w:rPr>
          <w:sz w:val="21"/>
        </w:rPr>
      </w:pPr>
      <w:r>
        <w:rPr>
          <w:spacing w:val="-3"/>
          <w:sz w:val="21"/>
        </w:rPr>
        <w:t>实际实施了开颅进行的脑肿瘤完全切除或部分切除的手术；</w:t>
      </w:r>
    </w:p>
    <w:p>
      <w:pPr>
        <w:pStyle w:val="ListParagraph"/>
        <w:numPr>
          <w:ilvl w:val="0"/>
          <w:numId w:val="6"/>
        </w:numPr>
        <w:tabs>
          <w:tab w:pos="901" w:val="left" w:leader="none"/>
        </w:tabs>
        <w:spacing w:line="273" w:lineRule="exact" w:before="0" w:after="0"/>
        <w:ind w:left="900" w:right="0" w:hanging="360"/>
        <w:jc w:val="left"/>
        <w:rPr>
          <w:sz w:val="21"/>
        </w:rPr>
      </w:pPr>
      <w:r>
        <w:rPr>
          <w:spacing w:val="-3"/>
          <w:sz w:val="21"/>
        </w:rPr>
        <w:t>实际实施了对脑肿瘤进行的放射治疗。</w:t>
      </w:r>
    </w:p>
    <w:p>
      <w:pPr>
        <w:spacing w:line="285" w:lineRule="auto" w:before="6"/>
        <w:ind w:left="540" w:right="4734" w:firstLine="2"/>
        <w:jc w:val="left"/>
        <w:rPr>
          <w:sz w:val="21"/>
        </w:rPr>
      </w:pPr>
      <w:r>
        <w:rPr>
          <w:rFonts w:ascii="等线" w:eastAsia="等线" w:hint="eastAsia"/>
          <w:b/>
          <w:sz w:val="21"/>
        </w:rPr>
        <w:t>脑垂体瘤、脑囊肿、脑血管性疾病不在保障范围内。</w:t>
      </w:r>
      <w:r>
        <w:rPr>
          <w:sz w:val="21"/>
        </w:rPr>
        <w:t>十、慢性肝功能衰竭失代偿期</w:t>
      </w:r>
    </w:p>
    <w:p>
      <w:pPr>
        <w:pStyle w:val="BodyText"/>
        <w:spacing w:line="243" w:lineRule="exact"/>
        <w:ind w:left="539"/>
      </w:pPr>
      <w:r>
        <w:rPr/>
        <w:t>指因慢性肝脏疾病导致肝功能衰竭。须满足下列全部条件：</w:t>
      </w:r>
    </w:p>
    <w:p>
      <w:pPr>
        <w:pStyle w:val="BodyText"/>
        <w:spacing w:before="7"/>
        <w:ind w:left="0"/>
        <w:rPr>
          <w:sz w:val="23"/>
        </w:rPr>
      </w:pPr>
      <w:r>
        <w:rPr/>
        <w:pict>
          <v:line style="position:absolute;mso-position-horizontal-relative:page;mso-position-vertical-relative:paragraph;z-index:1168;mso-wrap-distance-left:0;mso-wrap-distance-right:0" from="51pt,17.640234pt" to="195pt,17.640234pt" stroked="true" strokeweight=".48pt" strokecolor="#000000">
            <v:stroke dashstyle="solid"/>
            <w10:wrap type="topAndBottom"/>
          </v:line>
        </w:pict>
      </w:r>
    </w:p>
    <w:p>
      <w:pPr>
        <w:spacing w:line="242" w:lineRule="exact" w:before="39"/>
        <w:ind w:left="120" w:right="0" w:firstLine="0"/>
        <w:jc w:val="left"/>
        <w:rPr>
          <w:sz w:val="18"/>
        </w:rPr>
      </w:pPr>
      <w:bookmarkStart w:name="_bookmark7" w:id="58"/>
      <w:bookmarkEnd w:id="58"/>
      <w:r>
        <w:rPr/>
      </w:r>
      <w:r>
        <w:rPr>
          <w:rFonts w:ascii="Times New Roman" w:eastAsia="Times New Roman"/>
          <w:position w:val="8"/>
          <w:sz w:val="12"/>
        </w:rPr>
        <w:t>24</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5" w:lineRule="exact" w:before="0"/>
        <w:ind w:left="119" w:right="0" w:firstLine="0"/>
        <w:jc w:val="left"/>
        <w:rPr>
          <w:sz w:val="18"/>
        </w:rPr>
      </w:pPr>
      <w:r>
        <w:rPr>
          <w:sz w:val="18"/>
        </w:rPr>
        <w:t>节的整个下肢。</w:t>
      </w:r>
    </w:p>
    <w:p>
      <w:pPr>
        <w:spacing w:line="242" w:lineRule="exact" w:before="0"/>
        <w:ind w:left="127" w:right="0" w:firstLine="0"/>
        <w:jc w:val="left"/>
        <w:rPr>
          <w:sz w:val="18"/>
        </w:rPr>
      </w:pPr>
      <w:r>
        <w:rPr>
          <w:rFonts w:ascii="Times New Roman" w:eastAsia="Times New Roman"/>
          <w:position w:val="8"/>
          <w:sz w:val="12"/>
        </w:rPr>
        <w:t>25</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104"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26</w:t>
      </w:r>
      <w:r>
        <w:rPr>
          <w:rFonts w:ascii="等线" w:eastAsia="等线" w:hint="eastAsia"/>
          <w:b/>
          <w:sz w:val="18"/>
        </w:rPr>
        <w:t>六项基本日常生活活动</w:t>
      </w:r>
      <w:r>
        <w:rPr>
          <w:sz w:val="18"/>
        </w:rPr>
        <w:t>：指：</w:t>
      </w:r>
    </w:p>
    <w:p>
      <w:pPr>
        <w:spacing w:line="226" w:lineRule="exact" w:before="0"/>
        <w:ind w:left="119" w:right="0" w:firstLine="0"/>
        <w:jc w:val="left"/>
        <w:rPr>
          <w:sz w:val="18"/>
        </w:rPr>
      </w:pPr>
      <w:r>
        <w:rPr>
          <w:sz w:val="18"/>
        </w:rPr>
        <w:t>（1）穿衣：自己能够穿衣及脱衣；</w:t>
      </w:r>
    </w:p>
    <w:p>
      <w:pPr>
        <w:spacing w:line="234" w:lineRule="exact" w:before="0"/>
        <w:ind w:left="119" w:right="0" w:firstLine="0"/>
        <w:jc w:val="left"/>
        <w:rPr>
          <w:sz w:val="18"/>
        </w:rPr>
      </w:pPr>
      <w:r>
        <w:rPr>
          <w:sz w:val="18"/>
        </w:rPr>
        <w:t>（2）移动：自己从一个房间到另一个房间；</w:t>
      </w:r>
    </w:p>
    <w:p>
      <w:pPr>
        <w:spacing w:line="233" w:lineRule="exact" w:before="0"/>
        <w:ind w:left="119" w:right="0" w:firstLine="0"/>
        <w:jc w:val="left"/>
        <w:rPr>
          <w:sz w:val="18"/>
        </w:rPr>
      </w:pPr>
      <w:r>
        <w:rPr>
          <w:sz w:val="18"/>
        </w:rPr>
        <w:t>（3）行动：自己上下床或上下轮椅；</w:t>
      </w:r>
    </w:p>
    <w:p>
      <w:pPr>
        <w:spacing w:line="233" w:lineRule="exact" w:before="0"/>
        <w:ind w:left="119" w:right="0" w:firstLine="0"/>
        <w:jc w:val="left"/>
        <w:rPr>
          <w:sz w:val="18"/>
        </w:rPr>
      </w:pPr>
      <w:r>
        <w:rPr>
          <w:sz w:val="18"/>
        </w:rPr>
        <w:t>（4）如厕：自己控制进行大小便；</w:t>
      </w:r>
    </w:p>
    <w:p>
      <w:pPr>
        <w:spacing w:line="234" w:lineRule="exact" w:before="0"/>
        <w:ind w:left="119" w:right="0" w:firstLine="0"/>
        <w:jc w:val="left"/>
        <w:rPr>
          <w:sz w:val="18"/>
        </w:rPr>
      </w:pPr>
      <w:r>
        <w:rPr>
          <w:sz w:val="18"/>
        </w:rPr>
        <w:t>（5）进食：自己从已准备好的碗或碟中取食物放入口中；</w:t>
      </w:r>
    </w:p>
    <w:p>
      <w:pPr>
        <w:spacing w:before="0"/>
        <w:ind w:left="119" w:right="0" w:firstLine="0"/>
        <w:jc w:val="left"/>
        <w:rPr>
          <w:sz w:val="18"/>
        </w:rPr>
      </w:pPr>
      <w:r>
        <w:rPr>
          <w:sz w:val="18"/>
        </w:rPr>
        <w:t>（6）洗澡：自己进行淋浴或盆浴。</w:t>
      </w:r>
    </w:p>
    <w:p>
      <w:pPr>
        <w:spacing w:after="0"/>
        <w:jc w:val="left"/>
        <w:rPr>
          <w:sz w:val="18"/>
        </w:rPr>
        <w:sectPr>
          <w:pgSz w:w="11910" w:h="16840"/>
          <w:pgMar w:header="0" w:footer="808" w:top="1360" w:bottom="1000" w:left="900" w:right="880"/>
        </w:sectPr>
      </w:pPr>
    </w:p>
    <w:p>
      <w:pPr>
        <w:pStyle w:val="ListParagraph"/>
        <w:numPr>
          <w:ilvl w:val="0"/>
          <w:numId w:val="7"/>
        </w:numPr>
        <w:tabs>
          <w:tab w:pos="855" w:val="left" w:leader="none"/>
        </w:tabs>
        <w:spacing w:line="273" w:lineRule="exact" w:before="6" w:after="0"/>
        <w:ind w:left="540" w:right="0" w:firstLine="0"/>
        <w:jc w:val="left"/>
        <w:rPr>
          <w:sz w:val="21"/>
        </w:rPr>
      </w:pPr>
      <w:r>
        <w:rPr>
          <w:spacing w:val="-2"/>
          <w:sz w:val="21"/>
        </w:rPr>
        <w:t>持续性黄疸；</w:t>
      </w:r>
    </w:p>
    <w:p>
      <w:pPr>
        <w:pStyle w:val="ListParagraph"/>
        <w:numPr>
          <w:ilvl w:val="0"/>
          <w:numId w:val="7"/>
        </w:numPr>
        <w:tabs>
          <w:tab w:pos="855" w:val="left" w:leader="none"/>
        </w:tabs>
        <w:spacing w:line="272" w:lineRule="exact" w:before="0" w:after="0"/>
        <w:ind w:left="540" w:right="0" w:firstLine="0"/>
        <w:jc w:val="left"/>
        <w:rPr>
          <w:sz w:val="21"/>
        </w:rPr>
      </w:pPr>
      <w:r>
        <w:rPr>
          <w:sz w:val="21"/>
        </w:rPr>
        <w:t>腹水；</w:t>
      </w:r>
    </w:p>
    <w:p>
      <w:pPr>
        <w:pStyle w:val="ListParagraph"/>
        <w:numPr>
          <w:ilvl w:val="0"/>
          <w:numId w:val="7"/>
        </w:numPr>
        <w:tabs>
          <w:tab w:pos="855" w:val="left" w:leader="none"/>
        </w:tabs>
        <w:spacing w:line="272" w:lineRule="exact" w:before="0" w:after="0"/>
        <w:ind w:left="854" w:right="0" w:hanging="314"/>
        <w:jc w:val="left"/>
        <w:rPr>
          <w:sz w:val="21"/>
        </w:rPr>
      </w:pPr>
      <w:r>
        <w:rPr>
          <w:spacing w:val="-1"/>
          <w:sz w:val="21"/>
        </w:rPr>
        <w:t>肝性脑病；</w:t>
      </w:r>
    </w:p>
    <w:p>
      <w:pPr>
        <w:pStyle w:val="ListParagraph"/>
        <w:numPr>
          <w:ilvl w:val="0"/>
          <w:numId w:val="7"/>
        </w:numPr>
        <w:tabs>
          <w:tab w:pos="855" w:val="left" w:leader="none"/>
        </w:tabs>
        <w:spacing w:line="266" w:lineRule="auto" w:before="0" w:after="0"/>
        <w:ind w:left="540" w:right="4622" w:firstLine="0"/>
        <w:jc w:val="left"/>
        <w:rPr>
          <w:sz w:val="21"/>
        </w:rPr>
      </w:pPr>
      <w:r>
        <w:rPr>
          <w:spacing w:val="-3"/>
          <w:sz w:val="21"/>
        </w:rPr>
        <w:t>充血性脾肿大伴脾功能亢进或食管胃底静脉曲张。</w:t>
      </w:r>
      <w:r>
        <w:rPr>
          <w:rFonts w:ascii="等线" w:eastAsia="等线" w:hint="eastAsia"/>
          <w:b/>
          <w:spacing w:val="-3"/>
          <w:sz w:val="21"/>
        </w:rPr>
        <w:t>因酗酒或药物滥用导致的肝功能衰竭不在保障范围内。</w:t>
      </w:r>
      <w:r>
        <w:rPr>
          <w:spacing w:val="-3"/>
          <w:sz w:val="21"/>
        </w:rPr>
        <w:t>十一、 脑炎后遗症或脑膜炎后遗症</w:t>
      </w:r>
    </w:p>
    <w:p>
      <w:pPr>
        <w:pStyle w:val="BodyText"/>
        <w:spacing w:line="274" w:lineRule="exact" w:before="13"/>
        <w:ind w:left="120" w:right="211" w:firstLine="420"/>
      </w:pPr>
      <w:r>
        <w:rPr/>
        <w:t>指因患脑炎或脑膜炎导致的神经系统永久性的功能障碍。神经系统永久性的功能障碍，指疾病确诊 180 天后，仍遗留下列一种或一种以上障碍：</w:t>
      </w:r>
    </w:p>
    <w:p>
      <w:pPr>
        <w:pStyle w:val="ListParagraph"/>
        <w:numPr>
          <w:ilvl w:val="0"/>
          <w:numId w:val="8"/>
        </w:numPr>
        <w:tabs>
          <w:tab w:pos="855" w:val="left" w:leader="none"/>
        </w:tabs>
        <w:spacing w:line="245" w:lineRule="exact" w:before="0" w:after="0"/>
        <w:ind w:left="540" w:right="0" w:firstLine="0"/>
        <w:jc w:val="left"/>
        <w:rPr>
          <w:sz w:val="21"/>
        </w:rPr>
      </w:pPr>
      <w:r>
        <w:rPr>
          <w:spacing w:val="-3"/>
          <w:sz w:val="21"/>
        </w:rPr>
        <w:t>一肢或一肢以上肢体机能完全丧失；</w:t>
      </w:r>
    </w:p>
    <w:p>
      <w:pPr>
        <w:pStyle w:val="ListParagraph"/>
        <w:numPr>
          <w:ilvl w:val="0"/>
          <w:numId w:val="8"/>
        </w:numPr>
        <w:tabs>
          <w:tab w:pos="855" w:val="left" w:leader="none"/>
        </w:tabs>
        <w:spacing w:line="272" w:lineRule="exact" w:before="0" w:after="0"/>
        <w:ind w:left="540" w:right="0" w:firstLine="0"/>
        <w:jc w:val="left"/>
        <w:rPr>
          <w:sz w:val="21"/>
        </w:rPr>
      </w:pPr>
      <w:r>
        <w:rPr>
          <w:spacing w:val="-3"/>
          <w:sz w:val="21"/>
        </w:rPr>
        <w:t>语言能力或咀嚼吞咽能力完全丧失；</w:t>
      </w:r>
    </w:p>
    <w:p>
      <w:pPr>
        <w:pStyle w:val="ListParagraph"/>
        <w:numPr>
          <w:ilvl w:val="0"/>
          <w:numId w:val="8"/>
        </w:numPr>
        <w:tabs>
          <w:tab w:pos="855" w:val="left" w:leader="none"/>
        </w:tabs>
        <w:spacing w:line="307" w:lineRule="auto" w:before="0" w:after="0"/>
        <w:ind w:left="540" w:right="1593" w:firstLine="0"/>
        <w:jc w:val="left"/>
        <w:rPr>
          <w:sz w:val="21"/>
        </w:rPr>
      </w:pPr>
      <w:r>
        <w:rPr>
          <w:spacing w:val="-3"/>
          <w:sz w:val="21"/>
        </w:rPr>
        <w:t>自主生活能力完全丧失，无法独立完成六项基本日常生活活动中的三项或三项以上。十二、 深度昏迷</w:t>
      </w:r>
    </w:p>
    <w:p>
      <w:pPr>
        <w:pStyle w:val="BodyText"/>
        <w:spacing w:line="223" w:lineRule="exact" w:before="2"/>
      </w:pPr>
      <w:r>
        <w:rPr/>
        <w:t>指因疾病或意外伤害导致意识丧失，对外界刺激和体内需求均无反应，昏迷程度按照格拉斯哥昏迷分级</w:t>
      </w:r>
    </w:p>
    <w:p>
      <w:pPr>
        <w:spacing w:line="244" w:lineRule="auto" w:before="0"/>
        <w:ind w:left="542" w:right="105" w:hanging="423"/>
        <w:jc w:val="left"/>
        <w:rPr>
          <w:rFonts w:ascii="等线" w:eastAsia="等线"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9"/>
          <w:sz w:val="21"/>
        </w:rPr>
        <w:t> 小时以上。</w:t>
      </w:r>
      <w:r>
        <w:rPr>
          <w:rFonts w:ascii="等线" w:eastAsia="等线" w:hint="eastAsia"/>
          <w:b/>
          <w:spacing w:val="-9"/>
          <w:sz w:val="21"/>
        </w:rPr>
        <w:t>因酗酒或药物滥用导致的深度昏迷不在保障范围内。</w:t>
      </w:r>
    </w:p>
    <w:p>
      <w:pPr>
        <w:pStyle w:val="BodyText"/>
        <w:spacing w:before="51"/>
      </w:pPr>
      <w:r>
        <w:rPr/>
        <w:t>十三、 双耳失聪</w:t>
      </w:r>
    </w:p>
    <w:p>
      <w:pPr>
        <w:pStyle w:val="BodyText"/>
        <w:spacing w:line="223" w:lineRule="auto" w:before="28"/>
        <w:ind w:left="120" w:right="208" w:firstLine="419"/>
      </w:pPr>
      <w:r>
        <w:rPr>
          <w:spacing w:val="-3"/>
        </w:rPr>
        <w:t>指因疾病或意外伤害导致双耳听力</w:t>
      </w:r>
      <w:r>
        <w:rPr>
          <w:rFonts w:ascii="等线" w:eastAsia="等线" w:hint="eastAsia"/>
          <w:b/>
          <w:spacing w:val="3"/>
        </w:rPr>
        <w:t>永久不可逆性 </w:t>
      </w:r>
      <w:hyperlink w:history="true" w:anchor="_bookmark8">
        <w:r>
          <w:rPr>
            <w:rFonts w:ascii="等线" w:eastAsia="等线" w:hint="eastAsia"/>
            <w:b/>
            <w:position w:val="11"/>
            <w:sz w:val="11"/>
          </w:rPr>
          <w:t>27</w:t>
        </w:r>
      </w:hyperlink>
      <w:r>
        <w:rPr>
          <w:spacing w:val="-6"/>
        </w:rPr>
        <w:t>丧失，在 </w:t>
      </w:r>
      <w:r>
        <w:rPr/>
        <w:t>500</w:t>
      </w:r>
      <w:r>
        <w:rPr>
          <w:spacing w:val="-10"/>
        </w:rPr>
        <w:t> 赫兹、</w:t>
      </w:r>
      <w:r>
        <w:rPr>
          <w:spacing w:val="-3"/>
        </w:rPr>
        <w:t>1000</w:t>
      </w:r>
      <w:r>
        <w:rPr>
          <w:spacing w:val="-13"/>
        </w:rPr>
        <w:t> 赫兹和 </w:t>
      </w:r>
      <w:r>
        <w:rPr>
          <w:spacing w:val="-3"/>
        </w:rPr>
        <w:t>2000</w:t>
      </w:r>
      <w:r>
        <w:rPr>
          <w:spacing w:val="-8"/>
        </w:rPr>
        <w:t> 赫兹语音频率</w:t>
      </w:r>
      <w:r>
        <w:rPr>
          <w:spacing w:val="-7"/>
        </w:rPr>
        <w:t>下，平均听阈大于 </w:t>
      </w:r>
      <w:r>
        <w:rPr/>
        <w:t>90</w:t>
      </w:r>
      <w:r>
        <w:rPr>
          <w:spacing w:val="-7"/>
        </w:rPr>
        <w:t> 分贝，且经纯音听力测试、声导抗检测或听觉诱发电位检测等证实。</w:t>
      </w:r>
    </w:p>
    <w:p>
      <w:pPr>
        <w:pStyle w:val="BodyText"/>
        <w:spacing w:before="72"/>
      </w:pPr>
      <w:r>
        <w:rPr/>
        <w:t>十四、 双目失明</w:t>
      </w:r>
    </w:p>
    <w:p>
      <w:pPr>
        <w:pStyle w:val="BodyText"/>
        <w:spacing w:line="273" w:lineRule="exact" w:before="7"/>
      </w:pPr>
      <w:r>
        <w:rPr/>
        <w:t>指因疾病或意外伤害导致双目视力永久不可逆性丧失，双眼中较好眼须满足下列至少一项条件：</w:t>
      </w:r>
    </w:p>
    <w:p>
      <w:pPr>
        <w:pStyle w:val="ListParagraph"/>
        <w:numPr>
          <w:ilvl w:val="0"/>
          <w:numId w:val="9"/>
        </w:numPr>
        <w:tabs>
          <w:tab w:pos="855" w:val="left" w:leader="none"/>
        </w:tabs>
        <w:spacing w:line="272" w:lineRule="exact" w:before="0" w:after="0"/>
        <w:ind w:left="540" w:right="0" w:firstLine="0"/>
        <w:jc w:val="left"/>
        <w:rPr>
          <w:sz w:val="21"/>
        </w:rPr>
      </w:pPr>
      <w:r>
        <w:rPr>
          <w:spacing w:val="-3"/>
          <w:sz w:val="21"/>
        </w:rPr>
        <w:t>眼球缺失或摘除；</w:t>
      </w:r>
    </w:p>
    <w:p>
      <w:pPr>
        <w:pStyle w:val="ListParagraph"/>
        <w:numPr>
          <w:ilvl w:val="0"/>
          <w:numId w:val="9"/>
        </w:numPr>
        <w:tabs>
          <w:tab w:pos="856" w:val="left" w:leader="none"/>
        </w:tabs>
        <w:spacing w:line="272" w:lineRule="exact" w:before="0" w:after="0"/>
        <w:ind w:left="855" w:right="0" w:hanging="315"/>
        <w:jc w:val="left"/>
        <w:rPr>
          <w:sz w:val="21"/>
        </w:rPr>
      </w:pPr>
      <w:r>
        <w:rPr>
          <w:spacing w:val="-2"/>
          <w:w w:val="100"/>
          <w:sz w:val="21"/>
        </w:rPr>
        <w:t>矫正视力低于</w:t>
      </w:r>
      <w:r>
        <w:rPr>
          <w:spacing w:val="-53"/>
          <w:sz w:val="21"/>
        </w:rPr>
        <w:t> </w:t>
      </w:r>
      <w:r>
        <w:rPr>
          <w:spacing w:val="-3"/>
          <w:w w:val="100"/>
          <w:sz w:val="21"/>
        </w:rPr>
        <w:t>0</w:t>
      </w:r>
      <w:r>
        <w:rPr>
          <w:w w:val="100"/>
          <w:sz w:val="21"/>
        </w:rPr>
        <w:t>.0</w:t>
      </w:r>
      <w:r>
        <w:rPr>
          <w:spacing w:val="-3"/>
          <w:w w:val="100"/>
          <w:sz w:val="21"/>
        </w:rPr>
        <w:t>2</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ListParagraph"/>
        <w:numPr>
          <w:ilvl w:val="0"/>
          <w:numId w:val="9"/>
        </w:numPr>
        <w:tabs>
          <w:tab w:pos="856" w:val="left" w:leader="none"/>
        </w:tabs>
        <w:spacing w:line="307" w:lineRule="auto" w:before="0" w:after="0"/>
        <w:ind w:left="540" w:right="7475" w:firstLine="0"/>
        <w:jc w:val="left"/>
        <w:rPr>
          <w:sz w:val="21"/>
        </w:rPr>
      </w:pPr>
      <w:r>
        <w:rPr>
          <w:spacing w:val="-9"/>
          <w:sz w:val="21"/>
        </w:rPr>
        <w:t>视野半径小于 </w:t>
      </w:r>
      <w:r>
        <w:rPr>
          <w:sz w:val="21"/>
        </w:rPr>
        <w:t>5</w:t>
      </w:r>
      <w:r>
        <w:rPr>
          <w:spacing w:val="-18"/>
          <w:sz w:val="21"/>
        </w:rPr>
        <w:t> 度。</w:t>
      </w:r>
      <w:r>
        <w:rPr>
          <w:spacing w:val="-10"/>
          <w:sz w:val="21"/>
        </w:rPr>
        <w:t>十五、 瘫痪</w:t>
      </w:r>
    </w:p>
    <w:p>
      <w:pPr>
        <w:pStyle w:val="BodyText"/>
        <w:spacing w:line="223" w:lineRule="exact" w:before="2"/>
        <w:ind w:left="541"/>
      </w:pPr>
      <w:r>
        <w:rPr/>
        <w:t>指因疾病或意外伤害导致两肢或两肢以上肢体机能永久完全丧失。肢体机能永久完全丧失，指疾病确诊</w:t>
      </w:r>
    </w:p>
    <w:p>
      <w:pPr>
        <w:pStyle w:val="BodyText"/>
        <w:spacing w:line="307" w:lineRule="auto"/>
        <w:ind w:left="541" w:right="914" w:hanging="421"/>
      </w:pPr>
      <w:r>
        <w:rPr/>
        <w:t>180</w:t>
      </w:r>
      <w:r>
        <w:rPr>
          <w:spacing w:val="-12"/>
        </w:rPr>
        <w:t> 天后或意外伤害发生 </w:t>
      </w:r>
      <w:r>
        <w:rPr/>
        <w:t>180</w:t>
      </w:r>
      <w:r>
        <w:rPr>
          <w:spacing w:val="-8"/>
        </w:rPr>
        <w:t> 天后，每肢三大关节中的两大关节仍然完全僵硬，或不能随意识活动。</w:t>
      </w:r>
      <w:r>
        <w:rPr>
          <w:spacing w:val="-2"/>
        </w:rPr>
        <w:t>十六、 心脏瓣膜手术</w:t>
      </w:r>
    </w:p>
    <w:p>
      <w:pPr>
        <w:pStyle w:val="BodyText"/>
        <w:spacing w:line="224" w:lineRule="exact" w:before="2"/>
        <w:ind w:left="541"/>
      </w:pPr>
      <w:r>
        <w:rPr/>
        <w:t>指为治疗心脏瓣膜疾病，实际实施了开胸进行的心脏瓣膜置换或修复的手术。</w:t>
      </w:r>
    </w:p>
    <w:p>
      <w:pPr>
        <w:pStyle w:val="BodyText"/>
        <w:spacing w:before="73"/>
        <w:ind w:left="541"/>
      </w:pPr>
      <w:r>
        <w:rPr/>
        <w:t>十七、 严重阿尔茨海默病</w:t>
      </w:r>
    </w:p>
    <w:p>
      <w:pPr>
        <w:pStyle w:val="BodyText"/>
        <w:spacing w:line="237" w:lineRule="auto" w:before="11"/>
        <w:ind w:left="121" w:right="205" w:firstLine="420"/>
        <w:jc w:val="both"/>
      </w:pPr>
      <w:r>
        <w:rPr>
          <w:spacing w:val="-3"/>
        </w:rPr>
        <w:t>指因大脑进行性、不可逆性改变导致智能严重衰退或丧失，临床表现为明显的认知能力障碍、行为异常</w:t>
      </w:r>
      <w:r>
        <w:rPr>
          <w:spacing w:val="-3"/>
          <w:w w:val="100"/>
        </w:rPr>
        <w:t>和社交能力减退，其日常生活必须持续受到他人监护。须由头颅断层扫描</w:t>
      </w:r>
      <w:r>
        <w:rPr>
          <w:w w:val="100"/>
        </w:rPr>
        <w:t>（</w:t>
      </w:r>
      <w:r>
        <w:rPr>
          <w:spacing w:val="-3"/>
          <w:w w:val="100"/>
        </w:rPr>
        <w:t>C</w:t>
      </w:r>
      <w:r>
        <w:rPr>
          <w:spacing w:val="-1"/>
          <w:w w:val="100"/>
        </w:rPr>
        <w:t>T</w:t>
      </w:r>
      <w:r>
        <w:rPr>
          <w:spacing w:val="-106"/>
          <w:w w:val="100"/>
        </w:rPr>
        <w:t>）</w:t>
      </w:r>
      <w:r>
        <w:rPr>
          <w:spacing w:val="-1"/>
          <w:w w:val="100"/>
        </w:rPr>
        <w:t>、核磁共振检查</w:t>
      </w:r>
      <w:r>
        <w:rPr>
          <w:spacing w:val="-3"/>
          <w:w w:val="100"/>
        </w:rPr>
        <w:t>（</w:t>
      </w:r>
      <w:r>
        <w:rPr>
          <w:w w:val="100"/>
        </w:rPr>
        <w:t>MRI</w:t>
      </w:r>
      <w:r>
        <w:rPr>
          <w:spacing w:val="-3"/>
          <w:w w:val="100"/>
        </w:rPr>
        <w:t>）</w:t>
      </w:r>
      <w:r>
        <w:rPr>
          <w:w w:val="100"/>
        </w:rPr>
        <w:t>或正</w:t>
      </w:r>
      <w:r>
        <w:rPr>
          <w:spacing w:val="-6"/>
        </w:rPr>
        <w:t>电子发射断层扫描（PET）等影像学检查证实，且自主生活能力完全丧失，无法独立完成六项基本日常生活活</w:t>
      </w:r>
      <w:r>
        <w:rPr>
          <w:spacing w:val="-4"/>
        </w:rPr>
        <w:t>动中的三项或三项以上。</w:t>
      </w:r>
    </w:p>
    <w:p>
      <w:pPr>
        <w:spacing w:line="288" w:lineRule="auto" w:before="4"/>
        <w:ind w:left="540" w:right="5885" w:firstLine="2"/>
        <w:jc w:val="left"/>
        <w:rPr>
          <w:sz w:val="21"/>
        </w:rPr>
      </w:pPr>
      <w:r>
        <w:rPr>
          <w:rFonts w:ascii="等线" w:eastAsia="等线" w:hint="eastAsia"/>
          <w:b/>
          <w:sz w:val="21"/>
        </w:rPr>
        <w:t>神经官能症和精神疾病不在保障范围内。</w:t>
      </w:r>
      <w:r>
        <w:rPr>
          <w:sz w:val="21"/>
        </w:rPr>
        <w:t>十八、 严重脑损伤</w:t>
      </w:r>
    </w:p>
    <w:p>
      <w:pPr>
        <w:pStyle w:val="BodyText"/>
        <w:spacing w:line="239" w:lineRule="exact"/>
        <w:ind w:left="539"/>
      </w:pPr>
      <w:r>
        <w:rPr/>
        <w:t>指因头部遭受机械性外力，引起脑重要部位损伤，导致神经系统永久性的功能障碍。须由头颅断层扫描</w:t>
      </w:r>
    </w:p>
    <w:p>
      <w:pPr>
        <w:pStyle w:val="BodyText"/>
        <w:ind w:left="120" w:right="207" w:hanging="1"/>
      </w:pPr>
      <w:r>
        <w:rPr>
          <w:w w:val="100"/>
        </w:rPr>
        <w:t>（CT</w:t>
      </w:r>
      <w:r>
        <w:rPr>
          <w:spacing w:val="-109"/>
          <w:w w:val="100"/>
        </w:rPr>
        <w:t>）</w:t>
      </w:r>
      <w:r>
        <w:rPr>
          <w:spacing w:val="-17"/>
          <w:w w:val="100"/>
        </w:rPr>
        <w:t>、核磁共振检查</w:t>
      </w:r>
      <w:r>
        <w:rPr>
          <w:spacing w:val="-1"/>
          <w:w w:val="100"/>
        </w:rPr>
        <w:t>（</w:t>
      </w:r>
      <w:r>
        <w:rPr>
          <w:w w:val="100"/>
        </w:rPr>
        <w:t>MR</w:t>
      </w:r>
      <w:r>
        <w:rPr>
          <w:spacing w:val="-3"/>
          <w:w w:val="100"/>
        </w:rPr>
        <w:t>I</w:t>
      </w:r>
      <w:r>
        <w:rPr>
          <w:spacing w:val="-49"/>
          <w:w w:val="100"/>
        </w:rPr>
        <w:t>）</w:t>
      </w:r>
      <w:r>
        <w:rPr>
          <w:spacing w:val="-8"/>
          <w:w w:val="100"/>
        </w:rPr>
        <w:t>或正电子发射断层扫描</w:t>
      </w:r>
      <w:r>
        <w:rPr>
          <w:spacing w:val="-3"/>
          <w:w w:val="100"/>
        </w:rPr>
        <w:t>（</w:t>
      </w:r>
      <w:r>
        <w:rPr>
          <w:w w:val="100"/>
        </w:rPr>
        <w:t>PET</w:t>
      </w:r>
      <w:r>
        <w:rPr>
          <w:spacing w:val="-51"/>
          <w:w w:val="100"/>
        </w:rPr>
        <w:t>）</w:t>
      </w:r>
      <w:r>
        <w:rPr>
          <w:spacing w:val="-9"/>
          <w:w w:val="100"/>
        </w:rPr>
        <w:t>等影像学检查证实。神经系统永久性的功能障碍，</w:t>
      </w:r>
      <w:r>
        <w:rPr>
          <w:spacing w:val="-9"/>
        </w:rPr>
        <w:t>指脑损伤 </w:t>
      </w:r>
      <w:r>
        <w:rPr/>
        <w:t>180</w:t>
      </w:r>
      <w:r>
        <w:rPr>
          <w:spacing w:val="-7"/>
        </w:rPr>
        <w:t> 天后，仍遗留下列一种或一种以上障碍：</w:t>
      </w:r>
    </w:p>
    <w:p>
      <w:pPr>
        <w:pStyle w:val="ListParagraph"/>
        <w:numPr>
          <w:ilvl w:val="0"/>
          <w:numId w:val="10"/>
        </w:numPr>
        <w:tabs>
          <w:tab w:pos="855" w:val="left" w:leader="none"/>
        </w:tabs>
        <w:spacing w:line="271" w:lineRule="exact" w:before="1" w:after="0"/>
        <w:ind w:left="540" w:right="0" w:firstLine="0"/>
        <w:jc w:val="left"/>
        <w:rPr>
          <w:sz w:val="21"/>
        </w:rPr>
      </w:pPr>
      <w:r>
        <w:rPr>
          <w:spacing w:val="-3"/>
          <w:sz w:val="21"/>
        </w:rPr>
        <w:t>一肢或一肢以上肢体机能完全丧失；</w:t>
      </w:r>
    </w:p>
    <w:p>
      <w:pPr>
        <w:pStyle w:val="ListParagraph"/>
        <w:numPr>
          <w:ilvl w:val="0"/>
          <w:numId w:val="10"/>
        </w:numPr>
        <w:tabs>
          <w:tab w:pos="855" w:val="left" w:leader="none"/>
        </w:tabs>
        <w:spacing w:line="272" w:lineRule="exact" w:before="0" w:after="0"/>
        <w:ind w:left="540" w:right="0" w:firstLine="0"/>
        <w:jc w:val="left"/>
        <w:rPr>
          <w:sz w:val="21"/>
        </w:rPr>
      </w:pPr>
      <w:r>
        <w:rPr>
          <w:spacing w:val="-3"/>
          <w:sz w:val="21"/>
        </w:rPr>
        <w:t>语言能力或咀嚼吞咽能力完全丧失；</w:t>
      </w:r>
    </w:p>
    <w:p>
      <w:pPr>
        <w:pStyle w:val="ListParagraph"/>
        <w:numPr>
          <w:ilvl w:val="0"/>
          <w:numId w:val="10"/>
        </w:numPr>
        <w:tabs>
          <w:tab w:pos="855" w:val="left" w:leader="none"/>
        </w:tabs>
        <w:spacing w:line="307" w:lineRule="auto" w:before="0" w:after="0"/>
        <w:ind w:left="540" w:right="1593" w:firstLine="0"/>
        <w:jc w:val="left"/>
        <w:rPr>
          <w:sz w:val="21"/>
        </w:rPr>
      </w:pPr>
      <w:r>
        <w:rPr>
          <w:spacing w:val="-3"/>
          <w:sz w:val="21"/>
        </w:rPr>
        <w:t>自主生活能力完全丧失，无法独立完成六项基本日常生活活动中的三项或三项以上。十九、 严重帕金森病</w:t>
      </w:r>
    </w:p>
    <w:p>
      <w:pPr>
        <w:pStyle w:val="BodyText"/>
        <w:spacing w:line="223" w:lineRule="exact" w:before="1"/>
      </w:pPr>
      <w:r>
        <w:rPr/>
        <w:t>是一种中枢神经系统的退行性疾病，临床表现为震颤麻痹、共济失调等。须满足下列全部条件：</w:t>
      </w:r>
    </w:p>
    <w:p>
      <w:pPr>
        <w:pStyle w:val="ListParagraph"/>
        <w:numPr>
          <w:ilvl w:val="0"/>
          <w:numId w:val="11"/>
        </w:numPr>
        <w:tabs>
          <w:tab w:pos="901" w:val="left" w:leader="none"/>
        </w:tabs>
        <w:spacing w:line="272" w:lineRule="exact" w:before="0" w:after="0"/>
        <w:ind w:left="542" w:right="0" w:hanging="2"/>
        <w:jc w:val="left"/>
        <w:rPr>
          <w:sz w:val="21"/>
        </w:rPr>
      </w:pPr>
      <w:r>
        <w:rPr>
          <w:spacing w:val="-3"/>
          <w:sz w:val="21"/>
        </w:rPr>
        <w:t>药物治疗无法控制病情；</w:t>
      </w:r>
    </w:p>
    <w:p>
      <w:pPr>
        <w:pStyle w:val="ListParagraph"/>
        <w:numPr>
          <w:ilvl w:val="0"/>
          <w:numId w:val="11"/>
        </w:numPr>
        <w:tabs>
          <w:tab w:pos="901" w:val="left" w:leader="none"/>
        </w:tabs>
        <w:spacing w:line="244" w:lineRule="auto" w:before="0" w:after="0"/>
        <w:ind w:left="542" w:right="1547" w:hanging="2"/>
        <w:jc w:val="left"/>
        <w:rPr>
          <w:rFonts w:ascii="等线" w:eastAsia="等线" w:hint="eastAsia"/>
          <w:b/>
          <w:sz w:val="21"/>
        </w:rPr>
      </w:pPr>
      <w:r>
        <w:rPr>
          <w:spacing w:val="-3"/>
          <w:sz w:val="21"/>
        </w:rPr>
        <w:t>自主生活能力完全丧失，无法独立完成六项基本日常生活活动中的三项或三项以上。</w:t>
      </w:r>
      <w:r>
        <w:rPr>
          <w:rFonts w:ascii="等线" w:eastAsia="等线" w:hint="eastAsia"/>
          <w:b/>
          <w:spacing w:val="-3"/>
          <w:sz w:val="21"/>
        </w:rPr>
        <w:t>继发性帕金森综合征不在保障范围内。</w:t>
      </w:r>
    </w:p>
    <w:p>
      <w:pPr>
        <w:pStyle w:val="BodyText"/>
        <w:spacing w:before="2"/>
        <w:ind w:left="0"/>
        <w:rPr>
          <w:rFonts w:ascii="等线"/>
          <w:b/>
          <w:sz w:val="17"/>
        </w:rPr>
      </w:pPr>
      <w:r>
        <w:rPr/>
        <w:pict>
          <v:line style="position:absolute;mso-position-horizontal-relative:page;mso-position-vertical-relative:paragraph;z-index:1192;mso-wrap-distance-left:0;mso-wrap-distance-right:0" from="51pt,13.935204pt" to="195pt,13.935204pt" stroked="true" strokeweight=".48pt" strokecolor="#000000">
            <v:stroke dashstyle="solid"/>
            <w10:wrap type="topAndBottom"/>
          </v:line>
        </w:pict>
      </w:r>
    </w:p>
    <w:p>
      <w:pPr>
        <w:spacing w:before="77"/>
        <w:ind w:left="120" w:right="0" w:firstLine="0"/>
        <w:jc w:val="left"/>
        <w:rPr>
          <w:sz w:val="18"/>
        </w:rPr>
      </w:pPr>
      <w:bookmarkStart w:name="_bookmark8" w:id="59"/>
      <w:bookmarkEnd w:id="59"/>
      <w:r>
        <w:rPr/>
      </w:r>
      <w:r>
        <w:rPr>
          <w:rFonts w:ascii="Times New Roman" w:eastAsia="Times New Roman"/>
          <w:position w:val="8"/>
          <w:sz w:val="12"/>
        </w:rPr>
        <w:t>27</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8" w:top="1360" w:bottom="1000" w:left="900" w:right="780"/>
        </w:sectPr>
      </w:pPr>
    </w:p>
    <w:p>
      <w:pPr>
        <w:pStyle w:val="BodyText"/>
        <w:spacing w:before="2"/>
      </w:pPr>
      <w:r>
        <w:rPr/>
        <w:t>二十、 严重Ⅲ度烧伤</w:t>
      </w:r>
    </w:p>
    <w:p>
      <w:pPr>
        <w:pStyle w:val="BodyText"/>
        <w:spacing w:line="237" w:lineRule="auto" w:before="10"/>
        <w:ind w:left="120" w:right="330" w:firstLine="419"/>
      </w:pPr>
      <w:r>
        <w:rPr>
          <w:spacing w:val="-8"/>
        </w:rPr>
        <w:t>指烧伤程度为Ⅲ度，且Ⅲ度烧伤的面积达到全身体表面积的 </w:t>
      </w:r>
      <w:r>
        <w:rPr/>
        <w:t>20%</w:t>
      </w:r>
      <w:r>
        <w:rPr>
          <w:spacing w:val="-18"/>
        </w:rPr>
        <w:t>或 </w:t>
      </w:r>
      <w:r>
        <w:rPr/>
        <w:t>20</w:t>
      </w:r>
      <w:r>
        <w:rPr>
          <w:spacing w:val="-9"/>
        </w:rPr>
        <w:t>%以上。体表面积根据《中国新九分</w:t>
      </w:r>
      <w:r>
        <w:rPr>
          <w:spacing w:val="-1"/>
        </w:rPr>
        <w:t>法》计算。</w:t>
      </w:r>
    </w:p>
    <w:p>
      <w:pPr>
        <w:pStyle w:val="BodyText"/>
        <w:spacing w:before="75"/>
      </w:pPr>
      <w:r>
        <w:rPr/>
        <w:t>二十一、 严重原发性肺动脉高压</w:t>
      </w:r>
    </w:p>
    <w:p>
      <w:pPr>
        <w:pStyle w:val="BodyText"/>
        <w:spacing w:line="237" w:lineRule="auto" w:before="11"/>
        <w:ind w:left="120" w:right="328" w:firstLine="42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75"/>
      </w:pPr>
      <w:r>
        <w:rPr/>
        <w:t>二十二、 严重运动神经元病</w:t>
      </w:r>
    </w:p>
    <w:p>
      <w:pPr>
        <w:pStyle w:val="BodyText"/>
        <w:spacing w:line="237" w:lineRule="auto" w:before="10"/>
        <w:ind w:left="120" w:right="32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2"/>
      </w:pPr>
      <w:r>
        <w:rPr/>
        <w:t>二十三、 语言能力丧失</w:t>
      </w:r>
    </w:p>
    <w:p>
      <w:pPr>
        <w:pStyle w:val="BodyText"/>
        <w:spacing w:before="7"/>
        <w:ind w:left="120" w:right="117" w:firstLine="419"/>
      </w:pPr>
      <w:r>
        <w:rPr>
          <w:spacing w:val="-8"/>
          <w:w w:val="100"/>
        </w:rPr>
        <w:t>指因疾病或意外伤害导致完全丧失语言能力，经过积极治疗至少</w:t>
      </w:r>
      <w:r>
        <w:rPr>
          <w:spacing w:val="-8"/>
        </w:rPr>
        <w:t> </w:t>
      </w:r>
      <w:r>
        <w:rPr>
          <w:w w:val="100"/>
        </w:rPr>
        <w:t>12</w:t>
      </w:r>
      <w:r>
        <w:rPr>
          <w:spacing w:val="-55"/>
        </w:rPr>
        <w:t> </w:t>
      </w:r>
      <w:r>
        <w:rPr>
          <w:spacing w:val="-47"/>
          <w:w w:val="100"/>
        </w:rPr>
        <w:t>个月</w:t>
      </w:r>
      <w:r>
        <w:rPr>
          <w:spacing w:val="-3"/>
          <w:w w:val="100"/>
        </w:rPr>
        <w:t>（声带完全切除不受此时间限制</w:t>
      </w:r>
      <w:r>
        <w:rPr>
          <w:spacing w:val="-109"/>
          <w:w w:val="100"/>
        </w:rPr>
        <w:t>）</w:t>
      </w:r>
      <w:r>
        <w:rPr>
          <w:w w:val="100"/>
        </w:rPr>
        <w:t>，</w:t>
      </w:r>
      <w:r>
        <w:rPr>
          <w:spacing w:val="-3"/>
        </w:rPr>
        <w:t>仍无法通过现有医疗手段恢复。</w:t>
      </w:r>
    </w:p>
    <w:p>
      <w:pPr>
        <w:spacing w:line="288" w:lineRule="auto" w:before="3"/>
        <w:ind w:left="540" w:right="4954" w:firstLine="2"/>
        <w:jc w:val="left"/>
        <w:rPr>
          <w:sz w:val="21"/>
        </w:rPr>
      </w:pPr>
      <w:r>
        <w:rPr>
          <w:rFonts w:ascii="等线" w:eastAsia="等线" w:hint="eastAsia"/>
          <w:b/>
          <w:sz w:val="21"/>
        </w:rPr>
        <w:t>精神心理因素所致的语言能力丧失不在保障范围内。</w:t>
      </w:r>
      <w:r>
        <w:rPr>
          <w:sz w:val="21"/>
        </w:rPr>
        <w:t>二十四、 重型再生障碍性贫血</w:t>
      </w:r>
    </w:p>
    <w:p>
      <w:pPr>
        <w:pStyle w:val="BodyText"/>
        <w:spacing w:line="239" w:lineRule="exact"/>
      </w:pPr>
      <w:r>
        <w:rPr/>
        <w:t>指因骨髓造血功能慢性持续性衰竭导致的贫血、中性粒细胞减少及血小板减少。须满足下列全部条件：</w:t>
      </w:r>
    </w:p>
    <w:p>
      <w:pPr>
        <w:pStyle w:val="ListParagraph"/>
        <w:numPr>
          <w:ilvl w:val="0"/>
          <w:numId w:val="12"/>
        </w:numPr>
        <w:tabs>
          <w:tab w:pos="901" w:val="left" w:leader="none"/>
        </w:tabs>
        <w:spacing w:line="272" w:lineRule="exact" w:before="0" w:after="0"/>
        <w:ind w:left="900" w:right="0" w:hanging="360"/>
        <w:jc w:val="left"/>
        <w:rPr>
          <w:sz w:val="21"/>
        </w:rPr>
      </w:pPr>
      <w:r>
        <w:rPr>
          <w:spacing w:val="-3"/>
          <w:sz w:val="21"/>
        </w:rPr>
        <w:t>骨髓穿刺检查或骨髓活检结果支持诊断；</w:t>
      </w:r>
    </w:p>
    <w:p>
      <w:pPr>
        <w:pStyle w:val="ListParagraph"/>
        <w:numPr>
          <w:ilvl w:val="0"/>
          <w:numId w:val="12"/>
        </w:numPr>
        <w:tabs>
          <w:tab w:pos="901" w:val="left" w:leader="none"/>
        </w:tabs>
        <w:spacing w:line="274" w:lineRule="exact" w:before="0" w:after="0"/>
        <w:ind w:left="900" w:right="0" w:hanging="360"/>
        <w:jc w:val="left"/>
        <w:rPr>
          <w:sz w:val="21"/>
        </w:rPr>
      </w:pPr>
      <w:r>
        <w:rPr>
          <w:spacing w:val="-3"/>
          <w:sz w:val="21"/>
        </w:rPr>
        <w:t>外周血象须具备以下三项条件：</w:t>
      </w:r>
    </w:p>
    <w:p>
      <w:pPr>
        <w:pStyle w:val="BodyText"/>
        <w:spacing w:line="289" w:lineRule="exact"/>
        <w:ind w:left="1159"/>
      </w:pPr>
      <w:r>
        <w:rPr/>
        <w:t>（1）中性粒细胞绝对值≤0.5</w:t>
      </w:r>
      <w:r>
        <w:rPr>
          <w:rFonts w:ascii="Courier New" w:hAnsi="Courier New" w:eastAsia="Courier New"/>
        </w:rPr>
        <w:t>×</w:t>
      </w:r>
      <w:r>
        <w:rPr/>
        <w:t>10</w:t>
      </w:r>
      <w:r>
        <w:rPr>
          <w:position w:val="11"/>
          <w:sz w:val="11"/>
        </w:rPr>
        <w:t>9</w:t>
      </w:r>
      <w:r>
        <w:rPr/>
        <w:t>/L；</w:t>
      </w:r>
    </w:p>
    <w:p>
      <w:pPr>
        <w:pStyle w:val="BodyText"/>
        <w:spacing w:line="256" w:lineRule="exact"/>
        <w:ind w:left="1159"/>
      </w:pPr>
      <w:r>
        <w:rPr/>
        <w:t>（2）网织红细胞＜1%；</w:t>
      </w:r>
    </w:p>
    <w:p>
      <w:pPr>
        <w:pStyle w:val="BodyText"/>
        <w:spacing w:line="271" w:lineRule="auto" w:before="1"/>
        <w:ind w:right="6158" w:firstLine="619"/>
      </w:pPr>
      <w:r>
        <w:rPr/>
        <w:t>（3）血小板绝对值≤20</w:t>
      </w:r>
      <w:r>
        <w:rPr>
          <w:rFonts w:ascii="Courier New" w:hAnsi="Courier New" w:eastAsia="Courier New"/>
        </w:rPr>
        <w:t>×</w:t>
      </w:r>
      <w:r>
        <w:rPr/>
        <w:t>10</w:t>
      </w:r>
      <w:r>
        <w:rPr>
          <w:position w:val="11"/>
          <w:sz w:val="11"/>
        </w:rPr>
        <w:t>9</w:t>
      </w:r>
      <w:r>
        <w:rPr/>
        <w:t>/L。二十五、 主动脉手术</w:t>
      </w:r>
    </w:p>
    <w:p>
      <w:pPr>
        <w:pStyle w:val="BodyText"/>
        <w:spacing w:line="274" w:lineRule="exact" w:before="6"/>
        <w:ind w:left="119" w:right="329" w:firstLine="420"/>
      </w:pPr>
      <w:r>
        <w:rPr/>
        <w:t>指为治疗主动脉疾病，实际实施了开胸或开腹进行的切除、置换、修补病损主动脉血管的手术。主动脉指胸主动脉和腹主动脉，不包括胸主动脉和腹主动脉的分支血管。</w:t>
      </w:r>
    </w:p>
    <w:p>
      <w:pPr>
        <w:spacing w:line="265" w:lineRule="exact" w:before="0"/>
        <w:ind w:left="542"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before="57"/>
      </w:pPr>
      <w:r>
        <w:rPr/>
        <w:t>二十六、 严重多发性硬化</w:t>
      </w:r>
    </w:p>
    <w:p>
      <w:pPr>
        <w:pStyle w:val="BodyText"/>
        <w:spacing w:line="237" w:lineRule="auto" w:before="11"/>
        <w:ind w:left="119" w:right="328" w:firstLine="420"/>
        <w:jc w:val="both"/>
      </w:pPr>
      <w:r>
        <w:rPr>
          <w:spacing w:val="-3"/>
        </w:rPr>
        <w:t>多发性硬化为中枢神经系统白质多灶性脱髓鞘病变，病变有时累及灰质。多发性硬化必须明确诊断，并</w:t>
      </w:r>
      <w:r>
        <w:rPr>
          <w:spacing w:val="-4"/>
        </w:rPr>
        <w:t>且已经造成永久不可逆的神经系统功能损害。永久不可逆的神经系统损害指被保险人持续 </w:t>
      </w:r>
      <w:r>
        <w:rPr/>
        <w:t>180</w:t>
      </w:r>
      <w:r>
        <w:rPr>
          <w:spacing w:val="-7"/>
        </w:rPr>
        <w:t> 天无法独立完</w:t>
      </w:r>
      <w:r>
        <w:rPr>
          <w:spacing w:val="-3"/>
        </w:rPr>
        <w:t>成下列基本日常生活活动：</w:t>
      </w:r>
    </w:p>
    <w:p>
      <w:pPr>
        <w:pStyle w:val="ListParagraph"/>
        <w:numPr>
          <w:ilvl w:val="0"/>
          <w:numId w:val="13"/>
        </w:numPr>
        <w:tabs>
          <w:tab w:pos="901" w:val="left" w:leader="none"/>
        </w:tabs>
        <w:spacing w:line="271" w:lineRule="exact" w:before="0" w:after="0"/>
        <w:ind w:left="540" w:right="0" w:firstLine="0"/>
        <w:jc w:val="left"/>
        <w:rPr>
          <w:sz w:val="21"/>
        </w:rPr>
      </w:pPr>
      <w:r>
        <w:rPr>
          <w:spacing w:val="-3"/>
          <w:sz w:val="21"/>
        </w:rPr>
        <w:t>移动：自己从一个房间移动到另一个房间；或者</w:t>
      </w:r>
    </w:p>
    <w:p>
      <w:pPr>
        <w:pStyle w:val="ListParagraph"/>
        <w:numPr>
          <w:ilvl w:val="0"/>
          <w:numId w:val="13"/>
        </w:numPr>
        <w:tabs>
          <w:tab w:pos="901" w:val="left" w:leader="none"/>
        </w:tabs>
        <w:spacing w:line="304" w:lineRule="auto" w:before="0" w:after="0"/>
        <w:ind w:left="540" w:right="4610" w:firstLine="0"/>
        <w:jc w:val="left"/>
        <w:rPr>
          <w:sz w:val="21"/>
        </w:rPr>
      </w:pPr>
      <w:r>
        <w:rPr>
          <w:spacing w:val="-3"/>
          <w:sz w:val="21"/>
        </w:rPr>
        <w:t>进食：自己从已准备好的碗或碟中取食物放入口中。二十七、 系统性红斑狼疮－Ⅲ型或Ⅲ型以上狼疮性肾炎</w:t>
      </w:r>
    </w:p>
    <w:p>
      <w:pPr>
        <w:pStyle w:val="BodyText"/>
        <w:spacing w:line="226" w:lineRule="exact"/>
      </w:pPr>
      <w:r>
        <w:rPr/>
        <w:t>系统性红斑狼疮是由多种因素引起，累及多系统的自身免疫性疾病。其特点是生成自身抗体对抗多种自</w:t>
      </w:r>
    </w:p>
    <w:p>
      <w:pPr>
        <w:pStyle w:val="BodyText"/>
        <w:spacing w:line="272" w:lineRule="exact"/>
        <w:ind w:left="120"/>
      </w:pPr>
      <w:r>
        <w:rPr/>
        <w:t>身抗原。多见于育龄妇女。</w:t>
      </w:r>
    </w:p>
    <w:p>
      <w:pPr>
        <w:spacing w:line="228" w:lineRule="auto" w:before="13"/>
        <w:ind w:left="120" w:right="326" w:firstLine="422"/>
        <w:jc w:val="both"/>
        <w:rPr>
          <w:rFonts w:ascii="等线" w:hAnsi="等线" w:eastAsia="等线" w:hint="eastAsia"/>
          <w:b/>
          <w:sz w:val="21"/>
        </w:rPr>
      </w:pPr>
      <w:r>
        <w:rPr>
          <w:rFonts w:ascii="等线" w:hAnsi="等线" w:eastAsia="等线" w:hint="eastAsia"/>
          <w:b/>
          <w:spacing w:val="-3"/>
          <w:w w:val="95"/>
          <w:sz w:val="21"/>
        </w:rPr>
        <w:t>本保单所指的系统性红斑狼疮仅限于累及肾脏</w:t>
      </w:r>
      <w:r>
        <w:rPr>
          <w:rFonts w:ascii="等线" w:hAnsi="等线" w:eastAsia="等线" w:hint="eastAsia"/>
          <w:b/>
          <w:w w:val="95"/>
          <w:sz w:val="21"/>
        </w:rPr>
        <w:t>（</w:t>
      </w:r>
      <w:r>
        <w:rPr>
          <w:rFonts w:ascii="等线" w:hAnsi="等线" w:eastAsia="等线" w:hint="eastAsia"/>
          <w:b/>
          <w:spacing w:val="-1"/>
          <w:w w:val="95"/>
          <w:sz w:val="21"/>
        </w:rPr>
        <w:t>经肾脏活检确认的，符合  </w:t>
      </w:r>
      <w:r>
        <w:rPr>
          <w:rFonts w:ascii="等线" w:hAnsi="等线" w:eastAsia="等线" w:hint="eastAsia"/>
          <w:b/>
          <w:w w:val="90"/>
          <w:sz w:val="21"/>
        </w:rPr>
        <w:t>WHO</w:t>
      </w:r>
      <w:r>
        <w:rPr>
          <w:rFonts w:ascii="等线" w:hAnsi="等线" w:eastAsia="等线" w:hint="eastAsia"/>
          <w:b/>
          <w:spacing w:val="22"/>
          <w:w w:val="90"/>
          <w:sz w:val="21"/>
        </w:rPr>
        <w:t>  </w:t>
      </w:r>
      <w:r>
        <w:rPr>
          <w:rFonts w:ascii="等线" w:hAnsi="等线" w:eastAsia="等线" w:hint="eastAsia"/>
          <w:b/>
          <w:w w:val="95"/>
          <w:sz w:val="21"/>
        </w:rPr>
        <w:t>诊断标准定义</w:t>
      </w:r>
      <w:r>
        <w:rPr>
          <w:b/>
          <w:w w:val="95"/>
          <w:sz w:val="21"/>
        </w:rPr>
        <w:t>Ⅲ</w:t>
      </w:r>
      <w:r>
        <w:rPr>
          <w:rFonts w:ascii="等线" w:hAnsi="等线" w:eastAsia="等线" w:hint="eastAsia"/>
          <w:b/>
          <w:w w:val="95"/>
          <w:sz w:val="21"/>
        </w:rPr>
        <w:t>型或</w:t>
      </w:r>
      <w:r>
        <w:rPr>
          <w:b/>
          <w:spacing w:val="-3"/>
          <w:w w:val="95"/>
          <w:sz w:val="21"/>
        </w:rPr>
        <w:t>Ⅲ</w:t>
      </w:r>
      <w:r>
        <w:rPr>
          <w:rFonts w:ascii="等线" w:hAnsi="等线" w:eastAsia="等线" w:hint="eastAsia"/>
          <w:b/>
          <w:w w:val="95"/>
          <w:sz w:val="21"/>
        </w:rPr>
        <w:t>型</w:t>
      </w:r>
      <w:r>
        <w:rPr>
          <w:rFonts w:ascii="等线" w:hAnsi="等线" w:eastAsia="等线" w:hint="eastAsia"/>
          <w:b/>
          <w:sz w:val="21"/>
        </w:rPr>
        <w:t>以上狼疮性肾炎</w:t>
      </w:r>
      <w:r>
        <w:rPr>
          <w:rFonts w:ascii="等线" w:hAnsi="等线" w:eastAsia="等线" w:hint="eastAsia"/>
          <w:b/>
          <w:spacing w:val="-5"/>
          <w:sz w:val="21"/>
        </w:rPr>
        <w:t>）的系统性红斑狼疮。其他类型的红斑性狼疮，如盘状狼疮、仅累及血液及关节的狼疮不在本保单保障范围内。</w:t>
      </w:r>
    </w:p>
    <w:p>
      <w:pPr>
        <w:pStyle w:val="BodyText"/>
        <w:spacing w:line="254" w:lineRule="exact" w:after="31"/>
      </w:pPr>
      <w:r>
        <w:rPr/>
        <w:t>世界卫生组织（WHO）狼疮性肾炎分型：</w:t>
      </w:r>
    </w:p>
    <w:tbl>
      <w:tblPr>
        <w:tblW w:w="0" w:type="auto"/>
        <w:jc w:val="left"/>
        <w:tblInd w:w="2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3"/>
        <w:gridCol w:w="3323"/>
      </w:tblGrid>
      <w:tr>
        <w:trPr>
          <w:trHeight w:val="273"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Ⅰ型</w:t>
            </w:r>
          </w:p>
        </w:tc>
        <w:tc>
          <w:tcPr>
            <w:tcW w:w="3323" w:type="dxa"/>
            <w:tcBorders>
              <w:top w:val="single" w:sz="4" w:space="0" w:color="000000"/>
              <w:bottom w:val="single" w:sz="4" w:space="0" w:color="000000"/>
            </w:tcBorders>
          </w:tcPr>
          <w:p>
            <w:pPr>
              <w:pStyle w:val="TableParagraph"/>
              <w:ind w:left="200"/>
              <w:rPr>
                <w:sz w:val="21"/>
              </w:rPr>
            </w:pPr>
            <w:r>
              <w:rPr>
                <w:sz w:val="21"/>
              </w:rPr>
              <w:t>微小病变型</w:t>
            </w:r>
          </w:p>
        </w:tc>
      </w:tr>
      <w:tr>
        <w:trPr>
          <w:trHeight w:val="270"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Ⅱ型</w:t>
            </w:r>
          </w:p>
        </w:tc>
        <w:tc>
          <w:tcPr>
            <w:tcW w:w="3323" w:type="dxa"/>
            <w:tcBorders>
              <w:top w:val="single" w:sz="4" w:space="0" w:color="000000"/>
              <w:bottom w:val="single" w:sz="4" w:space="0" w:color="000000"/>
            </w:tcBorders>
          </w:tcPr>
          <w:p>
            <w:pPr>
              <w:pStyle w:val="TableParagraph"/>
              <w:ind w:left="200"/>
              <w:rPr>
                <w:sz w:val="21"/>
              </w:rPr>
            </w:pPr>
            <w:r>
              <w:rPr>
                <w:sz w:val="21"/>
              </w:rPr>
              <w:t>系膜病变型</w:t>
            </w:r>
          </w:p>
        </w:tc>
      </w:tr>
      <w:tr>
        <w:trPr>
          <w:trHeight w:val="273" w:hRule="atLeast"/>
        </w:trPr>
        <w:tc>
          <w:tcPr>
            <w:tcW w:w="1163" w:type="dxa"/>
            <w:tcBorders>
              <w:top w:val="single" w:sz="4" w:space="0" w:color="000000"/>
              <w:bottom w:val="single" w:sz="4" w:space="0" w:color="000000"/>
            </w:tcBorders>
          </w:tcPr>
          <w:p>
            <w:pPr>
              <w:pStyle w:val="TableParagraph"/>
              <w:spacing w:line="243" w:lineRule="exact"/>
              <w:ind w:right="198"/>
              <w:jc w:val="right"/>
              <w:rPr>
                <w:sz w:val="21"/>
              </w:rPr>
            </w:pPr>
            <w:r>
              <w:rPr>
                <w:sz w:val="21"/>
              </w:rPr>
              <w:t>Ⅲ型</w:t>
            </w:r>
          </w:p>
        </w:tc>
        <w:tc>
          <w:tcPr>
            <w:tcW w:w="3323" w:type="dxa"/>
            <w:tcBorders>
              <w:top w:val="single" w:sz="4" w:space="0" w:color="000000"/>
              <w:bottom w:val="single" w:sz="4" w:space="0" w:color="000000"/>
            </w:tcBorders>
          </w:tcPr>
          <w:p>
            <w:pPr>
              <w:pStyle w:val="TableParagraph"/>
              <w:spacing w:line="243" w:lineRule="exact"/>
              <w:ind w:left="200"/>
              <w:rPr>
                <w:sz w:val="21"/>
              </w:rPr>
            </w:pPr>
            <w:r>
              <w:rPr>
                <w:sz w:val="21"/>
              </w:rPr>
              <w:t>局灶及节段增生型</w:t>
            </w:r>
          </w:p>
        </w:tc>
      </w:tr>
      <w:tr>
        <w:trPr>
          <w:trHeight w:val="273"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Ⅳ型</w:t>
            </w:r>
          </w:p>
        </w:tc>
        <w:tc>
          <w:tcPr>
            <w:tcW w:w="3323" w:type="dxa"/>
            <w:tcBorders>
              <w:top w:val="single" w:sz="4" w:space="0" w:color="000000"/>
              <w:bottom w:val="single" w:sz="4" w:space="0" w:color="000000"/>
            </w:tcBorders>
          </w:tcPr>
          <w:p>
            <w:pPr>
              <w:pStyle w:val="TableParagraph"/>
              <w:ind w:left="200"/>
              <w:rPr>
                <w:sz w:val="21"/>
              </w:rPr>
            </w:pPr>
            <w:r>
              <w:rPr>
                <w:sz w:val="21"/>
              </w:rPr>
              <w:t>弥漫增生型</w:t>
            </w:r>
          </w:p>
        </w:tc>
      </w:tr>
      <w:tr>
        <w:trPr>
          <w:trHeight w:val="270"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Ⅴ型</w:t>
            </w:r>
          </w:p>
        </w:tc>
        <w:tc>
          <w:tcPr>
            <w:tcW w:w="3323" w:type="dxa"/>
            <w:tcBorders>
              <w:top w:val="single" w:sz="4" w:space="0" w:color="000000"/>
              <w:bottom w:val="single" w:sz="4" w:space="0" w:color="000000"/>
            </w:tcBorders>
          </w:tcPr>
          <w:p>
            <w:pPr>
              <w:pStyle w:val="TableParagraph"/>
              <w:ind w:left="200"/>
              <w:rPr>
                <w:sz w:val="21"/>
              </w:rPr>
            </w:pPr>
            <w:r>
              <w:rPr>
                <w:sz w:val="21"/>
              </w:rPr>
              <w:t>膜型</w:t>
            </w:r>
          </w:p>
        </w:tc>
      </w:tr>
      <w:tr>
        <w:trPr>
          <w:trHeight w:val="273"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Ⅵ型</w:t>
            </w:r>
          </w:p>
        </w:tc>
        <w:tc>
          <w:tcPr>
            <w:tcW w:w="3323" w:type="dxa"/>
            <w:tcBorders>
              <w:top w:val="single" w:sz="4" w:space="0" w:color="000000"/>
              <w:bottom w:val="single" w:sz="4" w:space="0" w:color="000000"/>
            </w:tcBorders>
          </w:tcPr>
          <w:p>
            <w:pPr>
              <w:pStyle w:val="TableParagraph"/>
              <w:ind w:left="200"/>
              <w:rPr>
                <w:sz w:val="21"/>
              </w:rPr>
            </w:pPr>
            <w:r>
              <w:rPr>
                <w:sz w:val="21"/>
              </w:rPr>
              <w:t>肾小球硬化型</w:t>
            </w:r>
          </w:p>
        </w:tc>
      </w:tr>
    </w:tbl>
    <w:p>
      <w:pPr>
        <w:pStyle w:val="BodyText"/>
        <w:spacing w:before="42"/>
      </w:pPr>
      <w:r>
        <w:rPr/>
        <w:t>二十八、 慢性呼吸功能衰竭</w:t>
      </w:r>
    </w:p>
    <w:p>
      <w:pPr>
        <w:pStyle w:val="BodyText"/>
        <w:spacing w:before="7"/>
        <w:ind w:left="119" w:right="329" w:firstLine="420"/>
      </w:pPr>
      <w:r>
        <w:rPr/>
        <w:t>指慢性肺部疾病导致永久不可逆性的慢性呼吸功能衰竭。慢性呼吸功能衰竭必须明确诊断并满足下列全部条件：</w:t>
      </w:r>
    </w:p>
    <w:p>
      <w:pPr>
        <w:pStyle w:val="ListParagraph"/>
        <w:numPr>
          <w:ilvl w:val="0"/>
          <w:numId w:val="14"/>
        </w:numPr>
        <w:tabs>
          <w:tab w:pos="900" w:val="left" w:leader="none"/>
        </w:tabs>
        <w:spacing w:line="240" w:lineRule="auto" w:before="17" w:after="0"/>
        <w:ind w:left="540" w:right="0" w:hanging="1"/>
        <w:jc w:val="left"/>
        <w:rPr>
          <w:sz w:val="21"/>
        </w:rPr>
      </w:pPr>
      <w:r>
        <w:rPr>
          <w:spacing w:val="-3"/>
          <w:sz w:val="21"/>
        </w:rPr>
        <w:t>休息时出现呼吸困难；</w:t>
      </w:r>
    </w:p>
    <w:p>
      <w:pPr>
        <w:spacing w:after="0" w:line="240" w:lineRule="auto"/>
        <w:jc w:val="left"/>
        <w:rPr>
          <w:sz w:val="21"/>
        </w:rPr>
        <w:sectPr>
          <w:pgSz w:w="11910" w:h="16840"/>
          <w:pgMar w:header="0" w:footer="808" w:top="1440" w:bottom="1000" w:left="900" w:right="660"/>
        </w:sectPr>
      </w:pPr>
    </w:p>
    <w:p>
      <w:pPr>
        <w:pStyle w:val="ListParagraph"/>
        <w:numPr>
          <w:ilvl w:val="0"/>
          <w:numId w:val="14"/>
        </w:numPr>
        <w:tabs>
          <w:tab w:pos="855" w:val="left" w:leader="none"/>
        </w:tabs>
        <w:spacing w:line="240" w:lineRule="auto" w:before="7" w:after="0"/>
        <w:ind w:left="854" w:right="0" w:hanging="314"/>
        <w:jc w:val="left"/>
        <w:rPr>
          <w:sz w:val="21"/>
        </w:rPr>
      </w:pPr>
      <w:r>
        <w:rPr>
          <w:spacing w:val="-2"/>
          <w:position w:val="1"/>
          <w:sz w:val="21"/>
        </w:rPr>
        <w:t>动脉血氧分压</w:t>
      </w:r>
      <w:r>
        <w:rPr>
          <w:position w:val="1"/>
          <w:sz w:val="21"/>
        </w:rPr>
        <w:t>（PaO</w:t>
      </w:r>
      <w:r>
        <w:rPr>
          <w:sz w:val="11"/>
        </w:rPr>
        <w:t>2</w:t>
      </w:r>
      <w:r>
        <w:rPr>
          <w:position w:val="1"/>
          <w:sz w:val="21"/>
        </w:rPr>
        <w:t>）&lt;50mmHg；</w:t>
      </w:r>
    </w:p>
    <w:p>
      <w:pPr>
        <w:pStyle w:val="ListParagraph"/>
        <w:numPr>
          <w:ilvl w:val="0"/>
          <w:numId w:val="14"/>
        </w:numPr>
        <w:tabs>
          <w:tab w:pos="855" w:val="left" w:leader="none"/>
        </w:tabs>
        <w:spacing w:line="240" w:lineRule="auto" w:before="37" w:after="0"/>
        <w:ind w:left="854" w:right="0" w:hanging="314"/>
        <w:jc w:val="left"/>
        <w:rPr>
          <w:sz w:val="21"/>
        </w:rPr>
      </w:pPr>
      <w:r>
        <w:rPr>
          <w:spacing w:val="-3"/>
          <w:position w:val="1"/>
          <w:sz w:val="21"/>
        </w:rPr>
        <w:t>动脉血氧饱和度</w:t>
      </w:r>
      <w:r>
        <w:rPr>
          <w:position w:val="1"/>
          <w:sz w:val="21"/>
        </w:rPr>
        <w:t>（SaO</w:t>
      </w:r>
      <w:r>
        <w:rPr>
          <w:sz w:val="11"/>
        </w:rPr>
        <w:t>2</w:t>
      </w:r>
      <w:r>
        <w:rPr>
          <w:position w:val="1"/>
          <w:sz w:val="21"/>
        </w:rPr>
        <w:t>）&lt;80%；</w:t>
      </w:r>
    </w:p>
    <w:p>
      <w:pPr>
        <w:pStyle w:val="ListParagraph"/>
        <w:numPr>
          <w:ilvl w:val="0"/>
          <w:numId w:val="14"/>
        </w:numPr>
        <w:tabs>
          <w:tab w:pos="855" w:val="left" w:leader="none"/>
        </w:tabs>
        <w:spacing w:line="321" w:lineRule="auto" w:before="37" w:after="0"/>
        <w:ind w:left="540" w:right="6116" w:firstLine="0"/>
        <w:jc w:val="left"/>
        <w:rPr>
          <w:sz w:val="21"/>
        </w:rPr>
      </w:pPr>
      <w:r>
        <w:rPr>
          <w:spacing w:val="-3"/>
          <w:sz w:val="21"/>
        </w:rPr>
        <w:t>因缺氧必须接受持续的输氧治疗。二十九、 全身性重症肌无力</w:t>
      </w:r>
    </w:p>
    <w:p>
      <w:pPr>
        <w:pStyle w:val="BodyText"/>
        <w:spacing w:line="233" w:lineRule="exact"/>
      </w:pPr>
      <w:r>
        <w:rPr/>
        <w:t>重症肌无力是一种神经肌肉接头传递障碍所致的疾病，表现为局部或全身骨骼肌（特别是眼外肌）极易</w:t>
      </w:r>
    </w:p>
    <w:p>
      <w:pPr>
        <w:pStyle w:val="BodyText"/>
        <w:spacing w:before="37"/>
        <w:ind w:left="120"/>
      </w:pPr>
      <w:r>
        <w:rPr/>
        <w:t>疲劳。疾病可以累及呼吸肌、上肢或下肢的近端肌群或全身肌肉，必须满足下列全部条件：</w:t>
      </w:r>
    </w:p>
    <w:p>
      <w:pPr>
        <w:pStyle w:val="ListParagraph"/>
        <w:numPr>
          <w:ilvl w:val="0"/>
          <w:numId w:val="15"/>
        </w:numPr>
        <w:tabs>
          <w:tab w:pos="901" w:val="left" w:leader="none"/>
        </w:tabs>
        <w:spacing w:line="240" w:lineRule="auto" w:before="36" w:after="0"/>
        <w:ind w:left="540" w:right="0" w:firstLine="0"/>
        <w:jc w:val="left"/>
        <w:rPr>
          <w:sz w:val="21"/>
        </w:rPr>
      </w:pPr>
      <w:r>
        <w:rPr>
          <w:spacing w:val="-3"/>
          <w:sz w:val="21"/>
        </w:rPr>
        <w:t>经药物治疗和胸腺切除治疗一年以上仍无法控制病情；</w:t>
      </w:r>
    </w:p>
    <w:p>
      <w:pPr>
        <w:pStyle w:val="ListParagraph"/>
        <w:numPr>
          <w:ilvl w:val="0"/>
          <w:numId w:val="15"/>
        </w:numPr>
        <w:tabs>
          <w:tab w:pos="901" w:val="left" w:leader="none"/>
        </w:tabs>
        <w:spacing w:line="321" w:lineRule="auto" w:before="36" w:after="0"/>
        <w:ind w:left="540" w:right="1448" w:firstLine="0"/>
        <w:jc w:val="left"/>
        <w:rPr>
          <w:sz w:val="21"/>
        </w:rPr>
      </w:pPr>
      <w:r>
        <w:rPr>
          <w:spacing w:val="-3"/>
          <w:sz w:val="21"/>
        </w:rPr>
        <w:t>自主生活能力完全丧失，无法独立完成六项基本日常生活活动中的三项或三项以上。三十、 经输血导致的人类免疫缺陷病毒</w:t>
      </w:r>
      <w:r>
        <w:rPr>
          <w:sz w:val="21"/>
        </w:rPr>
        <w:t>（HIV）感染</w:t>
      </w:r>
    </w:p>
    <w:p>
      <w:pPr>
        <w:pStyle w:val="BodyText"/>
        <w:spacing w:line="210" w:lineRule="exact"/>
      </w:pPr>
      <w:r>
        <w:rPr/>
        <w:t>指被保险人感染上人类免疫缺陷病毒（HIV）并且满足下列全部条件：</w:t>
      </w:r>
    </w:p>
    <w:p>
      <w:pPr>
        <w:pStyle w:val="ListParagraph"/>
        <w:numPr>
          <w:ilvl w:val="0"/>
          <w:numId w:val="16"/>
        </w:numPr>
        <w:tabs>
          <w:tab w:pos="855" w:val="left" w:leader="none"/>
        </w:tabs>
        <w:spacing w:line="272" w:lineRule="exact" w:before="0" w:after="0"/>
        <w:ind w:left="120" w:right="0" w:firstLine="427"/>
        <w:jc w:val="left"/>
        <w:rPr>
          <w:sz w:val="21"/>
        </w:rPr>
      </w:pPr>
      <w:r>
        <w:rPr>
          <w:spacing w:val="-4"/>
          <w:sz w:val="21"/>
        </w:rPr>
        <w:t>在保障起始日或复效日之后，被保险人因治疗必需而接受输血，并且因输血而感染 </w:t>
      </w:r>
      <w:r>
        <w:rPr>
          <w:sz w:val="21"/>
        </w:rPr>
        <w:t>HIV；</w:t>
      </w:r>
    </w:p>
    <w:p>
      <w:pPr>
        <w:pStyle w:val="ListParagraph"/>
        <w:numPr>
          <w:ilvl w:val="0"/>
          <w:numId w:val="16"/>
        </w:numPr>
        <w:tabs>
          <w:tab w:pos="856" w:val="left" w:leader="none"/>
        </w:tabs>
        <w:spacing w:line="237" w:lineRule="auto" w:before="1" w:after="0"/>
        <w:ind w:left="120" w:right="106" w:firstLine="420"/>
        <w:jc w:val="left"/>
        <w:rPr>
          <w:sz w:val="21"/>
        </w:rPr>
      </w:pPr>
      <w:r>
        <w:rPr>
          <w:spacing w:val="-6"/>
          <w:sz w:val="21"/>
        </w:rPr>
        <w:t>提供输血治疗的输血中心或医院出具该项输血感染属医疗责任事故的报告，或者法院终审裁定为医疗</w:t>
      </w:r>
      <w:r>
        <w:rPr>
          <w:spacing w:val="-4"/>
          <w:sz w:val="21"/>
        </w:rPr>
        <w:t>责任并且不准上诉；</w:t>
      </w:r>
    </w:p>
    <w:p>
      <w:pPr>
        <w:pStyle w:val="ListParagraph"/>
        <w:numPr>
          <w:ilvl w:val="0"/>
          <w:numId w:val="16"/>
        </w:numPr>
        <w:tabs>
          <w:tab w:pos="856" w:val="left" w:leader="none"/>
        </w:tabs>
        <w:spacing w:line="272" w:lineRule="exact" w:before="0" w:after="0"/>
        <w:ind w:left="855" w:right="0" w:hanging="315"/>
        <w:jc w:val="left"/>
        <w:rPr>
          <w:sz w:val="21"/>
        </w:rPr>
      </w:pPr>
      <w:r>
        <w:rPr>
          <w:spacing w:val="-3"/>
          <w:sz w:val="21"/>
        </w:rPr>
        <w:t>提供输血治疗的输血中心或医院必须拥有合法经营执照；</w:t>
      </w:r>
    </w:p>
    <w:p>
      <w:pPr>
        <w:pStyle w:val="ListParagraph"/>
        <w:numPr>
          <w:ilvl w:val="0"/>
          <w:numId w:val="16"/>
        </w:numPr>
        <w:tabs>
          <w:tab w:pos="856" w:val="left" w:leader="none"/>
        </w:tabs>
        <w:spacing w:line="273" w:lineRule="exact" w:before="0" w:after="0"/>
        <w:ind w:left="855" w:right="0" w:hanging="315"/>
        <w:jc w:val="left"/>
        <w:rPr>
          <w:sz w:val="21"/>
        </w:rPr>
      </w:pPr>
      <w:r>
        <w:rPr>
          <w:spacing w:val="-3"/>
          <w:sz w:val="21"/>
        </w:rPr>
        <w:t>受感染的被保险人不是血友病患者。</w:t>
      </w:r>
    </w:p>
    <w:p>
      <w:pPr>
        <w:spacing w:line="228" w:lineRule="auto" w:before="20"/>
        <w:ind w:left="120" w:right="60" w:firstLine="422"/>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line="228" w:lineRule="auto" w:before="1"/>
        <w:ind w:left="120" w:right="111" w:firstLine="422"/>
        <w:jc w:val="left"/>
        <w:rPr>
          <w:rFonts w:ascii="等线" w:eastAsia="等线" w:hint="eastAsia"/>
          <w:b/>
          <w:sz w:val="21"/>
        </w:rPr>
      </w:pPr>
      <w:r>
        <w:rPr>
          <w:rFonts w:ascii="等线" w:eastAsia="等线" w:hint="eastAsia"/>
          <w:b/>
          <w:sz w:val="21"/>
        </w:rPr>
        <w:t>任何因其他传播方式（包括：性传播或静脉注射毒品）导致的人类免疫缺陷病毒感染不在本保单保障范围内。</w:t>
      </w:r>
    </w:p>
    <w:p>
      <w:pPr>
        <w:spacing w:line="285" w:lineRule="auto" w:before="0"/>
        <w:ind w:left="540" w:right="306" w:firstLine="2"/>
        <w:jc w:val="left"/>
        <w:rPr>
          <w:sz w:val="21"/>
        </w:rPr>
      </w:pPr>
      <w:r>
        <w:rPr>
          <w:rFonts w:ascii="等线" w:eastAsia="等线" w:hint="eastAsia"/>
          <w:b/>
          <w:sz w:val="21"/>
        </w:rPr>
        <w:t>保险公司必须拥有获得使用被保险人的所有血液样本的权利和能够对这些样本进行独立检验的权利。</w:t>
      </w:r>
      <w:r>
        <w:rPr>
          <w:sz w:val="21"/>
        </w:rPr>
        <w:t>三十一、 植物人状态</w:t>
      </w:r>
    </w:p>
    <w:p>
      <w:pPr>
        <w:pStyle w:val="BodyText"/>
        <w:spacing w:line="243" w:lineRule="exact" w:before="12"/>
        <w:ind w:left="539"/>
      </w:pPr>
      <w:r>
        <w:rPr/>
        <w:t>指由于严重颅脑外伤造成大脑和/或脑干严重损害导致完全永久性的对自身和环境的意识丧失和中枢神</w:t>
      </w:r>
    </w:p>
    <w:p>
      <w:pPr>
        <w:spacing w:line="237" w:lineRule="auto" w:before="1"/>
        <w:ind w:left="120" w:right="106" w:firstLine="0"/>
        <w:jc w:val="left"/>
        <w:rPr>
          <w:rFonts w:ascii="等线" w:eastAsia="等线" w:hint="eastAsia"/>
          <w:b/>
          <w:sz w:val="21"/>
        </w:rPr>
      </w:pPr>
      <w:r>
        <w:rPr>
          <w:sz w:val="21"/>
        </w:rPr>
        <w:t>经系统功能丧失，仅残存植物神经功能的疾病状态。诊断必须明确诊断并且具有严重颅脑外伤和脑损害的证据。</w:t>
      </w:r>
      <w:r>
        <w:rPr>
          <w:rFonts w:ascii="等线" w:eastAsia="等线" w:hint="eastAsia"/>
          <w:b/>
          <w:sz w:val="21"/>
        </w:rPr>
        <w:t>植物人状态必须持续 30 天以上方可申请理赔。</w:t>
      </w:r>
    </w:p>
    <w:p>
      <w:pPr>
        <w:pStyle w:val="BodyText"/>
        <w:spacing w:before="54"/>
      </w:pPr>
      <w:r>
        <w:rPr/>
        <w:t>三十二、 肺源性心脏病</w:t>
      </w:r>
    </w:p>
    <w:p>
      <w:pPr>
        <w:pStyle w:val="BodyText"/>
        <w:spacing w:line="273" w:lineRule="auto" w:before="30"/>
        <w:ind w:left="119" w:right="106" w:firstLine="420"/>
        <w:jc w:val="both"/>
      </w:pP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sectPr>
      <w:pgSz w:w="11910" w:h="16840"/>
      <w:pgMar w:header="0" w:footer="808" w:top="1380" w:bottom="100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505554pt;width:125.65pt;height:9.2pt;mso-position-horizontal-relative:page;mso-position-vertical-relative:page;z-index:-16456" type="#_x0000_t202" filled="false" stroked="false">
          <v:textbox inset="0,0,0,0">
            <w:txbxContent>
              <w:p>
                <w:pPr>
                  <w:spacing w:line="164" w:lineRule="exact" w:before="0"/>
                  <w:ind w:left="20" w:right="0" w:firstLine="0"/>
                  <w:jc w:val="left"/>
                  <w:rPr>
                    <w:sz w:val="13"/>
                  </w:rPr>
                </w:pPr>
                <w:r>
                  <w:rPr>
                    <w:sz w:val="13"/>
                  </w:rPr>
                  <w:t>吉祥人寿团体重大疾病保险条款（第</w:t>
                </w:r>
                <w:r>
                  <w:rPr/>
                  <w:fldChar w:fldCharType="begin"/>
                </w:r>
                <w:r>
                  <w:rPr>
                    <w:rFonts w:ascii="Times New Roman" w:eastAsia="Times New Roman"/>
                    <w:sz w:val="13"/>
                  </w:rPr>
                  <w:instrText> PAGE </w:instrText>
                </w:r>
                <w:r>
                  <w:rPr/>
                  <w:fldChar w:fldCharType="separate"/>
                </w:r>
                <w:r>
                  <w:rPr/>
                  <w:t>10</w:t>
                </w:r>
                <w:r>
                  <w:rPr/>
                  <w:fldChar w:fldCharType="end"/>
                </w:r>
                <w:r>
                  <w:rPr>
                    <w:sz w:val="13"/>
                  </w:rPr>
                  <w:t>页）</w:t>
                </w:r>
              </w:p>
            </w:txbxContent>
          </v:textbox>
          <w10:wrap type="none"/>
        </v:shape>
      </w:pict>
    </w:r>
    <w:r>
      <w:rPr/>
      <w:pict>
        <v:shape style="position:absolute;margin-left:443.122833pt;margin-top:790.964355pt;width:80pt;height:8.5pt;mso-position-horizontal-relative:page;mso-position-vertical-relative:page;z-index:-16432"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15">
    <w:multiLevelType w:val="hybridMultilevel"/>
    <w:lvl w:ilvl="0">
      <w:start w:val="1"/>
      <w:numFmt w:val="decimal"/>
      <w:lvlText w:val="%1."/>
      <w:lvlJc w:val="left"/>
      <w:pPr>
        <w:ind w:left="120" w:hanging="308"/>
        <w:jc w:val="left"/>
      </w:pPr>
      <w:rPr>
        <w:rFonts w:hint="default" w:ascii="宋体" w:hAnsi="宋体" w:eastAsia="宋体" w:cs="宋体"/>
        <w:w w:val="100"/>
        <w:sz w:val="21"/>
        <w:szCs w:val="21"/>
      </w:rPr>
    </w:lvl>
    <w:lvl w:ilvl="1">
      <w:start w:val="0"/>
      <w:numFmt w:val="bullet"/>
      <w:lvlText w:val="•"/>
      <w:lvlJc w:val="left"/>
      <w:pPr>
        <w:ind w:left="1120" w:hanging="308"/>
      </w:pPr>
      <w:rPr>
        <w:rFonts w:hint="default"/>
      </w:rPr>
    </w:lvl>
    <w:lvl w:ilvl="2">
      <w:start w:val="0"/>
      <w:numFmt w:val="bullet"/>
      <w:lvlText w:val="•"/>
      <w:lvlJc w:val="left"/>
      <w:pPr>
        <w:ind w:left="2121" w:hanging="308"/>
      </w:pPr>
      <w:rPr>
        <w:rFonts w:hint="default"/>
      </w:rPr>
    </w:lvl>
    <w:lvl w:ilvl="3">
      <w:start w:val="0"/>
      <w:numFmt w:val="bullet"/>
      <w:lvlText w:val="•"/>
      <w:lvlJc w:val="left"/>
      <w:pPr>
        <w:ind w:left="3121" w:hanging="308"/>
      </w:pPr>
      <w:rPr>
        <w:rFonts w:hint="default"/>
      </w:rPr>
    </w:lvl>
    <w:lvl w:ilvl="4">
      <w:start w:val="0"/>
      <w:numFmt w:val="bullet"/>
      <w:lvlText w:val="•"/>
      <w:lvlJc w:val="left"/>
      <w:pPr>
        <w:ind w:left="4122" w:hanging="308"/>
      </w:pPr>
      <w:rPr>
        <w:rFonts w:hint="default"/>
      </w:rPr>
    </w:lvl>
    <w:lvl w:ilvl="5">
      <w:start w:val="0"/>
      <w:numFmt w:val="bullet"/>
      <w:lvlText w:val="•"/>
      <w:lvlJc w:val="left"/>
      <w:pPr>
        <w:ind w:left="5123" w:hanging="308"/>
      </w:pPr>
      <w:rPr>
        <w:rFonts w:hint="default"/>
      </w:rPr>
    </w:lvl>
    <w:lvl w:ilvl="6">
      <w:start w:val="0"/>
      <w:numFmt w:val="bullet"/>
      <w:lvlText w:val="•"/>
      <w:lvlJc w:val="left"/>
      <w:pPr>
        <w:ind w:left="6123" w:hanging="308"/>
      </w:pPr>
      <w:rPr>
        <w:rFonts w:hint="default"/>
      </w:rPr>
    </w:lvl>
    <w:lvl w:ilvl="7">
      <w:start w:val="0"/>
      <w:numFmt w:val="bullet"/>
      <w:lvlText w:val="•"/>
      <w:lvlJc w:val="left"/>
      <w:pPr>
        <w:ind w:left="7124" w:hanging="308"/>
      </w:pPr>
      <w:rPr>
        <w:rFonts w:hint="default"/>
      </w:rPr>
    </w:lvl>
    <w:lvl w:ilvl="8">
      <w:start w:val="0"/>
      <w:numFmt w:val="bullet"/>
      <w:lvlText w:val="•"/>
      <w:lvlJc w:val="left"/>
      <w:pPr>
        <w:ind w:left="8125" w:hanging="308"/>
      </w:pPr>
      <w:rPr>
        <w:rFonts w:hint="default"/>
      </w:rPr>
    </w:lvl>
  </w:abstractNum>
  <w:abstractNum w:abstractNumId="14">
    <w:multiLevelType w:val="hybridMultilevel"/>
    <w:lvl w:ilvl="0">
      <w:start w:val="1"/>
      <w:numFmt w:val="decimal"/>
      <w:lvlText w:val="%1."/>
      <w:lvlJc w:val="left"/>
      <w:pPr>
        <w:ind w:left="540" w:hanging="361"/>
        <w:jc w:val="left"/>
      </w:pPr>
      <w:rPr>
        <w:rFonts w:hint="default" w:ascii="宋体" w:hAnsi="宋体" w:eastAsia="宋体" w:cs="宋体"/>
        <w:w w:val="100"/>
        <w:sz w:val="21"/>
        <w:szCs w:val="21"/>
      </w:rPr>
    </w:lvl>
    <w:lvl w:ilvl="1">
      <w:start w:val="0"/>
      <w:numFmt w:val="bullet"/>
      <w:lvlText w:val="•"/>
      <w:lvlJc w:val="left"/>
      <w:pPr>
        <w:ind w:left="1498" w:hanging="361"/>
      </w:pPr>
      <w:rPr>
        <w:rFonts w:hint="default"/>
      </w:rPr>
    </w:lvl>
    <w:lvl w:ilvl="2">
      <w:start w:val="0"/>
      <w:numFmt w:val="bullet"/>
      <w:lvlText w:val="•"/>
      <w:lvlJc w:val="left"/>
      <w:pPr>
        <w:ind w:left="2457" w:hanging="361"/>
      </w:pPr>
      <w:rPr>
        <w:rFonts w:hint="default"/>
      </w:rPr>
    </w:lvl>
    <w:lvl w:ilvl="3">
      <w:start w:val="0"/>
      <w:numFmt w:val="bullet"/>
      <w:lvlText w:val="•"/>
      <w:lvlJc w:val="left"/>
      <w:pPr>
        <w:ind w:left="3415" w:hanging="361"/>
      </w:pPr>
      <w:rPr>
        <w:rFonts w:hint="default"/>
      </w:rPr>
    </w:lvl>
    <w:lvl w:ilvl="4">
      <w:start w:val="0"/>
      <w:numFmt w:val="bullet"/>
      <w:lvlText w:val="•"/>
      <w:lvlJc w:val="left"/>
      <w:pPr>
        <w:ind w:left="4374" w:hanging="361"/>
      </w:pPr>
      <w:rPr>
        <w:rFonts w:hint="default"/>
      </w:rPr>
    </w:lvl>
    <w:lvl w:ilvl="5">
      <w:start w:val="0"/>
      <w:numFmt w:val="bullet"/>
      <w:lvlText w:val="•"/>
      <w:lvlJc w:val="left"/>
      <w:pPr>
        <w:ind w:left="5333" w:hanging="361"/>
      </w:pPr>
      <w:rPr>
        <w:rFonts w:hint="default"/>
      </w:rPr>
    </w:lvl>
    <w:lvl w:ilvl="6">
      <w:start w:val="0"/>
      <w:numFmt w:val="bullet"/>
      <w:lvlText w:val="•"/>
      <w:lvlJc w:val="left"/>
      <w:pPr>
        <w:ind w:left="6291" w:hanging="361"/>
      </w:pPr>
      <w:rPr>
        <w:rFonts w:hint="default"/>
      </w:rPr>
    </w:lvl>
    <w:lvl w:ilvl="7">
      <w:start w:val="0"/>
      <w:numFmt w:val="bullet"/>
      <w:lvlText w:val="•"/>
      <w:lvlJc w:val="left"/>
      <w:pPr>
        <w:ind w:left="7250" w:hanging="361"/>
      </w:pPr>
      <w:rPr>
        <w:rFonts w:hint="default"/>
      </w:rPr>
    </w:lvl>
    <w:lvl w:ilvl="8">
      <w:start w:val="0"/>
      <w:numFmt w:val="bullet"/>
      <w:lvlText w:val="•"/>
      <w:lvlJc w:val="left"/>
      <w:pPr>
        <w:ind w:left="8209" w:hanging="361"/>
      </w:pPr>
      <w:rPr>
        <w:rFonts w:hint="default"/>
      </w:rPr>
    </w:lvl>
  </w:abstractNum>
  <w:abstractNum w:abstractNumId="13">
    <w:multiLevelType w:val="hybridMultilevel"/>
    <w:lvl w:ilvl="0">
      <w:start w:val="1"/>
      <w:numFmt w:val="decimal"/>
      <w:lvlText w:val="%1."/>
      <w:lvlJc w:val="left"/>
      <w:pPr>
        <w:ind w:left="540" w:hanging="361"/>
        <w:jc w:val="left"/>
      </w:pPr>
      <w:rPr>
        <w:rFonts w:hint="default" w:ascii="宋体" w:hAnsi="宋体" w:eastAsia="宋体" w:cs="宋体"/>
        <w:w w:val="100"/>
        <w:sz w:val="21"/>
        <w:szCs w:val="21"/>
      </w:rPr>
    </w:lvl>
    <w:lvl w:ilvl="1">
      <w:start w:val="0"/>
      <w:numFmt w:val="bullet"/>
      <w:lvlText w:val="•"/>
      <w:lvlJc w:val="left"/>
      <w:pPr>
        <w:ind w:left="1520" w:hanging="361"/>
      </w:pPr>
      <w:rPr>
        <w:rFonts w:hint="default"/>
      </w:rPr>
    </w:lvl>
    <w:lvl w:ilvl="2">
      <w:start w:val="0"/>
      <w:numFmt w:val="bullet"/>
      <w:lvlText w:val="•"/>
      <w:lvlJc w:val="left"/>
      <w:pPr>
        <w:ind w:left="2501" w:hanging="361"/>
      </w:pPr>
      <w:rPr>
        <w:rFonts w:hint="default"/>
      </w:rPr>
    </w:lvl>
    <w:lvl w:ilvl="3">
      <w:start w:val="0"/>
      <w:numFmt w:val="bullet"/>
      <w:lvlText w:val="•"/>
      <w:lvlJc w:val="left"/>
      <w:pPr>
        <w:ind w:left="3481" w:hanging="361"/>
      </w:pPr>
      <w:rPr>
        <w:rFonts w:hint="default"/>
      </w:rPr>
    </w:lvl>
    <w:lvl w:ilvl="4">
      <w:start w:val="0"/>
      <w:numFmt w:val="bullet"/>
      <w:lvlText w:val="•"/>
      <w:lvlJc w:val="left"/>
      <w:pPr>
        <w:ind w:left="4462" w:hanging="361"/>
      </w:pPr>
      <w:rPr>
        <w:rFonts w:hint="default"/>
      </w:rPr>
    </w:lvl>
    <w:lvl w:ilvl="5">
      <w:start w:val="0"/>
      <w:numFmt w:val="bullet"/>
      <w:lvlText w:val="•"/>
      <w:lvlJc w:val="left"/>
      <w:pPr>
        <w:ind w:left="5443" w:hanging="361"/>
      </w:pPr>
      <w:rPr>
        <w:rFonts w:hint="default"/>
      </w:rPr>
    </w:lvl>
    <w:lvl w:ilvl="6">
      <w:start w:val="0"/>
      <w:numFmt w:val="bullet"/>
      <w:lvlText w:val="•"/>
      <w:lvlJc w:val="left"/>
      <w:pPr>
        <w:ind w:left="6423" w:hanging="361"/>
      </w:pPr>
      <w:rPr>
        <w:rFonts w:hint="default"/>
      </w:rPr>
    </w:lvl>
    <w:lvl w:ilvl="7">
      <w:start w:val="0"/>
      <w:numFmt w:val="bullet"/>
      <w:lvlText w:val="•"/>
      <w:lvlJc w:val="left"/>
      <w:pPr>
        <w:ind w:left="7404" w:hanging="361"/>
      </w:pPr>
      <w:rPr>
        <w:rFonts w:hint="default"/>
      </w:rPr>
    </w:lvl>
    <w:lvl w:ilvl="8">
      <w:start w:val="0"/>
      <w:numFmt w:val="bullet"/>
      <w:lvlText w:val="•"/>
      <w:lvlJc w:val="left"/>
      <w:pPr>
        <w:ind w:left="8385" w:hanging="361"/>
      </w:pPr>
      <w:rPr>
        <w:rFonts w:hint="default"/>
      </w:rPr>
    </w:lvl>
  </w:abstractNum>
  <w:abstractNum w:abstractNumId="12">
    <w:multiLevelType w:val="hybridMultilevel"/>
    <w:lvl w:ilvl="0">
      <w:start w:val="1"/>
      <w:numFmt w:val="decimal"/>
      <w:lvlText w:val="%1."/>
      <w:lvlJc w:val="left"/>
      <w:pPr>
        <w:ind w:left="540" w:hanging="361"/>
        <w:jc w:val="left"/>
      </w:pPr>
      <w:rPr>
        <w:rFonts w:hint="default" w:ascii="宋体" w:hAnsi="宋体" w:eastAsia="宋体" w:cs="宋体"/>
        <w:w w:val="100"/>
        <w:sz w:val="21"/>
        <w:szCs w:val="21"/>
      </w:rPr>
    </w:lvl>
    <w:lvl w:ilvl="1">
      <w:start w:val="0"/>
      <w:numFmt w:val="bullet"/>
      <w:lvlText w:val="•"/>
      <w:lvlJc w:val="left"/>
      <w:pPr>
        <w:ind w:left="1520" w:hanging="361"/>
      </w:pPr>
      <w:rPr>
        <w:rFonts w:hint="default"/>
      </w:rPr>
    </w:lvl>
    <w:lvl w:ilvl="2">
      <w:start w:val="0"/>
      <w:numFmt w:val="bullet"/>
      <w:lvlText w:val="•"/>
      <w:lvlJc w:val="left"/>
      <w:pPr>
        <w:ind w:left="2501" w:hanging="361"/>
      </w:pPr>
      <w:rPr>
        <w:rFonts w:hint="default"/>
      </w:rPr>
    </w:lvl>
    <w:lvl w:ilvl="3">
      <w:start w:val="0"/>
      <w:numFmt w:val="bullet"/>
      <w:lvlText w:val="•"/>
      <w:lvlJc w:val="left"/>
      <w:pPr>
        <w:ind w:left="3481" w:hanging="361"/>
      </w:pPr>
      <w:rPr>
        <w:rFonts w:hint="default"/>
      </w:rPr>
    </w:lvl>
    <w:lvl w:ilvl="4">
      <w:start w:val="0"/>
      <w:numFmt w:val="bullet"/>
      <w:lvlText w:val="•"/>
      <w:lvlJc w:val="left"/>
      <w:pPr>
        <w:ind w:left="4462" w:hanging="361"/>
      </w:pPr>
      <w:rPr>
        <w:rFonts w:hint="default"/>
      </w:rPr>
    </w:lvl>
    <w:lvl w:ilvl="5">
      <w:start w:val="0"/>
      <w:numFmt w:val="bullet"/>
      <w:lvlText w:val="•"/>
      <w:lvlJc w:val="left"/>
      <w:pPr>
        <w:ind w:left="5443" w:hanging="361"/>
      </w:pPr>
      <w:rPr>
        <w:rFonts w:hint="default"/>
      </w:rPr>
    </w:lvl>
    <w:lvl w:ilvl="6">
      <w:start w:val="0"/>
      <w:numFmt w:val="bullet"/>
      <w:lvlText w:val="•"/>
      <w:lvlJc w:val="left"/>
      <w:pPr>
        <w:ind w:left="6423" w:hanging="361"/>
      </w:pPr>
      <w:rPr>
        <w:rFonts w:hint="default"/>
      </w:rPr>
    </w:lvl>
    <w:lvl w:ilvl="7">
      <w:start w:val="0"/>
      <w:numFmt w:val="bullet"/>
      <w:lvlText w:val="•"/>
      <w:lvlJc w:val="left"/>
      <w:pPr>
        <w:ind w:left="7404" w:hanging="361"/>
      </w:pPr>
      <w:rPr>
        <w:rFonts w:hint="default"/>
      </w:rPr>
    </w:lvl>
    <w:lvl w:ilvl="8">
      <w:start w:val="0"/>
      <w:numFmt w:val="bullet"/>
      <w:lvlText w:val="•"/>
      <w:lvlJc w:val="left"/>
      <w:pPr>
        <w:ind w:left="8385" w:hanging="361"/>
      </w:pPr>
      <w:rPr>
        <w:rFonts w:hint="default"/>
      </w:rPr>
    </w:lvl>
  </w:abstractNum>
  <w:abstractNum w:abstractNumId="11">
    <w:multiLevelType w:val="hybridMultilevel"/>
    <w:lvl w:ilvl="0">
      <w:start w:val="1"/>
      <w:numFmt w:val="decimal"/>
      <w:lvlText w:val="%1."/>
      <w:lvlJc w:val="left"/>
      <w:pPr>
        <w:ind w:left="900" w:hanging="361"/>
        <w:jc w:val="left"/>
      </w:pPr>
      <w:rPr>
        <w:rFonts w:hint="default" w:ascii="宋体" w:hAnsi="宋体" w:eastAsia="宋体" w:cs="宋体"/>
        <w:w w:val="100"/>
        <w:sz w:val="21"/>
        <w:szCs w:val="21"/>
      </w:rPr>
    </w:lvl>
    <w:lvl w:ilvl="1">
      <w:start w:val="0"/>
      <w:numFmt w:val="bullet"/>
      <w:lvlText w:val="•"/>
      <w:lvlJc w:val="left"/>
      <w:pPr>
        <w:ind w:left="1844" w:hanging="361"/>
      </w:pPr>
      <w:rPr>
        <w:rFonts w:hint="default"/>
      </w:rPr>
    </w:lvl>
    <w:lvl w:ilvl="2">
      <w:start w:val="0"/>
      <w:numFmt w:val="bullet"/>
      <w:lvlText w:val="•"/>
      <w:lvlJc w:val="left"/>
      <w:pPr>
        <w:ind w:left="2789" w:hanging="361"/>
      </w:pPr>
      <w:rPr>
        <w:rFonts w:hint="default"/>
      </w:rPr>
    </w:lvl>
    <w:lvl w:ilvl="3">
      <w:start w:val="0"/>
      <w:numFmt w:val="bullet"/>
      <w:lvlText w:val="•"/>
      <w:lvlJc w:val="left"/>
      <w:pPr>
        <w:ind w:left="3733" w:hanging="361"/>
      </w:pPr>
      <w:rPr>
        <w:rFonts w:hint="default"/>
      </w:rPr>
    </w:lvl>
    <w:lvl w:ilvl="4">
      <w:start w:val="0"/>
      <w:numFmt w:val="bullet"/>
      <w:lvlText w:val="•"/>
      <w:lvlJc w:val="left"/>
      <w:pPr>
        <w:ind w:left="4678" w:hanging="361"/>
      </w:pPr>
      <w:rPr>
        <w:rFonts w:hint="default"/>
      </w:rPr>
    </w:lvl>
    <w:lvl w:ilvl="5">
      <w:start w:val="0"/>
      <w:numFmt w:val="bullet"/>
      <w:lvlText w:val="•"/>
      <w:lvlJc w:val="left"/>
      <w:pPr>
        <w:ind w:left="5623" w:hanging="361"/>
      </w:pPr>
      <w:rPr>
        <w:rFonts w:hint="default"/>
      </w:rPr>
    </w:lvl>
    <w:lvl w:ilvl="6">
      <w:start w:val="0"/>
      <w:numFmt w:val="bullet"/>
      <w:lvlText w:val="•"/>
      <w:lvlJc w:val="left"/>
      <w:pPr>
        <w:ind w:left="6567" w:hanging="361"/>
      </w:pPr>
      <w:rPr>
        <w:rFonts w:hint="default"/>
      </w:rPr>
    </w:lvl>
    <w:lvl w:ilvl="7">
      <w:start w:val="0"/>
      <w:numFmt w:val="bullet"/>
      <w:lvlText w:val="•"/>
      <w:lvlJc w:val="left"/>
      <w:pPr>
        <w:ind w:left="7512" w:hanging="361"/>
      </w:pPr>
      <w:rPr>
        <w:rFonts w:hint="default"/>
      </w:rPr>
    </w:lvl>
    <w:lvl w:ilvl="8">
      <w:start w:val="0"/>
      <w:numFmt w:val="bullet"/>
      <w:lvlText w:val="•"/>
      <w:lvlJc w:val="left"/>
      <w:pPr>
        <w:ind w:left="8457" w:hanging="361"/>
      </w:pPr>
      <w:rPr>
        <w:rFonts w:hint="default"/>
      </w:rPr>
    </w:lvl>
  </w:abstractNum>
  <w:abstractNum w:abstractNumId="10">
    <w:multiLevelType w:val="hybridMultilevel"/>
    <w:lvl w:ilvl="0">
      <w:start w:val="1"/>
      <w:numFmt w:val="decimal"/>
      <w:lvlText w:val="%1."/>
      <w:lvlJc w:val="left"/>
      <w:pPr>
        <w:ind w:left="542" w:hanging="361"/>
        <w:jc w:val="left"/>
      </w:pPr>
      <w:rPr>
        <w:rFonts w:hint="default" w:ascii="宋体" w:hAnsi="宋体" w:eastAsia="宋体" w:cs="宋体"/>
        <w:w w:val="100"/>
        <w:sz w:val="21"/>
        <w:szCs w:val="21"/>
      </w:rPr>
    </w:lvl>
    <w:lvl w:ilvl="1">
      <w:start w:val="0"/>
      <w:numFmt w:val="bullet"/>
      <w:lvlText w:val="•"/>
      <w:lvlJc w:val="left"/>
      <w:pPr>
        <w:ind w:left="1508" w:hanging="361"/>
      </w:pPr>
      <w:rPr>
        <w:rFonts w:hint="default"/>
      </w:rPr>
    </w:lvl>
    <w:lvl w:ilvl="2">
      <w:start w:val="0"/>
      <w:numFmt w:val="bullet"/>
      <w:lvlText w:val="•"/>
      <w:lvlJc w:val="left"/>
      <w:pPr>
        <w:ind w:left="2477" w:hanging="361"/>
      </w:pPr>
      <w:rPr>
        <w:rFonts w:hint="default"/>
      </w:rPr>
    </w:lvl>
    <w:lvl w:ilvl="3">
      <w:start w:val="0"/>
      <w:numFmt w:val="bullet"/>
      <w:lvlText w:val="•"/>
      <w:lvlJc w:val="left"/>
      <w:pPr>
        <w:ind w:left="3445" w:hanging="361"/>
      </w:pPr>
      <w:rPr>
        <w:rFonts w:hint="default"/>
      </w:rPr>
    </w:lvl>
    <w:lvl w:ilvl="4">
      <w:start w:val="0"/>
      <w:numFmt w:val="bullet"/>
      <w:lvlText w:val="•"/>
      <w:lvlJc w:val="left"/>
      <w:pPr>
        <w:ind w:left="4414" w:hanging="361"/>
      </w:pPr>
      <w:rPr>
        <w:rFonts w:hint="default"/>
      </w:rPr>
    </w:lvl>
    <w:lvl w:ilvl="5">
      <w:start w:val="0"/>
      <w:numFmt w:val="bullet"/>
      <w:lvlText w:val="•"/>
      <w:lvlJc w:val="left"/>
      <w:pPr>
        <w:ind w:left="5383" w:hanging="361"/>
      </w:pPr>
      <w:rPr>
        <w:rFonts w:hint="default"/>
      </w:rPr>
    </w:lvl>
    <w:lvl w:ilvl="6">
      <w:start w:val="0"/>
      <w:numFmt w:val="bullet"/>
      <w:lvlText w:val="•"/>
      <w:lvlJc w:val="left"/>
      <w:pPr>
        <w:ind w:left="6351" w:hanging="361"/>
      </w:pPr>
      <w:rPr>
        <w:rFonts w:hint="default"/>
      </w:rPr>
    </w:lvl>
    <w:lvl w:ilvl="7">
      <w:start w:val="0"/>
      <w:numFmt w:val="bullet"/>
      <w:lvlText w:val="•"/>
      <w:lvlJc w:val="left"/>
      <w:pPr>
        <w:ind w:left="7320" w:hanging="361"/>
      </w:pPr>
      <w:rPr>
        <w:rFonts w:hint="default"/>
      </w:rPr>
    </w:lvl>
    <w:lvl w:ilvl="8">
      <w:start w:val="0"/>
      <w:numFmt w:val="bullet"/>
      <w:lvlText w:val="•"/>
      <w:lvlJc w:val="left"/>
      <w:pPr>
        <w:ind w:left="8289" w:hanging="361"/>
      </w:pPr>
      <w:rPr>
        <w:rFonts w:hint="default"/>
      </w:rPr>
    </w:lvl>
  </w:abstractNum>
  <w:abstractNum w:abstractNumId="8">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7">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6">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5">
    <w:multiLevelType w:val="hybridMultilevel"/>
    <w:lvl w:ilvl="0">
      <w:start w:val="1"/>
      <w:numFmt w:val="decimal"/>
      <w:lvlText w:val="%1."/>
      <w:lvlJc w:val="left"/>
      <w:pPr>
        <w:ind w:left="900" w:hanging="361"/>
        <w:jc w:val="left"/>
      </w:pPr>
      <w:rPr>
        <w:rFonts w:hint="default" w:ascii="宋体" w:hAnsi="宋体" w:eastAsia="宋体" w:cs="宋体"/>
        <w:w w:val="100"/>
        <w:sz w:val="21"/>
        <w:szCs w:val="21"/>
      </w:rPr>
    </w:lvl>
    <w:lvl w:ilvl="1">
      <w:start w:val="0"/>
      <w:numFmt w:val="bullet"/>
      <w:lvlText w:val="•"/>
      <w:lvlJc w:val="left"/>
      <w:pPr>
        <w:ind w:left="1822" w:hanging="361"/>
      </w:pPr>
      <w:rPr>
        <w:rFonts w:hint="default"/>
      </w:rPr>
    </w:lvl>
    <w:lvl w:ilvl="2">
      <w:start w:val="0"/>
      <w:numFmt w:val="bullet"/>
      <w:lvlText w:val="•"/>
      <w:lvlJc w:val="left"/>
      <w:pPr>
        <w:ind w:left="2745" w:hanging="361"/>
      </w:pPr>
      <w:rPr>
        <w:rFonts w:hint="default"/>
      </w:rPr>
    </w:lvl>
    <w:lvl w:ilvl="3">
      <w:start w:val="0"/>
      <w:numFmt w:val="bullet"/>
      <w:lvlText w:val="•"/>
      <w:lvlJc w:val="left"/>
      <w:pPr>
        <w:ind w:left="3667" w:hanging="361"/>
      </w:pPr>
      <w:rPr>
        <w:rFonts w:hint="default"/>
      </w:rPr>
    </w:lvl>
    <w:lvl w:ilvl="4">
      <w:start w:val="0"/>
      <w:numFmt w:val="bullet"/>
      <w:lvlText w:val="•"/>
      <w:lvlJc w:val="left"/>
      <w:pPr>
        <w:ind w:left="4590" w:hanging="361"/>
      </w:pPr>
      <w:rPr>
        <w:rFonts w:hint="default"/>
      </w:rPr>
    </w:lvl>
    <w:lvl w:ilvl="5">
      <w:start w:val="0"/>
      <w:numFmt w:val="bullet"/>
      <w:lvlText w:val="•"/>
      <w:lvlJc w:val="left"/>
      <w:pPr>
        <w:ind w:left="5513" w:hanging="361"/>
      </w:pPr>
      <w:rPr>
        <w:rFonts w:hint="default"/>
      </w:rPr>
    </w:lvl>
    <w:lvl w:ilvl="6">
      <w:start w:val="0"/>
      <w:numFmt w:val="bullet"/>
      <w:lvlText w:val="•"/>
      <w:lvlJc w:val="left"/>
      <w:pPr>
        <w:ind w:left="6435" w:hanging="361"/>
      </w:pPr>
      <w:rPr>
        <w:rFonts w:hint="default"/>
      </w:rPr>
    </w:lvl>
    <w:lvl w:ilvl="7">
      <w:start w:val="0"/>
      <w:numFmt w:val="bullet"/>
      <w:lvlText w:val="•"/>
      <w:lvlJc w:val="left"/>
      <w:pPr>
        <w:ind w:left="7358" w:hanging="361"/>
      </w:pPr>
      <w:rPr>
        <w:rFonts w:hint="default"/>
      </w:rPr>
    </w:lvl>
    <w:lvl w:ilvl="8">
      <w:start w:val="0"/>
      <w:numFmt w:val="bullet"/>
      <w:lvlText w:val="•"/>
      <w:lvlJc w:val="left"/>
      <w:pPr>
        <w:ind w:left="8281" w:hanging="361"/>
      </w:pPr>
      <w:rPr>
        <w:rFonts w:hint="default"/>
      </w:rPr>
    </w:lvl>
  </w:abstractNum>
  <w:abstractNum w:abstractNumId="4">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3">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2">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1">
    <w:multiLevelType w:val="hybridMultilevel"/>
    <w:lvl w:ilvl="0">
      <w:start w:val="1"/>
      <w:numFmt w:val="decimal"/>
      <w:lvlText w:val="（%1）"/>
      <w:lvlJc w:val="left"/>
      <w:pPr>
        <w:ind w:left="666" w:hanging="540"/>
        <w:jc w:val="left"/>
      </w:pPr>
      <w:rPr>
        <w:rFonts w:hint="default" w:ascii="宋体" w:hAnsi="宋体" w:eastAsia="宋体" w:cs="宋体"/>
        <w:spacing w:val="-2"/>
        <w:w w:val="100"/>
        <w:sz w:val="18"/>
        <w:szCs w:val="18"/>
      </w:rPr>
    </w:lvl>
    <w:lvl w:ilvl="1">
      <w:start w:val="1"/>
      <w:numFmt w:val="decimal"/>
      <w:lvlText w:val="%2."/>
      <w:lvlJc w:val="left"/>
      <w:pPr>
        <w:ind w:left="540" w:hanging="308"/>
        <w:jc w:val="left"/>
      </w:pPr>
      <w:rPr>
        <w:rFonts w:hint="default" w:ascii="等线" w:hAnsi="等线" w:eastAsia="等线" w:cs="等线"/>
        <w:b/>
        <w:bCs/>
        <w:w w:val="126"/>
        <w:sz w:val="21"/>
        <w:szCs w:val="21"/>
      </w:rPr>
    </w:lvl>
    <w:lvl w:ilvl="2">
      <w:start w:val="0"/>
      <w:numFmt w:val="bullet"/>
      <w:lvlText w:val="•"/>
      <w:lvlJc w:val="left"/>
      <w:pPr>
        <w:ind w:left="1711" w:hanging="308"/>
      </w:pPr>
      <w:rPr>
        <w:rFonts w:hint="default"/>
      </w:rPr>
    </w:lvl>
    <w:lvl w:ilvl="3">
      <w:start w:val="0"/>
      <w:numFmt w:val="bullet"/>
      <w:lvlText w:val="•"/>
      <w:lvlJc w:val="left"/>
      <w:pPr>
        <w:ind w:left="2763" w:hanging="308"/>
      </w:pPr>
      <w:rPr>
        <w:rFonts w:hint="default"/>
      </w:rPr>
    </w:lvl>
    <w:lvl w:ilvl="4">
      <w:start w:val="0"/>
      <w:numFmt w:val="bullet"/>
      <w:lvlText w:val="•"/>
      <w:lvlJc w:val="left"/>
      <w:pPr>
        <w:ind w:left="3815" w:hanging="308"/>
      </w:pPr>
      <w:rPr>
        <w:rFonts w:hint="default"/>
      </w:rPr>
    </w:lvl>
    <w:lvl w:ilvl="5">
      <w:start w:val="0"/>
      <w:numFmt w:val="bullet"/>
      <w:lvlText w:val="•"/>
      <w:lvlJc w:val="left"/>
      <w:pPr>
        <w:ind w:left="4867" w:hanging="308"/>
      </w:pPr>
      <w:rPr>
        <w:rFonts w:hint="default"/>
      </w:rPr>
    </w:lvl>
    <w:lvl w:ilvl="6">
      <w:start w:val="0"/>
      <w:numFmt w:val="bullet"/>
      <w:lvlText w:val="•"/>
      <w:lvlJc w:val="left"/>
      <w:pPr>
        <w:ind w:left="5919" w:hanging="308"/>
      </w:pPr>
      <w:rPr>
        <w:rFonts w:hint="default"/>
      </w:rPr>
    </w:lvl>
    <w:lvl w:ilvl="7">
      <w:start w:val="0"/>
      <w:numFmt w:val="bullet"/>
      <w:lvlText w:val="•"/>
      <w:lvlJc w:val="left"/>
      <w:pPr>
        <w:ind w:left="6970" w:hanging="308"/>
      </w:pPr>
      <w:rPr>
        <w:rFonts w:hint="default"/>
      </w:rPr>
    </w:lvl>
    <w:lvl w:ilvl="8">
      <w:start w:val="0"/>
      <w:numFmt w:val="bullet"/>
      <w:lvlText w:val="•"/>
      <w:lvlJc w:val="left"/>
      <w:pPr>
        <w:ind w:left="8022" w:hanging="308"/>
      </w:pPr>
      <w:rPr>
        <w:rFonts w:hint="default"/>
      </w:rPr>
    </w:lvl>
  </w:abstractNum>
  <w:abstractNum w:abstractNumId="0">
    <w:multiLevelType w:val="hybridMultilevel"/>
    <w:lvl w:ilvl="0">
      <w:start w:val="0"/>
      <w:numFmt w:val="bullet"/>
      <w:lvlText w:val=""/>
      <w:lvlJc w:val="left"/>
      <w:pPr>
        <w:ind w:left="934" w:hanging="308"/>
      </w:pPr>
      <w:rPr>
        <w:rFonts w:hint="default" w:ascii="Wingdings" w:hAnsi="Wingdings" w:eastAsia="Wingdings" w:cs="Wingdings"/>
        <w:w w:val="100"/>
        <w:sz w:val="21"/>
        <w:szCs w:val="21"/>
      </w:rPr>
    </w:lvl>
    <w:lvl w:ilvl="1">
      <w:start w:val="0"/>
      <w:numFmt w:val="bullet"/>
      <w:lvlText w:val="•"/>
      <w:lvlJc w:val="left"/>
      <w:pPr>
        <w:ind w:left="1872" w:hanging="308"/>
      </w:pPr>
      <w:rPr>
        <w:rFonts w:hint="default"/>
      </w:rPr>
    </w:lvl>
    <w:lvl w:ilvl="2">
      <w:start w:val="0"/>
      <w:numFmt w:val="bullet"/>
      <w:lvlText w:val="•"/>
      <w:lvlJc w:val="left"/>
      <w:pPr>
        <w:ind w:left="2805" w:hanging="308"/>
      </w:pPr>
      <w:rPr>
        <w:rFonts w:hint="default"/>
      </w:rPr>
    </w:lvl>
    <w:lvl w:ilvl="3">
      <w:start w:val="0"/>
      <w:numFmt w:val="bullet"/>
      <w:lvlText w:val="•"/>
      <w:lvlJc w:val="left"/>
      <w:pPr>
        <w:ind w:left="3737" w:hanging="308"/>
      </w:pPr>
      <w:rPr>
        <w:rFonts w:hint="default"/>
      </w:rPr>
    </w:lvl>
    <w:lvl w:ilvl="4">
      <w:start w:val="0"/>
      <w:numFmt w:val="bullet"/>
      <w:lvlText w:val="•"/>
      <w:lvlJc w:val="left"/>
      <w:pPr>
        <w:ind w:left="4670" w:hanging="308"/>
      </w:pPr>
      <w:rPr>
        <w:rFonts w:hint="default"/>
      </w:rPr>
    </w:lvl>
    <w:lvl w:ilvl="5">
      <w:start w:val="0"/>
      <w:numFmt w:val="bullet"/>
      <w:lvlText w:val="•"/>
      <w:lvlJc w:val="left"/>
      <w:pPr>
        <w:ind w:left="5603" w:hanging="308"/>
      </w:pPr>
      <w:rPr>
        <w:rFonts w:hint="default"/>
      </w:rPr>
    </w:lvl>
    <w:lvl w:ilvl="6">
      <w:start w:val="0"/>
      <w:numFmt w:val="bullet"/>
      <w:lvlText w:val="•"/>
      <w:lvlJc w:val="left"/>
      <w:pPr>
        <w:ind w:left="6535" w:hanging="308"/>
      </w:pPr>
      <w:rPr>
        <w:rFonts w:hint="default"/>
      </w:rPr>
    </w:lvl>
    <w:lvl w:ilvl="7">
      <w:start w:val="0"/>
      <w:numFmt w:val="bullet"/>
      <w:lvlText w:val="•"/>
      <w:lvlJc w:val="left"/>
      <w:pPr>
        <w:ind w:left="7468" w:hanging="308"/>
      </w:pPr>
      <w:rPr>
        <w:rFonts w:hint="default"/>
      </w:rPr>
    </w:lvl>
    <w:lvl w:ilvl="8">
      <w:start w:val="0"/>
      <w:numFmt w:val="bullet"/>
      <w:lvlText w:val="•"/>
      <w:lvlJc w:val="left"/>
      <w:pPr>
        <w:ind w:left="8401" w:hanging="308"/>
      </w:pPr>
      <w:rPr>
        <w:rFonts w:hint="default"/>
      </w:rPr>
    </w:lvl>
  </w:abstractNum>
  <w:num w:numId="10">
    <w:abstractNumId w:val="9"/>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8"/>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ind w:left="540"/>
    </w:pPr>
    <w:rPr>
      <w:rFonts w:ascii="宋体" w:hAnsi="宋体" w:eastAsia="宋体" w:cs="宋体"/>
      <w:sz w:val="21"/>
      <w:szCs w:val="21"/>
    </w:rPr>
  </w:style>
  <w:style w:styleId="Heading1" w:type="paragraph">
    <w:name w:val="Heading 1"/>
    <w:basedOn w:val="Normal"/>
    <w:uiPriority w:val="1"/>
    <w:qFormat/>
    <w:pPr>
      <w:ind w:left="3333" w:right="3427"/>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line="272" w:lineRule="exact"/>
      <w:ind w:left="540"/>
    </w:pPr>
    <w:rPr>
      <w:rFonts w:ascii="宋体" w:hAnsi="宋体" w:eastAsia="宋体" w:cs="宋体"/>
    </w:rPr>
  </w:style>
  <w:style w:styleId="TableParagraph" w:type="paragraph">
    <w:name w:val="Table Paragraph"/>
    <w:basedOn w:val="Normal"/>
    <w:uiPriority w:val="1"/>
    <w:qFormat/>
    <w:pPr>
      <w:spacing w:line="24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hewei</dc:creator>
  <dc:title>阅读指引</dc:title>
  <dcterms:created xsi:type="dcterms:W3CDTF">2018-10-20T03:09:26Z</dcterms:created>
  <dcterms:modified xsi:type="dcterms:W3CDTF">2018-10-20T03:09:26Z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