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422" w:val="left" w:leader="none"/>
        </w:tabs>
        <w:spacing w:before="314"/>
        <w:ind w:left="344" w:right="0" w:firstLine="0"/>
        <w:jc w:val="left"/>
        <w:rPr>
          <w:rFonts w:ascii="微软雅黑" w:eastAsia="微软雅黑" w:hint="eastAsia"/>
          <w:b/>
          <w:sz w:val="32"/>
        </w:rPr>
      </w:pPr>
      <w:r>
        <w:rPr/>
        <w:pict>
          <v:line style="position:absolute;mso-position-horizontal-relative:page;mso-position-vertical-relative:paragraph;z-index:-21640" from="63.720001pt,2.726647pt" to="543.000001pt,2.726647pt" stroked="true" strokeweight=".72pt" strokecolor="#000000">
            <v:stroke dashstyle="solid"/>
            <w10:wrap type="none"/>
          </v:line>
        </w:pict>
      </w:r>
      <w:r>
        <w:rPr>
          <w:sz w:val="32"/>
        </w:rPr>
        <w:t>附件</w:t>
      </w:r>
      <w:r>
        <w:rPr>
          <w:spacing w:val="-81"/>
          <w:sz w:val="32"/>
        </w:rPr>
        <w:t> </w:t>
      </w:r>
      <w:r>
        <w:rPr>
          <w:sz w:val="32"/>
        </w:rPr>
        <w:t>17-3：</w:t>
        <w:tab/>
      </w:r>
      <w:r>
        <w:rPr>
          <w:rFonts w:ascii="微软雅黑" w:eastAsia="微软雅黑" w:hint="eastAsia"/>
          <w:b/>
          <w:sz w:val="32"/>
        </w:rPr>
        <w:t>阅  读  指</w:t>
      </w:r>
      <w:r>
        <w:rPr>
          <w:rFonts w:ascii="微软雅黑" w:eastAsia="微软雅黑" w:hint="eastAsia"/>
          <w:b/>
          <w:spacing w:val="5"/>
          <w:sz w:val="32"/>
        </w:rPr>
        <w:t> </w:t>
      </w:r>
      <w:r>
        <w:rPr>
          <w:rFonts w:ascii="微软雅黑" w:eastAsia="微软雅黑" w:hint="eastAsia"/>
          <w:b/>
          <w:sz w:val="32"/>
        </w:rPr>
        <w:t>引</w:t>
      </w:r>
    </w:p>
    <w:p>
      <w:pPr>
        <w:spacing w:before="18"/>
        <w:ind w:left="344" w:right="0" w:firstLine="0"/>
        <w:jc w:val="left"/>
        <w:rPr>
          <w:sz w:val="16"/>
        </w:rPr>
      </w:pPr>
      <w:r>
        <w:rPr/>
        <w:br w:type="column"/>
      </w:r>
      <w:r>
        <w:rPr>
          <w:w w:val="95"/>
          <w:sz w:val="16"/>
        </w:rPr>
        <w:t>民生保险[2011]疾病保险096号</w:t>
      </w:r>
    </w:p>
    <w:p>
      <w:pPr>
        <w:spacing w:after="0"/>
        <w:jc w:val="left"/>
        <w:rPr>
          <w:sz w:val="16"/>
        </w:rPr>
        <w:sectPr>
          <w:headerReference w:type="default" r:id="rId5"/>
          <w:footerReference w:type="default" r:id="rId6"/>
          <w:type w:val="continuous"/>
          <w:pgSz w:w="11910" w:h="16840"/>
          <w:pgMar w:header="857" w:footer="981" w:top="1040" w:bottom="1180" w:left="960" w:right="920"/>
          <w:pgNumType w:start="1"/>
          <w:cols w:num="2" w:equalWidth="0">
            <w:col w:w="6187" w:space="1267"/>
            <w:col w:w="2576"/>
          </w:cols>
        </w:sectPr>
      </w:pPr>
    </w:p>
    <w:p>
      <w:pPr>
        <w:pStyle w:val="BodyText"/>
        <w:spacing w:before="0"/>
        <w:rPr>
          <w:sz w:val="12"/>
        </w:rPr>
      </w:pPr>
    </w:p>
    <w:p>
      <w:pPr>
        <w:spacing w:before="35"/>
        <w:ind w:left="1840" w:right="0" w:firstLine="0"/>
        <w:jc w:val="left"/>
        <w:rPr>
          <w:b/>
          <w:sz w:val="21"/>
        </w:rPr>
      </w:pPr>
      <w:r>
        <w:rPr/>
        <w:drawing>
          <wp:anchor distT="0" distB="0" distL="0" distR="0" allowOverlap="1" layoutInCell="1" locked="0" behindDoc="0" simplePos="0" relativeHeight="1072">
            <wp:simplePos x="0" y="0"/>
            <wp:positionH relativeFrom="page">
              <wp:posOffset>6276134</wp:posOffset>
            </wp:positionH>
            <wp:positionV relativeFrom="paragraph">
              <wp:posOffset>-479136</wp:posOffset>
            </wp:positionV>
            <wp:extent cx="631825" cy="6318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31825" cy="631825"/>
                    </a:xfrm>
                    <a:prstGeom prst="rect">
                      <a:avLst/>
                    </a:prstGeom>
                  </pic:spPr>
                </pic:pic>
              </a:graphicData>
            </a:graphic>
          </wp:anchor>
        </w:drawing>
      </w:r>
      <w:r>
        <w:rPr/>
        <w:pict>
          <v:shape style="position:absolute;margin-left:462.472992pt;margin-top:13.427962pt;width:80pt;height:9.3pt;mso-position-horizontal-relative:page;mso-position-vertical-relative:paragraph;z-index:-21568" type="#_x0000_t202" filled="false" stroked="false">
            <v:textbox inset="0,0,0,0">
              <w:txbxContent>
                <w:p>
                  <w:pPr>
                    <w:spacing w:line="167" w:lineRule="exact" w:before="0"/>
                    <w:ind w:left="0" w:right="0" w:firstLine="0"/>
                    <w:jc w:val="left"/>
                    <w:rPr>
                      <w:sz w:val="16"/>
                    </w:rPr>
                  </w:pPr>
                  <w:r>
                    <w:rPr>
                      <w:sz w:val="16"/>
                    </w:rPr>
                    <w:t>请扫描以查询验证条款</w:t>
                  </w:r>
                </w:p>
              </w:txbxContent>
            </v:textbox>
            <w10:wrap type="none"/>
          </v:shape>
        </w:pict>
      </w:r>
      <w:r>
        <w:rPr>
          <w:b/>
          <w:spacing w:val="-147"/>
          <w:w w:val="95"/>
          <w:sz w:val="21"/>
        </w:rPr>
        <w:t>本</w:t>
      </w:r>
      <w:r>
        <w:rPr>
          <w:spacing w:val="-63"/>
          <w:w w:val="95"/>
          <w:position w:val="-7"/>
          <w:sz w:val="21"/>
        </w:rPr>
        <w:t>．</w:t>
      </w:r>
      <w:r>
        <w:rPr>
          <w:b/>
          <w:spacing w:val="-147"/>
          <w:w w:val="95"/>
          <w:sz w:val="21"/>
        </w:rPr>
        <w:t>阅</w:t>
      </w:r>
      <w:r>
        <w:rPr>
          <w:spacing w:val="-63"/>
          <w:w w:val="95"/>
          <w:position w:val="-7"/>
          <w:sz w:val="21"/>
        </w:rPr>
        <w:t>．</w:t>
      </w:r>
      <w:r>
        <w:rPr>
          <w:b/>
          <w:spacing w:val="-147"/>
          <w:w w:val="95"/>
          <w:sz w:val="21"/>
        </w:rPr>
        <w:t>读</w:t>
      </w:r>
      <w:r>
        <w:rPr>
          <w:spacing w:val="-63"/>
          <w:w w:val="95"/>
          <w:position w:val="-7"/>
          <w:sz w:val="21"/>
        </w:rPr>
        <w:t>．</w:t>
      </w:r>
      <w:r>
        <w:rPr>
          <w:b/>
          <w:spacing w:val="-148"/>
          <w:w w:val="95"/>
          <w:sz w:val="21"/>
        </w:rPr>
        <w:t>指</w:t>
      </w:r>
      <w:r>
        <w:rPr>
          <w:spacing w:val="-63"/>
          <w:w w:val="95"/>
          <w:position w:val="-7"/>
          <w:sz w:val="21"/>
        </w:rPr>
        <w:t>．</w:t>
      </w:r>
      <w:r>
        <w:rPr>
          <w:b/>
          <w:spacing w:val="-148"/>
          <w:w w:val="95"/>
          <w:sz w:val="21"/>
        </w:rPr>
        <w:t>引</w:t>
      </w:r>
      <w:r>
        <w:rPr>
          <w:spacing w:val="-63"/>
          <w:w w:val="95"/>
          <w:position w:val="-7"/>
          <w:sz w:val="21"/>
        </w:rPr>
        <w:t>．</w:t>
      </w:r>
      <w:r>
        <w:rPr>
          <w:b/>
          <w:spacing w:val="-147"/>
          <w:w w:val="95"/>
          <w:sz w:val="21"/>
        </w:rPr>
        <w:t>有</w:t>
      </w:r>
      <w:r>
        <w:rPr>
          <w:spacing w:val="-63"/>
          <w:w w:val="95"/>
          <w:position w:val="-7"/>
          <w:sz w:val="21"/>
        </w:rPr>
        <w:t>．</w:t>
      </w:r>
      <w:r>
        <w:rPr>
          <w:b/>
          <w:spacing w:val="-147"/>
          <w:w w:val="95"/>
          <w:sz w:val="21"/>
        </w:rPr>
        <w:t>助</w:t>
      </w:r>
      <w:r>
        <w:rPr>
          <w:spacing w:val="-63"/>
          <w:w w:val="95"/>
          <w:position w:val="-7"/>
          <w:sz w:val="21"/>
        </w:rPr>
        <w:t>．</w:t>
      </w:r>
      <w:r>
        <w:rPr>
          <w:b/>
          <w:spacing w:val="-147"/>
          <w:w w:val="95"/>
          <w:sz w:val="21"/>
        </w:rPr>
        <w:t>于</w:t>
      </w:r>
      <w:r>
        <w:rPr>
          <w:spacing w:val="-63"/>
          <w:w w:val="95"/>
          <w:position w:val="-7"/>
          <w:sz w:val="21"/>
        </w:rPr>
        <w:t>．</w:t>
      </w:r>
      <w:r>
        <w:rPr>
          <w:b/>
          <w:spacing w:val="-148"/>
          <w:w w:val="95"/>
          <w:sz w:val="21"/>
        </w:rPr>
        <w:t>您</w:t>
      </w:r>
      <w:r>
        <w:rPr>
          <w:spacing w:val="-63"/>
          <w:w w:val="95"/>
          <w:position w:val="-7"/>
          <w:sz w:val="21"/>
        </w:rPr>
        <w:t>．</w:t>
      </w:r>
      <w:r>
        <w:rPr>
          <w:b/>
          <w:spacing w:val="-148"/>
          <w:w w:val="95"/>
          <w:sz w:val="21"/>
        </w:rPr>
        <w:t>理</w:t>
      </w:r>
      <w:r>
        <w:rPr>
          <w:spacing w:val="-63"/>
          <w:w w:val="95"/>
          <w:position w:val="-7"/>
          <w:sz w:val="21"/>
        </w:rPr>
        <w:t>．</w:t>
      </w:r>
      <w:r>
        <w:rPr>
          <w:b/>
          <w:spacing w:val="-147"/>
          <w:w w:val="95"/>
          <w:sz w:val="21"/>
        </w:rPr>
        <w:t>解</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32"/>
          <w:w w:val="95"/>
          <w:position w:val="-7"/>
          <w:sz w:val="21"/>
        </w:rPr>
        <w:t>．</w:t>
      </w:r>
      <w:r>
        <w:rPr>
          <w:b/>
          <w:spacing w:val="-90"/>
          <w:w w:val="95"/>
          <w:sz w:val="21"/>
        </w:rPr>
        <w:t>，对</w:t>
      </w:r>
      <w:r>
        <w:rPr>
          <w:spacing w:val="-63"/>
          <w:w w:val="95"/>
          <w:position w:val="-7"/>
          <w:sz w:val="21"/>
        </w:rPr>
        <w:t>．</w:t>
      </w:r>
      <w:r>
        <w:rPr>
          <w:b/>
          <w:spacing w:val="-147"/>
          <w:w w:val="95"/>
          <w:sz w:val="21"/>
        </w:rPr>
        <w:t>本</w:t>
      </w:r>
      <w:r>
        <w:rPr>
          <w:spacing w:val="-63"/>
          <w:w w:val="95"/>
          <w:position w:val="-7"/>
          <w:sz w:val="21"/>
        </w:rPr>
        <w:t>．</w:t>
      </w:r>
      <w:r>
        <w:rPr>
          <w:b/>
          <w:spacing w:val="-147"/>
          <w:w w:val="95"/>
          <w:sz w:val="21"/>
        </w:rPr>
        <w:t>附</w:t>
      </w:r>
      <w:r>
        <w:rPr>
          <w:spacing w:val="-63"/>
          <w:w w:val="95"/>
          <w:position w:val="-7"/>
          <w:sz w:val="21"/>
        </w:rPr>
        <w:t>．</w:t>
      </w:r>
      <w:r>
        <w:rPr>
          <w:b/>
          <w:spacing w:val="-147"/>
          <w:w w:val="95"/>
          <w:sz w:val="21"/>
        </w:rPr>
        <w:t>加</w:t>
      </w:r>
      <w:r>
        <w:rPr>
          <w:spacing w:val="-63"/>
          <w:w w:val="95"/>
          <w:position w:val="-7"/>
          <w:sz w:val="21"/>
        </w:rPr>
        <w:t>．</w:t>
      </w:r>
      <w:r>
        <w:rPr>
          <w:b/>
          <w:spacing w:val="-148"/>
          <w:w w:val="95"/>
          <w:sz w:val="21"/>
        </w:rPr>
        <w:t>合</w:t>
      </w:r>
      <w:r>
        <w:rPr>
          <w:spacing w:val="-63"/>
          <w:w w:val="95"/>
          <w:position w:val="-7"/>
          <w:sz w:val="21"/>
        </w:rPr>
        <w:t>．</w:t>
      </w:r>
      <w:r>
        <w:rPr>
          <w:b/>
          <w:spacing w:val="-148"/>
          <w:w w:val="95"/>
          <w:sz w:val="21"/>
        </w:rPr>
        <w:t>同</w:t>
      </w:r>
      <w:r>
        <w:rPr>
          <w:spacing w:val="-63"/>
          <w:w w:val="95"/>
          <w:position w:val="-7"/>
          <w:sz w:val="21"/>
        </w:rPr>
        <w:t>．</w:t>
      </w:r>
      <w:r>
        <w:rPr>
          <w:b/>
          <w:spacing w:val="-147"/>
          <w:w w:val="95"/>
          <w:sz w:val="21"/>
        </w:rPr>
        <w:t>内</w:t>
      </w:r>
      <w:r>
        <w:rPr>
          <w:spacing w:val="-63"/>
          <w:w w:val="95"/>
          <w:position w:val="-7"/>
          <w:sz w:val="21"/>
        </w:rPr>
        <w:t>．</w:t>
      </w:r>
      <w:r>
        <w:rPr>
          <w:b/>
          <w:spacing w:val="-147"/>
          <w:w w:val="95"/>
          <w:sz w:val="21"/>
        </w:rPr>
        <w:t>容</w:t>
      </w:r>
      <w:r>
        <w:rPr>
          <w:spacing w:val="-63"/>
          <w:w w:val="95"/>
          <w:position w:val="-7"/>
          <w:sz w:val="21"/>
        </w:rPr>
        <w:t>．</w:t>
      </w:r>
      <w:r>
        <w:rPr>
          <w:b/>
          <w:spacing w:val="-147"/>
          <w:w w:val="95"/>
          <w:sz w:val="21"/>
        </w:rPr>
        <w:t>的</w:t>
      </w:r>
      <w:r>
        <w:rPr>
          <w:spacing w:val="-63"/>
          <w:w w:val="95"/>
          <w:position w:val="-7"/>
          <w:sz w:val="21"/>
        </w:rPr>
        <w:t>．</w:t>
      </w:r>
      <w:r>
        <w:rPr>
          <w:b/>
          <w:spacing w:val="-148"/>
          <w:w w:val="95"/>
          <w:sz w:val="21"/>
        </w:rPr>
        <w:t>解</w:t>
      </w:r>
      <w:r>
        <w:rPr>
          <w:spacing w:val="-63"/>
          <w:w w:val="95"/>
          <w:position w:val="-7"/>
          <w:sz w:val="21"/>
        </w:rPr>
        <w:t>．</w:t>
      </w:r>
      <w:r>
        <w:rPr>
          <w:b/>
          <w:spacing w:val="-148"/>
          <w:w w:val="95"/>
          <w:sz w:val="21"/>
        </w:rPr>
        <w:t>释</w:t>
      </w:r>
      <w:r>
        <w:rPr>
          <w:spacing w:val="-63"/>
          <w:w w:val="95"/>
          <w:position w:val="-7"/>
          <w:sz w:val="21"/>
        </w:rPr>
        <w:t>．</w:t>
      </w:r>
      <w:r>
        <w:rPr>
          <w:b/>
          <w:spacing w:val="-147"/>
          <w:w w:val="95"/>
          <w:sz w:val="21"/>
        </w:rPr>
        <w:t>以</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63"/>
          <w:w w:val="95"/>
          <w:position w:val="-7"/>
          <w:sz w:val="21"/>
        </w:rPr>
        <w:t>．</w:t>
      </w:r>
      <w:r>
        <w:rPr>
          <w:b/>
          <w:spacing w:val="-148"/>
          <w:w w:val="95"/>
          <w:sz w:val="21"/>
        </w:rPr>
        <w:t>为</w:t>
      </w:r>
      <w:r>
        <w:rPr>
          <w:spacing w:val="-63"/>
          <w:w w:val="95"/>
          <w:position w:val="-7"/>
          <w:sz w:val="21"/>
        </w:rPr>
        <w:t>．</w:t>
      </w:r>
      <w:r>
        <w:rPr>
          <w:b/>
          <w:spacing w:val="-148"/>
          <w:w w:val="95"/>
          <w:sz w:val="21"/>
        </w:rPr>
        <w:t>准</w:t>
      </w:r>
      <w:r>
        <w:rPr>
          <w:spacing w:val="-63"/>
          <w:w w:val="95"/>
          <w:position w:val="-7"/>
          <w:sz w:val="21"/>
        </w:rPr>
        <w:t>．</w:t>
      </w:r>
      <w:r>
        <w:rPr>
          <w:b/>
          <w:w w:val="95"/>
          <w:sz w:val="21"/>
        </w:rPr>
        <w:t>。</w:t>
      </w:r>
    </w:p>
    <w:p>
      <w:pPr>
        <w:pStyle w:val="BodyText"/>
        <w:spacing w:before="0"/>
        <w:rPr>
          <w:b/>
          <w:sz w:val="20"/>
        </w:rPr>
      </w:pPr>
    </w:p>
    <w:p>
      <w:pPr>
        <w:pStyle w:val="BodyText"/>
        <w:spacing w:before="9"/>
        <w:rPr>
          <w:b/>
          <w:sz w:val="15"/>
        </w:rPr>
      </w:pPr>
    </w:p>
    <w:p>
      <w:pPr>
        <w:pStyle w:val="Heading3"/>
        <w:tabs>
          <w:tab w:pos="1382" w:val="left" w:leader="none"/>
        </w:tabs>
        <w:spacing w:line="683" w:lineRule="exact"/>
        <w:ind w:left="371"/>
      </w:pPr>
      <w:r>
        <w:rPr/>
        <w:drawing>
          <wp:anchor distT="0" distB="0" distL="0" distR="0" allowOverlap="1" layoutInCell="1" locked="0" behindDoc="1" simplePos="0" relativeHeight="268413839">
            <wp:simplePos x="0" y="0"/>
            <wp:positionH relativeFrom="page">
              <wp:posOffset>684058</wp:posOffset>
            </wp:positionH>
            <wp:positionV relativeFrom="paragraph">
              <wp:posOffset>-73194</wp:posOffset>
            </wp:positionV>
            <wp:extent cx="6113198" cy="788103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113198" cy="7881038"/>
                    </a:xfrm>
                    <a:prstGeom prst="rect">
                      <a:avLst/>
                    </a:prstGeom>
                  </pic:spPr>
                </pic:pic>
              </a:graphicData>
            </a:graphic>
          </wp:anchor>
        </w:drawing>
      </w:r>
      <w:r>
        <w:rPr>
          <w:rFonts w:ascii="Yu Gothic" w:hAnsi="Yu Gothic" w:eastAsia="Yu Gothic" w:hint="eastAsia"/>
          <w:w w:val="150"/>
          <w:position w:val="-11"/>
          <w:sz w:val="52"/>
        </w:rPr>
        <w:t>¤</w:t>
        <w:tab/>
      </w:r>
      <w:r>
        <w:rPr>
          <w:w w:val="95"/>
        </w:rPr>
        <w:t>您拥有的重要权益</w:t>
      </w:r>
    </w:p>
    <w:p>
      <w:pPr>
        <w:pStyle w:val="ListParagraph"/>
        <w:numPr>
          <w:ilvl w:val="0"/>
          <w:numId w:val="1"/>
        </w:numPr>
        <w:tabs>
          <w:tab w:pos="1783" w:val="left" w:leader="none"/>
          <w:tab w:pos="1784" w:val="left" w:leader="none"/>
        </w:tabs>
        <w:spacing w:line="263" w:lineRule="exact" w:before="0" w:after="0"/>
        <w:ind w:left="1783" w:right="0" w:hanging="440"/>
        <w:jc w:val="left"/>
        <w:rPr>
          <w:b/>
          <w:sz w:val="21"/>
        </w:rPr>
      </w:pPr>
      <w:r>
        <w:rPr>
          <w:b/>
          <w:w w:val="95"/>
          <w:sz w:val="21"/>
        </w:rPr>
        <w:t>被保险人享受本附加合同提供的保障…………………………………………第2.2条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签收本附加合同次日起十日内您可以要求退还全部保险费…………………第1.4条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您有保险单借款的权利…………………………………………………………第5.3条</w:t>
      </w:r>
    </w:p>
    <w:p>
      <w:pPr>
        <w:pStyle w:val="BodyText"/>
        <w:spacing w:before="9"/>
        <w:rPr>
          <w:b/>
          <w:sz w:val="22"/>
        </w:rPr>
      </w:pPr>
    </w:p>
    <w:p>
      <w:pPr>
        <w:tabs>
          <w:tab w:pos="1383" w:val="left" w:leader="none"/>
        </w:tabs>
        <w:spacing w:before="0"/>
        <w:ind w:left="371" w:right="0" w:firstLine="0"/>
        <w:jc w:val="left"/>
        <w:rPr>
          <w:b/>
          <w:sz w:val="21"/>
        </w:rPr>
      </w:pPr>
      <w:r>
        <w:rPr>
          <w:rFonts w:ascii="Yu Gothic" w:hAnsi="Yu Gothic" w:eastAsia="Yu Gothic" w:hint="eastAsia"/>
          <w:b/>
          <w:w w:val="150"/>
          <w:position w:val="-11"/>
          <w:sz w:val="52"/>
        </w:rPr>
        <w:t>¤</w:t>
        <w:tab/>
      </w:r>
      <w:r>
        <w:rPr>
          <w:b/>
          <w:w w:val="95"/>
          <w:sz w:val="21"/>
        </w:rPr>
        <w:t>您应当特别注意的事项</w:t>
      </w:r>
    </w:p>
    <w:p>
      <w:pPr>
        <w:pStyle w:val="ListParagraph"/>
        <w:numPr>
          <w:ilvl w:val="0"/>
          <w:numId w:val="1"/>
        </w:numPr>
        <w:tabs>
          <w:tab w:pos="1783" w:val="left" w:leader="none"/>
          <w:tab w:pos="1784" w:val="left" w:leader="none"/>
        </w:tabs>
        <w:spacing w:line="240" w:lineRule="auto" w:before="111" w:after="0"/>
        <w:ind w:left="1783" w:right="0" w:hanging="440"/>
        <w:jc w:val="left"/>
        <w:rPr>
          <w:b/>
          <w:sz w:val="21"/>
        </w:rPr>
      </w:pPr>
      <w:r>
        <w:rPr>
          <w:b/>
          <w:w w:val="95"/>
          <w:sz w:val="21"/>
        </w:rPr>
        <w:t>退保会给您造成一定的损失，请您慎重决策…………………………………第6.1条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在某些情况下，本公司不承担保险责任………………………………………第2.3条</w:t>
      </w:r>
    </w:p>
    <w:p>
      <w:pPr>
        <w:pStyle w:val="ListParagraph"/>
        <w:numPr>
          <w:ilvl w:val="0"/>
          <w:numId w:val="1"/>
        </w:numPr>
        <w:tabs>
          <w:tab w:pos="1783" w:val="left" w:leader="none"/>
          <w:tab w:pos="1784" w:val="left" w:leader="none"/>
        </w:tabs>
        <w:spacing w:line="268" w:lineRule="exact" w:before="37" w:after="0"/>
        <w:ind w:left="1783" w:right="0" w:hanging="440"/>
        <w:jc w:val="left"/>
        <w:rPr>
          <w:b/>
          <w:sz w:val="21"/>
        </w:rPr>
      </w:pPr>
      <w:r>
        <w:rPr>
          <w:b/>
          <w:spacing w:val="-1"/>
          <w:sz w:val="21"/>
        </w:rPr>
        <w:t>本公司对一些重要术语进行了解释，并作了显著标识，请您注意…………第 </w:t>
      </w:r>
      <w:r>
        <w:rPr>
          <w:b/>
          <w:sz w:val="21"/>
        </w:rPr>
        <w:t>8</w:t>
      </w:r>
      <w:r>
        <w:rPr>
          <w:b/>
          <w:spacing w:val="-2"/>
          <w:sz w:val="21"/>
        </w:rPr>
        <w:t> 条</w:t>
      </w:r>
    </w:p>
    <w:p>
      <w:pPr>
        <w:tabs>
          <w:tab w:pos="1383" w:val="left" w:leader="none"/>
        </w:tabs>
        <w:spacing w:line="810"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条款是保险合同的重要内容，为充分保障您的权益，请您仔细阅读本条款。</w:t>
      </w:r>
    </w:p>
    <w:p>
      <w:pPr>
        <w:tabs>
          <w:tab w:pos="1382" w:val="left" w:leader="none"/>
        </w:tabs>
        <w:spacing w:line="817"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条款目录</w:t>
      </w:r>
    </w:p>
    <w:p>
      <w:pPr>
        <w:pStyle w:val="BodyText"/>
        <w:spacing w:before="9"/>
        <w:rPr>
          <w:b/>
          <w:sz w:val="13"/>
        </w:rPr>
      </w:pPr>
    </w:p>
    <w:p>
      <w:pPr>
        <w:spacing w:after="0"/>
        <w:rPr>
          <w:sz w:val="13"/>
        </w:rPr>
        <w:sectPr>
          <w:type w:val="continuous"/>
          <w:pgSz w:w="11910" w:h="16840"/>
          <w:pgMar w:top="1040" w:bottom="1180" w:left="960" w:right="920"/>
        </w:sectPr>
      </w:pPr>
    </w:p>
    <w:p>
      <w:pPr>
        <w:pStyle w:val="Heading3"/>
        <w:spacing w:before="96"/>
        <w:ind w:left="1202"/>
      </w:pPr>
      <w:r>
        <w:rPr>
          <w:w w:val="95"/>
        </w:rPr>
        <w:t>1.您与我们的合同</w:t>
      </w:r>
    </w:p>
    <w:p>
      <w:pPr>
        <w:pStyle w:val="ListParagraph"/>
        <w:numPr>
          <w:ilvl w:val="1"/>
          <w:numId w:val="2"/>
        </w:numPr>
        <w:tabs>
          <w:tab w:pos="1833" w:val="left" w:leader="none"/>
        </w:tabs>
        <w:spacing w:line="240" w:lineRule="auto" w:before="36" w:after="0"/>
        <w:ind w:left="1832" w:right="0" w:hanging="420"/>
        <w:jc w:val="left"/>
        <w:rPr>
          <w:sz w:val="21"/>
        </w:rPr>
      </w:pPr>
      <w:r>
        <w:rPr>
          <w:spacing w:val="-1"/>
          <w:sz w:val="21"/>
        </w:rPr>
        <w:t>合同构成</w:t>
      </w:r>
    </w:p>
    <w:p>
      <w:pPr>
        <w:pStyle w:val="ListParagraph"/>
        <w:numPr>
          <w:ilvl w:val="1"/>
          <w:numId w:val="2"/>
        </w:numPr>
        <w:tabs>
          <w:tab w:pos="1833" w:val="left" w:leader="none"/>
        </w:tabs>
        <w:spacing w:line="240" w:lineRule="auto" w:before="36" w:after="0"/>
        <w:ind w:left="1832" w:right="0" w:hanging="420"/>
        <w:jc w:val="left"/>
        <w:rPr>
          <w:sz w:val="21"/>
        </w:rPr>
      </w:pPr>
      <w:r>
        <w:rPr>
          <w:spacing w:val="-1"/>
          <w:sz w:val="21"/>
        </w:rPr>
        <w:t>合同效力</w:t>
      </w:r>
    </w:p>
    <w:p>
      <w:pPr>
        <w:pStyle w:val="ListParagraph"/>
        <w:numPr>
          <w:ilvl w:val="1"/>
          <w:numId w:val="2"/>
        </w:numPr>
        <w:tabs>
          <w:tab w:pos="1833" w:val="left" w:leader="none"/>
        </w:tabs>
        <w:spacing w:line="240" w:lineRule="auto" w:before="36" w:after="0"/>
        <w:ind w:left="1832" w:right="0" w:hanging="420"/>
        <w:jc w:val="left"/>
        <w:rPr>
          <w:sz w:val="21"/>
        </w:rPr>
      </w:pPr>
      <w:r>
        <w:rPr>
          <w:spacing w:val="-1"/>
          <w:sz w:val="21"/>
        </w:rPr>
        <w:t>合同成立与生效</w:t>
      </w:r>
    </w:p>
    <w:p>
      <w:pPr>
        <w:pStyle w:val="ListParagraph"/>
        <w:numPr>
          <w:ilvl w:val="1"/>
          <w:numId w:val="2"/>
        </w:numPr>
        <w:tabs>
          <w:tab w:pos="1833" w:val="left" w:leader="none"/>
        </w:tabs>
        <w:spacing w:line="240" w:lineRule="auto" w:before="36" w:after="0"/>
        <w:ind w:left="1832" w:right="0" w:hanging="420"/>
        <w:jc w:val="left"/>
        <w:rPr>
          <w:sz w:val="21"/>
        </w:rPr>
      </w:pPr>
      <w:r>
        <w:rPr>
          <w:sz w:val="21"/>
        </w:rPr>
        <w:t>犹豫期</w:t>
      </w:r>
    </w:p>
    <w:p>
      <w:pPr>
        <w:pStyle w:val="ListParagraph"/>
        <w:numPr>
          <w:ilvl w:val="1"/>
          <w:numId w:val="2"/>
        </w:numPr>
        <w:tabs>
          <w:tab w:pos="1833" w:val="left" w:leader="none"/>
        </w:tabs>
        <w:spacing w:line="240" w:lineRule="auto" w:before="36" w:after="0"/>
        <w:ind w:left="1832" w:right="0" w:hanging="420"/>
        <w:jc w:val="left"/>
        <w:rPr>
          <w:sz w:val="21"/>
        </w:rPr>
      </w:pPr>
      <w:r>
        <w:rPr>
          <w:spacing w:val="-1"/>
          <w:sz w:val="21"/>
        </w:rPr>
        <w:t>保险期间</w:t>
      </w:r>
    </w:p>
    <w:p>
      <w:pPr>
        <w:pStyle w:val="BodyText"/>
        <w:spacing w:before="8"/>
        <w:rPr>
          <w:sz w:val="26"/>
        </w:rPr>
      </w:pPr>
    </w:p>
    <w:p>
      <w:pPr>
        <w:spacing w:before="0"/>
        <w:ind w:left="1202" w:right="0" w:firstLine="0"/>
        <w:jc w:val="left"/>
        <w:rPr>
          <w:b/>
          <w:sz w:val="21"/>
        </w:rPr>
      </w:pPr>
      <w:r>
        <w:rPr>
          <w:b/>
          <w:w w:val="95"/>
          <w:sz w:val="21"/>
        </w:rPr>
        <w:t>2.我们提供的保障</w:t>
      </w:r>
    </w:p>
    <w:p>
      <w:pPr>
        <w:pStyle w:val="ListParagraph"/>
        <w:numPr>
          <w:ilvl w:val="1"/>
          <w:numId w:val="3"/>
        </w:numPr>
        <w:tabs>
          <w:tab w:pos="1833" w:val="left" w:leader="none"/>
        </w:tabs>
        <w:spacing w:line="240" w:lineRule="auto" w:before="37" w:after="0"/>
        <w:ind w:left="1832" w:right="0" w:hanging="420"/>
        <w:jc w:val="left"/>
        <w:rPr>
          <w:sz w:val="21"/>
        </w:rPr>
      </w:pPr>
      <w:r>
        <w:rPr>
          <w:spacing w:val="-1"/>
          <w:sz w:val="21"/>
        </w:rPr>
        <w:t>保险金额</w:t>
      </w:r>
    </w:p>
    <w:p>
      <w:pPr>
        <w:pStyle w:val="ListParagraph"/>
        <w:numPr>
          <w:ilvl w:val="1"/>
          <w:numId w:val="3"/>
        </w:numPr>
        <w:tabs>
          <w:tab w:pos="1833" w:val="left" w:leader="none"/>
        </w:tabs>
        <w:spacing w:line="240" w:lineRule="auto" w:before="37" w:after="0"/>
        <w:ind w:left="1832" w:right="0" w:hanging="420"/>
        <w:jc w:val="left"/>
        <w:rPr>
          <w:sz w:val="21"/>
        </w:rPr>
      </w:pPr>
      <w:r>
        <w:rPr>
          <w:spacing w:val="-1"/>
          <w:sz w:val="21"/>
        </w:rPr>
        <w:t>保险责任</w:t>
      </w:r>
    </w:p>
    <w:p>
      <w:pPr>
        <w:pStyle w:val="ListParagraph"/>
        <w:numPr>
          <w:ilvl w:val="1"/>
          <w:numId w:val="3"/>
        </w:numPr>
        <w:tabs>
          <w:tab w:pos="1833" w:val="left" w:leader="none"/>
        </w:tabs>
        <w:spacing w:line="240" w:lineRule="auto" w:before="37" w:after="0"/>
        <w:ind w:left="1832" w:right="0" w:hanging="420"/>
        <w:jc w:val="left"/>
        <w:rPr>
          <w:sz w:val="21"/>
        </w:rPr>
      </w:pPr>
      <w:r>
        <w:rPr>
          <w:spacing w:val="-1"/>
          <w:sz w:val="21"/>
        </w:rPr>
        <w:t>责任免除</w:t>
      </w:r>
    </w:p>
    <w:p>
      <w:pPr>
        <w:pStyle w:val="BodyText"/>
        <w:spacing w:before="8"/>
        <w:rPr>
          <w:sz w:val="26"/>
        </w:rPr>
      </w:pPr>
    </w:p>
    <w:p>
      <w:pPr>
        <w:spacing w:before="0"/>
        <w:ind w:left="1202" w:right="0" w:firstLine="0"/>
        <w:jc w:val="left"/>
        <w:rPr>
          <w:b/>
          <w:sz w:val="21"/>
        </w:rPr>
      </w:pPr>
      <w:r>
        <w:rPr>
          <w:b/>
          <w:w w:val="95"/>
          <w:sz w:val="21"/>
        </w:rPr>
        <w:t>3.如何申请领取保险金</w:t>
      </w:r>
    </w:p>
    <w:p>
      <w:pPr>
        <w:pStyle w:val="ListParagraph"/>
        <w:numPr>
          <w:ilvl w:val="1"/>
          <w:numId w:val="4"/>
        </w:numPr>
        <w:tabs>
          <w:tab w:pos="1833" w:val="left" w:leader="none"/>
        </w:tabs>
        <w:spacing w:line="240" w:lineRule="auto" w:before="36" w:after="0"/>
        <w:ind w:left="1832" w:right="0" w:hanging="420"/>
        <w:jc w:val="left"/>
        <w:rPr>
          <w:sz w:val="21"/>
        </w:rPr>
      </w:pPr>
      <w:r>
        <w:rPr>
          <w:spacing w:val="-1"/>
          <w:sz w:val="21"/>
        </w:rPr>
        <w:t>受益人的指定和变更</w:t>
      </w:r>
    </w:p>
    <w:p>
      <w:pPr>
        <w:pStyle w:val="ListParagraph"/>
        <w:numPr>
          <w:ilvl w:val="1"/>
          <w:numId w:val="4"/>
        </w:numPr>
        <w:tabs>
          <w:tab w:pos="1833" w:val="left" w:leader="none"/>
        </w:tabs>
        <w:spacing w:line="240" w:lineRule="auto" w:before="36" w:after="0"/>
        <w:ind w:left="1832" w:right="0" w:hanging="420"/>
        <w:jc w:val="left"/>
        <w:rPr>
          <w:sz w:val="21"/>
        </w:rPr>
      </w:pPr>
      <w:r>
        <w:rPr>
          <w:spacing w:val="-1"/>
          <w:sz w:val="21"/>
        </w:rPr>
        <w:t>保险金的申请</w:t>
      </w:r>
    </w:p>
    <w:p>
      <w:pPr>
        <w:pStyle w:val="ListParagraph"/>
        <w:numPr>
          <w:ilvl w:val="1"/>
          <w:numId w:val="4"/>
        </w:numPr>
        <w:tabs>
          <w:tab w:pos="1833" w:val="left" w:leader="none"/>
        </w:tabs>
        <w:spacing w:line="240" w:lineRule="auto" w:before="36" w:after="0"/>
        <w:ind w:left="1832" w:right="0" w:hanging="420"/>
        <w:jc w:val="left"/>
        <w:rPr>
          <w:sz w:val="21"/>
        </w:rPr>
      </w:pPr>
      <w:r>
        <w:rPr>
          <w:spacing w:val="-1"/>
          <w:sz w:val="21"/>
        </w:rPr>
        <w:t>欠款的扣除</w:t>
      </w:r>
    </w:p>
    <w:p>
      <w:pPr>
        <w:pStyle w:val="ListParagraph"/>
        <w:numPr>
          <w:ilvl w:val="1"/>
          <w:numId w:val="4"/>
        </w:numPr>
        <w:tabs>
          <w:tab w:pos="1833" w:val="left" w:leader="none"/>
        </w:tabs>
        <w:spacing w:line="240" w:lineRule="auto" w:before="36" w:after="0"/>
        <w:ind w:left="1832" w:right="0" w:hanging="420"/>
        <w:jc w:val="left"/>
        <w:rPr>
          <w:sz w:val="21"/>
        </w:rPr>
      </w:pPr>
      <w:r>
        <w:rPr>
          <w:spacing w:val="-1"/>
          <w:sz w:val="21"/>
        </w:rPr>
        <w:t>诉讼时效</w:t>
      </w:r>
    </w:p>
    <w:p>
      <w:pPr>
        <w:spacing w:before="70"/>
        <w:ind w:left="180" w:right="0" w:firstLine="0"/>
        <w:jc w:val="left"/>
        <w:rPr>
          <w:b/>
          <w:sz w:val="21"/>
        </w:rPr>
      </w:pPr>
      <w:r>
        <w:rPr/>
        <w:br w:type="column"/>
      </w:r>
      <w:r>
        <w:rPr>
          <w:b/>
          <w:w w:val="95"/>
          <w:sz w:val="21"/>
        </w:rPr>
        <w:t>4.如何交付保险费</w:t>
      </w:r>
    </w:p>
    <w:p>
      <w:pPr>
        <w:spacing w:before="37"/>
        <w:ind w:left="390" w:right="0" w:firstLine="0"/>
        <w:jc w:val="left"/>
        <w:rPr>
          <w:sz w:val="21"/>
        </w:rPr>
      </w:pPr>
      <w:r>
        <w:rPr>
          <w:sz w:val="21"/>
        </w:rPr>
        <w:t>4.1 保险费的交付</w:t>
      </w:r>
    </w:p>
    <w:p>
      <w:pPr>
        <w:pStyle w:val="BodyText"/>
        <w:spacing w:before="8"/>
        <w:rPr>
          <w:sz w:val="26"/>
        </w:rPr>
      </w:pPr>
    </w:p>
    <w:p>
      <w:pPr>
        <w:spacing w:before="0"/>
        <w:ind w:left="180" w:right="0" w:firstLine="0"/>
        <w:jc w:val="left"/>
        <w:rPr>
          <w:b/>
          <w:sz w:val="21"/>
        </w:rPr>
      </w:pPr>
      <w:r>
        <w:rPr>
          <w:b/>
          <w:w w:val="95"/>
          <w:sz w:val="21"/>
        </w:rPr>
        <w:t>5.现金价值权益</w:t>
      </w:r>
    </w:p>
    <w:p>
      <w:pPr>
        <w:pStyle w:val="ListParagraph"/>
        <w:numPr>
          <w:ilvl w:val="1"/>
          <w:numId w:val="5"/>
        </w:numPr>
        <w:tabs>
          <w:tab w:pos="813" w:val="left" w:leader="none"/>
        </w:tabs>
        <w:spacing w:line="240" w:lineRule="auto" w:before="36" w:after="0"/>
        <w:ind w:left="812" w:right="0" w:hanging="420"/>
        <w:jc w:val="left"/>
        <w:rPr>
          <w:sz w:val="21"/>
        </w:rPr>
      </w:pPr>
      <w:r>
        <w:rPr>
          <w:spacing w:val="-1"/>
          <w:sz w:val="21"/>
        </w:rPr>
        <w:t>现金价值</w:t>
      </w:r>
    </w:p>
    <w:p>
      <w:pPr>
        <w:pStyle w:val="ListParagraph"/>
        <w:numPr>
          <w:ilvl w:val="1"/>
          <w:numId w:val="5"/>
        </w:numPr>
        <w:tabs>
          <w:tab w:pos="812" w:val="left" w:leader="none"/>
        </w:tabs>
        <w:spacing w:line="240" w:lineRule="auto" w:before="36" w:after="0"/>
        <w:ind w:left="811" w:right="0" w:hanging="421"/>
        <w:jc w:val="left"/>
        <w:rPr>
          <w:sz w:val="21"/>
        </w:rPr>
      </w:pPr>
      <w:r>
        <w:rPr>
          <w:spacing w:val="-1"/>
          <w:sz w:val="21"/>
        </w:rPr>
        <w:t>自动垫交</w:t>
      </w:r>
    </w:p>
    <w:p>
      <w:pPr>
        <w:pStyle w:val="ListParagraph"/>
        <w:numPr>
          <w:ilvl w:val="1"/>
          <w:numId w:val="5"/>
        </w:numPr>
        <w:tabs>
          <w:tab w:pos="812" w:val="left" w:leader="none"/>
        </w:tabs>
        <w:spacing w:line="240" w:lineRule="auto" w:before="36" w:after="0"/>
        <w:ind w:left="811" w:right="0" w:hanging="420"/>
        <w:jc w:val="left"/>
        <w:rPr>
          <w:sz w:val="21"/>
        </w:rPr>
      </w:pPr>
      <w:r>
        <w:rPr>
          <w:spacing w:val="-1"/>
          <w:sz w:val="21"/>
        </w:rPr>
        <w:t>保险单借款</w:t>
      </w:r>
    </w:p>
    <w:p>
      <w:pPr>
        <w:pStyle w:val="BodyText"/>
        <w:spacing w:before="8"/>
        <w:rPr>
          <w:sz w:val="26"/>
        </w:rPr>
      </w:pPr>
    </w:p>
    <w:p>
      <w:pPr>
        <w:spacing w:before="0"/>
        <w:ind w:left="180" w:right="0" w:firstLine="0"/>
        <w:jc w:val="left"/>
        <w:rPr>
          <w:b/>
          <w:sz w:val="21"/>
        </w:rPr>
      </w:pPr>
      <w:r>
        <w:rPr>
          <w:b/>
          <w:w w:val="95"/>
          <w:sz w:val="21"/>
        </w:rPr>
        <w:t>6.如何解除保险合同</w:t>
      </w:r>
    </w:p>
    <w:p>
      <w:pPr>
        <w:spacing w:line="273" w:lineRule="auto" w:before="37"/>
        <w:ind w:left="810" w:right="425" w:hanging="419"/>
        <w:jc w:val="left"/>
        <w:rPr>
          <w:sz w:val="21"/>
        </w:rPr>
      </w:pPr>
      <w:r>
        <w:rPr>
          <w:sz w:val="21"/>
        </w:rPr>
        <w:t>6.1 您解除合同的手续及风险</w:t>
      </w:r>
    </w:p>
    <w:p>
      <w:pPr>
        <w:pStyle w:val="BodyText"/>
        <w:spacing w:before="5"/>
        <w:rPr>
          <w:sz w:val="24"/>
        </w:rPr>
      </w:pPr>
    </w:p>
    <w:p>
      <w:pPr>
        <w:spacing w:before="0"/>
        <w:ind w:left="180" w:right="0" w:firstLine="0"/>
        <w:jc w:val="left"/>
        <w:rPr>
          <w:b/>
          <w:sz w:val="21"/>
        </w:rPr>
      </w:pPr>
      <w:r>
        <w:rPr>
          <w:b/>
          <w:w w:val="95"/>
          <w:sz w:val="21"/>
        </w:rPr>
        <w:t>7.其他需要您关注的事项</w:t>
      </w:r>
    </w:p>
    <w:p>
      <w:pPr>
        <w:spacing w:before="36"/>
        <w:ind w:left="390" w:right="0" w:firstLine="0"/>
        <w:jc w:val="left"/>
        <w:rPr>
          <w:sz w:val="21"/>
        </w:rPr>
      </w:pPr>
      <w:r>
        <w:rPr>
          <w:sz w:val="21"/>
        </w:rPr>
        <w:t>7.1 投保范围</w:t>
      </w:r>
    </w:p>
    <w:p>
      <w:pPr>
        <w:pStyle w:val="BodyText"/>
        <w:spacing w:before="8"/>
        <w:rPr>
          <w:sz w:val="26"/>
        </w:rPr>
      </w:pPr>
    </w:p>
    <w:p>
      <w:pPr>
        <w:spacing w:before="0"/>
        <w:ind w:left="180" w:right="0" w:firstLine="0"/>
        <w:jc w:val="left"/>
        <w:rPr>
          <w:b/>
          <w:sz w:val="21"/>
        </w:rPr>
      </w:pPr>
      <w:r>
        <w:rPr>
          <w:b/>
          <w:w w:val="95"/>
          <w:sz w:val="21"/>
        </w:rPr>
        <w:t>8.释义</w:t>
      </w:r>
    </w:p>
    <w:p>
      <w:pPr>
        <w:pStyle w:val="ListParagraph"/>
        <w:numPr>
          <w:ilvl w:val="1"/>
          <w:numId w:val="6"/>
        </w:numPr>
        <w:tabs>
          <w:tab w:pos="812" w:val="left" w:leader="none"/>
        </w:tabs>
        <w:spacing w:line="240" w:lineRule="auto" w:before="37" w:after="0"/>
        <w:ind w:left="811" w:right="0" w:hanging="420"/>
        <w:jc w:val="left"/>
        <w:rPr>
          <w:sz w:val="21"/>
        </w:rPr>
      </w:pPr>
      <w:r>
        <w:rPr>
          <w:spacing w:val="-1"/>
          <w:sz w:val="21"/>
        </w:rPr>
        <w:t>有效身份证件</w:t>
      </w:r>
    </w:p>
    <w:p>
      <w:pPr>
        <w:pStyle w:val="ListParagraph"/>
        <w:numPr>
          <w:ilvl w:val="1"/>
          <w:numId w:val="6"/>
        </w:numPr>
        <w:tabs>
          <w:tab w:pos="1008" w:val="left" w:leader="none"/>
        </w:tabs>
        <w:spacing w:line="240" w:lineRule="auto" w:before="36" w:after="0"/>
        <w:ind w:left="1007" w:right="0" w:hanging="421"/>
        <w:jc w:val="left"/>
        <w:rPr>
          <w:sz w:val="21"/>
        </w:rPr>
      </w:pPr>
      <w:r>
        <w:rPr>
          <w:sz w:val="21"/>
        </w:rPr>
        <w:br w:type="column"/>
        <w:t>发病</w:t>
      </w:r>
    </w:p>
    <w:p>
      <w:pPr>
        <w:pStyle w:val="ListParagraph"/>
        <w:numPr>
          <w:ilvl w:val="1"/>
          <w:numId w:val="6"/>
        </w:numPr>
        <w:tabs>
          <w:tab w:pos="1007" w:val="left" w:leader="none"/>
        </w:tabs>
        <w:spacing w:line="240" w:lineRule="auto" w:before="37" w:after="0"/>
        <w:ind w:left="1006" w:right="0" w:hanging="420"/>
        <w:jc w:val="left"/>
        <w:rPr>
          <w:sz w:val="21"/>
        </w:rPr>
      </w:pPr>
      <w:r>
        <w:rPr>
          <w:spacing w:val="-1"/>
          <w:sz w:val="21"/>
        </w:rPr>
        <w:t>指定或认可的医疗机构</w:t>
      </w:r>
    </w:p>
    <w:p>
      <w:pPr>
        <w:pStyle w:val="ListParagraph"/>
        <w:numPr>
          <w:ilvl w:val="1"/>
          <w:numId w:val="6"/>
        </w:numPr>
        <w:tabs>
          <w:tab w:pos="1008" w:val="left" w:leader="none"/>
        </w:tabs>
        <w:spacing w:line="240" w:lineRule="auto" w:before="37" w:after="0"/>
        <w:ind w:left="1007" w:right="0" w:hanging="421"/>
        <w:jc w:val="left"/>
        <w:rPr>
          <w:sz w:val="21"/>
        </w:rPr>
      </w:pPr>
      <w:r>
        <w:rPr>
          <w:sz w:val="21"/>
        </w:rPr>
        <w:t>毒品</w:t>
      </w:r>
    </w:p>
    <w:p>
      <w:pPr>
        <w:pStyle w:val="ListParagraph"/>
        <w:numPr>
          <w:ilvl w:val="1"/>
          <w:numId w:val="6"/>
        </w:numPr>
        <w:tabs>
          <w:tab w:pos="1007" w:val="left" w:leader="none"/>
        </w:tabs>
        <w:spacing w:line="240" w:lineRule="auto" w:before="37" w:after="0"/>
        <w:ind w:left="1006" w:right="0" w:hanging="420"/>
        <w:jc w:val="left"/>
        <w:rPr>
          <w:sz w:val="21"/>
        </w:rPr>
      </w:pPr>
      <w:r>
        <w:rPr>
          <w:spacing w:val="-1"/>
          <w:sz w:val="21"/>
        </w:rPr>
        <w:t>酒后驾驶</w:t>
      </w:r>
    </w:p>
    <w:p>
      <w:pPr>
        <w:pStyle w:val="ListParagraph"/>
        <w:numPr>
          <w:ilvl w:val="1"/>
          <w:numId w:val="6"/>
        </w:numPr>
        <w:tabs>
          <w:tab w:pos="1007" w:val="left" w:leader="none"/>
        </w:tabs>
        <w:spacing w:line="240" w:lineRule="auto" w:before="37" w:after="0"/>
        <w:ind w:left="1006" w:right="0" w:hanging="420"/>
        <w:jc w:val="left"/>
        <w:rPr>
          <w:sz w:val="21"/>
        </w:rPr>
      </w:pPr>
      <w:r>
        <w:rPr>
          <w:spacing w:val="-1"/>
          <w:sz w:val="21"/>
        </w:rPr>
        <w:t>无合法有效驾驶证驾驶</w:t>
      </w:r>
    </w:p>
    <w:p>
      <w:pPr>
        <w:pStyle w:val="ListParagraph"/>
        <w:numPr>
          <w:ilvl w:val="1"/>
          <w:numId w:val="6"/>
        </w:numPr>
        <w:tabs>
          <w:tab w:pos="1008" w:val="left" w:leader="none"/>
        </w:tabs>
        <w:spacing w:line="240" w:lineRule="auto" w:before="37" w:after="0"/>
        <w:ind w:left="1007" w:right="0" w:hanging="421"/>
        <w:jc w:val="left"/>
        <w:rPr>
          <w:sz w:val="21"/>
        </w:rPr>
      </w:pPr>
      <w:r>
        <w:rPr>
          <w:spacing w:val="-1"/>
          <w:sz w:val="21"/>
        </w:rPr>
        <w:t>无有效行驶证</w:t>
      </w:r>
    </w:p>
    <w:p>
      <w:pPr>
        <w:pStyle w:val="ListParagraph"/>
        <w:numPr>
          <w:ilvl w:val="1"/>
          <w:numId w:val="6"/>
        </w:numPr>
        <w:tabs>
          <w:tab w:pos="1008" w:val="left" w:leader="none"/>
        </w:tabs>
        <w:spacing w:line="240" w:lineRule="auto" w:before="37" w:after="0"/>
        <w:ind w:left="1007" w:right="0" w:hanging="421"/>
        <w:jc w:val="left"/>
        <w:rPr>
          <w:sz w:val="21"/>
        </w:rPr>
      </w:pPr>
      <w:r>
        <w:rPr>
          <w:spacing w:val="-1"/>
          <w:sz w:val="21"/>
        </w:rPr>
        <w:t>艾滋病</w:t>
      </w:r>
    </w:p>
    <w:p>
      <w:pPr>
        <w:pStyle w:val="ListParagraph"/>
        <w:numPr>
          <w:ilvl w:val="1"/>
          <w:numId w:val="6"/>
        </w:numPr>
        <w:tabs>
          <w:tab w:pos="1008" w:val="left" w:leader="none"/>
        </w:tabs>
        <w:spacing w:line="240" w:lineRule="auto" w:before="37" w:after="0"/>
        <w:ind w:left="1007" w:right="0" w:hanging="421"/>
        <w:jc w:val="left"/>
        <w:rPr>
          <w:sz w:val="21"/>
        </w:rPr>
      </w:pPr>
      <w:r>
        <w:rPr>
          <w:spacing w:val="-1"/>
          <w:sz w:val="21"/>
        </w:rPr>
        <w:t>艾滋病病毒</w:t>
      </w:r>
    </w:p>
    <w:p>
      <w:pPr>
        <w:pStyle w:val="ListParagraph"/>
        <w:numPr>
          <w:ilvl w:val="1"/>
          <w:numId w:val="6"/>
        </w:numPr>
        <w:tabs>
          <w:tab w:pos="1112" w:val="left" w:leader="none"/>
        </w:tabs>
        <w:spacing w:line="240" w:lineRule="auto" w:before="37" w:after="0"/>
        <w:ind w:left="1111" w:right="0" w:hanging="525"/>
        <w:jc w:val="left"/>
        <w:rPr>
          <w:sz w:val="21"/>
        </w:rPr>
      </w:pPr>
      <w:r>
        <w:rPr>
          <w:spacing w:val="-1"/>
          <w:sz w:val="21"/>
        </w:rPr>
        <w:t>现金价值</w:t>
      </w:r>
    </w:p>
    <w:p>
      <w:pPr>
        <w:pStyle w:val="ListParagraph"/>
        <w:numPr>
          <w:ilvl w:val="1"/>
          <w:numId w:val="6"/>
        </w:numPr>
        <w:tabs>
          <w:tab w:pos="1112" w:val="left" w:leader="none"/>
        </w:tabs>
        <w:spacing w:line="240" w:lineRule="auto" w:before="37" w:after="0"/>
        <w:ind w:left="1111" w:right="0" w:hanging="525"/>
        <w:jc w:val="left"/>
        <w:rPr>
          <w:sz w:val="21"/>
        </w:rPr>
      </w:pPr>
      <w:r>
        <w:rPr>
          <w:sz w:val="21"/>
        </w:rPr>
        <w:t>利息</w:t>
      </w:r>
    </w:p>
    <w:p>
      <w:pPr>
        <w:spacing w:after="0" w:line="240" w:lineRule="auto"/>
        <w:jc w:val="left"/>
        <w:rPr>
          <w:sz w:val="21"/>
        </w:rPr>
        <w:sectPr>
          <w:type w:val="continuous"/>
          <w:pgSz w:w="11910" w:h="16840"/>
          <w:pgMar w:top="1040" w:bottom="1180" w:left="960" w:right="920"/>
          <w:cols w:num="3" w:equalWidth="0">
            <w:col w:w="3723" w:space="40"/>
            <w:col w:w="2500" w:space="39"/>
            <w:col w:w="3728"/>
          </w:cols>
        </w:sectPr>
      </w:pPr>
    </w:p>
    <w:p>
      <w:pPr>
        <w:pStyle w:val="BodyText"/>
        <w:spacing w:before="3"/>
        <w:rPr>
          <w:sz w:val="28"/>
        </w:rPr>
      </w:pPr>
    </w:p>
    <w:p>
      <w:pPr>
        <w:pStyle w:val="Heading1"/>
        <w:spacing w:before="14"/>
      </w:pPr>
      <w:r>
        <w:rPr>
          <w:w w:val="95"/>
        </w:rPr>
        <w:t>民生人寿保险股份有限公司</w:t>
      </w:r>
    </w:p>
    <w:p>
      <w:pPr>
        <w:pStyle w:val="BodyText"/>
        <w:spacing w:before="9"/>
        <w:rPr>
          <w:b/>
          <w:sz w:val="19"/>
        </w:rPr>
      </w:pPr>
    </w:p>
    <w:p>
      <w:pPr>
        <w:spacing w:before="0"/>
        <w:ind w:left="2835" w:right="2962" w:firstLine="0"/>
        <w:jc w:val="center"/>
        <w:rPr>
          <w:b/>
          <w:sz w:val="28"/>
        </w:rPr>
      </w:pPr>
      <w:r>
        <w:rPr>
          <w:b/>
          <w:w w:val="95"/>
          <w:sz w:val="28"/>
        </w:rPr>
        <w:t>附加提前给付女性重大疾病保险条款</w:t>
      </w:r>
    </w:p>
    <w:p>
      <w:pPr>
        <w:pStyle w:val="BodyText"/>
        <w:spacing w:before="11"/>
        <w:rPr>
          <w:b/>
          <w:sz w:val="41"/>
        </w:rPr>
      </w:pPr>
    </w:p>
    <w:p>
      <w:pPr>
        <w:spacing w:before="0"/>
        <w:ind w:left="224" w:right="0" w:firstLine="0"/>
        <w:jc w:val="left"/>
        <w:rPr>
          <w:sz w:val="21"/>
        </w:rPr>
      </w:pPr>
      <w:r>
        <w:rPr>
          <w:spacing w:val="-23"/>
          <w:sz w:val="21"/>
        </w:rPr>
        <w:t>在本条款中，“您”指投保人，“我们”、“本公司”均指民生人寿保险股份有限公司</w:t>
      </w:r>
    </w:p>
    <w:p>
      <w:pPr>
        <w:pStyle w:val="BodyText"/>
        <w:spacing w:before="6"/>
        <w:rPr>
          <w:sz w:val="25"/>
        </w:rPr>
      </w:pPr>
    </w:p>
    <w:p>
      <w:pPr>
        <w:tabs>
          <w:tab w:pos="907" w:val="left" w:leader="none"/>
        </w:tabs>
        <w:spacing w:before="1"/>
        <w:ind w:left="224" w:right="0" w:firstLine="0"/>
        <w:jc w:val="left"/>
        <w:rPr>
          <w:b/>
          <w:sz w:val="24"/>
        </w:rPr>
      </w:pPr>
      <w:r>
        <w:rPr/>
        <w:pict>
          <v:line style="position:absolute;mso-position-horizontal-relative:page;mso-position-vertical-relative:paragraph;z-index:1120;mso-wrap-distance-left:0;mso-wrap-distance-right:0" from="59.82pt,37.339779pt" to="553.5pt,37.339779pt" stroked="true" strokeweight=".48004pt" strokecolor="#000000">
            <v:stroke dashstyle="solid"/>
            <w10:wrap type="topAndBottom"/>
          </v:line>
        </w:pict>
      </w:r>
      <w:r>
        <w:rPr>
          <w:rFonts w:ascii="Yu Gothic" w:eastAsia="Yu Gothic" w:hint="eastAsia"/>
          <w:b/>
          <w:w w:val="135"/>
          <w:position w:val="-3"/>
          <w:sz w:val="40"/>
        </w:rPr>
        <w:t>0</w:t>
        <w:tab/>
      </w:r>
      <w:r>
        <w:rPr>
          <w:b/>
          <w:w w:val="95"/>
          <w:sz w:val="24"/>
        </w:rPr>
        <w:t>您与我们的合同</w:t>
      </w:r>
    </w:p>
    <w:p>
      <w:pPr>
        <w:pStyle w:val="BodyText"/>
        <w:spacing w:before="7"/>
        <w:rPr>
          <w:b/>
          <w:sz w:val="10"/>
        </w:rPr>
      </w:pPr>
    </w:p>
    <w:p>
      <w:pPr>
        <w:pStyle w:val="ListParagraph"/>
        <w:numPr>
          <w:ilvl w:val="1"/>
          <w:numId w:val="7"/>
        </w:numPr>
        <w:tabs>
          <w:tab w:pos="906" w:val="left" w:leader="none"/>
          <w:tab w:pos="907" w:val="left" w:leader="none"/>
          <w:tab w:pos="2613" w:val="left" w:leader="none"/>
        </w:tabs>
        <w:spacing w:line="304" w:lineRule="auto" w:before="35" w:after="0"/>
        <w:ind w:left="2613" w:right="132" w:hanging="2389"/>
        <w:jc w:val="left"/>
        <w:rPr>
          <w:sz w:val="18"/>
        </w:rPr>
      </w:pPr>
      <w:r>
        <w:rPr>
          <w:b/>
          <w:w w:val="99"/>
          <w:sz w:val="21"/>
        </w:rPr>
        <w:t>合同构成</w:t>
      </w:r>
      <w:r>
        <w:rPr>
          <w:b/>
          <w:sz w:val="21"/>
        </w:rPr>
        <w:tab/>
      </w:r>
      <w:r>
        <w:rPr>
          <w:position w:val="1"/>
          <w:sz w:val="18"/>
        </w:rPr>
        <w:t>本附加保险合</w:t>
      </w:r>
      <w:r>
        <w:rPr>
          <w:spacing w:val="-5"/>
          <w:position w:val="1"/>
          <w:sz w:val="18"/>
        </w:rPr>
        <w:t>同</w:t>
      </w:r>
      <w:r>
        <w:rPr>
          <w:position w:val="1"/>
          <w:sz w:val="18"/>
        </w:rPr>
        <w:t>（以下简</w:t>
      </w:r>
      <w:r>
        <w:rPr>
          <w:spacing w:val="-5"/>
          <w:position w:val="1"/>
          <w:sz w:val="18"/>
        </w:rPr>
        <w:t>称</w:t>
      </w:r>
      <w:r>
        <w:rPr>
          <w:position w:val="1"/>
          <w:sz w:val="18"/>
        </w:rPr>
        <w:t>“本附加合同</w:t>
      </w:r>
      <w:r>
        <w:rPr>
          <w:spacing w:val="-90"/>
          <w:position w:val="1"/>
          <w:sz w:val="18"/>
        </w:rPr>
        <w:t>”</w:t>
      </w:r>
      <w:r>
        <w:rPr>
          <w:spacing w:val="-5"/>
          <w:position w:val="1"/>
          <w:sz w:val="18"/>
        </w:rPr>
        <w:t>）</w:t>
      </w:r>
      <w:r>
        <w:rPr>
          <w:position w:val="1"/>
          <w:sz w:val="18"/>
        </w:rPr>
        <w:t>附加于本公司规定的主保险合</w:t>
      </w:r>
      <w:r>
        <w:rPr>
          <w:spacing w:val="-5"/>
          <w:position w:val="1"/>
          <w:sz w:val="18"/>
        </w:rPr>
        <w:t>同</w:t>
      </w:r>
      <w:r>
        <w:rPr>
          <w:position w:val="1"/>
          <w:sz w:val="18"/>
        </w:rPr>
        <w:t>（以下简</w:t>
      </w:r>
      <w:r>
        <w:rPr>
          <w:spacing w:val="-5"/>
          <w:position w:val="1"/>
          <w:sz w:val="18"/>
        </w:rPr>
        <w:t>称</w:t>
      </w:r>
      <w:r>
        <w:rPr>
          <w:position w:val="1"/>
          <w:sz w:val="18"/>
        </w:rPr>
        <w:t>“主</w:t>
      </w:r>
      <w:r>
        <w:rPr>
          <w:sz w:val="18"/>
        </w:rPr>
        <w:t>合同</w:t>
      </w:r>
      <w:r>
        <w:rPr>
          <w:spacing w:val="-60"/>
          <w:sz w:val="18"/>
        </w:rPr>
        <w:t>”）</w:t>
      </w:r>
      <w:r>
        <w:rPr>
          <w:sz w:val="18"/>
        </w:rPr>
        <w:t>上</w:t>
      </w:r>
      <w:r>
        <w:rPr>
          <w:spacing w:val="-29"/>
          <w:sz w:val="18"/>
        </w:rPr>
        <w:t>。</w:t>
      </w:r>
      <w:r>
        <w:rPr>
          <w:sz w:val="18"/>
        </w:rPr>
        <w:t>主合同所附条款</w:t>
      </w:r>
      <w:r>
        <w:rPr>
          <w:spacing w:val="-29"/>
          <w:sz w:val="18"/>
        </w:rPr>
        <w:t>、</w:t>
      </w:r>
      <w:r>
        <w:rPr>
          <w:sz w:val="18"/>
        </w:rPr>
        <w:t>投保单及与本附加合同有关的其他投保文件</w:t>
      </w:r>
      <w:r>
        <w:rPr>
          <w:spacing w:val="-29"/>
          <w:sz w:val="18"/>
        </w:rPr>
        <w:t>、</w:t>
      </w:r>
      <w:r>
        <w:rPr>
          <w:sz w:val="18"/>
        </w:rPr>
        <w:t>合法有效的声明、批注和其他书面协议，凡与本附加合同相关者，均为本附加合同的构成部分。</w:t>
      </w:r>
    </w:p>
    <w:p>
      <w:pPr>
        <w:pStyle w:val="BodyText"/>
        <w:spacing w:line="316" w:lineRule="auto" w:before="27"/>
        <w:ind w:left="2613" w:right="288"/>
      </w:pPr>
      <w:r>
        <w:rPr/>
        <w:t>除本附加合同另有约定外，其他未尽事宜以主合同条款为准。如果主合同与本附加合同的条款内容互有冲突，则以本附加合同为准。</w:t>
      </w:r>
    </w:p>
    <w:p>
      <w:pPr>
        <w:pStyle w:val="BodyText"/>
        <w:spacing w:before="10"/>
        <w:rPr>
          <w:sz w:val="16"/>
        </w:rPr>
      </w:pPr>
    </w:p>
    <w:p>
      <w:pPr>
        <w:pStyle w:val="ListParagraph"/>
        <w:numPr>
          <w:ilvl w:val="1"/>
          <w:numId w:val="7"/>
        </w:numPr>
        <w:tabs>
          <w:tab w:pos="907" w:val="left" w:leader="none"/>
          <w:tab w:pos="908" w:val="left" w:leader="none"/>
          <w:tab w:pos="2613" w:val="left" w:leader="none"/>
        </w:tabs>
        <w:spacing w:line="240" w:lineRule="auto" w:before="0" w:after="0"/>
        <w:ind w:left="907" w:right="0" w:hanging="683"/>
        <w:jc w:val="left"/>
        <w:rPr>
          <w:sz w:val="18"/>
        </w:rPr>
      </w:pPr>
      <w:r>
        <w:rPr>
          <w:b/>
          <w:sz w:val="21"/>
        </w:rPr>
        <w:t>合同效力</w:t>
        <w:tab/>
      </w:r>
      <w:r>
        <w:rPr>
          <w:position w:val="1"/>
          <w:sz w:val="18"/>
        </w:rPr>
        <w:t>本附加合同的效力在发生下列情形之一时自动终止：</w:t>
      </w:r>
    </w:p>
    <w:p>
      <w:pPr>
        <w:pStyle w:val="BodyText"/>
        <w:spacing w:before="62"/>
        <w:ind w:left="2613"/>
        <w:jc w:val="both"/>
      </w:pPr>
      <w:r>
        <w:rPr/>
        <w:t>1、 主合同解除、期满或终止；</w:t>
      </w:r>
    </w:p>
    <w:p>
      <w:pPr>
        <w:pStyle w:val="BodyText"/>
        <w:ind w:left="2613"/>
        <w:jc w:val="both"/>
      </w:pPr>
      <w:r>
        <w:rPr/>
        <w:t>2、 本附加合同期满；</w:t>
      </w:r>
    </w:p>
    <w:p>
      <w:pPr>
        <w:pStyle w:val="BodyText"/>
        <w:ind w:left="2613"/>
        <w:jc w:val="both"/>
      </w:pPr>
      <w:r>
        <w:rPr/>
        <w:t>3、 出现主合同或本附加合同内的其它约定终止情况。</w:t>
      </w:r>
    </w:p>
    <w:p>
      <w:pPr>
        <w:pStyle w:val="BodyText"/>
        <w:spacing w:before="2"/>
        <w:rPr>
          <w:sz w:val="21"/>
        </w:rPr>
      </w:pPr>
    </w:p>
    <w:p>
      <w:pPr>
        <w:pStyle w:val="ListParagraph"/>
        <w:numPr>
          <w:ilvl w:val="1"/>
          <w:numId w:val="7"/>
        </w:numPr>
        <w:tabs>
          <w:tab w:pos="907" w:val="left" w:leader="none"/>
          <w:tab w:pos="908" w:val="left" w:leader="none"/>
          <w:tab w:pos="2613" w:val="left" w:leader="none"/>
        </w:tabs>
        <w:spacing w:line="304" w:lineRule="auto" w:before="0" w:after="0"/>
        <w:ind w:left="2613" w:right="221" w:hanging="2389"/>
        <w:jc w:val="left"/>
        <w:rPr>
          <w:sz w:val="18"/>
        </w:rPr>
      </w:pPr>
      <w:r>
        <w:rPr>
          <w:b/>
          <w:sz w:val="21"/>
        </w:rPr>
        <w:t>合同成立与生效</w:t>
        <w:tab/>
      </w:r>
      <w:r>
        <w:rPr>
          <w:position w:val="1"/>
          <w:sz w:val="18"/>
        </w:rPr>
        <w:t>自您提出保险申请，本公司同意承保，本附加合同成立。合同成立日期在保险单上载明。</w:t>
      </w:r>
      <w:r>
        <w:rPr>
          <w:spacing w:val="0"/>
          <w:sz w:val="18"/>
        </w:rPr>
        <w:t> </w:t>
      </w:r>
      <w:r>
        <w:rPr>
          <w:sz w:val="18"/>
        </w:rPr>
        <w:t>本附加合同自本公司同意承保、收取首期保险费并签发保险单开始生效，具体生效日以保险单载明的日期为准。我们自生效日零时起开始承担本附加合同约定的保险责任。</w:t>
      </w:r>
    </w:p>
    <w:p>
      <w:pPr>
        <w:pStyle w:val="BodyText"/>
        <w:spacing w:line="316" w:lineRule="auto" w:before="27"/>
        <w:ind w:left="2613" w:right="288"/>
      </w:pPr>
      <w:r>
        <w:rPr/>
        <w:t>本附加合同的生效日以后每年的对应日是保险单周年日。保险单年度、保险单月份、保险费到期日和保险单满期日均以该日期计算。</w:t>
      </w:r>
    </w:p>
    <w:p>
      <w:pPr>
        <w:pStyle w:val="BodyText"/>
        <w:spacing w:before="18"/>
        <w:ind w:left="2613"/>
      </w:pPr>
      <w:r>
        <w:rPr/>
        <w:t>如果当月无对应的同一天，则以该月最后一日为对应日。</w:t>
      </w:r>
    </w:p>
    <w:p>
      <w:pPr>
        <w:pStyle w:val="BodyText"/>
        <w:spacing w:before="3"/>
        <w:rPr>
          <w:sz w:val="21"/>
        </w:rPr>
      </w:pPr>
    </w:p>
    <w:p>
      <w:pPr>
        <w:pStyle w:val="ListParagraph"/>
        <w:numPr>
          <w:ilvl w:val="1"/>
          <w:numId w:val="7"/>
        </w:numPr>
        <w:tabs>
          <w:tab w:pos="908" w:val="left" w:leader="none"/>
        </w:tabs>
        <w:spacing w:line="304" w:lineRule="auto" w:before="0" w:after="0"/>
        <w:ind w:left="2613" w:right="288" w:hanging="2389"/>
        <w:jc w:val="both"/>
        <w:rPr>
          <w:sz w:val="18"/>
        </w:rPr>
      </w:pPr>
      <w:r>
        <w:rPr>
          <w:b/>
          <w:spacing w:val="0"/>
          <w:sz w:val="21"/>
        </w:rPr>
        <w:t>犹豫期         </w:t>
      </w:r>
      <w:r>
        <w:rPr>
          <w:position w:val="1"/>
          <w:sz w:val="18"/>
        </w:rPr>
        <w:t>自您签收本附加合同次日起，有十天的犹豫期。在此期间请您认真审视本附加合同，如果您</w:t>
      </w:r>
      <w:r>
        <w:rPr>
          <w:sz w:val="18"/>
        </w:rPr>
        <w:t>认为本附加合同与您的需求不相符，您可以在此期间提出解除本附加合同，我们将无息退还您所交的全部保险费。</w:t>
      </w:r>
    </w:p>
    <w:p>
      <w:pPr>
        <w:pStyle w:val="BodyText"/>
        <w:spacing w:line="316" w:lineRule="auto" w:before="27"/>
        <w:ind w:left="2613" w:right="239" w:hanging="1"/>
        <w:jc w:val="both"/>
      </w:pPr>
      <w:r>
        <w:rPr/>
        <w:t>解除合同时，您需要填写书面申请书，并提供您的合同及</w:t>
      </w:r>
      <w:r>
        <w:rPr>
          <w:b/>
          <w:w w:val="99"/>
        </w:rPr>
        <w:t>有效身份证件</w:t>
      </w:r>
      <w:r>
        <w:rPr/>
        <w:t>（</w:t>
      </w:r>
      <w:r>
        <w:rPr>
          <w:spacing w:val="-23"/>
        </w:rPr>
        <w:t>见 </w:t>
      </w:r>
      <w:r>
        <w:rPr/>
        <w:t>8.1</w:t>
      </w:r>
      <w:r>
        <w:rPr>
          <w:spacing w:val="-90"/>
        </w:rPr>
        <w:t>）</w:t>
      </w:r>
      <w:r>
        <w:rPr/>
        <w:t>。自您书面申请解除本附加合同之日起，本附加合同效力即行终止，对合同解除前发生的保险事故，我们不承担给付保险金的责任。</w:t>
      </w:r>
    </w:p>
    <w:p>
      <w:pPr>
        <w:pStyle w:val="BodyText"/>
        <w:spacing w:before="10"/>
        <w:rPr>
          <w:sz w:val="16"/>
        </w:rPr>
      </w:pPr>
    </w:p>
    <w:p>
      <w:pPr>
        <w:pStyle w:val="ListParagraph"/>
        <w:numPr>
          <w:ilvl w:val="1"/>
          <w:numId w:val="7"/>
        </w:numPr>
        <w:tabs>
          <w:tab w:pos="907" w:val="left" w:leader="none"/>
          <w:tab w:pos="908" w:val="left" w:leader="none"/>
          <w:tab w:pos="2613" w:val="left" w:leader="none"/>
        </w:tabs>
        <w:spacing w:line="240" w:lineRule="auto" w:before="0" w:after="0"/>
        <w:ind w:left="907" w:right="0" w:hanging="683"/>
        <w:jc w:val="left"/>
        <w:rPr>
          <w:sz w:val="18"/>
        </w:rPr>
      </w:pPr>
      <w:r>
        <w:rPr>
          <w:b/>
          <w:sz w:val="21"/>
        </w:rPr>
        <w:t>保险期间</w:t>
        <w:tab/>
      </w:r>
      <w:r>
        <w:rPr>
          <w:position w:val="1"/>
          <w:sz w:val="18"/>
        </w:rPr>
        <w:t>本附加合同保险期间与主合同一致，且须与主合同同时投保。</w:t>
      </w:r>
    </w:p>
    <w:p>
      <w:pPr>
        <w:pStyle w:val="BodyText"/>
        <w:spacing w:before="12"/>
        <w:rPr>
          <w:sz w:val="13"/>
        </w:rPr>
      </w:pPr>
    </w:p>
    <w:p>
      <w:pPr>
        <w:tabs>
          <w:tab w:pos="907" w:val="left" w:leader="none"/>
        </w:tabs>
        <w:spacing w:before="0"/>
        <w:ind w:left="224" w:right="0" w:firstLine="0"/>
        <w:jc w:val="left"/>
        <w:rPr>
          <w:b/>
          <w:sz w:val="24"/>
        </w:rPr>
      </w:pPr>
      <w:r>
        <w:rPr/>
        <w:pict>
          <v:line style="position:absolute;mso-position-horizontal-relative:page;mso-position-vertical-relative:paragraph;z-index:1144;mso-wrap-distance-left:0;mso-wrap-distance-right:0" from="59.82pt,37.289795pt" to="553.5pt,37.289795pt" stroked="true" strokeweight=".48pt" strokecolor="#000000">
            <v:stroke dashstyle="solid"/>
            <w10:wrap type="topAndBottom"/>
          </v:line>
        </w:pict>
      </w:r>
      <w:r>
        <w:rPr>
          <w:rFonts w:ascii="Yu Gothic" w:eastAsia="Yu Gothic" w:hint="eastAsia"/>
          <w:b/>
          <w:w w:val="135"/>
          <w:position w:val="-3"/>
          <w:sz w:val="40"/>
        </w:rPr>
        <w:t>4</w:t>
        <w:tab/>
      </w:r>
      <w:r>
        <w:rPr>
          <w:b/>
          <w:w w:val="95"/>
          <w:sz w:val="24"/>
        </w:rPr>
        <w:t>我们提供的保障</w:t>
      </w:r>
    </w:p>
    <w:p>
      <w:pPr>
        <w:pStyle w:val="BodyText"/>
        <w:spacing w:before="7"/>
        <w:rPr>
          <w:b/>
          <w:sz w:val="10"/>
        </w:rPr>
      </w:pPr>
    </w:p>
    <w:p>
      <w:pPr>
        <w:pStyle w:val="ListParagraph"/>
        <w:numPr>
          <w:ilvl w:val="1"/>
          <w:numId w:val="8"/>
        </w:numPr>
        <w:tabs>
          <w:tab w:pos="906" w:val="left" w:leader="none"/>
          <w:tab w:pos="907" w:val="left" w:leader="none"/>
          <w:tab w:pos="2613" w:val="left" w:leader="none"/>
        </w:tabs>
        <w:spacing w:line="240" w:lineRule="auto" w:before="35" w:after="0"/>
        <w:ind w:left="906" w:right="0" w:hanging="682"/>
        <w:jc w:val="left"/>
        <w:rPr>
          <w:sz w:val="18"/>
        </w:rPr>
      </w:pPr>
      <w:r>
        <w:rPr>
          <w:b/>
          <w:sz w:val="21"/>
        </w:rPr>
        <w:t>保险金额</w:t>
        <w:tab/>
      </w:r>
      <w:r>
        <w:rPr>
          <w:position w:val="1"/>
          <w:sz w:val="18"/>
        </w:rPr>
        <w:t>本附加合同保险金额是本附加合同所附加主合同的保险金额。</w:t>
      </w:r>
    </w:p>
    <w:p>
      <w:pPr>
        <w:pStyle w:val="BodyText"/>
        <w:spacing w:before="3"/>
        <w:rPr>
          <w:sz w:val="20"/>
        </w:rPr>
      </w:pPr>
    </w:p>
    <w:p>
      <w:pPr>
        <w:pStyle w:val="ListParagraph"/>
        <w:numPr>
          <w:ilvl w:val="1"/>
          <w:numId w:val="8"/>
        </w:numPr>
        <w:tabs>
          <w:tab w:pos="906" w:val="left" w:leader="none"/>
          <w:tab w:pos="907" w:val="left" w:leader="none"/>
          <w:tab w:pos="2613" w:val="left" w:leader="none"/>
        </w:tabs>
        <w:spacing w:line="240" w:lineRule="auto" w:before="0" w:after="0"/>
        <w:ind w:left="906" w:right="0" w:hanging="682"/>
        <w:jc w:val="left"/>
        <w:rPr>
          <w:sz w:val="18"/>
        </w:rPr>
      </w:pPr>
      <w:r>
        <w:rPr>
          <w:b/>
          <w:sz w:val="21"/>
        </w:rPr>
        <w:t>保险责任</w:t>
        <w:tab/>
      </w:r>
      <w:r>
        <w:rPr>
          <w:position w:val="1"/>
          <w:sz w:val="18"/>
        </w:rPr>
        <w:t>在本附加合同有效期内，本公司按下列规定承担保险责任：</w:t>
      </w:r>
    </w:p>
    <w:p>
      <w:pPr>
        <w:pStyle w:val="BodyText"/>
        <w:spacing w:before="10"/>
        <w:rPr>
          <w:sz w:val="26"/>
        </w:rPr>
      </w:pPr>
    </w:p>
    <w:p>
      <w:pPr>
        <w:spacing w:after="0"/>
        <w:rPr>
          <w:sz w:val="26"/>
        </w:rPr>
        <w:sectPr>
          <w:headerReference w:type="default" r:id="rId9"/>
          <w:pgSz w:w="11910" w:h="16840"/>
          <w:pgMar w:header="877" w:footer="981" w:top="1100" w:bottom="1180" w:left="1080" w:right="720"/>
        </w:sectPr>
      </w:pPr>
    </w:p>
    <w:p>
      <w:pPr>
        <w:spacing w:line="273" w:lineRule="auto" w:before="36"/>
        <w:ind w:left="907" w:right="0" w:firstLine="0"/>
        <w:jc w:val="left"/>
        <w:rPr>
          <w:b/>
          <w:sz w:val="21"/>
        </w:rPr>
      </w:pPr>
      <w:r>
        <w:rPr>
          <w:b/>
          <w:sz w:val="21"/>
        </w:rPr>
        <w:t>重大疾病保险金</w:t>
      </w:r>
    </w:p>
    <w:p>
      <w:pPr>
        <w:pStyle w:val="BodyText"/>
        <w:spacing w:line="312" w:lineRule="exact" w:before="22"/>
        <w:ind w:left="821" w:right="221"/>
        <w:jc w:val="both"/>
      </w:pPr>
      <w:r>
        <w:rPr/>
        <w:br w:type="column"/>
      </w:r>
      <w:r>
        <w:rPr>
          <w:spacing w:val="-2"/>
        </w:rPr>
        <w:t>自本附加合同生效</w:t>
      </w:r>
      <w:r>
        <w:rPr/>
        <w:t>（或复效</w:t>
      </w:r>
      <w:r>
        <w:rPr>
          <w:spacing w:val="-15"/>
        </w:rPr>
        <w:t>）</w:t>
      </w:r>
      <w:r>
        <w:rPr>
          <w:spacing w:val="-2"/>
        </w:rPr>
        <w:t>之日起一年后至合同期满，若被保险人首次</w:t>
      </w:r>
      <w:r>
        <w:rPr>
          <w:b/>
          <w:spacing w:val="-7"/>
        </w:rPr>
        <w:t>发病</w:t>
      </w:r>
      <w:r>
        <w:rPr/>
        <w:t>（</w:t>
      </w:r>
      <w:r>
        <w:rPr>
          <w:spacing w:val="-23"/>
        </w:rPr>
        <w:t>见 </w:t>
      </w:r>
      <w:r>
        <w:rPr>
          <w:spacing w:val="-4"/>
        </w:rPr>
        <w:t>8.2）</w:t>
      </w:r>
      <w:r>
        <w:rPr/>
        <w:t>并经本公司</w:t>
      </w:r>
      <w:r>
        <w:rPr>
          <w:b/>
          <w:spacing w:val="-4"/>
        </w:rPr>
        <w:t>指定或认可的医疗机构</w:t>
      </w:r>
      <w:r>
        <w:rPr/>
        <w:t>（</w:t>
      </w:r>
      <w:r>
        <w:rPr>
          <w:spacing w:val="-24"/>
        </w:rPr>
        <w:t>见 </w:t>
      </w:r>
      <w:r>
        <w:rPr>
          <w:spacing w:val="-10"/>
        </w:rPr>
        <w:t>8.3）</w:t>
      </w:r>
      <w:r>
        <w:rPr/>
        <w:t>确诊初次患上本附加合同附表一约定的一项或多项重大疾病，本公司按主合同的保险金额向受益人给付重大疾病保险金，本附加合同终止，同时</w:t>
      </w:r>
    </w:p>
    <w:p>
      <w:pPr>
        <w:spacing w:after="0" w:line="312" w:lineRule="exact"/>
        <w:jc w:val="both"/>
        <w:sectPr>
          <w:type w:val="continuous"/>
          <w:pgSz w:w="11910" w:h="16840"/>
          <w:pgMar w:top="1040" w:bottom="1180" w:left="1080" w:right="720"/>
          <w:cols w:num="2" w:equalWidth="0">
            <w:col w:w="1752" w:space="40"/>
            <w:col w:w="8318"/>
          </w:cols>
        </w:sectPr>
      </w:pPr>
    </w:p>
    <w:p>
      <w:pPr>
        <w:pStyle w:val="BodyText"/>
        <w:spacing w:before="3"/>
        <w:rPr>
          <w:sz w:val="20"/>
        </w:rPr>
      </w:pPr>
    </w:p>
    <w:p>
      <w:pPr>
        <w:pStyle w:val="BodyText"/>
        <w:spacing w:before="44"/>
        <w:ind w:left="2613"/>
      </w:pPr>
      <w:r>
        <w:rPr/>
        <w:t>主合同终止。</w:t>
      </w:r>
    </w:p>
    <w:p>
      <w:pPr>
        <w:pStyle w:val="BodyText"/>
        <w:spacing w:line="316" w:lineRule="auto"/>
        <w:ind w:left="2613" w:right="221"/>
      </w:pPr>
      <w:r>
        <w:rPr/>
        <w:t>自本附加合同生效（或复效）之日起一年后至合同期满，若被保险人首次发病并经本公司指</w:t>
      </w:r>
      <w:r>
        <w:rPr>
          <w:spacing w:val="-6"/>
        </w:rPr>
        <w:t>定或认可的医疗机构确诊初次患上本附加合同附表一约定的“系统性红斑狼疮”、“严重类风</w:t>
      </w:r>
      <w:r>
        <w:rPr>
          <w:spacing w:val="-12"/>
        </w:rPr>
        <w:t>湿性关节炎”、以及符合本附加合同附表一约定的“恶性肿瘤”的描述，且被保险人所患恶性肿瘤为子宫癌、宫颈癌、乳腺癌、卵巢癌、外阴癌中的一项或多项时，本公司将在已给付的</w:t>
      </w:r>
      <w:r>
        <w:rPr>
          <w:spacing w:val="-17"/>
        </w:rPr>
        <w:t>重大疾病保险金的基础上，再按照主合同的保险金额的 </w:t>
      </w:r>
      <w:r>
        <w:rPr/>
        <w:t>50%向受益人给付</w:t>
      </w:r>
      <w:r>
        <w:rPr>
          <w:b/>
        </w:rPr>
        <w:t>女性重大疾病特别保</w:t>
      </w:r>
      <w:r>
        <w:rPr>
          <w:b/>
          <w:w w:val="95"/>
        </w:rPr>
        <w:t>险金</w:t>
      </w:r>
      <w:r>
        <w:rPr>
          <w:w w:val="95"/>
        </w:rPr>
        <w:t>，本附加合同终止，同时主合同终止。</w:t>
      </w:r>
    </w:p>
    <w:p>
      <w:pPr>
        <w:pStyle w:val="BodyText"/>
        <w:spacing w:line="316" w:lineRule="auto" w:before="19"/>
        <w:ind w:left="2613" w:right="227"/>
      </w:pPr>
      <w:r>
        <w:rPr/>
        <w:t>若被保险人经本公司指定或认可的医疗机构确诊初次患上本附加合同附表一约定的一项或多</w:t>
      </w:r>
      <w:r>
        <w:rPr>
          <w:spacing w:val="-2"/>
        </w:rPr>
        <w:t>项重大疾病，并且首次发病时间在本附加合同生效</w:t>
      </w:r>
      <w:r>
        <w:rPr/>
        <w:t>（或复效</w:t>
      </w:r>
      <w:r>
        <w:rPr>
          <w:spacing w:val="-5"/>
        </w:rPr>
        <w:t>）</w:t>
      </w:r>
      <w:r>
        <w:rPr>
          <w:spacing w:val="-1"/>
        </w:rPr>
        <w:t>之日起一年内</w:t>
      </w:r>
      <w:r>
        <w:rPr/>
        <w:t>（包括一年</w:t>
      </w:r>
      <w:r>
        <w:rPr>
          <w:spacing w:val="-90"/>
        </w:rPr>
        <w:t>）</w:t>
      </w:r>
      <w:r>
        <w:rPr>
          <w:spacing w:val="-5"/>
        </w:rPr>
        <w:t>，本</w:t>
      </w:r>
      <w:r>
        <w:rPr/>
        <w:t>公司向您无息返还本附加合同保险费，本附加合同终止。</w:t>
      </w:r>
    </w:p>
    <w:p>
      <w:pPr>
        <w:pStyle w:val="BodyText"/>
        <w:spacing w:before="10"/>
        <w:rPr>
          <w:sz w:val="16"/>
        </w:rPr>
      </w:pPr>
    </w:p>
    <w:p>
      <w:pPr>
        <w:pStyle w:val="ListParagraph"/>
        <w:numPr>
          <w:ilvl w:val="1"/>
          <w:numId w:val="8"/>
        </w:numPr>
        <w:tabs>
          <w:tab w:pos="906" w:val="left" w:leader="none"/>
          <w:tab w:pos="907" w:val="left" w:leader="none"/>
          <w:tab w:pos="2613" w:val="left" w:leader="none"/>
        </w:tabs>
        <w:spacing w:line="240" w:lineRule="auto" w:before="1" w:after="0"/>
        <w:ind w:left="906" w:right="0" w:hanging="682"/>
        <w:jc w:val="left"/>
        <w:rPr>
          <w:sz w:val="18"/>
        </w:rPr>
      </w:pPr>
      <w:r>
        <w:rPr>
          <w:b/>
          <w:sz w:val="21"/>
        </w:rPr>
        <w:t>责任免除</w:t>
        <w:tab/>
      </w:r>
      <w:r>
        <w:rPr>
          <w:position w:val="1"/>
          <w:sz w:val="18"/>
        </w:rPr>
        <w:t>被保险人因下列情形之一导致患本附加合同约定的重大疾病的，本公司不承担保险责任：</w:t>
      </w:r>
    </w:p>
    <w:p>
      <w:pPr>
        <w:pStyle w:val="Heading4"/>
        <w:spacing w:before="62"/>
        <w:ind w:left="2613"/>
      </w:pPr>
      <w:r>
        <w:rPr/>
        <w:t>1、 投保人对被保险人的故意杀害、故意伤害；</w:t>
      </w:r>
    </w:p>
    <w:p>
      <w:pPr>
        <w:spacing w:before="75"/>
        <w:ind w:left="2613" w:right="0" w:firstLine="0"/>
        <w:jc w:val="left"/>
        <w:rPr>
          <w:b/>
          <w:sz w:val="18"/>
        </w:rPr>
      </w:pPr>
      <w:r>
        <w:rPr>
          <w:b/>
          <w:sz w:val="18"/>
        </w:rPr>
        <w:t>2、 被保险人故意犯罪或者抗拒依法采取的刑事强制措施；</w:t>
      </w:r>
    </w:p>
    <w:p>
      <w:pPr>
        <w:spacing w:before="75"/>
        <w:ind w:left="2613" w:right="0" w:firstLine="0"/>
        <w:jc w:val="left"/>
        <w:rPr>
          <w:b/>
          <w:sz w:val="18"/>
        </w:rPr>
      </w:pPr>
      <w:r>
        <w:rPr>
          <w:b/>
          <w:sz w:val="18"/>
        </w:rPr>
        <w:t>3、 被保险人故意自伤；</w:t>
      </w:r>
    </w:p>
    <w:p>
      <w:pPr>
        <w:spacing w:before="75"/>
        <w:ind w:left="2613" w:right="0" w:firstLine="0"/>
        <w:jc w:val="left"/>
        <w:rPr>
          <w:b/>
          <w:sz w:val="18"/>
        </w:rPr>
      </w:pPr>
      <w:r>
        <w:rPr>
          <w:b/>
          <w:sz w:val="18"/>
        </w:rPr>
        <w:t>4、 被保险人在本合同成立之日起二年内或最后复效日起二年内自杀；</w:t>
      </w:r>
    </w:p>
    <w:p>
      <w:pPr>
        <w:spacing w:before="75"/>
        <w:ind w:left="2613" w:right="0" w:firstLine="0"/>
        <w:jc w:val="left"/>
        <w:rPr>
          <w:b/>
          <w:sz w:val="18"/>
        </w:rPr>
      </w:pPr>
      <w:r>
        <w:rPr>
          <w:b/>
          <w:spacing w:val="0"/>
          <w:w w:val="99"/>
          <w:sz w:val="18"/>
        </w:rPr>
        <w:t>5</w:t>
      </w:r>
      <w:r>
        <w:rPr>
          <w:b/>
          <w:w w:val="99"/>
          <w:sz w:val="18"/>
        </w:rPr>
        <w:t>、</w:t>
      </w:r>
      <w:r>
        <w:rPr>
          <w:b/>
          <w:spacing w:val="35"/>
          <w:sz w:val="18"/>
        </w:rPr>
        <w:t> </w:t>
      </w:r>
      <w:r>
        <w:rPr>
          <w:b/>
          <w:w w:val="99"/>
          <w:sz w:val="18"/>
        </w:rPr>
        <w:t>被保险人主动吸食或注射毒品</w:t>
      </w:r>
      <w:r>
        <w:rPr>
          <w:sz w:val="18"/>
        </w:rPr>
        <w:t>（</w:t>
      </w:r>
      <w:r>
        <w:rPr>
          <w:spacing w:val="-23"/>
          <w:sz w:val="18"/>
        </w:rPr>
        <w:t>见 </w:t>
      </w:r>
      <w:r>
        <w:rPr>
          <w:sz w:val="18"/>
        </w:rPr>
        <w:t>8.4</w:t>
      </w:r>
      <w:r>
        <w:rPr>
          <w:spacing w:val="-90"/>
          <w:sz w:val="18"/>
        </w:rPr>
        <w:t>）</w:t>
      </w:r>
      <w:r>
        <w:rPr>
          <w:b/>
          <w:w w:val="99"/>
          <w:sz w:val="18"/>
        </w:rPr>
        <w:t>；</w:t>
      </w:r>
    </w:p>
    <w:p>
      <w:pPr>
        <w:spacing w:before="75"/>
        <w:ind w:left="2613" w:right="0" w:firstLine="0"/>
        <w:jc w:val="left"/>
        <w:rPr>
          <w:sz w:val="18"/>
        </w:rPr>
      </w:pPr>
      <w:r>
        <w:rPr>
          <w:b/>
          <w:spacing w:val="0"/>
          <w:w w:val="99"/>
          <w:sz w:val="18"/>
        </w:rPr>
        <w:t>6</w:t>
      </w:r>
      <w:r>
        <w:rPr>
          <w:b/>
          <w:w w:val="99"/>
          <w:sz w:val="18"/>
        </w:rPr>
        <w:t>、</w:t>
      </w:r>
      <w:r>
        <w:rPr>
          <w:b/>
          <w:spacing w:val="35"/>
          <w:sz w:val="18"/>
        </w:rPr>
        <w:t> </w:t>
      </w:r>
      <w:r>
        <w:rPr>
          <w:b/>
          <w:spacing w:val="-5"/>
          <w:w w:val="99"/>
          <w:sz w:val="18"/>
        </w:rPr>
        <w:t>被保险人酒后驾驶</w:t>
      </w:r>
      <w:r>
        <w:rPr>
          <w:sz w:val="18"/>
        </w:rPr>
        <w:t>（</w:t>
      </w:r>
      <w:r>
        <w:rPr>
          <w:spacing w:val="-23"/>
          <w:sz w:val="18"/>
        </w:rPr>
        <w:t>见 </w:t>
      </w:r>
      <w:r>
        <w:rPr>
          <w:sz w:val="18"/>
        </w:rPr>
        <w:t>8.5</w:t>
      </w:r>
      <w:r>
        <w:rPr>
          <w:spacing w:val="-92"/>
          <w:sz w:val="18"/>
        </w:rPr>
        <w:t>）</w:t>
      </w:r>
      <w:r>
        <w:rPr>
          <w:b/>
          <w:spacing w:val="-8"/>
          <w:w w:val="99"/>
          <w:sz w:val="18"/>
        </w:rPr>
        <w:t>、无合法有效驾驶证驾驶</w:t>
      </w:r>
      <w:r>
        <w:rPr>
          <w:spacing w:val="-2"/>
          <w:sz w:val="18"/>
        </w:rPr>
        <w:t>（</w:t>
      </w:r>
      <w:r>
        <w:rPr>
          <w:spacing w:val="-23"/>
          <w:sz w:val="18"/>
        </w:rPr>
        <w:t>见 </w:t>
      </w:r>
      <w:r>
        <w:rPr>
          <w:sz w:val="18"/>
        </w:rPr>
        <w:t>8.6</w:t>
      </w:r>
      <w:r>
        <w:rPr>
          <w:spacing w:val="-34"/>
          <w:sz w:val="18"/>
        </w:rPr>
        <w:t>）</w:t>
      </w:r>
      <w:r>
        <w:rPr>
          <w:b/>
          <w:spacing w:val="-4"/>
          <w:w w:val="99"/>
          <w:sz w:val="18"/>
        </w:rPr>
        <w:t>或驾驶无有效行驶证</w:t>
      </w:r>
      <w:r>
        <w:rPr>
          <w:sz w:val="18"/>
        </w:rPr>
        <w:t>（见</w:t>
      </w:r>
    </w:p>
    <w:p>
      <w:pPr>
        <w:spacing w:before="75"/>
        <w:ind w:left="234" w:right="2962" w:firstLine="0"/>
        <w:jc w:val="center"/>
        <w:rPr>
          <w:b/>
          <w:sz w:val="18"/>
        </w:rPr>
      </w:pPr>
      <w:r>
        <w:rPr>
          <w:w w:val="95"/>
          <w:sz w:val="18"/>
        </w:rPr>
        <w:t>8.7）</w:t>
      </w:r>
      <w:r>
        <w:rPr>
          <w:b/>
          <w:w w:val="95"/>
          <w:sz w:val="18"/>
        </w:rPr>
        <w:t>的机动车；</w:t>
      </w:r>
    </w:p>
    <w:p>
      <w:pPr>
        <w:spacing w:before="75"/>
        <w:ind w:left="2613" w:right="0" w:firstLine="0"/>
        <w:jc w:val="left"/>
        <w:rPr>
          <w:sz w:val="18"/>
        </w:rPr>
      </w:pPr>
      <w:r>
        <w:rPr>
          <w:b/>
          <w:spacing w:val="0"/>
          <w:w w:val="99"/>
          <w:sz w:val="18"/>
        </w:rPr>
        <w:t>7</w:t>
      </w:r>
      <w:r>
        <w:rPr>
          <w:b/>
          <w:w w:val="99"/>
          <w:sz w:val="18"/>
        </w:rPr>
        <w:t>、</w:t>
      </w:r>
      <w:r>
        <w:rPr>
          <w:b/>
          <w:spacing w:val="35"/>
          <w:sz w:val="18"/>
        </w:rPr>
        <w:t> </w:t>
      </w:r>
      <w:r>
        <w:rPr>
          <w:b/>
          <w:spacing w:val="-4"/>
          <w:w w:val="99"/>
          <w:sz w:val="18"/>
        </w:rPr>
        <w:t>被保险人在本合同生效日起二年内患艾滋病</w:t>
      </w:r>
      <w:r>
        <w:rPr>
          <w:sz w:val="18"/>
        </w:rPr>
        <w:t>（</w:t>
      </w:r>
      <w:r>
        <w:rPr>
          <w:spacing w:val="-23"/>
          <w:sz w:val="18"/>
        </w:rPr>
        <w:t>见 </w:t>
      </w:r>
      <w:r>
        <w:rPr>
          <w:sz w:val="18"/>
        </w:rPr>
        <w:t>8.8</w:t>
      </w:r>
      <w:r>
        <w:rPr>
          <w:spacing w:val="-157"/>
          <w:sz w:val="18"/>
        </w:rPr>
        <w:t>）</w:t>
      </w:r>
      <w:r>
        <w:rPr>
          <w:b/>
          <w:spacing w:val="0"/>
          <w:w w:val="99"/>
          <w:sz w:val="18"/>
        </w:rPr>
        <w:t>（A</w:t>
      </w:r>
      <w:r>
        <w:rPr>
          <w:b/>
          <w:w w:val="99"/>
          <w:sz w:val="18"/>
        </w:rPr>
        <w:t>I</w:t>
      </w:r>
      <w:r>
        <w:rPr>
          <w:b/>
          <w:spacing w:val="0"/>
          <w:w w:val="99"/>
          <w:sz w:val="18"/>
        </w:rPr>
        <w:t>DS</w:t>
      </w:r>
      <w:r>
        <w:rPr>
          <w:b/>
          <w:spacing w:val="-67"/>
          <w:w w:val="99"/>
          <w:sz w:val="18"/>
        </w:rPr>
        <w:t>）</w:t>
      </w:r>
      <w:r>
        <w:rPr>
          <w:b/>
          <w:spacing w:val="-9"/>
          <w:w w:val="99"/>
          <w:sz w:val="18"/>
        </w:rPr>
        <w:t>或感染艾滋病病毒</w:t>
      </w:r>
      <w:r>
        <w:rPr>
          <w:sz w:val="18"/>
        </w:rPr>
        <w:t>（</w:t>
      </w:r>
      <w:r>
        <w:rPr>
          <w:spacing w:val="-23"/>
          <w:sz w:val="18"/>
        </w:rPr>
        <w:t>见 </w:t>
      </w:r>
      <w:r>
        <w:rPr>
          <w:sz w:val="18"/>
        </w:rPr>
        <w:t>8.9）</w:t>
      </w:r>
    </w:p>
    <w:p>
      <w:pPr>
        <w:pStyle w:val="Heading4"/>
        <w:spacing w:before="75"/>
        <w:ind w:left="192" w:right="2962"/>
        <w:jc w:val="center"/>
      </w:pPr>
      <w:r>
        <w:rPr>
          <w:spacing w:val="0"/>
          <w:w w:val="99"/>
        </w:rPr>
        <w:t>（H</w:t>
      </w:r>
      <w:r>
        <w:rPr>
          <w:w w:val="99"/>
        </w:rPr>
        <w:t>I</w:t>
      </w:r>
      <w:r>
        <w:rPr>
          <w:w w:val="99"/>
        </w:rPr>
        <w:t>V</w:t>
      </w:r>
      <w:r>
        <w:rPr>
          <w:spacing w:val="-44"/>
        </w:rPr>
        <w:t> </w:t>
      </w:r>
      <w:r>
        <w:rPr>
          <w:w w:val="99"/>
        </w:rPr>
        <w:t>呈阳性</w:t>
      </w:r>
      <w:r>
        <w:rPr>
          <w:spacing w:val="-91"/>
          <w:w w:val="99"/>
        </w:rPr>
        <w:t>）</w:t>
      </w:r>
      <w:r>
        <w:rPr>
          <w:w w:val="99"/>
        </w:rPr>
        <w:t>；</w:t>
      </w:r>
    </w:p>
    <w:p>
      <w:pPr>
        <w:spacing w:before="75"/>
        <w:ind w:left="2613" w:right="0" w:firstLine="0"/>
        <w:jc w:val="left"/>
        <w:rPr>
          <w:b/>
          <w:sz w:val="18"/>
        </w:rPr>
      </w:pPr>
      <w:r>
        <w:rPr>
          <w:b/>
          <w:sz w:val="18"/>
        </w:rPr>
        <w:t>8、 战争、军事冲突、暴乱或武装叛乱；</w:t>
      </w:r>
    </w:p>
    <w:p>
      <w:pPr>
        <w:spacing w:before="75"/>
        <w:ind w:left="2613" w:right="0" w:firstLine="0"/>
        <w:jc w:val="left"/>
        <w:rPr>
          <w:b/>
          <w:sz w:val="18"/>
        </w:rPr>
      </w:pPr>
      <w:r>
        <w:rPr>
          <w:b/>
          <w:sz w:val="18"/>
        </w:rPr>
        <w:t>9、 核爆炸、核辐射或核污染；</w:t>
      </w:r>
    </w:p>
    <w:p>
      <w:pPr>
        <w:pStyle w:val="BodyText"/>
        <w:spacing w:line="316" w:lineRule="auto" w:before="75"/>
        <w:ind w:left="2613" w:right="288"/>
      </w:pPr>
      <w:r>
        <w:rPr/>
        <w:t>因上述情形之一导致被保险人患本附加合同约定的重大疾病的，本公司向您或其他权利人退还本附加合同的</w:t>
      </w:r>
      <w:r>
        <w:rPr>
          <w:b/>
          <w:w w:val="99"/>
        </w:rPr>
        <w:t>现金价值</w:t>
      </w:r>
      <w:r>
        <w:rPr>
          <w:spacing w:val="-2"/>
        </w:rPr>
        <w:t>（</w:t>
      </w:r>
      <w:r>
        <w:rPr>
          <w:spacing w:val="-23"/>
        </w:rPr>
        <w:t>见 </w:t>
      </w:r>
      <w:r>
        <w:rPr/>
        <w:t>8.10</w:t>
      </w:r>
      <w:r>
        <w:rPr>
          <w:spacing w:val="-90"/>
        </w:rPr>
        <w:t>）</w:t>
      </w:r>
      <w:r>
        <w:rPr/>
        <w:t>，本附加合同终止。</w:t>
      </w:r>
    </w:p>
    <w:p>
      <w:pPr>
        <w:tabs>
          <w:tab w:pos="907" w:val="left" w:leader="none"/>
        </w:tabs>
        <w:spacing w:before="117"/>
        <w:ind w:left="224" w:right="0" w:firstLine="0"/>
        <w:jc w:val="left"/>
        <w:rPr>
          <w:b/>
          <w:sz w:val="24"/>
        </w:rPr>
      </w:pPr>
      <w:r>
        <w:rPr/>
        <w:pict>
          <v:line style="position:absolute;mso-position-horizontal-relative:page;mso-position-vertical-relative:paragraph;z-index:1168;mso-wrap-distance-left:0;mso-wrap-distance-right:0" from="59.82pt,43.139786pt" to="553.5pt,43.139786pt" stroked="true" strokeweight=".48001pt" strokecolor="#000000">
            <v:stroke dashstyle="solid"/>
            <w10:wrap type="topAndBottom"/>
          </v:line>
        </w:pict>
      </w:r>
      <w:r>
        <w:rPr>
          <w:rFonts w:ascii="Yu Gothic" w:eastAsia="Yu Gothic" w:hint="eastAsia"/>
          <w:b/>
          <w:position w:val="-3"/>
          <w:sz w:val="40"/>
        </w:rPr>
        <w:t>O</w:t>
        <w:tab/>
      </w:r>
      <w:r>
        <w:rPr>
          <w:b/>
          <w:w w:val="95"/>
          <w:sz w:val="24"/>
        </w:rPr>
        <w:t>如何申请领取保险金</w:t>
      </w:r>
    </w:p>
    <w:p>
      <w:pPr>
        <w:pStyle w:val="BodyText"/>
        <w:spacing w:before="7"/>
        <w:rPr>
          <w:b/>
          <w:sz w:val="10"/>
        </w:rPr>
      </w:pPr>
    </w:p>
    <w:p>
      <w:pPr>
        <w:spacing w:after="0"/>
        <w:rPr>
          <w:sz w:val="10"/>
        </w:rPr>
        <w:sectPr>
          <w:footerReference w:type="default" r:id="rId10"/>
          <w:pgSz w:w="11910" w:h="16840"/>
          <w:pgMar w:footer="981" w:header="877" w:top="1100" w:bottom="1180" w:left="1080" w:right="720"/>
        </w:sectPr>
      </w:pPr>
    </w:p>
    <w:p>
      <w:pPr>
        <w:pStyle w:val="Heading3"/>
        <w:numPr>
          <w:ilvl w:val="1"/>
          <w:numId w:val="9"/>
        </w:numPr>
        <w:tabs>
          <w:tab w:pos="907" w:val="left" w:leader="none"/>
          <w:tab w:pos="908" w:val="left" w:leader="none"/>
        </w:tabs>
        <w:spacing w:line="240" w:lineRule="auto" w:before="35" w:after="0"/>
        <w:ind w:left="2613" w:right="0" w:hanging="2389"/>
        <w:jc w:val="left"/>
      </w:pPr>
      <w:r>
        <w:rPr/>
        <w:t>受益人的指定和</w:t>
      </w:r>
    </w:p>
    <w:p>
      <w:pPr>
        <w:spacing w:before="37"/>
        <w:ind w:left="889" w:right="1051" w:firstLine="0"/>
        <w:jc w:val="center"/>
        <w:rPr>
          <w:b/>
          <w:sz w:val="21"/>
        </w:rPr>
      </w:pPr>
      <w:r>
        <w:rPr>
          <w:b/>
          <w:sz w:val="21"/>
        </w:rPr>
        <w:t>变更</w:t>
      </w:r>
    </w:p>
    <w:p>
      <w:pPr>
        <w:pStyle w:val="BodyText"/>
        <w:spacing w:before="60"/>
        <w:ind w:left="172"/>
      </w:pPr>
      <w:r>
        <w:rPr/>
        <w:br w:type="column"/>
      </w:r>
      <w:r>
        <w:rPr/>
        <w:t>除另有指定之外，本附加合同的受益人为被保险人本人。</w:t>
      </w:r>
    </w:p>
    <w:p>
      <w:pPr>
        <w:spacing w:after="0"/>
        <w:sectPr>
          <w:type w:val="continuous"/>
          <w:pgSz w:w="11910" w:h="16840"/>
          <w:pgMar w:top="1040" w:bottom="1180" w:left="1080" w:right="720"/>
          <w:cols w:num="2" w:equalWidth="0">
            <w:col w:w="2402" w:space="40"/>
            <w:col w:w="7668"/>
          </w:cols>
        </w:sectPr>
      </w:pPr>
    </w:p>
    <w:p>
      <w:pPr>
        <w:pStyle w:val="BodyText"/>
        <w:spacing w:before="6"/>
        <w:rPr>
          <w:sz w:val="17"/>
        </w:rPr>
      </w:pPr>
    </w:p>
    <w:p>
      <w:pPr>
        <w:pStyle w:val="ListParagraph"/>
        <w:numPr>
          <w:ilvl w:val="1"/>
          <w:numId w:val="9"/>
        </w:numPr>
        <w:tabs>
          <w:tab w:pos="907" w:val="left" w:leader="none"/>
          <w:tab w:pos="908" w:val="left" w:leader="none"/>
          <w:tab w:pos="2613" w:val="left" w:leader="none"/>
        </w:tabs>
        <w:spacing w:line="240" w:lineRule="auto" w:before="35" w:after="0"/>
        <w:ind w:left="907" w:right="0" w:hanging="683"/>
        <w:jc w:val="left"/>
        <w:rPr>
          <w:sz w:val="18"/>
        </w:rPr>
      </w:pPr>
      <w:r>
        <w:rPr>
          <w:b/>
          <w:sz w:val="21"/>
        </w:rPr>
        <w:t>保险金的申请</w:t>
        <w:tab/>
      </w:r>
      <w:r>
        <w:rPr>
          <w:position w:val="1"/>
          <w:sz w:val="18"/>
        </w:rPr>
        <w:t>1、重大疾病保险金和女性重大疾病特别保险金</w:t>
      </w:r>
    </w:p>
    <w:p>
      <w:pPr>
        <w:pStyle w:val="BodyText"/>
        <w:spacing w:line="316" w:lineRule="auto" w:before="62"/>
        <w:ind w:left="2613" w:right="288"/>
      </w:pPr>
      <w:r>
        <w:rPr/>
        <w:t>重大疾病保险金和女性重大疾病特别保险金受益人申请领取重大疾病保险金和女性重大疾病特别保险金时，须填写保险金给付申请书,并提供下列证明材料：</w:t>
      </w:r>
    </w:p>
    <w:p>
      <w:pPr>
        <w:pStyle w:val="ListParagraph"/>
        <w:numPr>
          <w:ilvl w:val="2"/>
          <w:numId w:val="9"/>
        </w:numPr>
        <w:tabs>
          <w:tab w:pos="3011" w:val="left" w:leader="none"/>
        </w:tabs>
        <w:spacing w:line="240" w:lineRule="auto" w:before="19" w:after="0"/>
        <w:ind w:left="3010" w:right="0" w:hanging="397"/>
        <w:jc w:val="left"/>
        <w:rPr>
          <w:sz w:val="18"/>
        </w:rPr>
      </w:pPr>
      <w:r>
        <w:rPr>
          <w:sz w:val="18"/>
        </w:rPr>
        <w:t>保险合同；</w:t>
      </w:r>
    </w:p>
    <w:p>
      <w:pPr>
        <w:pStyle w:val="ListParagraph"/>
        <w:numPr>
          <w:ilvl w:val="2"/>
          <w:numId w:val="9"/>
        </w:numPr>
        <w:tabs>
          <w:tab w:pos="3011" w:val="left" w:leader="none"/>
        </w:tabs>
        <w:spacing w:line="240" w:lineRule="auto" w:before="76" w:after="0"/>
        <w:ind w:left="3010" w:right="0" w:hanging="397"/>
        <w:jc w:val="left"/>
        <w:rPr>
          <w:sz w:val="18"/>
        </w:rPr>
      </w:pPr>
      <w:r>
        <w:rPr>
          <w:sz w:val="18"/>
        </w:rPr>
        <w:t>受益人的有效身份证件；</w:t>
      </w:r>
    </w:p>
    <w:p>
      <w:pPr>
        <w:pStyle w:val="ListParagraph"/>
        <w:numPr>
          <w:ilvl w:val="2"/>
          <w:numId w:val="9"/>
        </w:numPr>
        <w:tabs>
          <w:tab w:pos="3011" w:val="left" w:leader="none"/>
        </w:tabs>
        <w:spacing w:line="316" w:lineRule="auto" w:before="76" w:after="0"/>
        <w:ind w:left="3010" w:right="251" w:hanging="397"/>
        <w:jc w:val="left"/>
        <w:rPr>
          <w:sz w:val="18"/>
        </w:rPr>
      </w:pPr>
      <w:r>
        <w:rPr>
          <w:sz w:val="18"/>
        </w:rPr>
        <w:t>本公司指定或认可的医疗机构出具的附有病理检验、血液检验及其它确诊疾病必须的科学方法检验报告的疾病诊断证明书；</w:t>
      </w:r>
    </w:p>
    <w:p>
      <w:pPr>
        <w:pStyle w:val="ListParagraph"/>
        <w:numPr>
          <w:ilvl w:val="2"/>
          <w:numId w:val="9"/>
        </w:numPr>
        <w:tabs>
          <w:tab w:pos="3011" w:val="left" w:leader="none"/>
        </w:tabs>
        <w:spacing w:line="240" w:lineRule="auto" w:before="19" w:after="0"/>
        <w:ind w:left="3010" w:right="0" w:hanging="397"/>
        <w:jc w:val="left"/>
        <w:rPr>
          <w:sz w:val="18"/>
        </w:rPr>
      </w:pPr>
      <w:r>
        <w:rPr>
          <w:sz w:val="18"/>
        </w:rPr>
        <w:t>所能提供的与确认保险事故的性质、原因等有关的其它证明文件和资料。</w:t>
      </w:r>
    </w:p>
    <w:p>
      <w:pPr>
        <w:pStyle w:val="BodyText"/>
        <w:spacing w:before="2"/>
        <w:rPr>
          <w:sz w:val="23"/>
        </w:rPr>
      </w:pPr>
    </w:p>
    <w:p>
      <w:pPr>
        <w:pStyle w:val="BodyText"/>
        <w:spacing w:line="549" w:lineRule="auto" w:before="0"/>
        <w:ind w:left="2613" w:right="648"/>
      </w:pPr>
      <w:r>
        <w:rPr/>
        <w:t>以上证明和资料不完整的，本公司将及时一次性通知申请人补充提供有关证明和资料。2、如委托他人代为申领，还应提供授权委托书及受托人的有效身份证件。</w:t>
      </w:r>
    </w:p>
    <w:p>
      <w:pPr>
        <w:pStyle w:val="ListParagraph"/>
        <w:numPr>
          <w:ilvl w:val="1"/>
          <w:numId w:val="9"/>
        </w:numPr>
        <w:tabs>
          <w:tab w:pos="907" w:val="left" w:leader="none"/>
          <w:tab w:pos="908" w:val="left" w:leader="none"/>
          <w:tab w:pos="2613" w:val="left" w:leader="none"/>
        </w:tabs>
        <w:spacing w:line="295" w:lineRule="auto" w:before="45" w:after="0"/>
        <w:ind w:left="2613" w:right="221" w:hanging="2389"/>
        <w:jc w:val="left"/>
        <w:rPr>
          <w:sz w:val="18"/>
        </w:rPr>
      </w:pPr>
      <w:r>
        <w:rPr>
          <w:b/>
          <w:sz w:val="21"/>
        </w:rPr>
        <w:t>欠款的扣除</w:t>
        <w:tab/>
      </w:r>
      <w:r>
        <w:rPr>
          <w:position w:val="1"/>
          <w:sz w:val="18"/>
        </w:rPr>
        <w:t>本公司给付各项保险金、返还现金价值或保险费时，如本附加合同有借款、欠交保险费，则 </w:t>
      </w:r>
      <w:r>
        <w:rPr>
          <w:sz w:val="18"/>
        </w:rPr>
        <w:t>本公司扣除未清偿的借款及应付</w:t>
      </w:r>
      <w:r>
        <w:rPr>
          <w:b/>
          <w:spacing w:val="0"/>
          <w:w w:val="99"/>
          <w:sz w:val="18"/>
        </w:rPr>
        <w:t>利息</w:t>
      </w:r>
      <w:r>
        <w:rPr>
          <w:sz w:val="18"/>
        </w:rPr>
        <w:t>（见</w:t>
      </w:r>
      <w:r>
        <w:rPr>
          <w:spacing w:val="-46"/>
          <w:sz w:val="18"/>
        </w:rPr>
        <w:t> </w:t>
      </w:r>
      <w:r>
        <w:rPr>
          <w:sz w:val="18"/>
        </w:rPr>
        <w:t>8.11</w:t>
      </w:r>
      <w:r>
        <w:rPr>
          <w:spacing w:val="-90"/>
          <w:sz w:val="18"/>
        </w:rPr>
        <w:t>）</w:t>
      </w:r>
      <w:r>
        <w:rPr>
          <w:sz w:val="18"/>
        </w:rPr>
        <w:t>、欠交的保险费后给付。</w:t>
      </w:r>
    </w:p>
    <w:p>
      <w:pPr>
        <w:spacing w:after="0" w:line="295" w:lineRule="auto"/>
        <w:jc w:val="left"/>
        <w:rPr>
          <w:sz w:val="18"/>
        </w:rPr>
        <w:sectPr>
          <w:type w:val="continuous"/>
          <w:pgSz w:w="11910" w:h="16840"/>
          <w:pgMar w:top="1040" w:bottom="1180" w:left="1080" w:right="720"/>
        </w:sectPr>
      </w:pPr>
    </w:p>
    <w:p>
      <w:pPr>
        <w:pStyle w:val="BodyText"/>
        <w:spacing w:before="0"/>
        <w:rPr>
          <w:sz w:val="20"/>
        </w:rPr>
      </w:pPr>
    </w:p>
    <w:p>
      <w:pPr>
        <w:pStyle w:val="BodyText"/>
        <w:spacing w:before="4"/>
        <w:rPr>
          <w:sz w:val="16"/>
        </w:rPr>
      </w:pPr>
    </w:p>
    <w:p>
      <w:pPr>
        <w:pStyle w:val="ListParagraph"/>
        <w:numPr>
          <w:ilvl w:val="1"/>
          <w:numId w:val="9"/>
        </w:numPr>
        <w:tabs>
          <w:tab w:pos="907" w:val="left" w:leader="none"/>
          <w:tab w:pos="908" w:val="left" w:leader="none"/>
          <w:tab w:pos="2613" w:val="left" w:leader="none"/>
        </w:tabs>
        <w:spacing w:line="295" w:lineRule="auto" w:before="35" w:after="0"/>
        <w:ind w:left="2613" w:right="288" w:hanging="2389"/>
        <w:jc w:val="left"/>
        <w:rPr>
          <w:sz w:val="18"/>
        </w:rPr>
      </w:pPr>
      <w:r>
        <w:rPr>
          <w:b/>
          <w:sz w:val="21"/>
        </w:rPr>
        <w:t>诉讼时效</w:t>
        <w:tab/>
      </w:r>
      <w:r>
        <w:rPr>
          <w:position w:val="1"/>
          <w:sz w:val="18"/>
        </w:rPr>
        <w:t>本附加合同的受益人向本公司请求给付保险金的诉讼时效期间为二年，自其知道或者应当知</w:t>
      </w:r>
      <w:r>
        <w:rPr>
          <w:sz w:val="18"/>
        </w:rPr>
        <w:t>道保险事故发生之日起计算。</w:t>
      </w:r>
    </w:p>
    <w:p>
      <w:pPr>
        <w:pStyle w:val="BodyText"/>
        <w:spacing w:before="3"/>
        <w:rPr>
          <w:sz w:val="19"/>
        </w:rPr>
      </w:pPr>
    </w:p>
    <w:p>
      <w:pPr>
        <w:tabs>
          <w:tab w:pos="907" w:val="left" w:leader="none"/>
        </w:tabs>
        <w:spacing w:line="556" w:lineRule="exact" w:before="0"/>
        <w:ind w:left="224" w:right="0" w:firstLine="0"/>
        <w:jc w:val="left"/>
        <w:rPr>
          <w:b/>
          <w:sz w:val="24"/>
        </w:rPr>
      </w:pPr>
      <w:r>
        <w:rPr/>
        <w:pict>
          <v:line style="position:absolute;mso-position-horizontal-relative:page;mso-position-vertical-relative:paragraph;z-index:1192;mso-wrap-distance-left:0;mso-wrap-distance-right:0" from="59.82pt,31.391935pt" to="553.5pt,31.391935pt" stroked="true" strokeweight=".48004pt" strokecolor="#000000">
            <v:stroke dashstyle="solid"/>
            <w10:wrap type="topAndBottom"/>
          </v:line>
        </w:pict>
      </w:r>
      <w:r>
        <w:rPr>
          <w:rFonts w:ascii="Yu Gothic" w:hAnsi="Yu Gothic" w:eastAsia="Yu Gothic" w:hint="eastAsia"/>
          <w:b/>
          <w:w w:val="195"/>
          <w:position w:val="-3"/>
          <w:sz w:val="40"/>
        </w:rPr>
        <w:t>º</w:t>
        <w:tab/>
      </w:r>
      <w:r>
        <w:rPr>
          <w:b/>
          <w:sz w:val="24"/>
        </w:rPr>
        <w:t>如何交付保险费</w:t>
      </w:r>
    </w:p>
    <w:p>
      <w:pPr>
        <w:pStyle w:val="BodyText"/>
        <w:spacing w:before="7"/>
        <w:rPr>
          <w:b/>
          <w:sz w:val="10"/>
        </w:rPr>
      </w:pPr>
    </w:p>
    <w:p>
      <w:pPr>
        <w:pStyle w:val="BodyText"/>
        <w:tabs>
          <w:tab w:pos="907" w:val="left" w:leader="none"/>
          <w:tab w:pos="2613" w:val="left" w:leader="none"/>
        </w:tabs>
        <w:spacing w:line="295" w:lineRule="auto" w:before="35"/>
        <w:ind w:left="2613" w:right="288" w:hanging="2390"/>
      </w:pPr>
      <w:r>
        <w:rPr>
          <w:b/>
          <w:sz w:val="21"/>
        </w:rPr>
        <w:t>4.1</w:t>
        <w:tab/>
        <w:t>保险费的交付</w:t>
        <w:tab/>
      </w:r>
      <w:r>
        <w:rPr>
          <w:position w:val="1"/>
        </w:rPr>
        <w:t>本附加合同保险费的交付方式与主合同相同，且须与主合同同时交付保险费，本附加合同保</w:t>
      </w:r>
      <w:r>
        <w:rPr/>
        <w:t>险费不能单独交付。</w:t>
      </w:r>
    </w:p>
    <w:p>
      <w:pPr>
        <w:pStyle w:val="BodyText"/>
        <w:spacing w:before="3"/>
        <w:rPr>
          <w:sz w:val="19"/>
        </w:rPr>
      </w:pPr>
    </w:p>
    <w:p>
      <w:pPr>
        <w:tabs>
          <w:tab w:pos="907" w:val="left" w:leader="none"/>
        </w:tabs>
        <w:spacing w:line="556" w:lineRule="exact" w:before="0"/>
        <w:ind w:left="224" w:right="0" w:firstLine="0"/>
        <w:jc w:val="left"/>
        <w:rPr>
          <w:b/>
          <w:sz w:val="24"/>
        </w:rPr>
      </w:pPr>
      <w:r>
        <w:rPr/>
        <w:pict>
          <v:line style="position:absolute;mso-position-horizontal-relative:page;mso-position-vertical-relative:paragraph;z-index:1216;mso-wrap-distance-left:0;mso-wrap-distance-right:0" from="59.82pt,31.410315pt" to="553.5pt,31.410315pt" stroked="true" strokeweight=".47998pt" strokecolor="#000000">
            <v:stroke dashstyle="solid"/>
            <w10:wrap type="topAndBottom"/>
          </v:line>
        </w:pict>
      </w:r>
      <w:r>
        <w:rPr>
          <w:rFonts w:ascii="Yu Gothic" w:eastAsia="Yu Gothic" w:hint="eastAsia"/>
          <w:b/>
          <w:w w:val="135"/>
          <w:position w:val="-3"/>
          <w:sz w:val="40"/>
        </w:rPr>
        <w:t>6</w:t>
        <w:tab/>
      </w:r>
      <w:r>
        <w:rPr>
          <w:b/>
          <w:w w:val="95"/>
          <w:sz w:val="24"/>
        </w:rPr>
        <w:t>现金价值权益</w:t>
      </w:r>
    </w:p>
    <w:p>
      <w:pPr>
        <w:pStyle w:val="BodyText"/>
        <w:spacing w:before="7"/>
        <w:rPr>
          <w:b/>
          <w:sz w:val="10"/>
        </w:rPr>
      </w:pPr>
    </w:p>
    <w:p>
      <w:pPr>
        <w:pStyle w:val="ListParagraph"/>
        <w:numPr>
          <w:ilvl w:val="1"/>
          <w:numId w:val="10"/>
        </w:numPr>
        <w:tabs>
          <w:tab w:pos="907" w:val="left" w:leader="none"/>
          <w:tab w:pos="908" w:val="left" w:leader="none"/>
          <w:tab w:pos="2613" w:val="left" w:leader="none"/>
        </w:tabs>
        <w:spacing w:line="295" w:lineRule="auto" w:before="35" w:after="0"/>
        <w:ind w:left="2613" w:right="288" w:hanging="2389"/>
        <w:jc w:val="left"/>
        <w:rPr>
          <w:sz w:val="18"/>
        </w:rPr>
      </w:pPr>
      <w:r>
        <w:rPr>
          <w:b/>
          <w:sz w:val="21"/>
        </w:rPr>
        <w:t>现金价值</w:t>
        <w:tab/>
      </w:r>
      <w:r>
        <w:rPr>
          <w:position w:val="1"/>
          <w:sz w:val="18"/>
        </w:rPr>
        <w:t>本附加合同保单年度末的现金价值会在保险单上载明，保单年度内的现金价值，您可以向本</w:t>
      </w:r>
      <w:r>
        <w:rPr>
          <w:sz w:val="18"/>
        </w:rPr>
        <w:t>公司咨询。</w:t>
      </w:r>
    </w:p>
    <w:p>
      <w:pPr>
        <w:pStyle w:val="BodyText"/>
        <w:spacing w:before="1"/>
      </w:pPr>
    </w:p>
    <w:p>
      <w:pPr>
        <w:pStyle w:val="ListParagraph"/>
        <w:numPr>
          <w:ilvl w:val="1"/>
          <w:numId w:val="10"/>
        </w:numPr>
        <w:tabs>
          <w:tab w:pos="906" w:val="left" w:leader="none"/>
          <w:tab w:pos="907" w:val="left" w:leader="none"/>
          <w:tab w:pos="2613" w:val="left" w:leader="none"/>
        </w:tabs>
        <w:spacing w:line="295" w:lineRule="auto" w:before="1" w:after="0"/>
        <w:ind w:left="2613" w:right="288" w:hanging="2389"/>
        <w:jc w:val="left"/>
        <w:rPr>
          <w:sz w:val="18"/>
        </w:rPr>
      </w:pPr>
      <w:r>
        <w:rPr>
          <w:b/>
          <w:sz w:val="21"/>
        </w:rPr>
        <w:t>自动垫交</w:t>
        <w:tab/>
      </w:r>
      <w:r>
        <w:rPr>
          <w:position w:val="1"/>
          <w:sz w:val="18"/>
        </w:rPr>
        <w:t>主合同进行保费自动垫交时，本附加合同应同时进行保费自动垫交。本附加合同不能单独进</w:t>
      </w:r>
      <w:r>
        <w:rPr>
          <w:sz w:val="18"/>
        </w:rPr>
        <w:t>行保费自动垫交。</w:t>
      </w:r>
    </w:p>
    <w:p>
      <w:pPr>
        <w:pStyle w:val="BodyText"/>
        <w:spacing w:before="1"/>
      </w:pPr>
    </w:p>
    <w:p>
      <w:pPr>
        <w:pStyle w:val="ListParagraph"/>
        <w:numPr>
          <w:ilvl w:val="1"/>
          <w:numId w:val="10"/>
        </w:numPr>
        <w:tabs>
          <w:tab w:pos="907" w:val="left" w:leader="none"/>
          <w:tab w:pos="908" w:val="left" w:leader="none"/>
          <w:tab w:pos="2613" w:val="left" w:leader="none"/>
        </w:tabs>
        <w:spacing w:line="295" w:lineRule="auto" w:before="0" w:after="0"/>
        <w:ind w:left="2613" w:right="288" w:hanging="2389"/>
        <w:jc w:val="left"/>
        <w:rPr>
          <w:sz w:val="18"/>
        </w:rPr>
      </w:pPr>
      <w:r>
        <w:rPr>
          <w:b/>
          <w:sz w:val="21"/>
        </w:rPr>
        <w:t>保险单借款</w:t>
        <w:tab/>
      </w:r>
      <w:r>
        <w:rPr>
          <w:position w:val="1"/>
          <w:sz w:val="18"/>
        </w:rPr>
        <w:t>您对主合同申请保单借款时，本附加合同应同时进行保单借款，借款比例和利息计算方式与</w:t>
      </w:r>
      <w:r>
        <w:rPr>
          <w:sz w:val="18"/>
        </w:rPr>
        <w:t>主合同一致。您不能单独对本附加合同进行保单借款。</w:t>
      </w:r>
    </w:p>
    <w:p>
      <w:pPr>
        <w:pStyle w:val="Heading2"/>
        <w:numPr>
          <w:ilvl w:val="0"/>
          <w:numId w:val="11"/>
        </w:numPr>
        <w:tabs>
          <w:tab w:pos="907" w:val="left" w:leader="none"/>
          <w:tab w:pos="908" w:val="left" w:leader="none"/>
        </w:tabs>
        <w:spacing w:line="240" w:lineRule="auto" w:before="134" w:after="0"/>
        <w:ind w:left="907" w:right="0" w:hanging="683"/>
        <w:jc w:val="left"/>
      </w:pPr>
      <w:r>
        <w:rPr/>
        <w:pict>
          <v:line style="position:absolute;mso-position-horizontal-relative:page;mso-position-vertical-relative:paragraph;z-index:1240;mso-wrap-distance-left:0;mso-wrap-distance-right:0" from="59.82pt,43.989826pt" to="553.5pt,43.989826pt" stroked="true" strokeweight=".47998pt" strokecolor="#000000">
            <v:stroke dashstyle="solid"/>
            <w10:wrap type="topAndBottom"/>
          </v:line>
        </w:pict>
      </w:r>
      <w:r>
        <w:rPr>
          <w:w w:val="95"/>
        </w:rPr>
        <w:t>如何解除保险合同</w:t>
      </w:r>
    </w:p>
    <w:p>
      <w:pPr>
        <w:pStyle w:val="BodyText"/>
        <w:spacing w:before="7"/>
        <w:rPr>
          <w:b/>
          <w:sz w:val="10"/>
        </w:rPr>
      </w:pPr>
    </w:p>
    <w:p>
      <w:pPr>
        <w:spacing w:after="0"/>
        <w:rPr>
          <w:sz w:val="10"/>
        </w:rPr>
        <w:sectPr>
          <w:footerReference w:type="default" r:id="rId11"/>
          <w:pgSz w:w="11910" w:h="16840"/>
          <w:pgMar w:footer="981" w:header="877" w:top="1100" w:bottom="1180" w:left="1080" w:right="720"/>
          <w:pgNumType w:start="4"/>
        </w:sectPr>
      </w:pPr>
    </w:p>
    <w:p>
      <w:pPr>
        <w:pStyle w:val="Heading3"/>
        <w:tabs>
          <w:tab w:pos="907" w:val="left" w:leader="none"/>
        </w:tabs>
        <w:spacing w:line="273" w:lineRule="auto" w:before="35"/>
        <w:ind w:left="907" w:hanging="683"/>
      </w:pPr>
      <w:r>
        <w:rPr/>
        <w:t>6.1</w:t>
        <w:tab/>
        <w:t>您解除合同的手 续及风险</w:t>
      </w:r>
    </w:p>
    <w:p>
      <w:pPr>
        <w:pStyle w:val="BodyText"/>
        <w:spacing w:line="316" w:lineRule="auto" w:before="60"/>
        <w:ind w:left="172" w:right="288"/>
      </w:pPr>
      <w:r>
        <w:rPr/>
        <w:br w:type="column"/>
      </w:r>
      <w:r>
        <w:rPr/>
        <w:t>您在犹豫期后，可以书面通知我们要求解除本附加合同，自本公司收到合同解除申请书之日起，本附加合同效力即行终止。</w:t>
      </w:r>
    </w:p>
    <w:p>
      <w:pPr>
        <w:pStyle w:val="BodyText"/>
        <w:spacing w:before="18"/>
        <w:ind w:left="172"/>
      </w:pPr>
      <w:r>
        <w:rPr/>
        <w:t>您解除本附加合同时，应填写合同解除申请书，并提供下列证明和资料：</w:t>
      </w:r>
    </w:p>
    <w:p>
      <w:pPr>
        <w:pStyle w:val="BodyText"/>
        <w:ind w:left="172"/>
      </w:pPr>
      <w:r>
        <w:rPr/>
        <w:t>1、 保险合同；</w:t>
      </w:r>
    </w:p>
    <w:p>
      <w:pPr>
        <w:pStyle w:val="BodyText"/>
        <w:ind w:left="172"/>
      </w:pPr>
      <w:r>
        <w:rPr/>
        <w:t>2、 您的有效身份证件。</w:t>
      </w:r>
    </w:p>
    <w:p>
      <w:pPr>
        <w:pStyle w:val="BodyText"/>
        <w:spacing w:line="316" w:lineRule="auto"/>
        <w:ind w:left="172" w:right="1368"/>
      </w:pPr>
      <w:r>
        <w:rPr/>
        <w:t>本公司自收到上述证明和材料之日起三十日内，返还本附加合同的现金价值。您在犹豫期后解除合同会遭受一定损失。</w:t>
      </w:r>
    </w:p>
    <w:p>
      <w:pPr>
        <w:pStyle w:val="BodyText"/>
        <w:spacing w:before="18"/>
        <w:ind w:left="172"/>
      </w:pPr>
      <w:r>
        <w:rPr/>
        <w:t>解除合同后，受益人不能对合同解除前发生的保险事故申请给付保险金。</w:t>
      </w:r>
    </w:p>
    <w:p>
      <w:pPr>
        <w:spacing w:after="0"/>
        <w:sectPr>
          <w:type w:val="continuous"/>
          <w:pgSz w:w="11910" w:h="16840"/>
          <w:pgMar w:top="1040" w:bottom="1180" w:left="1080" w:right="720"/>
          <w:cols w:num="2" w:equalWidth="0">
            <w:col w:w="2402" w:space="40"/>
            <w:col w:w="7668"/>
          </w:cols>
        </w:sectPr>
      </w:pPr>
    </w:p>
    <w:p>
      <w:pPr>
        <w:pStyle w:val="BodyText"/>
        <w:spacing w:before="5"/>
        <w:rPr>
          <w:sz w:val="22"/>
        </w:rPr>
      </w:pPr>
    </w:p>
    <w:p>
      <w:pPr>
        <w:pStyle w:val="Heading2"/>
        <w:tabs>
          <w:tab w:pos="907" w:val="left" w:leader="none"/>
        </w:tabs>
        <w:spacing w:line="556" w:lineRule="exact"/>
      </w:pPr>
      <w:r>
        <w:rPr/>
        <w:pict>
          <v:line style="position:absolute;mso-position-horizontal-relative:page;mso-position-vertical-relative:paragraph;z-index:1264;mso-wrap-distance-left:0;mso-wrap-distance-right:0" from="59.82pt,31.404882pt" to="553.5pt,31.404882pt" stroked="true" strokeweight=".48pt" strokecolor="#000000">
            <v:stroke dashstyle="solid"/>
            <w10:wrap type="topAndBottom"/>
          </v:line>
        </w:pict>
      </w:r>
      <w:r>
        <w:rPr>
          <w:rFonts w:ascii="Yu Gothic" w:eastAsia="Yu Gothic" w:hint="eastAsia"/>
          <w:w w:val="135"/>
          <w:position w:val="-3"/>
          <w:sz w:val="40"/>
        </w:rPr>
        <w:t>0</w:t>
        <w:tab/>
      </w:r>
      <w:r>
        <w:rPr/>
        <w:t>其他需要您关注的事项</w:t>
      </w:r>
    </w:p>
    <w:p>
      <w:pPr>
        <w:pStyle w:val="BodyText"/>
        <w:spacing w:before="7"/>
        <w:rPr>
          <w:b/>
          <w:sz w:val="10"/>
        </w:rPr>
      </w:pPr>
    </w:p>
    <w:p>
      <w:pPr>
        <w:tabs>
          <w:tab w:pos="907" w:val="left" w:leader="none"/>
          <w:tab w:pos="2613" w:val="left" w:leader="none"/>
        </w:tabs>
        <w:spacing w:before="35"/>
        <w:ind w:left="224" w:right="0" w:firstLine="0"/>
        <w:jc w:val="left"/>
        <w:rPr>
          <w:sz w:val="18"/>
        </w:rPr>
      </w:pPr>
      <w:r>
        <w:rPr>
          <w:b/>
          <w:sz w:val="21"/>
        </w:rPr>
        <w:t>7.1</w:t>
        <w:tab/>
        <w:t>投保范围</w:t>
        <w:tab/>
      </w:r>
      <w:r>
        <w:rPr>
          <w:position w:val="1"/>
          <w:sz w:val="18"/>
        </w:rPr>
        <w:t>1、被保险人条件：</w:t>
      </w:r>
    </w:p>
    <w:p>
      <w:pPr>
        <w:pStyle w:val="BodyText"/>
        <w:spacing w:line="316" w:lineRule="auto" w:before="62"/>
        <w:ind w:left="2613" w:right="288"/>
      </w:pPr>
      <w:r>
        <w:rPr/>
        <w:t>凡投保时出生满二十八天至六十周岁，身体健康，能正常工作或学习的女性，均可作为本附加合同的被保险人。</w:t>
      </w:r>
    </w:p>
    <w:p>
      <w:pPr>
        <w:pStyle w:val="BodyText"/>
        <w:spacing w:before="18"/>
        <w:ind w:left="2613"/>
      </w:pPr>
      <w:r>
        <w:rPr/>
        <w:t>2、投保人条件：</w:t>
      </w:r>
    </w:p>
    <w:p>
      <w:pPr>
        <w:pStyle w:val="BodyText"/>
        <w:spacing w:line="316" w:lineRule="auto"/>
        <w:ind w:left="2613" w:right="83"/>
      </w:pPr>
      <w:r>
        <w:rPr/>
        <w:t>凡订立本附加合同时年满十八周岁，具有完全民事行为能力且对被保险人具有保险利益的人， 均可作为本附加合同的投保人。</w:t>
      </w:r>
    </w:p>
    <w:p>
      <w:pPr>
        <w:pStyle w:val="BodyText"/>
        <w:spacing w:before="1"/>
      </w:pPr>
    </w:p>
    <w:p>
      <w:pPr>
        <w:tabs>
          <w:tab w:pos="907" w:val="left" w:leader="none"/>
        </w:tabs>
        <w:spacing w:line="557" w:lineRule="exact" w:before="0"/>
        <w:ind w:left="224" w:right="0" w:firstLine="0"/>
        <w:jc w:val="left"/>
        <w:rPr>
          <w:b/>
          <w:sz w:val="24"/>
        </w:rPr>
      </w:pPr>
      <w:r>
        <w:rPr/>
        <w:pict>
          <v:line style="position:absolute;mso-position-horizontal-relative:page;mso-position-vertical-relative:paragraph;z-index:1288;mso-wrap-distance-left:0;mso-wrap-distance-right:0" from="59.82pt,31.430681pt" to="553.5pt,31.430681pt" stroked="true" strokeweight=".48001pt" strokecolor="#000000">
            <v:stroke dashstyle="solid"/>
            <w10:wrap type="topAndBottom"/>
          </v:line>
        </w:pict>
      </w:r>
      <w:r>
        <w:rPr>
          <w:rFonts w:ascii="Yu Gothic" w:hAnsi="Yu Gothic" w:eastAsia="Yu Gothic" w:hint="eastAsia"/>
          <w:b/>
          <w:w w:val="135"/>
          <w:position w:val="-3"/>
          <w:sz w:val="40"/>
        </w:rPr>
        <w:t>®</w:t>
        <w:tab/>
      </w:r>
      <w:r>
        <w:rPr>
          <w:b/>
          <w:sz w:val="24"/>
        </w:rPr>
        <w:t>释义</w:t>
      </w:r>
    </w:p>
    <w:p>
      <w:pPr>
        <w:pStyle w:val="BodyText"/>
        <w:spacing w:before="7"/>
        <w:rPr>
          <w:b/>
          <w:sz w:val="10"/>
        </w:rPr>
      </w:pPr>
    </w:p>
    <w:p>
      <w:pPr>
        <w:pStyle w:val="BodyText"/>
        <w:tabs>
          <w:tab w:pos="907" w:val="left" w:leader="none"/>
          <w:tab w:pos="2613" w:val="left" w:leader="none"/>
        </w:tabs>
        <w:spacing w:line="295" w:lineRule="auto" w:before="35"/>
        <w:ind w:left="2613" w:right="288" w:hanging="2390"/>
      </w:pPr>
      <w:r>
        <w:rPr>
          <w:b/>
          <w:sz w:val="21"/>
        </w:rPr>
        <w:t>8.1</w:t>
        <w:tab/>
        <w:t>有效身份证件</w:t>
        <w:tab/>
      </w:r>
      <w:r>
        <w:rPr>
          <w:position w:val="1"/>
        </w:rPr>
        <w:t>指由政府主管部门规定的证明其身份的证件，如：居民身份证、按规定可使用的有效护照、</w:t>
      </w:r>
      <w:r>
        <w:rPr/>
        <w:t>军官证、警官证、士兵证、户口簿等证件。</w:t>
      </w:r>
    </w:p>
    <w:p>
      <w:pPr>
        <w:spacing w:after="0" w:line="295" w:lineRule="auto"/>
        <w:sectPr>
          <w:type w:val="continuous"/>
          <w:pgSz w:w="11910" w:h="16840"/>
          <w:pgMar w:top="1040" w:bottom="1180" w:left="1080" w:right="720"/>
        </w:sectPr>
      </w:pP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10"/>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1729"/>
        <w:gridCol w:w="7424"/>
      </w:tblGrid>
      <w:tr>
        <w:trPr>
          <w:trHeight w:val="269" w:hRule="atLeast"/>
        </w:trPr>
        <w:tc>
          <w:tcPr>
            <w:tcW w:w="603" w:type="dxa"/>
          </w:tcPr>
          <w:p>
            <w:pPr>
              <w:pStyle w:val="TableParagraph"/>
              <w:spacing w:line="210" w:lineRule="exact"/>
              <w:ind w:left="50"/>
              <w:rPr>
                <w:b/>
                <w:sz w:val="21"/>
              </w:rPr>
            </w:pPr>
            <w:r>
              <w:rPr>
                <w:b/>
                <w:sz w:val="21"/>
              </w:rPr>
              <w:t>8.2</w:t>
            </w:r>
          </w:p>
        </w:tc>
        <w:tc>
          <w:tcPr>
            <w:tcW w:w="1729" w:type="dxa"/>
          </w:tcPr>
          <w:p>
            <w:pPr>
              <w:pStyle w:val="TableParagraph"/>
              <w:spacing w:line="210" w:lineRule="exact"/>
              <w:ind w:left="129"/>
              <w:rPr>
                <w:b/>
                <w:sz w:val="21"/>
              </w:rPr>
            </w:pPr>
            <w:r>
              <w:rPr>
                <w:b/>
                <w:w w:val="95"/>
                <w:sz w:val="21"/>
              </w:rPr>
              <w:t>发病</w:t>
            </w:r>
          </w:p>
        </w:tc>
        <w:tc>
          <w:tcPr>
            <w:tcW w:w="7424" w:type="dxa"/>
          </w:tcPr>
          <w:p>
            <w:pPr>
              <w:pStyle w:val="TableParagraph"/>
              <w:spacing w:line="196" w:lineRule="exact"/>
              <w:ind w:left="107"/>
              <w:rPr>
                <w:sz w:val="18"/>
              </w:rPr>
            </w:pPr>
            <w:r>
              <w:rPr>
                <w:sz w:val="18"/>
              </w:rPr>
              <w:t>指被保险人出现本附加合同附表一所约定的重大疾病的前兆或异常的身体状况，或已经出现</w:t>
            </w:r>
          </w:p>
        </w:tc>
      </w:tr>
      <w:tr>
        <w:trPr>
          <w:trHeight w:val="410"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424" w:type="dxa"/>
          </w:tcPr>
          <w:p>
            <w:pPr>
              <w:pStyle w:val="TableParagraph"/>
              <w:spacing w:before="3"/>
              <w:ind w:left="107"/>
              <w:rPr>
                <w:sz w:val="18"/>
              </w:rPr>
            </w:pPr>
            <w:r>
              <w:rPr>
                <w:sz w:val="18"/>
              </w:rPr>
              <w:t>足以使一般人士引起注意并寻求诊断、治疗或护理的病症。</w:t>
            </w:r>
          </w:p>
        </w:tc>
      </w:tr>
      <w:tr>
        <w:trPr>
          <w:trHeight w:val="857" w:hRule="atLeast"/>
        </w:trPr>
        <w:tc>
          <w:tcPr>
            <w:tcW w:w="603" w:type="dxa"/>
          </w:tcPr>
          <w:p>
            <w:pPr>
              <w:pStyle w:val="TableParagraph"/>
              <w:spacing w:before="106"/>
              <w:ind w:left="50"/>
              <w:rPr>
                <w:b/>
                <w:sz w:val="21"/>
              </w:rPr>
            </w:pPr>
            <w:r>
              <w:rPr>
                <w:b/>
                <w:sz w:val="21"/>
              </w:rPr>
              <w:t>8.3</w:t>
            </w:r>
          </w:p>
        </w:tc>
        <w:tc>
          <w:tcPr>
            <w:tcW w:w="1729" w:type="dxa"/>
          </w:tcPr>
          <w:p>
            <w:pPr>
              <w:pStyle w:val="TableParagraph"/>
              <w:spacing w:line="273" w:lineRule="auto" w:before="106"/>
              <w:ind w:left="129" w:right="332"/>
              <w:rPr>
                <w:b/>
                <w:sz w:val="21"/>
              </w:rPr>
            </w:pPr>
            <w:r>
              <w:rPr>
                <w:b/>
                <w:sz w:val="21"/>
              </w:rPr>
              <w:t>指定或认可的医疗机构</w:t>
            </w:r>
          </w:p>
        </w:tc>
        <w:tc>
          <w:tcPr>
            <w:tcW w:w="7424" w:type="dxa"/>
          </w:tcPr>
          <w:p>
            <w:pPr>
              <w:pStyle w:val="TableParagraph"/>
              <w:spacing w:line="316" w:lineRule="auto" w:before="132"/>
              <w:ind w:left="107" w:right="114"/>
              <w:rPr>
                <w:sz w:val="18"/>
              </w:rPr>
            </w:pPr>
            <w:r>
              <w:rPr>
                <w:sz w:val="18"/>
              </w:rPr>
              <w:t>指中华人民共和国境内(港澳台地区除外)，投保地所在省、市、自治区范围内的卫生行政部门认可的二级甲等以上非营利性医疗机构。</w:t>
            </w:r>
          </w:p>
        </w:tc>
      </w:tr>
      <w:tr>
        <w:trPr>
          <w:trHeight w:val="433" w:hRule="atLeast"/>
        </w:trPr>
        <w:tc>
          <w:tcPr>
            <w:tcW w:w="603" w:type="dxa"/>
          </w:tcPr>
          <w:p>
            <w:pPr>
              <w:pStyle w:val="TableParagraph"/>
              <w:spacing w:before="99"/>
              <w:ind w:left="50"/>
              <w:rPr>
                <w:b/>
                <w:sz w:val="21"/>
              </w:rPr>
            </w:pPr>
            <w:r>
              <w:rPr>
                <w:b/>
                <w:sz w:val="21"/>
              </w:rPr>
              <w:t>8.4</w:t>
            </w:r>
          </w:p>
        </w:tc>
        <w:tc>
          <w:tcPr>
            <w:tcW w:w="1729" w:type="dxa"/>
          </w:tcPr>
          <w:p>
            <w:pPr>
              <w:pStyle w:val="TableParagraph"/>
              <w:spacing w:before="99"/>
              <w:ind w:left="129"/>
              <w:rPr>
                <w:b/>
                <w:sz w:val="21"/>
              </w:rPr>
            </w:pPr>
            <w:r>
              <w:rPr>
                <w:b/>
                <w:w w:val="95"/>
                <w:sz w:val="21"/>
              </w:rPr>
              <w:t>毒品</w:t>
            </w:r>
          </w:p>
        </w:tc>
        <w:tc>
          <w:tcPr>
            <w:tcW w:w="7424" w:type="dxa"/>
          </w:tcPr>
          <w:p>
            <w:pPr>
              <w:pStyle w:val="TableParagraph"/>
              <w:spacing w:before="125"/>
              <w:ind w:left="107"/>
              <w:rPr>
                <w:sz w:val="18"/>
              </w:rPr>
            </w:pPr>
            <w:r>
              <w:rPr>
                <w:spacing w:val="-3"/>
                <w:sz w:val="18"/>
              </w:rPr>
              <w:t>指中华人民共和国刑法规定的鸦片、海洛因、甲基苯丙胺</w:t>
            </w:r>
            <w:r>
              <w:rPr>
                <w:sz w:val="18"/>
              </w:rPr>
              <w:t>（冰毒</w:t>
            </w:r>
            <w:r>
              <w:rPr>
                <w:spacing w:val="-90"/>
                <w:sz w:val="18"/>
              </w:rPr>
              <w:t>）</w:t>
            </w:r>
            <w:r>
              <w:rPr>
                <w:spacing w:val="-4"/>
                <w:sz w:val="18"/>
              </w:rPr>
              <w:t>、吗啡、大麻、可卡因以及</w:t>
            </w:r>
          </w:p>
        </w:tc>
      </w:tr>
      <w:tr>
        <w:trPr>
          <w:trHeight w:val="305"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424" w:type="dxa"/>
          </w:tcPr>
          <w:p>
            <w:pPr>
              <w:pStyle w:val="TableParagraph"/>
              <w:spacing w:before="3"/>
              <w:ind w:left="107"/>
              <w:rPr>
                <w:sz w:val="18"/>
              </w:rPr>
            </w:pPr>
            <w:r>
              <w:rPr>
                <w:sz w:val="18"/>
              </w:rPr>
              <w:t>国家规定管制的其他能够使人形成瘾癖的麻醉药品和精神药品，但不包括由医生开具并遵医</w:t>
            </w:r>
          </w:p>
        </w:tc>
      </w:tr>
      <w:tr>
        <w:trPr>
          <w:trHeight w:val="417"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424" w:type="dxa"/>
          </w:tcPr>
          <w:p>
            <w:pPr>
              <w:pStyle w:val="TableParagraph"/>
              <w:spacing w:before="10"/>
              <w:ind w:left="107"/>
              <w:rPr>
                <w:sz w:val="18"/>
              </w:rPr>
            </w:pPr>
            <w:r>
              <w:rPr>
                <w:sz w:val="18"/>
              </w:rPr>
              <w:t>嘱使用的用于治疗疾病但含有毒品成分的处方药品。</w:t>
            </w:r>
          </w:p>
        </w:tc>
      </w:tr>
      <w:tr>
        <w:trPr>
          <w:trHeight w:val="440" w:hRule="atLeast"/>
        </w:trPr>
        <w:tc>
          <w:tcPr>
            <w:tcW w:w="603" w:type="dxa"/>
          </w:tcPr>
          <w:p>
            <w:pPr>
              <w:pStyle w:val="TableParagraph"/>
              <w:spacing w:before="106"/>
              <w:ind w:left="50"/>
              <w:rPr>
                <w:b/>
                <w:sz w:val="21"/>
              </w:rPr>
            </w:pPr>
            <w:r>
              <w:rPr>
                <w:b/>
                <w:sz w:val="21"/>
              </w:rPr>
              <w:t>8.5</w:t>
            </w:r>
          </w:p>
        </w:tc>
        <w:tc>
          <w:tcPr>
            <w:tcW w:w="1729" w:type="dxa"/>
          </w:tcPr>
          <w:p>
            <w:pPr>
              <w:pStyle w:val="TableParagraph"/>
              <w:spacing w:before="106"/>
              <w:ind w:left="129"/>
              <w:rPr>
                <w:b/>
                <w:sz w:val="21"/>
              </w:rPr>
            </w:pPr>
            <w:r>
              <w:rPr>
                <w:b/>
                <w:sz w:val="21"/>
              </w:rPr>
              <w:t>酒后驾驶</w:t>
            </w:r>
          </w:p>
        </w:tc>
        <w:tc>
          <w:tcPr>
            <w:tcW w:w="7424" w:type="dxa"/>
          </w:tcPr>
          <w:p>
            <w:pPr>
              <w:pStyle w:val="TableParagraph"/>
              <w:spacing w:before="132"/>
              <w:ind w:left="107"/>
              <w:rPr>
                <w:sz w:val="18"/>
              </w:rPr>
            </w:pPr>
            <w:r>
              <w:rPr>
                <w:sz w:val="18"/>
              </w:rPr>
              <w:t>指经检测或鉴定，发生事故时车辆驾驶人员每百毫升血液中的酒精含量或呼气酒精含量达到</w:t>
            </w:r>
          </w:p>
        </w:tc>
      </w:tr>
      <w:tr>
        <w:trPr>
          <w:trHeight w:val="305"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424" w:type="dxa"/>
          </w:tcPr>
          <w:p>
            <w:pPr>
              <w:pStyle w:val="TableParagraph"/>
              <w:spacing w:before="3"/>
              <w:ind w:left="107"/>
              <w:rPr>
                <w:sz w:val="18"/>
              </w:rPr>
            </w:pPr>
            <w:r>
              <w:rPr>
                <w:sz w:val="18"/>
              </w:rPr>
              <w:t>或超过一定的标准，公安机关交通管理部门依据《道路交通安全法》的规定认定为饮酒后驾</w:t>
            </w:r>
          </w:p>
        </w:tc>
      </w:tr>
      <w:tr>
        <w:trPr>
          <w:trHeight w:val="417"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424" w:type="dxa"/>
          </w:tcPr>
          <w:p>
            <w:pPr>
              <w:pStyle w:val="TableParagraph"/>
              <w:spacing w:before="10"/>
              <w:ind w:left="107"/>
              <w:rPr>
                <w:sz w:val="18"/>
              </w:rPr>
            </w:pPr>
            <w:r>
              <w:rPr>
                <w:sz w:val="18"/>
              </w:rPr>
              <w:t>驶或醉酒后驾驶。</w:t>
            </w:r>
          </w:p>
        </w:tc>
      </w:tr>
      <w:tr>
        <w:trPr>
          <w:trHeight w:val="752" w:hRule="atLeast"/>
        </w:trPr>
        <w:tc>
          <w:tcPr>
            <w:tcW w:w="603" w:type="dxa"/>
          </w:tcPr>
          <w:p>
            <w:pPr>
              <w:pStyle w:val="TableParagraph"/>
              <w:spacing w:before="106"/>
              <w:ind w:left="50"/>
              <w:rPr>
                <w:b/>
                <w:sz w:val="21"/>
              </w:rPr>
            </w:pPr>
            <w:r>
              <w:rPr>
                <w:b/>
                <w:sz w:val="21"/>
              </w:rPr>
              <w:t>8.6</w:t>
            </w:r>
          </w:p>
        </w:tc>
        <w:tc>
          <w:tcPr>
            <w:tcW w:w="1729" w:type="dxa"/>
          </w:tcPr>
          <w:p>
            <w:pPr>
              <w:pStyle w:val="TableParagraph"/>
              <w:spacing w:line="273" w:lineRule="auto" w:before="106"/>
              <w:ind w:left="129" w:right="103"/>
              <w:rPr>
                <w:b/>
                <w:sz w:val="21"/>
              </w:rPr>
            </w:pPr>
            <w:r>
              <w:rPr>
                <w:b/>
                <w:sz w:val="21"/>
              </w:rPr>
              <w:t>无合法有效驾驶证驾驶</w:t>
            </w:r>
          </w:p>
        </w:tc>
        <w:tc>
          <w:tcPr>
            <w:tcW w:w="7424" w:type="dxa"/>
          </w:tcPr>
          <w:p>
            <w:pPr>
              <w:pStyle w:val="TableParagraph"/>
              <w:spacing w:before="132"/>
              <w:ind w:left="107"/>
              <w:rPr>
                <w:sz w:val="18"/>
              </w:rPr>
            </w:pPr>
            <w:r>
              <w:rPr>
                <w:sz w:val="18"/>
              </w:rPr>
              <w:t>指下列情形之一：</w:t>
            </w:r>
          </w:p>
          <w:p>
            <w:pPr>
              <w:pStyle w:val="TableParagraph"/>
              <w:spacing w:before="76"/>
              <w:ind w:left="107"/>
              <w:rPr>
                <w:sz w:val="18"/>
              </w:rPr>
            </w:pPr>
            <w:r>
              <w:rPr>
                <w:sz w:val="18"/>
              </w:rPr>
              <w:t>(1) 没有取得驾驶资格；</w:t>
            </w:r>
          </w:p>
        </w:tc>
      </w:tr>
      <w:tr>
        <w:trPr>
          <w:trHeight w:val="305"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424" w:type="dxa"/>
          </w:tcPr>
          <w:p>
            <w:pPr>
              <w:pStyle w:val="TableParagraph"/>
              <w:spacing w:before="3"/>
              <w:ind w:left="107"/>
              <w:rPr>
                <w:sz w:val="18"/>
              </w:rPr>
            </w:pPr>
            <w:r>
              <w:rPr>
                <w:sz w:val="18"/>
              </w:rPr>
              <w:t>(2) 驾驶与驾驶证准驾车型不相符合的车辆；</w:t>
            </w:r>
          </w:p>
        </w:tc>
      </w:tr>
      <w:tr>
        <w:trPr>
          <w:trHeight w:val="311"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424" w:type="dxa"/>
          </w:tcPr>
          <w:p>
            <w:pPr>
              <w:pStyle w:val="TableParagraph"/>
              <w:spacing w:before="10"/>
              <w:ind w:left="107"/>
              <w:rPr>
                <w:sz w:val="18"/>
              </w:rPr>
            </w:pPr>
            <w:r>
              <w:rPr>
                <w:sz w:val="18"/>
              </w:rPr>
              <w:t>(3) 持审验不合格的驾驶证驾驶；</w:t>
            </w:r>
          </w:p>
        </w:tc>
      </w:tr>
      <w:tr>
        <w:trPr>
          <w:trHeight w:val="417"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424" w:type="dxa"/>
          </w:tcPr>
          <w:p>
            <w:pPr>
              <w:pStyle w:val="TableParagraph"/>
              <w:spacing w:before="10"/>
              <w:ind w:left="107"/>
              <w:rPr>
                <w:sz w:val="18"/>
              </w:rPr>
            </w:pPr>
            <w:r>
              <w:rPr>
                <w:sz w:val="18"/>
              </w:rPr>
              <w:t>(4) 持学习驾驶证学习驾车时，无教练员随车指导，或不按指定时间、路线学习驾车。</w:t>
            </w:r>
          </w:p>
        </w:tc>
      </w:tr>
      <w:tr>
        <w:trPr>
          <w:trHeight w:val="441" w:hRule="atLeast"/>
        </w:trPr>
        <w:tc>
          <w:tcPr>
            <w:tcW w:w="603" w:type="dxa"/>
          </w:tcPr>
          <w:p>
            <w:pPr>
              <w:pStyle w:val="TableParagraph"/>
              <w:spacing w:before="107"/>
              <w:ind w:left="50"/>
              <w:rPr>
                <w:b/>
                <w:sz w:val="21"/>
              </w:rPr>
            </w:pPr>
            <w:r>
              <w:rPr>
                <w:b/>
                <w:sz w:val="21"/>
              </w:rPr>
              <w:t>8.7</w:t>
            </w:r>
          </w:p>
        </w:tc>
        <w:tc>
          <w:tcPr>
            <w:tcW w:w="1729" w:type="dxa"/>
          </w:tcPr>
          <w:p>
            <w:pPr>
              <w:pStyle w:val="TableParagraph"/>
              <w:spacing w:before="107"/>
              <w:ind w:left="130"/>
              <w:rPr>
                <w:b/>
                <w:sz w:val="21"/>
              </w:rPr>
            </w:pPr>
            <w:r>
              <w:rPr>
                <w:b/>
                <w:w w:val="95"/>
                <w:sz w:val="21"/>
              </w:rPr>
              <w:t>无有效行驶证</w:t>
            </w:r>
          </w:p>
        </w:tc>
        <w:tc>
          <w:tcPr>
            <w:tcW w:w="7424" w:type="dxa"/>
          </w:tcPr>
          <w:p>
            <w:pPr>
              <w:pStyle w:val="TableParagraph"/>
              <w:spacing w:before="132"/>
              <w:ind w:left="107"/>
              <w:rPr>
                <w:sz w:val="18"/>
              </w:rPr>
            </w:pPr>
            <w:r>
              <w:rPr>
                <w:sz w:val="18"/>
              </w:rPr>
              <w:t>指下列情形之一：</w:t>
            </w:r>
          </w:p>
        </w:tc>
      </w:tr>
      <w:tr>
        <w:trPr>
          <w:trHeight w:val="305"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424" w:type="dxa"/>
          </w:tcPr>
          <w:p>
            <w:pPr>
              <w:pStyle w:val="TableParagraph"/>
              <w:spacing w:before="3"/>
              <w:ind w:left="107"/>
              <w:rPr>
                <w:sz w:val="18"/>
              </w:rPr>
            </w:pPr>
            <w:r>
              <w:rPr>
                <w:sz w:val="18"/>
              </w:rPr>
              <w:t>(1) 机动车被依法注销登记的；</w:t>
            </w:r>
          </w:p>
        </w:tc>
      </w:tr>
      <w:tr>
        <w:trPr>
          <w:trHeight w:val="417"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424" w:type="dxa"/>
          </w:tcPr>
          <w:p>
            <w:pPr>
              <w:pStyle w:val="TableParagraph"/>
              <w:spacing w:before="10"/>
              <w:ind w:left="107"/>
              <w:rPr>
                <w:sz w:val="18"/>
              </w:rPr>
            </w:pPr>
            <w:r>
              <w:rPr>
                <w:sz w:val="18"/>
              </w:rPr>
              <w:t>(2) 未依法按时进行或通过机动车安全技术检验。</w:t>
            </w:r>
          </w:p>
        </w:tc>
      </w:tr>
      <w:tr>
        <w:trPr>
          <w:trHeight w:val="545" w:hRule="atLeast"/>
        </w:trPr>
        <w:tc>
          <w:tcPr>
            <w:tcW w:w="603" w:type="dxa"/>
          </w:tcPr>
          <w:p>
            <w:pPr>
              <w:pStyle w:val="TableParagraph"/>
              <w:spacing w:before="106"/>
              <w:ind w:left="50"/>
              <w:rPr>
                <w:b/>
                <w:sz w:val="21"/>
              </w:rPr>
            </w:pPr>
            <w:r>
              <w:rPr>
                <w:b/>
                <w:sz w:val="21"/>
              </w:rPr>
              <w:t>8.8</w:t>
            </w:r>
          </w:p>
        </w:tc>
        <w:tc>
          <w:tcPr>
            <w:tcW w:w="1729" w:type="dxa"/>
          </w:tcPr>
          <w:p>
            <w:pPr>
              <w:pStyle w:val="TableParagraph"/>
              <w:spacing w:before="106"/>
              <w:ind w:left="129"/>
              <w:rPr>
                <w:b/>
                <w:sz w:val="21"/>
              </w:rPr>
            </w:pPr>
            <w:r>
              <w:rPr>
                <w:b/>
                <w:w w:val="95"/>
                <w:sz w:val="21"/>
              </w:rPr>
              <w:t>艾滋病</w:t>
            </w:r>
          </w:p>
        </w:tc>
        <w:tc>
          <w:tcPr>
            <w:tcW w:w="7424" w:type="dxa"/>
          </w:tcPr>
          <w:p>
            <w:pPr>
              <w:pStyle w:val="TableParagraph"/>
              <w:spacing w:before="132"/>
              <w:ind w:left="107"/>
              <w:rPr>
                <w:sz w:val="18"/>
              </w:rPr>
            </w:pPr>
            <w:r>
              <w:rPr>
                <w:sz w:val="18"/>
              </w:rPr>
              <w:t>获得性免疫力缺乏综合征（AIDS）的简称。</w:t>
            </w:r>
          </w:p>
        </w:tc>
      </w:tr>
      <w:tr>
        <w:trPr>
          <w:trHeight w:val="433" w:hRule="atLeast"/>
        </w:trPr>
        <w:tc>
          <w:tcPr>
            <w:tcW w:w="603" w:type="dxa"/>
          </w:tcPr>
          <w:p>
            <w:pPr>
              <w:pStyle w:val="TableParagraph"/>
              <w:spacing w:before="99"/>
              <w:ind w:left="50"/>
              <w:rPr>
                <w:b/>
                <w:sz w:val="21"/>
              </w:rPr>
            </w:pPr>
            <w:r>
              <w:rPr>
                <w:b/>
                <w:sz w:val="21"/>
              </w:rPr>
              <w:t>8.9</w:t>
            </w:r>
          </w:p>
        </w:tc>
        <w:tc>
          <w:tcPr>
            <w:tcW w:w="1729" w:type="dxa"/>
          </w:tcPr>
          <w:p>
            <w:pPr>
              <w:pStyle w:val="TableParagraph"/>
              <w:spacing w:before="99"/>
              <w:ind w:left="129"/>
              <w:rPr>
                <w:b/>
                <w:sz w:val="21"/>
              </w:rPr>
            </w:pPr>
            <w:r>
              <w:rPr>
                <w:b/>
                <w:w w:val="95"/>
                <w:sz w:val="21"/>
              </w:rPr>
              <w:t>艾滋病病毒</w:t>
            </w:r>
          </w:p>
        </w:tc>
        <w:tc>
          <w:tcPr>
            <w:tcW w:w="7424" w:type="dxa"/>
          </w:tcPr>
          <w:p>
            <w:pPr>
              <w:pStyle w:val="TableParagraph"/>
              <w:spacing w:before="125"/>
              <w:ind w:left="107"/>
              <w:rPr>
                <w:sz w:val="18"/>
              </w:rPr>
            </w:pPr>
            <w:r>
              <w:rPr>
                <w:sz w:val="18"/>
              </w:rPr>
              <w:t>获得性免疫力缺乏综合征病毒（HIV）的简称。获得性免疫力缺乏综合征的定义应按世界卫生</w:t>
            </w:r>
          </w:p>
        </w:tc>
      </w:tr>
      <w:tr>
        <w:trPr>
          <w:trHeight w:val="305"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424" w:type="dxa"/>
          </w:tcPr>
          <w:p>
            <w:pPr>
              <w:pStyle w:val="TableParagraph"/>
              <w:spacing w:before="3"/>
              <w:ind w:left="107"/>
              <w:rPr>
                <w:sz w:val="18"/>
              </w:rPr>
            </w:pPr>
            <w:r>
              <w:rPr>
                <w:sz w:val="18"/>
              </w:rPr>
              <w:t>组织制定的定义为准，如在血液样本中发现获得性免疫力缺乏综合征病毒或其抗体，则可认</w:t>
            </w:r>
          </w:p>
        </w:tc>
      </w:tr>
      <w:tr>
        <w:trPr>
          <w:trHeight w:val="417"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424" w:type="dxa"/>
          </w:tcPr>
          <w:p>
            <w:pPr>
              <w:pStyle w:val="TableParagraph"/>
              <w:spacing w:before="10"/>
              <w:ind w:left="107"/>
              <w:rPr>
                <w:sz w:val="18"/>
              </w:rPr>
            </w:pPr>
            <w:r>
              <w:rPr>
                <w:sz w:val="18"/>
              </w:rPr>
              <w:t>定为感染艾滋病或艾滋病病毒。</w:t>
            </w:r>
          </w:p>
        </w:tc>
      </w:tr>
      <w:tr>
        <w:trPr>
          <w:trHeight w:val="440" w:hRule="atLeast"/>
        </w:trPr>
        <w:tc>
          <w:tcPr>
            <w:tcW w:w="603" w:type="dxa"/>
          </w:tcPr>
          <w:p>
            <w:pPr>
              <w:pStyle w:val="TableParagraph"/>
              <w:spacing w:before="106"/>
              <w:ind w:left="50"/>
              <w:rPr>
                <w:b/>
                <w:sz w:val="21"/>
              </w:rPr>
            </w:pPr>
            <w:r>
              <w:rPr>
                <w:b/>
                <w:sz w:val="21"/>
              </w:rPr>
              <w:t>8.10</w:t>
            </w:r>
          </w:p>
        </w:tc>
        <w:tc>
          <w:tcPr>
            <w:tcW w:w="1729" w:type="dxa"/>
          </w:tcPr>
          <w:p>
            <w:pPr>
              <w:pStyle w:val="TableParagraph"/>
              <w:spacing w:before="106"/>
              <w:ind w:left="130"/>
              <w:rPr>
                <w:b/>
                <w:sz w:val="21"/>
              </w:rPr>
            </w:pPr>
            <w:r>
              <w:rPr>
                <w:b/>
                <w:sz w:val="21"/>
              </w:rPr>
              <w:t>现金价值</w:t>
            </w:r>
          </w:p>
        </w:tc>
        <w:tc>
          <w:tcPr>
            <w:tcW w:w="7424" w:type="dxa"/>
          </w:tcPr>
          <w:p>
            <w:pPr>
              <w:pStyle w:val="TableParagraph"/>
              <w:spacing w:before="132"/>
              <w:ind w:left="107"/>
              <w:rPr>
                <w:sz w:val="18"/>
              </w:rPr>
            </w:pPr>
            <w:r>
              <w:rPr>
                <w:sz w:val="18"/>
              </w:rPr>
              <w:t>指保险单所具有的价值，通常体现为解除合同时，根据精算原理计算的，由本公司退还的那</w:t>
            </w:r>
          </w:p>
        </w:tc>
      </w:tr>
      <w:tr>
        <w:trPr>
          <w:trHeight w:val="410"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424" w:type="dxa"/>
          </w:tcPr>
          <w:p>
            <w:pPr>
              <w:pStyle w:val="TableParagraph"/>
              <w:spacing w:before="3"/>
              <w:ind w:left="107"/>
              <w:rPr>
                <w:sz w:val="18"/>
              </w:rPr>
            </w:pPr>
            <w:r>
              <w:rPr>
                <w:sz w:val="18"/>
              </w:rPr>
              <w:t>部分金额。</w:t>
            </w:r>
          </w:p>
        </w:tc>
      </w:tr>
      <w:tr>
        <w:trPr>
          <w:trHeight w:val="381" w:hRule="atLeast"/>
        </w:trPr>
        <w:tc>
          <w:tcPr>
            <w:tcW w:w="603" w:type="dxa"/>
          </w:tcPr>
          <w:p>
            <w:pPr>
              <w:pStyle w:val="TableParagraph"/>
              <w:spacing w:line="255" w:lineRule="exact" w:before="106"/>
              <w:ind w:left="50"/>
              <w:rPr>
                <w:b/>
                <w:sz w:val="21"/>
              </w:rPr>
            </w:pPr>
            <w:r>
              <w:rPr>
                <w:b/>
                <w:sz w:val="21"/>
              </w:rPr>
              <w:t>8.11</w:t>
            </w:r>
          </w:p>
        </w:tc>
        <w:tc>
          <w:tcPr>
            <w:tcW w:w="1729" w:type="dxa"/>
          </w:tcPr>
          <w:p>
            <w:pPr>
              <w:pStyle w:val="TableParagraph"/>
              <w:spacing w:line="255" w:lineRule="exact" w:before="106"/>
              <w:ind w:left="129"/>
              <w:rPr>
                <w:b/>
                <w:sz w:val="21"/>
              </w:rPr>
            </w:pPr>
            <w:r>
              <w:rPr>
                <w:b/>
                <w:w w:val="95"/>
                <w:sz w:val="21"/>
              </w:rPr>
              <w:t>利息</w:t>
            </w:r>
          </w:p>
        </w:tc>
        <w:tc>
          <w:tcPr>
            <w:tcW w:w="7424" w:type="dxa"/>
          </w:tcPr>
          <w:p>
            <w:pPr>
              <w:pStyle w:val="TableParagraph"/>
              <w:spacing w:line="229" w:lineRule="exact" w:before="132"/>
              <w:ind w:left="107"/>
              <w:rPr>
                <w:sz w:val="18"/>
              </w:rPr>
            </w:pPr>
            <w:r>
              <w:rPr>
                <w:sz w:val="18"/>
              </w:rPr>
              <w:t>除本附加合同另有约定外,本附加合同中提到的利息一律按年复利方式计算。</w:t>
            </w:r>
          </w:p>
        </w:tc>
      </w:tr>
    </w:tbl>
    <w:p>
      <w:pPr>
        <w:spacing w:after="0" w:line="229" w:lineRule="exact"/>
        <w:rPr>
          <w:sz w:val="18"/>
        </w:rPr>
        <w:sectPr>
          <w:pgSz w:w="11910" w:h="16840"/>
          <w:pgMar w:header="877" w:footer="981" w:top="1100" w:bottom="1180" w:left="1140" w:right="780"/>
        </w:sectPr>
      </w:pPr>
    </w:p>
    <w:p>
      <w:pPr>
        <w:pStyle w:val="BodyText"/>
        <w:spacing w:before="0"/>
        <w:rPr>
          <w:rFonts w:ascii="Times New Roman"/>
          <w:sz w:val="20"/>
        </w:rPr>
      </w:pPr>
    </w:p>
    <w:p>
      <w:pPr>
        <w:pStyle w:val="BodyText"/>
        <w:spacing w:before="0"/>
        <w:rPr>
          <w:rFonts w:ascii="Times New Roman"/>
          <w:sz w:val="20"/>
        </w:rPr>
      </w:pPr>
    </w:p>
    <w:p>
      <w:pPr>
        <w:pStyle w:val="Heading4"/>
        <w:spacing w:before="161"/>
        <w:ind w:left="4320" w:right="3912"/>
        <w:jc w:val="center"/>
      </w:pPr>
      <w:r>
        <w:rPr>
          <w:w w:val="95"/>
        </w:rPr>
        <w:t>附表一：重大疾病说明</w:t>
      </w:r>
    </w:p>
    <w:p>
      <w:pPr>
        <w:pStyle w:val="BodyText"/>
        <w:spacing w:before="11"/>
        <w:rPr>
          <w:b/>
          <w:sz w:val="23"/>
        </w:rPr>
      </w:pPr>
    </w:p>
    <w:p>
      <w:pPr>
        <w:spacing w:before="45"/>
        <w:ind w:left="224" w:right="0" w:firstLine="0"/>
        <w:jc w:val="left"/>
        <w:rPr>
          <w:b/>
          <w:sz w:val="18"/>
        </w:rPr>
      </w:pPr>
      <w:r>
        <w:rPr>
          <w:b/>
          <w:w w:val="95"/>
          <w:sz w:val="18"/>
        </w:rPr>
        <w:t>重大疾病：指下列疾病或手术之一</w:t>
      </w:r>
    </w:p>
    <w:p>
      <w:pPr>
        <w:pStyle w:val="BodyText"/>
        <w:spacing w:before="3"/>
        <w:rPr>
          <w:b/>
          <w:sz w:val="26"/>
        </w:rPr>
      </w:pPr>
    </w:p>
    <w:p>
      <w:pPr>
        <w:spacing w:line="302" w:lineRule="auto" w:before="0"/>
        <w:ind w:left="224" w:right="156" w:firstLine="0"/>
        <w:jc w:val="left"/>
        <w:rPr>
          <w:b/>
          <w:i/>
          <w:sz w:val="19"/>
        </w:rPr>
      </w:pPr>
      <w:r>
        <w:rPr>
          <w:b/>
          <w:i/>
          <w:w w:val="95"/>
          <w:sz w:val="19"/>
        </w:rPr>
        <w:t>被保险人发生符合前 25 种疾病（特指定义在中国保险行业协会《重大疾病保险的疾病定义使用规范》中的重大疾病）定义所述条件的重大疾病，须由专科医生（注 1）明确诊断。</w:t>
      </w:r>
    </w:p>
    <w:p>
      <w:pPr>
        <w:pStyle w:val="BodyText"/>
        <w:spacing w:before="4"/>
        <w:rPr>
          <w:b/>
          <w:i/>
          <w:sz w:val="23"/>
        </w:rPr>
      </w:pPr>
    </w:p>
    <w:p>
      <w:pPr>
        <w:pStyle w:val="ListParagraph"/>
        <w:numPr>
          <w:ilvl w:val="0"/>
          <w:numId w:val="12"/>
        </w:numPr>
        <w:tabs>
          <w:tab w:pos="525" w:val="left" w:leader="none"/>
          <w:tab w:pos="2522" w:val="left" w:leader="none"/>
        </w:tabs>
        <w:spacing w:line="316" w:lineRule="auto" w:before="0" w:after="0"/>
        <w:ind w:left="2522" w:right="115" w:hanging="2418"/>
        <w:jc w:val="both"/>
        <w:rPr>
          <w:sz w:val="18"/>
        </w:rPr>
      </w:pPr>
      <w:r>
        <w:rPr>
          <w:b/>
          <w:sz w:val="18"/>
        </w:rPr>
        <w:t>恶性肿瘤</w:t>
        <w:tab/>
      </w:r>
      <w:r>
        <w:rPr>
          <w:sz w:val="18"/>
        </w:rPr>
        <w:t>指恶性细胞不受控制的进行性增长和扩散</w:t>
      </w:r>
      <w:r>
        <w:rPr>
          <w:spacing w:val="-13"/>
          <w:sz w:val="18"/>
        </w:rPr>
        <w:t>，</w:t>
      </w:r>
      <w:r>
        <w:rPr>
          <w:sz w:val="18"/>
        </w:rPr>
        <w:t>浸润和破坏周围正常组织</w:t>
      </w:r>
      <w:r>
        <w:rPr>
          <w:spacing w:val="-13"/>
          <w:sz w:val="18"/>
        </w:rPr>
        <w:t>，</w:t>
      </w:r>
      <w:r>
        <w:rPr>
          <w:sz w:val="18"/>
        </w:rPr>
        <w:t>可以经血管</w:t>
      </w:r>
      <w:r>
        <w:rPr>
          <w:spacing w:val="-13"/>
          <w:sz w:val="18"/>
        </w:rPr>
        <w:t>、</w:t>
      </w:r>
      <w:r>
        <w:rPr>
          <w:sz w:val="18"/>
        </w:rPr>
        <w:t>淋巴管和体腔扩散转移到身体其它部位的疾病</w:t>
      </w:r>
      <w:r>
        <w:rPr>
          <w:spacing w:val="-18"/>
          <w:sz w:val="18"/>
        </w:rPr>
        <w:t>。</w:t>
      </w:r>
      <w:r>
        <w:rPr>
          <w:sz w:val="18"/>
        </w:rPr>
        <w:t>经病理学检查结果明确诊断</w:t>
      </w:r>
      <w:r>
        <w:rPr>
          <w:spacing w:val="-18"/>
          <w:sz w:val="18"/>
        </w:rPr>
        <w:t>，</w:t>
      </w:r>
      <w:r>
        <w:rPr>
          <w:sz w:val="18"/>
        </w:rPr>
        <w:t>临床诊断属于世界卫生组织《疾病和有关健康问题的国际统计分类</w:t>
      </w:r>
      <w:r>
        <w:rPr>
          <w:spacing w:val="-90"/>
          <w:sz w:val="18"/>
        </w:rPr>
        <w:t>》</w:t>
      </w:r>
      <w:r>
        <w:rPr>
          <w:sz w:val="18"/>
        </w:rPr>
        <w:t>（ICD-10）的恶性肿瘤范畴。</w:t>
      </w:r>
    </w:p>
    <w:p>
      <w:pPr>
        <w:pStyle w:val="BodyText"/>
        <w:spacing w:before="18"/>
        <w:ind w:left="2522"/>
      </w:pPr>
      <w:r>
        <w:rPr/>
        <w:t>下列疾病不在保障范围内：</w:t>
      </w:r>
    </w:p>
    <w:p>
      <w:pPr>
        <w:pStyle w:val="ListParagraph"/>
        <w:numPr>
          <w:ilvl w:val="1"/>
          <w:numId w:val="12"/>
        </w:numPr>
        <w:tabs>
          <w:tab w:pos="2883" w:val="left" w:leader="none"/>
        </w:tabs>
        <w:spacing w:line="240" w:lineRule="auto" w:before="75" w:after="0"/>
        <w:ind w:left="2882" w:right="0" w:hanging="360"/>
        <w:jc w:val="left"/>
        <w:rPr>
          <w:sz w:val="18"/>
        </w:rPr>
      </w:pPr>
      <w:r>
        <w:rPr>
          <w:sz w:val="18"/>
        </w:rPr>
        <w:t>原位癌；</w:t>
      </w:r>
    </w:p>
    <w:p>
      <w:pPr>
        <w:pStyle w:val="ListParagraph"/>
        <w:numPr>
          <w:ilvl w:val="1"/>
          <w:numId w:val="12"/>
        </w:numPr>
        <w:tabs>
          <w:tab w:pos="2883" w:val="left" w:leader="none"/>
        </w:tabs>
        <w:spacing w:line="240" w:lineRule="auto" w:before="75" w:after="0"/>
        <w:ind w:left="2882" w:right="0" w:hanging="360"/>
        <w:jc w:val="left"/>
        <w:rPr>
          <w:sz w:val="18"/>
        </w:rPr>
      </w:pPr>
      <w:r>
        <w:rPr>
          <w:spacing w:val="13"/>
          <w:sz w:val="18"/>
        </w:rPr>
        <w:t>相当于</w:t>
      </w:r>
      <w:r>
        <w:rPr>
          <w:sz w:val="18"/>
        </w:rPr>
        <w:t>Binet</w:t>
      </w:r>
      <w:r>
        <w:rPr>
          <w:spacing w:val="-1"/>
          <w:sz w:val="18"/>
        </w:rPr>
        <w:t> 分期方案</w:t>
      </w:r>
      <w:r>
        <w:rPr>
          <w:sz w:val="18"/>
        </w:rPr>
        <w:t>A</w:t>
      </w:r>
      <w:r>
        <w:rPr>
          <w:spacing w:val="-7"/>
          <w:sz w:val="18"/>
        </w:rPr>
        <w:t> 期程度的慢性淋巴细胞白血病；</w:t>
      </w:r>
    </w:p>
    <w:p>
      <w:pPr>
        <w:pStyle w:val="ListParagraph"/>
        <w:numPr>
          <w:ilvl w:val="1"/>
          <w:numId w:val="12"/>
        </w:numPr>
        <w:tabs>
          <w:tab w:pos="2883" w:val="left" w:leader="none"/>
        </w:tabs>
        <w:spacing w:line="240" w:lineRule="auto" w:before="75" w:after="0"/>
        <w:ind w:left="2882" w:right="0" w:hanging="360"/>
        <w:jc w:val="left"/>
        <w:rPr>
          <w:sz w:val="18"/>
        </w:rPr>
      </w:pPr>
      <w:r>
        <w:rPr>
          <w:spacing w:val="13"/>
          <w:sz w:val="18"/>
        </w:rPr>
        <w:t>相当于</w:t>
      </w:r>
      <w:r>
        <w:rPr>
          <w:sz w:val="18"/>
        </w:rPr>
        <w:t>Ann</w:t>
      </w:r>
      <w:r>
        <w:rPr>
          <w:spacing w:val="0"/>
          <w:sz w:val="18"/>
        </w:rPr>
        <w:t> </w:t>
      </w:r>
      <w:r>
        <w:rPr>
          <w:sz w:val="18"/>
        </w:rPr>
        <w:t>Arbor</w:t>
      </w:r>
      <w:r>
        <w:rPr>
          <w:spacing w:val="-1"/>
          <w:sz w:val="18"/>
        </w:rPr>
        <w:t> 分期方案</w:t>
      </w:r>
      <w:r>
        <w:rPr>
          <w:sz w:val="18"/>
        </w:rPr>
        <w:t>I</w:t>
      </w:r>
      <w:r>
        <w:rPr>
          <w:spacing w:val="-7"/>
          <w:sz w:val="18"/>
        </w:rPr>
        <w:t> 期程度的何杰金氏病；</w:t>
      </w:r>
    </w:p>
    <w:p>
      <w:pPr>
        <w:pStyle w:val="ListParagraph"/>
        <w:numPr>
          <w:ilvl w:val="1"/>
          <w:numId w:val="12"/>
        </w:numPr>
        <w:tabs>
          <w:tab w:pos="2883" w:val="left" w:leader="none"/>
        </w:tabs>
        <w:spacing w:line="240" w:lineRule="auto" w:before="75" w:after="0"/>
        <w:ind w:left="2882" w:right="0" w:hanging="360"/>
        <w:jc w:val="left"/>
        <w:rPr>
          <w:sz w:val="18"/>
        </w:rPr>
      </w:pPr>
      <w:r>
        <w:rPr>
          <w:sz w:val="18"/>
        </w:rPr>
        <w:t>皮肤癌（不包括恶性黑色素瘤及已发生转移的皮肤癌</w:t>
      </w:r>
      <w:r>
        <w:rPr>
          <w:spacing w:val="-90"/>
          <w:sz w:val="18"/>
        </w:rPr>
        <w:t>）</w:t>
      </w:r>
      <w:r>
        <w:rPr>
          <w:sz w:val="18"/>
        </w:rPr>
        <w:t>；</w:t>
      </w:r>
    </w:p>
    <w:p>
      <w:pPr>
        <w:pStyle w:val="BodyText"/>
        <w:spacing w:before="1"/>
        <w:rPr>
          <w:sz w:val="23"/>
        </w:rPr>
      </w:pPr>
    </w:p>
    <w:p>
      <w:pPr>
        <w:pStyle w:val="ListParagraph"/>
        <w:numPr>
          <w:ilvl w:val="0"/>
          <w:numId w:val="12"/>
        </w:numPr>
        <w:tabs>
          <w:tab w:pos="524" w:val="left" w:leader="none"/>
          <w:tab w:pos="525" w:val="left" w:leader="none"/>
          <w:tab w:pos="2522" w:val="left" w:leader="none"/>
        </w:tabs>
        <w:spacing w:line="240" w:lineRule="auto" w:before="0" w:after="0"/>
        <w:ind w:left="2522" w:right="0" w:hanging="2418"/>
        <w:jc w:val="left"/>
        <w:rPr>
          <w:sz w:val="18"/>
        </w:rPr>
      </w:pPr>
      <w:r>
        <w:rPr>
          <w:b/>
          <w:sz w:val="18"/>
        </w:rPr>
        <w:t>急性心肌梗塞</w:t>
        <w:tab/>
      </w:r>
      <w:r>
        <w:rPr>
          <w:sz w:val="18"/>
        </w:rPr>
        <w:t>指因冠状动脉阻塞导致的相应区域供血不足造成部分心肌坏死。须满足下列至少三项条件：</w:t>
      </w:r>
    </w:p>
    <w:p>
      <w:pPr>
        <w:pStyle w:val="ListParagraph"/>
        <w:numPr>
          <w:ilvl w:val="1"/>
          <w:numId w:val="12"/>
        </w:numPr>
        <w:tabs>
          <w:tab w:pos="2863" w:val="left" w:leader="none"/>
        </w:tabs>
        <w:spacing w:line="240" w:lineRule="auto" w:before="75" w:after="0"/>
        <w:ind w:left="2862" w:right="0" w:hanging="340"/>
        <w:jc w:val="left"/>
        <w:rPr>
          <w:sz w:val="18"/>
        </w:rPr>
      </w:pPr>
      <w:r>
        <w:rPr>
          <w:sz w:val="18"/>
        </w:rPr>
        <w:t>典型临床表现，例如急性胸痛等；</w:t>
      </w:r>
    </w:p>
    <w:p>
      <w:pPr>
        <w:pStyle w:val="ListParagraph"/>
        <w:numPr>
          <w:ilvl w:val="1"/>
          <w:numId w:val="12"/>
        </w:numPr>
        <w:tabs>
          <w:tab w:pos="2863" w:val="left" w:leader="none"/>
        </w:tabs>
        <w:spacing w:line="240" w:lineRule="auto" w:before="75" w:after="0"/>
        <w:ind w:left="2862" w:right="0" w:hanging="340"/>
        <w:jc w:val="left"/>
        <w:rPr>
          <w:sz w:val="18"/>
        </w:rPr>
      </w:pPr>
      <w:r>
        <w:rPr>
          <w:sz w:val="18"/>
        </w:rPr>
        <w:t>新近的心电图改变提示急性心肌梗塞；</w:t>
      </w:r>
    </w:p>
    <w:p>
      <w:pPr>
        <w:pStyle w:val="ListParagraph"/>
        <w:numPr>
          <w:ilvl w:val="1"/>
          <w:numId w:val="12"/>
        </w:numPr>
        <w:tabs>
          <w:tab w:pos="2863" w:val="left" w:leader="none"/>
        </w:tabs>
        <w:spacing w:line="240" w:lineRule="auto" w:before="75" w:after="0"/>
        <w:ind w:left="2862" w:right="0" w:hanging="340"/>
        <w:jc w:val="left"/>
        <w:rPr>
          <w:sz w:val="18"/>
        </w:rPr>
      </w:pPr>
      <w:r>
        <w:rPr>
          <w:sz w:val="18"/>
        </w:rPr>
        <w:t>心肌酶或肌钙蛋白有诊断意义的升高，或呈符合急性心肌梗塞的动态性变化；</w:t>
      </w:r>
    </w:p>
    <w:p>
      <w:pPr>
        <w:pStyle w:val="ListParagraph"/>
        <w:numPr>
          <w:ilvl w:val="1"/>
          <w:numId w:val="12"/>
        </w:numPr>
        <w:tabs>
          <w:tab w:pos="2883" w:val="left" w:leader="none"/>
        </w:tabs>
        <w:spacing w:line="240" w:lineRule="auto" w:before="75" w:after="0"/>
        <w:ind w:left="2882" w:right="0" w:hanging="360"/>
        <w:jc w:val="left"/>
        <w:rPr>
          <w:sz w:val="18"/>
        </w:rPr>
      </w:pPr>
      <w:r>
        <w:rPr>
          <w:spacing w:val="-16"/>
          <w:sz w:val="18"/>
        </w:rPr>
        <w:t>发病 </w:t>
      </w:r>
      <w:r>
        <w:rPr>
          <w:sz w:val="18"/>
        </w:rPr>
        <w:t>90</w:t>
      </w:r>
      <w:r>
        <w:rPr>
          <w:spacing w:val="-9"/>
          <w:sz w:val="18"/>
        </w:rPr>
        <w:t> 天后，经检查证实左心室功能降低，如左心室射血分数低于 </w:t>
      </w:r>
      <w:r>
        <w:rPr>
          <w:sz w:val="18"/>
        </w:rPr>
        <w:t>50%。</w:t>
      </w:r>
    </w:p>
    <w:p>
      <w:pPr>
        <w:pStyle w:val="BodyText"/>
        <w:spacing w:before="1"/>
        <w:rPr>
          <w:sz w:val="23"/>
        </w:rPr>
      </w:pPr>
    </w:p>
    <w:p>
      <w:pPr>
        <w:pStyle w:val="ListParagraph"/>
        <w:numPr>
          <w:ilvl w:val="0"/>
          <w:numId w:val="12"/>
        </w:numPr>
        <w:tabs>
          <w:tab w:pos="525" w:val="left" w:leader="none"/>
        </w:tabs>
        <w:spacing w:line="316" w:lineRule="auto" w:before="0" w:after="0"/>
        <w:ind w:left="2522" w:right="116" w:hanging="2418"/>
        <w:jc w:val="both"/>
        <w:rPr>
          <w:sz w:val="18"/>
        </w:rPr>
      </w:pPr>
      <w:r>
        <w:rPr>
          <w:b/>
          <w:sz w:val="18"/>
        </w:rPr>
        <w:t>脑中风后遗症         </w:t>
      </w:r>
      <w:r>
        <w:rPr>
          <w:spacing w:val="-3"/>
          <w:sz w:val="18"/>
        </w:rPr>
        <w:t>指因脑血管的突发病变引起脑血管出血、栓塞或梗塞，并导致神经系统永久性功能障碍。神经</w:t>
      </w:r>
      <w:r>
        <w:rPr>
          <w:spacing w:val="-6"/>
          <w:sz w:val="18"/>
        </w:rPr>
        <w:t>系统永久性的功能障碍，指疾病确诊 </w:t>
      </w:r>
      <w:r>
        <w:rPr>
          <w:sz w:val="18"/>
        </w:rPr>
        <w:t>180</w:t>
      </w:r>
      <w:r>
        <w:rPr>
          <w:spacing w:val="-7"/>
          <w:sz w:val="18"/>
        </w:rPr>
        <w:t> 天后，仍遗留下列一种或一种以上障碍：</w:t>
      </w:r>
    </w:p>
    <w:p>
      <w:pPr>
        <w:pStyle w:val="ListParagraph"/>
        <w:numPr>
          <w:ilvl w:val="1"/>
          <w:numId w:val="12"/>
        </w:numPr>
        <w:tabs>
          <w:tab w:pos="2920" w:val="left" w:leader="none"/>
        </w:tabs>
        <w:spacing w:line="240" w:lineRule="auto" w:before="18" w:after="0"/>
        <w:ind w:left="2846" w:right="0" w:hanging="324"/>
        <w:jc w:val="left"/>
        <w:rPr>
          <w:sz w:val="18"/>
        </w:rPr>
      </w:pPr>
      <w:r>
        <w:rPr>
          <w:sz w:val="18"/>
        </w:rPr>
        <w:t>一肢或一肢以上</w:t>
      </w:r>
      <w:r>
        <w:rPr>
          <w:b/>
          <w:w w:val="99"/>
          <w:sz w:val="18"/>
        </w:rPr>
        <w:t>肢体机能完全丧失</w:t>
      </w:r>
      <w:r>
        <w:rPr>
          <w:sz w:val="18"/>
        </w:rPr>
        <w:t>（</w:t>
      </w:r>
      <w:r>
        <w:rPr>
          <w:spacing w:val="-23"/>
          <w:sz w:val="18"/>
        </w:rPr>
        <w:t>注 </w:t>
      </w:r>
      <w:r>
        <w:rPr>
          <w:sz w:val="18"/>
        </w:rPr>
        <w:t>2</w:t>
      </w:r>
      <w:r>
        <w:rPr>
          <w:spacing w:val="-92"/>
          <w:sz w:val="18"/>
        </w:rPr>
        <w:t>）</w:t>
      </w:r>
      <w:r>
        <w:rPr>
          <w:sz w:val="18"/>
        </w:rPr>
        <w:t>；</w:t>
      </w:r>
    </w:p>
    <w:p>
      <w:pPr>
        <w:pStyle w:val="ListParagraph"/>
        <w:numPr>
          <w:ilvl w:val="1"/>
          <w:numId w:val="12"/>
        </w:numPr>
        <w:tabs>
          <w:tab w:pos="2920" w:val="left" w:leader="none"/>
        </w:tabs>
        <w:spacing w:line="240" w:lineRule="auto" w:before="76" w:after="0"/>
        <w:ind w:left="2846" w:right="0" w:hanging="324"/>
        <w:jc w:val="left"/>
        <w:rPr>
          <w:sz w:val="18"/>
        </w:rPr>
      </w:pPr>
      <w:r>
        <w:rPr>
          <w:b/>
          <w:w w:val="99"/>
          <w:sz w:val="18"/>
        </w:rPr>
        <w:t>语言能力或咀嚼吞咽能力完全丧失</w:t>
      </w:r>
      <w:r>
        <w:rPr>
          <w:sz w:val="18"/>
        </w:rPr>
        <w:t>（</w:t>
      </w:r>
      <w:r>
        <w:rPr>
          <w:spacing w:val="43"/>
          <w:sz w:val="18"/>
        </w:rPr>
        <w:t>注</w:t>
      </w:r>
      <w:r>
        <w:rPr>
          <w:sz w:val="18"/>
        </w:rPr>
        <w:t>3</w:t>
      </w:r>
      <w:r>
        <w:rPr>
          <w:spacing w:val="-24"/>
          <w:sz w:val="18"/>
        </w:rPr>
        <w:t> 和注 </w:t>
      </w:r>
      <w:r>
        <w:rPr>
          <w:sz w:val="18"/>
        </w:rPr>
        <w:t>4</w:t>
      </w:r>
      <w:r>
        <w:rPr>
          <w:spacing w:val="-91"/>
          <w:sz w:val="18"/>
        </w:rPr>
        <w:t>）</w:t>
      </w:r>
      <w:r>
        <w:rPr>
          <w:sz w:val="18"/>
        </w:rPr>
        <w:t>；</w:t>
      </w:r>
    </w:p>
    <w:p>
      <w:pPr>
        <w:pStyle w:val="ListParagraph"/>
        <w:numPr>
          <w:ilvl w:val="1"/>
          <w:numId w:val="12"/>
        </w:numPr>
        <w:tabs>
          <w:tab w:pos="2883" w:val="left" w:leader="none"/>
        </w:tabs>
        <w:spacing w:line="316" w:lineRule="auto" w:before="76" w:after="0"/>
        <w:ind w:left="2846" w:right="118" w:hanging="324"/>
        <w:jc w:val="left"/>
        <w:rPr>
          <w:sz w:val="18"/>
        </w:rPr>
      </w:pPr>
      <w:r>
        <w:rPr>
          <w:sz w:val="18"/>
        </w:rPr>
        <w:t>自主生活能力完全丧失，无法独立完成</w:t>
      </w:r>
      <w:r>
        <w:rPr>
          <w:b/>
          <w:sz w:val="18"/>
        </w:rPr>
        <w:t>六项基本日常生活活动</w:t>
      </w:r>
      <w:r>
        <w:rPr>
          <w:sz w:val="18"/>
        </w:rPr>
        <w:t>（</w:t>
      </w:r>
      <w:r>
        <w:rPr>
          <w:spacing w:val="-24"/>
          <w:sz w:val="18"/>
        </w:rPr>
        <w:t>注 </w:t>
      </w:r>
      <w:r>
        <w:rPr>
          <w:sz w:val="18"/>
        </w:rPr>
        <w:t>5）中的三项或三项以上。</w:t>
      </w:r>
    </w:p>
    <w:p>
      <w:pPr>
        <w:pStyle w:val="BodyText"/>
        <w:spacing w:before="3"/>
        <w:rPr>
          <w:sz w:val="15"/>
        </w:rPr>
      </w:pPr>
    </w:p>
    <w:p>
      <w:pPr>
        <w:spacing w:after="0"/>
        <w:rPr>
          <w:sz w:val="15"/>
        </w:rPr>
        <w:sectPr>
          <w:pgSz w:w="11910" w:h="16840"/>
          <w:pgMar w:header="877" w:footer="981" w:top="1100" w:bottom="1180" w:left="1080" w:right="840"/>
        </w:sectPr>
      </w:pPr>
    </w:p>
    <w:p>
      <w:pPr>
        <w:pStyle w:val="Heading4"/>
        <w:numPr>
          <w:ilvl w:val="0"/>
          <w:numId w:val="12"/>
        </w:numPr>
        <w:tabs>
          <w:tab w:pos="524" w:val="left" w:leader="none"/>
          <w:tab w:pos="525" w:val="left" w:leader="none"/>
        </w:tabs>
        <w:spacing w:line="316" w:lineRule="auto" w:before="45" w:after="0"/>
        <w:ind w:left="524" w:right="0" w:hanging="420"/>
        <w:jc w:val="left"/>
      </w:pPr>
      <w:r>
        <w:rPr>
          <w:spacing w:val="18"/>
          <w:w w:val="95"/>
        </w:rPr>
        <w:t>重大器官移植术或造</w:t>
      </w:r>
      <w:r>
        <w:rPr>
          <w:w w:val="95"/>
        </w:rPr>
        <w:t>血干细胞移植术</w:t>
      </w:r>
    </w:p>
    <w:p>
      <w:pPr>
        <w:pStyle w:val="BodyText"/>
        <w:spacing w:line="316" w:lineRule="auto" w:before="45"/>
        <w:ind w:left="104" w:right="117"/>
      </w:pPr>
      <w:r>
        <w:rPr/>
        <w:br w:type="column"/>
      </w:r>
      <w:r>
        <w:rPr>
          <w:spacing w:val="-5"/>
        </w:rPr>
        <w:t>重大器官移植术，指因相应器官功能衰竭，已经实施了肾脏、肝脏、心脏或肺脏的异体移植手术。</w:t>
      </w:r>
    </w:p>
    <w:p>
      <w:pPr>
        <w:pStyle w:val="BodyText"/>
        <w:spacing w:line="316" w:lineRule="auto" w:before="19"/>
        <w:ind w:left="104" w:right="71"/>
      </w:pPr>
      <w:r>
        <w:rPr/>
        <w:t>造血干细胞移植术，指因造血功能损害或造血系统恶性肿瘤，已经实施了造血干细胞（包括骨髓造血干细胞、外周血造血干细胞和脐血造血干细胞）的异体移植手术。</w:t>
      </w:r>
    </w:p>
    <w:p>
      <w:pPr>
        <w:spacing w:after="0" w:line="316" w:lineRule="auto"/>
        <w:sectPr>
          <w:type w:val="continuous"/>
          <w:pgSz w:w="11910" w:h="16840"/>
          <w:pgMar w:top="1040" w:bottom="1180" w:left="1080" w:right="840"/>
          <w:cols w:num="2" w:equalWidth="0">
            <w:col w:w="2327" w:space="91"/>
            <w:col w:w="7572"/>
          </w:cols>
        </w:sectPr>
      </w:pPr>
    </w:p>
    <w:p>
      <w:pPr>
        <w:pStyle w:val="BodyText"/>
        <w:spacing w:before="5"/>
        <w:rPr>
          <w:sz w:val="15"/>
        </w:rPr>
      </w:pPr>
    </w:p>
    <w:p>
      <w:pPr>
        <w:pStyle w:val="ListParagraph"/>
        <w:numPr>
          <w:ilvl w:val="0"/>
          <w:numId w:val="12"/>
        </w:numPr>
        <w:tabs>
          <w:tab w:pos="524" w:val="left" w:leader="none"/>
          <w:tab w:pos="525" w:val="left" w:leader="none"/>
          <w:tab w:pos="2522" w:val="left" w:leader="none"/>
        </w:tabs>
        <w:spacing w:line="240" w:lineRule="auto" w:before="44" w:after="0"/>
        <w:ind w:left="2522" w:right="0" w:hanging="2418"/>
        <w:jc w:val="left"/>
        <w:rPr>
          <w:sz w:val="18"/>
        </w:rPr>
      </w:pPr>
      <w:r>
        <w:rPr>
          <w:b/>
          <w:sz w:val="18"/>
        </w:rPr>
        <w:t>冠状动脉搭桥术</w:t>
        <w:tab/>
      </w:r>
      <w:r>
        <w:rPr>
          <w:sz w:val="18"/>
        </w:rPr>
        <w:t>指为治疗严重的冠心病，实际实施了开胸进行的冠状动脉血管旁路移植的手术。</w:t>
      </w:r>
    </w:p>
    <w:p>
      <w:pPr>
        <w:pStyle w:val="BodyText"/>
        <w:spacing w:line="316" w:lineRule="auto"/>
        <w:ind w:left="2522" w:right="81"/>
      </w:pPr>
      <w:r>
        <w:rPr/>
        <w:t>冠状动脉支架植入术、心导管球囊扩张术、激光射频技术及其它非开胸的介入手术、腔镜手术不在保障范围内。</w:t>
      </w:r>
    </w:p>
    <w:p>
      <w:pPr>
        <w:pStyle w:val="BodyText"/>
        <w:spacing w:before="11"/>
      </w:pPr>
    </w:p>
    <w:p>
      <w:pPr>
        <w:pStyle w:val="ListParagraph"/>
        <w:numPr>
          <w:ilvl w:val="0"/>
          <w:numId w:val="12"/>
        </w:numPr>
        <w:tabs>
          <w:tab w:pos="524" w:val="left" w:leader="none"/>
          <w:tab w:pos="525" w:val="left" w:leader="none"/>
          <w:tab w:pos="2522" w:val="left" w:leader="none"/>
        </w:tabs>
        <w:spacing w:line="316" w:lineRule="auto" w:before="0" w:after="0"/>
        <w:ind w:left="2522" w:right="169" w:hanging="2418"/>
        <w:jc w:val="left"/>
        <w:rPr>
          <w:sz w:val="18"/>
        </w:rPr>
      </w:pPr>
      <w:r>
        <w:rPr>
          <w:b/>
          <w:sz w:val="18"/>
        </w:rPr>
        <w:t>终末期肾病</w:t>
        <w:tab/>
      </w:r>
      <w:r>
        <w:rPr>
          <w:sz w:val="18"/>
        </w:rPr>
        <w:t>指双肾功能慢性不可逆性衰竭，达到尿毒症期，经诊断后已经进行了至少</w:t>
      </w:r>
      <w:r>
        <w:rPr>
          <w:spacing w:val="-46"/>
          <w:sz w:val="18"/>
        </w:rPr>
        <w:t> </w:t>
      </w:r>
      <w:r>
        <w:rPr>
          <w:sz w:val="18"/>
        </w:rPr>
        <w:t>90</w:t>
      </w:r>
      <w:r>
        <w:rPr>
          <w:spacing w:val="-46"/>
          <w:sz w:val="18"/>
        </w:rPr>
        <w:t> </w:t>
      </w:r>
      <w:r>
        <w:rPr>
          <w:sz w:val="18"/>
        </w:rPr>
        <w:t>天的规律性透析治疗或实施了肾脏移植手术。</w:t>
      </w:r>
    </w:p>
    <w:p>
      <w:pPr>
        <w:pStyle w:val="BodyText"/>
        <w:spacing w:before="9"/>
      </w:pPr>
    </w:p>
    <w:p>
      <w:pPr>
        <w:pStyle w:val="ListParagraph"/>
        <w:numPr>
          <w:ilvl w:val="0"/>
          <w:numId w:val="12"/>
        </w:numPr>
        <w:tabs>
          <w:tab w:pos="524" w:val="left" w:leader="none"/>
          <w:tab w:pos="525" w:val="left" w:leader="none"/>
          <w:tab w:pos="2522" w:val="left" w:leader="none"/>
        </w:tabs>
        <w:spacing w:line="316" w:lineRule="auto" w:before="0" w:after="0"/>
        <w:ind w:left="2522" w:right="115" w:hanging="2418"/>
        <w:jc w:val="left"/>
        <w:rPr>
          <w:sz w:val="18"/>
        </w:rPr>
      </w:pPr>
      <w:r>
        <w:rPr>
          <w:b/>
          <w:sz w:val="18"/>
        </w:rPr>
        <w:t>多个肢体缺失</w:t>
        <w:tab/>
      </w:r>
      <w:r>
        <w:rPr>
          <w:sz w:val="18"/>
        </w:rPr>
        <w:t>指因疾病或意外伤害导致两个或两个以上肢体自腕关节或踝关节近</w:t>
      </w:r>
      <w:r>
        <w:rPr>
          <w:spacing w:val="-18"/>
          <w:sz w:val="18"/>
        </w:rPr>
        <w:t>端</w:t>
      </w:r>
      <w:r>
        <w:rPr>
          <w:sz w:val="18"/>
        </w:rPr>
        <w:t>（靠近躯干端</w:t>
      </w:r>
      <w:r>
        <w:rPr>
          <w:spacing w:val="-18"/>
          <w:sz w:val="18"/>
        </w:rPr>
        <w:t>）</w:t>
      </w:r>
      <w:r>
        <w:rPr>
          <w:sz w:val="18"/>
        </w:rPr>
        <w:t>以上完全性断离。</w:t>
      </w:r>
    </w:p>
    <w:p>
      <w:pPr>
        <w:pStyle w:val="BodyText"/>
        <w:spacing w:before="4"/>
        <w:rPr>
          <w:sz w:val="15"/>
        </w:rPr>
      </w:pPr>
    </w:p>
    <w:p>
      <w:pPr>
        <w:spacing w:after="0"/>
        <w:rPr>
          <w:sz w:val="15"/>
        </w:rPr>
        <w:sectPr>
          <w:type w:val="continuous"/>
          <w:pgSz w:w="11910" w:h="16840"/>
          <w:pgMar w:top="1040" w:bottom="1180" w:left="1080" w:right="840"/>
        </w:sectPr>
      </w:pPr>
    </w:p>
    <w:p>
      <w:pPr>
        <w:pStyle w:val="Heading4"/>
        <w:numPr>
          <w:ilvl w:val="0"/>
          <w:numId w:val="12"/>
        </w:numPr>
        <w:tabs>
          <w:tab w:pos="524" w:val="left" w:leader="none"/>
          <w:tab w:pos="525" w:val="left" w:leader="none"/>
        </w:tabs>
        <w:spacing w:line="316" w:lineRule="auto" w:before="44" w:after="0"/>
        <w:ind w:left="524" w:right="0" w:hanging="420"/>
        <w:jc w:val="left"/>
      </w:pPr>
      <w:r>
        <w:rPr>
          <w:spacing w:val="18"/>
          <w:w w:val="95"/>
        </w:rPr>
        <w:t>急性或亚急性重症肝</w:t>
      </w:r>
      <w:r>
        <w:rPr/>
        <w:t>炎</w:t>
      </w:r>
    </w:p>
    <w:p>
      <w:pPr>
        <w:pStyle w:val="BodyText"/>
        <w:spacing w:line="316" w:lineRule="auto" w:before="44"/>
        <w:ind w:left="104" w:right="61"/>
      </w:pPr>
      <w:r>
        <w:rPr/>
        <w:br w:type="column"/>
      </w:r>
      <w:r>
        <w:rPr/>
        <w:t>指因肝炎病毒感染引起肝脏组织弥漫性坏死，导致急性肝功能衰竭，且经血清学或病毒学检查证实，并须满足下列全部条件：</w:t>
      </w:r>
    </w:p>
    <w:p>
      <w:pPr>
        <w:spacing w:after="0" w:line="316" w:lineRule="auto"/>
        <w:sectPr>
          <w:type w:val="continuous"/>
          <w:pgSz w:w="11910" w:h="16840"/>
          <w:pgMar w:top="1040" w:bottom="1180" w:left="1080" w:right="840"/>
          <w:cols w:num="2" w:equalWidth="0">
            <w:col w:w="2327" w:space="91"/>
            <w:col w:w="7572"/>
          </w:cols>
        </w:sectPr>
      </w:pPr>
    </w:p>
    <w:p>
      <w:pPr>
        <w:pStyle w:val="BodyText"/>
        <w:spacing w:before="3"/>
        <w:rPr>
          <w:sz w:val="20"/>
        </w:rPr>
      </w:pPr>
    </w:p>
    <w:p>
      <w:pPr>
        <w:pStyle w:val="ListParagraph"/>
        <w:numPr>
          <w:ilvl w:val="1"/>
          <w:numId w:val="12"/>
        </w:numPr>
        <w:tabs>
          <w:tab w:pos="2863" w:val="left" w:leader="none"/>
        </w:tabs>
        <w:spacing w:line="240" w:lineRule="auto" w:before="44" w:after="0"/>
        <w:ind w:left="2862" w:right="0" w:hanging="340"/>
        <w:jc w:val="left"/>
        <w:rPr>
          <w:sz w:val="18"/>
        </w:rPr>
      </w:pPr>
      <w:r>
        <w:rPr>
          <w:sz w:val="18"/>
        </w:rPr>
        <w:t>重度黄疸或黄疸迅速加重；</w:t>
      </w:r>
    </w:p>
    <w:p>
      <w:pPr>
        <w:pStyle w:val="ListParagraph"/>
        <w:numPr>
          <w:ilvl w:val="1"/>
          <w:numId w:val="12"/>
        </w:numPr>
        <w:tabs>
          <w:tab w:pos="2863" w:val="left" w:leader="none"/>
        </w:tabs>
        <w:spacing w:line="240" w:lineRule="auto" w:before="76" w:after="0"/>
        <w:ind w:left="2862" w:right="0" w:hanging="340"/>
        <w:jc w:val="left"/>
        <w:rPr>
          <w:sz w:val="18"/>
        </w:rPr>
      </w:pPr>
      <w:r>
        <w:rPr>
          <w:sz w:val="18"/>
        </w:rPr>
        <w:t>肝性脑病；</w:t>
      </w:r>
    </w:p>
    <w:p>
      <w:pPr>
        <w:pStyle w:val="ListParagraph"/>
        <w:numPr>
          <w:ilvl w:val="1"/>
          <w:numId w:val="12"/>
        </w:numPr>
        <w:tabs>
          <w:tab w:pos="2863" w:val="left" w:leader="none"/>
        </w:tabs>
        <w:spacing w:line="240" w:lineRule="auto" w:before="76" w:after="0"/>
        <w:ind w:left="2862" w:right="0" w:hanging="340"/>
        <w:jc w:val="left"/>
        <w:rPr>
          <w:sz w:val="18"/>
        </w:rPr>
      </w:pPr>
      <w:r>
        <w:rPr>
          <w:sz w:val="18"/>
        </w:rPr>
        <w:t>B</w:t>
      </w:r>
      <w:r>
        <w:rPr>
          <w:spacing w:val="-7"/>
          <w:sz w:val="18"/>
        </w:rPr>
        <w:t> 超或其他影像学检查显示肝脏体积急速萎缩；</w:t>
      </w:r>
    </w:p>
    <w:p>
      <w:pPr>
        <w:pStyle w:val="ListParagraph"/>
        <w:numPr>
          <w:ilvl w:val="1"/>
          <w:numId w:val="12"/>
        </w:numPr>
        <w:tabs>
          <w:tab w:pos="2883" w:val="left" w:leader="none"/>
        </w:tabs>
        <w:spacing w:line="240" w:lineRule="auto" w:before="76" w:after="0"/>
        <w:ind w:left="2882" w:right="0" w:hanging="360"/>
        <w:jc w:val="left"/>
        <w:rPr>
          <w:sz w:val="18"/>
        </w:rPr>
      </w:pPr>
      <w:r>
        <w:rPr>
          <w:sz w:val="18"/>
        </w:rPr>
        <w:t>肝功能指标进行性恶化。</w:t>
      </w:r>
    </w:p>
    <w:p>
      <w:pPr>
        <w:pStyle w:val="BodyText"/>
        <w:spacing w:before="2"/>
        <w:rPr>
          <w:sz w:val="23"/>
        </w:rPr>
      </w:pPr>
    </w:p>
    <w:p>
      <w:pPr>
        <w:pStyle w:val="ListParagraph"/>
        <w:numPr>
          <w:ilvl w:val="0"/>
          <w:numId w:val="12"/>
        </w:numPr>
        <w:tabs>
          <w:tab w:pos="525" w:val="left" w:leader="none"/>
          <w:tab w:pos="2522" w:val="left" w:leader="none"/>
        </w:tabs>
        <w:spacing w:line="316" w:lineRule="auto" w:before="0" w:after="0"/>
        <w:ind w:left="2522" w:right="135" w:hanging="2418"/>
        <w:jc w:val="both"/>
        <w:rPr>
          <w:sz w:val="18"/>
        </w:rPr>
      </w:pPr>
      <w:r>
        <w:rPr>
          <w:b/>
          <w:sz w:val="18"/>
        </w:rPr>
        <w:t>良性脑肿瘤</w:t>
        <w:tab/>
      </w:r>
      <w:r>
        <w:rPr>
          <w:sz w:val="18"/>
        </w:rPr>
        <w:t>指脑的良性肿瘤</w:t>
      </w:r>
      <w:r>
        <w:rPr>
          <w:spacing w:val="-10"/>
          <w:sz w:val="18"/>
        </w:rPr>
        <w:t>，</w:t>
      </w:r>
      <w:r>
        <w:rPr>
          <w:sz w:val="18"/>
        </w:rPr>
        <w:t>已经引起颅内压增高</w:t>
      </w:r>
      <w:r>
        <w:rPr>
          <w:spacing w:val="-10"/>
          <w:sz w:val="18"/>
        </w:rPr>
        <w:t>，</w:t>
      </w:r>
      <w:r>
        <w:rPr>
          <w:sz w:val="18"/>
        </w:rPr>
        <w:t>临床表现为视神经乳头水肿</w:t>
      </w:r>
      <w:r>
        <w:rPr>
          <w:spacing w:val="-9"/>
          <w:sz w:val="18"/>
        </w:rPr>
        <w:t>、</w:t>
      </w:r>
      <w:r>
        <w:rPr>
          <w:sz w:val="18"/>
        </w:rPr>
        <w:t>精神症状</w:t>
      </w:r>
      <w:r>
        <w:rPr>
          <w:spacing w:val="-10"/>
          <w:sz w:val="18"/>
        </w:rPr>
        <w:t>、</w:t>
      </w:r>
      <w:r>
        <w:rPr>
          <w:sz w:val="18"/>
        </w:rPr>
        <w:t>癫痫及运动感觉障碍等</w:t>
      </w:r>
      <w:r>
        <w:rPr>
          <w:spacing w:val="-6"/>
          <w:sz w:val="18"/>
        </w:rPr>
        <w:t>，</w:t>
      </w:r>
      <w:r>
        <w:rPr>
          <w:sz w:val="18"/>
        </w:rPr>
        <w:t>并危及生命</w:t>
      </w:r>
      <w:r>
        <w:rPr>
          <w:spacing w:val="-6"/>
          <w:sz w:val="18"/>
        </w:rPr>
        <w:t>。</w:t>
      </w:r>
      <w:r>
        <w:rPr>
          <w:sz w:val="18"/>
        </w:rPr>
        <w:t>须由头颅断层扫</w:t>
      </w:r>
      <w:r>
        <w:rPr>
          <w:spacing w:val="-6"/>
          <w:sz w:val="18"/>
        </w:rPr>
        <w:t>描</w:t>
      </w:r>
      <w:r>
        <w:rPr>
          <w:sz w:val="18"/>
        </w:rPr>
        <w:t>（CT</w:t>
      </w:r>
      <w:r>
        <w:rPr>
          <w:spacing w:val="-91"/>
          <w:sz w:val="18"/>
        </w:rPr>
        <w:t>）</w:t>
      </w:r>
      <w:r>
        <w:rPr>
          <w:spacing w:val="-6"/>
          <w:sz w:val="18"/>
        </w:rPr>
        <w:t>、</w:t>
      </w:r>
      <w:r>
        <w:rPr>
          <w:sz w:val="18"/>
        </w:rPr>
        <w:t>核磁共振检</w:t>
      </w:r>
      <w:r>
        <w:rPr>
          <w:spacing w:val="-6"/>
          <w:sz w:val="18"/>
        </w:rPr>
        <w:t>查</w:t>
      </w:r>
      <w:r>
        <w:rPr>
          <w:sz w:val="18"/>
        </w:rPr>
        <w:t>（MRI</w:t>
      </w:r>
      <w:r>
        <w:rPr>
          <w:spacing w:val="-6"/>
          <w:sz w:val="18"/>
        </w:rPr>
        <w:t>）</w:t>
      </w:r>
      <w:r>
        <w:rPr>
          <w:sz w:val="18"/>
        </w:rPr>
        <w:t>或正电子发射断层扫描（PET）等影像学检查证实，并须满足下列至少一项条件：</w:t>
      </w:r>
    </w:p>
    <w:p>
      <w:pPr>
        <w:pStyle w:val="ListParagraph"/>
        <w:numPr>
          <w:ilvl w:val="1"/>
          <w:numId w:val="12"/>
        </w:numPr>
        <w:tabs>
          <w:tab w:pos="2883" w:val="left" w:leader="none"/>
        </w:tabs>
        <w:spacing w:line="240" w:lineRule="auto" w:before="18" w:after="0"/>
        <w:ind w:left="2882" w:right="0" w:hanging="360"/>
        <w:jc w:val="left"/>
        <w:rPr>
          <w:sz w:val="18"/>
        </w:rPr>
      </w:pPr>
      <w:r>
        <w:rPr>
          <w:sz w:val="18"/>
        </w:rPr>
        <w:t>实际实施了开颅进行的脑肿瘤完全切除或部分切除的手术；</w:t>
      </w:r>
    </w:p>
    <w:p>
      <w:pPr>
        <w:pStyle w:val="ListParagraph"/>
        <w:numPr>
          <w:ilvl w:val="1"/>
          <w:numId w:val="12"/>
        </w:numPr>
        <w:tabs>
          <w:tab w:pos="2883" w:val="left" w:leader="none"/>
        </w:tabs>
        <w:spacing w:line="240" w:lineRule="auto" w:before="76" w:after="0"/>
        <w:ind w:left="2882" w:right="0" w:hanging="360"/>
        <w:jc w:val="left"/>
        <w:rPr>
          <w:sz w:val="18"/>
        </w:rPr>
      </w:pPr>
      <w:r>
        <w:rPr>
          <w:sz w:val="18"/>
        </w:rPr>
        <w:t>实际实施了对脑肿瘤进行的放射治疗。</w:t>
      </w:r>
    </w:p>
    <w:p>
      <w:pPr>
        <w:pStyle w:val="BodyText"/>
        <w:ind w:left="2522"/>
      </w:pPr>
      <w:r>
        <w:rPr/>
        <w:t>脑垂体瘤、脑囊肿、脑血管性疾病不在保障范围内。</w:t>
      </w:r>
    </w:p>
    <w:p>
      <w:pPr>
        <w:pStyle w:val="BodyText"/>
        <w:spacing w:before="9"/>
        <w:rPr>
          <w:sz w:val="19"/>
        </w:rPr>
      </w:pPr>
    </w:p>
    <w:p>
      <w:pPr>
        <w:spacing w:after="0"/>
        <w:rPr>
          <w:sz w:val="19"/>
        </w:rPr>
        <w:sectPr>
          <w:pgSz w:w="11910" w:h="16840"/>
          <w:pgMar w:header="877" w:footer="981" w:top="1100" w:bottom="1180" w:left="1080" w:right="820"/>
        </w:sectPr>
      </w:pPr>
    </w:p>
    <w:p>
      <w:pPr>
        <w:pStyle w:val="Heading4"/>
        <w:numPr>
          <w:ilvl w:val="0"/>
          <w:numId w:val="12"/>
        </w:numPr>
        <w:tabs>
          <w:tab w:pos="525" w:val="left" w:leader="none"/>
        </w:tabs>
        <w:spacing w:line="316" w:lineRule="auto" w:before="45" w:after="0"/>
        <w:ind w:left="524" w:right="0" w:hanging="420"/>
        <w:jc w:val="left"/>
      </w:pPr>
      <w:r>
        <w:rPr>
          <w:spacing w:val="18"/>
          <w:w w:val="95"/>
        </w:rPr>
        <w:t>慢性肝功能衰竭失代</w:t>
      </w:r>
      <w:r>
        <w:rPr/>
        <w:t>偿期</w:t>
      </w:r>
    </w:p>
    <w:p>
      <w:pPr>
        <w:pStyle w:val="BodyText"/>
        <w:spacing w:before="45"/>
        <w:ind w:left="104"/>
      </w:pPr>
      <w:r>
        <w:rPr/>
        <w:br w:type="column"/>
      </w:r>
      <w:r>
        <w:rPr/>
        <w:t>指因慢性肝脏疾病导致肝功能衰竭。须满足下列全部条件：</w:t>
      </w:r>
    </w:p>
    <w:p>
      <w:pPr>
        <w:pStyle w:val="ListParagraph"/>
        <w:numPr>
          <w:ilvl w:val="0"/>
          <w:numId w:val="13"/>
        </w:numPr>
        <w:tabs>
          <w:tab w:pos="445" w:val="left" w:leader="none"/>
        </w:tabs>
        <w:spacing w:line="240" w:lineRule="auto" w:before="76" w:after="0"/>
        <w:ind w:left="104" w:right="0" w:firstLine="0"/>
        <w:jc w:val="left"/>
        <w:rPr>
          <w:sz w:val="18"/>
        </w:rPr>
      </w:pPr>
      <w:r>
        <w:rPr>
          <w:sz w:val="18"/>
        </w:rPr>
        <w:t>持续性黄疸；</w:t>
      </w:r>
    </w:p>
    <w:p>
      <w:pPr>
        <w:pStyle w:val="ListParagraph"/>
        <w:numPr>
          <w:ilvl w:val="0"/>
          <w:numId w:val="13"/>
        </w:numPr>
        <w:tabs>
          <w:tab w:pos="445" w:val="left" w:leader="none"/>
        </w:tabs>
        <w:spacing w:line="240" w:lineRule="auto" w:before="76" w:after="0"/>
        <w:ind w:left="104" w:right="0" w:firstLine="0"/>
        <w:jc w:val="left"/>
        <w:rPr>
          <w:sz w:val="18"/>
        </w:rPr>
      </w:pPr>
      <w:r>
        <w:rPr>
          <w:sz w:val="18"/>
        </w:rPr>
        <w:t>腹水；</w:t>
      </w:r>
    </w:p>
    <w:p>
      <w:pPr>
        <w:pStyle w:val="ListParagraph"/>
        <w:numPr>
          <w:ilvl w:val="0"/>
          <w:numId w:val="13"/>
        </w:numPr>
        <w:tabs>
          <w:tab w:pos="445" w:val="left" w:leader="none"/>
        </w:tabs>
        <w:spacing w:line="240" w:lineRule="auto" w:before="76" w:after="0"/>
        <w:ind w:left="104" w:right="0" w:firstLine="0"/>
        <w:jc w:val="left"/>
        <w:rPr>
          <w:sz w:val="18"/>
        </w:rPr>
      </w:pPr>
      <w:r>
        <w:rPr>
          <w:sz w:val="18"/>
        </w:rPr>
        <w:t>肝性脑病；</w:t>
      </w:r>
    </w:p>
    <w:p>
      <w:pPr>
        <w:pStyle w:val="ListParagraph"/>
        <w:numPr>
          <w:ilvl w:val="0"/>
          <w:numId w:val="13"/>
        </w:numPr>
        <w:tabs>
          <w:tab w:pos="445" w:val="left" w:leader="none"/>
        </w:tabs>
        <w:spacing w:line="316" w:lineRule="auto" w:before="76" w:after="0"/>
        <w:ind w:left="104" w:right="3160" w:firstLine="0"/>
        <w:jc w:val="left"/>
        <w:rPr>
          <w:sz w:val="18"/>
        </w:rPr>
      </w:pPr>
      <w:r>
        <w:rPr>
          <w:sz w:val="18"/>
        </w:rPr>
        <w:t>充血性脾肿大伴脾功能亢进或食管胃底静脉曲张。因酗酒或药物滥用导致的肝功能衰竭不在保障范围内。</w:t>
      </w:r>
    </w:p>
    <w:p>
      <w:pPr>
        <w:spacing w:after="0" w:line="316" w:lineRule="auto"/>
        <w:jc w:val="left"/>
        <w:rPr>
          <w:sz w:val="18"/>
        </w:rPr>
        <w:sectPr>
          <w:type w:val="continuous"/>
          <w:pgSz w:w="11910" w:h="16840"/>
          <w:pgMar w:top="1040" w:bottom="1180" w:left="1080" w:right="820"/>
          <w:cols w:num="2" w:equalWidth="0">
            <w:col w:w="2327" w:space="91"/>
            <w:col w:w="7592"/>
          </w:cols>
        </w:sectPr>
      </w:pPr>
    </w:p>
    <w:p>
      <w:pPr>
        <w:pStyle w:val="BodyText"/>
        <w:spacing w:before="4"/>
        <w:rPr>
          <w:sz w:val="15"/>
        </w:rPr>
      </w:pPr>
    </w:p>
    <w:p>
      <w:pPr>
        <w:spacing w:after="0"/>
        <w:rPr>
          <w:sz w:val="15"/>
        </w:rPr>
        <w:sectPr>
          <w:type w:val="continuous"/>
          <w:pgSz w:w="11910" w:h="16840"/>
          <w:pgMar w:top="1040" w:bottom="1180" w:left="1080" w:right="820"/>
        </w:sectPr>
      </w:pPr>
    </w:p>
    <w:p>
      <w:pPr>
        <w:pStyle w:val="Heading4"/>
        <w:numPr>
          <w:ilvl w:val="0"/>
          <w:numId w:val="12"/>
        </w:numPr>
        <w:tabs>
          <w:tab w:pos="525" w:val="left" w:leader="none"/>
        </w:tabs>
        <w:spacing w:line="316" w:lineRule="auto" w:before="45" w:after="0"/>
        <w:ind w:left="524" w:right="0" w:hanging="420"/>
        <w:jc w:val="left"/>
      </w:pPr>
      <w:r>
        <w:rPr>
          <w:spacing w:val="18"/>
          <w:w w:val="95"/>
        </w:rPr>
        <w:t>脑炎后遗症或脑膜炎</w:t>
      </w:r>
      <w:r>
        <w:rPr/>
        <w:t>后遗症</w:t>
      </w:r>
    </w:p>
    <w:p>
      <w:pPr>
        <w:pStyle w:val="BodyText"/>
        <w:spacing w:line="316" w:lineRule="auto" w:before="45"/>
        <w:ind w:left="104" w:right="81"/>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14"/>
        </w:numPr>
        <w:tabs>
          <w:tab w:pos="445" w:val="left" w:leader="none"/>
        </w:tabs>
        <w:spacing w:line="240" w:lineRule="auto" w:before="18" w:after="0"/>
        <w:ind w:left="444" w:right="0" w:hanging="340"/>
        <w:jc w:val="left"/>
        <w:rPr>
          <w:sz w:val="18"/>
        </w:rPr>
      </w:pPr>
      <w:r>
        <w:rPr>
          <w:sz w:val="18"/>
        </w:rPr>
        <w:t>一肢或一肢以上肢体机能完全丧失；</w:t>
      </w:r>
    </w:p>
    <w:p>
      <w:pPr>
        <w:pStyle w:val="ListParagraph"/>
        <w:numPr>
          <w:ilvl w:val="0"/>
          <w:numId w:val="14"/>
        </w:numPr>
        <w:tabs>
          <w:tab w:pos="445" w:val="left" w:leader="none"/>
        </w:tabs>
        <w:spacing w:line="240" w:lineRule="auto" w:before="75" w:after="0"/>
        <w:ind w:left="444" w:right="0" w:hanging="340"/>
        <w:jc w:val="left"/>
        <w:rPr>
          <w:sz w:val="18"/>
        </w:rPr>
      </w:pPr>
      <w:r>
        <w:rPr>
          <w:sz w:val="18"/>
        </w:rPr>
        <w:t>语言能力或咀嚼吞咽能力完全丧失；</w:t>
      </w:r>
    </w:p>
    <w:p>
      <w:pPr>
        <w:pStyle w:val="ListParagraph"/>
        <w:numPr>
          <w:ilvl w:val="0"/>
          <w:numId w:val="14"/>
        </w:numPr>
        <w:tabs>
          <w:tab w:pos="465" w:val="left" w:leader="none"/>
        </w:tabs>
        <w:spacing w:line="240" w:lineRule="auto" w:before="75" w:after="0"/>
        <w:ind w:left="464" w:right="0" w:hanging="360"/>
        <w:jc w:val="left"/>
        <w:rPr>
          <w:sz w:val="18"/>
        </w:rPr>
      </w:pPr>
      <w:r>
        <w:rPr>
          <w:sz w:val="18"/>
        </w:rPr>
        <w:t>自主生活能力完全丧失，无法独立完成六项基本日常生活活动中的三项或三项以上。</w:t>
      </w:r>
    </w:p>
    <w:p>
      <w:pPr>
        <w:spacing w:after="0" w:line="240" w:lineRule="auto"/>
        <w:jc w:val="left"/>
        <w:rPr>
          <w:sz w:val="18"/>
        </w:rPr>
        <w:sectPr>
          <w:type w:val="continuous"/>
          <w:pgSz w:w="11910" w:h="16840"/>
          <w:pgMar w:top="1040" w:bottom="1180" w:left="1080" w:right="820"/>
          <w:cols w:num="2" w:equalWidth="0">
            <w:col w:w="2327" w:space="91"/>
            <w:col w:w="7592"/>
          </w:cols>
        </w:sectPr>
      </w:pPr>
    </w:p>
    <w:p>
      <w:pPr>
        <w:pStyle w:val="BodyText"/>
        <w:spacing w:before="9"/>
        <w:rPr>
          <w:sz w:val="19"/>
        </w:rPr>
      </w:pPr>
    </w:p>
    <w:p>
      <w:pPr>
        <w:pStyle w:val="ListParagraph"/>
        <w:numPr>
          <w:ilvl w:val="0"/>
          <w:numId w:val="12"/>
        </w:numPr>
        <w:tabs>
          <w:tab w:pos="525" w:val="left" w:leader="none"/>
          <w:tab w:pos="2522" w:val="left" w:leader="none"/>
        </w:tabs>
        <w:spacing w:line="316" w:lineRule="auto" w:before="45" w:after="0"/>
        <w:ind w:left="2522" w:right="135" w:hanging="2418"/>
        <w:jc w:val="left"/>
        <w:rPr>
          <w:sz w:val="18"/>
        </w:rPr>
      </w:pPr>
      <w:r>
        <w:rPr>
          <w:b/>
          <w:sz w:val="18"/>
        </w:rPr>
        <w:t>深度昏迷</w:t>
        <w:tab/>
      </w:r>
      <w:r>
        <w:rPr>
          <w:sz w:val="18"/>
        </w:rPr>
        <w:t>指因疾病或意外伤害导致意识丧失,对外界刺激和体内需求均无反应,昏迷程度按照格拉斯哥昏迷分级（Glasgow</w:t>
      </w:r>
      <w:r>
        <w:rPr>
          <w:spacing w:val="-18"/>
          <w:sz w:val="18"/>
        </w:rPr>
        <w:t> </w:t>
      </w:r>
      <w:r>
        <w:rPr>
          <w:sz w:val="18"/>
        </w:rPr>
        <w:t>coma</w:t>
      </w:r>
      <w:r>
        <w:rPr>
          <w:spacing w:val="-18"/>
          <w:sz w:val="18"/>
        </w:rPr>
        <w:t> </w:t>
      </w:r>
      <w:r>
        <w:rPr>
          <w:sz w:val="18"/>
        </w:rPr>
        <w:t>scale）结果为</w:t>
      </w:r>
      <w:r>
        <w:rPr>
          <w:spacing w:val="-46"/>
          <w:sz w:val="18"/>
        </w:rPr>
        <w:t> </w:t>
      </w:r>
      <w:r>
        <w:rPr>
          <w:sz w:val="18"/>
        </w:rPr>
        <w:t>5</w:t>
      </w:r>
      <w:r>
        <w:rPr>
          <w:spacing w:val="-46"/>
          <w:sz w:val="18"/>
        </w:rPr>
        <w:t> </w:t>
      </w:r>
      <w:r>
        <w:rPr>
          <w:sz w:val="18"/>
        </w:rPr>
        <w:t>分或</w:t>
      </w:r>
      <w:r>
        <w:rPr>
          <w:spacing w:val="-46"/>
          <w:sz w:val="18"/>
        </w:rPr>
        <w:t> </w:t>
      </w:r>
      <w:r>
        <w:rPr>
          <w:sz w:val="18"/>
        </w:rPr>
        <w:t>5</w:t>
      </w:r>
      <w:r>
        <w:rPr>
          <w:spacing w:val="-46"/>
          <w:sz w:val="18"/>
        </w:rPr>
        <w:t> </w:t>
      </w:r>
      <w:r>
        <w:rPr>
          <w:sz w:val="18"/>
        </w:rPr>
        <w:t>分以下，且已经持续使用呼吸机及其它生命维持系统</w:t>
      </w:r>
      <w:r>
        <w:rPr>
          <w:spacing w:val="-46"/>
          <w:sz w:val="18"/>
        </w:rPr>
        <w:t> </w:t>
      </w:r>
      <w:r>
        <w:rPr>
          <w:sz w:val="18"/>
        </w:rPr>
        <w:t>96</w:t>
      </w:r>
      <w:r>
        <w:rPr>
          <w:spacing w:val="-46"/>
          <w:sz w:val="18"/>
        </w:rPr>
        <w:t> </w:t>
      </w:r>
      <w:r>
        <w:rPr>
          <w:sz w:val="18"/>
        </w:rPr>
        <w:t>小时以上。</w:t>
      </w:r>
    </w:p>
    <w:p>
      <w:pPr>
        <w:pStyle w:val="BodyText"/>
        <w:spacing w:before="19"/>
        <w:ind w:left="2522"/>
      </w:pPr>
      <w:r>
        <w:rPr/>
        <w:t>因酗酒或药物滥用导致的深度昏迷不在保障范围内。</w:t>
      </w:r>
    </w:p>
    <w:p>
      <w:pPr>
        <w:pStyle w:val="BodyText"/>
        <w:spacing w:before="2"/>
        <w:rPr>
          <w:sz w:val="23"/>
        </w:rPr>
      </w:pPr>
    </w:p>
    <w:p>
      <w:pPr>
        <w:pStyle w:val="ListParagraph"/>
        <w:numPr>
          <w:ilvl w:val="0"/>
          <w:numId w:val="12"/>
        </w:numPr>
        <w:tabs>
          <w:tab w:pos="525" w:val="left" w:leader="none"/>
          <w:tab w:pos="2522" w:val="left" w:leader="none"/>
        </w:tabs>
        <w:spacing w:line="316" w:lineRule="auto" w:before="0" w:after="0"/>
        <w:ind w:left="2522" w:right="135" w:hanging="2418"/>
        <w:jc w:val="both"/>
        <w:rPr>
          <w:sz w:val="18"/>
        </w:rPr>
      </w:pPr>
      <w:r>
        <w:rPr>
          <w:b/>
          <w:sz w:val="18"/>
        </w:rPr>
        <w:t>双耳失聪</w:t>
        <w:tab/>
      </w:r>
      <w:r>
        <w:rPr>
          <w:sz w:val="18"/>
        </w:rPr>
        <w:t>指因疾病或意外伤害导致双耳听力永久不可</w:t>
      </w:r>
      <w:r>
        <w:rPr>
          <w:spacing w:val="-21"/>
          <w:sz w:val="18"/>
        </w:rPr>
        <w:t>逆</w:t>
      </w:r>
      <w:r>
        <w:rPr>
          <w:sz w:val="18"/>
        </w:rPr>
        <w:t>（注</w:t>
      </w:r>
      <w:r>
        <w:rPr>
          <w:spacing w:val="-46"/>
          <w:sz w:val="18"/>
        </w:rPr>
        <w:t> </w:t>
      </w:r>
      <w:r>
        <w:rPr>
          <w:spacing w:val="-11"/>
          <w:sz w:val="18"/>
        </w:rPr>
        <w:t>6）</w:t>
      </w:r>
      <w:r>
        <w:rPr>
          <w:sz w:val="18"/>
        </w:rPr>
        <w:t>性丧失</w:t>
      </w:r>
      <w:r>
        <w:rPr>
          <w:spacing w:val="-21"/>
          <w:sz w:val="18"/>
        </w:rPr>
        <w:t>，</w:t>
      </w:r>
      <w:r>
        <w:rPr>
          <w:sz w:val="18"/>
        </w:rPr>
        <w:t>在</w:t>
      </w:r>
      <w:r>
        <w:rPr>
          <w:spacing w:val="-46"/>
          <w:sz w:val="18"/>
        </w:rPr>
        <w:t> </w:t>
      </w:r>
      <w:r>
        <w:rPr>
          <w:sz w:val="18"/>
        </w:rPr>
        <w:t>500</w:t>
      </w:r>
      <w:r>
        <w:rPr>
          <w:spacing w:val="-45"/>
          <w:sz w:val="18"/>
        </w:rPr>
        <w:t> </w:t>
      </w:r>
      <w:r>
        <w:rPr>
          <w:sz w:val="18"/>
        </w:rPr>
        <w:t>赫兹</w:t>
      </w:r>
      <w:r>
        <w:rPr>
          <w:spacing w:val="-21"/>
          <w:sz w:val="18"/>
        </w:rPr>
        <w:t>、</w:t>
      </w:r>
      <w:r>
        <w:rPr>
          <w:sz w:val="18"/>
        </w:rPr>
        <w:t>1000</w:t>
      </w:r>
      <w:r>
        <w:rPr>
          <w:spacing w:val="-46"/>
          <w:sz w:val="18"/>
        </w:rPr>
        <w:t> </w:t>
      </w:r>
      <w:r>
        <w:rPr>
          <w:sz w:val="18"/>
        </w:rPr>
        <w:t>赫兹和</w:t>
      </w:r>
      <w:r>
        <w:rPr>
          <w:spacing w:val="-46"/>
          <w:sz w:val="18"/>
        </w:rPr>
        <w:t> </w:t>
      </w:r>
      <w:r>
        <w:rPr>
          <w:sz w:val="18"/>
        </w:rPr>
        <w:t>2000赫兹语音频率下，平均听阈大于</w:t>
      </w:r>
      <w:r>
        <w:rPr>
          <w:spacing w:val="-46"/>
          <w:sz w:val="18"/>
        </w:rPr>
        <w:t> </w:t>
      </w:r>
      <w:r>
        <w:rPr>
          <w:sz w:val="18"/>
        </w:rPr>
        <w:t>90</w:t>
      </w:r>
      <w:r>
        <w:rPr>
          <w:spacing w:val="-46"/>
          <w:sz w:val="18"/>
        </w:rPr>
        <w:t> </w:t>
      </w:r>
      <w:r>
        <w:rPr>
          <w:sz w:val="18"/>
        </w:rPr>
        <w:t>分贝，且经纯音听力测试、声导抗检测或听觉诱发电位检测等证实。</w:t>
      </w:r>
    </w:p>
    <w:p>
      <w:pPr>
        <w:pStyle w:val="BodyText"/>
        <w:spacing w:before="10"/>
      </w:pPr>
    </w:p>
    <w:p>
      <w:pPr>
        <w:pStyle w:val="ListParagraph"/>
        <w:numPr>
          <w:ilvl w:val="0"/>
          <w:numId w:val="12"/>
        </w:numPr>
        <w:tabs>
          <w:tab w:pos="525" w:val="left" w:leader="none"/>
          <w:tab w:pos="2522" w:val="left" w:leader="none"/>
        </w:tabs>
        <w:spacing w:line="316" w:lineRule="auto" w:before="1" w:after="0"/>
        <w:ind w:left="2522" w:right="280" w:hanging="2418"/>
        <w:jc w:val="left"/>
        <w:rPr>
          <w:sz w:val="18"/>
        </w:rPr>
      </w:pPr>
      <w:r>
        <w:rPr>
          <w:b/>
          <w:sz w:val="18"/>
        </w:rPr>
        <w:t>双目失明</w:t>
        <w:tab/>
      </w:r>
      <w:r>
        <w:rPr>
          <w:sz w:val="18"/>
        </w:rPr>
        <w:t>指因疾病或意外伤害导致双眼视力永久不可逆性丧失，双眼中较好眼须满足下列至少一项条件：</w:t>
      </w:r>
    </w:p>
    <w:p>
      <w:pPr>
        <w:pStyle w:val="ListParagraph"/>
        <w:numPr>
          <w:ilvl w:val="1"/>
          <w:numId w:val="12"/>
        </w:numPr>
        <w:tabs>
          <w:tab w:pos="2883" w:val="left" w:leader="none"/>
        </w:tabs>
        <w:spacing w:line="240" w:lineRule="auto" w:before="19" w:after="0"/>
        <w:ind w:left="2882" w:right="0" w:hanging="360"/>
        <w:jc w:val="left"/>
        <w:rPr>
          <w:sz w:val="18"/>
        </w:rPr>
      </w:pPr>
      <w:r>
        <w:rPr>
          <w:sz w:val="18"/>
        </w:rPr>
        <w:t>眼球缺失或摘除；</w:t>
      </w:r>
    </w:p>
    <w:p>
      <w:pPr>
        <w:pStyle w:val="ListParagraph"/>
        <w:numPr>
          <w:ilvl w:val="1"/>
          <w:numId w:val="12"/>
        </w:numPr>
        <w:tabs>
          <w:tab w:pos="2883" w:val="left" w:leader="none"/>
        </w:tabs>
        <w:spacing w:line="240" w:lineRule="auto" w:before="76" w:after="0"/>
        <w:ind w:left="2882" w:right="0" w:hanging="360"/>
        <w:jc w:val="left"/>
        <w:rPr>
          <w:sz w:val="18"/>
        </w:rPr>
      </w:pPr>
      <w:r>
        <w:rPr>
          <w:spacing w:val="-7"/>
          <w:sz w:val="18"/>
        </w:rPr>
        <w:t>矫正视力低于 </w:t>
      </w:r>
      <w:r>
        <w:rPr>
          <w:sz w:val="18"/>
        </w:rPr>
        <w:t>0.02（采用国际标准视力表，如果使用其它视力表应进行换算</w:t>
      </w:r>
      <w:r>
        <w:rPr>
          <w:spacing w:val="-90"/>
          <w:sz w:val="18"/>
        </w:rPr>
        <w:t>）</w:t>
      </w:r>
      <w:r>
        <w:rPr>
          <w:sz w:val="18"/>
        </w:rPr>
        <w:t>；</w:t>
      </w:r>
    </w:p>
    <w:p>
      <w:pPr>
        <w:pStyle w:val="ListParagraph"/>
        <w:numPr>
          <w:ilvl w:val="1"/>
          <w:numId w:val="12"/>
        </w:numPr>
        <w:tabs>
          <w:tab w:pos="2883" w:val="left" w:leader="none"/>
        </w:tabs>
        <w:spacing w:line="240" w:lineRule="auto" w:before="76" w:after="0"/>
        <w:ind w:left="2882" w:right="0" w:hanging="360"/>
        <w:jc w:val="left"/>
        <w:rPr>
          <w:sz w:val="18"/>
        </w:rPr>
      </w:pPr>
      <w:r>
        <w:rPr>
          <w:spacing w:val="-7"/>
          <w:sz w:val="18"/>
        </w:rPr>
        <w:t>视野半径小于 </w:t>
      </w:r>
      <w:r>
        <w:rPr>
          <w:sz w:val="18"/>
        </w:rPr>
        <w:t>5</w:t>
      </w:r>
      <w:r>
        <w:rPr>
          <w:spacing w:val="-16"/>
          <w:sz w:val="18"/>
        </w:rPr>
        <w:t> 度。</w:t>
      </w:r>
    </w:p>
    <w:p>
      <w:pPr>
        <w:pStyle w:val="BodyText"/>
        <w:spacing w:before="2"/>
        <w:rPr>
          <w:sz w:val="23"/>
        </w:rPr>
      </w:pPr>
    </w:p>
    <w:p>
      <w:pPr>
        <w:pStyle w:val="ListParagraph"/>
        <w:numPr>
          <w:ilvl w:val="0"/>
          <w:numId w:val="12"/>
        </w:numPr>
        <w:tabs>
          <w:tab w:pos="525" w:val="left" w:leader="none"/>
          <w:tab w:pos="2522" w:val="left" w:leader="none"/>
        </w:tabs>
        <w:spacing w:line="316" w:lineRule="auto" w:before="0" w:after="0"/>
        <w:ind w:left="2522" w:right="135" w:hanging="2418"/>
        <w:jc w:val="both"/>
        <w:rPr>
          <w:sz w:val="18"/>
        </w:rPr>
      </w:pPr>
      <w:r>
        <w:rPr>
          <w:b/>
          <w:sz w:val="18"/>
        </w:rPr>
        <w:t>瘫痪</w:t>
        <w:tab/>
      </w:r>
      <w:r>
        <w:rPr>
          <w:sz w:val="18"/>
        </w:rPr>
        <w:t>指因疾病或意外伤害导致两肢或两肢以上肢体机能永久完全丧失</w:t>
      </w:r>
      <w:r>
        <w:rPr>
          <w:spacing w:val="-18"/>
          <w:sz w:val="18"/>
        </w:rPr>
        <w:t>。</w:t>
      </w:r>
      <w:r>
        <w:rPr>
          <w:sz w:val="18"/>
        </w:rPr>
        <w:t>肢体机能永久完全丧失</w:t>
      </w:r>
      <w:r>
        <w:rPr>
          <w:spacing w:val="-18"/>
          <w:sz w:val="18"/>
        </w:rPr>
        <w:t>，</w:t>
      </w:r>
      <w:r>
        <w:rPr>
          <w:sz w:val="18"/>
        </w:rPr>
        <w:t>指疾病确诊</w:t>
      </w:r>
      <w:r>
        <w:rPr>
          <w:spacing w:val="-46"/>
          <w:sz w:val="18"/>
        </w:rPr>
        <w:t> </w:t>
      </w:r>
      <w:r>
        <w:rPr>
          <w:sz w:val="18"/>
        </w:rPr>
        <w:t>180</w:t>
      </w:r>
      <w:r>
        <w:rPr>
          <w:spacing w:val="-45"/>
          <w:sz w:val="18"/>
        </w:rPr>
        <w:t> </w:t>
      </w:r>
      <w:r>
        <w:rPr>
          <w:sz w:val="18"/>
        </w:rPr>
        <w:t>天后或意外伤害发生</w:t>
      </w:r>
      <w:r>
        <w:rPr>
          <w:spacing w:val="-46"/>
          <w:sz w:val="18"/>
        </w:rPr>
        <w:t> </w:t>
      </w:r>
      <w:r>
        <w:rPr>
          <w:sz w:val="18"/>
        </w:rPr>
        <w:t>180</w:t>
      </w:r>
      <w:r>
        <w:rPr>
          <w:spacing w:val="-46"/>
          <w:sz w:val="18"/>
        </w:rPr>
        <w:t> </w:t>
      </w:r>
      <w:r>
        <w:rPr>
          <w:sz w:val="18"/>
        </w:rPr>
        <w:t>天后</w:t>
      </w:r>
      <w:r>
        <w:rPr>
          <w:spacing w:val="-18"/>
          <w:sz w:val="18"/>
        </w:rPr>
        <w:t>，</w:t>
      </w:r>
      <w:r>
        <w:rPr>
          <w:sz w:val="18"/>
        </w:rPr>
        <w:t>每肢三大关节中的两大关节仍然完全僵硬</w:t>
      </w:r>
      <w:r>
        <w:rPr>
          <w:spacing w:val="-18"/>
          <w:sz w:val="18"/>
        </w:rPr>
        <w:t>，</w:t>
      </w:r>
      <w:r>
        <w:rPr>
          <w:sz w:val="18"/>
        </w:rPr>
        <w:t>或不能随意识活动。</w:t>
      </w:r>
    </w:p>
    <w:p>
      <w:pPr>
        <w:pStyle w:val="BodyText"/>
        <w:spacing w:before="9"/>
      </w:pPr>
    </w:p>
    <w:p>
      <w:pPr>
        <w:pStyle w:val="ListParagraph"/>
        <w:numPr>
          <w:ilvl w:val="0"/>
          <w:numId w:val="12"/>
        </w:numPr>
        <w:tabs>
          <w:tab w:pos="525" w:val="left" w:leader="none"/>
          <w:tab w:pos="2522" w:val="left" w:leader="none"/>
        </w:tabs>
        <w:spacing w:line="240" w:lineRule="auto" w:before="0" w:after="0"/>
        <w:ind w:left="2522" w:right="0" w:hanging="2418"/>
        <w:jc w:val="left"/>
        <w:rPr>
          <w:sz w:val="18"/>
        </w:rPr>
      </w:pPr>
      <w:r>
        <w:rPr>
          <w:b/>
          <w:sz w:val="18"/>
        </w:rPr>
        <w:t>心脏瓣膜手术</w:t>
        <w:tab/>
      </w:r>
      <w:r>
        <w:rPr>
          <w:sz w:val="18"/>
        </w:rPr>
        <w:t>指为治疗心脏瓣膜疾病，实际实施了开胸进行的心脏瓣膜置换或修复的手术。</w:t>
      </w:r>
    </w:p>
    <w:p>
      <w:pPr>
        <w:pStyle w:val="BodyText"/>
        <w:spacing w:before="1"/>
        <w:rPr>
          <w:sz w:val="23"/>
        </w:rPr>
      </w:pPr>
    </w:p>
    <w:p>
      <w:pPr>
        <w:pStyle w:val="ListParagraph"/>
        <w:numPr>
          <w:ilvl w:val="0"/>
          <w:numId w:val="12"/>
        </w:numPr>
        <w:tabs>
          <w:tab w:pos="525" w:val="left" w:leader="none"/>
          <w:tab w:pos="2522" w:val="left" w:leader="none"/>
        </w:tabs>
        <w:spacing w:line="316" w:lineRule="auto" w:before="0" w:after="0"/>
        <w:ind w:left="2522" w:right="100" w:hanging="2418"/>
        <w:jc w:val="left"/>
        <w:rPr>
          <w:sz w:val="18"/>
        </w:rPr>
      </w:pPr>
      <w:r>
        <w:rPr>
          <w:b/>
          <w:sz w:val="18"/>
        </w:rPr>
        <w:t>严重阿尔茨海默病</w:t>
        <w:tab/>
      </w:r>
      <w:r>
        <w:rPr>
          <w:sz w:val="18"/>
        </w:rPr>
        <w:t>指因大脑进行性、不可逆性改变导致智能严重衰退或丧失，临床表现为明显的认知能力障碍、行为异常和社交能力减退，其日常生活必须持续受到他人监护。须由头颅断层扫描（CT</w:t>
      </w:r>
      <w:r>
        <w:rPr>
          <w:spacing w:val="-90"/>
          <w:sz w:val="18"/>
        </w:rPr>
        <w:t>）</w:t>
      </w:r>
      <w:r>
        <w:rPr>
          <w:sz w:val="18"/>
        </w:rPr>
        <w:t>、核</w:t>
      </w:r>
    </w:p>
    <w:p>
      <w:pPr>
        <w:spacing w:after="0" w:line="316" w:lineRule="auto"/>
        <w:jc w:val="left"/>
        <w:rPr>
          <w:sz w:val="18"/>
        </w:rPr>
        <w:sectPr>
          <w:type w:val="continuous"/>
          <w:pgSz w:w="11910" w:h="16840"/>
          <w:pgMar w:top="1040" w:bottom="1180" w:left="1080" w:right="820"/>
        </w:sectPr>
      </w:pPr>
    </w:p>
    <w:p>
      <w:pPr>
        <w:pStyle w:val="BodyText"/>
        <w:spacing w:before="3"/>
        <w:rPr>
          <w:sz w:val="20"/>
        </w:rPr>
      </w:pPr>
    </w:p>
    <w:p>
      <w:pPr>
        <w:pStyle w:val="BodyText"/>
        <w:spacing w:line="316" w:lineRule="auto" w:before="44"/>
        <w:ind w:left="2522" w:right="141"/>
      </w:pPr>
      <w:r>
        <w:rPr/>
        <w:t>磁共振检查（MRI）或正电子发射断层扫描（PET）等影像学检查证实，且自主生活能力完全丧失，无法独立完成六项基本日常生活活动中的三项或三项以上。</w:t>
      </w:r>
    </w:p>
    <w:p>
      <w:pPr>
        <w:pStyle w:val="BodyText"/>
        <w:spacing w:before="18"/>
        <w:ind w:left="2522"/>
      </w:pPr>
      <w:r>
        <w:rPr/>
        <w:t>神经官能症和精神疾病不在保障范围内。</w:t>
      </w:r>
    </w:p>
    <w:p>
      <w:pPr>
        <w:pStyle w:val="BodyText"/>
        <w:spacing w:before="2"/>
        <w:rPr>
          <w:sz w:val="23"/>
        </w:rPr>
      </w:pPr>
    </w:p>
    <w:p>
      <w:pPr>
        <w:pStyle w:val="ListParagraph"/>
        <w:numPr>
          <w:ilvl w:val="0"/>
          <w:numId w:val="12"/>
        </w:numPr>
        <w:tabs>
          <w:tab w:pos="525" w:val="left" w:leader="none"/>
          <w:tab w:pos="2522" w:val="left" w:leader="none"/>
        </w:tabs>
        <w:spacing w:line="316" w:lineRule="auto" w:before="0" w:after="0"/>
        <w:ind w:left="2522" w:right="196" w:hanging="2418"/>
        <w:jc w:val="both"/>
        <w:rPr>
          <w:sz w:val="18"/>
        </w:rPr>
      </w:pPr>
      <w:r>
        <w:rPr>
          <w:b/>
          <w:sz w:val="18"/>
        </w:rPr>
        <w:t>严重脑损伤</w:t>
        <w:tab/>
      </w:r>
      <w:r>
        <w:rPr>
          <w:sz w:val="18"/>
        </w:rPr>
        <w:t>指因头部遭受机械性外力</w:t>
      </w:r>
      <w:r>
        <w:rPr>
          <w:spacing w:val="-13"/>
          <w:sz w:val="18"/>
        </w:rPr>
        <w:t>，</w:t>
      </w:r>
      <w:r>
        <w:rPr>
          <w:sz w:val="18"/>
        </w:rPr>
        <w:t>引起脑重要部位损伤</w:t>
      </w:r>
      <w:r>
        <w:rPr>
          <w:spacing w:val="-13"/>
          <w:sz w:val="18"/>
        </w:rPr>
        <w:t>，</w:t>
      </w:r>
      <w:r>
        <w:rPr>
          <w:sz w:val="18"/>
        </w:rPr>
        <w:t>导致神经系统永久性的功能障碍</w:t>
      </w:r>
      <w:r>
        <w:rPr>
          <w:spacing w:val="-13"/>
          <w:sz w:val="18"/>
        </w:rPr>
        <w:t>。</w:t>
      </w:r>
      <w:r>
        <w:rPr>
          <w:sz w:val="18"/>
        </w:rPr>
        <w:t>须由头颅断层扫描（CT</w:t>
      </w:r>
      <w:r>
        <w:rPr>
          <w:spacing w:val="-90"/>
          <w:sz w:val="18"/>
        </w:rPr>
        <w:t>）</w:t>
      </w:r>
      <w:r>
        <w:rPr>
          <w:sz w:val="18"/>
        </w:rPr>
        <w:t>、核磁共振检查（MRI）或正电子发射断层扫描（PET）等影像学检查证实。神经系统永久性的功能障碍，指脑损伤</w:t>
      </w:r>
      <w:r>
        <w:rPr>
          <w:spacing w:val="-46"/>
          <w:sz w:val="18"/>
        </w:rPr>
        <w:t> </w:t>
      </w:r>
      <w:r>
        <w:rPr>
          <w:sz w:val="18"/>
        </w:rPr>
        <w:t>180</w:t>
      </w:r>
      <w:r>
        <w:rPr>
          <w:spacing w:val="-45"/>
          <w:sz w:val="18"/>
        </w:rPr>
        <w:t> </w:t>
      </w:r>
      <w:r>
        <w:rPr>
          <w:sz w:val="18"/>
        </w:rPr>
        <w:t>天后，仍遗留下列一种或一种以上障碍：</w:t>
      </w:r>
    </w:p>
    <w:p>
      <w:pPr>
        <w:pStyle w:val="ListParagraph"/>
        <w:numPr>
          <w:ilvl w:val="1"/>
          <w:numId w:val="12"/>
        </w:numPr>
        <w:tabs>
          <w:tab w:pos="2862" w:val="left" w:leader="none"/>
        </w:tabs>
        <w:spacing w:line="240" w:lineRule="auto" w:before="18" w:after="0"/>
        <w:ind w:left="2862" w:right="0" w:hanging="340"/>
        <w:jc w:val="left"/>
        <w:rPr>
          <w:sz w:val="18"/>
        </w:rPr>
      </w:pPr>
      <w:r>
        <w:rPr>
          <w:sz w:val="18"/>
        </w:rPr>
        <w:t>一肢或一肢以上肢体机能完全丧失；</w:t>
      </w:r>
    </w:p>
    <w:p>
      <w:pPr>
        <w:pStyle w:val="ListParagraph"/>
        <w:numPr>
          <w:ilvl w:val="1"/>
          <w:numId w:val="12"/>
        </w:numPr>
        <w:tabs>
          <w:tab w:pos="2862" w:val="left" w:leader="none"/>
        </w:tabs>
        <w:spacing w:line="240" w:lineRule="auto" w:before="75" w:after="0"/>
        <w:ind w:left="2862" w:right="0" w:hanging="340"/>
        <w:jc w:val="left"/>
        <w:rPr>
          <w:sz w:val="18"/>
        </w:rPr>
      </w:pPr>
      <w:r>
        <w:rPr>
          <w:sz w:val="18"/>
        </w:rPr>
        <w:t>语言能力或咀嚼吞咽能力完全丧失；</w:t>
      </w:r>
    </w:p>
    <w:p>
      <w:pPr>
        <w:pStyle w:val="ListParagraph"/>
        <w:numPr>
          <w:ilvl w:val="1"/>
          <w:numId w:val="12"/>
        </w:numPr>
        <w:tabs>
          <w:tab w:pos="2883" w:val="left" w:leader="none"/>
        </w:tabs>
        <w:spacing w:line="240" w:lineRule="auto" w:before="75" w:after="0"/>
        <w:ind w:left="2882" w:right="0" w:hanging="360"/>
        <w:jc w:val="left"/>
        <w:rPr>
          <w:sz w:val="18"/>
        </w:rPr>
      </w:pPr>
      <w:r>
        <w:rPr>
          <w:sz w:val="18"/>
        </w:rPr>
        <w:t>自主生活能力完全丧失，无法独立完成六项基本日常生活活动中的三项或三项以上。</w:t>
      </w:r>
    </w:p>
    <w:p>
      <w:pPr>
        <w:pStyle w:val="BodyText"/>
        <w:spacing w:before="1"/>
        <w:rPr>
          <w:sz w:val="23"/>
        </w:rPr>
      </w:pPr>
    </w:p>
    <w:p>
      <w:pPr>
        <w:pStyle w:val="ListParagraph"/>
        <w:numPr>
          <w:ilvl w:val="0"/>
          <w:numId w:val="12"/>
        </w:numPr>
        <w:tabs>
          <w:tab w:pos="525" w:val="left" w:leader="none"/>
          <w:tab w:pos="2522" w:val="left" w:leader="none"/>
        </w:tabs>
        <w:spacing w:line="240" w:lineRule="auto" w:before="0" w:after="0"/>
        <w:ind w:left="2522" w:right="0" w:hanging="2418"/>
        <w:jc w:val="left"/>
        <w:rPr>
          <w:sz w:val="18"/>
        </w:rPr>
      </w:pPr>
      <w:r>
        <w:rPr>
          <w:b/>
          <w:sz w:val="18"/>
        </w:rPr>
        <w:t>严重帕金森病</w:t>
        <w:tab/>
      </w:r>
      <w:r>
        <w:rPr>
          <w:sz w:val="18"/>
        </w:rPr>
        <w:t>是一种中枢神经系统的退行性疾病</w:t>
      </w:r>
      <w:r>
        <w:rPr>
          <w:spacing w:val="-42"/>
          <w:sz w:val="18"/>
        </w:rPr>
        <w:t>，</w:t>
      </w:r>
      <w:r>
        <w:rPr>
          <w:sz w:val="18"/>
        </w:rPr>
        <w:t>临床表现为震颤麻痹</w:t>
      </w:r>
      <w:r>
        <w:rPr>
          <w:spacing w:val="-42"/>
          <w:sz w:val="18"/>
        </w:rPr>
        <w:t>、</w:t>
      </w:r>
      <w:r>
        <w:rPr>
          <w:sz w:val="18"/>
        </w:rPr>
        <w:t>共济失调等</w:t>
      </w:r>
      <w:r>
        <w:rPr>
          <w:spacing w:val="-42"/>
          <w:sz w:val="18"/>
        </w:rPr>
        <w:t>。</w:t>
      </w:r>
      <w:r>
        <w:rPr>
          <w:sz w:val="18"/>
        </w:rPr>
        <w:t>须满足下列全部条件：</w:t>
      </w:r>
    </w:p>
    <w:p>
      <w:pPr>
        <w:pStyle w:val="ListParagraph"/>
        <w:numPr>
          <w:ilvl w:val="1"/>
          <w:numId w:val="12"/>
        </w:numPr>
        <w:tabs>
          <w:tab w:pos="2883" w:val="left" w:leader="none"/>
        </w:tabs>
        <w:spacing w:line="240" w:lineRule="auto" w:before="76" w:after="0"/>
        <w:ind w:left="2522" w:right="0" w:firstLine="0"/>
        <w:jc w:val="left"/>
        <w:rPr>
          <w:sz w:val="18"/>
        </w:rPr>
      </w:pPr>
      <w:r>
        <w:rPr>
          <w:sz w:val="18"/>
        </w:rPr>
        <w:t>药物治疗无法控制病情；</w:t>
      </w:r>
    </w:p>
    <w:p>
      <w:pPr>
        <w:pStyle w:val="ListParagraph"/>
        <w:numPr>
          <w:ilvl w:val="1"/>
          <w:numId w:val="12"/>
        </w:numPr>
        <w:tabs>
          <w:tab w:pos="2883" w:val="left" w:leader="none"/>
        </w:tabs>
        <w:spacing w:line="316" w:lineRule="auto" w:before="76" w:after="0"/>
        <w:ind w:left="2522" w:right="520" w:firstLine="0"/>
        <w:jc w:val="left"/>
        <w:rPr>
          <w:sz w:val="18"/>
        </w:rPr>
      </w:pPr>
      <w:r>
        <w:rPr>
          <w:sz w:val="18"/>
        </w:rPr>
        <w:t>自主生活能力完全丧失，无法独立完成六项基本日常生活活动中的三项或三项以上。继发性帕金森综合征不在保障范围内。</w:t>
      </w:r>
    </w:p>
    <w:p>
      <w:pPr>
        <w:pStyle w:val="BodyText"/>
        <w:spacing w:before="9"/>
      </w:pPr>
    </w:p>
    <w:p>
      <w:pPr>
        <w:pStyle w:val="ListParagraph"/>
        <w:numPr>
          <w:ilvl w:val="0"/>
          <w:numId w:val="12"/>
        </w:numPr>
        <w:tabs>
          <w:tab w:pos="525" w:val="left" w:leader="none"/>
        </w:tabs>
        <w:spacing w:line="316" w:lineRule="auto" w:before="0" w:after="0"/>
        <w:ind w:left="2522" w:right="197" w:hanging="2418"/>
        <w:jc w:val="both"/>
        <w:rPr>
          <w:sz w:val="18"/>
        </w:rPr>
      </w:pPr>
      <w:r>
        <w:rPr>
          <w:b/>
          <w:sz w:val="18"/>
        </w:rPr>
        <w:t>严重Ⅲ度烧伤         </w:t>
      </w:r>
      <w:r>
        <w:rPr>
          <w:spacing w:val="-10"/>
          <w:sz w:val="18"/>
        </w:rPr>
        <w:t>指烧伤程度为Ⅲ度，且Ⅲ度烧伤面积达到全身体表面积的 </w:t>
      </w:r>
      <w:r>
        <w:rPr>
          <w:sz w:val="18"/>
        </w:rPr>
        <w:t>20％</w:t>
      </w:r>
      <w:r>
        <w:rPr>
          <w:spacing w:val="-24"/>
          <w:sz w:val="18"/>
        </w:rPr>
        <w:t>或 </w:t>
      </w:r>
      <w:r>
        <w:rPr>
          <w:sz w:val="18"/>
        </w:rPr>
        <w:t>20％</w:t>
      </w:r>
      <w:r>
        <w:rPr>
          <w:spacing w:val="-8"/>
          <w:sz w:val="18"/>
        </w:rPr>
        <w:t>以上。体表面积根据《中国新九分法》计算。</w:t>
      </w:r>
    </w:p>
    <w:p>
      <w:pPr>
        <w:pStyle w:val="BodyText"/>
        <w:spacing w:before="4"/>
        <w:rPr>
          <w:sz w:val="15"/>
        </w:rPr>
      </w:pPr>
    </w:p>
    <w:p>
      <w:pPr>
        <w:spacing w:after="0"/>
        <w:rPr>
          <w:sz w:val="15"/>
        </w:rPr>
        <w:sectPr>
          <w:headerReference w:type="default" r:id="rId12"/>
          <w:footerReference w:type="default" r:id="rId13"/>
          <w:pgSz w:w="11910" w:h="16840"/>
          <w:pgMar w:header="877" w:footer="0" w:top="1100" w:bottom="280" w:left="1080" w:right="760"/>
        </w:sectPr>
      </w:pPr>
    </w:p>
    <w:p>
      <w:pPr>
        <w:pStyle w:val="Heading4"/>
        <w:numPr>
          <w:ilvl w:val="0"/>
          <w:numId w:val="12"/>
        </w:numPr>
        <w:tabs>
          <w:tab w:pos="525" w:val="left" w:leader="none"/>
        </w:tabs>
        <w:spacing w:line="316" w:lineRule="auto" w:before="44" w:after="0"/>
        <w:ind w:left="524" w:right="0" w:hanging="420"/>
        <w:jc w:val="left"/>
      </w:pPr>
      <w:r>
        <w:rPr>
          <w:spacing w:val="18"/>
          <w:w w:val="95"/>
        </w:rPr>
        <w:t>严重原发性肺动脉高</w:t>
      </w:r>
      <w:r>
        <w:rPr/>
        <w:t>压</w:t>
      </w:r>
    </w:p>
    <w:p>
      <w:pPr>
        <w:pStyle w:val="BodyText"/>
        <w:spacing w:line="316" w:lineRule="auto" w:before="44"/>
        <w:ind w:left="104" w:right="196"/>
        <w:jc w:val="both"/>
      </w:pPr>
      <w:r>
        <w:rPr/>
        <w:br w:type="column"/>
      </w:r>
      <w:r>
        <w:rPr>
          <w:spacing w:val="-3"/>
        </w:rPr>
        <w:t>指不明原因的肺动脉压力持续性增高，进行性发展而导致的慢性疾病，已经造成永久不可逆性</w:t>
      </w:r>
      <w:r>
        <w:rPr>
          <w:spacing w:val="-2"/>
        </w:rPr>
        <w:t>的体力活动能力受限，达到美国纽约心脏病学会心功能状态分级</w:t>
      </w:r>
      <w:r>
        <w:rPr/>
        <w:t>IV</w:t>
      </w:r>
      <w:r>
        <w:rPr>
          <w:spacing w:val="-7"/>
        </w:rPr>
        <w:t> 级，且静息状态下肺动脉</w:t>
      </w:r>
      <w:r>
        <w:rPr>
          <w:spacing w:val="-14"/>
        </w:rPr>
        <w:t>平均压超过 </w:t>
      </w:r>
      <w:r>
        <w:rPr/>
        <w:t>30mmHg。</w:t>
      </w:r>
    </w:p>
    <w:p>
      <w:pPr>
        <w:spacing w:after="0" w:line="316" w:lineRule="auto"/>
        <w:jc w:val="both"/>
        <w:sectPr>
          <w:type w:val="continuous"/>
          <w:pgSz w:w="11910" w:h="16840"/>
          <w:pgMar w:top="1040" w:bottom="1180" w:left="1080" w:right="760"/>
          <w:cols w:num="2" w:equalWidth="0">
            <w:col w:w="2327" w:space="91"/>
            <w:col w:w="7652"/>
          </w:cols>
        </w:sectPr>
      </w:pPr>
    </w:p>
    <w:p>
      <w:pPr>
        <w:pStyle w:val="BodyText"/>
        <w:spacing w:before="4"/>
        <w:rPr>
          <w:sz w:val="15"/>
        </w:rPr>
      </w:pPr>
    </w:p>
    <w:p>
      <w:pPr>
        <w:pStyle w:val="ListParagraph"/>
        <w:numPr>
          <w:ilvl w:val="0"/>
          <w:numId w:val="12"/>
        </w:numPr>
        <w:tabs>
          <w:tab w:pos="525" w:val="left" w:leader="none"/>
        </w:tabs>
        <w:spacing w:line="316" w:lineRule="auto" w:before="44" w:after="0"/>
        <w:ind w:left="2522" w:right="196" w:hanging="2418"/>
        <w:jc w:val="both"/>
        <w:rPr>
          <w:sz w:val="18"/>
        </w:rPr>
      </w:pPr>
      <w:r>
        <w:rPr>
          <w:b/>
          <w:sz w:val="18"/>
        </w:rPr>
        <w:t>严重运动神经元病     </w:t>
      </w:r>
      <w:r>
        <w:rPr>
          <w:spacing w:val="-2"/>
          <w:sz w:val="18"/>
        </w:rPr>
        <w:t>是一组中枢神经系统运动神经元的进行性变性疾病，包括进行性脊肌萎缩症、进行性延髓麻痹</w:t>
      </w:r>
      <w:r>
        <w:rPr>
          <w:spacing w:val="-6"/>
          <w:sz w:val="18"/>
        </w:rPr>
        <w:t>症、原发性侧索硬化症、肌萎缩性侧索硬化症。须满足自主生活能力完全丧失，无法独立完成六项基本日常生活活动中的三项或三项以上的条件。</w:t>
      </w:r>
    </w:p>
    <w:p>
      <w:pPr>
        <w:pStyle w:val="BodyText"/>
        <w:spacing w:before="10"/>
      </w:pPr>
    </w:p>
    <w:p>
      <w:pPr>
        <w:pStyle w:val="ListParagraph"/>
        <w:numPr>
          <w:ilvl w:val="0"/>
          <w:numId w:val="12"/>
        </w:numPr>
        <w:tabs>
          <w:tab w:pos="525" w:val="left" w:leader="none"/>
        </w:tabs>
        <w:spacing w:line="316" w:lineRule="auto" w:before="0" w:after="0"/>
        <w:ind w:left="2522" w:right="249" w:hanging="2418"/>
        <w:jc w:val="both"/>
        <w:rPr>
          <w:sz w:val="18"/>
        </w:rPr>
      </w:pPr>
      <w:r>
        <w:rPr>
          <w:b/>
          <w:sz w:val="18"/>
        </w:rPr>
        <w:t>语言能力丧失 </w:t>
      </w:r>
      <w:r>
        <w:rPr>
          <w:spacing w:val="-2"/>
          <w:sz w:val="18"/>
        </w:rPr>
        <w:t>指因疾病或意外伤害导致完全丧失语言能力，经过积极治疗至少 </w:t>
      </w:r>
      <w:r>
        <w:rPr>
          <w:sz w:val="18"/>
        </w:rPr>
        <w:t>12</w:t>
      </w:r>
      <w:r>
        <w:rPr>
          <w:spacing w:val="-16"/>
          <w:sz w:val="18"/>
        </w:rPr>
        <w:t> 个月</w:t>
      </w:r>
      <w:r>
        <w:rPr>
          <w:sz w:val="18"/>
        </w:rPr>
        <w:t>（声带完全切除不受此时间限制</w:t>
      </w:r>
      <w:r>
        <w:rPr>
          <w:spacing w:val="-90"/>
          <w:sz w:val="18"/>
        </w:rPr>
        <w:t>）</w:t>
      </w:r>
      <w:r>
        <w:rPr>
          <w:sz w:val="18"/>
        </w:rPr>
        <w:t>，仍无法通过现有医疗手段恢复。</w:t>
      </w:r>
    </w:p>
    <w:p>
      <w:pPr>
        <w:pStyle w:val="BodyText"/>
        <w:spacing w:before="18"/>
        <w:ind w:left="2522"/>
      </w:pPr>
      <w:r>
        <w:rPr/>
        <w:t>精神心理因素所致的语言能力丧失不在保障范围内。</w:t>
      </w:r>
    </w:p>
    <w:p>
      <w:pPr>
        <w:pStyle w:val="BodyText"/>
        <w:spacing w:before="2"/>
        <w:rPr>
          <w:sz w:val="23"/>
        </w:rPr>
      </w:pPr>
    </w:p>
    <w:p>
      <w:pPr>
        <w:pStyle w:val="ListParagraph"/>
        <w:numPr>
          <w:ilvl w:val="0"/>
          <w:numId w:val="12"/>
        </w:numPr>
        <w:tabs>
          <w:tab w:pos="525" w:val="left" w:leader="none"/>
        </w:tabs>
        <w:spacing w:line="316" w:lineRule="auto" w:before="0" w:after="0"/>
        <w:ind w:left="2522" w:right="196" w:hanging="2418"/>
        <w:jc w:val="both"/>
        <w:rPr>
          <w:sz w:val="18"/>
        </w:rPr>
      </w:pPr>
      <w:r>
        <w:rPr>
          <w:b/>
          <w:sz w:val="18"/>
        </w:rPr>
        <w:t>重型再生障碍性贫血   </w:t>
      </w:r>
      <w:r>
        <w:rPr>
          <w:spacing w:val="-2"/>
          <w:sz w:val="18"/>
        </w:rPr>
        <w:t>指因骨髓造血功能慢性持续性衰竭导致的贫血、中性粒细胞减少及血小板减少，须满足以下全部条件：</w:t>
      </w:r>
    </w:p>
    <w:p>
      <w:pPr>
        <w:pStyle w:val="ListParagraph"/>
        <w:numPr>
          <w:ilvl w:val="1"/>
          <w:numId w:val="12"/>
        </w:numPr>
        <w:tabs>
          <w:tab w:pos="2883" w:val="left" w:leader="none"/>
        </w:tabs>
        <w:spacing w:line="240" w:lineRule="auto" w:before="18" w:after="0"/>
        <w:ind w:left="2882" w:right="0" w:hanging="360"/>
        <w:jc w:val="left"/>
        <w:rPr>
          <w:sz w:val="18"/>
        </w:rPr>
      </w:pPr>
      <w:r>
        <w:rPr>
          <w:sz w:val="18"/>
        </w:rPr>
        <w:t>骨髓穿刺检查或骨髓活检结果支持诊断；</w:t>
      </w:r>
    </w:p>
    <w:p>
      <w:pPr>
        <w:pStyle w:val="ListParagraph"/>
        <w:numPr>
          <w:ilvl w:val="1"/>
          <w:numId w:val="12"/>
        </w:numPr>
        <w:tabs>
          <w:tab w:pos="2883" w:val="left" w:leader="none"/>
        </w:tabs>
        <w:spacing w:line="240" w:lineRule="auto" w:before="76" w:after="0"/>
        <w:ind w:left="2882" w:right="0" w:hanging="360"/>
        <w:jc w:val="left"/>
        <w:rPr>
          <w:sz w:val="18"/>
        </w:rPr>
      </w:pPr>
      <w:r>
        <w:rPr>
          <w:sz w:val="18"/>
        </w:rPr>
        <w:t>外周血象必须具备以下三项条件：</w:t>
      </w:r>
    </w:p>
    <w:p>
      <w:pPr>
        <w:pStyle w:val="BodyText"/>
        <w:ind w:left="2972"/>
      </w:pPr>
      <w:r>
        <w:rPr/>
        <w:t>① 中性粒细胞绝对值≤0.5×10</w:t>
      </w:r>
      <w:r>
        <w:rPr>
          <w:b/>
          <w:position w:val="9"/>
          <w:sz w:val="9"/>
        </w:rPr>
        <w:t>9</w:t>
      </w:r>
      <w:r>
        <w:rPr/>
        <w:t>/L ；</w:t>
      </w:r>
    </w:p>
    <w:p>
      <w:pPr>
        <w:pStyle w:val="BodyText"/>
        <w:ind w:left="2972"/>
      </w:pPr>
      <w:r>
        <w:rPr/>
        <w:t>② 网织红细胞＜1%；</w:t>
      </w:r>
    </w:p>
    <w:p>
      <w:pPr>
        <w:pStyle w:val="BodyText"/>
        <w:ind w:left="2972"/>
      </w:pPr>
      <w:r>
        <w:rPr/>
        <w:t>③ 血小板绝对值≤20×10</w:t>
      </w:r>
      <w:r>
        <w:rPr>
          <w:b/>
          <w:position w:val="9"/>
          <w:sz w:val="9"/>
        </w:rPr>
        <w:t>9</w:t>
      </w:r>
      <w:r>
        <w:rPr/>
        <w:t>/L。</w:t>
      </w:r>
    </w:p>
    <w:p>
      <w:pPr>
        <w:pStyle w:val="BodyText"/>
        <w:spacing w:before="1"/>
        <w:rPr>
          <w:sz w:val="23"/>
        </w:rPr>
      </w:pPr>
    </w:p>
    <w:p>
      <w:pPr>
        <w:pStyle w:val="ListParagraph"/>
        <w:numPr>
          <w:ilvl w:val="0"/>
          <w:numId w:val="12"/>
        </w:numPr>
        <w:tabs>
          <w:tab w:pos="525" w:val="left" w:leader="none"/>
          <w:tab w:pos="2522" w:val="left" w:leader="none"/>
        </w:tabs>
        <w:spacing w:line="316" w:lineRule="auto" w:before="0" w:after="0"/>
        <w:ind w:left="2522" w:right="105" w:hanging="2418"/>
        <w:jc w:val="both"/>
        <w:rPr>
          <w:sz w:val="18"/>
        </w:rPr>
      </w:pPr>
      <w:r>
        <w:rPr>
          <w:b/>
          <w:sz w:val="18"/>
        </w:rPr>
        <w:t>主动脉手术</w:t>
        <w:tab/>
      </w:r>
      <w:r>
        <w:rPr>
          <w:sz w:val="18"/>
        </w:rPr>
        <w:t>指为治疗主动脉疾病</w:t>
      </w:r>
      <w:r>
        <w:rPr>
          <w:spacing w:val="-42"/>
          <w:sz w:val="18"/>
        </w:rPr>
        <w:t>，</w:t>
      </w:r>
      <w:r>
        <w:rPr>
          <w:sz w:val="18"/>
        </w:rPr>
        <w:t>实际实施了开胸或开腹进行的切除</w:t>
      </w:r>
      <w:r>
        <w:rPr>
          <w:spacing w:val="-42"/>
          <w:sz w:val="18"/>
        </w:rPr>
        <w:t>、</w:t>
      </w:r>
      <w:r>
        <w:rPr>
          <w:sz w:val="18"/>
        </w:rPr>
        <w:t>置换</w:t>
      </w:r>
      <w:r>
        <w:rPr>
          <w:spacing w:val="-42"/>
          <w:sz w:val="18"/>
        </w:rPr>
        <w:t>、</w:t>
      </w:r>
      <w:r>
        <w:rPr>
          <w:sz w:val="18"/>
        </w:rPr>
        <w:t>修补病损主动脉血管的手术。主动脉指胸主动脉和腹主动脉，不包括胸主动脉和腹主动脉的分支血管。</w:t>
      </w:r>
    </w:p>
    <w:p>
      <w:pPr>
        <w:pStyle w:val="BodyText"/>
        <w:spacing w:before="18"/>
        <w:ind w:left="2522"/>
      </w:pPr>
      <w:r>
        <w:rPr/>
        <w:t>动脉内血管成形术不在保障范围内。</w:t>
      </w:r>
    </w:p>
    <w:p>
      <w:pPr>
        <w:pStyle w:val="BodyText"/>
        <w:spacing w:before="2"/>
        <w:rPr>
          <w:sz w:val="23"/>
        </w:rPr>
      </w:pPr>
    </w:p>
    <w:p>
      <w:pPr>
        <w:pStyle w:val="ListParagraph"/>
        <w:numPr>
          <w:ilvl w:val="0"/>
          <w:numId w:val="12"/>
        </w:numPr>
        <w:tabs>
          <w:tab w:pos="525" w:val="left" w:leader="none"/>
          <w:tab w:pos="2522" w:val="left" w:leader="none"/>
        </w:tabs>
        <w:spacing w:line="316" w:lineRule="auto" w:before="0" w:after="0"/>
        <w:ind w:left="2522" w:right="160" w:hanging="2418"/>
        <w:jc w:val="both"/>
        <w:rPr>
          <w:sz w:val="18"/>
        </w:rPr>
      </w:pPr>
      <w:r>
        <w:rPr>
          <w:b/>
          <w:sz w:val="18"/>
        </w:rPr>
        <w:t>植物人</w:t>
        <w:tab/>
      </w:r>
      <w:r>
        <w:rPr>
          <w:sz w:val="18"/>
        </w:rPr>
        <w:t>指经本公司认可的神经科医生确诊，大脑皮质全面坏死，意识完全丧失，但脑干仍保持完好，且此情况维持</w:t>
      </w:r>
      <w:r>
        <w:rPr>
          <w:spacing w:val="-46"/>
          <w:sz w:val="18"/>
        </w:rPr>
        <w:t> </w:t>
      </w:r>
      <w:r>
        <w:rPr>
          <w:sz w:val="18"/>
        </w:rPr>
        <w:t>30</w:t>
      </w:r>
      <w:r>
        <w:rPr>
          <w:spacing w:val="-46"/>
          <w:sz w:val="18"/>
        </w:rPr>
        <w:t> </w:t>
      </w:r>
      <w:r>
        <w:rPr>
          <w:sz w:val="18"/>
        </w:rPr>
        <w:t>天以上。</w:t>
      </w:r>
    </w:p>
    <w:p>
      <w:pPr>
        <w:pStyle w:val="BodyText"/>
        <w:spacing w:before="9"/>
      </w:pPr>
    </w:p>
    <w:p>
      <w:pPr>
        <w:pStyle w:val="ListParagraph"/>
        <w:numPr>
          <w:ilvl w:val="0"/>
          <w:numId w:val="12"/>
        </w:numPr>
        <w:tabs>
          <w:tab w:pos="525" w:val="left" w:leader="none"/>
        </w:tabs>
        <w:spacing w:line="316" w:lineRule="auto" w:before="1" w:after="0"/>
        <w:ind w:left="2522" w:right="160" w:hanging="2418"/>
        <w:jc w:val="both"/>
        <w:rPr>
          <w:sz w:val="18"/>
        </w:rPr>
      </w:pPr>
      <w:r>
        <w:rPr>
          <w:b/>
          <w:sz w:val="18"/>
        </w:rPr>
        <w:t>系统性红斑狼疮       </w:t>
      </w:r>
      <w:r>
        <w:rPr>
          <w:sz w:val="18"/>
        </w:rPr>
        <w:t>是一种自身免疫性结缔组织病，于体内有大量致病性自身抗体和免疫复合物，造成组织损伤。理赔须经本公司认可的专科医生确认并同时具备下列情况：</w:t>
      </w:r>
    </w:p>
    <w:p>
      <w:pPr>
        <w:pStyle w:val="BodyText"/>
        <w:spacing w:before="74"/>
        <w:ind w:left="4677" w:right="4768"/>
        <w:jc w:val="center"/>
      </w:pPr>
      <w:r>
        <w:rPr/>
        <w:t>第 </w:t>
      </w:r>
      <w:r>
        <w:rPr>
          <w:rFonts w:ascii="Times New Roman" w:eastAsia="Times New Roman"/>
        </w:rPr>
        <w:t>8 </w:t>
      </w:r>
      <w:r>
        <w:rPr/>
        <w:t>页</w:t>
      </w:r>
    </w:p>
    <w:p>
      <w:pPr>
        <w:spacing w:after="0"/>
        <w:jc w:val="center"/>
        <w:sectPr>
          <w:type w:val="continuous"/>
          <w:pgSz w:w="11910" w:h="16840"/>
          <w:pgMar w:top="1040" w:bottom="1180" w:left="1080" w:right="760"/>
        </w:sectPr>
      </w:pPr>
    </w:p>
    <w:p>
      <w:pPr>
        <w:pStyle w:val="BodyText"/>
        <w:spacing w:before="3"/>
        <w:rPr>
          <w:sz w:val="20"/>
        </w:rPr>
      </w:pPr>
    </w:p>
    <w:p>
      <w:pPr>
        <w:pStyle w:val="ListParagraph"/>
        <w:numPr>
          <w:ilvl w:val="1"/>
          <w:numId w:val="12"/>
        </w:numPr>
        <w:tabs>
          <w:tab w:pos="2943" w:val="left" w:leader="none"/>
        </w:tabs>
        <w:spacing w:line="240" w:lineRule="auto" w:before="44" w:after="0"/>
        <w:ind w:left="2942" w:right="0" w:hanging="420"/>
        <w:jc w:val="left"/>
        <w:rPr>
          <w:sz w:val="18"/>
        </w:rPr>
      </w:pPr>
      <w:r>
        <w:rPr>
          <w:sz w:val="18"/>
        </w:rPr>
        <w:t>临床表现至少具备如下条件的四个：</w:t>
      </w:r>
    </w:p>
    <w:p>
      <w:pPr>
        <w:pStyle w:val="BodyText"/>
        <w:ind w:left="2942"/>
      </w:pPr>
      <w:r>
        <w:rPr/>
        <w:t>①  蝶形红斑或盘形红斑；</w:t>
      </w:r>
    </w:p>
    <w:p>
      <w:pPr>
        <w:pStyle w:val="BodyText"/>
        <w:ind w:left="2942"/>
      </w:pPr>
      <w:r>
        <w:rPr/>
        <w:t>②  光敏感；</w:t>
      </w:r>
    </w:p>
    <w:p>
      <w:pPr>
        <w:pStyle w:val="BodyText"/>
        <w:ind w:left="2942"/>
      </w:pPr>
      <w:r>
        <w:rPr/>
        <w:t>③  口腔溃疡；</w:t>
      </w:r>
    </w:p>
    <w:p>
      <w:pPr>
        <w:pStyle w:val="BodyText"/>
        <w:ind w:left="2942"/>
      </w:pPr>
      <w:r>
        <w:rPr/>
        <w:t>④  非畸形关节炎或关节痛；</w:t>
      </w:r>
    </w:p>
    <w:p>
      <w:pPr>
        <w:pStyle w:val="BodyText"/>
        <w:ind w:left="2942"/>
      </w:pPr>
      <w:r>
        <w:rPr/>
        <w:t>⑤  浆膜炎、胸膜炎或心包炎；</w:t>
      </w:r>
    </w:p>
    <w:p>
      <w:pPr>
        <w:pStyle w:val="BodyText"/>
        <w:ind w:left="2942"/>
      </w:pPr>
      <w:r>
        <w:rPr/>
        <w:t>⑥  神经系统损伤（抽搐或精神症状</w:t>
      </w:r>
      <w:r>
        <w:rPr>
          <w:spacing w:val="-90"/>
        </w:rPr>
        <w:t>）</w:t>
      </w:r>
      <w:r>
        <w:rPr/>
        <w:t>；</w:t>
      </w:r>
    </w:p>
    <w:p>
      <w:pPr>
        <w:pStyle w:val="BodyText"/>
        <w:ind w:left="2942"/>
      </w:pPr>
      <w:r>
        <w:rPr/>
        <w:t>⑦  血象异常（WBC&lt;4000/μl</w:t>
      </w:r>
      <w:r>
        <w:rPr>
          <w:spacing w:val="-10"/>
        </w:rPr>
        <w:t> 或血小板</w:t>
      </w:r>
      <w:r>
        <w:rPr/>
        <w:t>&lt;100000/μl</w:t>
      </w:r>
      <w:r>
        <w:rPr>
          <w:spacing w:val="-8"/>
        </w:rPr>
        <w:t> 或溶血性贫血</w:t>
      </w:r>
      <w:r>
        <w:rPr>
          <w:spacing w:val="-91"/>
        </w:rPr>
        <w:t>）</w:t>
      </w:r>
      <w:r>
        <w:rPr/>
        <w:t>。</w:t>
      </w:r>
    </w:p>
    <w:p>
      <w:pPr>
        <w:pStyle w:val="ListParagraph"/>
        <w:numPr>
          <w:ilvl w:val="1"/>
          <w:numId w:val="12"/>
        </w:numPr>
        <w:tabs>
          <w:tab w:pos="2943" w:val="left" w:leader="none"/>
        </w:tabs>
        <w:spacing w:line="240" w:lineRule="auto" w:before="76" w:after="0"/>
        <w:ind w:left="2942" w:right="0" w:hanging="420"/>
        <w:jc w:val="left"/>
        <w:rPr>
          <w:sz w:val="18"/>
        </w:rPr>
      </w:pPr>
      <w:r>
        <w:rPr>
          <w:sz w:val="18"/>
        </w:rPr>
        <w:t>检测结果至少具备如下条件的两个：</w:t>
      </w:r>
    </w:p>
    <w:p>
      <w:pPr>
        <w:pStyle w:val="BodyText"/>
        <w:ind w:left="2942"/>
      </w:pPr>
      <w:r>
        <w:rPr/>
        <w:t>①  狼疮细胞或抗双链DNA 抗体阳性；</w:t>
      </w:r>
    </w:p>
    <w:p>
      <w:pPr>
        <w:pStyle w:val="BodyText"/>
        <w:ind w:left="2942"/>
      </w:pPr>
      <w:r>
        <w:rPr/>
        <w:t>②  抗Sm 抗体阳性；</w:t>
      </w:r>
    </w:p>
    <w:p>
      <w:pPr>
        <w:pStyle w:val="BodyText"/>
        <w:ind w:left="2942"/>
      </w:pPr>
      <w:r>
        <w:rPr/>
        <w:t>③  抗核抗体阳性；</w:t>
      </w:r>
    </w:p>
    <w:p>
      <w:pPr>
        <w:pStyle w:val="BodyText"/>
        <w:ind w:left="2942"/>
      </w:pPr>
      <w:r>
        <w:rPr/>
        <w:t>④  狼疮带试验阳性；</w:t>
      </w:r>
    </w:p>
    <w:p>
      <w:pPr>
        <w:pStyle w:val="BodyText"/>
        <w:ind w:left="2942"/>
      </w:pPr>
      <w:r>
        <w:rPr/>
        <w:t>⑤  C3 补体低于正常。</w:t>
      </w:r>
    </w:p>
    <w:p>
      <w:pPr>
        <w:pStyle w:val="ListParagraph"/>
        <w:numPr>
          <w:ilvl w:val="1"/>
          <w:numId w:val="12"/>
        </w:numPr>
        <w:tabs>
          <w:tab w:pos="2973" w:val="left" w:leader="none"/>
        </w:tabs>
        <w:spacing w:line="240" w:lineRule="auto" w:before="76" w:after="0"/>
        <w:ind w:left="2972" w:right="0" w:hanging="450"/>
        <w:jc w:val="left"/>
        <w:rPr>
          <w:sz w:val="18"/>
        </w:rPr>
      </w:pPr>
      <w:r>
        <w:rPr>
          <w:spacing w:val="-2"/>
          <w:sz w:val="18"/>
        </w:rPr>
        <w:t>狼疮肾炎致使肾功能减弱，血肌酐的清除率低于每分钟 </w:t>
      </w:r>
      <w:r>
        <w:rPr>
          <w:sz w:val="18"/>
        </w:rPr>
        <w:t>30ml。</w:t>
      </w:r>
    </w:p>
    <w:p>
      <w:pPr>
        <w:pStyle w:val="BodyText"/>
        <w:spacing w:before="1"/>
        <w:rPr>
          <w:sz w:val="23"/>
        </w:rPr>
      </w:pPr>
    </w:p>
    <w:p>
      <w:pPr>
        <w:pStyle w:val="ListParagraph"/>
        <w:numPr>
          <w:ilvl w:val="0"/>
          <w:numId w:val="12"/>
        </w:numPr>
        <w:tabs>
          <w:tab w:pos="525" w:val="left" w:leader="none"/>
          <w:tab w:pos="2522" w:val="left" w:leader="none"/>
        </w:tabs>
        <w:spacing w:line="316" w:lineRule="auto" w:before="0" w:after="0"/>
        <w:ind w:left="2522" w:right="136" w:hanging="2418"/>
        <w:jc w:val="both"/>
        <w:rPr>
          <w:sz w:val="18"/>
        </w:rPr>
      </w:pPr>
      <w:r>
        <w:rPr>
          <w:b/>
          <w:sz w:val="18"/>
        </w:rPr>
        <w:t>多发性硬化</w:t>
        <w:tab/>
      </w:r>
      <w:r>
        <w:rPr>
          <w:sz w:val="18"/>
        </w:rPr>
        <w:t>指因中枢神经系统脱髓鞘而导致的不可逆的身体部位的功能障碍</w:t>
      </w:r>
      <w:r>
        <w:rPr>
          <w:spacing w:val="-36"/>
          <w:sz w:val="18"/>
        </w:rPr>
        <w:t>，</w:t>
      </w:r>
      <w:r>
        <w:rPr>
          <w:sz w:val="18"/>
        </w:rPr>
        <w:t>需由神经科专家提供明确诊断，并</w:t>
      </w:r>
      <w:r>
        <w:rPr>
          <w:spacing w:val="42"/>
          <w:sz w:val="18"/>
        </w:rPr>
        <w:t>有</w:t>
      </w:r>
      <w:r>
        <w:rPr>
          <w:sz w:val="18"/>
        </w:rPr>
        <w:t>CT</w:t>
      </w:r>
      <w:r>
        <w:rPr>
          <w:spacing w:val="-46"/>
          <w:sz w:val="18"/>
        </w:rPr>
        <w:t> </w:t>
      </w:r>
      <w:r>
        <w:rPr>
          <w:sz w:val="18"/>
        </w:rPr>
        <w:t>或核磁共振检查结果诊断报告。所谓不可逆的身体部位功能障碍指初次诊断为功能障碍后需持续</w:t>
      </w:r>
      <w:r>
        <w:rPr>
          <w:spacing w:val="-46"/>
          <w:sz w:val="18"/>
        </w:rPr>
        <w:t> </w:t>
      </w:r>
      <w:r>
        <w:rPr>
          <w:sz w:val="18"/>
        </w:rPr>
        <w:t>180</w:t>
      </w:r>
      <w:r>
        <w:rPr>
          <w:spacing w:val="-46"/>
          <w:sz w:val="18"/>
        </w:rPr>
        <w:t> </w:t>
      </w:r>
      <w:r>
        <w:rPr>
          <w:sz w:val="18"/>
        </w:rPr>
        <w:t>天以上。</w:t>
      </w:r>
    </w:p>
    <w:p>
      <w:pPr>
        <w:pStyle w:val="BodyText"/>
        <w:spacing w:before="18"/>
        <w:ind w:left="2522"/>
      </w:pPr>
      <w:r>
        <w:rPr/>
        <w:t>由神经科专家提供的明确诊断必须包含以下全部三项内容：</w:t>
      </w:r>
    </w:p>
    <w:p>
      <w:pPr>
        <w:pStyle w:val="ListParagraph"/>
        <w:numPr>
          <w:ilvl w:val="1"/>
          <w:numId w:val="12"/>
        </w:numPr>
        <w:tabs>
          <w:tab w:pos="2943" w:val="left" w:leader="none"/>
        </w:tabs>
        <w:spacing w:line="240" w:lineRule="auto" w:before="76" w:after="0"/>
        <w:ind w:left="2942" w:right="0" w:hanging="420"/>
        <w:jc w:val="left"/>
        <w:rPr>
          <w:sz w:val="18"/>
        </w:rPr>
      </w:pPr>
      <w:r>
        <w:rPr>
          <w:sz w:val="18"/>
        </w:rPr>
        <w:t>明确出现因视神经、脑干和脊髓损伤而导致的临床表现；</w:t>
      </w:r>
    </w:p>
    <w:p>
      <w:pPr>
        <w:pStyle w:val="ListParagraph"/>
        <w:numPr>
          <w:ilvl w:val="1"/>
          <w:numId w:val="12"/>
        </w:numPr>
        <w:tabs>
          <w:tab w:pos="2943" w:val="left" w:leader="none"/>
        </w:tabs>
        <w:spacing w:line="240" w:lineRule="auto" w:before="76" w:after="0"/>
        <w:ind w:left="2942" w:right="0" w:hanging="420"/>
        <w:jc w:val="left"/>
        <w:rPr>
          <w:sz w:val="18"/>
        </w:rPr>
      </w:pPr>
      <w:r>
        <w:rPr>
          <w:sz w:val="18"/>
        </w:rPr>
        <w:t>散在的身体损害的多样性；</w:t>
      </w:r>
    </w:p>
    <w:p>
      <w:pPr>
        <w:pStyle w:val="ListParagraph"/>
        <w:numPr>
          <w:ilvl w:val="1"/>
          <w:numId w:val="12"/>
        </w:numPr>
        <w:tabs>
          <w:tab w:pos="2943" w:val="left" w:leader="none"/>
        </w:tabs>
        <w:spacing w:line="240" w:lineRule="auto" w:before="76" w:after="0"/>
        <w:ind w:left="2942" w:right="0" w:hanging="420"/>
        <w:jc w:val="left"/>
        <w:rPr>
          <w:sz w:val="18"/>
        </w:rPr>
      </w:pPr>
      <w:r>
        <w:rPr>
          <w:sz w:val="18"/>
        </w:rPr>
        <w:t>有明确的上述症状及神经损伤反复恶化、减轻的病史纪录。</w:t>
      </w:r>
    </w:p>
    <w:p>
      <w:pPr>
        <w:pStyle w:val="BodyText"/>
        <w:spacing w:before="9"/>
        <w:rPr>
          <w:sz w:val="19"/>
        </w:rPr>
      </w:pPr>
    </w:p>
    <w:p>
      <w:pPr>
        <w:spacing w:after="0"/>
        <w:rPr>
          <w:sz w:val="19"/>
        </w:rPr>
        <w:sectPr>
          <w:headerReference w:type="default" r:id="rId14"/>
          <w:footerReference w:type="default" r:id="rId15"/>
          <w:pgSz w:w="11910" w:h="16840"/>
          <w:pgMar w:header="877" w:footer="0" w:top="1100" w:bottom="280" w:left="1080" w:right="820"/>
        </w:sectPr>
      </w:pPr>
    </w:p>
    <w:p>
      <w:pPr>
        <w:pStyle w:val="Heading4"/>
        <w:numPr>
          <w:ilvl w:val="0"/>
          <w:numId w:val="12"/>
        </w:numPr>
        <w:tabs>
          <w:tab w:pos="525" w:val="left" w:leader="none"/>
        </w:tabs>
        <w:spacing w:line="240" w:lineRule="auto" w:before="45" w:after="0"/>
        <w:ind w:left="524" w:right="0" w:hanging="420"/>
        <w:jc w:val="left"/>
      </w:pPr>
      <w:r>
        <w:rPr>
          <w:spacing w:val="18"/>
          <w:w w:val="95"/>
        </w:rPr>
        <w:t>胰岛素依赖型糖尿病</w:t>
      </w:r>
    </w:p>
    <w:p>
      <w:pPr>
        <w:spacing w:before="76"/>
        <w:ind w:left="524" w:right="0" w:firstLine="0"/>
        <w:jc w:val="left"/>
        <w:rPr>
          <w:b/>
          <w:sz w:val="18"/>
        </w:rPr>
      </w:pPr>
      <w:r>
        <w:rPr>
          <w:b/>
          <w:w w:val="95"/>
          <w:sz w:val="18"/>
        </w:rPr>
        <w:t>（Ｉ型糖尿病）</w:t>
      </w:r>
    </w:p>
    <w:p>
      <w:pPr>
        <w:pStyle w:val="BodyText"/>
        <w:spacing w:line="316" w:lineRule="auto" w:before="45"/>
        <w:ind w:left="104" w:right="136"/>
        <w:jc w:val="both"/>
      </w:pPr>
      <w:r>
        <w:rPr/>
        <w:br w:type="column"/>
      </w:r>
      <w:r>
        <w:rPr>
          <w:spacing w:val="-2"/>
        </w:rPr>
        <w:t>胰岛素依赖型糖尿病是由于胰岛素分泌不足引起的慢性血糖升高，并需持续性地依赖外源性胰</w:t>
      </w:r>
      <w:r>
        <w:rPr>
          <w:spacing w:val="-11"/>
        </w:rPr>
        <w:t>岛素维持 </w:t>
      </w:r>
      <w:r>
        <w:rPr/>
        <w:t>180</w:t>
      </w:r>
      <w:r>
        <w:rPr>
          <w:spacing w:val="-10"/>
        </w:rPr>
        <w:t> 天以上，须由本公司认可的有资格的内分泌医生确诊并在本附加合同保险责任有效期内，满足下述至少一个条件：</w:t>
      </w:r>
    </w:p>
    <w:p>
      <w:pPr>
        <w:pStyle w:val="ListParagraph"/>
        <w:numPr>
          <w:ilvl w:val="0"/>
          <w:numId w:val="15"/>
        </w:numPr>
        <w:tabs>
          <w:tab w:pos="525" w:val="left" w:leader="none"/>
        </w:tabs>
        <w:spacing w:line="240" w:lineRule="auto" w:before="18" w:after="0"/>
        <w:ind w:left="524" w:right="0" w:hanging="420"/>
        <w:jc w:val="both"/>
        <w:rPr>
          <w:sz w:val="18"/>
        </w:rPr>
      </w:pPr>
      <w:r>
        <w:rPr>
          <w:sz w:val="18"/>
        </w:rPr>
        <w:t>本公司认可的内分泌医生确诊已出现增殖性视网膜病变；</w:t>
      </w:r>
    </w:p>
    <w:p>
      <w:pPr>
        <w:pStyle w:val="ListParagraph"/>
        <w:numPr>
          <w:ilvl w:val="0"/>
          <w:numId w:val="15"/>
        </w:numPr>
        <w:tabs>
          <w:tab w:pos="525" w:val="left" w:leader="none"/>
        </w:tabs>
        <w:spacing w:line="240" w:lineRule="auto" w:before="76" w:after="0"/>
        <w:ind w:left="524" w:right="0" w:hanging="420"/>
        <w:jc w:val="both"/>
        <w:rPr>
          <w:sz w:val="18"/>
        </w:rPr>
      </w:pPr>
      <w:r>
        <w:rPr>
          <w:sz w:val="18"/>
        </w:rPr>
        <w:t>须植入心脏起搏器治疗心脏病；</w:t>
      </w:r>
    </w:p>
    <w:p>
      <w:pPr>
        <w:pStyle w:val="ListParagraph"/>
        <w:numPr>
          <w:ilvl w:val="0"/>
          <w:numId w:val="15"/>
        </w:numPr>
        <w:tabs>
          <w:tab w:pos="525" w:val="left" w:leader="none"/>
        </w:tabs>
        <w:spacing w:line="240" w:lineRule="auto" w:before="76" w:after="0"/>
        <w:ind w:left="524" w:right="0" w:hanging="420"/>
        <w:jc w:val="both"/>
        <w:rPr>
          <w:sz w:val="18"/>
        </w:rPr>
      </w:pPr>
      <w:r>
        <w:rPr>
          <w:sz w:val="18"/>
        </w:rPr>
        <w:t>因坏疽需切除一只或以上脚趾。</w:t>
      </w:r>
    </w:p>
    <w:p>
      <w:pPr>
        <w:spacing w:after="0" w:line="240" w:lineRule="auto"/>
        <w:jc w:val="both"/>
        <w:rPr>
          <w:sz w:val="18"/>
        </w:rPr>
        <w:sectPr>
          <w:type w:val="continuous"/>
          <w:pgSz w:w="11910" w:h="16840"/>
          <w:pgMar w:top="1040" w:bottom="1180" w:left="1080" w:right="820"/>
          <w:cols w:num="2" w:equalWidth="0">
            <w:col w:w="2327" w:space="91"/>
            <w:col w:w="7592"/>
          </w:cols>
        </w:sectPr>
      </w:pPr>
    </w:p>
    <w:p>
      <w:pPr>
        <w:pStyle w:val="BodyText"/>
        <w:spacing w:before="9"/>
        <w:rPr>
          <w:sz w:val="19"/>
        </w:rPr>
      </w:pPr>
    </w:p>
    <w:p>
      <w:pPr>
        <w:pStyle w:val="ListParagraph"/>
        <w:numPr>
          <w:ilvl w:val="0"/>
          <w:numId w:val="12"/>
        </w:numPr>
        <w:tabs>
          <w:tab w:pos="525" w:val="left" w:leader="none"/>
        </w:tabs>
        <w:spacing w:line="316" w:lineRule="auto" w:before="45" w:after="0"/>
        <w:ind w:left="2522" w:right="136" w:hanging="2418"/>
        <w:jc w:val="both"/>
        <w:rPr>
          <w:sz w:val="18"/>
        </w:rPr>
      </w:pPr>
      <w:r>
        <w:rPr>
          <w:b/>
          <w:sz w:val="18"/>
        </w:rPr>
        <w:t>原发性心肌病         </w:t>
      </w:r>
      <w:r>
        <w:rPr>
          <w:spacing w:val="-3"/>
          <w:sz w:val="18"/>
        </w:rPr>
        <w:t>指不明原因引起的一类心肌病变，包括原发性扩张型心肌病、原发性肥厚型心肌病及原发性限</w:t>
      </w:r>
      <w:r>
        <w:rPr>
          <w:spacing w:val="-6"/>
          <w:sz w:val="18"/>
        </w:rPr>
        <w:t>制型心肌病三种，病变必须已造成事实上心室功能障碍而出现明显的心功能衰竭</w:t>
      </w:r>
      <w:r>
        <w:rPr>
          <w:sz w:val="18"/>
        </w:rPr>
        <w:t>（美国纽约心脏协会心功能分类标准心功能达四级</w:t>
      </w:r>
      <w:r>
        <w:rPr>
          <w:spacing w:val="-90"/>
          <w:sz w:val="18"/>
        </w:rPr>
        <w:t>）</w:t>
      </w:r>
      <w:r>
        <w:rPr>
          <w:sz w:val="18"/>
        </w:rPr>
        <w:t>，且有相关住院医疗记录显示四级心功能衰竭状态持续</w:t>
      </w:r>
      <w:r>
        <w:rPr>
          <w:spacing w:val="-16"/>
          <w:sz w:val="18"/>
        </w:rPr>
        <w:t>至少 </w:t>
      </w:r>
      <w:r>
        <w:rPr>
          <w:sz w:val="18"/>
        </w:rPr>
        <w:t>180</w:t>
      </w:r>
      <w:r>
        <w:rPr>
          <w:spacing w:val="-16"/>
          <w:sz w:val="18"/>
        </w:rPr>
        <w:t> 天。</w:t>
      </w:r>
    </w:p>
    <w:p>
      <w:pPr>
        <w:pStyle w:val="BodyText"/>
        <w:spacing w:line="316" w:lineRule="auto" w:before="19"/>
        <w:ind w:left="2522" w:right="136"/>
      </w:pPr>
      <w:r>
        <w:rPr/>
        <w:t>本病须经专科医师明确诊断。继发于全身性疾病或其它器官系统疾病造成的心肌病变除外。</w:t>
      </w:r>
      <w:r>
        <w:rPr>
          <w:spacing w:val="-1"/>
        </w:rPr>
        <w:t>美国纽约心脏协会分类标准心功能四级是指有医院的医疗记录显示病人不能进行任何活动，休息时仍有心悸、呼吸困难等心力衰竭表现。</w:t>
      </w:r>
    </w:p>
    <w:p>
      <w:pPr>
        <w:pStyle w:val="BodyText"/>
        <w:spacing w:before="10"/>
      </w:pPr>
    </w:p>
    <w:p>
      <w:pPr>
        <w:pStyle w:val="ListParagraph"/>
        <w:numPr>
          <w:ilvl w:val="0"/>
          <w:numId w:val="12"/>
        </w:numPr>
        <w:tabs>
          <w:tab w:pos="525" w:val="left" w:leader="none"/>
          <w:tab w:pos="2522" w:val="left" w:leader="none"/>
        </w:tabs>
        <w:spacing w:line="316" w:lineRule="auto" w:before="0" w:after="0"/>
        <w:ind w:left="2522" w:right="100" w:hanging="2418"/>
        <w:jc w:val="both"/>
        <w:rPr>
          <w:sz w:val="18"/>
        </w:rPr>
      </w:pPr>
      <w:r>
        <w:rPr>
          <w:b/>
          <w:sz w:val="18"/>
        </w:rPr>
        <w:t>重症肌无力</w:t>
        <w:tab/>
      </w:r>
      <w:r>
        <w:rPr>
          <w:sz w:val="18"/>
        </w:rPr>
        <w:t>是指一种神经与肌肉接头部位传递障碍的自身免疫性疾病</w:t>
      </w:r>
      <w:r>
        <w:rPr>
          <w:spacing w:val="-36"/>
          <w:sz w:val="18"/>
        </w:rPr>
        <w:t>，</w:t>
      </w:r>
      <w:r>
        <w:rPr>
          <w:sz w:val="18"/>
        </w:rPr>
        <w:t>临床特征是局部或全身横纹肌于活动时易于疲劳无力，颅神经眼外肌最易累及，也可涉及呼吸肌、下肢近端肌群乃至全身肌肉， 须经本公司认可的神经科医师确诊。其诊断必须同时具有下列情况：</w:t>
      </w:r>
    </w:p>
    <w:p>
      <w:pPr>
        <w:pStyle w:val="ListParagraph"/>
        <w:numPr>
          <w:ilvl w:val="1"/>
          <w:numId w:val="12"/>
        </w:numPr>
        <w:tabs>
          <w:tab w:pos="2920" w:val="left" w:leader="none"/>
        </w:tabs>
        <w:spacing w:line="240" w:lineRule="auto" w:before="18" w:after="0"/>
        <w:ind w:left="2919" w:right="0" w:hanging="397"/>
        <w:jc w:val="left"/>
        <w:rPr>
          <w:sz w:val="18"/>
        </w:rPr>
      </w:pPr>
      <w:r>
        <w:rPr>
          <w:sz w:val="18"/>
        </w:rPr>
        <w:t>经药物、胸腺手术治疗一年以上无法控制病情，丧失正常工作能力；</w:t>
      </w:r>
    </w:p>
    <w:p>
      <w:pPr>
        <w:pStyle w:val="ListParagraph"/>
        <w:numPr>
          <w:ilvl w:val="1"/>
          <w:numId w:val="12"/>
        </w:numPr>
        <w:tabs>
          <w:tab w:pos="2920" w:val="left" w:leader="none"/>
        </w:tabs>
        <w:spacing w:line="316" w:lineRule="auto" w:before="76" w:after="0"/>
        <w:ind w:left="2919" w:right="134" w:hanging="397"/>
        <w:jc w:val="left"/>
        <w:rPr>
          <w:sz w:val="18"/>
        </w:rPr>
      </w:pPr>
      <w:r>
        <w:rPr>
          <w:spacing w:val="-6"/>
          <w:sz w:val="18"/>
        </w:rPr>
        <w:t>出现眼睑下垂，或延髓肌受累引起的构音困难、进食呛咳，或由于肌无力累及延髓肌、呼吸肌而致机体呼吸功能不正常的危急状态即肌无力危象；</w:t>
      </w:r>
    </w:p>
    <w:p>
      <w:pPr>
        <w:pStyle w:val="ListParagraph"/>
        <w:numPr>
          <w:ilvl w:val="1"/>
          <w:numId w:val="12"/>
        </w:numPr>
        <w:tabs>
          <w:tab w:pos="2920" w:val="left" w:leader="none"/>
        </w:tabs>
        <w:spacing w:line="240" w:lineRule="auto" w:before="19" w:after="0"/>
        <w:ind w:left="2919" w:right="0" w:hanging="397"/>
        <w:jc w:val="left"/>
        <w:rPr>
          <w:sz w:val="18"/>
        </w:rPr>
      </w:pPr>
      <w:r>
        <w:rPr>
          <w:sz w:val="18"/>
        </w:rPr>
        <w:t>症状缓解、复发及恶化交替出现，临床接受新斯的明等抗胆碱酯酶药物治疗的病史。</w:t>
      </w:r>
    </w:p>
    <w:p>
      <w:pPr>
        <w:pStyle w:val="BodyText"/>
        <w:spacing w:before="12"/>
        <w:rPr>
          <w:sz w:val="14"/>
        </w:rPr>
      </w:pPr>
    </w:p>
    <w:p>
      <w:pPr>
        <w:pStyle w:val="BodyText"/>
        <w:spacing w:before="50"/>
        <w:ind w:left="4677" w:right="4708"/>
        <w:jc w:val="center"/>
      </w:pPr>
      <w:r>
        <w:rPr/>
        <w:t>第 </w:t>
      </w:r>
      <w:r>
        <w:rPr>
          <w:rFonts w:ascii="Times New Roman" w:eastAsia="Times New Roman"/>
        </w:rPr>
        <w:t>9 </w:t>
      </w:r>
      <w:r>
        <w:rPr/>
        <w:t>页</w:t>
      </w:r>
    </w:p>
    <w:p>
      <w:pPr>
        <w:spacing w:after="0"/>
        <w:jc w:val="center"/>
        <w:sectPr>
          <w:type w:val="continuous"/>
          <w:pgSz w:w="11910" w:h="16840"/>
          <w:pgMar w:top="1040" w:bottom="1180" w:left="1080" w:right="820"/>
        </w:sectPr>
      </w:pPr>
    </w:p>
    <w:p>
      <w:pPr>
        <w:pStyle w:val="BodyText"/>
        <w:spacing w:before="0"/>
        <w:rPr>
          <w:sz w:val="20"/>
        </w:rPr>
      </w:pPr>
    </w:p>
    <w:p>
      <w:pPr>
        <w:pStyle w:val="BodyText"/>
        <w:spacing w:before="7"/>
        <w:rPr>
          <w:sz w:val="17"/>
        </w:rPr>
      </w:pPr>
    </w:p>
    <w:p>
      <w:pPr>
        <w:pStyle w:val="ListParagraph"/>
        <w:numPr>
          <w:ilvl w:val="0"/>
          <w:numId w:val="12"/>
        </w:numPr>
        <w:tabs>
          <w:tab w:pos="585" w:val="left" w:leader="none"/>
          <w:tab w:pos="2582" w:val="left" w:leader="none"/>
        </w:tabs>
        <w:spacing w:line="316" w:lineRule="auto" w:before="45" w:after="0"/>
        <w:ind w:left="2582" w:right="235" w:hanging="2418"/>
        <w:jc w:val="left"/>
        <w:rPr>
          <w:sz w:val="18"/>
        </w:rPr>
      </w:pPr>
      <w:r>
        <w:rPr>
          <w:b/>
          <w:sz w:val="18"/>
        </w:rPr>
        <w:t>脊髓灰质炎</w:t>
        <w:tab/>
      </w:r>
      <w:r>
        <w:rPr>
          <w:sz w:val="18"/>
        </w:rPr>
        <w:t>经由本公司认可的神经专科医生确认是由于脊髓灰质炎病毒感染所导致的运动功能障碍或呼吸功能减弱麻痹性瘫痪的疾病</w:t>
      </w:r>
      <w:r>
        <w:rPr>
          <w:spacing w:val="-18"/>
          <w:sz w:val="18"/>
        </w:rPr>
        <w:t>。</w:t>
      </w:r>
      <w:r>
        <w:rPr>
          <w:sz w:val="18"/>
        </w:rPr>
        <w:t>被保险人若无因此感染而导致麻痹性瘫痪的事实结果</w:t>
      </w:r>
      <w:r>
        <w:rPr>
          <w:spacing w:val="-18"/>
          <w:sz w:val="18"/>
        </w:rPr>
        <w:t>，</w:t>
      </w:r>
      <w:r>
        <w:rPr>
          <w:sz w:val="18"/>
        </w:rPr>
        <w:t>则不符合给付保险金的条件。其它病因所致的麻痹，例如格林巴利综合征则不在此保障范围以内。</w:t>
      </w:r>
    </w:p>
    <w:p>
      <w:pPr>
        <w:pStyle w:val="BodyText"/>
        <w:spacing w:before="4"/>
        <w:rPr>
          <w:sz w:val="15"/>
        </w:rPr>
      </w:pPr>
    </w:p>
    <w:p>
      <w:pPr>
        <w:spacing w:after="0"/>
        <w:rPr>
          <w:sz w:val="15"/>
        </w:rPr>
        <w:sectPr>
          <w:footerReference w:type="default" r:id="rId16"/>
          <w:pgSz w:w="11910" w:h="16840"/>
          <w:pgMar w:footer="981" w:header="877" w:top="1100" w:bottom="1180" w:left="1020" w:right="720"/>
          <w:pgNumType w:start="10"/>
        </w:sectPr>
      </w:pPr>
    </w:p>
    <w:p>
      <w:pPr>
        <w:pStyle w:val="Heading4"/>
        <w:numPr>
          <w:ilvl w:val="0"/>
          <w:numId w:val="12"/>
        </w:numPr>
        <w:tabs>
          <w:tab w:pos="585" w:val="left" w:leader="none"/>
        </w:tabs>
        <w:spacing w:line="316" w:lineRule="auto" w:before="45" w:after="0"/>
        <w:ind w:left="525" w:right="0" w:hanging="361"/>
        <w:jc w:val="left"/>
      </w:pPr>
      <w:r>
        <w:rPr/>
        <w:t>急性坏死性胰腺炎</w:t>
      </w:r>
    </w:p>
    <w:p>
      <w:pPr>
        <w:pStyle w:val="BodyText"/>
        <w:spacing w:line="316" w:lineRule="auto" w:before="45"/>
        <w:ind w:left="164" w:right="201"/>
      </w:pPr>
      <w:r>
        <w:rPr/>
        <w:br w:type="column"/>
      </w:r>
      <w:r>
        <w:rPr/>
        <w:t>由本公司指定或认可的医师确诊为急性坏死性胰腺炎，并需进行手术治疗，以进行组织清除、病灶切除或胰腺切除。但因酒精中毒所致的急性坏死性胰腺炎除外。</w:t>
      </w:r>
    </w:p>
    <w:p>
      <w:pPr>
        <w:spacing w:after="0" w:line="316" w:lineRule="auto"/>
        <w:sectPr>
          <w:type w:val="continuous"/>
          <w:pgSz w:w="11910" w:h="16840"/>
          <w:pgMar w:top="1040" w:bottom="1180" w:left="1020" w:right="720"/>
          <w:cols w:num="2" w:equalWidth="0">
            <w:col w:w="1490" w:space="928"/>
            <w:col w:w="7752"/>
          </w:cols>
        </w:sectPr>
      </w:pPr>
    </w:p>
    <w:p>
      <w:pPr>
        <w:pStyle w:val="BodyText"/>
        <w:spacing w:before="4"/>
        <w:rPr>
          <w:sz w:val="15"/>
        </w:rPr>
      </w:pPr>
    </w:p>
    <w:p>
      <w:pPr>
        <w:pStyle w:val="ListParagraph"/>
        <w:numPr>
          <w:ilvl w:val="0"/>
          <w:numId w:val="12"/>
        </w:numPr>
        <w:tabs>
          <w:tab w:pos="585" w:val="left" w:leader="none"/>
        </w:tabs>
        <w:spacing w:line="316" w:lineRule="auto" w:before="45" w:after="0"/>
        <w:ind w:left="2582" w:right="237" w:hanging="2418"/>
        <w:jc w:val="both"/>
        <w:rPr>
          <w:sz w:val="18"/>
        </w:rPr>
      </w:pPr>
      <w:r>
        <w:rPr>
          <w:b/>
          <w:sz w:val="18"/>
        </w:rPr>
        <w:t>肌营养不良症         </w:t>
      </w:r>
      <w:r>
        <w:rPr>
          <w:spacing w:val="-3"/>
          <w:sz w:val="18"/>
        </w:rPr>
        <w:t>是一组原发于肌肉的遗传性疾病。主要临床特征为受累骨骼肌肉的无力和萎缩。经本公司认可的神经专科医生确认符合以下四项诊断指标中的三项：</w:t>
      </w:r>
    </w:p>
    <w:p>
      <w:pPr>
        <w:pStyle w:val="ListParagraph"/>
        <w:numPr>
          <w:ilvl w:val="1"/>
          <w:numId w:val="12"/>
        </w:numPr>
        <w:tabs>
          <w:tab w:pos="3003" w:val="left" w:leader="none"/>
        </w:tabs>
        <w:spacing w:line="240" w:lineRule="auto" w:before="19" w:after="0"/>
        <w:ind w:left="3002" w:right="0" w:hanging="420"/>
        <w:jc w:val="left"/>
        <w:rPr>
          <w:sz w:val="18"/>
        </w:rPr>
      </w:pPr>
      <w:r>
        <w:rPr>
          <w:sz w:val="18"/>
        </w:rPr>
        <w:t>家族史中有其他成员患相同疾病；</w:t>
      </w:r>
    </w:p>
    <w:p>
      <w:pPr>
        <w:pStyle w:val="ListParagraph"/>
        <w:numPr>
          <w:ilvl w:val="1"/>
          <w:numId w:val="12"/>
        </w:numPr>
        <w:tabs>
          <w:tab w:pos="3003" w:val="left" w:leader="none"/>
        </w:tabs>
        <w:spacing w:line="240" w:lineRule="auto" w:before="76" w:after="0"/>
        <w:ind w:left="3002" w:right="0" w:hanging="420"/>
        <w:jc w:val="left"/>
        <w:rPr>
          <w:sz w:val="18"/>
        </w:rPr>
      </w:pPr>
      <w:r>
        <w:rPr>
          <w:sz w:val="18"/>
        </w:rPr>
        <w:t>临床表现包括：无感觉神经紊乱，正常脑脊液及轻微腱反射的减退；</w:t>
      </w:r>
    </w:p>
    <w:p>
      <w:pPr>
        <w:pStyle w:val="ListParagraph"/>
        <w:numPr>
          <w:ilvl w:val="1"/>
          <w:numId w:val="12"/>
        </w:numPr>
        <w:tabs>
          <w:tab w:pos="3003" w:val="left" w:leader="none"/>
        </w:tabs>
        <w:spacing w:line="240" w:lineRule="auto" w:before="76" w:after="0"/>
        <w:ind w:left="3002" w:right="0" w:hanging="420"/>
        <w:jc w:val="left"/>
        <w:rPr>
          <w:sz w:val="18"/>
        </w:rPr>
      </w:pPr>
      <w:r>
        <w:rPr>
          <w:sz w:val="18"/>
        </w:rPr>
        <w:t>典型的肌电图；</w:t>
      </w:r>
    </w:p>
    <w:p>
      <w:pPr>
        <w:pStyle w:val="ListParagraph"/>
        <w:numPr>
          <w:ilvl w:val="1"/>
          <w:numId w:val="12"/>
        </w:numPr>
        <w:tabs>
          <w:tab w:pos="3003" w:val="left" w:leader="none"/>
        </w:tabs>
        <w:spacing w:line="240" w:lineRule="auto" w:before="76" w:after="0"/>
        <w:ind w:left="3002" w:right="0" w:hanging="420"/>
        <w:jc w:val="left"/>
        <w:rPr>
          <w:sz w:val="18"/>
        </w:rPr>
      </w:pPr>
      <w:r>
        <w:rPr>
          <w:sz w:val="18"/>
        </w:rPr>
        <w:t>临床推测必须有肌肉或组织检查加以证实。</w:t>
      </w:r>
    </w:p>
    <w:p>
      <w:pPr>
        <w:pStyle w:val="BodyText"/>
        <w:spacing w:before="4" w:after="1"/>
        <w:rPr>
          <w:sz w:val="27"/>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7"/>
        <w:gridCol w:w="1974"/>
        <w:gridCol w:w="7566"/>
      </w:tblGrid>
      <w:tr>
        <w:trPr>
          <w:trHeight w:val="1919" w:hRule="atLeast"/>
        </w:trPr>
        <w:tc>
          <w:tcPr>
            <w:tcW w:w="397" w:type="dxa"/>
          </w:tcPr>
          <w:p>
            <w:pPr>
              <w:pStyle w:val="TableParagraph"/>
              <w:spacing w:line="180" w:lineRule="exact"/>
              <w:ind w:left="31" w:right="52"/>
              <w:jc w:val="center"/>
              <w:rPr>
                <w:b/>
                <w:sz w:val="18"/>
              </w:rPr>
            </w:pPr>
            <w:r>
              <w:rPr>
                <w:b/>
                <w:sz w:val="18"/>
              </w:rPr>
              <w:t>35.</w:t>
            </w:r>
          </w:p>
        </w:tc>
        <w:tc>
          <w:tcPr>
            <w:tcW w:w="1974" w:type="dxa"/>
          </w:tcPr>
          <w:p>
            <w:pPr>
              <w:pStyle w:val="TableParagraph"/>
              <w:spacing w:line="180" w:lineRule="exact"/>
              <w:ind w:left="72"/>
              <w:rPr>
                <w:b/>
                <w:sz w:val="18"/>
              </w:rPr>
            </w:pPr>
            <w:r>
              <w:rPr>
                <w:b/>
                <w:sz w:val="18"/>
              </w:rPr>
              <w:t>终末期肺病</w:t>
            </w:r>
          </w:p>
        </w:tc>
        <w:tc>
          <w:tcPr>
            <w:tcW w:w="7566" w:type="dxa"/>
          </w:tcPr>
          <w:p>
            <w:pPr>
              <w:pStyle w:val="TableParagraph"/>
              <w:spacing w:line="180" w:lineRule="exact"/>
              <w:ind w:left="96"/>
              <w:rPr>
                <w:sz w:val="18"/>
              </w:rPr>
            </w:pPr>
            <w:r>
              <w:rPr>
                <w:sz w:val="18"/>
              </w:rPr>
              <w:t>由本公司认可的呼吸专科医生确诊被保险人患有终末期肺病而出现慢性呼吸功能衰竭，其诊断</w:t>
            </w:r>
          </w:p>
          <w:p>
            <w:pPr>
              <w:pStyle w:val="TableParagraph"/>
              <w:spacing w:before="76"/>
              <w:ind w:left="96"/>
              <w:rPr>
                <w:sz w:val="18"/>
              </w:rPr>
            </w:pPr>
            <w:r>
              <w:rPr>
                <w:sz w:val="18"/>
              </w:rPr>
              <w:t>标准包括以下各项：</w:t>
            </w:r>
          </w:p>
          <w:p>
            <w:pPr>
              <w:pStyle w:val="TableParagraph"/>
              <w:numPr>
                <w:ilvl w:val="0"/>
                <w:numId w:val="16"/>
              </w:numPr>
              <w:tabs>
                <w:tab w:pos="457" w:val="left" w:leader="none"/>
              </w:tabs>
              <w:spacing w:line="240" w:lineRule="auto" w:before="76" w:after="0"/>
              <w:ind w:left="456" w:right="0" w:hanging="360"/>
              <w:jc w:val="left"/>
              <w:rPr>
                <w:sz w:val="18"/>
              </w:rPr>
            </w:pPr>
            <w:r>
              <w:rPr>
                <w:spacing w:val="6"/>
                <w:sz w:val="18"/>
              </w:rPr>
              <w:t>肺功能测试其</w:t>
            </w:r>
            <w:r>
              <w:rPr>
                <w:sz w:val="18"/>
              </w:rPr>
              <w:t>FEVl</w:t>
            </w:r>
            <w:r>
              <w:rPr>
                <w:spacing w:val="-16"/>
                <w:sz w:val="18"/>
              </w:rPr>
              <w:t> 持续低于 </w:t>
            </w:r>
            <w:r>
              <w:rPr>
                <w:sz w:val="18"/>
              </w:rPr>
              <w:t>0.75</w:t>
            </w:r>
            <w:r>
              <w:rPr>
                <w:spacing w:val="-16"/>
                <w:sz w:val="18"/>
              </w:rPr>
              <w:t> 升；</w:t>
            </w:r>
          </w:p>
          <w:p>
            <w:pPr>
              <w:pStyle w:val="TableParagraph"/>
              <w:numPr>
                <w:ilvl w:val="0"/>
                <w:numId w:val="16"/>
              </w:numPr>
              <w:tabs>
                <w:tab w:pos="457" w:val="left" w:leader="none"/>
              </w:tabs>
              <w:spacing w:line="240" w:lineRule="auto" w:before="76" w:after="0"/>
              <w:ind w:left="456" w:right="0" w:hanging="360"/>
              <w:jc w:val="left"/>
              <w:rPr>
                <w:sz w:val="18"/>
              </w:rPr>
            </w:pPr>
            <w:r>
              <w:rPr>
                <w:sz w:val="18"/>
              </w:rPr>
              <w:t>病人缺氧必须广泛而持续地进行输氧治疗；</w:t>
            </w:r>
          </w:p>
          <w:p>
            <w:pPr>
              <w:pStyle w:val="TableParagraph"/>
              <w:numPr>
                <w:ilvl w:val="0"/>
                <w:numId w:val="16"/>
              </w:numPr>
              <w:tabs>
                <w:tab w:pos="457" w:val="left" w:leader="none"/>
              </w:tabs>
              <w:spacing w:line="240" w:lineRule="auto" w:before="76" w:after="0"/>
              <w:ind w:left="456" w:right="0" w:hanging="360"/>
              <w:jc w:val="left"/>
              <w:rPr>
                <w:sz w:val="18"/>
              </w:rPr>
            </w:pPr>
            <w:r>
              <w:rPr>
                <w:spacing w:val="-4"/>
                <w:sz w:val="18"/>
              </w:rPr>
              <w:t>动脉血气分析氧分压低于 </w:t>
            </w:r>
            <w:r>
              <w:rPr>
                <w:sz w:val="18"/>
              </w:rPr>
              <w:t>55mmHg。</w:t>
            </w:r>
          </w:p>
          <w:p>
            <w:pPr>
              <w:pStyle w:val="TableParagraph"/>
              <w:spacing w:before="76"/>
              <w:ind w:left="96"/>
              <w:rPr>
                <w:sz w:val="18"/>
              </w:rPr>
            </w:pPr>
            <w:r>
              <w:rPr>
                <w:sz w:val="18"/>
              </w:rPr>
              <w:t>理赔时必须提供以上各项中相应的医院证明文件或检查报告。</w:t>
            </w:r>
          </w:p>
        </w:tc>
      </w:tr>
      <w:tr>
        <w:trPr>
          <w:trHeight w:val="1787" w:hRule="atLeast"/>
        </w:trPr>
        <w:tc>
          <w:tcPr>
            <w:tcW w:w="397" w:type="dxa"/>
          </w:tcPr>
          <w:p>
            <w:pPr>
              <w:pStyle w:val="TableParagraph"/>
              <w:spacing w:before="124"/>
              <w:ind w:left="31" w:right="52"/>
              <w:jc w:val="center"/>
              <w:rPr>
                <w:b/>
                <w:sz w:val="18"/>
              </w:rPr>
            </w:pPr>
            <w:r>
              <w:rPr>
                <w:b/>
                <w:sz w:val="18"/>
              </w:rPr>
              <w:t>36.</w:t>
            </w:r>
          </w:p>
        </w:tc>
        <w:tc>
          <w:tcPr>
            <w:tcW w:w="1974" w:type="dxa"/>
          </w:tcPr>
          <w:p>
            <w:pPr>
              <w:pStyle w:val="TableParagraph"/>
              <w:spacing w:line="316" w:lineRule="auto" w:before="124"/>
              <w:ind w:left="73" w:right="96"/>
              <w:rPr>
                <w:b/>
                <w:sz w:val="18"/>
              </w:rPr>
            </w:pPr>
            <w:r>
              <w:rPr>
                <w:b/>
                <w:w w:val="95"/>
                <w:sz w:val="18"/>
              </w:rPr>
              <w:t>经输血感染艾滋病病</w:t>
            </w:r>
            <w:r>
              <w:rPr>
                <w:b/>
                <w:sz w:val="18"/>
              </w:rPr>
              <w:t>毒</w:t>
            </w:r>
          </w:p>
        </w:tc>
        <w:tc>
          <w:tcPr>
            <w:tcW w:w="7566" w:type="dxa"/>
          </w:tcPr>
          <w:p>
            <w:pPr>
              <w:pStyle w:val="TableParagraph"/>
              <w:spacing w:before="124"/>
              <w:ind w:left="97"/>
              <w:rPr>
                <w:sz w:val="18"/>
              </w:rPr>
            </w:pPr>
            <w:r>
              <w:rPr>
                <w:sz w:val="18"/>
              </w:rPr>
              <w:t>因输血而被艾滋病病毒（HIV）感染或成为艾滋病患者（AIDS</w:t>
            </w:r>
            <w:r>
              <w:rPr>
                <w:spacing w:val="-90"/>
                <w:sz w:val="18"/>
              </w:rPr>
              <w:t>）</w:t>
            </w:r>
            <w:r>
              <w:rPr>
                <w:sz w:val="18"/>
              </w:rPr>
              <w:t>，需要满足下列所有条件：</w:t>
            </w:r>
          </w:p>
          <w:p>
            <w:pPr>
              <w:pStyle w:val="TableParagraph"/>
              <w:numPr>
                <w:ilvl w:val="0"/>
                <w:numId w:val="17"/>
              </w:numPr>
              <w:tabs>
                <w:tab w:pos="495" w:val="left" w:leader="none"/>
              </w:tabs>
              <w:spacing w:line="316" w:lineRule="auto" w:before="76" w:after="0"/>
              <w:ind w:left="494" w:right="229" w:hanging="397"/>
              <w:jc w:val="left"/>
              <w:rPr>
                <w:sz w:val="18"/>
              </w:rPr>
            </w:pPr>
            <w:r>
              <w:rPr>
                <w:sz w:val="18"/>
              </w:rPr>
              <w:t>感染是由于必要的医疗性输血引起的，且医疗性输血是在保单生效日后或复效日后发生的；</w:t>
            </w:r>
          </w:p>
          <w:p>
            <w:pPr>
              <w:pStyle w:val="TableParagraph"/>
              <w:numPr>
                <w:ilvl w:val="0"/>
                <w:numId w:val="17"/>
              </w:numPr>
              <w:tabs>
                <w:tab w:pos="495" w:val="left" w:leader="none"/>
              </w:tabs>
              <w:spacing w:line="240" w:lineRule="auto" w:before="18" w:after="0"/>
              <w:ind w:left="494" w:right="0" w:hanging="397"/>
              <w:jc w:val="left"/>
              <w:rPr>
                <w:sz w:val="18"/>
              </w:rPr>
            </w:pPr>
            <w:r>
              <w:rPr>
                <w:sz w:val="18"/>
              </w:rPr>
              <w:t>提供输血的医疗机构承认该项输血感染为医疗责任事故；</w:t>
            </w:r>
          </w:p>
          <w:p>
            <w:pPr>
              <w:pStyle w:val="TableParagraph"/>
              <w:numPr>
                <w:ilvl w:val="0"/>
                <w:numId w:val="17"/>
              </w:numPr>
              <w:tabs>
                <w:tab w:pos="495" w:val="left" w:leader="none"/>
              </w:tabs>
              <w:spacing w:line="240" w:lineRule="auto" w:before="76" w:after="0"/>
              <w:ind w:left="494" w:right="0" w:hanging="397"/>
              <w:jc w:val="left"/>
              <w:rPr>
                <w:sz w:val="18"/>
              </w:rPr>
            </w:pPr>
            <w:r>
              <w:rPr>
                <w:sz w:val="18"/>
              </w:rPr>
              <w:t>被保险人不是血友病患者。</w:t>
            </w:r>
          </w:p>
        </w:tc>
      </w:tr>
      <w:tr>
        <w:trPr>
          <w:trHeight w:val="2141" w:hRule="atLeast"/>
        </w:trPr>
        <w:tc>
          <w:tcPr>
            <w:tcW w:w="397" w:type="dxa"/>
          </w:tcPr>
          <w:p>
            <w:pPr>
              <w:pStyle w:val="TableParagraph"/>
              <w:spacing w:before="124"/>
              <w:ind w:left="31" w:right="52"/>
              <w:jc w:val="center"/>
              <w:rPr>
                <w:b/>
                <w:sz w:val="18"/>
              </w:rPr>
            </w:pPr>
            <w:r>
              <w:rPr>
                <w:b/>
                <w:sz w:val="18"/>
              </w:rPr>
              <w:t>37.</w:t>
            </w:r>
          </w:p>
        </w:tc>
        <w:tc>
          <w:tcPr>
            <w:tcW w:w="1974" w:type="dxa"/>
          </w:tcPr>
          <w:p>
            <w:pPr>
              <w:pStyle w:val="TableParagraph"/>
              <w:spacing w:before="124"/>
              <w:ind w:left="73"/>
              <w:rPr>
                <w:b/>
                <w:sz w:val="18"/>
              </w:rPr>
            </w:pPr>
            <w:r>
              <w:rPr>
                <w:b/>
                <w:w w:val="95"/>
                <w:sz w:val="18"/>
              </w:rPr>
              <w:t>严重类风湿性关节炎</w:t>
            </w:r>
          </w:p>
        </w:tc>
        <w:tc>
          <w:tcPr>
            <w:tcW w:w="7566" w:type="dxa"/>
          </w:tcPr>
          <w:p>
            <w:pPr>
              <w:pStyle w:val="TableParagraph"/>
              <w:spacing w:before="124"/>
              <w:ind w:left="97"/>
              <w:rPr>
                <w:sz w:val="18"/>
              </w:rPr>
            </w:pPr>
            <w:r>
              <w:rPr>
                <w:sz w:val="18"/>
              </w:rPr>
              <w:t>是指类风湿性关节炎患者符合以下三项标准的：</w:t>
            </w:r>
          </w:p>
          <w:p>
            <w:pPr>
              <w:pStyle w:val="TableParagraph"/>
              <w:numPr>
                <w:ilvl w:val="0"/>
                <w:numId w:val="18"/>
              </w:numPr>
              <w:tabs>
                <w:tab w:pos="495" w:val="left" w:leader="none"/>
              </w:tabs>
              <w:spacing w:line="316" w:lineRule="auto" w:before="76" w:after="0"/>
              <w:ind w:left="494" w:right="139" w:hanging="397"/>
              <w:jc w:val="left"/>
              <w:rPr>
                <w:sz w:val="18"/>
              </w:rPr>
            </w:pPr>
            <w:r>
              <w:rPr>
                <w:sz w:val="18"/>
              </w:rPr>
              <w:t>至少包括下列关节中的三组或以上有广泛受损和畸形改变:手指关节、腕关节、肘关节、膝关节、髋关节、踝关节、脊椎或脚趾关节；</w:t>
            </w:r>
          </w:p>
          <w:p>
            <w:pPr>
              <w:pStyle w:val="TableParagraph"/>
              <w:numPr>
                <w:ilvl w:val="0"/>
                <w:numId w:val="18"/>
              </w:numPr>
              <w:tabs>
                <w:tab w:pos="495" w:val="left" w:leader="none"/>
              </w:tabs>
              <w:spacing w:line="316" w:lineRule="auto" w:before="19" w:after="0"/>
              <w:ind w:left="494" w:right="49" w:hanging="397"/>
              <w:jc w:val="left"/>
              <w:rPr>
                <w:sz w:val="18"/>
              </w:rPr>
            </w:pPr>
            <w:r>
              <w:rPr>
                <w:spacing w:val="5"/>
                <w:sz w:val="18"/>
              </w:rPr>
              <w:t>手和腕的后前位</w:t>
            </w:r>
            <w:r>
              <w:rPr>
                <w:sz w:val="18"/>
              </w:rPr>
              <w:t>X</w:t>
            </w:r>
            <w:r>
              <w:rPr>
                <w:spacing w:val="-7"/>
                <w:sz w:val="18"/>
              </w:rPr>
              <w:t> 线拍片检查可见类风湿性关节炎的典型变化，包括骨质侵蚀或钙流失， 位于受累关节及其邻近部位尤其明显；</w:t>
            </w:r>
          </w:p>
          <w:p>
            <w:pPr>
              <w:pStyle w:val="TableParagraph"/>
              <w:numPr>
                <w:ilvl w:val="0"/>
                <w:numId w:val="18"/>
              </w:numPr>
              <w:tabs>
                <w:tab w:pos="495" w:val="left" w:leader="none"/>
              </w:tabs>
              <w:spacing w:line="240" w:lineRule="auto" w:before="19" w:after="0"/>
              <w:ind w:left="494" w:right="0" w:hanging="397"/>
              <w:jc w:val="left"/>
              <w:rPr>
                <w:sz w:val="18"/>
              </w:rPr>
            </w:pPr>
            <w:r>
              <w:rPr>
                <w:spacing w:val="-4"/>
                <w:sz w:val="18"/>
              </w:rPr>
              <w:t>关节的畸形改变至少持续 </w:t>
            </w:r>
            <w:r>
              <w:rPr>
                <w:sz w:val="18"/>
              </w:rPr>
              <w:t>6</w:t>
            </w:r>
            <w:r>
              <w:rPr>
                <w:spacing w:val="-12"/>
                <w:sz w:val="18"/>
              </w:rPr>
              <w:t> 个月。</w:t>
            </w:r>
          </w:p>
        </w:tc>
      </w:tr>
      <w:tr>
        <w:trPr>
          <w:trHeight w:val="893" w:hRule="atLeast"/>
        </w:trPr>
        <w:tc>
          <w:tcPr>
            <w:tcW w:w="397" w:type="dxa"/>
          </w:tcPr>
          <w:p>
            <w:pPr>
              <w:pStyle w:val="TableParagraph"/>
              <w:rPr>
                <w:rFonts w:ascii="Times New Roman"/>
                <w:sz w:val="18"/>
              </w:rPr>
            </w:pPr>
          </w:p>
        </w:tc>
        <w:tc>
          <w:tcPr>
            <w:tcW w:w="1974" w:type="dxa"/>
          </w:tcPr>
          <w:p>
            <w:pPr>
              <w:pStyle w:val="TableParagraph"/>
              <w:rPr>
                <w:rFonts w:ascii="Times New Roman"/>
                <w:sz w:val="18"/>
              </w:rPr>
            </w:pPr>
          </w:p>
        </w:tc>
        <w:tc>
          <w:tcPr>
            <w:tcW w:w="7566" w:type="dxa"/>
          </w:tcPr>
          <w:p>
            <w:pPr>
              <w:pStyle w:val="TableParagraph"/>
              <w:spacing w:before="9"/>
              <w:rPr>
                <w:sz w:val="12"/>
              </w:rPr>
            </w:pPr>
          </w:p>
          <w:p>
            <w:pPr>
              <w:pStyle w:val="TableParagraph"/>
              <w:spacing w:line="316" w:lineRule="auto"/>
              <w:ind w:left="97" w:right="65"/>
              <w:rPr>
                <w:sz w:val="18"/>
              </w:rPr>
            </w:pPr>
            <w:r>
              <w:rPr>
                <w:sz w:val="18"/>
              </w:rPr>
              <w:t>类风湿性关节炎系指以关节滑膜炎为特征的慢性全身性自身免疫性疾病，诊断必须符合国际认可的该疾病的诊断标准。</w:t>
            </w:r>
          </w:p>
        </w:tc>
      </w:tr>
      <w:tr>
        <w:trPr>
          <w:trHeight w:val="359" w:hRule="atLeast"/>
        </w:trPr>
        <w:tc>
          <w:tcPr>
            <w:tcW w:w="397" w:type="dxa"/>
          </w:tcPr>
          <w:p>
            <w:pPr>
              <w:pStyle w:val="TableParagraph"/>
              <w:spacing w:line="216" w:lineRule="exact" w:before="124"/>
              <w:ind w:left="31" w:right="52"/>
              <w:jc w:val="center"/>
              <w:rPr>
                <w:b/>
                <w:sz w:val="18"/>
              </w:rPr>
            </w:pPr>
            <w:r>
              <w:rPr>
                <w:b/>
                <w:sz w:val="18"/>
              </w:rPr>
              <w:t>38.</w:t>
            </w:r>
          </w:p>
        </w:tc>
        <w:tc>
          <w:tcPr>
            <w:tcW w:w="1974" w:type="dxa"/>
          </w:tcPr>
          <w:p>
            <w:pPr>
              <w:pStyle w:val="TableParagraph"/>
              <w:spacing w:line="216" w:lineRule="exact" w:before="124"/>
              <w:ind w:left="73"/>
              <w:rPr>
                <w:b/>
                <w:sz w:val="18"/>
              </w:rPr>
            </w:pPr>
            <w:r>
              <w:rPr>
                <w:b/>
                <w:w w:val="95"/>
                <w:sz w:val="18"/>
              </w:rPr>
              <w:t>肾髓质囊性病</w:t>
            </w:r>
          </w:p>
        </w:tc>
        <w:tc>
          <w:tcPr>
            <w:tcW w:w="7566" w:type="dxa"/>
          </w:tcPr>
          <w:p>
            <w:pPr>
              <w:pStyle w:val="TableParagraph"/>
              <w:spacing w:line="216" w:lineRule="exact" w:before="124"/>
              <w:ind w:left="97"/>
              <w:rPr>
                <w:sz w:val="18"/>
              </w:rPr>
            </w:pPr>
            <w:r>
              <w:rPr>
                <w:sz w:val="18"/>
              </w:rPr>
              <w:t>肾髓质囊性病的诊断必须同时符合下列要求：</w:t>
            </w:r>
          </w:p>
        </w:tc>
      </w:tr>
    </w:tbl>
    <w:p>
      <w:pPr>
        <w:pStyle w:val="ListParagraph"/>
        <w:numPr>
          <w:ilvl w:val="0"/>
          <w:numId w:val="19"/>
        </w:numPr>
        <w:tabs>
          <w:tab w:pos="3003" w:val="left" w:leader="none"/>
        </w:tabs>
        <w:spacing w:line="240" w:lineRule="auto" w:before="76" w:after="0"/>
        <w:ind w:left="3002" w:right="0" w:hanging="420"/>
        <w:jc w:val="left"/>
        <w:rPr>
          <w:sz w:val="18"/>
        </w:rPr>
      </w:pPr>
      <w:r>
        <w:rPr>
          <w:sz w:val="18"/>
        </w:rPr>
        <w:t>肾髓质有囊肿、肾小管萎缩及间质纤维化等病理改变；</w:t>
      </w:r>
    </w:p>
    <w:p>
      <w:pPr>
        <w:pStyle w:val="ListParagraph"/>
        <w:numPr>
          <w:ilvl w:val="0"/>
          <w:numId w:val="19"/>
        </w:numPr>
        <w:tabs>
          <w:tab w:pos="3003" w:val="left" w:leader="none"/>
        </w:tabs>
        <w:spacing w:line="240" w:lineRule="auto" w:before="76" w:after="0"/>
        <w:ind w:left="3002" w:right="0" w:hanging="420"/>
        <w:jc w:val="left"/>
        <w:rPr>
          <w:sz w:val="18"/>
        </w:rPr>
      </w:pPr>
      <w:r>
        <w:rPr>
          <w:sz w:val="18"/>
        </w:rPr>
        <w:t>贫血、多尿及肾功能衰竭等临床表现；</w:t>
      </w:r>
    </w:p>
    <w:p>
      <w:pPr>
        <w:pStyle w:val="ListParagraph"/>
        <w:numPr>
          <w:ilvl w:val="0"/>
          <w:numId w:val="19"/>
        </w:numPr>
        <w:tabs>
          <w:tab w:pos="3003" w:val="left" w:leader="none"/>
        </w:tabs>
        <w:spacing w:line="240" w:lineRule="auto" w:before="76" w:after="0"/>
        <w:ind w:left="3002" w:right="0" w:hanging="420"/>
        <w:jc w:val="left"/>
        <w:rPr>
          <w:sz w:val="18"/>
        </w:rPr>
      </w:pPr>
      <w:r>
        <w:rPr>
          <w:sz w:val="18"/>
        </w:rPr>
        <w:t>诊断须由肾组织活检确定。</w:t>
      </w:r>
    </w:p>
    <w:p>
      <w:pPr>
        <w:pStyle w:val="BodyText"/>
        <w:spacing w:before="1"/>
        <w:rPr>
          <w:sz w:val="23"/>
        </w:rPr>
      </w:pPr>
    </w:p>
    <w:p>
      <w:pPr>
        <w:pStyle w:val="ListParagraph"/>
        <w:numPr>
          <w:ilvl w:val="0"/>
          <w:numId w:val="20"/>
        </w:numPr>
        <w:tabs>
          <w:tab w:pos="585" w:val="left" w:leader="none"/>
        </w:tabs>
        <w:spacing w:line="316" w:lineRule="auto" w:before="1" w:after="0"/>
        <w:ind w:left="2582" w:right="236" w:hanging="2418"/>
        <w:jc w:val="both"/>
        <w:rPr>
          <w:sz w:val="18"/>
        </w:rPr>
      </w:pPr>
      <w:r>
        <w:rPr>
          <w:b/>
          <w:sz w:val="18"/>
        </w:rPr>
        <w:t>主动脉夹层瘤         </w:t>
      </w:r>
      <w:r>
        <w:rPr>
          <w:spacing w:val="-3"/>
          <w:sz w:val="18"/>
        </w:rPr>
        <w:t>是指主动脉壁在受到某些病理因素的破坏后，高速、高压的主动脉血流将其内膜撕裂，以致主</w:t>
      </w:r>
      <w:r>
        <w:rPr>
          <w:spacing w:val="-5"/>
          <w:sz w:val="18"/>
        </w:rPr>
        <w:t>动脉腔内的血流通过主动脉内膜的破裂口进入主动脉内壁而形成血肿。被保险人需通过电脑断层扫描（CT</w:t>
      </w:r>
      <w:r>
        <w:rPr>
          <w:spacing w:val="-90"/>
          <w:sz w:val="18"/>
        </w:rPr>
        <w:t>）</w:t>
      </w:r>
      <w:r>
        <w:rPr>
          <w:sz w:val="18"/>
        </w:rPr>
        <w:t>、磁共振扫描（MRI</w:t>
      </w:r>
      <w:r>
        <w:rPr>
          <w:spacing w:val="-90"/>
          <w:sz w:val="18"/>
        </w:rPr>
        <w:t>）</w:t>
      </w:r>
      <w:r>
        <w:rPr>
          <w:sz w:val="18"/>
        </w:rPr>
        <w:t>、磁共振血管检验法（MRA）或血管扫描等检查,并须经本公司指定或认可的医疗机构的心血管专科医师确诊。</w:t>
      </w:r>
    </w:p>
    <w:p>
      <w:pPr>
        <w:spacing w:after="0" w:line="316" w:lineRule="auto"/>
        <w:jc w:val="both"/>
        <w:rPr>
          <w:sz w:val="18"/>
        </w:rPr>
        <w:sectPr>
          <w:type w:val="continuous"/>
          <w:pgSz w:w="11910" w:h="16840"/>
          <w:pgMar w:top="1040" w:bottom="1180" w:left="1020" w:right="720"/>
        </w:sectPr>
      </w:pPr>
    </w:p>
    <w:p>
      <w:pPr>
        <w:pStyle w:val="BodyText"/>
        <w:spacing w:before="3"/>
        <w:rPr>
          <w:sz w:val="20"/>
        </w:rPr>
      </w:pPr>
    </w:p>
    <w:p>
      <w:pPr>
        <w:pStyle w:val="ListParagraph"/>
        <w:numPr>
          <w:ilvl w:val="0"/>
          <w:numId w:val="20"/>
        </w:numPr>
        <w:tabs>
          <w:tab w:pos="525" w:val="left" w:leader="none"/>
          <w:tab w:pos="2522" w:val="left" w:leader="none"/>
        </w:tabs>
        <w:spacing w:line="240" w:lineRule="auto" w:before="44" w:after="0"/>
        <w:ind w:left="524" w:right="0" w:hanging="420"/>
        <w:jc w:val="left"/>
        <w:rPr>
          <w:sz w:val="18"/>
        </w:rPr>
      </w:pPr>
      <w:r>
        <w:rPr>
          <w:b/>
          <w:sz w:val="18"/>
        </w:rPr>
        <w:t>脑动脉瘤开颅手术</w:t>
        <w:tab/>
      </w:r>
      <w:r>
        <w:rPr>
          <w:sz w:val="18"/>
        </w:rPr>
        <w:t>指确已进行开颅手术以夹闭、修复或切除脑动脉瘤。但不包括导管及血管内手术。</w:t>
      </w:r>
    </w:p>
    <w:p>
      <w:pPr>
        <w:pStyle w:val="BodyText"/>
        <w:spacing w:before="0"/>
      </w:pPr>
    </w:p>
    <w:p>
      <w:pPr>
        <w:pStyle w:val="BodyText"/>
        <w:spacing w:before="152"/>
        <w:ind w:left="224"/>
      </w:pPr>
      <w:r>
        <w:rPr/>
        <w:t>注：</w:t>
      </w:r>
    </w:p>
    <w:p>
      <w:pPr>
        <w:pStyle w:val="ListParagraph"/>
        <w:numPr>
          <w:ilvl w:val="1"/>
          <w:numId w:val="20"/>
        </w:numPr>
        <w:tabs>
          <w:tab w:pos="644" w:val="left" w:leader="none"/>
          <w:tab w:pos="645" w:val="left" w:leader="none"/>
        </w:tabs>
        <w:spacing w:line="240" w:lineRule="auto" w:before="76" w:after="0"/>
        <w:ind w:left="644" w:right="0" w:hanging="420"/>
        <w:jc w:val="left"/>
        <w:rPr>
          <w:sz w:val="18"/>
        </w:rPr>
      </w:pPr>
      <w:r>
        <w:rPr>
          <w:sz w:val="18"/>
        </w:rPr>
        <w:t>专科医生</w:t>
      </w:r>
    </w:p>
    <w:p>
      <w:pPr>
        <w:pStyle w:val="BodyText"/>
        <w:ind w:left="224"/>
      </w:pPr>
      <w:r>
        <w:rPr/>
        <w:t>专科医生应当同时满足以下四项资格条件：</w:t>
      </w:r>
    </w:p>
    <w:p>
      <w:pPr>
        <w:pStyle w:val="ListParagraph"/>
        <w:numPr>
          <w:ilvl w:val="2"/>
          <w:numId w:val="20"/>
        </w:numPr>
        <w:tabs>
          <w:tab w:pos="1065" w:val="left" w:leader="none"/>
        </w:tabs>
        <w:spacing w:line="240" w:lineRule="auto" w:before="76" w:after="0"/>
        <w:ind w:left="1064" w:right="0" w:hanging="443"/>
        <w:jc w:val="left"/>
        <w:rPr>
          <w:sz w:val="18"/>
        </w:rPr>
      </w:pPr>
      <w:r>
        <w:rPr>
          <w:spacing w:val="-5"/>
          <w:sz w:val="18"/>
        </w:rPr>
        <w:t>具有有效的中华人民共和国《医师资格证书》；</w:t>
      </w:r>
    </w:p>
    <w:p>
      <w:pPr>
        <w:pStyle w:val="ListParagraph"/>
        <w:numPr>
          <w:ilvl w:val="2"/>
          <w:numId w:val="20"/>
        </w:numPr>
        <w:tabs>
          <w:tab w:pos="1065" w:val="left" w:leader="none"/>
        </w:tabs>
        <w:spacing w:line="240" w:lineRule="auto" w:before="76" w:after="0"/>
        <w:ind w:left="1064" w:right="0" w:hanging="443"/>
        <w:jc w:val="left"/>
        <w:rPr>
          <w:sz w:val="18"/>
        </w:rPr>
      </w:pPr>
      <w:r>
        <w:rPr>
          <w:spacing w:val="-5"/>
          <w:sz w:val="18"/>
        </w:rPr>
        <w:t>具有有效的中华人民共和国《医师执业证书》，并按期到相关部门登记注册；</w:t>
      </w:r>
    </w:p>
    <w:p>
      <w:pPr>
        <w:pStyle w:val="ListParagraph"/>
        <w:numPr>
          <w:ilvl w:val="2"/>
          <w:numId w:val="20"/>
        </w:numPr>
        <w:tabs>
          <w:tab w:pos="1065" w:val="left" w:leader="none"/>
        </w:tabs>
        <w:spacing w:line="240" w:lineRule="auto" w:before="76" w:after="0"/>
        <w:ind w:left="1064" w:right="0" w:hanging="443"/>
        <w:jc w:val="left"/>
        <w:rPr>
          <w:sz w:val="18"/>
        </w:rPr>
      </w:pPr>
      <w:r>
        <w:rPr>
          <w:spacing w:val="-3"/>
          <w:sz w:val="18"/>
        </w:rPr>
        <w:t>具有有效的中华人民共和国主治医师或主治医师以上职称的《医师职称证书》；</w:t>
      </w:r>
    </w:p>
    <w:p>
      <w:pPr>
        <w:pStyle w:val="ListParagraph"/>
        <w:numPr>
          <w:ilvl w:val="2"/>
          <w:numId w:val="20"/>
        </w:numPr>
        <w:tabs>
          <w:tab w:pos="1065" w:val="left" w:leader="none"/>
        </w:tabs>
        <w:spacing w:line="240" w:lineRule="auto" w:before="76" w:after="0"/>
        <w:ind w:left="1064" w:right="0" w:hanging="443"/>
        <w:jc w:val="left"/>
        <w:rPr>
          <w:sz w:val="18"/>
        </w:rPr>
      </w:pPr>
      <w:r>
        <w:rPr>
          <w:sz w:val="18"/>
        </w:rPr>
        <w:t>在二级或二级以上医院的相应科室从事临床工作三年以上。</w:t>
      </w:r>
    </w:p>
    <w:p>
      <w:pPr>
        <w:pStyle w:val="ListParagraph"/>
        <w:numPr>
          <w:ilvl w:val="1"/>
          <w:numId w:val="20"/>
        </w:numPr>
        <w:tabs>
          <w:tab w:pos="644" w:val="left" w:leader="none"/>
          <w:tab w:pos="645" w:val="left" w:leader="none"/>
        </w:tabs>
        <w:spacing w:line="240" w:lineRule="auto" w:before="76" w:after="0"/>
        <w:ind w:left="644" w:right="0" w:hanging="420"/>
        <w:jc w:val="left"/>
        <w:rPr>
          <w:sz w:val="18"/>
        </w:rPr>
      </w:pPr>
      <w:r>
        <w:rPr>
          <w:sz w:val="18"/>
        </w:rPr>
        <w:t>肢体机能完全丧失</w:t>
      </w:r>
    </w:p>
    <w:p>
      <w:pPr>
        <w:pStyle w:val="BodyText"/>
        <w:ind w:left="224"/>
      </w:pPr>
      <w:r>
        <w:rPr/>
        <w:t>指肢体的三大关节中的两大关节僵硬，或不能随意识活动。肢体是指包括肩关节的整个上肢或包括髋关节的整个下肢。</w:t>
      </w:r>
    </w:p>
    <w:p>
      <w:pPr>
        <w:pStyle w:val="ListParagraph"/>
        <w:numPr>
          <w:ilvl w:val="1"/>
          <w:numId w:val="20"/>
        </w:numPr>
        <w:tabs>
          <w:tab w:pos="644" w:val="left" w:leader="none"/>
          <w:tab w:pos="645" w:val="left" w:leader="none"/>
        </w:tabs>
        <w:spacing w:line="240" w:lineRule="auto" w:before="76" w:after="0"/>
        <w:ind w:left="644" w:right="0" w:hanging="420"/>
        <w:jc w:val="left"/>
        <w:rPr>
          <w:sz w:val="18"/>
        </w:rPr>
      </w:pPr>
      <w:r>
        <w:rPr>
          <w:sz w:val="18"/>
        </w:rPr>
        <w:t>咀嚼吞咽能力完全丧失</w:t>
      </w:r>
    </w:p>
    <w:p>
      <w:pPr>
        <w:pStyle w:val="BodyText"/>
        <w:ind w:left="224"/>
      </w:pPr>
      <w:r>
        <w:rPr/>
        <w:t>指因牙齿以外的原因导致器质障碍或机能障碍，以致不能作咀嚼吞咽运动，除流质食物外不能摄取或吞咽的状态。</w:t>
      </w:r>
    </w:p>
    <w:p>
      <w:pPr>
        <w:pStyle w:val="ListParagraph"/>
        <w:numPr>
          <w:ilvl w:val="1"/>
          <w:numId w:val="20"/>
        </w:numPr>
        <w:tabs>
          <w:tab w:pos="644" w:val="left" w:leader="none"/>
          <w:tab w:pos="645" w:val="left" w:leader="none"/>
        </w:tabs>
        <w:spacing w:line="240" w:lineRule="auto" w:before="76" w:after="0"/>
        <w:ind w:left="644" w:right="0" w:hanging="420"/>
        <w:jc w:val="left"/>
        <w:rPr>
          <w:sz w:val="18"/>
        </w:rPr>
      </w:pPr>
      <w:r>
        <w:rPr>
          <w:sz w:val="18"/>
        </w:rPr>
        <w:t>语言能力完全丧失</w:t>
      </w:r>
    </w:p>
    <w:p>
      <w:pPr>
        <w:pStyle w:val="BodyText"/>
        <w:spacing w:line="316" w:lineRule="auto"/>
        <w:ind w:left="224" w:right="88"/>
      </w:pPr>
      <w:r>
        <w:rPr/>
        <w:t>指无法发出四种语音（包括口唇音、齿舌音、口盖音和喉头音）中的任何三种、或声带全部切除，或因大脑语言中枢受伤害而患失语症。</w:t>
      </w:r>
    </w:p>
    <w:p>
      <w:pPr>
        <w:pStyle w:val="ListParagraph"/>
        <w:numPr>
          <w:ilvl w:val="1"/>
          <w:numId w:val="20"/>
        </w:numPr>
        <w:tabs>
          <w:tab w:pos="644" w:val="left" w:leader="none"/>
          <w:tab w:pos="645" w:val="left" w:leader="none"/>
        </w:tabs>
        <w:spacing w:line="240" w:lineRule="auto" w:before="18" w:after="0"/>
        <w:ind w:left="644" w:right="0" w:hanging="420"/>
        <w:jc w:val="left"/>
        <w:rPr>
          <w:sz w:val="18"/>
        </w:rPr>
      </w:pPr>
      <w:r>
        <w:rPr>
          <w:sz w:val="18"/>
        </w:rPr>
        <w:t>六项基本日常生活活动</w:t>
      </w:r>
    </w:p>
    <w:p>
      <w:pPr>
        <w:pStyle w:val="ListParagraph"/>
        <w:numPr>
          <w:ilvl w:val="2"/>
          <w:numId w:val="20"/>
        </w:numPr>
        <w:tabs>
          <w:tab w:pos="1065" w:val="left" w:leader="none"/>
        </w:tabs>
        <w:spacing w:line="240" w:lineRule="auto" w:before="76" w:after="0"/>
        <w:ind w:left="1064" w:right="0" w:hanging="443"/>
        <w:jc w:val="left"/>
        <w:rPr>
          <w:sz w:val="18"/>
        </w:rPr>
      </w:pPr>
      <w:r>
        <w:rPr>
          <w:sz w:val="18"/>
        </w:rPr>
        <w:t>穿衣：自己能够穿衣及脱衣；</w:t>
      </w:r>
    </w:p>
    <w:p>
      <w:pPr>
        <w:pStyle w:val="ListParagraph"/>
        <w:numPr>
          <w:ilvl w:val="2"/>
          <w:numId w:val="20"/>
        </w:numPr>
        <w:tabs>
          <w:tab w:pos="1065" w:val="left" w:leader="none"/>
        </w:tabs>
        <w:spacing w:line="240" w:lineRule="auto" w:before="76" w:after="0"/>
        <w:ind w:left="1064" w:right="0" w:hanging="443"/>
        <w:jc w:val="left"/>
        <w:rPr>
          <w:sz w:val="18"/>
        </w:rPr>
      </w:pPr>
      <w:r>
        <w:rPr>
          <w:sz w:val="18"/>
        </w:rPr>
        <w:t>移动：自己从一个房间到另一个房间；</w:t>
      </w:r>
    </w:p>
    <w:p>
      <w:pPr>
        <w:pStyle w:val="ListParagraph"/>
        <w:numPr>
          <w:ilvl w:val="2"/>
          <w:numId w:val="20"/>
        </w:numPr>
        <w:tabs>
          <w:tab w:pos="1065" w:val="left" w:leader="none"/>
        </w:tabs>
        <w:spacing w:line="240" w:lineRule="auto" w:before="76" w:after="0"/>
        <w:ind w:left="1064" w:right="0" w:hanging="443"/>
        <w:jc w:val="left"/>
        <w:rPr>
          <w:sz w:val="18"/>
        </w:rPr>
      </w:pPr>
      <w:r>
        <w:rPr>
          <w:sz w:val="18"/>
        </w:rPr>
        <w:t>行动：自己上下床或上下轮椅；</w:t>
      </w:r>
    </w:p>
    <w:p>
      <w:pPr>
        <w:pStyle w:val="ListParagraph"/>
        <w:numPr>
          <w:ilvl w:val="2"/>
          <w:numId w:val="20"/>
        </w:numPr>
        <w:tabs>
          <w:tab w:pos="1065" w:val="left" w:leader="none"/>
        </w:tabs>
        <w:spacing w:line="240" w:lineRule="auto" w:before="76" w:after="0"/>
        <w:ind w:left="1064" w:right="0" w:hanging="443"/>
        <w:jc w:val="left"/>
        <w:rPr>
          <w:sz w:val="18"/>
        </w:rPr>
      </w:pPr>
      <w:r>
        <w:rPr>
          <w:sz w:val="18"/>
        </w:rPr>
        <w:t>如厕：自己控制进行大小便；</w:t>
      </w:r>
    </w:p>
    <w:p>
      <w:pPr>
        <w:pStyle w:val="ListParagraph"/>
        <w:numPr>
          <w:ilvl w:val="2"/>
          <w:numId w:val="20"/>
        </w:numPr>
        <w:tabs>
          <w:tab w:pos="1065" w:val="left" w:leader="none"/>
        </w:tabs>
        <w:spacing w:line="240" w:lineRule="auto" w:before="76" w:after="0"/>
        <w:ind w:left="1064" w:right="0" w:hanging="443"/>
        <w:jc w:val="left"/>
        <w:rPr>
          <w:sz w:val="18"/>
        </w:rPr>
      </w:pPr>
      <w:r>
        <w:rPr>
          <w:sz w:val="18"/>
        </w:rPr>
        <w:t>进食：自己从已准备好的碗或碟中取食物放入口中；</w:t>
      </w:r>
    </w:p>
    <w:p>
      <w:pPr>
        <w:pStyle w:val="ListParagraph"/>
        <w:numPr>
          <w:ilvl w:val="2"/>
          <w:numId w:val="20"/>
        </w:numPr>
        <w:tabs>
          <w:tab w:pos="1065" w:val="left" w:leader="none"/>
        </w:tabs>
        <w:spacing w:line="240" w:lineRule="auto" w:before="76" w:after="0"/>
        <w:ind w:left="1064" w:right="0" w:hanging="443"/>
        <w:jc w:val="left"/>
        <w:rPr>
          <w:sz w:val="18"/>
        </w:rPr>
      </w:pPr>
      <w:r>
        <w:rPr>
          <w:sz w:val="18"/>
        </w:rPr>
        <w:t>洗澡：自己进行淋浴或盆浴。</w:t>
      </w:r>
    </w:p>
    <w:p>
      <w:pPr>
        <w:pStyle w:val="ListParagraph"/>
        <w:numPr>
          <w:ilvl w:val="1"/>
          <w:numId w:val="20"/>
        </w:numPr>
        <w:tabs>
          <w:tab w:pos="644" w:val="left" w:leader="none"/>
          <w:tab w:pos="645" w:val="left" w:leader="none"/>
        </w:tabs>
        <w:spacing w:line="240" w:lineRule="auto" w:before="76" w:after="0"/>
        <w:ind w:left="644" w:right="0" w:hanging="420"/>
        <w:jc w:val="left"/>
        <w:rPr>
          <w:sz w:val="18"/>
        </w:rPr>
      </w:pPr>
      <w:r>
        <w:rPr>
          <w:sz w:val="18"/>
        </w:rPr>
        <w:t>永久不可逆</w:t>
      </w:r>
    </w:p>
    <w:p>
      <w:pPr>
        <w:pStyle w:val="BodyText"/>
        <w:ind w:left="224"/>
      </w:pPr>
      <w:r>
        <w:rPr/>
        <w:t>指自疾病确诊或意外伤害发生之日起，经过积极治疗 180 天后，仍无法通过现有医疗手段恢复。</w:t>
      </w:r>
    </w:p>
    <w:sectPr>
      <w:pgSz w:w="11910" w:h="16840"/>
      <w:pgMar w:header="877" w:footer="981" w:top="1100" w:bottom="1180" w:left="108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Yu Gothic">
    <w:altName w:val="Yu Gothic"/>
    <w:charset w:val="0"/>
    <w:family w:val="swiss"/>
    <w:pitch w:val="variable"/>
  </w:font>
  <w:font w:name="微软雅黑">
    <w:altName w:val="微软雅黑"/>
    <w:charset w:val="86"/>
    <w:family w:val="swiss"/>
    <w:pitch w:val="variable"/>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8.799713pt;margin-top:781.95929pt;width:28.95pt;height:12pt;mso-position-horizontal-relative:page;mso-position-vertical-relative:page;z-index:-21592"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1</w:t>
                </w:r>
                <w:r>
                  <w:rPr/>
                  <w:fldChar w:fldCharType="end"/>
                </w:r>
                <w:r>
                  <w:rPr>
                    <w:rFonts w:ascii="Times New Roman" w:eastAsia="Times New Roman"/>
                  </w:rPr>
                  <w:t> </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8.799713pt;margin-top:781.95929pt;width:28.95pt;height:12pt;mso-position-horizontal-relative:page;mso-position-vertical-relative:page;z-index:-21496" type="#_x0000_t202" filled="false" stroked="false">
          <v:textbox inset="0,0,0,0">
            <w:txbxContent>
              <w:p>
                <w:pPr>
                  <w:pStyle w:val="BodyText"/>
                  <w:spacing w:line="219" w:lineRule="exact" w:before="0"/>
                  <w:ind w:left="20"/>
                </w:pPr>
                <w:r>
                  <w:rPr>
                    <w:spacing w:val="-24"/>
                  </w:rPr>
                  <w:t>第 </w:t>
                </w:r>
                <w:r>
                  <w:rPr>
                    <w:rFonts w:ascii="Times New Roman" w:eastAsia="Times New Roman"/>
                  </w:rPr>
                  <w:t>3 </w:t>
                </w:r>
                <w:r>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8.799713pt;margin-top:781.95929pt;width:28.95pt;height:12pt;mso-position-horizontal-relative:page;mso-position-vertical-relative:page;z-index:-21472"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4</w:t>
                </w:r>
                <w:r>
                  <w:rPr/>
                  <w:fldChar w:fldCharType="end"/>
                </w:r>
                <w:r>
                  <w:rPr>
                    <w:rFonts w:ascii="Times New Roman" w:eastAsia="Times New Roman"/>
                  </w:rPr>
                  <w:t> </w:t>
                </w:r>
                <w:r>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580292pt;margin-top:781.95929pt;width:33.450pt;height:12pt;mso-position-horizontal-relative:page;mso-position-vertical-relative:page;z-index:-21304"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10</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64.220001pt;margin-top:42.865326pt;width:164pt;height:11pt;mso-position-horizontal-relative:page;mso-position-vertical-relative:page;z-index:-21640" type="#_x0000_t202" filled="false" stroked="false">
          <v:textbox inset="0,0,0,0">
            <w:txbxContent>
              <w:p>
                <w:pPr>
                  <w:pStyle w:val="BodyText"/>
                  <w:spacing w:line="200" w:lineRule="exact" w:before="0"/>
                  <w:ind w:left="20"/>
                </w:pPr>
                <w:r>
                  <w:rPr/>
                  <w:t>民生附加提前给付女性重大疾病保险条款</w:t>
                </w:r>
              </w:p>
            </w:txbxContent>
          </v:textbox>
          <w10:wrap type="none"/>
        </v:shape>
      </w:pict>
    </w:r>
    <w:r>
      <w:rPr/>
      <w:pict>
        <v:shape style="position:absolute;margin-left:428.720001pt;margin-top:42.865326pt;width:110pt;height:11pt;mso-position-horizontal-relative:page;mso-position-vertical-relative:page;z-index:-21616"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1568" from="63.720001pt,55.619984pt" to="543.000001pt,55.619984pt" stroked="true" strokeweight=".72003pt" strokecolor="#000000">
          <v:stroke dashstyle="solid"/>
          <w10:wrap type="none"/>
        </v:line>
      </w:pict>
    </w:r>
    <w:r>
      <w:rPr/>
      <w:pict>
        <v:shape style="position:absolute;margin-left:64.220001pt;margin-top:42.865326pt;width:164pt;height:11pt;mso-position-horizontal-relative:page;mso-position-vertical-relative:page;z-index:-21544" type="#_x0000_t202" filled="false" stroked="false">
          <v:textbox inset="0,0,0,0">
            <w:txbxContent>
              <w:p>
                <w:pPr>
                  <w:pStyle w:val="BodyText"/>
                  <w:spacing w:line="200" w:lineRule="exact" w:before="0"/>
                  <w:ind w:left="20"/>
                </w:pPr>
                <w:r>
                  <w:rPr/>
                  <w:t>民生附加提前给付女性重大疾病保险条款</w:t>
                </w:r>
              </w:p>
            </w:txbxContent>
          </v:textbox>
          <w10:wrap type="none"/>
        </v:shape>
      </w:pict>
    </w:r>
    <w:r>
      <w:rPr/>
      <w:pict>
        <v:shape style="position:absolute;margin-left:428.720001pt;margin-top:42.865326pt;width:110pt;height:11pt;mso-position-horizontal-relative:page;mso-position-vertical-relative:page;z-index:-21520"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1448" from="63.720001pt,55.619984pt" to="543.000001pt,55.619984pt" stroked="true" strokeweight=".72003pt" strokecolor="#000000">
          <v:stroke dashstyle="solid"/>
          <w10:wrap type="none"/>
        </v:line>
      </w:pict>
    </w:r>
    <w:r>
      <w:rPr/>
      <w:pict>
        <v:shape style="position:absolute;margin-left:64.220001pt;margin-top:42.865326pt;width:164pt;height:11pt;mso-position-horizontal-relative:page;mso-position-vertical-relative:page;z-index:-21424" type="#_x0000_t202" filled="false" stroked="false">
          <v:textbox inset="0,0,0,0">
            <w:txbxContent>
              <w:p>
                <w:pPr>
                  <w:pStyle w:val="BodyText"/>
                  <w:spacing w:line="200" w:lineRule="exact" w:before="0"/>
                  <w:ind w:left="20"/>
                </w:pPr>
                <w:r>
                  <w:rPr/>
                  <w:t>民生附加提前给付女性重大疾病保险条款</w:t>
                </w:r>
              </w:p>
            </w:txbxContent>
          </v:textbox>
          <w10:wrap type="none"/>
        </v:shape>
      </w:pict>
    </w:r>
    <w:r>
      <w:rPr/>
      <w:pict>
        <v:shape style="position:absolute;margin-left:428.720001pt;margin-top:42.865326pt;width:110pt;height:11pt;mso-position-horizontal-relative:page;mso-position-vertical-relative:page;z-index:-21400"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1376" from="63.720001pt,55.619984pt" to="543.000001pt,55.619984pt" stroked="true" strokeweight=".72003pt" strokecolor="#000000">
          <v:stroke dashstyle="solid"/>
          <w10:wrap type="none"/>
        </v:line>
      </w:pict>
    </w:r>
    <w:r>
      <w:rPr/>
      <w:pict>
        <v:shape style="position:absolute;margin-left:64.220001pt;margin-top:42.865326pt;width:164pt;height:11pt;mso-position-horizontal-relative:page;mso-position-vertical-relative:page;z-index:-21352" type="#_x0000_t202" filled="false" stroked="false">
          <v:textbox inset="0,0,0,0">
            <w:txbxContent>
              <w:p>
                <w:pPr>
                  <w:pStyle w:val="BodyText"/>
                  <w:spacing w:line="200" w:lineRule="exact" w:before="0"/>
                  <w:ind w:left="20"/>
                </w:pPr>
                <w:r>
                  <w:rPr/>
                  <w:t>民生附加提前给付女性重大疾病保险条款</w:t>
                </w:r>
              </w:p>
            </w:txbxContent>
          </v:textbox>
          <w10:wrap type="none"/>
        </v:shape>
      </w:pict>
    </w:r>
    <w:r>
      <w:rPr/>
      <w:pict>
        <v:shape style="position:absolute;margin-left:428.720001pt;margin-top:42.865326pt;width:110pt;height:11pt;mso-position-horizontal-relative:page;mso-position-vertical-relative:page;z-index:-21328"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39"/>
      <w:numFmt w:val="decimal"/>
      <w:lvlText w:val="%1."/>
      <w:lvlJc w:val="left"/>
      <w:pPr>
        <w:ind w:left="2582" w:hanging="420"/>
        <w:jc w:val="left"/>
      </w:pPr>
      <w:rPr>
        <w:rFonts w:hint="default" w:ascii="宋体" w:hAnsi="宋体" w:eastAsia="宋体" w:cs="宋体"/>
        <w:b/>
        <w:bCs/>
        <w:spacing w:val="0"/>
        <w:w w:val="99"/>
        <w:sz w:val="18"/>
        <w:szCs w:val="18"/>
      </w:rPr>
    </w:lvl>
    <w:lvl w:ilvl="1">
      <w:start w:val="1"/>
      <w:numFmt w:val="decimal"/>
      <w:lvlText w:val="%2"/>
      <w:lvlJc w:val="left"/>
      <w:pPr>
        <w:ind w:left="644" w:hanging="420"/>
        <w:jc w:val="left"/>
      </w:pPr>
      <w:rPr>
        <w:rFonts w:hint="default" w:ascii="宋体" w:hAnsi="宋体" w:eastAsia="宋体" w:cs="宋体"/>
        <w:w w:val="100"/>
        <w:sz w:val="18"/>
        <w:szCs w:val="18"/>
      </w:rPr>
    </w:lvl>
    <w:lvl w:ilvl="2">
      <w:start w:val="1"/>
      <w:numFmt w:val="decimal"/>
      <w:lvlText w:val="(%3)"/>
      <w:lvlJc w:val="left"/>
      <w:pPr>
        <w:ind w:left="1064" w:hanging="443"/>
        <w:jc w:val="left"/>
      </w:pPr>
      <w:rPr>
        <w:rFonts w:hint="default" w:ascii="宋体" w:hAnsi="宋体" w:eastAsia="宋体" w:cs="宋体"/>
        <w:spacing w:val="-90"/>
        <w:w w:val="100"/>
        <w:sz w:val="18"/>
        <w:szCs w:val="18"/>
      </w:rPr>
    </w:lvl>
    <w:lvl w:ilvl="3">
      <w:start w:val="0"/>
      <w:numFmt w:val="bullet"/>
      <w:lvlText w:val="•"/>
      <w:lvlJc w:val="left"/>
      <w:pPr>
        <w:ind w:left="3493" w:hanging="443"/>
      </w:pPr>
      <w:rPr>
        <w:rFonts w:hint="default"/>
      </w:rPr>
    </w:lvl>
    <w:lvl w:ilvl="4">
      <w:start w:val="0"/>
      <w:numFmt w:val="bullet"/>
      <w:lvlText w:val="•"/>
      <w:lvlJc w:val="left"/>
      <w:pPr>
        <w:ind w:left="4406" w:hanging="443"/>
      </w:pPr>
      <w:rPr>
        <w:rFonts w:hint="default"/>
      </w:rPr>
    </w:lvl>
    <w:lvl w:ilvl="5">
      <w:start w:val="0"/>
      <w:numFmt w:val="bullet"/>
      <w:lvlText w:val="•"/>
      <w:lvlJc w:val="left"/>
      <w:pPr>
        <w:ind w:left="5319" w:hanging="443"/>
      </w:pPr>
      <w:rPr>
        <w:rFonts w:hint="default"/>
      </w:rPr>
    </w:lvl>
    <w:lvl w:ilvl="6">
      <w:start w:val="0"/>
      <w:numFmt w:val="bullet"/>
      <w:lvlText w:val="•"/>
      <w:lvlJc w:val="left"/>
      <w:pPr>
        <w:ind w:left="6232" w:hanging="443"/>
      </w:pPr>
      <w:rPr>
        <w:rFonts w:hint="default"/>
      </w:rPr>
    </w:lvl>
    <w:lvl w:ilvl="7">
      <w:start w:val="0"/>
      <w:numFmt w:val="bullet"/>
      <w:lvlText w:val="•"/>
      <w:lvlJc w:val="left"/>
      <w:pPr>
        <w:ind w:left="7145" w:hanging="443"/>
      </w:pPr>
      <w:rPr>
        <w:rFonts w:hint="default"/>
      </w:rPr>
    </w:lvl>
    <w:lvl w:ilvl="8">
      <w:start w:val="0"/>
      <w:numFmt w:val="bullet"/>
      <w:lvlText w:val="•"/>
      <w:lvlJc w:val="left"/>
      <w:pPr>
        <w:ind w:left="8058" w:hanging="443"/>
      </w:pPr>
      <w:rPr>
        <w:rFonts w:hint="default"/>
      </w:rPr>
    </w:lvl>
  </w:abstractNum>
  <w:abstractNum w:abstractNumId="17">
    <w:multiLevelType w:val="hybridMultilevel"/>
    <w:lvl w:ilvl="0">
      <w:start w:val="1"/>
      <w:numFmt w:val="decimal"/>
      <w:lvlText w:val="(%1)"/>
      <w:lvlJc w:val="left"/>
      <w:pPr>
        <w:ind w:left="494" w:hanging="398"/>
        <w:jc w:val="left"/>
      </w:pPr>
      <w:rPr>
        <w:rFonts w:hint="default" w:ascii="宋体" w:hAnsi="宋体" w:eastAsia="宋体" w:cs="宋体"/>
        <w:w w:val="100"/>
        <w:sz w:val="18"/>
        <w:szCs w:val="18"/>
      </w:rPr>
    </w:lvl>
    <w:lvl w:ilvl="1">
      <w:start w:val="0"/>
      <w:numFmt w:val="bullet"/>
      <w:lvlText w:val="•"/>
      <w:lvlJc w:val="left"/>
      <w:pPr>
        <w:ind w:left="1206" w:hanging="398"/>
      </w:pPr>
      <w:rPr>
        <w:rFonts w:hint="default"/>
      </w:rPr>
    </w:lvl>
    <w:lvl w:ilvl="2">
      <w:start w:val="0"/>
      <w:numFmt w:val="bullet"/>
      <w:lvlText w:val="•"/>
      <w:lvlJc w:val="left"/>
      <w:pPr>
        <w:ind w:left="1913" w:hanging="398"/>
      </w:pPr>
      <w:rPr>
        <w:rFonts w:hint="default"/>
      </w:rPr>
    </w:lvl>
    <w:lvl w:ilvl="3">
      <w:start w:val="0"/>
      <w:numFmt w:val="bullet"/>
      <w:lvlText w:val="•"/>
      <w:lvlJc w:val="left"/>
      <w:pPr>
        <w:ind w:left="2619" w:hanging="398"/>
      </w:pPr>
      <w:rPr>
        <w:rFonts w:hint="default"/>
      </w:rPr>
    </w:lvl>
    <w:lvl w:ilvl="4">
      <w:start w:val="0"/>
      <w:numFmt w:val="bullet"/>
      <w:lvlText w:val="•"/>
      <w:lvlJc w:val="left"/>
      <w:pPr>
        <w:ind w:left="3326" w:hanging="398"/>
      </w:pPr>
      <w:rPr>
        <w:rFonts w:hint="default"/>
      </w:rPr>
    </w:lvl>
    <w:lvl w:ilvl="5">
      <w:start w:val="0"/>
      <w:numFmt w:val="bullet"/>
      <w:lvlText w:val="•"/>
      <w:lvlJc w:val="left"/>
      <w:pPr>
        <w:ind w:left="4033" w:hanging="398"/>
      </w:pPr>
      <w:rPr>
        <w:rFonts w:hint="default"/>
      </w:rPr>
    </w:lvl>
    <w:lvl w:ilvl="6">
      <w:start w:val="0"/>
      <w:numFmt w:val="bullet"/>
      <w:lvlText w:val="•"/>
      <w:lvlJc w:val="left"/>
      <w:pPr>
        <w:ind w:left="4739" w:hanging="398"/>
      </w:pPr>
      <w:rPr>
        <w:rFonts w:hint="default"/>
      </w:rPr>
    </w:lvl>
    <w:lvl w:ilvl="7">
      <w:start w:val="0"/>
      <w:numFmt w:val="bullet"/>
      <w:lvlText w:val="•"/>
      <w:lvlJc w:val="left"/>
      <w:pPr>
        <w:ind w:left="5446" w:hanging="398"/>
      </w:pPr>
      <w:rPr>
        <w:rFonts w:hint="default"/>
      </w:rPr>
    </w:lvl>
    <w:lvl w:ilvl="8">
      <w:start w:val="0"/>
      <w:numFmt w:val="bullet"/>
      <w:lvlText w:val="•"/>
      <w:lvlJc w:val="left"/>
      <w:pPr>
        <w:ind w:left="6152" w:hanging="398"/>
      </w:pPr>
      <w:rPr>
        <w:rFonts w:hint="default"/>
      </w:rPr>
    </w:lvl>
  </w:abstractNum>
  <w:abstractNum w:abstractNumId="16">
    <w:multiLevelType w:val="hybridMultilevel"/>
    <w:lvl w:ilvl="0">
      <w:start w:val="1"/>
      <w:numFmt w:val="decimal"/>
      <w:lvlText w:val="(%1)"/>
      <w:lvlJc w:val="left"/>
      <w:pPr>
        <w:ind w:left="494" w:hanging="398"/>
        <w:jc w:val="left"/>
      </w:pPr>
      <w:rPr>
        <w:rFonts w:hint="default" w:ascii="宋体" w:hAnsi="宋体" w:eastAsia="宋体" w:cs="宋体"/>
        <w:w w:val="100"/>
        <w:sz w:val="18"/>
        <w:szCs w:val="18"/>
      </w:rPr>
    </w:lvl>
    <w:lvl w:ilvl="1">
      <w:start w:val="0"/>
      <w:numFmt w:val="bullet"/>
      <w:lvlText w:val="•"/>
      <w:lvlJc w:val="left"/>
      <w:pPr>
        <w:ind w:left="1206" w:hanging="398"/>
      </w:pPr>
      <w:rPr>
        <w:rFonts w:hint="default"/>
      </w:rPr>
    </w:lvl>
    <w:lvl w:ilvl="2">
      <w:start w:val="0"/>
      <w:numFmt w:val="bullet"/>
      <w:lvlText w:val="•"/>
      <w:lvlJc w:val="left"/>
      <w:pPr>
        <w:ind w:left="1913" w:hanging="398"/>
      </w:pPr>
      <w:rPr>
        <w:rFonts w:hint="default"/>
      </w:rPr>
    </w:lvl>
    <w:lvl w:ilvl="3">
      <w:start w:val="0"/>
      <w:numFmt w:val="bullet"/>
      <w:lvlText w:val="•"/>
      <w:lvlJc w:val="left"/>
      <w:pPr>
        <w:ind w:left="2619" w:hanging="398"/>
      </w:pPr>
      <w:rPr>
        <w:rFonts w:hint="default"/>
      </w:rPr>
    </w:lvl>
    <w:lvl w:ilvl="4">
      <w:start w:val="0"/>
      <w:numFmt w:val="bullet"/>
      <w:lvlText w:val="•"/>
      <w:lvlJc w:val="left"/>
      <w:pPr>
        <w:ind w:left="3326" w:hanging="398"/>
      </w:pPr>
      <w:rPr>
        <w:rFonts w:hint="default"/>
      </w:rPr>
    </w:lvl>
    <w:lvl w:ilvl="5">
      <w:start w:val="0"/>
      <w:numFmt w:val="bullet"/>
      <w:lvlText w:val="•"/>
      <w:lvlJc w:val="left"/>
      <w:pPr>
        <w:ind w:left="4033" w:hanging="398"/>
      </w:pPr>
      <w:rPr>
        <w:rFonts w:hint="default"/>
      </w:rPr>
    </w:lvl>
    <w:lvl w:ilvl="6">
      <w:start w:val="0"/>
      <w:numFmt w:val="bullet"/>
      <w:lvlText w:val="•"/>
      <w:lvlJc w:val="left"/>
      <w:pPr>
        <w:ind w:left="4739" w:hanging="398"/>
      </w:pPr>
      <w:rPr>
        <w:rFonts w:hint="default"/>
      </w:rPr>
    </w:lvl>
    <w:lvl w:ilvl="7">
      <w:start w:val="0"/>
      <w:numFmt w:val="bullet"/>
      <w:lvlText w:val="•"/>
      <w:lvlJc w:val="left"/>
      <w:pPr>
        <w:ind w:left="5446" w:hanging="398"/>
      </w:pPr>
      <w:rPr>
        <w:rFonts w:hint="default"/>
      </w:rPr>
    </w:lvl>
    <w:lvl w:ilvl="8">
      <w:start w:val="0"/>
      <w:numFmt w:val="bullet"/>
      <w:lvlText w:val="•"/>
      <w:lvlJc w:val="left"/>
      <w:pPr>
        <w:ind w:left="6152" w:hanging="398"/>
      </w:pPr>
      <w:rPr>
        <w:rFonts w:hint="default"/>
      </w:rPr>
    </w:lvl>
  </w:abstractNum>
  <w:abstractNum w:abstractNumId="15">
    <w:multiLevelType w:val="hybridMultilevel"/>
    <w:lvl w:ilvl="0">
      <w:start w:val="1"/>
      <w:numFmt w:val="decimal"/>
      <w:lvlText w:val="(%1)"/>
      <w:lvlJc w:val="left"/>
      <w:pPr>
        <w:ind w:left="456" w:hanging="360"/>
        <w:jc w:val="left"/>
      </w:pPr>
      <w:rPr>
        <w:rFonts w:hint="default" w:ascii="宋体" w:hAnsi="宋体" w:eastAsia="宋体" w:cs="宋体"/>
        <w:spacing w:val="-46"/>
        <w:w w:val="100"/>
        <w:sz w:val="18"/>
        <w:szCs w:val="18"/>
      </w:rPr>
    </w:lvl>
    <w:lvl w:ilvl="1">
      <w:start w:val="0"/>
      <w:numFmt w:val="bullet"/>
      <w:lvlText w:val="•"/>
      <w:lvlJc w:val="left"/>
      <w:pPr>
        <w:ind w:left="1170" w:hanging="360"/>
      </w:pPr>
      <w:rPr>
        <w:rFonts w:hint="default"/>
      </w:rPr>
    </w:lvl>
    <w:lvl w:ilvl="2">
      <w:start w:val="0"/>
      <w:numFmt w:val="bullet"/>
      <w:lvlText w:val="•"/>
      <w:lvlJc w:val="left"/>
      <w:pPr>
        <w:ind w:left="1881" w:hanging="360"/>
      </w:pPr>
      <w:rPr>
        <w:rFonts w:hint="default"/>
      </w:rPr>
    </w:lvl>
    <w:lvl w:ilvl="3">
      <w:start w:val="0"/>
      <w:numFmt w:val="bullet"/>
      <w:lvlText w:val="•"/>
      <w:lvlJc w:val="left"/>
      <w:pPr>
        <w:ind w:left="2591" w:hanging="360"/>
      </w:pPr>
      <w:rPr>
        <w:rFonts w:hint="default"/>
      </w:rPr>
    </w:lvl>
    <w:lvl w:ilvl="4">
      <w:start w:val="0"/>
      <w:numFmt w:val="bullet"/>
      <w:lvlText w:val="•"/>
      <w:lvlJc w:val="left"/>
      <w:pPr>
        <w:ind w:left="3302" w:hanging="360"/>
      </w:pPr>
      <w:rPr>
        <w:rFonts w:hint="default"/>
      </w:rPr>
    </w:lvl>
    <w:lvl w:ilvl="5">
      <w:start w:val="0"/>
      <w:numFmt w:val="bullet"/>
      <w:lvlText w:val="•"/>
      <w:lvlJc w:val="left"/>
      <w:pPr>
        <w:ind w:left="4013" w:hanging="360"/>
      </w:pPr>
      <w:rPr>
        <w:rFonts w:hint="default"/>
      </w:rPr>
    </w:lvl>
    <w:lvl w:ilvl="6">
      <w:start w:val="0"/>
      <w:numFmt w:val="bullet"/>
      <w:lvlText w:val="•"/>
      <w:lvlJc w:val="left"/>
      <w:pPr>
        <w:ind w:left="4723" w:hanging="360"/>
      </w:pPr>
      <w:rPr>
        <w:rFonts w:hint="default"/>
      </w:rPr>
    </w:lvl>
    <w:lvl w:ilvl="7">
      <w:start w:val="0"/>
      <w:numFmt w:val="bullet"/>
      <w:lvlText w:val="•"/>
      <w:lvlJc w:val="left"/>
      <w:pPr>
        <w:ind w:left="5434" w:hanging="360"/>
      </w:pPr>
      <w:rPr>
        <w:rFonts w:hint="default"/>
      </w:rPr>
    </w:lvl>
    <w:lvl w:ilvl="8">
      <w:start w:val="0"/>
      <w:numFmt w:val="bullet"/>
      <w:lvlText w:val="•"/>
      <w:lvlJc w:val="left"/>
      <w:pPr>
        <w:ind w:left="6144" w:hanging="360"/>
      </w:pPr>
      <w:rPr>
        <w:rFonts w:hint="default"/>
      </w:rPr>
    </w:lvl>
  </w:abstractNum>
  <w:abstractNum w:abstractNumId="18">
    <w:multiLevelType w:val="hybridMultilevel"/>
    <w:lvl w:ilvl="0">
      <w:start w:val="1"/>
      <w:numFmt w:val="decimal"/>
      <w:lvlText w:val="(%1)"/>
      <w:lvlJc w:val="left"/>
      <w:pPr>
        <w:ind w:left="3002" w:hanging="420"/>
        <w:jc w:val="left"/>
      </w:pPr>
      <w:rPr>
        <w:rFonts w:hint="default" w:ascii="宋体" w:hAnsi="宋体" w:eastAsia="宋体" w:cs="宋体"/>
        <w:spacing w:val="-31"/>
        <w:w w:val="100"/>
        <w:sz w:val="18"/>
        <w:szCs w:val="18"/>
      </w:rPr>
    </w:lvl>
    <w:lvl w:ilvl="1">
      <w:start w:val="0"/>
      <w:numFmt w:val="bullet"/>
      <w:lvlText w:val="•"/>
      <w:lvlJc w:val="left"/>
      <w:pPr>
        <w:ind w:left="3716" w:hanging="420"/>
      </w:pPr>
      <w:rPr>
        <w:rFonts w:hint="default"/>
      </w:rPr>
    </w:lvl>
    <w:lvl w:ilvl="2">
      <w:start w:val="0"/>
      <w:numFmt w:val="bullet"/>
      <w:lvlText w:val="•"/>
      <w:lvlJc w:val="left"/>
      <w:pPr>
        <w:ind w:left="4432" w:hanging="420"/>
      </w:pPr>
      <w:rPr>
        <w:rFonts w:hint="default"/>
      </w:rPr>
    </w:lvl>
    <w:lvl w:ilvl="3">
      <w:start w:val="0"/>
      <w:numFmt w:val="bullet"/>
      <w:lvlText w:val="•"/>
      <w:lvlJc w:val="left"/>
      <w:pPr>
        <w:ind w:left="5149" w:hanging="420"/>
      </w:pPr>
      <w:rPr>
        <w:rFonts w:hint="default"/>
      </w:rPr>
    </w:lvl>
    <w:lvl w:ilvl="4">
      <w:start w:val="0"/>
      <w:numFmt w:val="bullet"/>
      <w:lvlText w:val="•"/>
      <w:lvlJc w:val="left"/>
      <w:pPr>
        <w:ind w:left="5865" w:hanging="420"/>
      </w:pPr>
      <w:rPr>
        <w:rFonts w:hint="default"/>
      </w:rPr>
    </w:lvl>
    <w:lvl w:ilvl="5">
      <w:start w:val="0"/>
      <w:numFmt w:val="bullet"/>
      <w:lvlText w:val="•"/>
      <w:lvlJc w:val="left"/>
      <w:pPr>
        <w:ind w:left="6582" w:hanging="420"/>
      </w:pPr>
      <w:rPr>
        <w:rFonts w:hint="default"/>
      </w:rPr>
    </w:lvl>
    <w:lvl w:ilvl="6">
      <w:start w:val="0"/>
      <w:numFmt w:val="bullet"/>
      <w:lvlText w:val="•"/>
      <w:lvlJc w:val="left"/>
      <w:pPr>
        <w:ind w:left="7298" w:hanging="420"/>
      </w:pPr>
      <w:rPr>
        <w:rFonts w:hint="default"/>
      </w:rPr>
    </w:lvl>
    <w:lvl w:ilvl="7">
      <w:start w:val="0"/>
      <w:numFmt w:val="bullet"/>
      <w:lvlText w:val="•"/>
      <w:lvlJc w:val="left"/>
      <w:pPr>
        <w:ind w:left="8015" w:hanging="420"/>
      </w:pPr>
      <w:rPr>
        <w:rFonts w:hint="default"/>
      </w:rPr>
    </w:lvl>
    <w:lvl w:ilvl="8">
      <w:start w:val="0"/>
      <w:numFmt w:val="bullet"/>
      <w:lvlText w:val="•"/>
      <w:lvlJc w:val="left"/>
      <w:pPr>
        <w:ind w:left="8731" w:hanging="420"/>
      </w:pPr>
      <w:rPr>
        <w:rFonts w:hint="default"/>
      </w:rPr>
    </w:lvl>
  </w:abstractNum>
  <w:abstractNum w:abstractNumId="14">
    <w:multiLevelType w:val="hybridMultilevel"/>
    <w:lvl w:ilvl="0">
      <w:start w:val="1"/>
      <w:numFmt w:val="decimal"/>
      <w:lvlText w:val="(%1)"/>
      <w:lvlJc w:val="left"/>
      <w:pPr>
        <w:ind w:left="524" w:hanging="420"/>
        <w:jc w:val="left"/>
      </w:pPr>
      <w:rPr>
        <w:rFonts w:hint="default" w:ascii="宋体" w:hAnsi="宋体" w:eastAsia="宋体" w:cs="宋体"/>
        <w:spacing w:val="-31"/>
        <w:w w:val="100"/>
        <w:sz w:val="18"/>
        <w:szCs w:val="18"/>
      </w:rPr>
    </w:lvl>
    <w:lvl w:ilvl="1">
      <w:start w:val="0"/>
      <w:numFmt w:val="bullet"/>
      <w:lvlText w:val="•"/>
      <w:lvlJc w:val="left"/>
      <w:pPr>
        <w:ind w:left="1226" w:hanging="420"/>
      </w:pPr>
      <w:rPr>
        <w:rFonts w:hint="default"/>
      </w:rPr>
    </w:lvl>
    <w:lvl w:ilvl="2">
      <w:start w:val="0"/>
      <w:numFmt w:val="bullet"/>
      <w:lvlText w:val="•"/>
      <w:lvlJc w:val="left"/>
      <w:pPr>
        <w:ind w:left="1933" w:hanging="420"/>
      </w:pPr>
      <w:rPr>
        <w:rFonts w:hint="default"/>
      </w:rPr>
    </w:lvl>
    <w:lvl w:ilvl="3">
      <w:start w:val="0"/>
      <w:numFmt w:val="bullet"/>
      <w:lvlText w:val="•"/>
      <w:lvlJc w:val="left"/>
      <w:pPr>
        <w:ind w:left="2639" w:hanging="420"/>
      </w:pPr>
      <w:rPr>
        <w:rFonts w:hint="default"/>
      </w:rPr>
    </w:lvl>
    <w:lvl w:ilvl="4">
      <w:start w:val="0"/>
      <w:numFmt w:val="bullet"/>
      <w:lvlText w:val="•"/>
      <w:lvlJc w:val="left"/>
      <w:pPr>
        <w:ind w:left="3346" w:hanging="420"/>
      </w:pPr>
      <w:rPr>
        <w:rFonts w:hint="default"/>
      </w:rPr>
    </w:lvl>
    <w:lvl w:ilvl="5">
      <w:start w:val="0"/>
      <w:numFmt w:val="bullet"/>
      <w:lvlText w:val="•"/>
      <w:lvlJc w:val="left"/>
      <w:pPr>
        <w:ind w:left="4053" w:hanging="420"/>
      </w:pPr>
      <w:rPr>
        <w:rFonts w:hint="default"/>
      </w:rPr>
    </w:lvl>
    <w:lvl w:ilvl="6">
      <w:start w:val="0"/>
      <w:numFmt w:val="bullet"/>
      <w:lvlText w:val="•"/>
      <w:lvlJc w:val="left"/>
      <w:pPr>
        <w:ind w:left="4759" w:hanging="420"/>
      </w:pPr>
      <w:rPr>
        <w:rFonts w:hint="default"/>
      </w:rPr>
    </w:lvl>
    <w:lvl w:ilvl="7">
      <w:start w:val="0"/>
      <w:numFmt w:val="bullet"/>
      <w:lvlText w:val="•"/>
      <w:lvlJc w:val="left"/>
      <w:pPr>
        <w:ind w:left="5466" w:hanging="420"/>
      </w:pPr>
      <w:rPr>
        <w:rFonts w:hint="default"/>
      </w:rPr>
    </w:lvl>
    <w:lvl w:ilvl="8">
      <w:start w:val="0"/>
      <w:numFmt w:val="bullet"/>
      <w:lvlText w:val="•"/>
      <w:lvlJc w:val="left"/>
      <w:pPr>
        <w:ind w:left="6173" w:hanging="420"/>
      </w:pPr>
      <w:rPr>
        <w:rFonts w:hint="default"/>
      </w:rPr>
    </w:lvl>
  </w:abstractNum>
  <w:abstractNum w:abstractNumId="13">
    <w:multiLevelType w:val="hybridMultilevel"/>
    <w:lvl w:ilvl="0">
      <w:start w:val="1"/>
      <w:numFmt w:val="decimal"/>
      <w:lvlText w:val="(%1)"/>
      <w:lvlJc w:val="left"/>
      <w:pPr>
        <w:ind w:left="444" w:hanging="340"/>
        <w:jc w:val="left"/>
      </w:pPr>
      <w:rPr>
        <w:rFonts w:hint="default" w:ascii="宋体" w:hAnsi="宋体" w:eastAsia="宋体" w:cs="宋体"/>
        <w:w w:val="100"/>
        <w:sz w:val="18"/>
        <w:szCs w:val="18"/>
      </w:rPr>
    </w:lvl>
    <w:lvl w:ilvl="1">
      <w:start w:val="0"/>
      <w:numFmt w:val="bullet"/>
      <w:lvlText w:val="•"/>
      <w:lvlJc w:val="left"/>
      <w:pPr>
        <w:ind w:left="1154" w:hanging="340"/>
      </w:pPr>
      <w:rPr>
        <w:rFonts w:hint="default"/>
      </w:rPr>
    </w:lvl>
    <w:lvl w:ilvl="2">
      <w:start w:val="0"/>
      <w:numFmt w:val="bullet"/>
      <w:lvlText w:val="•"/>
      <w:lvlJc w:val="left"/>
      <w:pPr>
        <w:ind w:left="1869" w:hanging="340"/>
      </w:pPr>
      <w:rPr>
        <w:rFonts w:hint="default"/>
      </w:rPr>
    </w:lvl>
    <w:lvl w:ilvl="3">
      <w:start w:val="0"/>
      <w:numFmt w:val="bullet"/>
      <w:lvlText w:val="•"/>
      <w:lvlJc w:val="left"/>
      <w:pPr>
        <w:ind w:left="2583" w:hanging="340"/>
      </w:pPr>
      <w:rPr>
        <w:rFonts w:hint="default"/>
      </w:rPr>
    </w:lvl>
    <w:lvl w:ilvl="4">
      <w:start w:val="0"/>
      <w:numFmt w:val="bullet"/>
      <w:lvlText w:val="•"/>
      <w:lvlJc w:val="left"/>
      <w:pPr>
        <w:ind w:left="3298" w:hanging="340"/>
      </w:pPr>
      <w:rPr>
        <w:rFonts w:hint="default"/>
      </w:rPr>
    </w:lvl>
    <w:lvl w:ilvl="5">
      <w:start w:val="0"/>
      <w:numFmt w:val="bullet"/>
      <w:lvlText w:val="•"/>
      <w:lvlJc w:val="left"/>
      <w:pPr>
        <w:ind w:left="4013" w:hanging="340"/>
      </w:pPr>
      <w:rPr>
        <w:rFonts w:hint="default"/>
      </w:rPr>
    </w:lvl>
    <w:lvl w:ilvl="6">
      <w:start w:val="0"/>
      <w:numFmt w:val="bullet"/>
      <w:lvlText w:val="•"/>
      <w:lvlJc w:val="left"/>
      <w:pPr>
        <w:ind w:left="4727" w:hanging="340"/>
      </w:pPr>
      <w:rPr>
        <w:rFonts w:hint="default"/>
      </w:rPr>
    </w:lvl>
    <w:lvl w:ilvl="7">
      <w:start w:val="0"/>
      <w:numFmt w:val="bullet"/>
      <w:lvlText w:val="•"/>
      <w:lvlJc w:val="left"/>
      <w:pPr>
        <w:ind w:left="5442" w:hanging="340"/>
      </w:pPr>
      <w:rPr>
        <w:rFonts w:hint="default"/>
      </w:rPr>
    </w:lvl>
    <w:lvl w:ilvl="8">
      <w:start w:val="0"/>
      <w:numFmt w:val="bullet"/>
      <w:lvlText w:val="•"/>
      <w:lvlJc w:val="left"/>
      <w:pPr>
        <w:ind w:left="6157" w:hanging="340"/>
      </w:pPr>
      <w:rPr>
        <w:rFonts w:hint="default"/>
      </w:rPr>
    </w:lvl>
  </w:abstractNum>
  <w:abstractNum w:abstractNumId="12">
    <w:multiLevelType w:val="hybridMultilevel"/>
    <w:lvl w:ilvl="0">
      <w:start w:val="1"/>
      <w:numFmt w:val="decimal"/>
      <w:lvlText w:val="(%1)"/>
      <w:lvlJc w:val="left"/>
      <w:pPr>
        <w:ind w:left="104" w:hanging="340"/>
        <w:jc w:val="left"/>
      </w:pPr>
      <w:rPr>
        <w:rFonts w:hint="default" w:ascii="宋体" w:hAnsi="宋体" w:eastAsia="宋体" w:cs="宋体"/>
        <w:w w:val="100"/>
        <w:sz w:val="18"/>
        <w:szCs w:val="18"/>
      </w:rPr>
    </w:lvl>
    <w:lvl w:ilvl="1">
      <w:start w:val="0"/>
      <w:numFmt w:val="bullet"/>
      <w:lvlText w:val="•"/>
      <w:lvlJc w:val="left"/>
      <w:pPr>
        <w:ind w:left="848" w:hanging="340"/>
      </w:pPr>
      <w:rPr>
        <w:rFonts w:hint="default"/>
      </w:rPr>
    </w:lvl>
    <w:lvl w:ilvl="2">
      <w:start w:val="0"/>
      <w:numFmt w:val="bullet"/>
      <w:lvlText w:val="•"/>
      <w:lvlJc w:val="left"/>
      <w:pPr>
        <w:ind w:left="1597" w:hanging="340"/>
      </w:pPr>
      <w:rPr>
        <w:rFonts w:hint="default"/>
      </w:rPr>
    </w:lvl>
    <w:lvl w:ilvl="3">
      <w:start w:val="0"/>
      <w:numFmt w:val="bullet"/>
      <w:lvlText w:val="•"/>
      <w:lvlJc w:val="left"/>
      <w:pPr>
        <w:ind w:left="2345" w:hanging="340"/>
      </w:pPr>
      <w:rPr>
        <w:rFonts w:hint="default"/>
      </w:rPr>
    </w:lvl>
    <w:lvl w:ilvl="4">
      <w:start w:val="0"/>
      <w:numFmt w:val="bullet"/>
      <w:lvlText w:val="•"/>
      <w:lvlJc w:val="left"/>
      <w:pPr>
        <w:ind w:left="3094" w:hanging="340"/>
      </w:pPr>
      <w:rPr>
        <w:rFonts w:hint="default"/>
      </w:rPr>
    </w:lvl>
    <w:lvl w:ilvl="5">
      <w:start w:val="0"/>
      <w:numFmt w:val="bullet"/>
      <w:lvlText w:val="•"/>
      <w:lvlJc w:val="left"/>
      <w:pPr>
        <w:ind w:left="3843" w:hanging="340"/>
      </w:pPr>
      <w:rPr>
        <w:rFonts w:hint="default"/>
      </w:rPr>
    </w:lvl>
    <w:lvl w:ilvl="6">
      <w:start w:val="0"/>
      <w:numFmt w:val="bullet"/>
      <w:lvlText w:val="•"/>
      <w:lvlJc w:val="left"/>
      <w:pPr>
        <w:ind w:left="4591" w:hanging="340"/>
      </w:pPr>
      <w:rPr>
        <w:rFonts w:hint="default"/>
      </w:rPr>
    </w:lvl>
    <w:lvl w:ilvl="7">
      <w:start w:val="0"/>
      <w:numFmt w:val="bullet"/>
      <w:lvlText w:val="•"/>
      <w:lvlJc w:val="left"/>
      <w:pPr>
        <w:ind w:left="5340" w:hanging="340"/>
      </w:pPr>
      <w:rPr>
        <w:rFonts w:hint="default"/>
      </w:rPr>
    </w:lvl>
    <w:lvl w:ilvl="8">
      <w:start w:val="0"/>
      <w:numFmt w:val="bullet"/>
      <w:lvlText w:val="•"/>
      <w:lvlJc w:val="left"/>
      <w:pPr>
        <w:ind w:left="6089" w:hanging="340"/>
      </w:pPr>
      <w:rPr>
        <w:rFonts w:hint="default"/>
      </w:rPr>
    </w:lvl>
  </w:abstractNum>
  <w:abstractNum w:abstractNumId="11">
    <w:multiLevelType w:val="hybridMultilevel"/>
    <w:lvl w:ilvl="0">
      <w:start w:val="1"/>
      <w:numFmt w:val="decimal"/>
      <w:lvlText w:val="%1."/>
      <w:lvlJc w:val="left"/>
      <w:pPr>
        <w:ind w:left="2522" w:hanging="421"/>
        <w:jc w:val="right"/>
      </w:pPr>
      <w:rPr>
        <w:rFonts w:hint="default" w:ascii="宋体" w:hAnsi="宋体" w:eastAsia="宋体" w:cs="宋体"/>
        <w:b/>
        <w:bCs/>
        <w:spacing w:val="0"/>
        <w:w w:val="99"/>
        <w:sz w:val="18"/>
        <w:szCs w:val="18"/>
      </w:rPr>
    </w:lvl>
    <w:lvl w:ilvl="1">
      <w:start w:val="1"/>
      <w:numFmt w:val="decimal"/>
      <w:lvlText w:val="(%2)"/>
      <w:lvlJc w:val="left"/>
      <w:pPr>
        <w:ind w:left="2882" w:hanging="360"/>
        <w:jc w:val="left"/>
      </w:pPr>
      <w:rPr>
        <w:rFonts w:hint="default" w:ascii="宋体" w:hAnsi="宋体" w:eastAsia="宋体" w:cs="宋体"/>
        <w:w w:val="100"/>
        <w:sz w:val="18"/>
        <w:szCs w:val="18"/>
      </w:rPr>
    </w:lvl>
    <w:lvl w:ilvl="2">
      <w:start w:val="0"/>
      <w:numFmt w:val="bullet"/>
      <w:lvlText w:val="•"/>
      <w:lvlJc w:val="left"/>
      <w:pPr>
        <w:ind w:left="2860" w:hanging="360"/>
      </w:pPr>
      <w:rPr>
        <w:rFonts w:hint="default"/>
      </w:rPr>
    </w:lvl>
    <w:lvl w:ilvl="3">
      <w:start w:val="0"/>
      <w:numFmt w:val="bullet"/>
      <w:lvlText w:val="•"/>
      <w:lvlJc w:val="left"/>
      <w:pPr>
        <w:ind w:left="2880" w:hanging="360"/>
      </w:pPr>
      <w:rPr>
        <w:rFonts w:hint="default"/>
      </w:rPr>
    </w:lvl>
    <w:lvl w:ilvl="4">
      <w:start w:val="0"/>
      <w:numFmt w:val="bullet"/>
      <w:lvlText w:val="•"/>
      <w:lvlJc w:val="left"/>
      <w:pPr>
        <w:ind w:left="2920" w:hanging="360"/>
      </w:pPr>
      <w:rPr>
        <w:rFonts w:hint="default"/>
      </w:rPr>
    </w:lvl>
    <w:lvl w:ilvl="5">
      <w:start w:val="0"/>
      <w:numFmt w:val="bullet"/>
      <w:lvlText w:val="•"/>
      <w:lvlJc w:val="left"/>
      <w:pPr>
        <w:ind w:left="2940" w:hanging="360"/>
      </w:pPr>
      <w:rPr>
        <w:rFonts w:hint="default"/>
      </w:rPr>
    </w:lvl>
    <w:lvl w:ilvl="6">
      <w:start w:val="0"/>
      <w:numFmt w:val="bullet"/>
      <w:lvlText w:val="•"/>
      <w:lvlJc w:val="left"/>
      <w:pPr>
        <w:ind w:left="3000" w:hanging="360"/>
      </w:pPr>
      <w:rPr>
        <w:rFonts w:hint="default"/>
      </w:rPr>
    </w:lvl>
    <w:lvl w:ilvl="7">
      <w:start w:val="0"/>
      <w:numFmt w:val="bullet"/>
      <w:lvlText w:val="•"/>
      <w:lvlJc w:val="left"/>
      <w:pPr>
        <w:ind w:left="4746" w:hanging="360"/>
      </w:pPr>
      <w:rPr>
        <w:rFonts w:hint="default"/>
      </w:rPr>
    </w:lvl>
    <w:lvl w:ilvl="8">
      <w:start w:val="0"/>
      <w:numFmt w:val="bullet"/>
      <w:lvlText w:val="•"/>
      <w:lvlJc w:val="left"/>
      <w:pPr>
        <w:ind w:left="6492" w:hanging="360"/>
      </w:pPr>
      <w:rPr>
        <w:rFonts w:hint="default"/>
      </w:rPr>
    </w:lvl>
  </w:abstractNum>
  <w:abstractNum w:abstractNumId="10">
    <w:multiLevelType w:val="hybridMultilevel"/>
    <w:lvl w:ilvl="0">
      <w:start w:val="0"/>
      <w:numFmt w:val="bullet"/>
      <w:lvlText w:val="◉"/>
      <w:lvlJc w:val="left"/>
      <w:pPr>
        <w:ind w:left="907" w:hanging="683"/>
      </w:pPr>
      <w:rPr>
        <w:rFonts w:hint="default" w:ascii="Yu Gothic" w:hAnsi="Yu Gothic" w:eastAsia="Yu Gothic" w:cs="Yu Gothic"/>
        <w:b/>
        <w:bCs/>
        <w:w w:val="89"/>
        <w:position w:val="-3"/>
        <w:sz w:val="40"/>
        <w:szCs w:val="40"/>
      </w:rPr>
    </w:lvl>
    <w:lvl w:ilvl="1">
      <w:start w:val="0"/>
      <w:numFmt w:val="bullet"/>
      <w:lvlText w:val="•"/>
      <w:lvlJc w:val="left"/>
      <w:pPr>
        <w:ind w:left="1820" w:hanging="683"/>
      </w:pPr>
      <w:rPr>
        <w:rFonts w:hint="default"/>
      </w:rPr>
    </w:lvl>
    <w:lvl w:ilvl="2">
      <w:start w:val="0"/>
      <w:numFmt w:val="bullet"/>
      <w:lvlText w:val="•"/>
      <w:lvlJc w:val="left"/>
      <w:pPr>
        <w:ind w:left="2740" w:hanging="683"/>
      </w:pPr>
      <w:rPr>
        <w:rFonts w:hint="default"/>
      </w:rPr>
    </w:lvl>
    <w:lvl w:ilvl="3">
      <w:start w:val="0"/>
      <w:numFmt w:val="bullet"/>
      <w:lvlText w:val="•"/>
      <w:lvlJc w:val="left"/>
      <w:pPr>
        <w:ind w:left="3661" w:hanging="683"/>
      </w:pPr>
      <w:rPr>
        <w:rFonts w:hint="default"/>
      </w:rPr>
    </w:lvl>
    <w:lvl w:ilvl="4">
      <w:start w:val="0"/>
      <w:numFmt w:val="bullet"/>
      <w:lvlText w:val="•"/>
      <w:lvlJc w:val="left"/>
      <w:pPr>
        <w:ind w:left="4581" w:hanging="683"/>
      </w:pPr>
      <w:rPr>
        <w:rFonts w:hint="default"/>
      </w:rPr>
    </w:lvl>
    <w:lvl w:ilvl="5">
      <w:start w:val="0"/>
      <w:numFmt w:val="bullet"/>
      <w:lvlText w:val="•"/>
      <w:lvlJc w:val="left"/>
      <w:pPr>
        <w:ind w:left="5502" w:hanging="683"/>
      </w:pPr>
      <w:rPr>
        <w:rFonts w:hint="default"/>
      </w:rPr>
    </w:lvl>
    <w:lvl w:ilvl="6">
      <w:start w:val="0"/>
      <w:numFmt w:val="bullet"/>
      <w:lvlText w:val="•"/>
      <w:lvlJc w:val="left"/>
      <w:pPr>
        <w:ind w:left="6422" w:hanging="683"/>
      </w:pPr>
      <w:rPr>
        <w:rFonts w:hint="default"/>
      </w:rPr>
    </w:lvl>
    <w:lvl w:ilvl="7">
      <w:start w:val="0"/>
      <w:numFmt w:val="bullet"/>
      <w:lvlText w:val="•"/>
      <w:lvlJc w:val="left"/>
      <w:pPr>
        <w:ind w:left="7343" w:hanging="683"/>
      </w:pPr>
      <w:rPr>
        <w:rFonts w:hint="default"/>
      </w:rPr>
    </w:lvl>
    <w:lvl w:ilvl="8">
      <w:start w:val="0"/>
      <w:numFmt w:val="bullet"/>
      <w:lvlText w:val="•"/>
      <w:lvlJc w:val="left"/>
      <w:pPr>
        <w:ind w:left="8263" w:hanging="683"/>
      </w:pPr>
      <w:rPr>
        <w:rFonts w:hint="default"/>
      </w:rPr>
    </w:lvl>
  </w:abstractNum>
  <w:abstractNum w:abstractNumId="9">
    <w:multiLevelType w:val="hybridMultilevel"/>
    <w:lvl w:ilvl="0">
      <w:start w:val="5"/>
      <w:numFmt w:val="decimal"/>
      <w:lvlText w:val="%1"/>
      <w:lvlJc w:val="left"/>
      <w:pPr>
        <w:ind w:left="2613" w:hanging="683"/>
        <w:jc w:val="left"/>
      </w:pPr>
      <w:rPr>
        <w:rFonts w:hint="default"/>
      </w:rPr>
    </w:lvl>
    <w:lvl w:ilvl="1">
      <w:start w:val="1"/>
      <w:numFmt w:val="decimal"/>
      <w:lvlText w:val="%1.%2"/>
      <w:lvlJc w:val="left"/>
      <w:pPr>
        <w:ind w:left="2613" w:hanging="683"/>
        <w:jc w:val="left"/>
      </w:pPr>
      <w:rPr>
        <w:rFonts w:hint="default" w:ascii="宋体" w:hAnsi="宋体" w:eastAsia="宋体" w:cs="宋体"/>
        <w:b/>
        <w:bCs/>
        <w:w w:val="99"/>
        <w:sz w:val="21"/>
        <w:szCs w:val="21"/>
      </w:rPr>
    </w:lvl>
    <w:lvl w:ilvl="2">
      <w:start w:val="0"/>
      <w:numFmt w:val="bullet"/>
      <w:lvlText w:val="•"/>
      <w:lvlJc w:val="left"/>
      <w:pPr>
        <w:ind w:left="4116" w:hanging="683"/>
      </w:pPr>
      <w:rPr>
        <w:rFonts w:hint="default"/>
      </w:rPr>
    </w:lvl>
    <w:lvl w:ilvl="3">
      <w:start w:val="0"/>
      <w:numFmt w:val="bullet"/>
      <w:lvlText w:val="•"/>
      <w:lvlJc w:val="left"/>
      <w:pPr>
        <w:ind w:left="4865" w:hanging="683"/>
      </w:pPr>
      <w:rPr>
        <w:rFonts w:hint="default"/>
      </w:rPr>
    </w:lvl>
    <w:lvl w:ilvl="4">
      <w:start w:val="0"/>
      <w:numFmt w:val="bullet"/>
      <w:lvlText w:val="•"/>
      <w:lvlJc w:val="left"/>
      <w:pPr>
        <w:ind w:left="5613" w:hanging="683"/>
      </w:pPr>
      <w:rPr>
        <w:rFonts w:hint="default"/>
      </w:rPr>
    </w:lvl>
    <w:lvl w:ilvl="5">
      <w:start w:val="0"/>
      <w:numFmt w:val="bullet"/>
      <w:lvlText w:val="•"/>
      <w:lvlJc w:val="left"/>
      <w:pPr>
        <w:ind w:left="6362" w:hanging="683"/>
      </w:pPr>
      <w:rPr>
        <w:rFonts w:hint="default"/>
      </w:rPr>
    </w:lvl>
    <w:lvl w:ilvl="6">
      <w:start w:val="0"/>
      <w:numFmt w:val="bullet"/>
      <w:lvlText w:val="•"/>
      <w:lvlJc w:val="left"/>
      <w:pPr>
        <w:ind w:left="7110" w:hanging="683"/>
      </w:pPr>
      <w:rPr>
        <w:rFonts w:hint="default"/>
      </w:rPr>
    </w:lvl>
    <w:lvl w:ilvl="7">
      <w:start w:val="0"/>
      <w:numFmt w:val="bullet"/>
      <w:lvlText w:val="•"/>
      <w:lvlJc w:val="left"/>
      <w:pPr>
        <w:ind w:left="7859" w:hanging="683"/>
      </w:pPr>
      <w:rPr>
        <w:rFonts w:hint="default"/>
      </w:rPr>
    </w:lvl>
    <w:lvl w:ilvl="8">
      <w:start w:val="0"/>
      <w:numFmt w:val="bullet"/>
      <w:lvlText w:val="•"/>
      <w:lvlJc w:val="left"/>
      <w:pPr>
        <w:ind w:left="8607" w:hanging="683"/>
      </w:pPr>
      <w:rPr>
        <w:rFonts w:hint="default"/>
      </w:rPr>
    </w:lvl>
  </w:abstractNum>
  <w:abstractNum w:abstractNumId="8">
    <w:multiLevelType w:val="hybridMultilevel"/>
    <w:lvl w:ilvl="0">
      <w:start w:val="3"/>
      <w:numFmt w:val="decimal"/>
      <w:lvlText w:val="%1"/>
      <w:lvlJc w:val="left"/>
      <w:pPr>
        <w:ind w:left="907" w:hanging="683"/>
        <w:jc w:val="left"/>
      </w:pPr>
      <w:rPr>
        <w:rFonts w:hint="default"/>
      </w:rPr>
    </w:lvl>
    <w:lvl w:ilvl="1">
      <w:start w:val="1"/>
      <w:numFmt w:val="decimal"/>
      <w:lvlText w:val="%1.%2"/>
      <w:lvlJc w:val="left"/>
      <w:pPr>
        <w:ind w:left="2613" w:hanging="683"/>
        <w:jc w:val="left"/>
      </w:pPr>
      <w:rPr>
        <w:rFonts w:hint="default" w:ascii="宋体" w:hAnsi="宋体" w:eastAsia="宋体" w:cs="宋体"/>
        <w:b/>
        <w:bCs/>
        <w:w w:val="99"/>
        <w:sz w:val="21"/>
        <w:szCs w:val="21"/>
      </w:rPr>
    </w:lvl>
    <w:lvl w:ilvl="2">
      <w:start w:val="1"/>
      <w:numFmt w:val="decimal"/>
      <w:lvlText w:val="(%3)"/>
      <w:lvlJc w:val="left"/>
      <w:pPr>
        <w:ind w:left="3010" w:hanging="398"/>
        <w:jc w:val="left"/>
      </w:pPr>
      <w:rPr>
        <w:rFonts w:hint="default" w:ascii="宋体" w:hAnsi="宋体" w:eastAsia="宋体" w:cs="宋体"/>
        <w:w w:val="100"/>
        <w:sz w:val="18"/>
        <w:szCs w:val="18"/>
      </w:rPr>
    </w:lvl>
    <w:lvl w:ilvl="3">
      <w:start w:val="0"/>
      <w:numFmt w:val="bullet"/>
      <w:lvlText w:val="•"/>
      <w:lvlJc w:val="left"/>
      <w:pPr>
        <w:ind w:left="2942" w:hanging="398"/>
      </w:pPr>
      <w:rPr>
        <w:rFonts w:hint="default"/>
      </w:rPr>
    </w:lvl>
    <w:lvl w:ilvl="4">
      <w:start w:val="0"/>
      <w:numFmt w:val="bullet"/>
      <w:lvlText w:val="•"/>
      <w:lvlJc w:val="left"/>
      <w:pPr>
        <w:ind w:left="2865" w:hanging="398"/>
      </w:pPr>
      <w:rPr>
        <w:rFonts w:hint="default"/>
      </w:rPr>
    </w:lvl>
    <w:lvl w:ilvl="5">
      <w:start w:val="0"/>
      <w:numFmt w:val="bullet"/>
      <w:lvlText w:val="•"/>
      <w:lvlJc w:val="left"/>
      <w:pPr>
        <w:ind w:left="2787" w:hanging="398"/>
      </w:pPr>
      <w:rPr>
        <w:rFonts w:hint="default"/>
      </w:rPr>
    </w:lvl>
    <w:lvl w:ilvl="6">
      <w:start w:val="0"/>
      <w:numFmt w:val="bullet"/>
      <w:lvlText w:val="•"/>
      <w:lvlJc w:val="left"/>
      <w:pPr>
        <w:ind w:left="2710" w:hanging="398"/>
      </w:pPr>
      <w:rPr>
        <w:rFonts w:hint="default"/>
      </w:rPr>
    </w:lvl>
    <w:lvl w:ilvl="7">
      <w:start w:val="0"/>
      <w:numFmt w:val="bullet"/>
      <w:lvlText w:val="•"/>
      <w:lvlJc w:val="left"/>
      <w:pPr>
        <w:ind w:left="2633" w:hanging="398"/>
      </w:pPr>
      <w:rPr>
        <w:rFonts w:hint="default"/>
      </w:rPr>
    </w:lvl>
    <w:lvl w:ilvl="8">
      <w:start w:val="0"/>
      <w:numFmt w:val="bullet"/>
      <w:lvlText w:val="•"/>
      <w:lvlJc w:val="left"/>
      <w:pPr>
        <w:ind w:left="2555" w:hanging="398"/>
      </w:pPr>
      <w:rPr>
        <w:rFonts w:hint="default"/>
      </w:rPr>
    </w:lvl>
  </w:abstractNum>
  <w:abstractNum w:abstractNumId="7">
    <w:multiLevelType w:val="hybridMultilevel"/>
    <w:lvl w:ilvl="0">
      <w:start w:val="2"/>
      <w:numFmt w:val="decimal"/>
      <w:lvlText w:val="%1"/>
      <w:lvlJc w:val="left"/>
      <w:pPr>
        <w:ind w:left="906" w:hanging="683"/>
        <w:jc w:val="left"/>
      </w:pPr>
      <w:rPr>
        <w:rFonts w:hint="default"/>
      </w:rPr>
    </w:lvl>
    <w:lvl w:ilvl="1">
      <w:start w:val="1"/>
      <w:numFmt w:val="decimal"/>
      <w:lvlText w:val="%1.%2"/>
      <w:lvlJc w:val="left"/>
      <w:pPr>
        <w:ind w:left="906" w:hanging="683"/>
        <w:jc w:val="left"/>
      </w:pPr>
      <w:rPr>
        <w:rFonts w:hint="default" w:ascii="宋体" w:hAnsi="宋体" w:eastAsia="宋体" w:cs="宋体"/>
        <w:b/>
        <w:bCs/>
        <w:w w:val="99"/>
        <w:sz w:val="21"/>
        <w:szCs w:val="21"/>
      </w:rPr>
    </w:lvl>
    <w:lvl w:ilvl="2">
      <w:start w:val="0"/>
      <w:numFmt w:val="bullet"/>
      <w:lvlText w:val="•"/>
      <w:lvlJc w:val="left"/>
      <w:pPr>
        <w:ind w:left="2740" w:hanging="683"/>
      </w:pPr>
      <w:rPr>
        <w:rFonts w:hint="default"/>
      </w:rPr>
    </w:lvl>
    <w:lvl w:ilvl="3">
      <w:start w:val="0"/>
      <w:numFmt w:val="bullet"/>
      <w:lvlText w:val="•"/>
      <w:lvlJc w:val="left"/>
      <w:pPr>
        <w:ind w:left="3661" w:hanging="683"/>
      </w:pPr>
      <w:rPr>
        <w:rFonts w:hint="default"/>
      </w:rPr>
    </w:lvl>
    <w:lvl w:ilvl="4">
      <w:start w:val="0"/>
      <w:numFmt w:val="bullet"/>
      <w:lvlText w:val="•"/>
      <w:lvlJc w:val="left"/>
      <w:pPr>
        <w:ind w:left="4581" w:hanging="683"/>
      </w:pPr>
      <w:rPr>
        <w:rFonts w:hint="default"/>
      </w:rPr>
    </w:lvl>
    <w:lvl w:ilvl="5">
      <w:start w:val="0"/>
      <w:numFmt w:val="bullet"/>
      <w:lvlText w:val="•"/>
      <w:lvlJc w:val="left"/>
      <w:pPr>
        <w:ind w:left="5502" w:hanging="683"/>
      </w:pPr>
      <w:rPr>
        <w:rFonts w:hint="default"/>
      </w:rPr>
    </w:lvl>
    <w:lvl w:ilvl="6">
      <w:start w:val="0"/>
      <w:numFmt w:val="bullet"/>
      <w:lvlText w:val="•"/>
      <w:lvlJc w:val="left"/>
      <w:pPr>
        <w:ind w:left="6422" w:hanging="683"/>
      </w:pPr>
      <w:rPr>
        <w:rFonts w:hint="default"/>
      </w:rPr>
    </w:lvl>
    <w:lvl w:ilvl="7">
      <w:start w:val="0"/>
      <w:numFmt w:val="bullet"/>
      <w:lvlText w:val="•"/>
      <w:lvlJc w:val="left"/>
      <w:pPr>
        <w:ind w:left="7343" w:hanging="683"/>
      </w:pPr>
      <w:rPr>
        <w:rFonts w:hint="default"/>
      </w:rPr>
    </w:lvl>
    <w:lvl w:ilvl="8">
      <w:start w:val="0"/>
      <w:numFmt w:val="bullet"/>
      <w:lvlText w:val="•"/>
      <w:lvlJc w:val="left"/>
      <w:pPr>
        <w:ind w:left="8263" w:hanging="683"/>
      </w:pPr>
      <w:rPr>
        <w:rFonts w:hint="default"/>
      </w:rPr>
    </w:lvl>
  </w:abstractNum>
  <w:abstractNum w:abstractNumId="6">
    <w:multiLevelType w:val="hybridMultilevel"/>
    <w:lvl w:ilvl="0">
      <w:start w:val="1"/>
      <w:numFmt w:val="decimal"/>
      <w:lvlText w:val="%1"/>
      <w:lvlJc w:val="left"/>
      <w:pPr>
        <w:ind w:left="2613" w:hanging="683"/>
        <w:jc w:val="left"/>
      </w:pPr>
      <w:rPr>
        <w:rFonts w:hint="default"/>
      </w:rPr>
    </w:lvl>
    <w:lvl w:ilvl="1">
      <w:start w:val="1"/>
      <w:numFmt w:val="decimal"/>
      <w:lvlText w:val="%1.%2"/>
      <w:lvlJc w:val="left"/>
      <w:pPr>
        <w:ind w:left="2613" w:hanging="683"/>
        <w:jc w:val="left"/>
      </w:pPr>
      <w:rPr>
        <w:rFonts w:hint="default" w:ascii="宋体" w:hAnsi="宋体" w:eastAsia="宋体" w:cs="宋体"/>
        <w:b/>
        <w:bCs/>
        <w:w w:val="99"/>
        <w:sz w:val="21"/>
        <w:szCs w:val="21"/>
      </w:rPr>
    </w:lvl>
    <w:lvl w:ilvl="2">
      <w:start w:val="0"/>
      <w:numFmt w:val="bullet"/>
      <w:lvlText w:val="•"/>
      <w:lvlJc w:val="left"/>
      <w:pPr>
        <w:ind w:left="4116" w:hanging="683"/>
      </w:pPr>
      <w:rPr>
        <w:rFonts w:hint="default"/>
      </w:rPr>
    </w:lvl>
    <w:lvl w:ilvl="3">
      <w:start w:val="0"/>
      <w:numFmt w:val="bullet"/>
      <w:lvlText w:val="•"/>
      <w:lvlJc w:val="left"/>
      <w:pPr>
        <w:ind w:left="4865" w:hanging="683"/>
      </w:pPr>
      <w:rPr>
        <w:rFonts w:hint="default"/>
      </w:rPr>
    </w:lvl>
    <w:lvl w:ilvl="4">
      <w:start w:val="0"/>
      <w:numFmt w:val="bullet"/>
      <w:lvlText w:val="•"/>
      <w:lvlJc w:val="left"/>
      <w:pPr>
        <w:ind w:left="5613" w:hanging="683"/>
      </w:pPr>
      <w:rPr>
        <w:rFonts w:hint="default"/>
      </w:rPr>
    </w:lvl>
    <w:lvl w:ilvl="5">
      <w:start w:val="0"/>
      <w:numFmt w:val="bullet"/>
      <w:lvlText w:val="•"/>
      <w:lvlJc w:val="left"/>
      <w:pPr>
        <w:ind w:left="6362" w:hanging="683"/>
      </w:pPr>
      <w:rPr>
        <w:rFonts w:hint="default"/>
      </w:rPr>
    </w:lvl>
    <w:lvl w:ilvl="6">
      <w:start w:val="0"/>
      <w:numFmt w:val="bullet"/>
      <w:lvlText w:val="•"/>
      <w:lvlJc w:val="left"/>
      <w:pPr>
        <w:ind w:left="7110" w:hanging="683"/>
      </w:pPr>
      <w:rPr>
        <w:rFonts w:hint="default"/>
      </w:rPr>
    </w:lvl>
    <w:lvl w:ilvl="7">
      <w:start w:val="0"/>
      <w:numFmt w:val="bullet"/>
      <w:lvlText w:val="•"/>
      <w:lvlJc w:val="left"/>
      <w:pPr>
        <w:ind w:left="7859" w:hanging="683"/>
      </w:pPr>
      <w:rPr>
        <w:rFonts w:hint="default"/>
      </w:rPr>
    </w:lvl>
    <w:lvl w:ilvl="8">
      <w:start w:val="0"/>
      <w:numFmt w:val="bullet"/>
      <w:lvlText w:val="•"/>
      <w:lvlJc w:val="left"/>
      <w:pPr>
        <w:ind w:left="8607" w:hanging="683"/>
      </w:pPr>
      <w:rPr>
        <w:rFonts w:hint="default"/>
      </w:rPr>
    </w:lvl>
  </w:abstractNum>
  <w:abstractNum w:abstractNumId="5">
    <w:multiLevelType w:val="hybridMultilevel"/>
    <w:lvl w:ilvl="0">
      <w:start w:val="8"/>
      <w:numFmt w:val="decimal"/>
      <w:lvlText w:val="%1"/>
      <w:lvlJc w:val="left"/>
      <w:pPr>
        <w:ind w:left="811" w:hanging="421"/>
        <w:jc w:val="left"/>
      </w:pPr>
      <w:rPr>
        <w:rFonts w:hint="default"/>
      </w:rPr>
    </w:lvl>
    <w:lvl w:ilvl="1">
      <w:start w:val="1"/>
      <w:numFmt w:val="decimal"/>
      <w:lvlText w:val="%1.%2"/>
      <w:lvlJc w:val="left"/>
      <w:pPr>
        <w:ind w:left="811" w:hanging="421"/>
        <w:jc w:val="right"/>
      </w:pPr>
      <w:rPr>
        <w:rFonts w:hint="default" w:ascii="宋体" w:hAnsi="宋体" w:eastAsia="宋体" w:cs="宋体"/>
        <w:spacing w:val="-2"/>
        <w:w w:val="100"/>
        <w:sz w:val="21"/>
        <w:szCs w:val="21"/>
      </w:rPr>
    </w:lvl>
    <w:lvl w:ilvl="2">
      <w:start w:val="0"/>
      <w:numFmt w:val="bullet"/>
      <w:lvlText w:val="•"/>
      <w:lvlJc w:val="left"/>
      <w:pPr>
        <w:ind w:left="1155" w:hanging="421"/>
      </w:pPr>
      <w:rPr>
        <w:rFonts w:hint="default"/>
      </w:rPr>
    </w:lvl>
    <w:lvl w:ilvl="3">
      <w:start w:val="0"/>
      <w:numFmt w:val="bullet"/>
      <w:lvlText w:val="•"/>
      <w:lvlJc w:val="left"/>
      <w:pPr>
        <w:ind w:left="1323" w:hanging="421"/>
      </w:pPr>
      <w:rPr>
        <w:rFonts w:hint="default"/>
      </w:rPr>
    </w:lvl>
    <w:lvl w:ilvl="4">
      <w:start w:val="0"/>
      <w:numFmt w:val="bullet"/>
      <w:lvlText w:val="•"/>
      <w:lvlJc w:val="left"/>
      <w:pPr>
        <w:ind w:left="1491" w:hanging="421"/>
      </w:pPr>
      <w:rPr>
        <w:rFonts w:hint="default"/>
      </w:rPr>
    </w:lvl>
    <w:lvl w:ilvl="5">
      <w:start w:val="0"/>
      <w:numFmt w:val="bullet"/>
      <w:lvlText w:val="•"/>
      <w:lvlJc w:val="left"/>
      <w:pPr>
        <w:ind w:left="1659" w:hanging="421"/>
      </w:pPr>
      <w:rPr>
        <w:rFonts w:hint="default"/>
      </w:rPr>
    </w:lvl>
    <w:lvl w:ilvl="6">
      <w:start w:val="0"/>
      <w:numFmt w:val="bullet"/>
      <w:lvlText w:val="•"/>
      <w:lvlJc w:val="left"/>
      <w:pPr>
        <w:ind w:left="1827" w:hanging="421"/>
      </w:pPr>
      <w:rPr>
        <w:rFonts w:hint="default"/>
      </w:rPr>
    </w:lvl>
    <w:lvl w:ilvl="7">
      <w:start w:val="0"/>
      <w:numFmt w:val="bullet"/>
      <w:lvlText w:val="•"/>
      <w:lvlJc w:val="left"/>
      <w:pPr>
        <w:ind w:left="1995" w:hanging="421"/>
      </w:pPr>
      <w:rPr>
        <w:rFonts w:hint="default"/>
      </w:rPr>
    </w:lvl>
    <w:lvl w:ilvl="8">
      <w:start w:val="0"/>
      <w:numFmt w:val="bullet"/>
      <w:lvlText w:val="•"/>
      <w:lvlJc w:val="left"/>
      <w:pPr>
        <w:ind w:left="2163" w:hanging="421"/>
      </w:pPr>
      <w:rPr>
        <w:rFonts w:hint="default"/>
      </w:rPr>
    </w:lvl>
  </w:abstractNum>
  <w:abstractNum w:abstractNumId="4">
    <w:multiLevelType w:val="hybridMultilevel"/>
    <w:lvl w:ilvl="0">
      <w:start w:val="5"/>
      <w:numFmt w:val="decimal"/>
      <w:lvlText w:val="%1"/>
      <w:lvlJc w:val="left"/>
      <w:pPr>
        <w:ind w:left="812" w:hanging="421"/>
        <w:jc w:val="left"/>
      </w:pPr>
      <w:rPr>
        <w:rFonts w:hint="default"/>
      </w:rPr>
    </w:lvl>
    <w:lvl w:ilvl="1">
      <w:start w:val="1"/>
      <w:numFmt w:val="decimal"/>
      <w:lvlText w:val="%1.%2"/>
      <w:lvlJc w:val="left"/>
      <w:pPr>
        <w:ind w:left="812" w:hanging="421"/>
        <w:jc w:val="left"/>
      </w:pPr>
      <w:rPr>
        <w:rFonts w:hint="default" w:ascii="宋体" w:hAnsi="宋体" w:eastAsia="宋体" w:cs="宋体"/>
        <w:spacing w:val="-2"/>
        <w:w w:val="100"/>
        <w:sz w:val="21"/>
        <w:szCs w:val="21"/>
      </w:rPr>
    </w:lvl>
    <w:lvl w:ilvl="2">
      <w:start w:val="0"/>
      <w:numFmt w:val="bullet"/>
      <w:lvlText w:val="•"/>
      <w:lvlJc w:val="left"/>
      <w:pPr>
        <w:ind w:left="1155" w:hanging="421"/>
      </w:pPr>
      <w:rPr>
        <w:rFonts w:hint="default"/>
      </w:rPr>
    </w:lvl>
    <w:lvl w:ilvl="3">
      <w:start w:val="0"/>
      <w:numFmt w:val="bullet"/>
      <w:lvlText w:val="•"/>
      <w:lvlJc w:val="left"/>
      <w:pPr>
        <w:ind w:left="1323" w:hanging="421"/>
      </w:pPr>
      <w:rPr>
        <w:rFonts w:hint="default"/>
      </w:rPr>
    </w:lvl>
    <w:lvl w:ilvl="4">
      <w:start w:val="0"/>
      <w:numFmt w:val="bullet"/>
      <w:lvlText w:val="•"/>
      <w:lvlJc w:val="left"/>
      <w:pPr>
        <w:ind w:left="1491" w:hanging="421"/>
      </w:pPr>
      <w:rPr>
        <w:rFonts w:hint="default"/>
      </w:rPr>
    </w:lvl>
    <w:lvl w:ilvl="5">
      <w:start w:val="0"/>
      <w:numFmt w:val="bullet"/>
      <w:lvlText w:val="•"/>
      <w:lvlJc w:val="left"/>
      <w:pPr>
        <w:ind w:left="1659" w:hanging="421"/>
      </w:pPr>
      <w:rPr>
        <w:rFonts w:hint="default"/>
      </w:rPr>
    </w:lvl>
    <w:lvl w:ilvl="6">
      <w:start w:val="0"/>
      <w:numFmt w:val="bullet"/>
      <w:lvlText w:val="•"/>
      <w:lvlJc w:val="left"/>
      <w:pPr>
        <w:ind w:left="1827" w:hanging="421"/>
      </w:pPr>
      <w:rPr>
        <w:rFonts w:hint="default"/>
      </w:rPr>
    </w:lvl>
    <w:lvl w:ilvl="7">
      <w:start w:val="0"/>
      <w:numFmt w:val="bullet"/>
      <w:lvlText w:val="•"/>
      <w:lvlJc w:val="left"/>
      <w:pPr>
        <w:ind w:left="1995" w:hanging="421"/>
      </w:pPr>
      <w:rPr>
        <w:rFonts w:hint="default"/>
      </w:rPr>
    </w:lvl>
    <w:lvl w:ilvl="8">
      <w:start w:val="0"/>
      <w:numFmt w:val="bullet"/>
      <w:lvlText w:val="•"/>
      <w:lvlJc w:val="left"/>
      <w:pPr>
        <w:ind w:left="2163" w:hanging="421"/>
      </w:pPr>
      <w:rPr>
        <w:rFonts w:hint="default"/>
      </w:rPr>
    </w:lvl>
  </w:abstractNum>
  <w:abstractNum w:abstractNumId="3">
    <w:multiLevelType w:val="hybridMultilevel"/>
    <w:lvl w:ilvl="0">
      <w:start w:val="3"/>
      <w:numFmt w:val="decimal"/>
      <w:lvlText w:val="%1"/>
      <w:lvlJc w:val="left"/>
      <w:pPr>
        <w:ind w:left="1832" w:hanging="421"/>
        <w:jc w:val="left"/>
      </w:pPr>
      <w:rPr>
        <w:rFonts w:hint="default"/>
      </w:rPr>
    </w:lvl>
    <w:lvl w:ilvl="1">
      <w:start w:val="1"/>
      <w:numFmt w:val="decimal"/>
      <w:lvlText w:val="%1.%2"/>
      <w:lvlJc w:val="left"/>
      <w:pPr>
        <w:ind w:left="1832" w:hanging="421"/>
        <w:jc w:val="left"/>
      </w:pPr>
      <w:rPr>
        <w:rFonts w:hint="default" w:ascii="宋体" w:hAnsi="宋体" w:eastAsia="宋体" w:cs="宋体"/>
        <w:spacing w:val="-2"/>
        <w:w w:val="100"/>
        <w:sz w:val="21"/>
        <w:szCs w:val="21"/>
      </w:rPr>
    </w:lvl>
    <w:lvl w:ilvl="2">
      <w:start w:val="0"/>
      <w:numFmt w:val="bullet"/>
      <w:lvlText w:val="•"/>
      <w:lvlJc w:val="left"/>
      <w:pPr>
        <w:ind w:left="2216" w:hanging="421"/>
      </w:pPr>
      <w:rPr>
        <w:rFonts w:hint="default"/>
      </w:rPr>
    </w:lvl>
    <w:lvl w:ilvl="3">
      <w:start w:val="0"/>
      <w:numFmt w:val="bullet"/>
      <w:lvlText w:val="•"/>
      <w:lvlJc w:val="left"/>
      <w:pPr>
        <w:ind w:left="2404" w:hanging="421"/>
      </w:pPr>
      <w:rPr>
        <w:rFonts w:hint="default"/>
      </w:rPr>
    </w:lvl>
    <w:lvl w:ilvl="4">
      <w:start w:val="0"/>
      <w:numFmt w:val="bullet"/>
      <w:lvlText w:val="•"/>
      <w:lvlJc w:val="left"/>
      <w:pPr>
        <w:ind w:left="2592" w:hanging="421"/>
      </w:pPr>
      <w:rPr>
        <w:rFonts w:hint="default"/>
      </w:rPr>
    </w:lvl>
    <w:lvl w:ilvl="5">
      <w:start w:val="0"/>
      <w:numFmt w:val="bullet"/>
      <w:lvlText w:val="•"/>
      <w:lvlJc w:val="left"/>
      <w:pPr>
        <w:ind w:left="2781" w:hanging="421"/>
      </w:pPr>
      <w:rPr>
        <w:rFonts w:hint="default"/>
      </w:rPr>
    </w:lvl>
    <w:lvl w:ilvl="6">
      <w:start w:val="0"/>
      <w:numFmt w:val="bullet"/>
      <w:lvlText w:val="•"/>
      <w:lvlJc w:val="left"/>
      <w:pPr>
        <w:ind w:left="2969" w:hanging="421"/>
      </w:pPr>
      <w:rPr>
        <w:rFonts w:hint="default"/>
      </w:rPr>
    </w:lvl>
    <w:lvl w:ilvl="7">
      <w:start w:val="0"/>
      <w:numFmt w:val="bullet"/>
      <w:lvlText w:val="•"/>
      <w:lvlJc w:val="left"/>
      <w:pPr>
        <w:ind w:left="3157" w:hanging="421"/>
      </w:pPr>
      <w:rPr>
        <w:rFonts w:hint="default"/>
      </w:rPr>
    </w:lvl>
    <w:lvl w:ilvl="8">
      <w:start w:val="0"/>
      <w:numFmt w:val="bullet"/>
      <w:lvlText w:val="•"/>
      <w:lvlJc w:val="left"/>
      <w:pPr>
        <w:ind w:left="3345" w:hanging="421"/>
      </w:pPr>
      <w:rPr>
        <w:rFonts w:hint="default"/>
      </w:rPr>
    </w:lvl>
  </w:abstractNum>
  <w:abstractNum w:abstractNumId="2">
    <w:multiLevelType w:val="hybridMultilevel"/>
    <w:lvl w:ilvl="0">
      <w:start w:val="2"/>
      <w:numFmt w:val="decimal"/>
      <w:lvlText w:val="%1"/>
      <w:lvlJc w:val="left"/>
      <w:pPr>
        <w:ind w:left="1832" w:hanging="421"/>
        <w:jc w:val="left"/>
      </w:pPr>
      <w:rPr>
        <w:rFonts w:hint="default"/>
      </w:rPr>
    </w:lvl>
    <w:lvl w:ilvl="1">
      <w:start w:val="1"/>
      <w:numFmt w:val="decimal"/>
      <w:lvlText w:val="%1.%2"/>
      <w:lvlJc w:val="left"/>
      <w:pPr>
        <w:ind w:left="1832" w:hanging="421"/>
        <w:jc w:val="left"/>
      </w:pPr>
      <w:rPr>
        <w:rFonts w:hint="default" w:ascii="宋体" w:hAnsi="宋体" w:eastAsia="宋体" w:cs="宋体"/>
        <w:spacing w:val="-2"/>
        <w:w w:val="100"/>
        <w:sz w:val="21"/>
        <w:szCs w:val="21"/>
      </w:rPr>
    </w:lvl>
    <w:lvl w:ilvl="2">
      <w:start w:val="0"/>
      <w:numFmt w:val="bullet"/>
      <w:lvlText w:val="•"/>
      <w:lvlJc w:val="left"/>
      <w:pPr>
        <w:ind w:left="2216" w:hanging="421"/>
      </w:pPr>
      <w:rPr>
        <w:rFonts w:hint="default"/>
      </w:rPr>
    </w:lvl>
    <w:lvl w:ilvl="3">
      <w:start w:val="0"/>
      <w:numFmt w:val="bullet"/>
      <w:lvlText w:val="•"/>
      <w:lvlJc w:val="left"/>
      <w:pPr>
        <w:ind w:left="2404" w:hanging="421"/>
      </w:pPr>
      <w:rPr>
        <w:rFonts w:hint="default"/>
      </w:rPr>
    </w:lvl>
    <w:lvl w:ilvl="4">
      <w:start w:val="0"/>
      <w:numFmt w:val="bullet"/>
      <w:lvlText w:val="•"/>
      <w:lvlJc w:val="left"/>
      <w:pPr>
        <w:ind w:left="2592" w:hanging="421"/>
      </w:pPr>
      <w:rPr>
        <w:rFonts w:hint="default"/>
      </w:rPr>
    </w:lvl>
    <w:lvl w:ilvl="5">
      <w:start w:val="0"/>
      <w:numFmt w:val="bullet"/>
      <w:lvlText w:val="•"/>
      <w:lvlJc w:val="left"/>
      <w:pPr>
        <w:ind w:left="2781" w:hanging="421"/>
      </w:pPr>
      <w:rPr>
        <w:rFonts w:hint="default"/>
      </w:rPr>
    </w:lvl>
    <w:lvl w:ilvl="6">
      <w:start w:val="0"/>
      <w:numFmt w:val="bullet"/>
      <w:lvlText w:val="•"/>
      <w:lvlJc w:val="left"/>
      <w:pPr>
        <w:ind w:left="2969" w:hanging="421"/>
      </w:pPr>
      <w:rPr>
        <w:rFonts w:hint="default"/>
      </w:rPr>
    </w:lvl>
    <w:lvl w:ilvl="7">
      <w:start w:val="0"/>
      <w:numFmt w:val="bullet"/>
      <w:lvlText w:val="•"/>
      <w:lvlJc w:val="left"/>
      <w:pPr>
        <w:ind w:left="3157" w:hanging="421"/>
      </w:pPr>
      <w:rPr>
        <w:rFonts w:hint="default"/>
      </w:rPr>
    </w:lvl>
    <w:lvl w:ilvl="8">
      <w:start w:val="0"/>
      <w:numFmt w:val="bullet"/>
      <w:lvlText w:val="•"/>
      <w:lvlJc w:val="left"/>
      <w:pPr>
        <w:ind w:left="3345" w:hanging="421"/>
      </w:pPr>
      <w:rPr>
        <w:rFonts w:hint="default"/>
      </w:rPr>
    </w:lvl>
  </w:abstractNum>
  <w:abstractNum w:abstractNumId="1">
    <w:multiLevelType w:val="hybridMultilevel"/>
    <w:lvl w:ilvl="0">
      <w:start w:val="1"/>
      <w:numFmt w:val="decimal"/>
      <w:lvlText w:val="%1"/>
      <w:lvlJc w:val="left"/>
      <w:pPr>
        <w:ind w:left="1832" w:hanging="421"/>
        <w:jc w:val="left"/>
      </w:pPr>
      <w:rPr>
        <w:rFonts w:hint="default"/>
      </w:rPr>
    </w:lvl>
    <w:lvl w:ilvl="1">
      <w:start w:val="1"/>
      <w:numFmt w:val="decimal"/>
      <w:lvlText w:val="%1.%2"/>
      <w:lvlJc w:val="left"/>
      <w:pPr>
        <w:ind w:left="1832" w:hanging="421"/>
        <w:jc w:val="left"/>
      </w:pPr>
      <w:rPr>
        <w:rFonts w:hint="default" w:ascii="宋体" w:hAnsi="宋体" w:eastAsia="宋体" w:cs="宋体"/>
        <w:spacing w:val="-2"/>
        <w:w w:val="100"/>
        <w:sz w:val="21"/>
        <w:szCs w:val="21"/>
      </w:rPr>
    </w:lvl>
    <w:lvl w:ilvl="2">
      <w:start w:val="0"/>
      <w:numFmt w:val="bullet"/>
      <w:lvlText w:val="•"/>
      <w:lvlJc w:val="left"/>
      <w:pPr>
        <w:ind w:left="2216" w:hanging="421"/>
      </w:pPr>
      <w:rPr>
        <w:rFonts w:hint="default"/>
      </w:rPr>
    </w:lvl>
    <w:lvl w:ilvl="3">
      <w:start w:val="0"/>
      <w:numFmt w:val="bullet"/>
      <w:lvlText w:val="•"/>
      <w:lvlJc w:val="left"/>
      <w:pPr>
        <w:ind w:left="2404" w:hanging="421"/>
      </w:pPr>
      <w:rPr>
        <w:rFonts w:hint="default"/>
      </w:rPr>
    </w:lvl>
    <w:lvl w:ilvl="4">
      <w:start w:val="0"/>
      <w:numFmt w:val="bullet"/>
      <w:lvlText w:val="•"/>
      <w:lvlJc w:val="left"/>
      <w:pPr>
        <w:ind w:left="2592" w:hanging="421"/>
      </w:pPr>
      <w:rPr>
        <w:rFonts w:hint="default"/>
      </w:rPr>
    </w:lvl>
    <w:lvl w:ilvl="5">
      <w:start w:val="0"/>
      <w:numFmt w:val="bullet"/>
      <w:lvlText w:val="•"/>
      <w:lvlJc w:val="left"/>
      <w:pPr>
        <w:ind w:left="2781" w:hanging="421"/>
      </w:pPr>
      <w:rPr>
        <w:rFonts w:hint="default"/>
      </w:rPr>
    </w:lvl>
    <w:lvl w:ilvl="6">
      <w:start w:val="0"/>
      <w:numFmt w:val="bullet"/>
      <w:lvlText w:val="•"/>
      <w:lvlJc w:val="left"/>
      <w:pPr>
        <w:ind w:left="2969" w:hanging="421"/>
      </w:pPr>
      <w:rPr>
        <w:rFonts w:hint="default"/>
      </w:rPr>
    </w:lvl>
    <w:lvl w:ilvl="7">
      <w:start w:val="0"/>
      <w:numFmt w:val="bullet"/>
      <w:lvlText w:val="•"/>
      <w:lvlJc w:val="left"/>
      <w:pPr>
        <w:ind w:left="3157" w:hanging="421"/>
      </w:pPr>
      <w:rPr>
        <w:rFonts w:hint="default"/>
      </w:rPr>
    </w:lvl>
    <w:lvl w:ilvl="8">
      <w:start w:val="0"/>
      <w:numFmt w:val="bullet"/>
      <w:lvlText w:val="•"/>
      <w:lvlJc w:val="left"/>
      <w:pPr>
        <w:ind w:left="3345" w:hanging="421"/>
      </w:pPr>
      <w:rPr>
        <w:rFonts w:hint="default"/>
      </w:rPr>
    </w:lvl>
  </w:abstractNum>
  <w:abstractNum w:abstractNumId="0">
    <w:multiLevelType w:val="hybridMultilevel"/>
    <w:lvl w:ilvl="0">
      <w:start w:val="0"/>
      <w:numFmt w:val="bullet"/>
      <w:lvlText w:val="❖"/>
      <w:lvlJc w:val="left"/>
      <w:pPr>
        <w:ind w:left="1783" w:hanging="440"/>
      </w:pPr>
      <w:rPr>
        <w:rFonts w:hint="default" w:ascii="MS UI Gothic" w:hAnsi="MS UI Gothic" w:eastAsia="MS UI Gothic" w:cs="MS UI Gothic"/>
        <w:w w:val="89"/>
        <w:sz w:val="21"/>
        <w:szCs w:val="21"/>
      </w:rPr>
    </w:lvl>
    <w:lvl w:ilvl="1">
      <w:start w:val="0"/>
      <w:numFmt w:val="bullet"/>
      <w:lvlText w:val="•"/>
      <w:lvlJc w:val="left"/>
      <w:pPr>
        <w:ind w:left="2604" w:hanging="440"/>
      </w:pPr>
      <w:rPr>
        <w:rFonts w:hint="default"/>
      </w:rPr>
    </w:lvl>
    <w:lvl w:ilvl="2">
      <w:start w:val="0"/>
      <w:numFmt w:val="bullet"/>
      <w:lvlText w:val="•"/>
      <w:lvlJc w:val="left"/>
      <w:pPr>
        <w:ind w:left="3428" w:hanging="440"/>
      </w:pPr>
      <w:rPr>
        <w:rFonts w:hint="default"/>
      </w:rPr>
    </w:lvl>
    <w:lvl w:ilvl="3">
      <w:start w:val="0"/>
      <w:numFmt w:val="bullet"/>
      <w:lvlText w:val="•"/>
      <w:lvlJc w:val="left"/>
      <w:pPr>
        <w:ind w:left="4253" w:hanging="440"/>
      </w:pPr>
      <w:rPr>
        <w:rFonts w:hint="default"/>
      </w:rPr>
    </w:lvl>
    <w:lvl w:ilvl="4">
      <w:start w:val="0"/>
      <w:numFmt w:val="bullet"/>
      <w:lvlText w:val="•"/>
      <w:lvlJc w:val="left"/>
      <w:pPr>
        <w:ind w:left="5077" w:hanging="440"/>
      </w:pPr>
      <w:rPr>
        <w:rFonts w:hint="default"/>
      </w:rPr>
    </w:lvl>
    <w:lvl w:ilvl="5">
      <w:start w:val="0"/>
      <w:numFmt w:val="bullet"/>
      <w:lvlText w:val="•"/>
      <w:lvlJc w:val="left"/>
      <w:pPr>
        <w:ind w:left="5902" w:hanging="440"/>
      </w:pPr>
      <w:rPr>
        <w:rFonts w:hint="default"/>
      </w:rPr>
    </w:lvl>
    <w:lvl w:ilvl="6">
      <w:start w:val="0"/>
      <w:numFmt w:val="bullet"/>
      <w:lvlText w:val="•"/>
      <w:lvlJc w:val="left"/>
      <w:pPr>
        <w:ind w:left="6726" w:hanging="440"/>
      </w:pPr>
      <w:rPr>
        <w:rFonts w:hint="default"/>
      </w:rPr>
    </w:lvl>
    <w:lvl w:ilvl="7">
      <w:start w:val="0"/>
      <w:numFmt w:val="bullet"/>
      <w:lvlText w:val="•"/>
      <w:lvlJc w:val="left"/>
      <w:pPr>
        <w:ind w:left="7551" w:hanging="440"/>
      </w:pPr>
      <w:rPr>
        <w:rFonts w:hint="default"/>
      </w:rPr>
    </w:lvl>
    <w:lvl w:ilvl="8">
      <w:start w:val="0"/>
      <w:numFmt w:val="bullet"/>
      <w:lvlText w:val="•"/>
      <w:lvlJc w:val="left"/>
      <w:pPr>
        <w:ind w:left="8375" w:hanging="440"/>
      </w:pPr>
      <w:rPr>
        <w:rFonts w:hint="default"/>
      </w:rPr>
    </w:lvl>
  </w:abstractNum>
  <w:num w:numId="20">
    <w:abstractNumId w:val="19"/>
  </w:num>
  <w:num w:numId="18">
    <w:abstractNumId w:val="17"/>
  </w:num>
  <w:num w:numId="17">
    <w:abstractNumId w:val="16"/>
  </w:num>
  <w:num w:numId="16">
    <w:abstractNumId w:val="15"/>
  </w:num>
  <w:num w:numId="19">
    <w:abstractNumId w:val="18"/>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6"/>
    </w:pPr>
    <w:rPr>
      <w:rFonts w:ascii="宋体" w:hAnsi="宋体" w:eastAsia="宋体" w:cs="宋体"/>
      <w:sz w:val="18"/>
      <w:szCs w:val="18"/>
    </w:rPr>
  </w:style>
  <w:style w:styleId="Heading1" w:type="paragraph">
    <w:name w:val="Heading 1"/>
    <w:basedOn w:val="Normal"/>
    <w:uiPriority w:val="1"/>
    <w:qFormat/>
    <w:pPr>
      <w:ind w:left="2833" w:right="2962"/>
      <w:jc w:val="center"/>
      <w:outlineLvl w:val="1"/>
    </w:pPr>
    <w:rPr>
      <w:rFonts w:ascii="宋体" w:hAnsi="宋体" w:eastAsia="宋体" w:cs="宋体"/>
      <w:b/>
      <w:bCs/>
      <w:sz w:val="28"/>
      <w:szCs w:val="28"/>
    </w:rPr>
  </w:style>
  <w:style w:styleId="Heading2" w:type="paragraph">
    <w:name w:val="Heading 2"/>
    <w:basedOn w:val="Normal"/>
    <w:uiPriority w:val="1"/>
    <w:qFormat/>
    <w:pPr>
      <w:ind w:left="224"/>
      <w:outlineLvl w:val="2"/>
    </w:pPr>
    <w:rPr>
      <w:rFonts w:ascii="宋体" w:hAnsi="宋体" w:eastAsia="宋体" w:cs="宋体"/>
      <w:b/>
      <w:bCs/>
      <w:sz w:val="24"/>
      <w:szCs w:val="24"/>
    </w:rPr>
  </w:style>
  <w:style w:styleId="Heading3" w:type="paragraph">
    <w:name w:val="Heading 3"/>
    <w:basedOn w:val="Normal"/>
    <w:uiPriority w:val="1"/>
    <w:qFormat/>
    <w:pPr>
      <w:ind w:left="1783"/>
      <w:outlineLvl w:val="3"/>
    </w:pPr>
    <w:rPr>
      <w:rFonts w:ascii="宋体" w:hAnsi="宋体" w:eastAsia="宋体" w:cs="宋体"/>
      <w:b/>
      <w:bCs/>
      <w:sz w:val="21"/>
      <w:szCs w:val="21"/>
    </w:rPr>
  </w:style>
  <w:style w:styleId="Heading4" w:type="paragraph">
    <w:name w:val="Heading 4"/>
    <w:basedOn w:val="Normal"/>
    <w:uiPriority w:val="1"/>
    <w:qFormat/>
    <w:pPr>
      <w:spacing w:before="45"/>
      <w:ind w:left="524"/>
      <w:outlineLvl w:val="4"/>
    </w:pPr>
    <w:rPr>
      <w:rFonts w:ascii="宋体" w:hAnsi="宋体" w:eastAsia="宋体" w:cs="宋体"/>
      <w:b/>
      <w:bCs/>
      <w:sz w:val="18"/>
      <w:szCs w:val="18"/>
    </w:rPr>
  </w:style>
  <w:style w:styleId="ListParagraph" w:type="paragraph">
    <w:name w:val="List Paragraph"/>
    <w:basedOn w:val="Normal"/>
    <w:uiPriority w:val="1"/>
    <w:qFormat/>
    <w:pPr>
      <w:spacing w:before="76"/>
      <w:ind w:left="2522"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eader" Target="header3.xml"/><Relationship Id="rId13" Type="http://schemas.openxmlformats.org/officeDocument/2006/relationships/footer" Target="footer4.xml"/><Relationship Id="rId14" Type="http://schemas.openxmlformats.org/officeDocument/2006/relationships/header" Target="head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&lt;4D6963726F736F667420576F7264202D20B8BDBCFE31372D3320C3F1C9FAB8BDBCD3CCE1C7B0B8F8B8B6C5AED0D4D6D8B4F3BCB2B2A1B1A3CFD5CCF5BFEE&gt;</dc:title>
  <dcterms:created xsi:type="dcterms:W3CDTF">2018-10-20T03:09:57Z</dcterms:created>
  <dcterms:modified xsi:type="dcterms:W3CDTF">2018-10-20T03:09:57Z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2011-08-08T00:00:00Z</vt:filetime>
  </property>
  <property fmtid="{D5CDD505-2E9C-101B-9397-08002B2CF9AE}" pid="3" name="Creator">
    <vt:lpwstr>PScript5.dll Version 5.2.2</vt:lpwstr>
  </property>
  <property fmtid="{D5CDD505-2E9C-101B-9397-08002B2CF9AE}" pid="4" name="LastSaved">
    <vt:filetime>2018-10-19T00:00:00Z</vt:filetime>
  </property>
</Properties>
</file>