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交银康联[2012]疾病保险 014 号</w:t>
      </w:r>
    </w:p>
    <w:p>
      <w:pPr>
        <w:pStyle w:val="BodyText"/>
        <w:spacing w:before="0"/>
        <w:ind w:right="137"/>
        <w:jc w:val="right"/>
      </w:pPr>
      <w:r>
        <w:rPr/>
        <w:t>请扫描以查询验证条款</w:t>
      </w:r>
    </w:p>
    <w:p>
      <w:pPr>
        <w:pStyle w:val="Heading1"/>
        <w:spacing w:before="20"/>
      </w:pPr>
      <w:r>
        <w:rPr/>
        <w:pict>
          <v:line style="position:absolute;mso-position-horizontal-relative:page;mso-position-vertical-relative:paragraph;z-index:-30400" from="49.560001pt,2.966659pt" to="545.760001pt,2.966659pt" stroked="true" strokeweight=".71997pt" strokecolor="#000000">
            <v:stroke dashstyle="solid"/>
            <w10:wrap type="none"/>
          </v:line>
        </w:pict>
      </w:r>
      <w:r>
        <w:rPr>
          <w:w w:val="95"/>
        </w:rPr>
        <w:t>交银康联附加交银少儿重大疾病保险条款</w:t>
      </w:r>
      <w:r>
        <w:rPr>
          <w:spacing w:val="11"/>
          <w:w w:val="95"/>
          <w:vertAlign w:val="subscript"/>
        </w:rPr>
        <w:t>（</w:t>
      </w:r>
      <w:r>
        <w:rPr>
          <w:spacing w:val="11"/>
          <w:w w:val="95"/>
          <w:vertAlign w:val="baseline"/>
        </w:rPr>
      </w:r>
      <w:r>
        <w:rPr>
          <w:spacing w:val="11"/>
          <w:w w:val="95"/>
          <w:vertAlign w:val="subscript"/>
        </w:rPr>
        <w:t>2</w:t>
      </w:r>
      <w:r>
        <w:rPr>
          <w:spacing w:val="11"/>
          <w:w w:val="95"/>
          <w:vertAlign w:val="baseline"/>
        </w:rPr>
      </w:r>
      <w:r>
        <w:rPr>
          <w:spacing w:val="11"/>
          <w:w w:val="95"/>
          <w:vertAlign w:val="subscript"/>
        </w:rPr>
        <w:t>0</w:t>
      </w:r>
      <w:r>
        <w:rPr>
          <w:spacing w:val="11"/>
          <w:w w:val="95"/>
          <w:vertAlign w:val="baseline"/>
        </w:rPr>
      </w:r>
      <w:r>
        <w:rPr>
          <w:spacing w:val="11"/>
          <w:w w:val="95"/>
          <w:vertAlign w:val="subscript"/>
        </w:rPr>
        <w:t>1</w:t>
      </w:r>
      <w:r>
        <w:rPr>
          <w:spacing w:val="11"/>
          <w:w w:val="95"/>
          <w:vertAlign w:val="baseline"/>
        </w:rPr>
      </w:r>
      <w:r>
        <w:rPr>
          <w:spacing w:val="11"/>
          <w:w w:val="95"/>
          <w:vertAlign w:val="subscript"/>
        </w:rPr>
        <w:t>2</w:t>
      </w:r>
      <w:r>
        <w:rPr>
          <w:spacing w:val="60"/>
          <w:w w:val="95"/>
          <w:vertAlign w:val="subscript"/>
        </w:rPr>
        <w:t>年</w:t>
      </w:r>
      <w:r>
        <w:rPr>
          <w:w w:val="95"/>
          <w:vertAlign w:val="subscript"/>
        </w:rPr>
        <w:t>8</w:t>
      </w:r>
      <w:r>
        <w:rPr>
          <w:spacing w:val="15"/>
          <w:w w:val="95"/>
          <w:vertAlign w:val="baseline"/>
        </w:rPr>
        <w:t>  月</w:t>
      </w:r>
      <w:r>
        <w:rPr>
          <w:w w:val="95"/>
          <w:vertAlign w:val="subscript"/>
        </w:rPr>
        <w:t>）</w:t>
      </w:r>
      <w:r>
        <w:rPr>
          <w:w w:val="95"/>
          <w:vertAlign w:val="baseline"/>
        </w:rPr>
      </w:r>
    </w:p>
    <w:p>
      <w:pPr>
        <w:spacing w:before="71"/>
        <w:ind w:left="4177" w:right="417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24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少</w:t>
      </w:r>
      <w:r>
        <w:rPr>
          <w:spacing w:val="-63"/>
          <w:position w:val="-7"/>
        </w:rPr>
        <w:t>．</w:t>
      </w:r>
      <w:r>
        <w:rPr>
          <w:spacing w:val="-148"/>
        </w:rPr>
        <w:t>儿</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本公司对保障范围内的重大疾病做了定义，请您仔细阅读.......................附录一</w:t>
      </w:r>
    </w:p>
    <w:p>
      <w:pPr>
        <w:pStyle w:val="Heading3"/>
        <w:tabs>
          <w:tab w:pos="1315" w:val="left" w:leader="none"/>
        </w:tabs>
        <w:spacing w:before="25"/>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60004pt;margin-top:24.607992pt;width:459.6pt;height:279.06pt;mso-position-horizontal-relative:page;mso-position-vertical-relative:paragraph;z-index:-30376"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pStyle w:val="BodyText"/>
        <w:spacing w:before="2"/>
        <w:rPr>
          <w:b/>
          <w:sz w:val="12"/>
        </w:r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2897"/>
        <w:gridCol w:w="827"/>
        <w:gridCol w:w="1570"/>
      </w:tblGrid>
      <w:tr>
        <w:trPr>
          <w:trHeight w:val="230" w:hRule="atLeast"/>
        </w:trPr>
        <w:tc>
          <w:tcPr>
            <w:tcW w:w="2681" w:type="dxa"/>
          </w:tcPr>
          <w:p>
            <w:pPr>
              <w:pStyle w:val="TableParagraph"/>
              <w:spacing w:line="210" w:lineRule="exact"/>
              <w:ind w:left="50"/>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897" w:type="dxa"/>
          </w:tcPr>
          <w:p>
            <w:pPr>
              <w:pStyle w:val="TableParagraph"/>
              <w:spacing w:line="210" w:lineRule="exact"/>
              <w:ind w:left="207"/>
              <w:rPr>
                <w:rFonts w:ascii="Microsoft JhengHei" w:eastAsia="Microsoft JhengHei" w:hint="eastAsia"/>
                <w:b/>
                <w:sz w:val="21"/>
              </w:rPr>
            </w:pPr>
            <w:r>
              <w:rPr>
                <w:rFonts w:ascii="Microsoft JhengHei" w:eastAsia="Microsoft JhengHei" w:hint="eastAsia"/>
                <w:b/>
                <w:w w:val="95"/>
                <w:sz w:val="21"/>
              </w:rPr>
              <w:t>7．合同解除</w:t>
            </w:r>
          </w:p>
        </w:tc>
        <w:tc>
          <w:tcPr>
            <w:tcW w:w="827" w:type="dxa"/>
          </w:tcPr>
          <w:p>
            <w:pPr>
              <w:pStyle w:val="TableParagraph"/>
              <w:spacing w:line="210" w:lineRule="exact"/>
              <w:ind w:right="50"/>
              <w:jc w:val="right"/>
              <w:rPr>
                <w:sz w:val="21"/>
              </w:rPr>
            </w:pPr>
            <w:r>
              <w:rPr>
                <w:sz w:val="21"/>
              </w:rPr>
              <w:t>9.12</w:t>
            </w:r>
          </w:p>
        </w:tc>
        <w:tc>
          <w:tcPr>
            <w:tcW w:w="1570" w:type="dxa"/>
          </w:tcPr>
          <w:p>
            <w:pPr>
              <w:pStyle w:val="TableParagraph"/>
              <w:spacing w:line="210" w:lineRule="exact"/>
              <w:ind w:left="51"/>
              <w:rPr>
                <w:sz w:val="21"/>
              </w:rPr>
            </w:pPr>
            <w:r>
              <w:rPr>
                <w:sz w:val="21"/>
              </w:rPr>
              <w:t>攀岩</w:t>
            </w:r>
          </w:p>
        </w:tc>
      </w:tr>
      <w:tr>
        <w:trPr>
          <w:trHeight w:val="249" w:hRule="atLeast"/>
        </w:trPr>
        <w:tc>
          <w:tcPr>
            <w:tcW w:w="2681" w:type="dxa"/>
          </w:tcPr>
          <w:p>
            <w:pPr>
              <w:pStyle w:val="TableParagraph"/>
              <w:spacing w:line="230" w:lineRule="exact"/>
              <w:ind w:left="260"/>
              <w:rPr>
                <w:sz w:val="21"/>
              </w:rPr>
            </w:pPr>
            <w:r>
              <w:rPr>
                <w:sz w:val="21"/>
              </w:rPr>
              <w:t>1.1 合同构成</w:t>
            </w:r>
          </w:p>
        </w:tc>
        <w:tc>
          <w:tcPr>
            <w:tcW w:w="2897" w:type="dxa"/>
          </w:tcPr>
          <w:p>
            <w:pPr>
              <w:pStyle w:val="TableParagraph"/>
              <w:spacing w:line="229" w:lineRule="exact"/>
              <w:ind w:right="167"/>
              <w:jc w:val="right"/>
              <w:rPr>
                <w:sz w:val="21"/>
              </w:rPr>
            </w:pPr>
            <w:r>
              <w:rPr>
                <w:sz w:val="21"/>
              </w:rPr>
              <w:t>7.1 您解除合同的手续及</w:t>
            </w:r>
          </w:p>
        </w:tc>
        <w:tc>
          <w:tcPr>
            <w:tcW w:w="827" w:type="dxa"/>
          </w:tcPr>
          <w:p>
            <w:pPr>
              <w:pStyle w:val="TableParagraph"/>
              <w:spacing w:line="229" w:lineRule="exact"/>
              <w:ind w:right="50"/>
              <w:jc w:val="right"/>
              <w:rPr>
                <w:sz w:val="21"/>
              </w:rPr>
            </w:pPr>
            <w:r>
              <w:rPr>
                <w:sz w:val="21"/>
              </w:rPr>
              <w:t>9.13</w:t>
            </w:r>
          </w:p>
        </w:tc>
        <w:tc>
          <w:tcPr>
            <w:tcW w:w="1570" w:type="dxa"/>
          </w:tcPr>
          <w:p>
            <w:pPr>
              <w:pStyle w:val="TableParagraph"/>
              <w:spacing w:line="229" w:lineRule="exact"/>
              <w:ind w:left="51"/>
              <w:rPr>
                <w:sz w:val="21"/>
              </w:rPr>
            </w:pPr>
            <w:r>
              <w:rPr>
                <w:sz w:val="21"/>
              </w:rPr>
              <w:t>探险</w:t>
            </w:r>
          </w:p>
        </w:tc>
      </w:tr>
      <w:tr>
        <w:trPr>
          <w:trHeight w:val="250" w:hRule="atLeast"/>
        </w:trPr>
        <w:tc>
          <w:tcPr>
            <w:tcW w:w="2681"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2．本公司提供的保障</w:t>
            </w:r>
          </w:p>
        </w:tc>
        <w:tc>
          <w:tcPr>
            <w:tcW w:w="2897" w:type="dxa"/>
          </w:tcPr>
          <w:p>
            <w:pPr>
              <w:pStyle w:val="TableParagraph"/>
              <w:spacing w:line="229" w:lineRule="exact"/>
              <w:ind w:left="837"/>
              <w:rPr>
                <w:sz w:val="21"/>
              </w:rPr>
            </w:pPr>
            <w:r>
              <w:rPr>
                <w:sz w:val="21"/>
              </w:rPr>
              <w:t>风险</w:t>
            </w:r>
          </w:p>
        </w:tc>
        <w:tc>
          <w:tcPr>
            <w:tcW w:w="827" w:type="dxa"/>
          </w:tcPr>
          <w:p>
            <w:pPr>
              <w:pStyle w:val="TableParagraph"/>
              <w:spacing w:line="229" w:lineRule="exact"/>
              <w:ind w:right="50"/>
              <w:jc w:val="right"/>
              <w:rPr>
                <w:sz w:val="21"/>
              </w:rPr>
            </w:pPr>
            <w:r>
              <w:rPr>
                <w:sz w:val="21"/>
              </w:rPr>
              <w:t>9.14</w:t>
            </w:r>
          </w:p>
        </w:tc>
        <w:tc>
          <w:tcPr>
            <w:tcW w:w="1570" w:type="dxa"/>
          </w:tcPr>
          <w:p>
            <w:pPr>
              <w:pStyle w:val="TableParagraph"/>
              <w:spacing w:line="229" w:lineRule="exact"/>
              <w:ind w:left="52"/>
              <w:rPr>
                <w:sz w:val="21"/>
              </w:rPr>
            </w:pPr>
            <w:r>
              <w:rPr>
                <w:sz w:val="21"/>
              </w:rPr>
              <w:t>武术比赛</w:t>
            </w:r>
          </w:p>
        </w:tc>
      </w:tr>
      <w:tr>
        <w:trPr>
          <w:trHeight w:val="250" w:hRule="atLeast"/>
        </w:trPr>
        <w:tc>
          <w:tcPr>
            <w:tcW w:w="2681" w:type="dxa"/>
          </w:tcPr>
          <w:p>
            <w:pPr>
              <w:pStyle w:val="TableParagraph"/>
              <w:spacing w:line="230" w:lineRule="exact"/>
              <w:ind w:left="260"/>
              <w:rPr>
                <w:sz w:val="21"/>
              </w:rPr>
            </w:pPr>
            <w:r>
              <w:rPr>
                <w:sz w:val="21"/>
              </w:rPr>
              <w:t>2.1 基本保险金额</w:t>
            </w:r>
          </w:p>
        </w:tc>
        <w:tc>
          <w:tcPr>
            <w:tcW w:w="2897" w:type="dxa"/>
          </w:tcPr>
          <w:p>
            <w:pPr>
              <w:pStyle w:val="TableParagraph"/>
              <w:spacing w:line="230" w:lineRule="exact"/>
              <w:ind w:left="207"/>
              <w:rPr>
                <w:rFonts w:ascii="Microsoft JhengHei" w:eastAsia="Microsoft JhengHei" w:hint="eastAsia"/>
                <w:b/>
                <w:sz w:val="21"/>
              </w:rPr>
            </w:pPr>
            <w:r>
              <w:rPr>
                <w:rFonts w:ascii="Microsoft JhengHei" w:eastAsia="Microsoft JhengHei" w:hint="eastAsia"/>
                <w:b/>
                <w:w w:val="95"/>
                <w:sz w:val="21"/>
              </w:rPr>
              <w:t>8．其他需要关注的事项</w:t>
            </w:r>
          </w:p>
        </w:tc>
        <w:tc>
          <w:tcPr>
            <w:tcW w:w="827" w:type="dxa"/>
          </w:tcPr>
          <w:p>
            <w:pPr>
              <w:pStyle w:val="TableParagraph"/>
              <w:spacing w:line="230" w:lineRule="exact"/>
              <w:ind w:right="50"/>
              <w:jc w:val="right"/>
              <w:rPr>
                <w:sz w:val="21"/>
              </w:rPr>
            </w:pPr>
            <w:r>
              <w:rPr>
                <w:sz w:val="21"/>
              </w:rPr>
              <w:t>9.15</w:t>
            </w:r>
          </w:p>
        </w:tc>
        <w:tc>
          <w:tcPr>
            <w:tcW w:w="1570" w:type="dxa"/>
          </w:tcPr>
          <w:p>
            <w:pPr>
              <w:pStyle w:val="TableParagraph"/>
              <w:spacing w:line="230" w:lineRule="exact"/>
              <w:ind w:left="52"/>
              <w:rPr>
                <w:sz w:val="21"/>
              </w:rPr>
            </w:pPr>
            <w:r>
              <w:rPr>
                <w:sz w:val="21"/>
              </w:rPr>
              <w:t>特技表演</w:t>
            </w:r>
          </w:p>
        </w:tc>
      </w:tr>
      <w:tr>
        <w:trPr>
          <w:trHeight w:val="249" w:hRule="atLeast"/>
        </w:trPr>
        <w:tc>
          <w:tcPr>
            <w:tcW w:w="2681" w:type="dxa"/>
          </w:tcPr>
          <w:p>
            <w:pPr>
              <w:pStyle w:val="TableParagraph"/>
              <w:spacing w:line="230" w:lineRule="exact"/>
              <w:ind w:left="260"/>
              <w:rPr>
                <w:sz w:val="21"/>
              </w:rPr>
            </w:pPr>
            <w:r>
              <w:rPr>
                <w:sz w:val="21"/>
              </w:rPr>
              <w:t>2.2 保险期间</w:t>
            </w:r>
          </w:p>
        </w:tc>
        <w:tc>
          <w:tcPr>
            <w:tcW w:w="2897" w:type="dxa"/>
          </w:tcPr>
          <w:p>
            <w:pPr>
              <w:pStyle w:val="TableParagraph"/>
              <w:spacing w:line="229" w:lineRule="exact"/>
              <w:ind w:left="417"/>
              <w:rPr>
                <w:sz w:val="21"/>
              </w:rPr>
            </w:pPr>
            <w:r>
              <w:rPr>
                <w:sz w:val="21"/>
              </w:rPr>
              <w:t>8.1 效力终止</w:t>
            </w:r>
          </w:p>
        </w:tc>
        <w:tc>
          <w:tcPr>
            <w:tcW w:w="827" w:type="dxa"/>
          </w:tcPr>
          <w:p>
            <w:pPr>
              <w:pStyle w:val="TableParagraph"/>
              <w:spacing w:line="229" w:lineRule="exact"/>
              <w:ind w:right="50"/>
              <w:jc w:val="right"/>
              <w:rPr>
                <w:sz w:val="21"/>
              </w:rPr>
            </w:pPr>
            <w:r>
              <w:rPr>
                <w:sz w:val="21"/>
              </w:rPr>
              <w:t>9.16</w:t>
            </w:r>
          </w:p>
        </w:tc>
        <w:tc>
          <w:tcPr>
            <w:tcW w:w="1570" w:type="dxa"/>
          </w:tcPr>
          <w:p>
            <w:pPr>
              <w:pStyle w:val="TableParagraph"/>
              <w:spacing w:line="229" w:lineRule="exact"/>
              <w:ind w:left="52"/>
              <w:rPr>
                <w:sz w:val="21"/>
              </w:rPr>
            </w:pPr>
            <w:r>
              <w:rPr>
                <w:sz w:val="21"/>
              </w:rPr>
              <w:t>适用主合同释义</w:t>
            </w:r>
          </w:p>
        </w:tc>
      </w:tr>
      <w:tr>
        <w:trPr>
          <w:trHeight w:val="250" w:hRule="atLeast"/>
        </w:trPr>
        <w:tc>
          <w:tcPr>
            <w:tcW w:w="2681" w:type="dxa"/>
          </w:tcPr>
          <w:p>
            <w:pPr>
              <w:pStyle w:val="TableParagraph"/>
              <w:spacing w:line="230" w:lineRule="exact"/>
              <w:ind w:left="260"/>
              <w:rPr>
                <w:sz w:val="21"/>
              </w:rPr>
            </w:pPr>
            <w:r>
              <w:rPr>
                <w:sz w:val="21"/>
              </w:rPr>
              <w:t>2.3 保险责任</w:t>
            </w:r>
          </w:p>
        </w:tc>
        <w:tc>
          <w:tcPr>
            <w:tcW w:w="2897" w:type="dxa"/>
          </w:tcPr>
          <w:p>
            <w:pPr>
              <w:pStyle w:val="TableParagraph"/>
              <w:spacing w:line="229" w:lineRule="exact"/>
              <w:ind w:left="417"/>
              <w:rPr>
                <w:sz w:val="21"/>
              </w:rPr>
            </w:pPr>
            <w:r>
              <w:rPr>
                <w:sz w:val="21"/>
              </w:rPr>
              <w:t>8.2 适用主合同条款</w:t>
            </w:r>
          </w:p>
        </w:tc>
        <w:tc>
          <w:tcPr>
            <w:tcW w:w="827" w:type="dxa"/>
          </w:tcPr>
          <w:p>
            <w:pPr>
              <w:pStyle w:val="TableParagraph"/>
              <w:spacing w:line="230" w:lineRule="exact"/>
              <w:ind w:right="47"/>
              <w:jc w:val="right"/>
              <w:rPr>
                <w:rFonts w:ascii="Microsoft JhengHei" w:eastAsia="Microsoft JhengHei" w:hint="eastAsia"/>
                <w:b/>
                <w:sz w:val="21"/>
              </w:rPr>
            </w:pPr>
            <w:r>
              <w:rPr>
                <w:rFonts w:ascii="Microsoft JhengHei" w:eastAsia="Microsoft JhengHei" w:hint="eastAsia"/>
                <w:b/>
                <w:sz w:val="21"/>
              </w:rPr>
              <w:t>附录一</w:t>
            </w:r>
          </w:p>
        </w:tc>
        <w:tc>
          <w:tcPr>
            <w:tcW w:w="1570" w:type="dxa"/>
          </w:tcPr>
          <w:p>
            <w:pPr>
              <w:pStyle w:val="TableParagraph"/>
              <w:spacing w:line="230" w:lineRule="exact"/>
              <w:ind w:left="56"/>
              <w:rPr>
                <w:rFonts w:ascii="Microsoft JhengHei" w:eastAsia="Microsoft JhengHei" w:hint="eastAsia"/>
                <w:b/>
                <w:sz w:val="21"/>
              </w:rPr>
            </w:pPr>
            <w:r>
              <w:rPr>
                <w:rFonts w:ascii="Microsoft JhengHei" w:eastAsia="Microsoft JhengHei" w:hint="eastAsia"/>
                <w:b/>
                <w:sz w:val="21"/>
              </w:rPr>
              <w:t>重大疾病列表</w:t>
            </w:r>
          </w:p>
        </w:tc>
      </w:tr>
      <w:tr>
        <w:trPr>
          <w:trHeight w:val="250" w:hRule="atLeast"/>
        </w:trPr>
        <w:tc>
          <w:tcPr>
            <w:tcW w:w="2681" w:type="dxa"/>
          </w:tcPr>
          <w:p>
            <w:pPr>
              <w:pStyle w:val="TableParagraph"/>
              <w:spacing w:line="230" w:lineRule="exact"/>
              <w:ind w:left="260"/>
              <w:rPr>
                <w:sz w:val="21"/>
              </w:rPr>
            </w:pPr>
            <w:r>
              <w:rPr>
                <w:sz w:val="21"/>
              </w:rPr>
              <w:t>2.4 责任免除</w:t>
            </w:r>
          </w:p>
        </w:tc>
        <w:tc>
          <w:tcPr>
            <w:tcW w:w="2897" w:type="dxa"/>
          </w:tcPr>
          <w:p>
            <w:pPr>
              <w:pStyle w:val="TableParagraph"/>
              <w:spacing w:line="230" w:lineRule="exact"/>
              <w:ind w:left="207"/>
              <w:rPr>
                <w:rFonts w:ascii="Microsoft JhengHei" w:eastAsia="Microsoft JhengHei" w:hint="eastAsia"/>
                <w:b/>
                <w:sz w:val="21"/>
              </w:rPr>
            </w:pPr>
            <w:r>
              <w:rPr>
                <w:rFonts w:ascii="Microsoft JhengHei" w:eastAsia="Microsoft JhengHei" w:hint="eastAsia"/>
                <w:b/>
                <w:w w:val="95"/>
                <w:sz w:val="21"/>
              </w:rPr>
              <w:t>9．释义</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49" w:hRule="atLeast"/>
        </w:trPr>
        <w:tc>
          <w:tcPr>
            <w:tcW w:w="2681"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3．保险金的申请</w:t>
            </w:r>
          </w:p>
        </w:tc>
        <w:tc>
          <w:tcPr>
            <w:tcW w:w="2897" w:type="dxa"/>
          </w:tcPr>
          <w:p>
            <w:pPr>
              <w:pStyle w:val="TableParagraph"/>
              <w:spacing w:line="229" w:lineRule="exact"/>
              <w:ind w:left="417"/>
              <w:rPr>
                <w:sz w:val="21"/>
              </w:rPr>
            </w:pPr>
            <w:r>
              <w:rPr>
                <w:sz w:val="21"/>
              </w:rPr>
              <w:t>9.1 医院</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260"/>
              <w:rPr>
                <w:sz w:val="21"/>
              </w:rPr>
            </w:pPr>
            <w:r>
              <w:rPr>
                <w:sz w:val="21"/>
              </w:rPr>
              <w:t>3.1 受益人</w:t>
            </w:r>
          </w:p>
        </w:tc>
        <w:tc>
          <w:tcPr>
            <w:tcW w:w="2897" w:type="dxa"/>
          </w:tcPr>
          <w:p>
            <w:pPr>
              <w:pStyle w:val="TableParagraph"/>
              <w:spacing w:line="229" w:lineRule="exact"/>
              <w:ind w:left="417"/>
              <w:rPr>
                <w:sz w:val="21"/>
              </w:rPr>
            </w:pPr>
            <w:r>
              <w:rPr>
                <w:sz w:val="21"/>
              </w:rPr>
              <w:t>9.2 专科医生</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260"/>
              <w:rPr>
                <w:sz w:val="21"/>
              </w:rPr>
            </w:pPr>
            <w:r>
              <w:rPr>
                <w:sz w:val="21"/>
              </w:rPr>
              <w:t>3.2 保险金申请</w:t>
            </w:r>
          </w:p>
        </w:tc>
        <w:tc>
          <w:tcPr>
            <w:tcW w:w="2897" w:type="dxa"/>
          </w:tcPr>
          <w:p>
            <w:pPr>
              <w:pStyle w:val="TableParagraph"/>
              <w:spacing w:line="230" w:lineRule="exact"/>
              <w:ind w:left="417"/>
              <w:rPr>
                <w:sz w:val="21"/>
              </w:rPr>
            </w:pPr>
            <w:r>
              <w:rPr>
                <w:sz w:val="21"/>
              </w:rPr>
              <w:t>9.3 意外伤害事故</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49" w:hRule="atLeast"/>
        </w:trPr>
        <w:tc>
          <w:tcPr>
            <w:tcW w:w="2681" w:type="dxa"/>
          </w:tcPr>
          <w:p>
            <w:pPr>
              <w:pStyle w:val="TableParagraph"/>
              <w:spacing w:line="230" w:lineRule="exact"/>
              <w:ind w:left="260"/>
              <w:rPr>
                <w:sz w:val="21"/>
              </w:rPr>
            </w:pPr>
            <w:r>
              <w:rPr>
                <w:sz w:val="21"/>
              </w:rPr>
              <w:t>3.3 诉讼时效</w:t>
            </w:r>
          </w:p>
        </w:tc>
        <w:tc>
          <w:tcPr>
            <w:tcW w:w="2897" w:type="dxa"/>
          </w:tcPr>
          <w:p>
            <w:pPr>
              <w:pStyle w:val="TableParagraph"/>
              <w:spacing w:line="229" w:lineRule="exact"/>
              <w:ind w:left="417"/>
              <w:rPr>
                <w:sz w:val="21"/>
              </w:rPr>
            </w:pPr>
            <w:r>
              <w:rPr>
                <w:sz w:val="21"/>
              </w:rPr>
              <w:t>9.4 白血病</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50"/>
              <w:rPr>
                <w:rFonts w:ascii="Microsoft JhengHei" w:eastAsia="Microsoft JhengHei" w:hint="eastAsia"/>
                <w:b/>
                <w:sz w:val="21"/>
              </w:rPr>
            </w:pPr>
            <w:r>
              <w:rPr>
                <w:w w:val="105"/>
                <w:sz w:val="21"/>
              </w:rPr>
              <w:t>4</w:t>
            </w:r>
            <w:r>
              <w:rPr>
                <w:rFonts w:ascii="Microsoft JhengHei" w:eastAsia="Microsoft JhengHei" w:hint="eastAsia"/>
                <w:b/>
                <w:w w:val="105"/>
                <w:sz w:val="21"/>
              </w:rPr>
              <w:t>. 保险费的交纳</w:t>
            </w:r>
          </w:p>
        </w:tc>
        <w:tc>
          <w:tcPr>
            <w:tcW w:w="2897" w:type="dxa"/>
          </w:tcPr>
          <w:p>
            <w:pPr>
              <w:pStyle w:val="TableParagraph"/>
              <w:spacing w:line="229" w:lineRule="exact"/>
              <w:ind w:left="417"/>
              <w:rPr>
                <w:sz w:val="21"/>
              </w:rPr>
            </w:pPr>
            <w:r>
              <w:rPr>
                <w:sz w:val="21"/>
              </w:rPr>
              <w:t>9.5 全残</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260"/>
              <w:rPr>
                <w:sz w:val="21"/>
              </w:rPr>
            </w:pPr>
            <w:r>
              <w:rPr>
                <w:sz w:val="21"/>
              </w:rPr>
              <w:t>4.1 保险费的交纳</w:t>
            </w:r>
          </w:p>
        </w:tc>
        <w:tc>
          <w:tcPr>
            <w:tcW w:w="2897" w:type="dxa"/>
          </w:tcPr>
          <w:p>
            <w:pPr>
              <w:pStyle w:val="TableParagraph"/>
              <w:spacing w:line="230" w:lineRule="exact"/>
              <w:ind w:right="141"/>
              <w:jc w:val="right"/>
              <w:rPr>
                <w:sz w:val="21"/>
              </w:rPr>
            </w:pPr>
            <w:r>
              <w:rPr>
                <w:sz w:val="21"/>
              </w:rPr>
              <w:t>9.6 感染艾滋病病毒或患</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49" w:hRule="atLeast"/>
        </w:trPr>
        <w:tc>
          <w:tcPr>
            <w:tcW w:w="2681" w:type="dxa"/>
          </w:tcPr>
          <w:p>
            <w:pPr>
              <w:pStyle w:val="TableParagraph"/>
              <w:spacing w:line="230" w:lineRule="exact"/>
              <w:ind w:left="260"/>
              <w:rPr>
                <w:sz w:val="21"/>
              </w:rPr>
            </w:pPr>
            <w:r>
              <w:rPr>
                <w:sz w:val="21"/>
              </w:rPr>
              <w:t>4.2 宽限期</w:t>
            </w:r>
          </w:p>
        </w:tc>
        <w:tc>
          <w:tcPr>
            <w:tcW w:w="2897" w:type="dxa"/>
          </w:tcPr>
          <w:p>
            <w:pPr>
              <w:pStyle w:val="TableParagraph"/>
              <w:spacing w:line="229" w:lineRule="exact"/>
              <w:ind w:left="837"/>
              <w:rPr>
                <w:sz w:val="21"/>
              </w:rPr>
            </w:pPr>
            <w:r>
              <w:rPr>
                <w:sz w:val="21"/>
              </w:rPr>
              <w:t>艾滋病</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260"/>
              <w:rPr>
                <w:sz w:val="21"/>
              </w:rPr>
            </w:pPr>
            <w:r>
              <w:rPr>
                <w:sz w:val="21"/>
              </w:rPr>
              <w:t>4.3 保险费率调整</w:t>
            </w:r>
          </w:p>
        </w:tc>
        <w:tc>
          <w:tcPr>
            <w:tcW w:w="2897" w:type="dxa"/>
          </w:tcPr>
          <w:p>
            <w:pPr>
              <w:pStyle w:val="TableParagraph"/>
              <w:spacing w:line="229" w:lineRule="exact"/>
              <w:ind w:left="417"/>
              <w:rPr>
                <w:sz w:val="21"/>
              </w:rPr>
            </w:pPr>
            <w:r>
              <w:rPr>
                <w:sz w:val="21"/>
              </w:rPr>
              <w:t>9.7 遗传性疾病</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50"/>
              <w:rPr>
                <w:rFonts w:ascii="Microsoft JhengHei" w:eastAsia="Microsoft JhengHei" w:hint="eastAsia"/>
                <w:b/>
                <w:sz w:val="21"/>
              </w:rPr>
            </w:pPr>
            <w:r>
              <w:rPr>
                <w:sz w:val="21"/>
              </w:rPr>
              <w:t>5</w:t>
            </w:r>
            <w:r>
              <w:rPr>
                <w:rFonts w:ascii="Microsoft JhengHei" w:eastAsia="Microsoft JhengHei" w:hint="eastAsia"/>
                <w:b/>
                <w:sz w:val="21"/>
              </w:rPr>
              <w:t>．现金价值权益</w:t>
            </w:r>
          </w:p>
        </w:tc>
        <w:tc>
          <w:tcPr>
            <w:tcW w:w="2897" w:type="dxa"/>
          </w:tcPr>
          <w:p>
            <w:pPr>
              <w:pStyle w:val="TableParagraph"/>
              <w:spacing w:line="230" w:lineRule="exact"/>
              <w:ind w:right="141"/>
              <w:jc w:val="right"/>
              <w:rPr>
                <w:sz w:val="21"/>
              </w:rPr>
            </w:pPr>
            <w:r>
              <w:rPr>
                <w:sz w:val="21"/>
              </w:rPr>
              <w:t>9.8 先天性畸形、变形或</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49" w:hRule="atLeast"/>
        </w:trPr>
        <w:tc>
          <w:tcPr>
            <w:tcW w:w="2681" w:type="dxa"/>
          </w:tcPr>
          <w:p>
            <w:pPr>
              <w:pStyle w:val="TableParagraph"/>
              <w:spacing w:line="230" w:lineRule="exact"/>
              <w:ind w:left="260"/>
              <w:rPr>
                <w:sz w:val="21"/>
              </w:rPr>
            </w:pPr>
            <w:r>
              <w:rPr>
                <w:sz w:val="21"/>
              </w:rPr>
              <w:t>5.1 现金价值</w:t>
            </w:r>
          </w:p>
        </w:tc>
        <w:tc>
          <w:tcPr>
            <w:tcW w:w="2897" w:type="dxa"/>
          </w:tcPr>
          <w:p>
            <w:pPr>
              <w:pStyle w:val="TableParagraph"/>
              <w:spacing w:line="229" w:lineRule="exact"/>
              <w:ind w:left="837"/>
              <w:rPr>
                <w:sz w:val="21"/>
              </w:rPr>
            </w:pPr>
            <w:r>
              <w:rPr>
                <w:sz w:val="21"/>
              </w:rPr>
              <w:t>染色体异常</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2897" w:type="dxa"/>
          </w:tcPr>
          <w:p>
            <w:pPr>
              <w:pStyle w:val="TableParagraph"/>
              <w:spacing w:line="229" w:lineRule="exact"/>
              <w:ind w:left="417"/>
              <w:rPr>
                <w:sz w:val="21"/>
              </w:rPr>
            </w:pPr>
            <w:r>
              <w:rPr>
                <w:sz w:val="21"/>
              </w:rPr>
              <w:t>9.9 医疗事故</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50" w:hRule="atLeast"/>
        </w:trPr>
        <w:tc>
          <w:tcPr>
            <w:tcW w:w="2681" w:type="dxa"/>
          </w:tcPr>
          <w:p>
            <w:pPr>
              <w:pStyle w:val="TableParagraph"/>
              <w:spacing w:line="230" w:lineRule="exact"/>
              <w:ind w:left="260"/>
              <w:rPr>
                <w:sz w:val="21"/>
              </w:rPr>
            </w:pPr>
            <w:r>
              <w:rPr>
                <w:sz w:val="21"/>
              </w:rPr>
              <w:t>6.1 效力中止</w:t>
            </w:r>
          </w:p>
        </w:tc>
        <w:tc>
          <w:tcPr>
            <w:tcW w:w="2897" w:type="dxa"/>
          </w:tcPr>
          <w:p>
            <w:pPr>
              <w:pStyle w:val="TableParagraph"/>
              <w:spacing w:line="230" w:lineRule="exact"/>
              <w:ind w:left="417"/>
              <w:rPr>
                <w:sz w:val="21"/>
              </w:rPr>
            </w:pPr>
            <w:r>
              <w:rPr>
                <w:sz w:val="21"/>
              </w:rPr>
              <w:t>9.10 非处方药</w:t>
            </w:r>
          </w:p>
        </w:tc>
        <w:tc>
          <w:tcPr>
            <w:tcW w:w="827" w:type="dxa"/>
          </w:tcPr>
          <w:p>
            <w:pPr>
              <w:pStyle w:val="TableParagraph"/>
              <w:rPr>
                <w:rFonts w:ascii="Times New Roman"/>
                <w:sz w:val="18"/>
              </w:rPr>
            </w:pPr>
          </w:p>
        </w:tc>
        <w:tc>
          <w:tcPr>
            <w:tcW w:w="1570" w:type="dxa"/>
          </w:tcPr>
          <w:p>
            <w:pPr>
              <w:pStyle w:val="TableParagraph"/>
              <w:rPr>
                <w:rFonts w:ascii="Times New Roman"/>
                <w:sz w:val="18"/>
              </w:rPr>
            </w:pPr>
          </w:p>
        </w:tc>
      </w:tr>
      <w:tr>
        <w:trPr>
          <w:trHeight w:val="230" w:hRule="atLeast"/>
        </w:trPr>
        <w:tc>
          <w:tcPr>
            <w:tcW w:w="2681" w:type="dxa"/>
          </w:tcPr>
          <w:p>
            <w:pPr>
              <w:pStyle w:val="TableParagraph"/>
              <w:spacing w:line="210" w:lineRule="exact"/>
              <w:ind w:left="260"/>
              <w:rPr>
                <w:sz w:val="21"/>
              </w:rPr>
            </w:pPr>
            <w:r>
              <w:rPr>
                <w:sz w:val="21"/>
              </w:rPr>
              <w:t>6.2 效力恢复</w:t>
            </w:r>
          </w:p>
        </w:tc>
        <w:tc>
          <w:tcPr>
            <w:tcW w:w="2897" w:type="dxa"/>
          </w:tcPr>
          <w:p>
            <w:pPr>
              <w:pStyle w:val="TableParagraph"/>
              <w:spacing w:line="210" w:lineRule="exact"/>
              <w:ind w:left="417"/>
              <w:rPr>
                <w:sz w:val="21"/>
              </w:rPr>
            </w:pPr>
            <w:r>
              <w:rPr>
                <w:sz w:val="21"/>
              </w:rPr>
              <w:t>9.11 潜水</w:t>
            </w:r>
          </w:p>
        </w:tc>
        <w:tc>
          <w:tcPr>
            <w:tcW w:w="827" w:type="dxa"/>
          </w:tcPr>
          <w:p>
            <w:pPr>
              <w:pStyle w:val="TableParagraph"/>
              <w:rPr>
                <w:rFonts w:ascii="Times New Roman"/>
                <w:sz w:val="16"/>
              </w:rPr>
            </w:pPr>
          </w:p>
        </w:tc>
        <w:tc>
          <w:tcPr>
            <w:tcW w:w="1570" w:type="dxa"/>
          </w:tcPr>
          <w:p>
            <w:pPr>
              <w:pStyle w:val="TableParagraph"/>
              <w:rPr>
                <w:rFonts w:ascii="Times New Roman"/>
                <w:sz w:val="16"/>
              </w:rPr>
            </w:pPr>
          </w:p>
        </w:tc>
      </w:tr>
    </w:tbl>
    <w:p>
      <w:pPr>
        <w:spacing w:after="0"/>
        <w:rPr>
          <w:rFonts w:ascii="Times New Roman"/>
          <w:sz w:val="16"/>
        </w:rPr>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326" w:right="0" w:firstLine="0"/>
        <w:jc w:val="left"/>
        <w:rPr>
          <w:rFonts w:ascii="微软雅黑" w:eastAsia="微软雅黑" w:hint="eastAsia"/>
          <w:b/>
          <w:sz w:val="32"/>
        </w:rPr>
      </w:pPr>
      <w:r>
        <w:rPr>
          <w:rFonts w:ascii="微软雅黑" w:eastAsia="微软雅黑" w:hint="eastAsia"/>
          <w:b/>
          <w:w w:val="95"/>
          <w:sz w:val="32"/>
        </w:rPr>
        <w:t>交银康联附加交银少儿重大疾病保险条款</w:t>
      </w:r>
      <w:r>
        <w:rPr>
          <w:rFonts w:ascii="微软雅黑" w:eastAsia="微软雅黑" w:hint="eastAsia"/>
          <w:b/>
          <w:spacing w:val="11"/>
          <w:w w:val="95"/>
          <w:sz w:val="32"/>
          <w:vertAlign w:val="subscript"/>
        </w:rPr>
        <w:t>（</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2</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0</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1</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2</w:t>
      </w:r>
      <w:r>
        <w:rPr>
          <w:rFonts w:ascii="微软雅黑" w:eastAsia="微软雅黑" w:hint="eastAsia"/>
          <w:b/>
          <w:spacing w:val="60"/>
          <w:w w:val="95"/>
          <w:sz w:val="32"/>
          <w:vertAlign w:val="subscript"/>
        </w:rPr>
        <w:t>年</w:t>
      </w:r>
      <w:r>
        <w:rPr>
          <w:rFonts w:ascii="微软雅黑" w:eastAsia="微软雅黑" w:hint="eastAsia"/>
          <w:b/>
          <w:w w:val="95"/>
          <w:sz w:val="32"/>
          <w:vertAlign w:val="subscript"/>
        </w:rPr>
        <w:t>8</w:t>
      </w:r>
      <w:r>
        <w:rPr>
          <w:rFonts w:ascii="微软雅黑" w:eastAsia="微软雅黑" w:hint="eastAsia"/>
          <w:b/>
          <w:spacing w:val="15"/>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在本条款中，“您”指投保人，“本公司”指交银康联人寿保险有限公司，“本附加合同”指您与本公司之间订立的“交银康联附加交银少儿重大疾病保险合同”。</w:t>
      </w:r>
    </w:p>
    <w:p>
      <w:pPr>
        <w:pStyle w:val="BodyText"/>
        <w:spacing w:before="0"/>
        <w:rPr>
          <w:sz w:val="20"/>
        </w:rPr>
      </w:pPr>
    </w:p>
    <w:p>
      <w:pPr>
        <w:pStyle w:val="BodyText"/>
        <w:spacing w:before="1"/>
      </w:pPr>
    </w:p>
    <w:p>
      <w:pPr>
        <w:pStyle w:val="Heading2"/>
        <w:tabs>
          <w:tab w:pos="1073" w:val="left" w:leader="none"/>
        </w:tabs>
        <w:spacing w:before="0"/>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BodyText"/>
        <w:tabs>
          <w:tab w:pos="1072" w:val="left" w:leader="none"/>
          <w:tab w:pos="3003" w:val="left" w:leader="none"/>
        </w:tabs>
        <w:spacing w:line="273" w:lineRule="auto" w:before="35"/>
        <w:ind w:left="3003" w:right="103" w:hanging="2783"/>
      </w:pPr>
      <w:r>
        <w:rPr>
          <w:b/>
        </w:rPr>
        <w:t>1.1</w:t>
        <w:tab/>
        <w:t>合同构成</w:t>
        <w:tab/>
      </w:r>
      <w:r>
        <w:rPr/>
        <w:t>本附加合同是您与本公司约定保险权利义务关系的协议</w:t>
      </w:r>
      <w:r>
        <w:rPr>
          <w:spacing w:val="-26"/>
        </w:rPr>
        <w:t>，</w:t>
      </w:r>
      <w:r>
        <w:rPr/>
        <w:t>包括本保险条款</w:t>
      </w:r>
      <w:r>
        <w:rPr>
          <w:spacing w:val="-26"/>
        </w:rPr>
        <w:t>、</w:t>
      </w:r>
      <w:r>
        <w:rPr/>
        <w:t>保险单或其他保险凭证</w:t>
      </w:r>
      <w:r>
        <w:rPr>
          <w:spacing w:val="-52"/>
        </w:rPr>
        <w:t>、</w:t>
      </w:r>
      <w:r>
        <w:rPr/>
        <w:t>投保单</w:t>
      </w:r>
      <w:r>
        <w:rPr>
          <w:spacing w:val="-52"/>
        </w:rPr>
        <w:t>、</w:t>
      </w:r>
      <w:r>
        <w:rPr/>
        <w:t>与保险合同有关的投保文件</w:t>
      </w:r>
      <w:r>
        <w:rPr>
          <w:spacing w:val="-52"/>
        </w:rPr>
        <w:t>、</w:t>
      </w:r>
      <w:r>
        <w:rPr/>
        <w:t>合法有效的声明、批注、批单及其他您与本公司共同认可的书面协议。</w:t>
      </w:r>
    </w:p>
    <w:p>
      <w:pPr>
        <w:pStyle w:val="BodyText"/>
        <w:spacing w:before="2"/>
        <w:rPr>
          <w:sz w:val="19"/>
        </w:rPr>
      </w:pPr>
    </w:p>
    <w:p>
      <w:pPr>
        <w:pStyle w:val="Heading2"/>
        <w:tabs>
          <w:tab w:pos="1073" w:val="left" w:leader="none"/>
        </w:tabs>
      </w:pPr>
      <w:r>
        <w:rPr/>
        <w:pict>
          <v:line style="position:absolute;mso-position-horizontal-relative:page;mso-position-vertical-relative:paragraph;z-index:1120;mso-wrap-distance-left:0;mso-wrap-distance-right:0" from="45.66pt,31.630043pt" to="550.14pt,31.630043pt" stroked="true" strokeweight=".96002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2"/>
        </w:numPr>
        <w:tabs>
          <w:tab w:pos="1074" w:val="left" w:leader="none"/>
        </w:tabs>
        <w:spacing w:line="273" w:lineRule="auto" w:before="35" w:after="0"/>
        <w:ind w:left="3003" w:right="208" w:hanging="2782"/>
        <w:jc w:val="both"/>
        <w:rPr>
          <w:sz w:val="21"/>
        </w:rPr>
      </w:pPr>
      <w:r>
        <w:rPr>
          <w:b/>
          <w:spacing w:val="1"/>
          <w:sz w:val="21"/>
        </w:rPr>
        <w:t>基本保险金额     </w:t>
      </w:r>
      <w:r>
        <w:rPr>
          <w:spacing w:val="-3"/>
          <w:sz w:val="21"/>
        </w:rPr>
        <w:t>本附加合同的基本保险金额由您在投保时与本公司约定，为本附加合同保险费的计算基础，并载明于保险单或批注上。</w:t>
      </w:r>
    </w:p>
    <w:p>
      <w:pPr>
        <w:pStyle w:val="BodyText"/>
        <w:spacing w:before="11"/>
        <w:rPr>
          <w:sz w:val="17"/>
        </w:rPr>
      </w:pPr>
    </w:p>
    <w:p>
      <w:pPr>
        <w:pStyle w:val="ListParagraph"/>
        <w:numPr>
          <w:ilvl w:val="1"/>
          <w:numId w:val="2"/>
        </w:numPr>
        <w:tabs>
          <w:tab w:pos="1073" w:val="left" w:leader="none"/>
        </w:tabs>
        <w:spacing w:line="273" w:lineRule="auto" w:before="1" w:after="0"/>
        <w:ind w:left="3003" w:right="208" w:hanging="2782"/>
        <w:jc w:val="both"/>
        <w:rPr>
          <w:sz w:val="21"/>
        </w:rPr>
      </w:pPr>
      <w:r>
        <w:rPr>
          <w:b/>
          <w:sz w:val="21"/>
        </w:rPr>
        <w:t>保险期间          </w:t>
      </w:r>
      <w:r>
        <w:rPr>
          <w:spacing w:val="-2"/>
          <w:sz w:val="21"/>
        </w:rPr>
        <w:t>本附加合同的保险期间自本附加合同生效日次日零时起至被保险人年满 </w:t>
      </w:r>
      <w:r>
        <w:rPr>
          <w:sz w:val="21"/>
        </w:rPr>
        <w:t>30</w:t>
      </w:r>
      <w:r>
        <w:rPr>
          <w:spacing w:val="-53"/>
          <w:sz w:val="21"/>
        </w:rPr>
        <w:t> </w:t>
      </w:r>
      <w:r>
        <w:rPr>
          <w:b/>
          <w:sz w:val="21"/>
        </w:rPr>
        <w:t>周</w:t>
      </w:r>
      <w:r>
        <w:rPr>
          <w:b/>
          <w:spacing w:val="-20"/>
          <w:sz w:val="21"/>
        </w:rPr>
        <w:t>岁</w:t>
      </w:r>
      <w:r>
        <w:rPr>
          <w:sz w:val="21"/>
        </w:rPr>
        <w:t>（见主合同释义</w:t>
      </w:r>
      <w:r>
        <w:rPr>
          <w:spacing w:val="-21"/>
          <w:sz w:val="21"/>
        </w:rPr>
        <w:t>）</w:t>
      </w:r>
      <w:r>
        <w:rPr>
          <w:sz w:val="21"/>
        </w:rPr>
        <w:t>后的首个</w:t>
      </w:r>
      <w:r>
        <w:rPr>
          <w:b/>
          <w:spacing w:val="-3"/>
          <w:sz w:val="21"/>
        </w:rPr>
        <w:t>保险合同周年日</w:t>
      </w:r>
      <w:r>
        <w:rPr>
          <w:sz w:val="21"/>
        </w:rPr>
        <w:t>（若</w:t>
      </w:r>
      <w:r>
        <w:rPr>
          <w:b/>
          <w:sz w:val="21"/>
        </w:rPr>
        <w:t>保险合同周年日</w:t>
      </w:r>
      <w:r>
        <w:rPr>
          <w:sz w:val="21"/>
        </w:rPr>
        <w:t>与被保险人</w:t>
      </w:r>
      <w:r>
        <w:rPr>
          <w:spacing w:val="-5"/>
          <w:sz w:val="21"/>
        </w:rPr>
        <w:t>生日是同一日，则至被保险人 </w:t>
      </w:r>
      <w:r>
        <w:rPr>
          <w:sz w:val="21"/>
        </w:rPr>
        <w:t>30</w:t>
      </w:r>
      <w:r>
        <w:rPr>
          <w:spacing w:val="-59"/>
          <w:sz w:val="21"/>
        </w:rPr>
        <w:t> </w:t>
      </w:r>
      <w:r>
        <w:rPr>
          <w:b/>
          <w:sz w:val="21"/>
        </w:rPr>
        <w:t>周岁</w:t>
      </w:r>
      <w:r>
        <w:rPr>
          <w:sz w:val="21"/>
        </w:rPr>
        <w:t>生日）24</w:t>
      </w:r>
      <w:r>
        <w:rPr>
          <w:spacing w:val="-15"/>
          <w:sz w:val="21"/>
        </w:rPr>
        <w:t> 时止。</w:t>
      </w:r>
    </w:p>
    <w:p>
      <w:pPr>
        <w:pStyle w:val="BodyText"/>
        <w:spacing w:before="0"/>
        <w:rPr>
          <w:sz w:val="18"/>
        </w:rPr>
      </w:pPr>
    </w:p>
    <w:p>
      <w:pPr>
        <w:pStyle w:val="ListParagraph"/>
        <w:numPr>
          <w:ilvl w:val="1"/>
          <w:numId w:val="2"/>
        </w:numPr>
        <w:tabs>
          <w:tab w:pos="1073" w:val="left" w:leader="none"/>
        </w:tabs>
        <w:spacing w:line="273" w:lineRule="auto" w:before="0" w:after="0"/>
        <w:ind w:left="3003" w:right="208" w:hanging="2782"/>
        <w:jc w:val="both"/>
        <w:rPr>
          <w:sz w:val="21"/>
        </w:rPr>
      </w:pPr>
      <w:r>
        <w:rPr>
          <w:b/>
          <w:spacing w:val="1"/>
          <w:sz w:val="21"/>
        </w:rPr>
        <w:t>保险责任         </w:t>
      </w:r>
      <w:r>
        <w:rPr>
          <w:spacing w:val="-4"/>
          <w:sz w:val="21"/>
        </w:rPr>
        <w:t>在本附加合同保险期间内，且本附加合同有效的前提下，本公司承担下列保险责任：</w:t>
      </w:r>
    </w:p>
    <w:p>
      <w:pPr>
        <w:pStyle w:val="BodyText"/>
        <w:spacing w:before="11"/>
        <w:rPr>
          <w:sz w:val="17"/>
        </w:rPr>
      </w:pPr>
    </w:p>
    <w:p>
      <w:pPr>
        <w:pStyle w:val="ListParagraph"/>
        <w:numPr>
          <w:ilvl w:val="2"/>
          <w:numId w:val="2"/>
        </w:numPr>
        <w:tabs>
          <w:tab w:pos="1073" w:val="left" w:leader="none"/>
        </w:tabs>
        <w:spacing w:line="273" w:lineRule="auto" w:before="0" w:after="0"/>
        <w:ind w:left="3003" w:right="208" w:hanging="2782"/>
        <w:jc w:val="both"/>
        <w:rPr>
          <w:sz w:val="21"/>
        </w:rPr>
      </w:pPr>
      <w:r>
        <w:rPr>
          <w:b/>
          <w:spacing w:val="1"/>
          <w:sz w:val="21"/>
        </w:rPr>
        <w:t>身故保险金       </w:t>
      </w:r>
      <w:r>
        <w:rPr>
          <w:spacing w:val="-4"/>
          <w:sz w:val="21"/>
        </w:rPr>
        <w:t>如果被保险人身故，本附加合同终止，本公司给付身故保险金，身故保险金等于本附加合同累计已交保险费。</w:t>
      </w:r>
    </w:p>
    <w:p>
      <w:pPr>
        <w:pStyle w:val="BodyText"/>
        <w:spacing w:before="4"/>
        <w:rPr>
          <w:sz w:val="18"/>
        </w:rPr>
      </w:pPr>
    </w:p>
    <w:p>
      <w:pPr>
        <w:pStyle w:val="ListParagraph"/>
        <w:numPr>
          <w:ilvl w:val="2"/>
          <w:numId w:val="2"/>
        </w:numPr>
        <w:tabs>
          <w:tab w:pos="1073" w:val="left" w:leader="none"/>
        </w:tabs>
        <w:spacing w:line="273" w:lineRule="auto" w:before="0" w:after="0"/>
        <w:ind w:left="3003" w:right="207" w:hanging="2782"/>
        <w:jc w:val="both"/>
        <w:rPr>
          <w:sz w:val="21"/>
        </w:rPr>
      </w:pPr>
      <w:r>
        <w:rPr>
          <w:b/>
          <w:spacing w:val="1"/>
          <w:sz w:val="21"/>
        </w:rPr>
        <w:t>重大疾病保险金   </w:t>
      </w:r>
      <w:r>
        <w:rPr>
          <w:sz w:val="21"/>
        </w:rPr>
        <w:t>如果被保险人经</w:t>
      </w:r>
      <w:r>
        <w:rPr>
          <w:b/>
          <w:spacing w:val="-6"/>
          <w:sz w:val="21"/>
        </w:rPr>
        <w:t>医院</w:t>
      </w:r>
      <w:r>
        <w:rPr>
          <w:sz w:val="21"/>
        </w:rPr>
        <w:t>（见释义</w:t>
      </w:r>
      <w:r>
        <w:rPr>
          <w:spacing w:val="-14"/>
          <w:sz w:val="21"/>
        </w:rPr>
        <w:t>）</w:t>
      </w:r>
      <w:r>
        <w:rPr>
          <w:sz w:val="21"/>
        </w:rPr>
        <w:t>的</w:t>
      </w:r>
      <w:r>
        <w:rPr>
          <w:b/>
          <w:spacing w:val="-4"/>
          <w:sz w:val="21"/>
        </w:rPr>
        <w:t>专科医生</w:t>
      </w:r>
      <w:r>
        <w:rPr>
          <w:sz w:val="21"/>
        </w:rPr>
        <w:t>（见释义</w:t>
      </w:r>
      <w:r>
        <w:rPr>
          <w:spacing w:val="-14"/>
          <w:sz w:val="21"/>
        </w:rPr>
        <w:t>）</w:t>
      </w:r>
      <w:r>
        <w:rPr>
          <w:sz w:val="21"/>
        </w:rPr>
        <w:t>确诊初次患上本附加合同重大疾病列表（见附录一）</w:t>
      </w:r>
      <w:r>
        <w:rPr>
          <w:spacing w:val="-4"/>
          <w:sz w:val="21"/>
        </w:rPr>
        <w:t>内所界定的任何一种疾病，并于确诊后 </w:t>
      </w:r>
      <w:r>
        <w:rPr>
          <w:sz w:val="21"/>
        </w:rPr>
        <w:t>30</w:t>
      </w:r>
      <w:r>
        <w:rPr>
          <w:spacing w:val="-21"/>
          <w:sz w:val="21"/>
        </w:rPr>
        <w:t> 日仍生存，本附加合同终止，本公司给付重大疾病保险金。</w:t>
      </w:r>
    </w:p>
    <w:p>
      <w:pPr>
        <w:pStyle w:val="BodyText"/>
        <w:spacing w:line="273" w:lineRule="auto" w:before="7"/>
        <w:ind w:left="3003" w:right="206"/>
        <w:jc w:val="both"/>
      </w:pPr>
      <w:r>
        <w:rPr>
          <w:spacing w:val="-2"/>
        </w:rPr>
        <w:t>如果被保险人在本附加合同生效日或最后复效日</w:t>
      </w:r>
      <w:r>
        <w:rPr/>
        <w:t>（以较迟者为准</w:t>
      </w:r>
      <w:r>
        <w:rPr>
          <w:spacing w:val="-26"/>
        </w:rPr>
        <w:t>）</w:t>
      </w:r>
      <w:r>
        <w:rPr>
          <w:spacing w:val="-27"/>
        </w:rPr>
        <w:t>起 </w:t>
      </w:r>
      <w:r>
        <w:rPr/>
        <w:t>180</w:t>
      </w:r>
      <w:r>
        <w:rPr>
          <w:spacing w:val="-18"/>
        </w:rPr>
        <w:t> 日内非因</w:t>
      </w:r>
      <w:r>
        <w:rPr>
          <w:b/>
          <w:spacing w:val="-18"/>
        </w:rPr>
        <w:t>意外伤害事故</w:t>
      </w:r>
      <w:r>
        <w:rPr/>
        <w:t>（见释义</w:t>
      </w:r>
      <w:r>
        <w:rPr>
          <w:spacing w:val="-18"/>
        </w:rPr>
        <w:t>）</w:t>
      </w:r>
      <w:r>
        <w:rPr>
          <w:spacing w:val="-3"/>
        </w:rPr>
        <w:t>初次患上该疾病，重大疾病保险金等于本附加合同累计已交保险费；</w:t>
      </w:r>
    </w:p>
    <w:p>
      <w:pPr>
        <w:pStyle w:val="BodyText"/>
        <w:spacing w:line="273" w:lineRule="auto" w:before="7"/>
        <w:ind w:left="3003" w:right="207"/>
        <w:jc w:val="both"/>
      </w:pPr>
      <w:r>
        <w:rPr/>
        <w:t>如果被保险人因</w:t>
      </w:r>
      <w:r>
        <w:rPr>
          <w:b/>
        </w:rPr>
        <w:t>意外伤害事故</w:t>
      </w:r>
      <w:r>
        <w:rPr>
          <w:spacing w:val="-8"/>
        </w:rPr>
        <w:t>、或在本附加合同生效日或最后复效日</w:t>
      </w:r>
      <w:r>
        <w:rPr/>
        <w:t>（以较迟者为准</w:t>
      </w:r>
      <w:r>
        <w:rPr>
          <w:spacing w:val="-14"/>
        </w:rPr>
        <w:t>）</w:t>
      </w:r>
      <w:r>
        <w:rPr>
          <w:spacing w:val="-28"/>
        </w:rPr>
        <w:t>起 </w:t>
      </w:r>
      <w:r>
        <w:rPr/>
        <w:t>180</w:t>
      </w:r>
      <w:r>
        <w:rPr>
          <w:spacing w:val="-18"/>
        </w:rPr>
        <w:t> 日以后</w:t>
      </w:r>
      <w:r>
        <w:rPr/>
        <w:t>（含当日</w:t>
      </w:r>
      <w:r>
        <w:rPr>
          <w:spacing w:val="-14"/>
        </w:rPr>
        <w:t>）</w:t>
      </w:r>
      <w:r>
        <w:rPr/>
        <w:t>非因</w:t>
      </w:r>
      <w:r>
        <w:rPr>
          <w:b/>
        </w:rPr>
        <w:t>意外伤害事故</w:t>
      </w:r>
      <w:r>
        <w:rPr>
          <w:spacing w:val="-2"/>
        </w:rPr>
        <w:t>初次患上该疾病，重大疾病保险金等于本附加合同的基本保险金额。</w:t>
      </w:r>
    </w:p>
    <w:p>
      <w:pPr>
        <w:pStyle w:val="BodyText"/>
        <w:spacing w:before="7"/>
        <w:ind w:left="3003"/>
      </w:pPr>
      <w:r>
        <w:rPr/>
        <w:t>本公司对本附加合同所负的重大疾病保险金给付责任以一次为限。</w:t>
      </w:r>
    </w:p>
    <w:p>
      <w:pPr>
        <w:pStyle w:val="BodyText"/>
        <w:spacing w:before="1"/>
        <w:rPr>
          <w:sz w:val="20"/>
        </w:rPr>
      </w:pPr>
    </w:p>
    <w:p>
      <w:pPr>
        <w:pStyle w:val="ListParagraph"/>
        <w:numPr>
          <w:ilvl w:val="2"/>
          <w:numId w:val="2"/>
        </w:numPr>
        <w:tabs>
          <w:tab w:pos="1073" w:val="left" w:leader="none"/>
        </w:tabs>
        <w:spacing w:line="273" w:lineRule="auto" w:before="1" w:after="0"/>
        <w:ind w:left="3003" w:right="206" w:hanging="2782"/>
        <w:jc w:val="both"/>
        <w:rPr>
          <w:sz w:val="21"/>
        </w:rPr>
      </w:pPr>
      <w:r>
        <w:rPr>
          <w:b/>
          <w:spacing w:val="2"/>
          <w:sz w:val="21"/>
        </w:rPr>
        <w:t>白血病保险金 </w:t>
      </w:r>
      <w:r>
        <w:rPr>
          <w:spacing w:val="-2"/>
          <w:sz w:val="21"/>
        </w:rPr>
        <w:t>如果被保险人在本附加合同生效日或最后复效日</w:t>
      </w:r>
      <w:r>
        <w:rPr>
          <w:sz w:val="21"/>
        </w:rPr>
        <w:t>（以较迟者为准</w:t>
      </w:r>
      <w:r>
        <w:rPr>
          <w:spacing w:val="-26"/>
          <w:sz w:val="21"/>
        </w:rPr>
        <w:t>）</w:t>
      </w:r>
      <w:r>
        <w:rPr>
          <w:spacing w:val="-27"/>
          <w:sz w:val="21"/>
        </w:rPr>
        <w:t>起 </w:t>
      </w:r>
      <w:r>
        <w:rPr>
          <w:sz w:val="21"/>
        </w:rPr>
        <w:t>180</w:t>
      </w:r>
      <w:r>
        <w:rPr>
          <w:spacing w:val="-14"/>
          <w:sz w:val="21"/>
        </w:rPr>
        <w:t> 日以后</w:t>
      </w:r>
      <w:r>
        <w:rPr>
          <w:sz w:val="21"/>
        </w:rPr>
        <w:t>（含当日</w:t>
      </w:r>
      <w:r>
        <w:rPr>
          <w:spacing w:val="-106"/>
          <w:sz w:val="21"/>
        </w:rPr>
        <w:t>）</w:t>
      </w:r>
      <w:r>
        <w:rPr>
          <w:sz w:val="21"/>
        </w:rPr>
        <w:t>，经</w:t>
      </w:r>
      <w:r>
        <w:rPr>
          <w:b/>
          <w:spacing w:val="0"/>
          <w:w w:val="99"/>
          <w:sz w:val="21"/>
        </w:rPr>
        <w:t>医院</w:t>
      </w:r>
      <w:r>
        <w:rPr>
          <w:spacing w:val="-2"/>
          <w:sz w:val="21"/>
        </w:rPr>
        <w:t>的</w:t>
      </w:r>
      <w:r>
        <w:rPr>
          <w:b/>
          <w:spacing w:val="0"/>
          <w:w w:val="99"/>
          <w:sz w:val="21"/>
        </w:rPr>
        <w:t>专科医生</w:t>
      </w:r>
      <w:r>
        <w:rPr>
          <w:spacing w:val="-1"/>
          <w:sz w:val="21"/>
        </w:rPr>
        <w:t>确诊初次患上本附加合同界定的</w:t>
      </w:r>
      <w:r>
        <w:rPr>
          <w:b/>
          <w:w w:val="99"/>
          <w:sz w:val="21"/>
        </w:rPr>
        <w:t>白血病</w:t>
      </w:r>
      <w:r>
        <w:rPr>
          <w:sz w:val="21"/>
        </w:rPr>
        <w:t>（见释义</w:t>
      </w:r>
      <w:r>
        <w:rPr>
          <w:spacing w:val="-105"/>
          <w:sz w:val="21"/>
        </w:rPr>
        <w:t>）</w:t>
      </w:r>
      <w:r>
        <w:rPr>
          <w:spacing w:val="-12"/>
          <w:sz w:val="21"/>
        </w:rPr>
        <w:t>，并于确诊后 </w:t>
      </w:r>
      <w:r>
        <w:rPr>
          <w:spacing w:val="-1"/>
          <w:sz w:val="21"/>
        </w:rPr>
        <w:t>3</w:t>
      </w:r>
      <w:r>
        <w:rPr>
          <w:sz w:val="21"/>
        </w:rPr>
        <w:t>0</w:t>
      </w:r>
      <w:r>
        <w:rPr>
          <w:spacing w:val="-11"/>
          <w:sz w:val="21"/>
        </w:rPr>
        <w:t> 日仍生存，本公司在给付上述重大疾病保险金后，另外给付白血病保险金，白血病保险金等于本附加合同的基本保险金额。</w:t>
      </w:r>
    </w:p>
    <w:p>
      <w:pPr>
        <w:pStyle w:val="BodyText"/>
        <w:spacing w:before="8"/>
        <w:ind w:left="3003"/>
        <w:jc w:val="both"/>
      </w:pPr>
      <w:r>
        <w:rPr/>
        <w:t>本公司对本附加合同所负的白血病保险金给付责任以一次为限。</w:t>
      </w:r>
    </w:p>
    <w:p>
      <w:pPr>
        <w:pStyle w:val="BodyText"/>
        <w:spacing w:before="2"/>
        <w:rPr>
          <w:sz w:val="20"/>
        </w:rPr>
      </w:pPr>
    </w:p>
    <w:p>
      <w:pPr>
        <w:pStyle w:val="ListParagraph"/>
        <w:numPr>
          <w:ilvl w:val="2"/>
          <w:numId w:val="2"/>
        </w:numPr>
        <w:tabs>
          <w:tab w:pos="1072" w:val="left" w:leader="none"/>
          <w:tab w:pos="1073" w:val="left" w:leader="none"/>
          <w:tab w:pos="3003" w:val="left" w:leader="none"/>
        </w:tabs>
        <w:spacing w:line="240" w:lineRule="auto" w:before="0" w:after="0"/>
        <w:ind w:left="1072" w:right="0" w:hanging="851"/>
        <w:jc w:val="left"/>
        <w:rPr>
          <w:sz w:val="21"/>
        </w:rPr>
      </w:pPr>
      <w:r>
        <w:rPr>
          <w:b/>
          <w:sz w:val="21"/>
        </w:rPr>
        <w:t>豁免保险费</w:t>
        <w:tab/>
      </w:r>
      <w:r>
        <w:rPr>
          <w:w w:val="95"/>
          <w:sz w:val="21"/>
        </w:rPr>
        <w:t>除另有约定外</w:t>
      </w:r>
      <w:r>
        <w:rPr>
          <w:spacing w:val="-56"/>
          <w:w w:val="95"/>
          <w:sz w:val="21"/>
        </w:rPr>
        <w:t>，</w:t>
      </w:r>
      <w:r>
        <w:rPr>
          <w:w w:val="95"/>
          <w:sz w:val="21"/>
        </w:rPr>
        <w:t>如果投保人在本附加合同交费期间内发生</w:t>
      </w:r>
      <w:r>
        <w:rPr>
          <w:b/>
          <w:w w:val="95"/>
          <w:sz w:val="21"/>
        </w:rPr>
        <w:t>意外伤害事故</w:t>
      </w:r>
      <w:r>
        <w:rPr>
          <w:w w:val="95"/>
          <w:sz w:val="21"/>
        </w:rPr>
        <w:t>并自该</w:t>
      </w:r>
    </w:p>
    <w:p>
      <w:pPr>
        <w:spacing w:after="0" w:line="240" w:lineRule="auto"/>
        <w:jc w:val="left"/>
        <w:rPr>
          <w:sz w:val="21"/>
        </w:rPr>
        <w:sectPr>
          <w:pgSz w:w="11910" w:h="16840"/>
          <w:pgMar w:top="1160" w:bottom="280" w:left="800" w:right="800"/>
        </w:sectPr>
      </w:pPr>
    </w:p>
    <w:p>
      <w:pPr>
        <w:pStyle w:val="BodyText"/>
        <w:spacing w:line="273" w:lineRule="auto" w:before="19"/>
        <w:ind w:left="3004" w:right="207"/>
        <w:jc w:val="both"/>
      </w:pPr>
      <w:r>
        <w:rPr>
          <w:spacing w:val="-7"/>
        </w:rPr>
        <w:t>事故发生之日起 </w:t>
      </w:r>
      <w:r>
        <w:rPr/>
        <w:t>180</w:t>
      </w:r>
      <w:r>
        <w:rPr>
          <w:spacing w:val="-8"/>
        </w:rPr>
        <w:t> 日内因该事故导致本附加合同所界定的</w:t>
      </w:r>
      <w:r>
        <w:rPr>
          <w:b/>
          <w:spacing w:val="-13"/>
        </w:rPr>
        <w:t>全残</w:t>
      </w:r>
      <w:r>
        <w:rPr/>
        <w:t>（见释义</w:t>
      </w:r>
      <w:r>
        <w:rPr>
          <w:spacing w:val="-27"/>
        </w:rPr>
        <w:t>）</w:t>
      </w:r>
      <w:r>
        <w:rPr/>
        <w:t>或</w:t>
      </w:r>
      <w:r>
        <w:rPr>
          <w:spacing w:val="-5"/>
        </w:rPr>
        <w:t>身故，且投保人发生</w:t>
      </w:r>
      <w:r>
        <w:rPr>
          <w:b/>
        </w:rPr>
        <w:t>全残</w:t>
      </w:r>
      <w:r>
        <w:rPr>
          <w:spacing w:val="-3"/>
        </w:rPr>
        <w:t>或身故时未满六十五周岁，本公司自其</w:t>
      </w:r>
      <w:r>
        <w:rPr>
          <w:b/>
        </w:rPr>
        <w:t>全残</w:t>
      </w:r>
      <w:r>
        <w:rPr/>
        <w:t>或身故后</w:t>
      </w:r>
      <w:r>
        <w:rPr>
          <w:w w:val="95"/>
        </w:rPr>
        <w:t>的首个</w:t>
      </w:r>
      <w:r>
        <w:rPr>
          <w:b/>
          <w:w w:val="95"/>
        </w:rPr>
        <w:t>保险合同周年日</w:t>
      </w:r>
      <w:r>
        <w:rPr>
          <w:w w:val="95"/>
        </w:rPr>
        <w:t>开始，豁免本附加合同余下各期的保险费。</w:t>
      </w:r>
    </w:p>
    <w:p>
      <w:pPr>
        <w:pStyle w:val="BodyText"/>
        <w:spacing w:before="7"/>
        <w:ind w:left="3004"/>
      </w:pPr>
      <w:r>
        <w:rPr/>
        <w:t>在交费期间内变更投保人的，本公司不予豁免保险费。</w:t>
      </w:r>
    </w:p>
    <w:p>
      <w:pPr>
        <w:pStyle w:val="BodyText"/>
        <w:spacing w:before="1"/>
        <w:rPr>
          <w:sz w:val="20"/>
        </w:rPr>
      </w:pPr>
    </w:p>
    <w:p>
      <w:pPr>
        <w:pStyle w:val="ListParagraph"/>
        <w:numPr>
          <w:ilvl w:val="1"/>
          <w:numId w:val="2"/>
        </w:numPr>
        <w:tabs>
          <w:tab w:pos="1073" w:val="left" w:leader="none"/>
          <w:tab w:pos="1074" w:val="left" w:leader="none"/>
          <w:tab w:pos="3003" w:val="left" w:leader="none"/>
        </w:tabs>
        <w:spacing w:line="273" w:lineRule="auto" w:before="0" w:after="0"/>
        <w:ind w:left="3004" w:right="208" w:hanging="2783"/>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51"/>
          <w:sz w:val="21"/>
        </w:rPr>
        <w:t>，</w:t>
      </w:r>
      <w:r>
        <w:rPr>
          <w:rFonts w:ascii="黑体" w:eastAsia="黑体" w:hint="eastAsia"/>
          <w:sz w:val="21"/>
        </w:rPr>
        <w:t>导致被保险人发Th本附加合同重大疾病列表内界定的重大疾</w:t>
      </w:r>
      <w:r>
        <w:rPr>
          <w:rFonts w:ascii="黑体" w:eastAsia="黑体" w:hint="eastAsia"/>
          <w:w w:val="95"/>
          <w:sz w:val="21"/>
        </w:rPr>
        <w:t>病或</w:t>
      </w:r>
      <w:r>
        <w:rPr>
          <w:rFonts w:ascii="黑体" w:eastAsia="黑体" w:hint="eastAsia"/>
          <w:b/>
          <w:w w:val="95"/>
          <w:sz w:val="21"/>
        </w:rPr>
        <w:t>白血病</w:t>
      </w:r>
      <w:r>
        <w:rPr>
          <w:rFonts w:ascii="黑体" w:eastAsia="黑体" w:hint="eastAsia"/>
          <w:w w:val="95"/>
          <w:sz w:val="21"/>
        </w:rPr>
        <w:t>的，本公司不承担给付保险金的责任：</w:t>
      </w:r>
    </w:p>
    <w:p>
      <w:pPr>
        <w:pStyle w:val="BodyText"/>
        <w:spacing w:before="7"/>
        <w:ind w:left="3004"/>
        <w:rPr>
          <w:rFonts w:ascii="黑体" w:eastAsia="黑体" w:hint="eastAsia"/>
        </w:rPr>
      </w:pPr>
      <w:r>
        <w:rPr>
          <w:rFonts w:ascii="黑体" w:eastAsia="黑体" w:hint="eastAsia"/>
        </w:rPr>
        <w:t>（1）投保人对被保险人的故意杀害、故意伤害；</w:t>
      </w:r>
    </w:p>
    <w:p>
      <w:pPr>
        <w:pStyle w:val="BodyText"/>
        <w:ind w:left="3004"/>
        <w:rPr>
          <w:rFonts w:ascii="黑体" w:eastAsia="黑体" w:hint="eastAsia"/>
        </w:rPr>
      </w:pPr>
      <w:r>
        <w:rPr>
          <w:rFonts w:ascii="黑体" w:eastAsia="黑体" w:hint="eastAsia"/>
        </w:rPr>
        <w:t>（2）被保险人故意自伤、故意犯罪或者抗拒依法采取的刑事强制措施；</w:t>
      </w:r>
    </w:p>
    <w:p>
      <w:pPr>
        <w:pStyle w:val="BodyText"/>
        <w:ind w:left="3004"/>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3508"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3508"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pStyle w:val="BodyText"/>
        <w:spacing w:before="7"/>
        <w:ind w:left="3004"/>
        <w:rPr>
          <w:rFonts w:ascii="黑体" w:eastAsia="黑体" w:hint="eastAsia"/>
        </w:rPr>
      </w:pPr>
      <w:r>
        <w:rPr>
          <w:rFonts w:ascii="黑体" w:eastAsia="黑体" w:hint="eastAsia"/>
        </w:rPr>
        <w:t>（6）战争、军事冲突、暴乱或武装叛乱；</w:t>
      </w:r>
    </w:p>
    <w:p>
      <w:pPr>
        <w:pStyle w:val="BodyText"/>
        <w:ind w:left="3004"/>
        <w:rPr>
          <w:rFonts w:ascii="黑体" w:eastAsia="黑体" w:hint="eastAsia"/>
        </w:rPr>
      </w:pPr>
      <w:r>
        <w:rPr>
          <w:rFonts w:ascii="黑体" w:eastAsia="黑体" w:hint="eastAsia"/>
        </w:rPr>
        <w:t>（7）核爆炸、核辐射或核污染；</w:t>
      </w:r>
    </w:p>
    <w:p>
      <w:pPr>
        <w:spacing w:before="18"/>
        <w:ind w:left="3004"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pStyle w:val="BodyText"/>
        <w:spacing w:before="2"/>
        <w:rPr>
          <w:rFonts w:ascii="黑体"/>
          <w:sz w:val="20"/>
        </w:rPr>
      </w:pPr>
    </w:p>
    <w:p>
      <w:pPr>
        <w:spacing w:after="0"/>
        <w:rPr>
          <w:rFonts w:ascii="黑体"/>
          <w:sz w:val="20"/>
        </w:rPr>
        <w:sectPr>
          <w:pgSz w:w="11910" w:h="16840"/>
          <w:pgMar w:top="1100" w:bottom="280" w:left="800" w:right="800"/>
        </w:sect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0"/>
        <w:rPr>
          <w:rFonts w:ascii="黑体"/>
          <w:sz w:val="42"/>
        </w:rPr>
      </w:pPr>
    </w:p>
    <w:p>
      <w:pPr>
        <w:pStyle w:val="BodyText"/>
        <w:spacing w:before="3"/>
        <w:rPr>
          <w:rFonts w:ascii="黑体"/>
          <w:sz w:val="45"/>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35"/>
        <w:ind w:left="221"/>
        <w:rPr>
          <w:rFonts w:ascii="黑体" w:eastAsia="黑体" w:hint="eastAsia"/>
        </w:rPr>
      </w:pPr>
      <w:r>
        <w:rPr/>
        <w:br w:type="column"/>
      </w:r>
      <w:r>
        <w:rPr>
          <w:rFonts w:ascii="黑体" w:eastAsia="黑体" w:hint="eastAsia"/>
          <w:w w:val="95"/>
        </w:rPr>
        <w:t>因下列情形之一导致投保人</w:t>
      </w:r>
      <w:r>
        <w:rPr>
          <w:rFonts w:ascii="黑体" w:eastAsia="黑体" w:hint="eastAsia"/>
          <w:b/>
          <w:w w:val="95"/>
        </w:rPr>
        <w:t>全残</w:t>
      </w:r>
      <w:r>
        <w:rPr>
          <w:rFonts w:ascii="黑体" w:eastAsia="黑体" w:hint="eastAsia"/>
          <w:w w:val="95"/>
        </w:rPr>
        <w:t>或身故的，本公司不承担豁免保险费的责任；</w:t>
      </w:r>
    </w:p>
    <w:p>
      <w:pPr>
        <w:pStyle w:val="BodyText"/>
        <w:spacing w:line="273" w:lineRule="auto"/>
        <w:ind w:left="725" w:right="263" w:hanging="504"/>
        <w:rPr>
          <w:rFonts w:ascii="黑体" w:eastAsia="黑体" w:hint="eastAsia"/>
        </w:rPr>
      </w:pPr>
      <w:r>
        <w:rPr>
          <w:rFonts w:ascii="黑体" w:eastAsia="黑体" w:hint="eastAsia"/>
        </w:rPr>
        <w:t>（1）投保人斗殴、酗酒、故意自伤或自杀、故意犯罪或者抗拒依法采取的刑事强制措施；</w:t>
      </w:r>
    </w:p>
    <w:p>
      <w:pPr>
        <w:pStyle w:val="BodyText"/>
        <w:spacing w:before="8"/>
        <w:ind w:left="221"/>
        <w:rPr>
          <w:rFonts w:ascii="黑体" w:eastAsia="黑体" w:hint="eastAsia"/>
        </w:rPr>
      </w:pPr>
      <w:r>
        <w:rPr>
          <w:rFonts w:ascii="黑体" w:eastAsia="黑体" w:hint="eastAsia"/>
          <w:w w:val="95"/>
        </w:rPr>
        <w:t>（2）投保人主动吸食或注射</w:t>
      </w:r>
      <w:r>
        <w:rPr>
          <w:rFonts w:ascii="黑体" w:eastAsia="黑体" w:hint="eastAsia"/>
          <w:b/>
          <w:w w:val="95"/>
        </w:rPr>
        <w:t>毒品</w:t>
      </w:r>
      <w:r>
        <w:rPr>
          <w:rFonts w:ascii="黑体" w:eastAsia="黑体" w:hint="eastAsia"/>
          <w:w w:val="95"/>
        </w:rPr>
        <w:t>；</w:t>
      </w:r>
    </w:p>
    <w:p>
      <w:pPr>
        <w:spacing w:line="273" w:lineRule="auto" w:before="37"/>
        <w:ind w:left="725" w:right="246" w:hanging="505"/>
        <w:jc w:val="left"/>
        <w:rPr>
          <w:rFonts w:ascii="黑体" w:eastAsia="黑体" w:hint="eastAsia"/>
          <w:sz w:val="21"/>
        </w:rPr>
      </w:pPr>
      <w:r>
        <w:rPr>
          <w:rFonts w:ascii="黑体" w:eastAsia="黑体" w:hint="eastAsia"/>
          <w:sz w:val="21"/>
        </w:rPr>
        <w:t>（3）投保人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before="7"/>
        <w:ind w:left="221"/>
        <w:rPr>
          <w:rFonts w:ascii="黑体" w:eastAsia="黑体" w:hint="eastAsia"/>
        </w:rPr>
      </w:pPr>
      <w:r>
        <w:rPr>
          <w:rFonts w:ascii="黑体" w:eastAsia="黑体" w:hint="eastAsia"/>
          <w:spacing w:val="-1"/>
        </w:rPr>
        <w:t>（4）投保人因妊娠</w:t>
      </w:r>
      <w:r>
        <w:rPr>
          <w:rFonts w:ascii="黑体" w:eastAsia="黑体" w:hint="eastAsia"/>
        </w:rPr>
        <w:t>（含宫外孕</w:t>
      </w:r>
      <w:r>
        <w:rPr>
          <w:rFonts w:ascii="黑体" w:eastAsia="黑体" w:hint="eastAsia"/>
          <w:spacing w:val="-105"/>
        </w:rPr>
        <w:t>）</w:t>
      </w:r>
      <w:r>
        <w:rPr>
          <w:rFonts w:ascii="黑体" w:eastAsia="黑体" w:hint="eastAsia"/>
        </w:rPr>
        <w:t>、流产、分娩（含剖腹产）导致的伤害；</w:t>
      </w:r>
    </w:p>
    <w:p>
      <w:pPr>
        <w:pStyle w:val="BodyText"/>
        <w:spacing w:before="36"/>
        <w:ind w:left="221"/>
        <w:rPr>
          <w:rFonts w:ascii="黑体" w:eastAsia="黑体" w:hint="eastAsia"/>
        </w:rPr>
      </w:pPr>
      <w:r>
        <w:rPr>
          <w:rFonts w:ascii="黑体" w:eastAsia="黑体" w:hint="eastAsia"/>
          <w:spacing w:val="-5"/>
          <w:w w:val="95"/>
        </w:rPr>
        <w:t>（5）</w:t>
      </w:r>
      <w:r>
        <w:rPr>
          <w:rFonts w:ascii="黑体" w:eastAsia="黑体" w:hint="eastAsia"/>
          <w:w w:val="95"/>
        </w:rPr>
        <w:t>投保人因</w:t>
      </w:r>
      <w:r>
        <w:rPr>
          <w:rFonts w:ascii="黑体" w:eastAsia="黑体" w:hint="eastAsia"/>
          <w:b/>
          <w:spacing w:val="-4"/>
          <w:w w:val="95"/>
        </w:rPr>
        <w:t>医疗事故</w:t>
      </w:r>
      <w:r>
        <w:rPr>
          <w:rFonts w:ascii="黑体" w:eastAsia="黑体" w:hint="eastAsia"/>
          <w:w w:val="95"/>
        </w:rPr>
        <w:t>（见释义</w:t>
      </w:r>
      <w:r>
        <w:rPr>
          <w:rFonts w:ascii="黑体" w:eastAsia="黑体" w:hint="eastAsia"/>
          <w:spacing w:val="-105"/>
          <w:w w:val="95"/>
        </w:rPr>
        <w:t>）</w:t>
      </w:r>
      <w:r>
        <w:rPr>
          <w:rFonts w:ascii="黑体" w:eastAsia="黑体" w:hint="eastAsia"/>
          <w:spacing w:val="-5"/>
          <w:w w:val="95"/>
        </w:rPr>
        <w:t>、药物过敏或精神和行为障碍</w:t>
      </w:r>
      <w:r>
        <w:rPr>
          <w:rFonts w:ascii="黑体" w:eastAsia="黑体" w:hint="eastAsia"/>
          <w:w w:val="95"/>
        </w:rPr>
        <w:t>（依照世界卫</w:t>
      </w:r>
    </w:p>
    <w:p>
      <w:pPr>
        <w:pStyle w:val="BodyText"/>
        <w:spacing w:line="273" w:lineRule="auto" w:before="36"/>
        <w:ind w:left="725" w:right="208"/>
        <w:rPr>
          <w:rFonts w:ascii="黑体" w:eastAsia="黑体" w:hint="eastAsia"/>
        </w:rPr>
      </w:pPr>
      <w:r>
        <w:rPr>
          <w:rFonts w:ascii="黑体" w:eastAsia="黑体" w:hint="eastAsia"/>
          <w:spacing w:val="-1"/>
        </w:rPr>
        <w:t>Th</w:t>
      </w:r>
      <w:r>
        <w:rPr>
          <w:rFonts w:ascii="黑体" w:eastAsia="黑体" w:hint="eastAsia"/>
          <w:spacing w:val="-5"/>
        </w:rPr>
        <w:t>组织《疾病和有关健康问题的国际统计分类</w:t>
      </w:r>
      <w:r>
        <w:rPr>
          <w:rFonts w:ascii="黑体" w:eastAsia="黑体" w:hint="eastAsia"/>
          <w:spacing w:val="-1"/>
        </w:rPr>
        <w:t>（ICD-10</w:t>
      </w:r>
      <w:r>
        <w:rPr>
          <w:rFonts w:ascii="黑体" w:eastAsia="黑体" w:hint="eastAsia"/>
          <w:spacing w:val="-104"/>
        </w:rPr>
        <w:t>）</w:t>
      </w:r>
      <w:r>
        <w:rPr>
          <w:rFonts w:ascii="黑体" w:eastAsia="黑体" w:hint="eastAsia"/>
          <w:spacing w:val="-4"/>
        </w:rPr>
        <w:t>》确定</w:t>
      </w:r>
      <w:r>
        <w:rPr>
          <w:rFonts w:ascii="黑体" w:eastAsia="黑体" w:hint="eastAsia"/>
          <w:spacing w:val="-8"/>
        </w:rPr>
        <w:t>）</w:t>
      </w:r>
      <w:r>
        <w:rPr>
          <w:rFonts w:ascii="黑体" w:eastAsia="黑体" w:hint="eastAsia"/>
        </w:rPr>
        <w:t>导致的伤害；</w:t>
      </w:r>
    </w:p>
    <w:p>
      <w:pPr>
        <w:pStyle w:val="BodyText"/>
        <w:spacing w:line="273" w:lineRule="auto" w:before="7"/>
        <w:ind w:left="725" w:right="209" w:hanging="504"/>
        <w:rPr>
          <w:rFonts w:ascii="黑体" w:eastAsia="黑体" w:hint="eastAsia"/>
        </w:rPr>
      </w:pPr>
      <w:r>
        <w:rPr>
          <w:rFonts w:ascii="黑体" w:eastAsia="黑体" w:hint="eastAsia"/>
          <w:spacing w:val="-14"/>
        </w:rPr>
        <w:t>（6）</w:t>
      </w:r>
      <w:r>
        <w:rPr>
          <w:rFonts w:ascii="黑体" w:eastAsia="黑体" w:hint="eastAsia"/>
          <w:spacing w:val="-8"/>
        </w:rPr>
        <w:t>投保人未遵医嘱，私自使用药物，但按使用说明的规定使用</w:t>
      </w:r>
      <w:r>
        <w:rPr>
          <w:rFonts w:ascii="黑体" w:eastAsia="黑体" w:hint="eastAsia"/>
          <w:b/>
          <w:spacing w:val="-10"/>
        </w:rPr>
        <w:t>非处方药</w:t>
      </w:r>
      <w:r>
        <w:rPr>
          <w:rFonts w:ascii="黑体" w:eastAsia="黑体" w:hint="eastAsia"/>
        </w:rPr>
        <w:t>（见释义）不在此限；</w:t>
      </w:r>
    </w:p>
    <w:p>
      <w:pPr>
        <w:pStyle w:val="BodyText"/>
        <w:spacing w:line="273" w:lineRule="auto" w:before="7"/>
        <w:ind w:left="725" w:right="263" w:hanging="504"/>
        <w:rPr>
          <w:rFonts w:ascii="黑体" w:eastAsia="黑体" w:hint="eastAsia"/>
        </w:rPr>
      </w:pPr>
      <w:r>
        <w:rPr>
          <w:rFonts w:ascii="黑体" w:eastAsia="黑体" w:hint="eastAsia"/>
        </w:rPr>
        <w:t>（7）细菌、病毒等病原微Th物或寄Th虫感染，但因意外伤害所致的伤口发Th 感染者不在此限；</w:t>
      </w:r>
    </w:p>
    <w:p>
      <w:pPr>
        <w:pStyle w:val="BodyText"/>
        <w:spacing w:line="285" w:lineRule="auto" w:before="0"/>
        <w:ind w:left="746" w:right="207" w:hanging="526"/>
        <w:jc w:val="both"/>
        <w:rPr>
          <w:rFonts w:ascii="黑体" w:eastAsia="黑体" w:hint="eastAsia"/>
        </w:rPr>
      </w:pPr>
      <w:r>
        <w:rPr>
          <w:rFonts w:ascii="黑体" w:eastAsia="黑体" w:hint="eastAsia"/>
        </w:rPr>
        <w:t>（8）投保人从事</w:t>
      </w:r>
      <w:r>
        <w:rPr>
          <w:rFonts w:ascii="黑体" w:eastAsia="黑体" w:hint="eastAsia"/>
          <w:b/>
        </w:rPr>
        <w:t>潜水</w:t>
      </w:r>
      <w:r>
        <w:rPr>
          <w:rFonts w:ascii="黑体" w:eastAsia="黑体" w:hint="eastAsia"/>
        </w:rPr>
        <w:t>（见释义</w:t>
      </w:r>
      <w:r>
        <w:rPr>
          <w:rFonts w:ascii="黑体" w:eastAsia="黑体" w:hint="eastAsia"/>
          <w:spacing w:val="-104"/>
        </w:rPr>
        <w:t>）</w:t>
      </w:r>
      <w:r>
        <w:rPr>
          <w:rFonts w:ascii="黑体" w:eastAsia="黑体" w:hint="eastAsia"/>
        </w:rPr>
        <w:t>、跳伞、</w:t>
      </w:r>
      <w:r>
        <w:rPr>
          <w:rFonts w:ascii="黑体" w:eastAsia="黑体" w:hint="eastAsia"/>
          <w:b/>
        </w:rPr>
        <w:t>攀岩</w:t>
      </w:r>
      <w:r>
        <w:rPr>
          <w:rFonts w:ascii="黑体" w:eastAsia="黑体" w:hint="eastAsia"/>
        </w:rPr>
        <w:t>（见释义</w:t>
      </w:r>
      <w:r>
        <w:rPr>
          <w:rFonts w:ascii="黑体" w:eastAsia="黑体" w:hint="eastAsia"/>
          <w:spacing w:val="-104"/>
        </w:rPr>
        <w:t>）</w:t>
      </w:r>
      <w:r>
        <w:rPr>
          <w:rFonts w:ascii="黑体" w:eastAsia="黑体" w:hint="eastAsia"/>
        </w:rPr>
        <w:t>、驾驶滑翔机或滑翔伞、</w:t>
      </w:r>
      <w:r>
        <w:rPr>
          <w:rFonts w:ascii="黑体" w:eastAsia="黑体" w:hint="eastAsia"/>
          <w:b/>
        </w:rPr>
        <w:t>探险</w:t>
      </w:r>
      <w:r>
        <w:rPr>
          <w:rFonts w:ascii="黑体" w:eastAsia="黑体" w:hint="eastAsia"/>
        </w:rPr>
        <w:t>（见释义</w:t>
      </w:r>
      <w:r>
        <w:rPr>
          <w:rFonts w:ascii="黑体" w:eastAsia="黑体" w:hint="eastAsia"/>
          <w:spacing w:val="-104"/>
        </w:rPr>
        <w:t>）</w:t>
      </w:r>
      <w:r>
        <w:rPr>
          <w:rFonts w:ascii="黑体" w:eastAsia="黑体" w:hint="eastAsia"/>
        </w:rPr>
        <w:t>、摔跤比赛、</w:t>
      </w:r>
      <w:r>
        <w:rPr>
          <w:rFonts w:ascii="黑体" w:eastAsia="黑体" w:hint="eastAsia"/>
          <w:b/>
        </w:rPr>
        <w:t>武术比赛</w:t>
      </w:r>
      <w:r>
        <w:rPr>
          <w:rFonts w:ascii="黑体" w:eastAsia="黑体" w:hint="eastAsia"/>
        </w:rPr>
        <w:t>（见释义</w:t>
      </w:r>
      <w:r>
        <w:rPr>
          <w:rFonts w:ascii="黑体" w:eastAsia="黑体" w:hint="eastAsia"/>
          <w:spacing w:val="-104"/>
        </w:rPr>
        <w:t>）</w:t>
      </w:r>
      <w:r>
        <w:rPr>
          <w:rFonts w:ascii="黑体" w:eastAsia="黑体" w:hint="eastAsia"/>
        </w:rPr>
        <w:t>、</w:t>
      </w:r>
      <w:r>
        <w:rPr>
          <w:rFonts w:ascii="黑体" w:eastAsia="黑体" w:hint="eastAsia"/>
          <w:b/>
        </w:rPr>
        <w:t>特技表演</w:t>
      </w:r>
      <w:r>
        <w:rPr>
          <w:rFonts w:ascii="黑体" w:eastAsia="黑体" w:hint="eastAsia"/>
        </w:rPr>
        <w:t>（见释</w:t>
      </w:r>
      <w:r>
        <w:rPr>
          <w:rFonts w:ascii="黑体" w:eastAsia="黑体" w:hint="eastAsia"/>
          <w:spacing w:val="-1"/>
        </w:rPr>
        <w:t>义</w:t>
      </w:r>
      <w:r>
        <w:rPr>
          <w:rFonts w:ascii="黑体" w:eastAsia="黑体" w:hint="eastAsia"/>
          <w:spacing w:val="-105"/>
        </w:rPr>
        <w:t>）</w:t>
      </w:r>
      <w:r>
        <w:rPr>
          <w:rFonts w:ascii="黑体" w:eastAsia="黑体" w:hint="eastAsia"/>
          <w:spacing w:val="-1"/>
        </w:rPr>
        <w:t>、赛马、赛车等高风险运动</w:t>
      </w:r>
    </w:p>
    <w:p>
      <w:pPr>
        <w:pStyle w:val="BodyText"/>
        <w:spacing w:before="44"/>
        <w:ind w:left="221"/>
        <w:rPr>
          <w:rFonts w:ascii="黑体" w:eastAsia="黑体" w:hint="eastAsia"/>
        </w:rPr>
      </w:pPr>
      <w:r>
        <w:rPr>
          <w:rFonts w:ascii="黑体" w:eastAsia="黑体" w:hint="eastAsia"/>
        </w:rPr>
        <w:t>（9）投保人非因意外事故导致的下落不明而被宣告死亡；</w:t>
      </w:r>
    </w:p>
    <w:p>
      <w:pPr>
        <w:pStyle w:val="BodyText"/>
        <w:ind w:left="221"/>
        <w:rPr>
          <w:rFonts w:ascii="黑体" w:eastAsia="黑体" w:hint="eastAsia"/>
        </w:rPr>
      </w:pPr>
      <w:r>
        <w:rPr>
          <w:rFonts w:ascii="黑体" w:eastAsia="黑体" w:hint="eastAsia"/>
        </w:rPr>
        <w:t>（10）战争、军事冲突、暴乱或武装叛乱；</w:t>
      </w:r>
    </w:p>
    <w:p>
      <w:pPr>
        <w:pStyle w:val="BodyText"/>
        <w:spacing w:before="17"/>
        <w:ind w:left="221"/>
        <w:rPr>
          <w:rFonts w:ascii="黑体" w:eastAsia="黑体" w:hint="eastAsia"/>
        </w:rPr>
      </w:pPr>
      <w:r>
        <w:rPr>
          <w:rFonts w:ascii="黑体" w:eastAsia="黑体" w:hint="eastAsia"/>
        </w:rPr>
        <w:t>（11）核爆炸、核辐射或核污染。</w:t>
      </w:r>
    </w:p>
    <w:p>
      <w:pPr>
        <w:spacing w:after="0"/>
        <w:rPr>
          <w:rFonts w:ascii="黑体" w:eastAsia="黑体" w:hint="eastAsia"/>
        </w:rPr>
        <w:sectPr>
          <w:type w:val="continuous"/>
          <w:pgSz w:w="11910" w:h="16840"/>
          <w:pgMar w:top="520" w:bottom="280" w:left="800" w:right="800"/>
          <w:cols w:num="2" w:equalWidth="0">
            <w:col w:w="2517" w:space="266"/>
            <w:col w:w="7527"/>
          </w:cols>
        </w:sectPr>
      </w:pPr>
    </w:p>
    <w:p>
      <w:pPr>
        <w:pStyle w:val="BodyText"/>
        <w:spacing w:before="9" w:after="1"/>
        <w:rPr>
          <w:rFonts w:ascii="黑体"/>
          <w:sz w:val="7"/>
        </w:rPr>
      </w:pPr>
    </w:p>
    <w:p>
      <w:pPr>
        <w:pStyle w:val="BodyText"/>
        <w:spacing w:line="20" w:lineRule="exact" w:before="0"/>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9pt" strokecolor="#000000">
              <v:stroke dashstyle="solid"/>
            </v:line>
          </v:group>
        </w:pict>
      </w:r>
      <w:r>
        <w:rPr>
          <w:rFonts w:ascii="黑体"/>
          <w:spacing w:val="6"/>
          <w:sz w:val="2"/>
        </w:rPr>
      </w:r>
    </w:p>
    <w:p>
      <w:pPr>
        <w:pStyle w:val="BodyText"/>
        <w:spacing w:before="0"/>
        <w:rPr>
          <w:rFonts w:ascii="黑体"/>
          <w:sz w:val="12"/>
        </w:rPr>
      </w:pPr>
    </w:p>
    <w:p>
      <w:pPr>
        <w:pStyle w:val="ListParagraph"/>
        <w:numPr>
          <w:ilvl w:val="1"/>
          <w:numId w:val="3"/>
        </w:numPr>
        <w:tabs>
          <w:tab w:pos="1073" w:val="left" w:leader="none"/>
          <w:tab w:pos="1074" w:val="left" w:leader="none"/>
          <w:tab w:pos="3003" w:val="left" w:leader="none"/>
        </w:tabs>
        <w:spacing w:line="240" w:lineRule="auto" w:before="35" w:after="0"/>
        <w:ind w:left="1073" w:right="0" w:hanging="852"/>
        <w:jc w:val="left"/>
        <w:rPr>
          <w:sz w:val="21"/>
        </w:rPr>
      </w:pPr>
      <w:r>
        <w:rPr>
          <w:b/>
          <w:sz w:val="21"/>
        </w:rPr>
        <w:t>受益人</w:t>
        <w:tab/>
      </w:r>
      <w:r>
        <w:rPr>
          <w:sz w:val="21"/>
        </w:rPr>
        <w:t>您或者被保险人可以指定一人或多人为身故保险金受益人。</w:t>
      </w:r>
    </w:p>
    <w:p>
      <w:pPr>
        <w:pStyle w:val="BodyText"/>
        <w:spacing w:line="273" w:lineRule="auto"/>
        <w:ind w:left="3003" w:right="158"/>
      </w:pPr>
      <w:r>
        <w:rPr/>
        <w:t>保险金受益人为多人时，可以确定受益顺序和受益份额；如果没有确定份额， 各受益人按照相等份额享有受益权。</w:t>
      </w:r>
    </w:p>
    <w:p>
      <w:pPr>
        <w:pStyle w:val="BodyText"/>
        <w:spacing w:line="273" w:lineRule="auto" w:before="8"/>
        <w:ind w:left="3003" w:right="147"/>
      </w:pPr>
      <w:r>
        <w:rPr/>
        <w:t>被保险人为无民事行为能力人或限制民事行为能力人的，可以由其监护人指定受益人。</w:t>
      </w:r>
    </w:p>
    <w:p>
      <w:pPr>
        <w:spacing w:after="0" w:line="273" w:lineRule="auto"/>
        <w:sectPr>
          <w:type w:val="continuous"/>
          <w:pgSz w:w="11910" w:h="16840"/>
          <w:pgMar w:top="520" w:bottom="280" w:left="800" w:right="800"/>
        </w:sectPr>
      </w:pPr>
    </w:p>
    <w:p>
      <w:pPr>
        <w:pStyle w:val="BodyText"/>
        <w:spacing w:line="273" w:lineRule="auto" w:before="19"/>
        <w:ind w:left="2884" w:right="146"/>
      </w:pPr>
      <w:r>
        <w:rPr/>
        <w:t>您或者被保险人可以变更保险金受益人并书面通知本公司。本公司收到变更受益人的书面通知后，在保险单或其他保险凭证上批注或附贴批单。</w:t>
      </w:r>
    </w:p>
    <w:p>
      <w:pPr>
        <w:pStyle w:val="BodyText"/>
        <w:spacing w:before="7"/>
        <w:ind w:left="2884"/>
      </w:pPr>
      <w:r>
        <w:rPr/>
        <w:t>您在指定和变更身故保险金受益人时，必须经过被保险人同意。</w:t>
      </w:r>
    </w:p>
    <w:p>
      <w:pPr>
        <w:pStyle w:val="BodyText"/>
        <w:spacing w:line="273" w:lineRule="auto" w:before="36"/>
        <w:ind w:left="2884" w:right="148"/>
      </w:pPr>
      <w:r>
        <w:rPr/>
        <w:t>被保险人身故后，有下列情形之一的，保险金作为被保险人的遗产，由本公司依照《中华人民共和国继承法》的规定履行给付保险金的义务：</w:t>
      </w:r>
    </w:p>
    <w:p>
      <w:pPr>
        <w:pStyle w:val="BodyText"/>
        <w:spacing w:line="273" w:lineRule="auto" w:before="7"/>
        <w:ind w:left="3387" w:right="263" w:hanging="504"/>
      </w:pPr>
      <w:r>
        <w:rPr/>
        <w:t>（1）没有指定身故保险金受益人，或者身故保险金受益人指定不明无法确定的；</w:t>
      </w:r>
    </w:p>
    <w:p>
      <w:pPr>
        <w:pStyle w:val="BodyText"/>
        <w:spacing w:before="7"/>
        <w:ind w:left="2884"/>
      </w:pPr>
      <w:r>
        <w:rPr/>
        <w:t>（2）身故保险金受益人先于被保险人身故，没有其他身故保险金受益人的；</w:t>
      </w:r>
    </w:p>
    <w:p>
      <w:pPr>
        <w:pStyle w:val="BodyText"/>
        <w:spacing w:line="273" w:lineRule="auto" w:before="36"/>
        <w:ind w:left="3387" w:right="263" w:hanging="504"/>
      </w:pPr>
      <w:r>
        <w:rPr/>
        <w:t>（3）身故保险金受益人依法丧失受益权或者放弃受益权，没有其他身故保险金受益人的。</w:t>
      </w:r>
    </w:p>
    <w:p>
      <w:pPr>
        <w:pStyle w:val="BodyText"/>
        <w:spacing w:line="273" w:lineRule="auto" w:before="7"/>
        <w:ind w:left="2884" w:right="146"/>
      </w:pPr>
      <w:r>
        <w:rPr/>
        <w:t>受益人与被保险人在同一事件中死亡，且不能确定身故先后顺序的，推定受益人身故在先。</w:t>
      </w:r>
    </w:p>
    <w:p>
      <w:pPr>
        <w:pStyle w:val="BodyText"/>
        <w:spacing w:line="273" w:lineRule="auto" w:before="7"/>
        <w:ind w:left="2884" w:right="103"/>
        <w:jc w:val="both"/>
      </w:pPr>
      <w:r>
        <w:rPr/>
        <w:t>除另有约定外，重大疾病保险金、白血病保险金的受益人均为被保险人本人。</w:t>
      </w:r>
      <w:r>
        <w:rPr>
          <w:spacing w:val="-10"/>
        </w:rPr>
        <w:t>受益人故意造成被保险人身故、伤残、疾病的，或者故意杀害被保险人未遂的， 该受益人丧失受益权。</w:t>
      </w:r>
    </w:p>
    <w:p>
      <w:pPr>
        <w:pStyle w:val="BodyText"/>
        <w:spacing w:before="11"/>
        <w:rPr>
          <w:sz w:val="17"/>
        </w:rPr>
      </w:pPr>
    </w:p>
    <w:p>
      <w:pPr>
        <w:pStyle w:val="ListParagraph"/>
        <w:numPr>
          <w:ilvl w:val="1"/>
          <w:numId w:val="3"/>
        </w:numPr>
        <w:tabs>
          <w:tab w:pos="953" w:val="left" w:leader="none"/>
          <w:tab w:pos="954" w:val="left" w:leader="none"/>
          <w:tab w:pos="2883" w:val="left" w:leader="none"/>
        </w:tabs>
        <w:spacing w:line="240" w:lineRule="auto" w:before="0" w:after="0"/>
        <w:ind w:left="953" w:right="0" w:hanging="852"/>
        <w:jc w:val="left"/>
        <w:rPr>
          <w:sz w:val="21"/>
        </w:rPr>
      </w:pPr>
      <w:r>
        <w:rPr>
          <w:b/>
          <w:sz w:val="21"/>
        </w:rPr>
        <w:t>保险金申请</w:t>
        <w:tab/>
      </w:r>
      <w:r>
        <w:rPr>
          <w:sz w:val="21"/>
        </w:rPr>
        <w:t>在申请保险金时，请按照下列方式办理：</w:t>
      </w:r>
    </w:p>
    <w:p>
      <w:pPr>
        <w:pStyle w:val="BodyText"/>
        <w:spacing w:before="1"/>
        <w:rPr>
          <w:sz w:val="20"/>
        </w:rPr>
      </w:pPr>
    </w:p>
    <w:p>
      <w:pPr>
        <w:pStyle w:val="ListParagraph"/>
        <w:numPr>
          <w:ilvl w:val="2"/>
          <w:numId w:val="3"/>
        </w:numPr>
        <w:tabs>
          <w:tab w:pos="952" w:val="left" w:leader="none"/>
          <w:tab w:pos="953" w:val="left" w:leader="none"/>
          <w:tab w:pos="2883" w:val="left" w:leader="none"/>
        </w:tabs>
        <w:spacing w:line="273" w:lineRule="auto" w:before="1" w:after="0"/>
        <w:ind w:left="2884" w:right="208" w:hanging="2783"/>
        <w:jc w:val="left"/>
        <w:rPr>
          <w:sz w:val="21"/>
        </w:rPr>
      </w:pPr>
      <w:r>
        <w:rPr>
          <w:b/>
          <w:sz w:val="21"/>
        </w:rPr>
        <w:t>身故保险金申请</w:t>
        <w:tab/>
      </w:r>
      <w:r>
        <w:rPr>
          <w:sz w:val="21"/>
        </w:rPr>
        <w:t>身故保险金受益人作为申请人填写保险金给付申请书</w:t>
      </w:r>
      <w:r>
        <w:rPr>
          <w:spacing w:val="-51"/>
          <w:sz w:val="21"/>
        </w:rPr>
        <w:t>，</w:t>
      </w:r>
      <w:r>
        <w:rPr>
          <w:sz w:val="21"/>
        </w:rPr>
        <w:t>并须提供下列证明和资料：</w:t>
      </w:r>
    </w:p>
    <w:p>
      <w:pPr>
        <w:pStyle w:val="BodyText"/>
        <w:spacing w:before="8"/>
        <w:ind w:left="2884"/>
      </w:pPr>
      <w:r>
        <w:rPr/>
        <w:t>（1）保险合同；</w:t>
      </w:r>
    </w:p>
    <w:p>
      <w:pPr>
        <w:spacing w:before="37"/>
        <w:ind w:left="2884" w:right="0" w:firstLine="0"/>
        <w:jc w:val="left"/>
        <w:rPr>
          <w:sz w:val="21"/>
        </w:rPr>
      </w:pPr>
      <w:r>
        <w:rPr>
          <w:sz w:val="21"/>
        </w:rPr>
        <w:t>（2）</w:t>
      </w:r>
      <w:r>
        <w:rPr>
          <w:spacing w:val="-1"/>
          <w:sz w:val="21"/>
        </w:rPr>
        <w:t>身故保险金受益人的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ind w:left="2883"/>
      </w:pPr>
      <w:r>
        <w:rPr/>
        <w:t>（3）被保险人的户籍注销证明；</w:t>
      </w:r>
    </w:p>
    <w:p>
      <w:pPr>
        <w:pStyle w:val="BodyText"/>
        <w:spacing w:line="273" w:lineRule="auto"/>
        <w:ind w:left="3387" w:right="263" w:hanging="504"/>
      </w:pPr>
      <w:r>
        <w:rPr/>
        <w:t>（4）国家卫生行政部门认定的医疗机构、公安部门或其他相关机构出具的被保险人的死亡证明；</w:t>
      </w:r>
    </w:p>
    <w:p>
      <w:pPr>
        <w:pStyle w:val="BodyText"/>
        <w:spacing w:before="7"/>
        <w:ind w:left="2883"/>
      </w:pPr>
      <w:r>
        <w:rPr/>
        <w:t>（5）如被保险人为宣告死亡，须提供法院出具的宣告死亡判决书；</w:t>
      </w:r>
    </w:p>
    <w:p>
      <w:pPr>
        <w:pStyle w:val="BodyText"/>
        <w:spacing w:before="36"/>
        <w:ind w:left="2883"/>
      </w:pPr>
      <w:r>
        <w:rPr/>
        <w:t>（6）所能提供的与确认保险事故的性质、原因等有关的其他证明和资料；</w:t>
      </w:r>
    </w:p>
    <w:p>
      <w:pPr>
        <w:pStyle w:val="BodyText"/>
        <w:spacing w:before="36"/>
        <w:ind w:left="2883"/>
      </w:pPr>
      <w:r>
        <w:rPr/>
        <w:t>（7）本公司需要的其他有关文件和资料。</w:t>
      </w:r>
    </w:p>
    <w:p>
      <w:pPr>
        <w:pStyle w:val="BodyText"/>
        <w:spacing w:before="36"/>
        <w:ind w:left="2883"/>
      </w:pPr>
      <w:r>
        <w:rPr/>
        <w:t>保险金作为被保险人遗产时，必须提供可证明合法继承权的相关权利文件。</w:t>
      </w:r>
    </w:p>
    <w:p>
      <w:pPr>
        <w:pStyle w:val="BodyText"/>
        <w:spacing w:before="5"/>
        <w:rPr>
          <w:sz w:val="17"/>
        </w:rPr>
      </w:pPr>
    </w:p>
    <w:p>
      <w:pPr>
        <w:spacing w:after="0"/>
        <w:rPr>
          <w:sz w:val="17"/>
        </w:rPr>
        <w:sectPr>
          <w:pgSz w:w="11910" w:h="16840"/>
          <w:pgMar w:top="1100" w:bottom="280" w:left="920" w:right="800"/>
        </w:sectPr>
      </w:pPr>
    </w:p>
    <w:p>
      <w:pPr>
        <w:pStyle w:val="Heading3"/>
        <w:numPr>
          <w:ilvl w:val="2"/>
          <w:numId w:val="3"/>
        </w:numPr>
        <w:tabs>
          <w:tab w:pos="953" w:val="left" w:leader="none"/>
          <w:tab w:pos="954" w:val="left" w:leader="none"/>
        </w:tabs>
        <w:spacing w:line="240" w:lineRule="auto" w:before="36" w:after="0"/>
        <w:ind w:left="953" w:right="0" w:hanging="852"/>
        <w:jc w:val="left"/>
      </w:pPr>
      <w:r>
        <w:rPr>
          <w:w w:val="95"/>
        </w:rPr>
        <w:t>重大疾病保险金/</w:t>
      </w:r>
    </w:p>
    <w:p>
      <w:pPr>
        <w:spacing w:before="37"/>
        <w:ind w:left="953" w:right="0" w:firstLine="0"/>
        <w:jc w:val="left"/>
        <w:rPr>
          <w:b/>
          <w:sz w:val="21"/>
        </w:rPr>
      </w:pPr>
      <w:r>
        <w:rPr>
          <w:b/>
          <w:w w:val="95"/>
          <w:sz w:val="21"/>
        </w:rPr>
        <w:t>白血病保险金申请</w:t>
      </w:r>
    </w:p>
    <w:p>
      <w:pPr>
        <w:pStyle w:val="BodyText"/>
        <w:spacing w:line="273" w:lineRule="auto" w:before="36"/>
        <w:ind w:left="101" w:right="263"/>
      </w:pPr>
      <w:r>
        <w:rPr/>
        <w:br w:type="column"/>
      </w:r>
      <w:r>
        <w:rPr/>
        <w:t>重大疾病保险金/白血病保险金受益人作为申请人填写保险金给付申请书，并须提供下列证明和资料：</w:t>
      </w:r>
    </w:p>
    <w:p>
      <w:pPr>
        <w:pStyle w:val="BodyText"/>
        <w:spacing w:before="8"/>
        <w:ind w:left="101"/>
      </w:pPr>
      <w:r>
        <w:rPr/>
        <w:t>（1）保险合同；</w:t>
      </w:r>
    </w:p>
    <w:p>
      <w:pPr>
        <w:spacing w:before="37"/>
        <w:ind w:left="101" w:right="0" w:firstLine="0"/>
        <w:jc w:val="left"/>
        <w:rPr>
          <w:sz w:val="21"/>
        </w:rPr>
      </w:pPr>
      <w:r>
        <w:rPr>
          <w:w w:val="95"/>
          <w:sz w:val="21"/>
        </w:rPr>
        <w:t>（2）受益人的</w:t>
      </w:r>
      <w:r>
        <w:rPr>
          <w:b/>
          <w:w w:val="95"/>
          <w:sz w:val="21"/>
        </w:rPr>
        <w:t>有效身份证明</w:t>
      </w:r>
      <w:r>
        <w:rPr>
          <w:w w:val="95"/>
          <w:sz w:val="21"/>
        </w:rPr>
        <w:t>；</w:t>
      </w:r>
    </w:p>
    <w:p>
      <w:pPr>
        <w:pStyle w:val="BodyText"/>
        <w:spacing w:line="273" w:lineRule="auto"/>
        <w:ind w:left="619"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8"/>
        <w:ind w:left="101"/>
      </w:pPr>
      <w:r>
        <w:rPr/>
        <w:t>（4）所能提供的与确认保险事故的性质、原因等有关的其他证明和资料；</w:t>
      </w:r>
    </w:p>
    <w:p>
      <w:pPr>
        <w:pStyle w:val="BodyText"/>
        <w:ind w:left="101"/>
      </w:pPr>
      <w:r>
        <w:rPr/>
        <w:t>（5）本公司需要的其他有关文件和资料。</w:t>
      </w:r>
    </w:p>
    <w:p>
      <w:pPr>
        <w:spacing w:after="0"/>
        <w:sectPr>
          <w:type w:val="continuous"/>
          <w:pgSz w:w="11910" w:h="16840"/>
          <w:pgMar w:top="520" w:bottom="280" w:left="920" w:right="800"/>
          <w:cols w:num="2" w:equalWidth="0">
            <w:col w:w="2641" w:space="142"/>
            <w:col w:w="7407"/>
          </w:cols>
        </w:sectPr>
      </w:pPr>
    </w:p>
    <w:p>
      <w:pPr>
        <w:pStyle w:val="BodyText"/>
        <w:spacing w:before="7"/>
        <w:rPr>
          <w:sz w:val="17"/>
        </w:rPr>
      </w:pPr>
    </w:p>
    <w:p>
      <w:pPr>
        <w:pStyle w:val="ListParagraph"/>
        <w:numPr>
          <w:ilvl w:val="2"/>
          <w:numId w:val="3"/>
        </w:numPr>
        <w:tabs>
          <w:tab w:pos="952" w:val="left" w:leader="none"/>
          <w:tab w:pos="953" w:val="left" w:leader="none"/>
          <w:tab w:pos="2883" w:val="left" w:leader="none"/>
        </w:tabs>
        <w:spacing w:line="273" w:lineRule="auto" w:before="35" w:after="0"/>
        <w:ind w:left="2883" w:right="263" w:hanging="2782"/>
        <w:jc w:val="left"/>
        <w:rPr>
          <w:sz w:val="21"/>
        </w:rPr>
      </w:pPr>
      <w:r>
        <w:rPr>
          <w:b/>
          <w:sz w:val="21"/>
        </w:rPr>
        <w:t>豁免保险费申请</w:t>
        <w:tab/>
      </w:r>
      <w:r>
        <w:rPr>
          <w:spacing w:val="-1"/>
          <w:sz w:val="21"/>
        </w:rPr>
        <w:t>1、</w:t>
      </w:r>
      <w:r>
        <w:rPr>
          <w:sz w:val="21"/>
        </w:rPr>
        <w:t>如果因投保人意外身故申请豁免保险费的，被保险人作为申请人填写保险金给付申请书，并须提供下列证明和资料：</w:t>
      </w:r>
    </w:p>
    <w:p>
      <w:pPr>
        <w:pStyle w:val="BodyText"/>
        <w:spacing w:before="7"/>
        <w:ind w:left="2883"/>
      </w:pPr>
      <w:r>
        <w:rPr/>
        <w:t>（1）保险合同；</w:t>
      </w:r>
    </w:p>
    <w:p>
      <w:pPr>
        <w:spacing w:before="37"/>
        <w:ind w:left="2883" w:right="0" w:firstLine="0"/>
        <w:jc w:val="left"/>
        <w:rPr>
          <w:sz w:val="21"/>
        </w:rPr>
      </w:pPr>
      <w:r>
        <w:rPr>
          <w:w w:val="95"/>
          <w:sz w:val="21"/>
        </w:rPr>
        <w:t>（2）申请人的</w:t>
      </w:r>
      <w:r>
        <w:rPr>
          <w:b/>
          <w:w w:val="95"/>
          <w:sz w:val="21"/>
        </w:rPr>
        <w:t>有效身份证明</w:t>
      </w:r>
      <w:r>
        <w:rPr>
          <w:w w:val="95"/>
          <w:sz w:val="21"/>
        </w:rPr>
        <w:t>；</w:t>
      </w:r>
    </w:p>
    <w:p>
      <w:pPr>
        <w:pStyle w:val="BodyText"/>
        <w:ind w:left="2883"/>
      </w:pPr>
      <w:r>
        <w:rPr/>
        <w:t>（3）投保人的户籍注销证明；</w:t>
      </w:r>
    </w:p>
    <w:p>
      <w:pPr>
        <w:pStyle w:val="BodyText"/>
        <w:spacing w:line="273" w:lineRule="auto"/>
        <w:ind w:left="3387" w:right="263" w:hanging="504"/>
      </w:pPr>
      <w:r>
        <w:rPr/>
        <w:t>（4）国家卫生行政部门认定的医疗机构、公安部门或其他相关机构出具的投保人的死亡证明；</w:t>
      </w:r>
    </w:p>
    <w:p>
      <w:pPr>
        <w:pStyle w:val="BodyText"/>
        <w:spacing w:before="8"/>
        <w:ind w:left="2883"/>
      </w:pPr>
      <w:r>
        <w:rPr/>
        <w:t>（5）如投保人为宣告死亡，须提供法院出具的宣告死亡判决书；</w:t>
      </w:r>
    </w:p>
    <w:p>
      <w:pPr>
        <w:spacing w:after="0"/>
        <w:sectPr>
          <w:type w:val="continuous"/>
          <w:pgSz w:w="11910" w:h="16840"/>
          <w:pgMar w:top="520" w:bottom="280" w:left="9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686" w:hRule="atLeast"/>
        </w:trPr>
        <w:tc>
          <w:tcPr>
            <w:tcW w:w="2648" w:type="dxa"/>
            <w:gridSpan w:val="2"/>
            <w:vMerge w:val="restart"/>
          </w:tcPr>
          <w:p>
            <w:pPr>
              <w:pStyle w:val="TableParagraph"/>
              <w:rPr>
                <w:rFonts w:ascii="Times New Roman"/>
                <w:sz w:val="20"/>
              </w:rPr>
            </w:pPr>
          </w:p>
        </w:tc>
        <w:tc>
          <w:tcPr>
            <w:tcW w:w="7443" w:type="dxa"/>
          </w:tcPr>
          <w:p>
            <w:pPr>
              <w:pStyle w:val="TableParagraph"/>
              <w:spacing w:line="210" w:lineRule="exact"/>
              <w:ind w:left="242"/>
              <w:rPr>
                <w:sz w:val="21"/>
              </w:rPr>
            </w:pPr>
            <w:r>
              <w:rPr>
                <w:sz w:val="21"/>
              </w:rPr>
              <w:t>（6）所能提供的与确认保险事故的性质、原因等有关的其他证明和资料；</w:t>
            </w:r>
          </w:p>
          <w:p>
            <w:pPr>
              <w:pStyle w:val="TableParagraph"/>
              <w:spacing w:before="37"/>
              <w:ind w:left="242"/>
              <w:rPr>
                <w:sz w:val="21"/>
              </w:rPr>
            </w:pPr>
            <w:r>
              <w:rPr>
                <w:sz w:val="21"/>
              </w:rPr>
              <w:t>（7）本公司需要的其他有关文件和资料。</w:t>
            </w:r>
          </w:p>
        </w:tc>
      </w:tr>
      <w:tr>
        <w:trPr>
          <w:trHeight w:val="2410" w:hRule="atLeast"/>
        </w:trPr>
        <w:tc>
          <w:tcPr>
            <w:tcW w:w="2648" w:type="dxa"/>
            <w:gridSpan w:val="2"/>
            <w:vMerge/>
            <w:tcBorders>
              <w:top w:val="nil"/>
            </w:tcBorders>
          </w:tcPr>
          <w:p>
            <w:pPr>
              <w:rPr>
                <w:sz w:val="2"/>
                <w:szCs w:val="2"/>
              </w:rPr>
            </w:pPr>
          </w:p>
        </w:tc>
        <w:tc>
          <w:tcPr>
            <w:tcW w:w="7443" w:type="dxa"/>
          </w:tcPr>
          <w:p>
            <w:pPr>
              <w:pStyle w:val="TableParagraph"/>
              <w:spacing w:line="273" w:lineRule="auto" w:before="99"/>
              <w:ind w:left="242" w:right="161"/>
              <w:rPr>
                <w:sz w:val="21"/>
              </w:rPr>
            </w:pPr>
            <w:r>
              <w:rPr>
                <w:sz w:val="21"/>
              </w:rPr>
              <w:t>2、如果因投保人意外</w:t>
            </w:r>
            <w:r>
              <w:rPr>
                <w:b/>
                <w:sz w:val="21"/>
              </w:rPr>
              <w:t>全残</w:t>
            </w:r>
            <w:r>
              <w:rPr>
                <w:sz w:val="21"/>
              </w:rPr>
              <w:t>申请豁免保险费的，投保人作为申请人填写保险金给付申请书，并须提供下列证明和资料：</w:t>
            </w:r>
          </w:p>
          <w:p>
            <w:pPr>
              <w:pStyle w:val="TableParagraph"/>
              <w:spacing w:before="7"/>
              <w:ind w:left="242"/>
              <w:rPr>
                <w:sz w:val="21"/>
              </w:rPr>
            </w:pPr>
            <w:r>
              <w:rPr>
                <w:sz w:val="21"/>
              </w:rPr>
              <w:t>（1）保险合同；</w:t>
            </w:r>
          </w:p>
          <w:p>
            <w:pPr>
              <w:pStyle w:val="TableParagraph"/>
              <w:spacing w:before="37"/>
              <w:ind w:left="242"/>
              <w:rPr>
                <w:sz w:val="21"/>
              </w:rPr>
            </w:pPr>
            <w:r>
              <w:rPr>
                <w:w w:val="95"/>
                <w:sz w:val="21"/>
              </w:rPr>
              <w:t>（2）申请人的</w:t>
            </w:r>
            <w:r>
              <w:rPr>
                <w:b/>
                <w:w w:val="95"/>
                <w:sz w:val="21"/>
              </w:rPr>
              <w:t>有效身份证明</w:t>
            </w:r>
            <w:r>
              <w:rPr>
                <w:w w:val="95"/>
                <w:sz w:val="21"/>
              </w:rPr>
              <w:t>；</w:t>
            </w:r>
          </w:p>
          <w:p>
            <w:pPr>
              <w:pStyle w:val="TableParagraph"/>
              <w:spacing w:before="37"/>
              <w:ind w:left="242"/>
              <w:rPr>
                <w:sz w:val="21"/>
              </w:rPr>
            </w:pPr>
            <w:r>
              <w:rPr>
                <w:sz w:val="21"/>
              </w:rPr>
              <w:t>（3）双方认可的医疗机构（或鉴定机构）出具的投保人残疾鉴定证明文件；</w:t>
            </w:r>
          </w:p>
          <w:p>
            <w:pPr>
              <w:pStyle w:val="TableParagraph"/>
              <w:spacing w:before="37"/>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tc>
      </w:tr>
      <w:tr>
        <w:trPr>
          <w:trHeight w:val="850" w:hRule="atLeast"/>
        </w:trPr>
        <w:tc>
          <w:tcPr>
            <w:tcW w:w="2648" w:type="dxa"/>
            <w:gridSpan w:val="2"/>
            <w:vMerge/>
            <w:tcBorders>
              <w:top w:val="nil"/>
            </w:tcBorders>
          </w:tcPr>
          <w:p>
            <w:pPr>
              <w:rPr>
                <w:sz w:val="2"/>
                <w:szCs w:val="2"/>
              </w:rPr>
            </w:pPr>
          </w:p>
        </w:tc>
        <w:tc>
          <w:tcPr>
            <w:tcW w:w="7443" w:type="dxa"/>
          </w:tcPr>
          <w:p>
            <w:pPr>
              <w:pStyle w:val="TableParagraph"/>
              <w:spacing w:line="273" w:lineRule="auto" w:before="99"/>
              <w:ind w:left="242" w:right="44"/>
              <w:rPr>
                <w:sz w:val="21"/>
              </w:rPr>
            </w:pPr>
            <w:r>
              <w:rPr>
                <w:sz w:val="21"/>
              </w:rPr>
              <w:t>以上保险金申请的证明和资料不完整的，本公司将及时一次性通知申请人补充提供有关的证明和资料。</w:t>
            </w:r>
          </w:p>
        </w:tc>
      </w:tr>
      <w:tr>
        <w:trPr>
          <w:trHeight w:val="874" w:hRule="atLeast"/>
        </w:trPr>
        <w:tc>
          <w:tcPr>
            <w:tcW w:w="712" w:type="dxa"/>
          </w:tcPr>
          <w:p>
            <w:pPr>
              <w:pStyle w:val="TableParagraph"/>
              <w:spacing w:before="99"/>
              <w:ind w:left="107"/>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2"/>
                <w:sz w:val="21"/>
              </w:rPr>
              <w:t>受益人向本公司请求给付本附加合同保险金的诉讼时效期间为 </w:t>
            </w:r>
            <w:r>
              <w:rPr>
                <w:sz w:val="21"/>
              </w:rPr>
              <w:t>2</w:t>
            </w:r>
            <w:r>
              <w:rPr>
                <w:spacing w:val="-17"/>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8" w:hRule="atLeast"/>
        </w:trPr>
        <w:tc>
          <w:tcPr>
            <w:tcW w:w="712" w:type="dxa"/>
            <w:tcBorders>
              <w:top w:val="single" w:sz="8" w:space="0" w:color="000000"/>
            </w:tcBorders>
          </w:tcPr>
          <w:p>
            <w:pPr>
              <w:pStyle w:val="TableParagraph"/>
              <w:spacing w:before="10"/>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10"/>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10"/>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（见主合同释义）交纳当期的保险费。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如果您在宽限期结束之后仍未交纳保险费，除另有约定外，本附加合同自宽限期满的次日零时起效力中止。</w:t>
            </w:r>
          </w:p>
        </w:tc>
      </w:tr>
      <w:tr>
        <w:trPr>
          <w:trHeight w:val="1812"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line="273" w:lineRule="auto" w:before="99"/>
              <w:ind w:left="242" w:right="108"/>
              <w:jc w:val="both"/>
              <w:rPr>
                <w:rFonts w:ascii="黑体" w:eastAsia="黑体" w:hint="eastAsia"/>
                <w:sz w:val="21"/>
              </w:rPr>
            </w:pPr>
            <w:r>
              <w:rPr>
                <w:rFonts w:ascii="黑体" w:eastAsia="黑体" w:hint="eastAsia"/>
                <w:spacing w:val="-3"/>
                <w:sz w:val="21"/>
              </w:rPr>
              <w:t>本公司保留提高或降低保险费率的权利，但须报送国务院保险监督管理机构备</w:t>
            </w:r>
            <w:r>
              <w:rPr>
                <w:rFonts w:ascii="黑体" w:eastAsia="黑体" w:hint="eastAsia"/>
                <w:spacing w:val="-8"/>
                <w:sz w:val="21"/>
              </w:rPr>
              <w:t>案。保险费率的调整适用于相同产品项下的所有被保险人或同一投保年龄和性别的所有被保险人。</w:t>
            </w:r>
          </w:p>
          <w:p>
            <w:pPr>
              <w:pStyle w:val="TableParagraph"/>
              <w:spacing w:line="273" w:lineRule="auto" w:before="7"/>
              <w:ind w:left="242" w:right="108"/>
              <w:jc w:val="both"/>
              <w:rPr>
                <w:rFonts w:ascii="黑体" w:eastAsia="黑体" w:hint="eastAsia"/>
                <w:sz w:val="21"/>
              </w:rPr>
            </w:pPr>
            <w:r>
              <w:rPr>
                <w:rFonts w:ascii="黑体" w:eastAsia="黑体" w:hint="eastAsia"/>
                <w:spacing w:val="-4"/>
                <w:sz w:val="21"/>
              </w:rPr>
              <w:t>本公司调整保险费率后，您须按调整后的保险费率交纳续期保险费，调整前您已经交纳的保险费不受影响。</w:t>
            </w:r>
          </w:p>
        </w:tc>
      </w:tr>
      <w:tr>
        <w:trPr>
          <w:trHeight w:val="712" w:hRule="atLeast"/>
        </w:trPr>
        <w:tc>
          <w:tcPr>
            <w:tcW w:w="712" w:type="dxa"/>
            <w:tcBorders>
              <w:bottom w:val="single" w:sz="8" w:space="0" w:color="000000"/>
            </w:tcBorders>
          </w:tcPr>
          <w:p>
            <w:pPr>
              <w:pStyle w:val="TableParagraph"/>
              <w:spacing w:before="151"/>
              <w:ind w:left="108"/>
              <w:rPr>
                <w:rFonts w:ascii="Arial" w:hAnsi="Arial"/>
                <w:b/>
                <w:sz w:val="40"/>
              </w:rPr>
            </w:pPr>
            <w:r>
              <w:rPr>
                <w:rFonts w:ascii="Arial" w:hAnsi="Arial"/>
                <w:b/>
                <w:w w:val="118"/>
                <w:sz w:val="40"/>
              </w:rPr>
              <w:t></w:t>
            </w:r>
          </w:p>
        </w:tc>
        <w:tc>
          <w:tcPr>
            <w:tcW w:w="1936" w:type="dxa"/>
            <w:tcBorders>
              <w:bottom w:val="single" w:sz="8" w:space="0" w:color="000000"/>
            </w:tcBorders>
          </w:tcPr>
          <w:p>
            <w:pPr>
              <w:pStyle w:val="TableParagraph"/>
              <w:spacing w:before="206"/>
              <w:ind w:left="248"/>
              <w:rPr>
                <w:b/>
                <w:sz w:val="24"/>
              </w:rPr>
            </w:pPr>
            <w:r>
              <w:rPr>
                <w:b/>
                <w:w w:val="95"/>
                <w:sz w:val="24"/>
              </w:rPr>
              <w:t>现金价值权益</w:t>
            </w:r>
          </w:p>
        </w:tc>
        <w:tc>
          <w:tcPr>
            <w:tcW w:w="7443" w:type="dxa"/>
            <w:tcBorders>
              <w:bottom w:val="single" w:sz="8" w:space="0" w:color="000000"/>
            </w:tcBorders>
          </w:tcPr>
          <w:p>
            <w:pPr>
              <w:pStyle w:val="TableParagraph"/>
              <w:rPr>
                <w:rFonts w:ascii="Times New Roman"/>
                <w:sz w:val="20"/>
              </w:rPr>
            </w:pPr>
          </w:p>
        </w:tc>
      </w:tr>
      <w:tr>
        <w:trPr>
          <w:trHeight w:val="467" w:hRule="atLeast"/>
        </w:trPr>
        <w:tc>
          <w:tcPr>
            <w:tcW w:w="712"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5.1</w:t>
            </w:r>
          </w:p>
        </w:tc>
        <w:tc>
          <w:tcPr>
            <w:tcW w:w="1936" w:type="dxa"/>
            <w:tcBorders>
              <w:top w:val="single" w:sz="8" w:space="0" w:color="000000"/>
            </w:tcBorders>
          </w:tcPr>
          <w:p>
            <w:pPr>
              <w:pStyle w:val="TableParagraph"/>
              <w:spacing w:before="9"/>
              <w:rPr>
                <w:sz w:val="14"/>
              </w:rPr>
            </w:pPr>
          </w:p>
          <w:p>
            <w:pPr>
              <w:pStyle w:val="TableParagraph"/>
              <w:spacing w:line="255" w:lineRule="exact"/>
              <w:ind w:left="247"/>
              <w:rPr>
                <w:b/>
                <w:sz w:val="21"/>
              </w:rPr>
            </w:pPr>
            <w:r>
              <w:rPr>
                <w:b/>
                <w:w w:val="95"/>
                <w:sz w:val="21"/>
              </w:rPr>
              <w:t>现金价值</w:t>
            </w:r>
          </w:p>
        </w:tc>
        <w:tc>
          <w:tcPr>
            <w:tcW w:w="7443" w:type="dxa"/>
            <w:tcBorders>
              <w:top w:val="single" w:sz="8" w:space="0" w:color="000000"/>
            </w:tcBorders>
          </w:tcPr>
          <w:p>
            <w:pPr>
              <w:pStyle w:val="TableParagraph"/>
              <w:spacing w:before="9"/>
              <w:rPr>
                <w:sz w:val="14"/>
              </w:rPr>
            </w:pPr>
          </w:p>
          <w:p>
            <w:pPr>
              <w:pStyle w:val="TableParagraph"/>
              <w:spacing w:line="255" w:lineRule="exact"/>
              <w:ind w:left="242"/>
              <w:rPr>
                <w:sz w:val="21"/>
              </w:rPr>
            </w:pPr>
            <w:r>
              <w:rPr>
                <w:sz w:val="21"/>
              </w:rPr>
              <w:t>本附加合同的现金价值会在保险单或批注上载明。</w:t>
            </w:r>
          </w:p>
        </w:tc>
      </w:tr>
    </w:tbl>
    <w:p>
      <w:pPr>
        <w:pStyle w:val="BodyText"/>
        <w:spacing w:before="9"/>
      </w:pPr>
    </w:p>
    <w:p>
      <w:pPr>
        <w:pStyle w:val="Heading2"/>
        <w:tabs>
          <w:tab w:pos="1073" w:val="left" w:leader="none"/>
        </w:tabs>
      </w:pPr>
      <w:r>
        <w:rPr/>
        <w:pict>
          <v:line style="position:absolute;mso-position-horizontal-relative:page;mso-position-vertical-relative:paragraph;z-index:1168;mso-wrap-distance-left:0;mso-wrap-distance-right:0" from="45.66pt,31.630053pt" to="550.14pt,31.630053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4"/>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spacing w:after="0" w:line="273" w:lineRule="auto"/>
        <w:jc w:val="left"/>
        <w:rPr>
          <w:sz w:val="21"/>
        </w:rPr>
        <w:sectPr>
          <w:pgSz w:w="11910" w:h="16840"/>
          <w:pgMar w:top="1180" w:bottom="280" w:left="800" w:right="800"/>
        </w:sectPr>
      </w:pPr>
    </w:p>
    <w:p>
      <w:pPr>
        <w:pStyle w:val="ListParagraph"/>
        <w:numPr>
          <w:ilvl w:val="1"/>
          <w:numId w:val="4"/>
        </w:numPr>
        <w:tabs>
          <w:tab w:pos="1072" w:val="left" w:leader="none"/>
          <w:tab w:pos="1073" w:val="left" w:leader="none"/>
          <w:tab w:pos="3003" w:val="left" w:leader="none"/>
        </w:tabs>
        <w:spacing w:line="273" w:lineRule="auto" w:before="19" w:after="0"/>
        <w:ind w:left="3003" w:right="206" w:hanging="2782"/>
        <w:jc w:val="left"/>
        <w:rPr>
          <w:sz w:val="21"/>
        </w:rPr>
      </w:pPr>
      <w:r>
        <w:rPr>
          <w:b/>
          <w:sz w:val="21"/>
        </w:rPr>
        <w:t>效力恢复</w:t>
        <w:tab/>
      </w:r>
      <w:r>
        <w:rPr>
          <w:sz w:val="21"/>
        </w:rPr>
        <w:t>本附加合同效力中止后</w:t>
      </w:r>
      <w:r>
        <w:rPr>
          <w:spacing w:val="-53"/>
          <w:sz w:val="21"/>
        </w:rPr>
        <w:t> </w:t>
      </w:r>
      <w:r>
        <w:rPr>
          <w:sz w:val="21"/>
        </w:rPr>
        <w:t>2</w:t>
      </w:r>
      <w:r>
        <w:rPr>
          <w:spacing w:val="-52"/>
          <w:sz w:val="21"/>
        </w:rPr>
        <w:t> </w:t>
      </w:r>
      <w:r>
        <w:rPr>
          <w:sz w:val="21"/>
        </w:rPr>
        <w:t>年内</w:t>
      </w:r>
      <w:r>
        <w:rPr>
          <w:spacing w:val="-51"/>
          <w:sz w:val="21"/>
        </w:rPr>
        <w:t>，</w:t>
      </w:r>
      <w:r>
        <w:rPr>
          <w:sz w:val="21"/>
        </w:rPr>
        <w:t>您在申请主合同效力恢复的同时可以申请恢复本附加合同效力</w:t>
      </w:r>
      <w:r>
        <w:rPr>
          <w:spacing w:val="-17"/>
          <w:sz w:val="21"/>
        </w:rPr>
        <w:t>。</w:t>
      </w:r>
      <w:r>
        <w:rPr>
          <w:sz w:val="21"/>
        </w:rPr>
        <w:t>经您与本公司协商并达成协议</w:t>
      </w:r>
      <w:r>
        <w:rPr>
          <w:spacing w:val="-17"/>
          <w:sz w:val="21"/>
        </w:rPr>
        <w:t>，</w:t>
      </w:r>
      <w:r>
        <w:rPr>
          <w:sz w:val="21"/>
        </w:rPr>
        <w:t>在您补交保险费及</w:t>
      </w:r>
      <w:r>
        <w:rPr>
          <w:b/>
          <w:sz w:val="21"/>
        </w:rPr>
        <w:t>利</w:t>
      </w:r>
      <w:r>
        <w:rPr>
          <w:b/>
          <w:spacing w:val="-16"/>
          <w:sz w:val="21"/>
        </w:rPr>
        <w:t>息</w:t>
      </w:r>
      <w:r>
        <w:rPr>
          <w:sz w:val="21"/>
        </w:rPr>
        <w:t>（见主合同释义</w:t>
      </w:r>
      <w:r>
        <w:rPr>
          <w:spacing w:val="-106"/>
          <w:sz w:val="21"/>
        </w:rPr>
        <w:t>）</w:t>
      </w:r>
      <w:r>
        <w:rPr>
          <w:sz w:val="21"/>
        </w:rPr>
        <w:t>、清偿其他各项欠款及</w:t>
      </w:r>
      <w:r>
        <w:rPr>
          <w:b/>
          <w:sz w:val="21"/>
        </w:rPr>
        <w:t>利息</w:t>
      </w:r>
      <w:r>
        <w:rPr>
          <w:sz w:val="21"/>
        </w:rPr>
        <w:t>后次日的零时起，合同效力恢复。 自本附加合同效力中止之日起满</w:t>
      </w:r>
      <w:r>
        <w:rPr>
          <w:spacing w:val="-53"/>
          <w:sz w:val="21"/>
        </w:rPr>
        <w:t> </w:t>
      </w:r>
      <w:r>
        <w:rPr>
          <w:sz w:val="21"/>
        </w:rPr>
        <w:t>2</w:t>
      </w:r>
      <w:r>
        <w:rPr>
          <w:spacing w:val="-53"/>
          <w:sz w:val="21"/>
        </w:rPr>
        <w:t> </w:t>
      </w:r>
      <w:r>
        <w:rPr>
          <w:sz w:val="21"/>
        </w:rPr>
        <w:t>年您和本公司未达成协议的</w:t>
      </w:r>
      <w:r>
        <w:rPr>
          <w:spacing w:val="-51"/>
          <w:sz w:val="21"/>
        </w:rPr>
        <w:t>，</w:t>
      </w:r>
      <w:r>
        <w:rPr>
          <w:sz w:val="21"/>
        </w:rPr>
        <w:t>本公司有权解除合同。本公司解除合同的，按照合同解除条款处理。</w:t>
      </w:r>
    </w:p>
    <w:p>
      <w:pPr>
        <w:pStyle w:val="BodyText"/>
        <w:spacing w:before="1"/>
        <w:rPr>
          <w:sz w:val="19"/>
        </w:rPr>
      </w:pPr>
    </w:p>
    <w:p>
      <w:pPr>
        <w:tabs>
          <w:tab w:pos="1073" w:val="left" w:leader="none"/>
        </w:tabs>
        <w:spacing w:before="61"/>
        <w:ind w:left="221" w:right="0" w:firstLine="0"/>
        <w:jc w:val="left"/>
        <w:rPr>
          <w:b/>
          <w:sz w:val="24"/>
        </w:rPr>
      </w:pPr>
      <w:r>
        <w:rPr/>
        <w:pict>
          <v:line style="position:absolute;mso-position-horizontal-relative:page;mso-position-vertical-relative:paragraph;z-index:1192;mso-wrap-distance-left:0;mso-wrap-distance-right:0" from="45.66pt,31.630037pt" to="550.14pt,31.630037pt" stroked="true" strokeweight=".96002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100" w:bottom="280" w:left="800" w:right="800"/>
        </w:sectPr>
      </w:pPr>
    </w:p>
    <w:p>
      <w:pPr>
        <w:pStyle w:val="Heading3"/>
        <w:tabs>
          <w:tab w:pos="1073" w:val="left" w:leader="none"/>
        </w:tabs>
        <w:spacing w:line="273" w:lineRule="auto" w:before="35"/>
        <w:ind w:left="1073" w:hanging="852"/>
      </w:pPr>
      <w:r>
        <w:rPr/>
        <w:t>7.1</w:t>
        <w:tab/>
      </w:r>
      <w:r>
        <w:rPr>
          <w:w w:val="95"/>
        </w:rPr>
        <w:t>您解除合同的手续 及风险</w:t>
      </w:r>
    </w:p>
    <w:p>
      <w:pPr>
        <w:pStyle w:val="BodyText"/>
        <w:spacing w:line="273" w:lineRule="auto" w:before="35"/>
        <w:ind w:left="203" w:right="146"/>
      </w:pPr>
      <w:r>
        <w:rPr/>
        <w:br w:type="column"/>
      </w:r>
      <w:r>
        <w:rPr/>
        <w:t>如您在犹豫期后申请解除本附加合同，请填写解除合同申请书并向本公司提供下列资料：</w:t>
      </w:r>
    </w:p>
    <w:p>
      <w:pPr>
        <w:pStyle w:val="BodyText"/>
        <w:spacing w:before="7"/>
        <w:ind w:left="203"/>
      </w:pPr>
      <w:r>
        <w:rPr/>
        <w:t>（1）保险合同；</w:t>
      </w:r>
    </w:p>
    <w:p>
      <w:pPr>
        <w:spacing w:before="37"/>
        <w:ind w:left="203" w:right="0" w:firstLine="0"/>
        <w:jc w:val="left"/>
        <w:rPr>
          <w:sz w:val="21"/>
        </w:rPr>
      </w:pPr>
      <w:r>
        <w:rPr>
          <w:w w:val="95"/>
          <w:sz w:val="21"/>
        </w:rPr>
        <w:t>（2）您的</w:t>
      </w:r>
      <w:r>
        <w:rPr>
          <w:b/>
          <w:w w:val="95"/>
          <w:sz w:val="21"/>
        </w:rPr>
        <w:t>有效身份证明</w:t>
      </w:r>
      <w:r>
        <w:rPr>
          <w:w w:val="95"/>
          <w:sz w:val="21"/>
        </w:rPr>
        <w:t>。</w:t>
      </w:r>
    </w:p>
    <w:p>
      <w:pPr>
        <w:pStyle w:val="BodyText"/>
        <w:spacing w:line="273" w:lineRule="auto"/>
        <w:ind w:left="203" w:right="146"/>
      </w:pPr>
      <w:r>
        <w:rPr/>
        <w:t>自本公司收到解除合同申请书之日起，本附加合同终止。本公司自收到解除合同申请书之日起 30 日内向您退还本附加合同的现金价值。</w:t>
      </w:r>
    </w:p>
    <w:p>
      <w:pPr>
        <w:pStyle w:val="BodyText"/>
        <w:spacing w:before="7"/>
        <w:ind w:left="203"/>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4"/>
        <w:rPr>
          <w:rFonts w:ascii="黑体"/>
        </w:rPr>
      </w:pPr>
    </w:p>
    <w:p>
      <w:pPr>
        <w:pStyle w:val="Heading2"/>
        <w:tabs>
          <w:tab w:pos="1073" w:val="left" w:leader="none"/>
        </w:tabs>
      </w:pPr>
      <w:r>
        <w:rPr/>
        <w:pict>
          <v:line style="position:absolute;mso-position-horizontal-relative:page;mso-position-vertical-relative:paragraph;z-index:1216;mso-wrap-distance-left:0;mso-wrap-distance-right:0" from="45.66pt,31.630095pt" to="550.14pt,31.630095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1"/>
        <w:rPr>
          <w:b/>
          <w:sz w:val="9"/>
        </w:rPr>
      </w:pPr>
    </w:p>
    <w:p>
      <w:pPr>
        <w:pStyle w:val="ListParagraph"/>
        <w:numPr>
          <w:ilvl w:val="1"/>
          <w:numId w:val="5"/>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line="273" w:lineRule="auto" w:before="7"/>
        <w:ind w:left="3003" w:right="149"/>
      </w:pPr>
      <w:r>
        <w:rPr/>
        <w:t>因主合同解除、终止或变更为减额交清保险时导致本附加合同终止的，本公司向您退还本附加合同的现金价值。</w:t>
      </w:r>
    </w:p>
    <w:p>
      <w:pPr>
        <w:pStyle w:val="BodyText"/>
        <w:spacing w:before="12"/>
        <w:rPr>
          <w:sz w:val="17"/>
        </w:rPr>
      </w:pPr>
    </w:p>
    <w:p>
      <w:pPr>
        <w:pStyle w:val="ListParagraph"/>
        <w:numPr>
          <w:ilvl w:val="1"/>
          <w:numId w:val="5"/>
        </w:numPr>
        <w:tabs>
          <w:tab w:pos="1073" w:val="left" w:leader="none"/>
          <w:tab w:pos="1074" w:val="left" w:leader="none"/>
          <w:tab w:pos="3003" w:val="left" w:leader="none"/>
        </w:tabs>
        <w:spacing w:line="240" w:lineRule="auto" w:before="0" w:after="0"/>
        <w:ind w:left="1073" w:right="0" w:hanging="852"/>
        <w:jc w:val="left"/>
        <w:rPr>
          <w:sz w:val="21"/>
        </w:rPr>
      </w:pPr>
      <w:r>
        <w:rPr>
          <w:b/>
          <w:sz w:val="21"/>
        </w:rPr>
        <w:t>适用主合同条款</w:t>
        <w:tab/>
      </w:r>
      <w:r>
        <w:rPr>
          <w:sz w:val="21"/>
        </w:rPr>
        <w:t>主合同订立的下列各项条款适用于本附加合同：</w:t>
      </w:r>
    </w:p>
    <w:p>
      <w:pPr>
        <w:pStyle w:val="BodyText"/>
        <w:ind w:left="3003"/>
      </w:pPr>
      <w:r>
        <w:rPr/>
        <w:t>（1）合同成立与生效</w:t>
      </w:r>
    </w:p>
    <w:p>
      <w:pPr>
        <w:pStyle w:val="BodyText"/>
        <w:ind w:left="3003"/>
      </w:pPr>
      <w:r>
        <w:rPr/>
        <w:t>（2）犹豫期</w:t>
      </w:r>
    </w:p>
    <w:p>
      <w:pPr>
        <w:pStyle w:val="BodyText"/>
        <w:ind w:left="3003"/>
      </w:pPr>
      <w:r>
        <w:rPr/>
        <w:t>（3）保险事故通知</w:t>
      </w:r>
    </w:p>
    <w:p>
      <w:pPr>
        <w:pStyle w:val="BodyText"/>
        <w:ind w:left="3003"/>
      </w:pPr>
      <w:r>
        <w:rPr/>
        <w:t>（4）保险金给付</w:t>
      </w:r>
    </w:p>
    <w:p>
      <w:pPr>
        <w:pStyle w:val="BodyText"/>
        <w:ind w:left="3003"/>
      </w:pPr>
      <w:r>
        <w:rPr/>
        <w:t>（5）保单贷款</w:t>
      </w:r>
    </w:p>
    <w:p>
      <w:pPr>
        <w:pStyle w:val="BodyText"/>
        <w:ind w:left="3003"/>
      </w:pPr>
      <w:r>
        <w:rPr/>
        <w:t>（6）保险费自动垫交</w:t>
      </w:r>
    </w:p>
    <w:p>
      <w:pPr>
        <w:pStyle w:val="BodyText"/>
        <w:ind w:left="3003"/>
      </w:pPr>
      <w:r>
        <w:rPr/>
        <w:t>（7）明确说明与如实告知</w:t>
      </w:r>
    </w:p>
    <w:p>
      <w:pPr>
        <w:pStyle w:val="BodyText"/>
        <w:ind w:left="3003"/>
      </w:pPr>
      <w:r>
        <w:rPr/>
        <w:t>（8）本公司合同解除权的限制</w:t>
      </w:r>
    </w:p>
    <w:p>
      <w:pPr>
        <w:pStyle w:val="BodyText"/>
        <w:ind w:left="3003"/>
      </w:pPr>
      <w:r>
        <w:rPr/>
        <w:t>（9）年龄性别错误</w:t>
      </w:r>
    </w:p>
    <w:p>
      <w:pPr>
        <w:pStyle w:val="BodyText"/>
        <w:ind w:left="3003"/>
      </w:pPr>
      <w:r>
        <w:rPr/>
        <w:t>（10）未还款项</w:t>
      </w:r>
    </w:p>
    <w:p>
      <w:pPr>
        <w:pStyle w:val="BodyText"/>
        <w:ind w:left="3003"/>
      </w:pPr>
      <w:r>
        <w:rPr/>
        <w:t>（11）合同内容变更</w:t>
      </w:r>
    </w:p>
    <w:p>
      <w:pPr>
        <w:pStyle w:val="BodyText"/>
        <w:ind w:left="3003"/>
      </w:pPr>
      <w:r>
        <w:rPr/>
        <w:t>（12）争议处理</w:t>
      </w:r>
    </w:p>
    <w:p>
      <w:pPr>
        <w:pStyle w:val="BodyText"/>
        <w:ind w:left="3003"/>
      </w:pPr>
      <w:r>
        <w:rPr/>
        <w:t>如果本附加合同的条款与主合同不一致，则以本附加合同的条款为准。</w:t>
      </w:r>
    </w:p>
    <w:p>
      <w:pPr>
        <w:pStyle w:val="BodyText"/>
        <w:spacing w:before="5"/>
      </w:pPr>
    </w:p>
    <w:p>
      <w:pPr>
        <w:tabs>
          <w:tab w:pos="1073" w:val="left" w:leader="none"/>
        </w:tabs>
        <w:spacing w:before="61"/>
        <w:ind w:left="221" w:right="0" w:firstLine="0"/>
        <w:jc w:val="left"/>
        <w:rPr>
          <w:b/>
          <w:sz w:val="24"/>
        </w:rPr>
      </w:pPr>
      <w:r>
        <w:rPr/>
        <w:pict>
          <v:line style="position:absolute;mso-position-horizontal-relative:page;mso-position-vertical-relative:paragraph;z-index:1240;mso-wrap-distance-left:0;mso-wrap-distance-right:0" from="45.66pt,31.630077pt" to="550.14pt,31.630077pt" stroked="true" strokeweight=".95999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6"/>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并且提供二十四小时有合格专科医生及护士驻院的医疗和护理等服务。</w:t>
      </w:r>
    </w:p>
    <w:p>
      <w:pPr>
        <w:spacing w:after="0" w:line="273" w:lineRule="auto"/>
        <w:jc w:val="left"/>
        <w:rPr>
          <w:sz w:val="21"/>
        </w:rPr>
        <w:sectPr>
          <w:type w:val="continuous"/>
          <w:pgSz w:w="11910" w:h="16840"/>
          <w:pgMar w:top="520" w:bottom="280" w:left="800" w:right="800"/>
        </w:sectPr>
      </w:pPr>
    </w:p>
    <w:p>
      <w:pPr>
        <w:pStyle w:val="ListParagraph"/>
        <w:numPr>
          <w:ilvl w:val="1"/>
          <w:numId w:val="6"/>
        </w:numPr>
        <w:tabs>
          <w:tab w:pos="953" w:val="left" w:leader="none"/>
          <w:tab w:pos="954" w:val="left" w:leader="none"/>
          <w:tab w:pos="2883" w:val="left" w:leader="none"/>
        </w:tabs>
        <w:spacing w:line="240" w:lineRule="auto" w:before="19" w:after="0"/>
        <w:ind w:left="953" w:right="0" w:hanging="852"/>
        <w:jc w:val="left"/>
        <w:rPr>
          <w:sz w:val="21"/>
        </w:rPr>
      </w:pPr>
      <w:r>
        <w:rPr>
          <w:b/>
          <w:sz w:val="21"/>
        </w:rPr>
        <w:t>专科医生</w:t>
        <w:tab/>
      </w:r>
      <w:r>
        <w:rPr>
          <w:sz w:val="21"/>
        </w:rPr>
        <w:t>专科医生应当同时满足以下四项资格条件：</w:t>
      </w:r>
    </w:p>
    <w:p>
      <w:pPr>
        <w:pStyle w:val="BodyText"/>
        <w:ind w:left="2884"/>
      </w:pPr>
      <w:r>
        <w:rPr/>
        <w:t>（1）具有有效的中华人民共和国《医师资格证书》；</w:t>
      </w:r>
    </w:p>
    <w:p>
      <w:pPr>
        <w:pStyle w:val="BodyText"/>
        <w:spacing w:line="273" w:lineRule="auto"/>
        <w:ind w:left="3409" w:right="207" w:hanging="526"/>
      </w:pPr>
      <w:r>
        <w:rPr>
          <w:spacing w:val="-6"/>
        </w:rPr>
        <w:t>（2）</w:t>
      </w:r>
      <w:r>
        <w:rPr>
          <w:spacing w:val="-9"/>
        </w:rPr>
        <w:t>具有有效的中华人民共和国《医师执业证书》，并按期到相关部门登记注册；</w:t>
      </w:r>
    </w:p>
    <w:p>
      <w:pPr>
        <w:pStyle w:val="BodyText"/>
        <w:spacing w:line="273" w:lineRule="auto" w:before="7"/>
        <w:ind w:left="3409" w:right="263" w:hanging="526"/>
      </w:pPr>
      <w:r>
        <w:rPr/>
        <w:t>（3）具有有效的中华人民共和国主治医师或主治医师以上职称的《医师职称证书》；</w:t>
      </w:r>
    </w:p>
    <w:p>
      <w:pPr>
        <w:pStyle w:val="BodyText"/>
        <w:spacing w:line="273" w:lineRule="auto" w:before="7"/>
        <w:ind w:left="2884" w:right="893"/>
      </w:pPr>
      <w:r>
        <w:rPr/>
        <w:t>（4）在二级或二级以上公立医院的相应科室从事临床工作三年以上。专科医生不包括被保险人本人及其直系亲属。</w:t>
      </w:r>
    </w:p>
    <w:p>
      <w:pPr>
        <w:pStyle w:val="BodyText"/>
        <w:spacing w:before="12"/>
        <w:rPr>
          <w:sz w:val="17"/>
        </w:rPr>
      </w:pPr>
    </w:p>
    <w:p>
      <w:pPr>
        <w:pStyle w:val="ListParagraph"/>
        <w:numPr>
          <w:ilvl w:val="1"/>
          <w:numId w:val="6"/>
        </w:numPr>
        <w:tabs>
          <w:tab w:pos="953" w:val="left" w:leader="none"/>
          <w:tab w:pos="954" w:val="left" w:leader="none"/>
          <w:tab w:pos="2883" w:val="left" w:leader="none"/>
        </w:tabs>
        <w:spacing w:line="240" w:lineRule="auto" w:before="0" w:after="0"/>
        <w:ind w:left="953" w:right="0" w:hanging="852"/>
        <w:jc w:val="left"/>
        <w:rPr>
          <w:sz w:val="21"/>
        </w:rPr>
      </w:pPr>
      <w:r>
        <w:rPr>
          <w:b/>
          <w:sz w:val="21"/>
        </w:rPr>
        <w:t>意外伤害事故</w:t>
        <w:tab/>
      </w:r>
      <w:r>
        <w:rPr>
          <w:sz w:val="21"/>
        </w:rPr>
        <w:t>指外来的</w:t>
      </w:r>
      <w:r>
        <w:rPr>
          <w:spacing w:val="-17"/>
          <w:sz w:val="21"/>
        </w:rPr>
        <w:t>、</w:t>
      </w:r>
      <w:r>
        <w:rPr>
          <w:sz w:val="21"/>
        </w:rPr>
        <w:t>突发的、</w:t>
      </w:r>
      <w:r>
        <w:rPr>
          <w:spacing w:val="-17"/>
          <w:sz w:val="21"/>
        </w:rPr>
        <w:t> </w:t>
      </w:r>
      <w:r>
        <w:rPr>
          <w:sz w:val="21"/>
        </w:rPr>
        <w:t>非本意的</w:t>
      </w:r>
      <w:r>
        <w:rPr>
          <w:spacing w:val="-17"/>
          <w:sz w:val="21"/>
        </w:rPr>
        <w:t>、</w:t>
      </w:r>
      <w:r>
        <w:rPr>
          <w:sz w:val="21"/>
        </w:rPr>
        <w:t>非疾病的直接致使身体受到伤害的客观事件。</w:t>
      </w:r>
    </w:p>
    <w:p>
      <w:pPr>
        <w:pStyle w:val="BodyText"/>
        <w:spacing w:before="2"/>
        <w:rPr>
          <w:sz w:val="20"/>
        </w:rPr>
      </w:pPr>
    </w:p>
    <w:p>
      <w:pPr>
        <w:pStyle w:val="ListParagraph"/>
        <w:numPr>
          <w:ilvl w:val="1"/>
          <w:numId w:val="6"/>
        </w:numPr>
        <w:tabs>
          <w:tab w:pos="954" w:val="left" w:leader="none"/>
          <w:tab w:pos="2883" w:val="left" w:leader="none"/>
        </w:tabs>
        <w:spacing w:line="273" w:lineRule="auto" w:before="0" w:after="0"/>
        <w:ind w:left="2884" w:right="208" w:hanging="2783"/>
        <w:jc w:val="both"/>
        <w:rPr>
          <w:sz w:val="21"/>
        </w:rPr>
      </w:pPr>
      <w:r>
        <w:rPr>
          <w:b/>
          <w:sz w:val="21"/>
        </w:rPr>
        <w:t>白血病</w:t>
        <w:tab/>
      </w:r>
      <w:r>
        <w:rPr>
          <w:sz w:val="21"/>
        </w:rPr>
        <w:t>是一种造血系统的恶性肿瘤</w:t>
      </w:r>
      <w:r>
        <w:rPr>
          <w:spacing w:val="-51"/>
          <w:sz w:val="21"/>
        </w:rPr>
        <w:t>，</w:t>
      </w:r>
      <w:r>
        <w:rPr>
          <w:sz w:val="21"/>
        </w:rPr>
        <w:t>其主要表现为白血病细胞在骨髓或其他造血组织中进行性</w:t>
      </w:r>
      <w:r>
        <w:rPr>
          <w:spacing w:val="-17"/>
          <w:sz w:val="21"/>
        </w:rPr>
        <w:t>、</w:t>
      </w:r>
      <w:r>
        <w:rPr>
          <w:sz w:val="21"/>
        </w:rPr>
        <w:t>失控制的异常增生</w:t>
      </w:r>
      <w:r>
        <w:rPr>
          <w:spacing w:val="-17"/>
          <w:sz w:val="21"/>
        </w:rPr>
        <w:t>，</w:t>
      </w:r>
      <w:r>
        <w:rPr>
          <w:sz w:val="21"/>
        </w:rPr>
        <w:t>并浸润至其他组织与器官</w:t>
      </w:r>
      <w:r>
        <w:rPr>
          <w:spacing w:val="-17"/>
          <w:sz w:val="21"/>
        </w:rPr>
        <w:t>，</w:t>
      </w:r>
      <w:r>
        <w:rPr>
          <w:sz w:val="21"/>
        </w:rPr>
        <w:t>使正常血细胞生成减少，周围白细胞有质和量的变化，产生相应临床表现。</w:t>
      </w:r>
    </w:p>
    <w:p>
      <w:pPr>
        <w:pStyle w:val="BodyText"/>
        <w:spacing w:line="273" w:lineRule="auto" w:before="7"/>
        <w:ind w:left="2884" w:right="368"/>
      </w:pPr>
      <w:r>
        <w:rPr/>
        <w:t>被保险人所患白血病必须根据骨髓的活组织检查和周围血象由专科医生（儿科、血液科或肿瘤科）确诊。</w:t>
      </w:r>
    </w:p>
    <w:p>
      <w:pPr>
        <w:pStyle w:val="BodyText"/>
        <w:spacing w:before="7"/>
        <w:ind w:left="2884"/>
      </w:pPr>
      <w:r>
        <w:rPr/>
        <w:t>下列白血病除外：相当于 Binet 分期方案 A 期程度的慢性淋巴细胞白血病。</w:t>
      </w:r>
    </w:p>
    <w:p>
      <w:pPr>
        <w:pStyle w:val="BodyText"/>
        <w:spacing w:before="2"/>
        <w:rPr>
          <w:sz w:val="20"/>
        </w:rPr>
      </w:pPr>
    </w:p>
    <w:p>
      <w:pPr>
        <w:pStyle w:val="ListParagraph"/>
        <w:numPr>
          <w:ilvl w:val="1"/>
          <w:numId w:val="6"/>
        </w:numPr>
        <w:tabs>
          <w:tab w:pos="953" w:val="left" w:leader="none"/>
          <w:tab w:pos="954" w:val="left" w:leader="none"/>
          <w:tab w:pos="2883" w:val="left" w:leader="none"/>
        </w:tabs>
        <w:spacing w:line="240" w:lineRule="auto" w:before="0" w:after="0"/>
        <w:ind w:left="953" w:right="0" w:hanging="852"/>
        <w:jc w:val="left"/>
        <w:rPr>
          <w:sz w:val="21"/>
        </w:rPr>
      </w:pPr>
      <w:r>
        <w:rPr>
          <w:b/>
          <w:sz w:val="21"/>
        </w:rPr>
        <w:t>全残</w:t>
        <w:tab/>
      </w:r>
      <w:r>
        <w:rPr>
          <w:sz w:val="21"/>
        </w:rPr>
        <w:t>指具有下列情况之一项或多项者：</w:t>
      </w:r>
    </w:p>
    <w:p>
      <w:pPr>
        <w:pStyle w:val="BodyText"/>
        <w:ind w:left="2884"/>
      </w:pPr>
      <w:r>
        <w:rPr/>
        <w:t>（</w:t>
      </w:r>
      <w:r>
        <w:rPr>
          <w:rFonts w:ascii="Times New Roman" w:eastAsia="Times New Roman"/>
        </w:rPr>
        <w:t>1</w:t>
      </w:r>
      <w:r>
        <w:rPr/>
        <w:t>）</w:t>
      </w:r>
      <w:r>
        <w:rPr>
          <w:spacing w:val="-12"/>
        </w:rPr>
        <w:t>双目永久完全失明的；</w:t>
      </w:r>
      <w:r>
        <w:rPr/>
        <w:t>（</w:t>
      </w:r>
      <w:r>
        <w:rPr>
          <w:spacing w:val="-27"/>
        </w:rPr>
        <w:t>注 </w:t>
      </w:r>
      <w:r>
        <w:rPr>
          <w:rFonts w:ascii="Times New Roman" w:eastAsia="Times New Roman"/>
        </w:rPr>
        <w:t>1</w:t>
      </w:r>
      <w:r>
        <w:rPr/>
        <w:t>）</w:t>
      </w:r>
    </w:p>
    <w:p>
      <w:pPr>
        <w:pStyle w:val="BodyText"/>
        <w:spacing w:before="21"/>
        <w:ind w:left="2884"/>
      </w:pPr>
      <w:r>
        <w:rPr/>
        <w:t>（</w:t>
      </w:r>
      <w:r>
        <w:rPr>
          <w:rFonts w:ascii="Times New Roman" w:eastAsia="Times New Roman"/>
        </w:rPr>
        <w:t>2</w:t>
      </w:r>
      <w:r>
        <w:rPr/>
        <w:t>）两上肢腕关节以上或两下肢踝关节以上缺失的；</w:t>
      </w:r>
    </w:p>
    <w:p>
      <w:pPr>
        <w:pStyle w:val="BodyText"/>
        <w:spacing w:before="21"/>
        <w:ind w:left="2884"/>
      </w:pPr>
      <w:r>
        <w:rPr/>
        <w:t>（</w:t>
      </w:r>
      <w:r>
        <w:rPr>
          <w:rFonts w:ascii="Times New Roman" w:eastAsia="Times New Roman"/>
        </w:rPr>
        <w:t>3</w:t>
      </w:r>
      <w:r>
        <w:rPr/>
        <w:t>）一上肢腕关节以上及一下肢踝关节以上缺失的；</w:t>
      </w:r>
    </w:p>
    <w:p>
      <w:pPr>
        <w:pStyle w:val="BodyText"/>
        <w:spacing w:before="21"/>
        <w:ind w:left="2884"/>
      </w:pPr>
      <w:r>
        <w:rPr/>
        <w:t>（</w:t>
      </w:r>
      <w:r>
        <w:rPr>
          <w:rFonts w:ascii="Times New Roman" w:eastAsia="Times New Roman"/>
        </w:rPr>
        <w:t>4</w:t>
      </w:r>
      <w:r>
        <w:rPr/>
        <w:t>）一目永久完全失明及一上肢腕关节以上缺失的；</w:t>
      </w:r>
    </w:p>
    <w:p>
      <w:pPr>
        <w:pStyle w:val="BodyText"/>
        <w:spacing w:before="21"/>
        <w:ind w:left="2884"/>
      </w:pPr>
      <w:r>
        <w:rPr/>
        <w:t>（</w:t>
      </w:r>
      <w:r>
        <w:rPr>
          <w:rFonts w:ascii="Times New Roman" w:eastAsia="Times New Roman"/>
        </w:rPr>
        <w:t>5</w:t>
      </w:r>
      <w:r>
        <w:rPr/>
        <w:t>）一目永久完全失明及一下肢踝关节以上缺失的；</w:t>
      </w:r>
    </w:p>
    <w:p>
      <w:pPr>
        <w:pStyle w:val="BodyText"/>
        <w:spacing w:before="21"/>
        <w:ind w:left="2884"/>
      </w:pPr>
      <w:r>
        <w:rPr/>
        <w:t>（</w:t>
      </w:r>
      <w:r>
        <w:rPr>
          <w:rFonts w:ascii="Times New Roman" w:eastAsia="Times New Roman"/>
        </w:rPr>
        <w:t>6</w:t>
      </w:r>
      <w:r>
        <w:rPr/>
        <w:t>）</w:t>
      </w:r>
      <w:r>
        <w:rPr>
          <w:spacing w:val="-9"/>
        </w:rPr>
        <w:t>四肢关节机能永久完全丧失的；</w:t>
      </w:r>
      <w:r>
        <w:rPr/>
        <w:t>（</w:t>
      </w:r>
      <w:r>
        <w:rPr>
          <w:spacing w:val="-27"/>
        </w:rPr>
        <w:t>注 </w:t>
      </w:r>
      <w:r>
        <w:rPr>
          <w:rFonts w:ascii="Times New Roman" w:eastAsia="Times New Roman"/>
        </w:rPr>
        <w:t>2</w:t>
      </w:r>
      <w:r>
        <w:rPr/>
        <w:t>）</w:t>
      </w:r>
    </w:p>
    <w:p>
      <w:pPr>
        <w:pStyle w:val="BodyText"/>
        <w:spacing w:before="21"/>
        <w:ind w:left="2884"/>
      </w:pPr>
      <w:r>
        <w:rPr/>
        <w:t>（</w:t>
      </w:r>
      <w:r>
        <w:rPr>
          <w:rFonts w:ascii="Times New Roman" w:eastAsia="Times New Roman"/>
        </w:rPr>
        <w:t>7</w:t>
      </w:r>
      <w:r>
        <w:rPr/>
        <w:t>）</w:t>
      </w:r>
      <w:r>
        <w:rPr>
          <w:spacing w:val="-8"/>
        </w:rPr>
        <w:t>咀嚼、吞咽机能永久完全丧失的；</w:t>
      </w:r>
      <w:r>
        <w:rPr/>
        <w:t>（</w:t>
      </w:r>
      <w:r>
        <w:rPr>
          <w:spacing w:val="-27"/>
        </w:rPr>
        <w:t>注 </w:t>
      </w:r>
      <w:r>
        <w:rPr>
          <w:rFonts w:ascii="Times New Roman" w:eastAsia="Times New Roman"/>
        </w:rPr>
        <w:t>3</w:t>
      </w:r>
      <w:r>
        <w:rPr/>
        <w:t>）</w:t>
      </w:r>
    </w:p>
    <w:p>
      <w:pPr>
        <w:pStyle w:val="BodyText"/>
        <w:spacing w:line="256" w:lineRule="auto" w:before="21"/>
        <w:ind w:left="3388" w:right="263" w:hanging="504"/>
      </w:pPr>
      <w:r>
        <w:rPr/>
        <w:t>（</w:t>
      </w:r>
      <w:r>
        <w:rPr>
          <w:rFonts w:ascii="Times New Roman" w:eastAsia="Times New Roman"/>
        </w:rPr>
        <w:t>8</w:t>
      </w:r>
      <w:r>
        <w:rPr/>
        <w:t>）中枢神经系统机能或胸、腹部脏器机能极度障碍，终身不能从事任何工作，为维持生命必要的日常生活活动，全须他人扶助的。（注 </w:t>
      </w:r>
      <w:r>
        <w:rPr>
          <w:rFonts w:ascii="Times New Roman" w:eastAsia="Times New Roman"/>
        </w:rPr>
        <w:t>4</w:t>
      </w:r>
      <w:r>
        <w:rPr/>
        <w:t>）</w:t>
      </w:r>
    </w:p>
    <w:p>
      <w:pPr>
        <w:pStyle w:val="BodyText"/>
        <w:spacing w:before="5"/>
        <w:ind w:left="2884"/>
      </w:pPr>
      <w:r>
        <w:rPr/>
        <w:t>注：</w:t>
      </w:r>
    </w:p>
    <w:p>
      <w:pPr>
        <w:pStyle w:val="BodyText"/>
        <w:spacing w:line="256" w:lineRule="auto"/>
        <w:ind w:left="3388" w:right="263" w:hanging="504"/>
        <w:jc w:val="both"/>
      </w:pPr>
      <w:r>
        <w:rPr/>
        <w:t>（</w:t>
      </w:r>
      <w:r>
        <w:rPr>
          <w:rFonts w:ascii="Times New Roman" w:eastAsia="Times New Roman"/>
        </w:rPr>
        <w:t>1</w:t>
      </w:r>
      <w:r>
        <w:rPr/>
        <w:t>）失明包括眼球缺失或摘除，或不能辨别明暗，或仅能辨别眼前手动者， </w:t>
      </w:r>
      <w:r>
        <w:rPr>
          <w:spacing w:val="-4"/>
        </w:rPr>
        <w:t>最佳矫正视力低于国际标准视力表 </w:t>
      </w:r>
      <w:r>
        <w:rPr>
          <w:rFonts w:ascii="Times New Roman" w:eastAsia="Times New Roman"/>
        </w:rPr>
        <w:t>0.02</w:t>
      </w:r>
      <w:r>
        <w:rPr>
          <w:spacing w:val="-7"/>
        </w:rPr>
        <w:t>，或视野半径小于 </w:t>
      </w:r>
      <w:r>
        <w:rPr>
          <w:rFonts w:ascii="Times New Roman" w:eastAsia="Times New Roman"/>
        </w:rPr>
        <w:t>5 </w:t>
      </w:r>
      <w:r>
        <w:rPr/>
        <w:t>度，并由本公司认可的眼科医师出具医疗诊断证明。</w:t>
      </w:r>
    </w:p>
    <w:p>
      <w:pPr>
        <w:pStyle w:val="BodyText"/>
        <w:spacing w:line="256" w:lineRule="auto" w:before="22"/>
        <w:ind w:left="3388" w:right="263" w:hanging="504"/>
        <w:jc w:val="both"/>
      </w:pPr>
      <w:r>
        <w:rPr/>
        <w:t>（</w:t>
      </w:r>
      <w:r>
        <w:rPr>
          <w:rFonts w:ascii="Times New Roman" w:eastAsia="Times New Roman"/>
        </w:rPr>
        <w:t>2</w:t>
      </w:r>
      <w:r>
        <w:rPr/>
        <w:t>）关节机能的丧失是指关节永久完全僵硬、或麻痹、或关节不能随意识活动。</w:t>
      </w:r>
    </w:p>
    <w:p>
      <w:pPr>
        <w:pStyle w:val="BodyText"/>
        <w:spacing w:line="256" w:lineRule="auto" w:before="22"/>
        <w:ind w:left="3388" w:right="51" w:hanging="504"/>
      </w:pPr>
      <w:r>
        <w:rPr/>
        <w:t>（</w:t>
      </w:r>
      <w:r>
        <w:rPr>
          <w:rFonts w:ascii="Times New Roman" w:eastAsia="Times New Roman"/>
        </w:rPr>
        <w:t>3</w:t>
      </w:r>
      <w:r>
        <w:rPr/>
        <w:t>）咀嚼、吞咽机能的丧失是指由于牙齿以外的原因引起的器质或功能障碍， 以致不能作咀嚼、吞咽运动，除流质食物外不能摄取或吞咽的状态。</w:t>
      </w:r>
    </w:p>
    <w:p>
      <w:pPr>
        <w:pStyle w:val="BodyText"/>
        <w:spacing w:line="264" w:lineRule="auto" w:before="22"/>
        <w:ind w:left="3388" w:right="263" w:hanging="504"/>
        <w:jc w:val="both"/>
      </w:pPr>
      <w:r>
        <w:rPr/>
        <w:t>（</w:t>
      </w:r>
      <w:r>
        <w:rPr>
          <w:rFonts w:ascii="Times New Roman" w:eastAsia="Times New Roman"/>
        </w:rPr>
        <w:t>4</w:t>
      </w:r>
      <w:r>
        <w:rPr/>
        <w:t>）为维持生命必要之日常生活活动，全需他人扶助是指食物摄取、大小便始末、穿脱衣服、起居、步行、入浴等，皆不能自己为之，需要他人帮助。</w:t>
      </w:r>
    </w:p>
    <w:p>
      <w:pPr>
        <w:pStyle w:val="BodyText"/>
        <w:spacing w:line="273" w:lineRule="auto" w:before="16"/>
        <w:ind w:left="2884" w:right="146"/>
      </w:pPr>
      <w:r>
        <w:rPr/>
        <w:t>永久完全丧失是指自以上情况发生之日起经过一百八十天的治疗后，机能仍然完全丧失，但眼球摘除等明显无法恢复之情况，不在此限。</w:t>
      </w:r>
    </w:p>
    <w:p>
      <w:pPr>
        <w:pStyle w:val="BodyText"/>
        <w:spacing w:before="10"/>
        <w:rPr>
          <w:sz w:val="14"/>
        </w:rPr>
      </w:pPr>
    </w:p>
    <w:p>
      <w:pPr>
        <w:spacing w:after="0"/>
        <w:rPr>
          <w:sz w:val="14"/>
        </w:rPr>
        <w:sectPr>
          <w:pgSz w:w="11910" w:h="16840"/>
          <w:pgMar w:top="1100" w:bottom="280" w:left="920" w:right="800"/>
        </w:sectPr>
      </w:pPr>
    </w:p>
    <w:p>
      <w:pPr>
        <w:pStyle w:val="Heading3"/>
        <w:numPr>
          <w:ilvl w:val="1"/>
          <w:numId w:val="6"/>
        </w:numPr>
        <w:tabs>
          <w:tab w:pos="953" w:val="left" w:leader="none"/>
          <w:tab w:pos="954" w:val="left" w:leader="none"/>
        </w:tabs>
        <w:spacing w:line="273" w:lineRule="auto" w:before="42" w:after="0"/>
        <w:ind w:left="953" w:right="0" w:hanging="852"/>
        <w:jc w:val="left"/>
      </w:pPr>
      <w:r>
        <w:rPr/>
        <w:t>感染艾滋病病毒或</w:t>
      </w:r>
      <w:r>
        <w:rPr>
          <w:w w:val="95"/>
        </w:rPr>
        <w:t>患艾滋病</w:t>
      </w:r>
    </w:p>
    <w:p>
      <w:pPr>
        <w:pStyle w:val="BodyText"/>
        <w:spacing w:line="256" w:lineRule="auto" w:before="42"/>
        <w:ind w:left="101"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4"/>
        <w:ind w:left="101"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641" w:space="142"/>
            <w:col w:w="7407"/>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878"/>
        <w:gridCol w:w="7367"/>
      </w:tblGrid>
      <w:tr>
        <w:trPr>
          <w:trHeight w:val="686" w:hRule="atLeast"/>
        </w:trPr>
        <w:tc>
          <w:tcPr>
            <w:tcW w:w="833" w:type="dxa"/>
          </w:tcPr>
          <w:p>
            <w:pPr>
              <w:pStyle w:val="TableParagraph"/>
              <w:spacing w:line="210" w:lineRule="exact"/>
              <w:ind w:left="50"/>
              <w:rPr>
                <w:b/>
                <w:sz w:val="21"/>
              </w:rPr>
            </w:pPr>
            <w:r>
              <w:rPr>
                <w:b/>
                <w:sz w:val="21"/>
              </w:rPr>
              <w:t>9.7</w:t>
            </w:r>
          </w:p>
        </w:tc>
        <w:tc>
          <w:tcPr>
            <w:tcW w:w="1878" w:type="dxa"/>
          </w:tcPr>
          <w:p>
            <w:pPr>
              <w:pStyle w:val="TableParagraph"/>
              <w:spacing w:line="210" w:lineRule="exact"/>
              <w:ind w:left="69"/>
              <w:rPr>
                <w:b/>
                <w:sz w:val="21"/>
              </w:rPr>
            </w:pPr>
            <w:r>
              <w:rPr>
                <w:b/>
                <w:w w:val="95"/>
                <w:sz w:val="21"/>
              </w:rPr>
              <w:t>遗传性疾病</w:t>
            </w:r>
          </w:p>
        </w:tc>
        <w:tc>
          <w:tcPr>
            <w:tcW w:w="7367" w:type="dxa"/>
          </w:tcPr>
          <w:p>
            <w:pPr>
              <w:pStyle w:val="TableParagraph"/>
              <w:spacing w:line="210" w:lineRule="exact"/>
              <w:ind w:left="121"/>
              <w:rPr>
                <w:sz w:val="21"/>
              </w:rPr>
            </w:pPr>
            <w:r>
              <w:rPr>
                <w:sz w:val="21"/>
              </w:rPr>
              <w:t>指生殖细胞或受精卵的遗传物质（染色体和基因）发生突变或畸变所引起的疾</w:t>
            </w:r>
          </w:p>
          <w:p>
            <w:pPr>
              <w:pStyle w:val="TableParagraph"/>
              <w:spacing w:before="37"/>
              <w:ind w:left="121"/>
              <w:rPr>
                <w:sz w:val="21"/>
              </w:rPr>
            </w:pPr>
            <w:r>
              <w:rPr>
                <w:sz w:val="21"/>
              </w:rPr>
              <w:t>病，通常具有由亲代传至后代的垂直传递的特征。</w:t>
            </w:r>
          </w:p>
        </w:tc>
      </w:tr>
      <w:tr>
        <w:trPr>
          <w:trHeight w:val="1162" w:hRule="atLeast"/>
        </w:trPr>
        <w:tc>
          <w:tcPr>
            <w:tcW w:w="833" w:type="dxa"/>
          </w:tcPr>
          <w:p>
            <w:pPr>
              <w:pStyle w:val="TableParagraph"/>
              <w:spacing w:before="99"/>
              <w:ind w:left="50"/>
              <w:rPr>
                <w:b/>
                <w:sz w:val="21"/>
              </w:rPr>
            </w:pPr>
            <w:r>
              <w:rPr>
                <w:b/>
                <w:sz w:val="21"/>
              </w:rPr>
              <w:t>9.8</w:t>
            </w:r>
          </w:p>
        </w:tc>
        <w:tc>
          <w:tcPr>
            <w:tcW w:w="1878" w:type="dxa"/>
          </w:tcPr>
          <w:p>
            <w:pPr>
              <w:pStyle w:val="TableParagraph"/>
              <w:spacing w:line="273" w:lineRule="auto" w:before="99"/>
              <w:ind w:left="69" w:right="119"/>
              <w:rPr>
                <w:b/>
                <w:sz w:val="21"/>
              </w:rPr>
            </w:pPr>
            <w:r>
              <w:rPr>
                <w:b/>
                <w:sz w:val="21"/>
              </w:rPr>
              <w:t>先天性畸形、变形</w:t>
            </w:r>
            <w:r>
              <w:rPr>
                <w:b/>
                <w:w w:val="95"/>
                <w:sz w:val="21"/>
              </w:rPr>
              <w:t>或染色体异常</w:t>
            </w:r>
          </w:p>
        </w:tc>
        <w:tc>
          <w:tcPr>
            <w:tcW w:w="7367" w:type="dxa"/>
          </w:tcPr>
          <w:p>
            <w:pPr>
              <w:pStyle w:val="TableParagraph"/>
              <w:spacing w:line="273" w:lineRule="auto" w:before="99"/>
              <w:ind w:left="121" w:right="48"/>
              <w:rPr>
                <w:sz w:val="21"/>
              </w:rPr>
            </w:pPr>
            <w:r>
              <w:rPr>
                <w:spacing w:val="-4"/>
                <w:sz w:val="21"/>
              </w:rPr>
              <w:t>指被保险人出生时就具有的畸形、变形或染色体异常。先天性畸形、变形和染</w:t>
            </w:r>
            <w:r>
              <w:rPr>
                <w:spacing w:val="-6"/>
                <w:sz w:val="21"/>
              </w:rPr>
              <w:t>色体异常依照世界卫生组织《疾病和有关健康问题的国际统计分类</w:t>
            </w:r>
            <w:r>
              <w:rPr>
                <w:spacing w:val="-130"/>
                <w:sz w:val="21"/>
              </w:rPr>
              <w:t>》</w:t>
            </w:r>
            <w:r>
              <w:rPr>
                <w:sz w:val="21"/>
              </w:rPr>
              <w:t>（ICD-10） 确定。</w:t>
            </w:r>
          </w:p>
        </w:tc>
      </w:tr>
      <w:tr>
        <w:trPr>
          <w:trHeight w:val="850" w:hRule="atLeast"/>
        </w:trPr>
        <w:tc>
          <w:tcPr>
            <w:tcW w:w="833" w:type="dxa"/>
          </w:tcPr>
          <w:p>
            <w:pPr>
              <w:pStyle w:val="TableParagraph"/>
              <w:spacing w:before="99"/>
              <w:ind w:left="50"/>
              <w:rPr>
                <w:b/>
                <w:sz w:val="21"/>
              </w:rPr>
            </w:pPr>
            <w:r>
              <w:rPr>
                <w:b/>
                <w:sz w:val="21"/>
              </w:rPr>
              <w:t>9.9</w:t>
            </w:r>
          </w:p>
        </w:tc>
        <w:tc>
          <w:tcPr>
            <w:tcW w:w="1878" w:type="dxa"/>
          </w:tcPr>
          <w:p>
            <w:pPr>
              <w:pStyle w:val="TableParagraph"/>
              <w:spacing w:before="99"/>
              <w:ind w:left="69"/>
              <w:rPr>
                <w:b/>
                <w:sz w:val="21"/>
              </w:rPr>
            </w:pPr>
            <w:r>
              <w:rPr>
                <w:b/>
                <w:sz w:val="21"/>
              </w:rPr>
              <w:t>医疗事故</w:t>
            </w:r>
          </w:p>
        </w:tc>
        <w:tc>
          <w:tcPr>
            <w:tcW w:w="7367" w:type="dxa"/>
          </w:tcPr>
          <w:p>
            <w:pPr>
              <w:pStyle w:val="TableParagraph"/>
              <w:spacing w:line="273" w:lineRule="auto" w:before="99"/>
              <w:ind w:left="121" w:right="103"/>
              <w:rPr>
                <w:sz w:val="21"/>
              </w:rPr>
            </w:pPr>
            <w:r>
              <w:rPr>
                <w:sz w:val="21"/>
              </w:rPr>
              <w:t>指医疗机构及其医务人员在医疗活动中，违反医疗卫生管理法律、行政法规、部门规章和诊疗护理规范、常规，过失造成患者人身损害的事故。</w:t>
            </w:r>
          </w:p>
        </w:tc>
      </w:tr>
      <w:tr>
        <w:trPr>
          <w:trHeight w:val="851" w:hRule="atLeast"/>
        </w:trPr>
        <w:tc>
          <w:tcPr>
            <w:tcW w:w="833" w:type="dxa"/>
          </w:tcPr>
          <w:p>
            <w:pPr>
              <w:pStyle w:val="TableParagraph"/>
              <w:spacing w:before="99"/>
              <w:ind w:left="50"/>
              <w:rPr>
                <w:b/>
                <w:sz w:val="21"/>
              </w:rPr>
            </w:pPr>
            <w:r>
              <w:rPr>
                <w:b/>
                <w:sz w:val="21"/>
              </w:rPr>
              <w:t>9.10</w:t>
            </w:r>
          </w:p>
        </w:tc>
        <w:tc>
          <w:tcPr>
            <w:tcW w:w="1878" w:type="dxa"/>
          </w:tcPr>
          <w:p>
            <w:pPr>
              <w:pStyle w:val="TableParagraph"/>
              <w:spacing w:before="99"/>
              <w:ind w:left="69"/>
              <w:rPr>
                <w:b/>
                <w:sz w:val="21"/>
              </w:rPr>
            </w:pPr>
            <w:r>
              <w:rPr>
                <w:b/>
                <w:sz w:val="21"/>
              </w:rPr>
              <w:t>非处方药</w:t>
            </w:r>
          </w:p>
        </w:tc>
        <w:tc>
          <w:tcPr>
            <w:tcW w:w="7367" w:type="dxa"/>
          </w:tcPr>
          <w:p>
            <w:pPr>
              <w:pStyle w:val="TableParagraph"/>
              <w:spacing w:line="273" w:lineRule="auto" w:before="99"/>
              <w:ind w:left="121" w:right="89"/>
              <w:rPr>
                <w:sz w:val="21"/>
              </w:rPr>
            </w:pPr>
            <w:r>
              <w:rPr>
                <w:sz w:val="21"/>
              </w:rPr>
              <w:t>指在使用药品当时，由国务院药品监督管理部门公布的，不需要凭执业医师和执业助理医师处方，消费者可以自行判断、购买和使用的药品。</w:t>
            </w:r>
          </w:p>
        </w:tc>
      </w:tr>
      <w:tr>
        <w:trPr>
          <w:trHeight w:val="539" w:hRule="atLeast"/>
        </w:trPr>
        <w:tc>
          <w:tcPr>
            <w:tcW w:w="833" w:type="dxa"/>
          </w:tcPr>
          <w:p>
            <w:pPr>
              <w:pStyle w:val="TableParagraph"/>
              <w:spacing w:before="100"/>
              <w:ind w:left="50"/>
              <w:rPr>
                <w:b/>
                <w:sz w:val="21"/>
              </w:rPr>
            </w:pPr>
            <w:r>
              <w:rPr>
                <w:b/>
                <w:sz w:val="21"/>
              </w:rPr>
              <w:t>9.11</w:t>
            </w:r>
          </w:p>
        </w:tc>
        <w:tc>
          <w:tcPr>
            <w:tcW w:w="1878" w:type="dxa"/>
          </w:tcPr>
          <w:p>
            <w:pPr>
              <w:pStyle w:val="TableParagraph"/>
              <w:spacing w:before="100"/>
              <w:ind w:left="69"/>
              <w:rPr>
                <w:b/>
                <w:sz w:val="21"/>
              </w:rPr>
            </w:pPr>
            <w:r>
              <w:rPr>
                <w:b/>
                <w:w w:val="95"/>
                <w:sz w:val="21"/>
              </w:rPr>
              <w:t>潜水</w:t>
            </w:r>
          </w:p>
        </w:tc>
        <w:tc>
          <w:tcPr>
            <w:tcW w:w="7367" w:type="dxa"/>
          </w:tcPr>
          <w:p>
            <w:pPr>
              <w:pStyle w:val="TableParagraph"/>
              <w:spacing w:before="100"/>
              <w:ind w:left="121"/>
              <w:rPr>
                <w:sz w:val="21"/>
              </w:rPr>
            </w:pPr>
            <w:r>
              <w:rPr>
                <w:sz w:val="21"/>
              </w:rPr>
              <w:t>指使用辅助呼吸器材在江、河、湖、海、水库、运河等水域进行的水下运动。</w:t>
            </w:r>
          </w:p>
        </w:tc>
      </w:tr>
      <w:tr>
        <w:trPr>
          <w:trHeight w:val="538" w:hRule="atLeast"/>
        </w:trPr>
        <w:tc>
          <w:tcPr>
            <w:tcW w:w="833" w:type="dxa"/>
          </w:tcPr>
          <w:p>
            <w:pPr>
              <w:pStyle w:val="TableParagraph"/>
              <w:spacing w:before="99"/>
              <w:ind w:left="50"/>
              <w:rPr>
                <w:b/>
                <w:sz w:val="21"/>
              </w:rPr>
            </w:pPr>
            <w:r>
              <w:rPr>
                <w:b/>
                <w:sz w:val="21"/>
              </w:rPr>
              <w:t>9.12</w:t>
            </w:r>
          </w:p>
        </w:tc>
        <w:tc>
          <w:tcPr>
            <w:tcW w:w="1878" w:type="dxa"/>
          </w:tcPr>
          <w:p>
            <w:pPr>
              <w:pStyle w:val="TableParagraph"/>
              <w:spacing w:before="99"/>
              <w:ind w:left="69"/>
              <w:rPr>
                <w:b/>
                <w:sz w:val="21"/>
              </w:rPr>
            </w:pPr>
            <w:r>
              <w:rPr>
                <w:b/>
                <w:sz w:val="21"/>
              </w:rPr>
              <w:t>攀岩</w:t>
            </w:r>
          </w:p>
        </w:tc>
        <w:tc>
          <w:tcPr>
            <w:tcW w:w="7367" w:type="dxa"/>
          </w:tcPr>
          <w:p>
            <w:pPr>
              <w:pStyle w:val="TableParagraph"/>
              <w:spacing w:before="99"/>
              <w:ind w:left="121"/>
              <w:rPr>
                <w:sz w:val="21"/>
              </w:rPr>
            </w:pPr>
            <w:r>
              <w:rPr>
                <w:sz w:val="21"/>
              </w:rPr>
              <w:t>指攀登悬崖、楼宇外墙、人造悬崖、冰崖、冰ft等运动。</w:t>
            </w:r>
          </w:p>
        </w:tc>
      </w:tr>
      <w:tr>
        <w:trPr>
          <w:trHeight w:val="1162" w:hRule="atLeast"/>
        </w:trPr>
        <w:tc>
          <w:tcPr>
            <w:tcW w:w="833" w:type="dxa"/>
          </w:tcPr>
          <w:p>
            <w:pPr>
              <w:pStyle w:val="TableParagraph"/>
              <w:spacing w:before="99"/>
              <w:ind w:left="50"/>
              <w:rPr>
                <w:b/>
                <w:sz w:val="21"/>
              </w:rPr>
            </w:pPr>
            <w:r>
              <w:rPr>
                <w:b/>
                <w:sz w:val="21"/>
              </w:rPr>
              <w:t>9.13</w:t>
            </w:r>
          </w:p>
        </w:tc>
        <w:tc>
          <w:tcPr>
            <w:tcW w:w="1878" w:type="dxa"/>
          </w:tcPr>
          <w:p>
            <w:pPr>
              <w:pStyle w:val="TableParagraph"/>
              <w:spacing w:before="99"/>
              <w:ind w:left="69"/>
              <w:rPr>
                <w:b/>
                <w:sz w:val="21"/>
              </w:rPr>
            </w:pPr>
            <w:r>
              <w:rPr>
                <w:b/>
                <w:sz w:val="21"/>
              </w:rPr>
              <w:t>探险</w:t>
            </w:r>
          </w:p>
        </w:tc>
        <w:tc>
          <w:tcPr>
            <w:tcW w:w="7367" w:type="dxa"/>
          </w:tcPr>
          <w:p>
            <w:pPr>
              <w:pStyle w:val="TableParagraph"/>
              <w:spacing w:line="273" w:lineRule="auto" w:before="99"/>
              <w:ind w:left="121" w:right="152"/>
              <w:jc w:val="both"/>
              <w:rPr>
                <w:sz w:val="21"/>
              </w:rPr>
            </w:pPr>
            <w:r>
              <w:rPr>
                <w:spacing w:val="-2"/>
                <w:sz w:val="21"/>
              </w:rPr>
              <w:t>指明知在某种特定的自然条件下有失去生命或使身体受到伤害的危险，而故意</w:t>
            </w:r>
            <w:r>
              <w:rPr>
                <w:spacing w:val="-5"/>
                <w:sz w:val="21"/>
              </w:rPr>
              <w:t>使自己置身于其中的行为，如：江河漂流、登</w:t>
            </w:r>
            <w:r>
              <w:rPr>
                <w:sz w:val="21"/>
              </w:rPr>
              <w:t>ft</w:t>
            </w:r>
            <w:r>
              <w:rPr>
                <w:spacing w:val="-3"/>
                <w:sz w:val="21"/>
              </w:rPr>
              <w:t>、徒步穿越沙漠或人迹罕至的原始森林等活动。</w:t>
            </w:r>
          </w:p>
        </w:tc>
      </w:tr>
      <w:tr>
        <w:trPr>
          <w:trHeight w:val="850" w:hRule="atLeast"/>
        </w:trPr>
        <w:tc>
          <w:tcPr>
            <w:tcW w:w="833" w:type="dxa"/>
          </w:tcPr>
          <w:p>
            <w:pPr>
              <w:pStyle w:val="TableParagraph"/>
              <w:spacing w:before="99"/>
              <w:ind w:left="50"/>
              <w:rPr>
                <w:b/>
                <w:sz w:val="21"/>
              </w:rPr>
            </w:pPr>
            <w:r>
              <w:rPr>
                <w:b/>
                <w:sz w:val="21"/>
              </w:rPr>
              <w:t>9.14</w:t>
            </w:r>
          </w:p>
        </w:tc>
        <w:tc>
          <w:tcPr>
            <w:tcW w:w="1878" w:type="dxa"/>
          </w:tcPr>
          <w:p>
            <w:pPr>
              <w:pStyle w:val="TableParagraph"/>
              <w:spacing w:before="99"/>
              <w:ind w:left="69"/>
              <w:rPr>
                <w:b/>
                <w:sz w:val="21"/>
              </w:rPr>
            </w:pPr>
            <w:r>
              <w:rPr>
                <w:b/>
                <w:sz w:val="21"/>
              </w:rPr>
              <w:t>武术比赛</w:t>
            </w:r>
          </w:p>
        </w:tc>
        <w:tc>
          <w:tcPr>
            <w:tcW w:w="7367" w:type="dxa"/>
          </w:tcPr>
          <w:p>
            <w:pPr>
              <w:pStyle w:val="TableParagraph"/>
              <w:spacing w:line="273" w:lineRule="auto" w:before="99"/>
              <w:ind w:left="121" w:right="88"/>
              <w:rPr>
                <w:sz w:val="21"/>
              </w:rPr>
            </w:pPr>
            <w:r>
              <w:rPr>
                <w:sz w:val="21"/>
              </w:rPr>
              <w:t>指两人或两人以上对抗性柔道、空手道、跆拳道、散打、拳击等各种拳术及使用器械的对抗性比赛。</w:t>
            </w:r>
          </w:p>
        </w:tc>
      </w:tr>
      <w:tr>
        <w:trPr>
          <w:trHeight w:val="538" w:hRule="atLeast"/>
        </w:trPr>
        <w:tc>
          <w:tcPr>
            <w:tcW w:w="833" w:type="dxa"/>
          </w:tcPr>
          <w:p>
            <w:pPr>
              <w:pStyle w:val="TableParagraph"/>
              <w:spacing w:before="99"/>
              <w:ind w:left="50"/>
              <w:rPr>
                <w:b/>
                <w:sz w:val="21"/>
              </w:rPr>
            </w:pPr>
            <w:r>
              <w:rPr>
                <w:b/>
                <w:sz w:val="21"/>
              </w:rPr>
              <w:t>9.15</w:t>
            </w:r>
          </w:p>
        </w:tc>
        <w:tc>
          <w:tcPr>
            <w:tcW w:w="1878" w:type="dxa"/>
          </w:tcPr>
          <w:p>
            <w:pPr>
              <w:pStyle w:val="TableParagraph"/>
              <w:spacing w:before="99"/>
              <w:ind w:left="69"/>
              <w:rPr>
                <w:b/>
                <w:sz w:val="21"/>
              </w:rPr>
            </w:pPr>
            <w:r>
              <w:rPr>
                <w:b/>
                <w:sz w:val="21"/>
              </w:rPr>
              <w:t>特技表演</w:t>
            </w:r>
          </w:p>
        </w:tc>
        <w:tc>
          <w:tcPr>
            <w:tcW w:w="7367" w:type="dxa"/>
          </w:tcPr>
          <w:p>
            <w:pPr>
              <w:pStyle w:val="TableParagraph"/>
              <w:spacing w:before="99"/>
              <w:ind w:left="121"/>
              <w:rPr>
                <w:sz w:val="21"/>
              </w:rPr>
            </w:pPr>
            <w:r>
              <w:rPr>
                <w:sz w:val="21"/>
              </w:rPr>
              <w:t>指进行马术、杂技、驯兽等表演。</w:t>
            </w:r>
          </w:p>
        </w:tc>
      </w:tr>
      <w:tr>
        <w:trPr>
          <w:trHeight w:val="573" w:hRule="atLeast"/>
        </w:trPr>
        <w:tc>
          <w:tcPr>
            <w:tcW w:w="833" w:type="dxa"/>
          </w:tcPr>
          <w:p>
            <w:pPr>
              <w:pStyle w:val="TableParagraph"/>
              <w:spacing w:before="99"/>
              <w:ind w:left="50"/>
              <w:rPr>
                <w:b/>
                <w:sz w:val="21"/>
              </w:rPr>
            </w:pPr>
            <w:r>
              <w:rPr>
                <w:b/>
                <w:sz w:val="21"/>
              </w:rPr>
              <w:t>9.16</w:t>
            </w:r>
          </w:p>
        </w:tc>
        <w:tc>
          <w:tcPr>
            <w:tcW w:w="1878" w:type="dxa"/>
          </w:tcPr>
          <w:p>
            <w:pPr>
              <w:pStyle w:val="TableParagraph"/>
              <w:spacing w:before="99"/>
              <w:ind w:left="69"/>
              <w:rPr>
                <w:b/>
                <w:sz w:val="21"/>
              </w:rPr>
            </w:pPr>
            <w:r>
              <w:rPr>
                <w:b/>
                <w:w w:val="95"/>
                <w:sz w:val="21"/>
              </w:rPr>
              <w:t>适用主合同释义</w:t>
            </w:r>
          </w:p>
        </w:tc>
        <w:tc>
          <w:tcPr>
            <w:tcW w:w="7367" w:type="dxa"/>
          </w:tcPr>
          <w:p>
            <w:pPr>
              <w:pStyle w:val="TableParagraph"/>
              <w:spacing w:before="99"/>
              <w:ind w:left="121"/>
              <w:rPr>
                <w:sz w:val="21"/>
              </w:rPr>
            </w:pPr>
            <w:r>
              <w:rPr>
                <w:sz w:val="21"/>
              </w:rPr>
              <w:t>本附加合同中其他重要术语的释义请参看主合同释义条款。</w:t>
            </w:r>
          </w:p>
        </w:tc>
      </w:tr>
      <w:tr>
        <w:trPr>
          <w:trHeight w:val="597" w:hRule="atLeast"/>
        </w:trPr>
        <w:tc>
          <w:tcPr>
            <w:tcW w:w="833" w:type="dxa"/>
          </w:tcPr>
          <w:p>
            <w:pPr>
              <w:pStyle w:val="TableParagraph"/>
              <w:spacing w:before="125"/>
              <w:ind w:left="50"/>
              <w:rPr>
                <w:b/>
                <w:sz w:val="24"/>
              </w:rPr>
            </w:pPr>
            <w:r>
              <w:rPr>
                <w:b/>
                <w:w w:val="95"/>
                <w:sz w:val="24"/>
              </w:rPr>
              <w:t>附录一</w:t>
            </w:r>
          </w:p>
        </w:tc>
        <w:tc>
          <w:tcPr>
            <w:tcW w:w="1878" w:type="dxa"/>
          </w:tcPr>
          <w:p>
            <w:pPr>
              <w:pStyle w:val="TableParagraph"/>
              <w:spacing w:before="125"/>
              <w:ind w:left="60"/>
              <w:rPr>
                <w:b/>
                <w:sz w:val="24"/>
              </w:rPr>
            </w:pPr>
            <w:r>
              <w:rPr>
                <w:b/>
                <w:w w:val="95"/>
                <w:sz w:val="24"/>
              </w:rPr>
              <w:t>重大疾病列表</w:t>
            </w:r>
          </w:p>
        </w:tc>
        <w:tc>
          <w:tcPr>
            <w:tcW w:w="7367" w:type="dxa"/>
          </w:tcPr>
          <w:p>
            <w:pPr>
              <w:pStyle w:val="TableParagraph"/>
              <w:rPr>
                <w:rFonts w:ascii="Times New Roman"/>
                <w:sz w:val="20"/>
              </w:rPr>
            </w:pPr>
          </w:p>
        </w:tc>
      </w:tr>
      <w:tr>
        <w:trPr>
          <w:trHeight w:val="3651" w:hRule="atLeast"/>
        </w:trPr>
        <w:tc>
          <w:tcPr>
            <w:tcW w:w="833" w:type="dxa"/>
          </w:tcPr>
          <w:p>
            <w:pPr>
              <w:pStyle w:val="TableParagraph"/>
              <w:spacing w:before="92"/>
              <w:ind w:left="50"/>
              <w:rPr>
                <w:b/>
                <w:sz w:val="21"/>
              </w:rPr>
            </w:pPr>
            <w:r>
              <w:rPr>
                <w:b/>
                <w:w w:val="99"/>
                <w:sz w:val="21"/>
              </w:rPr>
              <w:t>一</w:t>
            </w:r>
          </w:p>
        </w:tc>
        <w:tc>
          <w:tcPr>
            <w:tcW w:w="1878" w:type="dxa"/>
          </w:tcPr>
          <w:p>
            <w:pPr>
              <w:pStyle w:val="TableParagraph"/>
              <w:spacing w:before="92"/>
              <w:ind w:left="69"/>
              <w:rPr>
                <w:b/>
                <w:sz w:val="21"/>
              </w:rPr>
            </w:pPr>
            <w:r>
              <w:rPr>
                <w:b/>
                <w:sz w:val="21"/>
              </w:rPr>
              <w:t>恶性肿瘤</w:t>
            </w:r>
          </w:p>
        </w:tc>
        <w:tc>
          <w:tcPr>
            <w:tcW w:w="7367" w:type="dxa"/>
          </w:tcPr>
          <w:p>
            <w:pPr>
              <w:pStyle w:val="TableParagraph"/>
              <w:spacing w:line="273" w:lineRule="auto" w:before="92"/>
              <w:ind w:left="121" w:right="153"/>
              <w:jc w:val="both"/>
              <w:rPr>
                <w:sz w:val="21"/>
              </w:rPr>
            </w:pPr>
            <w:r>
              <w:rPr>
                <w:spacing w:val="-3"/>
                <w:sz w:val="21"/>
              </w:rPr>
              <w:t>指恶性细胞不受控制的进行性增长和扩散，浸润和破坏周围正常组织，可以经</w:t>
            </w:r>
            <w:r>
              <w:rPr>
                <w:spacing w:val="-7"/>
                <w:sz w:val="21"/>
              </w:rPr>
              <w:t>血管、淋巴管和体腔扩散转移到身体其它部位的疾病。经病理学检查结果明确诊断，临床诊断属于世界卫生组织《疾病和有关健康问题的国际统计分类》</w:t>
            </w:r>
          </w:p>
          <w:p>
            <w:pPr>
              <w:pStyle w:val="TableParagraph"/>
              <w:spacing w:line="273" w:lineRule="auto" w:before="7"/>
              <w:ind w:left="121" w:right="4512"/>
              <w:rPr>
                <w:sz w:val="21"/>
              </w:rPr>
            </w:pPr>
            <w:r>
              <w:rPr>
                <w:sz w:val="21"/>
              </w:rPr>
              <w:t>（ICD-10）的恶性肿瘤范畴。下列疾病不在保障范围内：</w:t>
            </w:r>
          </w:p>
          <w:p>
            <w:pPr>
              <w:pStyle w:val="TableParagraph"/>
              <w:spacing w:before="7"/>
              <w:ind w:left="121"/>
              <w:jc w:val="both"/>
              <w:rPr>
                <w:sz w:val="21"/>
              </w:rPr>
            </w:pPr>
            <w:r>
              <w:rPr>
                <w:sz w:val="21"/>
              </w:rPr>
              <w:t>（1）原位癌；</w:t>
            </w:r>
          </w:p>
          <w:p>
            <w:pPr>
              <w:pStyle w:val="TableParagraph"/>
              <w:spacing w:before="36"/>
              <w:ind w:left="121"/>
              <w:jc w:val="both"/>
              <w:rPr>
                <w:sz w:val="21"/>
              </w:rPr>
            </w:pPr>
            <w:r>
              <w:rPr>
                <w:sz w:val="21"/>
              </w:rPr>
              <w:t>（2）相当于Binet 分期方案 A 期程度的慢性淋巴细胞白血病；</w:t>
            </w:r>
          </w:p>
          <w:p>
            <w:pPr>
              <w:pStyle w:val="TableParagraph"/>
              <w:spacing w:before="36"/>
              <w:ind w:left="121"/>
              <w:jc w:val="both"/>
              <w:rPr>
                <w:sz w:val="21"/>
              </w:rPr>
            </w:pPr>
            <w:r>
              <w:rPr>
                <w:sz w:val="21"/>
              </w:rPr>
              <w:t>（3）相当于Ann Arbor 分期方案 I 期程度的何杰金氏病；</w:t>
            </w:r>
          </w:p>
          <w:p>
            <w:pPr>
              <w:pStyle w:val="TableParagraph"/>
              <w:spacing w:before="36"/>
              <w:ind w:left="121"/>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21"/>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21"/>
              <w:jc w:val="both"/>
              <w:rPr>
                <w:sz w:val="21"/>
              </w:rPr>
            </w:pPr>
            <w:r>
              <w:rPr>
                <w:w w:val="95"/>
                <w:sz w:val="21"/>
              </w:rPr>
              <w:t>（6）</w:t>
            </w:r>
            <w:r>
              <w:rPr>
                <w:b/>
                <w:w w:val="95"/>
                <w:sz w:val="21"/>
              </w:rPr>
              <w:t>感染艾滋病病毒或患艾滋病</w:t>
            </w:r>
            <w:r>
              <w:rPr>
                <w:w w:val="95"/>
                <w:sz w:val="21"/>
              </w:rPr>
              <w:t>期间所患恶性肿瘤。</w:t>
            </w:r>
          </w:p>
        </w:tc>
      </w:tr>
      <w:tr>
        <w:trPr>
          <w:trHeight w:val="1786" w:hRule="atLeast"/>
        </w:trPr>
        <w:tc>
          <w:tcPr>
            <w:tcW w:w="833" w:type="dxa"/>
          </w:tcPr>
          <w:p>
            <w:pPr>
              <w:pStyle w:val="TableParagraph"/>
              <w:spacing w:before="99"/>
              <w:ind w:left="50"/>
              <w:rPr>
                <w:b/>
                <w:sz w:val="21"/>
              </w:rPr>
            </w:pPr>
            <w:r>
              <w:rPr>
                <w:b/>
                <w:w w:val="99"/>
                <w:sz w:val="21"/>
              </w:rPr>
              <w:t>二</w:t>
            </w:r>
          </w:p>
        </w:tc>
        <w:tc>
          <w:tcPr>
            <w:tcW w:w="1878" w:type="dxa"/>
          </w:tcPr>
          <w:p>
            <w:pPr>
              <w:pStyle w:val="TableParagraph"/>
              <w:spacing w:line="273" w:lineRule="auto" w:before="99"/>
              <w:ind w:left="69" w:right="119"/>
              <w:rPr>
                <w:b/>
                <w:sz w:val="21"/>
              </w:rPr>
            </w:pPr>
            <w:r>
              <w:rPr>
                <w:b/>
                <w:sz w:val="21"/>
              </w:rPr>
              <w:t>重大器官移植术或</w:t>
            </w:r>
            <w:r>
              <w:rPr>
                <w:b/>
                <w:w w:val="95"/>
                <w:sz w:val="21"/>
              </w:rPr>
              <w:t>造血干细胞移植术</w:t>
            </w:r>
          </w:p>
        </w:tc>
        <w:tc>
          <w:tcPr>
            <w:tcW w:w="7367" w:type="dxa"/>
          </w:tcPr>
          <w:p>
            <w:pPr>
              <w:pStyle w:val="TableParagraph"/>
              <w:spacing w:line="273" w:lineRule="auto" w:before="99"/>
              <w:ind w:left="121" w:right="152"/>
              <w:jc w:val="both"/>
              <w:rPr>
                <w:sz w:val="21"/>
              </w:rPr>
            </w:pPr>
            <w:r>
              <w:rPr>
                <w:spacing w:val="-5"/>
                <w:sz w:val="21"/>
              </w:rPr>
              <w:t>重大器官移植术，指因相应器官功能衰竭，已经实施了肾脏、肝脏、心脏或肺</w:t>
            </w:r>
            <w:r>
              <w:rPr>
                <w:spacing w:val="-1"/>
                <w:sz w:val="21"/>
              </w:rPr>
              <w:t>脏的异体移植手术。</w:t>
            </w:r>
          </w:p>
          <w:p>
            <w:pPr>
              <w:pStyle w:val="TableParagraph"/>
              <w:spacing w:line="273" w:lineRule="auto" w:before="7"/>
              <w:ind w:left="121" w:right="153"/>
              <w:jc w:val="both"/>
              <w:rPr>
                <w:sz w:val="21"/>
              </w:rPr>
            </w:pPr>
            <w:r>
              <w:rPr>
                <w:spacing w:val="-4"/>
                <w:sz w:val="21"/>
              </w:rPr>
              <w:t>造血干细胞移植术，指因造血功能损害或造血系统恶性肿瘤，已经实施了造血</w:t>
            </w:r>
            <w:r>
              <w:rPr>
                <w:spacing w:val="-9"/>
                <w:sz w:val="21"/>
              </w:rPr>
              <w:t>干细胞</w:t>
            </w:r>
            <w:r>
              <w:rPr>
                <w:sz w:val="21"/>
              </w:rPr>
              <w:t>（</w:t>
            </w:r>
            <w:r>
              <w:rPr>
                <w:spacing w:val="-2"/>
                <w:sz w:val="21"/>
              </w:rPr>
              <w:t>包括骨髓造血干细胞、外周血造血干细胞和脐血造血干细胞</w:t>
            </w:r>
            <w:r>
              <w:rPr>
                <w:spacing w:val="-17"/>
                <w:sz w:val="21"/>
              </w:rPr>
              <w:t>）</w:t>
            </w:r>
            <w:r>
              <w:rPr>
                <w:sz w:val="21"/>
              </w:rPr>
              <w:t>的异体移植手术。</w:t>
            </w:r>
          </w:p>
        </w:tc>
      </w:tr>
      <w:tr>
        <w:trPr>
          <w:trHeight w:val="374" w:hRule="atLeast"/>
        </w:trPr>
        <w:tc>
          <w:tcPr>
            <w:tcW w:w="833" w:type="dxa"/>
          </w:tcPr>
          <w:p>
            <w:pPr>
              <w:pStyle w:val="TableParagraph"/>
              <w:spacing w:line="255" w:lineRule="exact" w:before="99"/>
              <w:ind w:left="50"/>
              <w:rPr>
                <w:b/>
                <w:sz w:val="21"/>
              </w:rPr>
            </w:pPr>
            <w:r>
              <w:rPr>
                <w:b/>
                <w:w w:val="99"/>
                <w:sz w:val="21"/>
              </w:rPr>
              <w:t>三</w:t>
            </w:r>
          </w:p>
        </w:tc>
        <w:tc>
          <w:tcPr>
            <w:tcW w:w="1878" w:type="dxa"/>
          </w:tcPr>
          <w:p>
            <w:pPr>
              <w:pStyle w:val="TableParagraph"/>
              <w:spacing w:line="255" w:lineRule="exact" w:before="99"/>
              <w:ind w:left="68"/>
              <w:rPr>
                <w:b/>
                <w:sz w:val="21"/>
              </w:rPr>
            </w:pPr>
            <w:r>
              <w:rPr>
                <w:b/>
                <w:w w:val="95"/>
                <w:sz w:val="21"/>
              </w:rPr>
              <w:t>终末期肾病（或称</w:t>
            </w:r>
          </w:p>
        </w:tc>
        <w:tc>
          <w:tcPr>
            <w:tcW w:w="7367" w:type="dxa"/>
          </w:tcPr>
          <w:p>
            <w:pPr>
              <w:pStyle w:val="TableParagraph"/>
              <w:spacing w:line="255" w:lineRule="exact" w:before="99"/>
              <w:ind w:left="121"/>
              <w:rPr>
                <w:sz w:val="21"/>
              </w:rPr>
            </w:pPr>
            <w:r>
              <w:rPr>
                <w:sz w:val="21"/>
              </w:rPr>
              <w:t>指双肾功能慢性不可逆性衰竭，达到尿毒症期，经诊断后已经进行了至少 90</w:t>
            </w:r>
          </w:p>
        </w:tc>
      </w:tr>
    </w:tbl>
    <w:p>
      <w:pPr>
        <w:spacing w:after="0" w:line="255" w:lineRule="exact"/>
        <w:rPr>
          <w:sz w:val="21"/>
        </w:rPr>
        <w:sectPr>
          <w:pgSz w:w="11910" w:h="16840"/>
          <w:pgMar w:top="118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7"/>
      </w:tblGrid>
      <w:tr>
        <w:trPr>
          <w:trHeight w:val="260" w:hRule="atLeast"/>
        </w:trPr>
        <w:tc>
          <w:tcPr>
            <w:tcW w:w="687" w:type="dxa"/>
          </w:tcPr>
          <w:p>
            <w:pPr>
              <w:pStyle w:val="TableParagraph"/>
              <w:rPr>
                <w:rFonts w:ascii="Times New Roman"/>
                <w:sz w:val="18"/>
              </w:rPr>
            </w:pPr>
          </w:p>
        </w:tc>
        <w:tc>
          <w:tcPr>
            <w:tcW w:w="2024" w:type="dxa"/>
          </w:tcPr>
          <w:p>
            <w:pPr>
              <w:pStyle w:val="TableParagraph"/>
              <w:spacing w:line="210" w:lineRule="exact"/>
              <w:ind w:left="215"/>
              <w:rPr>
                <w:b/>
                <w:sz w:val="21"/>
              </w:rPr>
            </w:pPr>
            <w:r>
              <w:rPr>
                <w:b/>
                <w:w w:val="95"/>
                <w:sz w:val="21"/>
              </w:rPr>
              <w:t>慢性肾功能衰竭尿</w:t>
            </w:r>
          </w:p>
        </w:tc>
        <w:tc>
          <w:tcPr>
            <w:tcW w:w="7367" w:type="dxa"/>
          </w:tcPr>
          <w:p>
            <w:pPr>
              <w:pStyle w:val="TableParagraph"/>
              <w:spacing w:line="210" w:lineRule="exact"/>
              <w:ind w:left="121"/>
              <w:rPr>
                <w:sz w:val="21"/>
              </w:rPr>
            </w:pPr>
            <w:r>
              <w:rPr>
                <w:sz w:val="21"/>
              </w:rPr>
              <w:t>天的规律性透析治疗或实施了肾脏移植手术。</w:t>
            </w:r>
          </w:p>
        </w:tc>
      </w:tr>
      <w:tr>
        <w:trPr>
          <w:trHeight w:val="425" w:hRule="atLeast"/>
        </w:trPr>
        <w:tc>
          <w:tcPr>
            <w:tcW w:w="687" w:type="dxa"/>
          </w:tcPr>
          <w:p>
            <w:pPr>
              <w:pStyle w:val="TableParagraph"/>
              <w:rPr>
                <w:rFonts w:ascii="Times New Roman"/>
                <w:sz w:val="20"/>
              </w:rPr>
            </w:pPr>
          </w:p>
        </w:tc>
        <w:tc>
          <w:tcPr>
            <w:tcW w:w="2024" w:type="dxa"/>
          </w:tcPr>
          <w:p>
            <w:pPr>
              <w:pStyle w:val="TableParagraph"/>
              <w:spacing w:line="261" w:lineRule="exact"/>
              <w:ind w:left="215"/>
              <w:rPr>
                <w:b/>
                <w:sz w:val="21"/>
              </w:rPr>
            </w:pPr>
            <w:r>
              <w:rPr>
                <w:b/>
                <w:sz w:val="21"/>
              </w:rPr>
              <w:t>毒症期）</w:t>
            </w:r>
          </w:p>
        </w:tc>
        <w:tc>
          <w:tcPr>
            <w:tcW w:w="7367" w:type="dxa"/>
          </w:tcPr>
          <w:p>
            <w:pPr>
              <w:pStyle w:val="TableParagraph"/>
              <w:rPr>
                <w:rFonts w:ascii="Times New Roman"/>
                <w:sz w:val="20"/>
              </w:rPr>
            </w:pPr>
          </w:p>
        </w:tc>
      </w:tr>
      <w:tr>
        <w:trPr>
          <w:trHeight w:val="425" w:hRule="atLeast"/>
        </w:trPr>
        <w:tc>
          <w:tcPr>
            <w:tcW w:w="687" w:type="dxa"/>
          </w:tcPr>
          <w:p>
            <w:pPr>
              <w:pStyle w:val="TableParagraph"/>
              <w:spacing w:before="99"/>
              <w:ind w:left="50"/>
              <w:rPr>
                <w:b/>
                <w:sz w:val="21"/>
              </w:rPr>
            </w:pPr>
            <w:r>
              <w:rPr>
                <w:b/>
                <w:w w:val="99"/>
                <w:sz w:val="21"/>
              </w:rPr>
              <w:t>四</w:t>
            </w:r>
          </w:p>
        </w:tc>
        <w:tc>
          <w:tcPr>
            <w:tcW w:w="2024" w:type="dxa"/>
          </w:tcPr>
          <w:p>
            <w:pPr>
              <w:pStyle w:val="TableParagraph"/>
              <w:spacing w:before="99"/>
              <w:ind w:left="215"/>
              <w:rPr>
                <w:b/>
                <w:sz w:val="21"/>
              </w:rPr>
            </w:pPr>
            <w:r>
              <w:rPr>
                <w:b/>
                <w:w w:val="95"/>
                <w:sz w:val="21"/>
              </w:rPr>
              <w:t>多个肢体缺失</w:t>
            </w:r>
          </w:p>
        </w:tc>
        <w:tc>
          <w:tcPr>
            <w:tcW w:w="7367" w:type="dxa"/>
          </w:tcPr>
          <w:p>
            <w:pPr>
              <w:pStyle w:val="TableParagraph"/>
              <w:spacing w:before="99"/>
              <w:ind w:left="121"/>
              <w:rPr>
                <w:sz w:val="21"/>
              </w:rPr>
            </w:pPr>
            <w:r>
              <w:rPr>
                <w:sz w:val="21"/>
              </w:rPr>
              <w:t>指因疾病或意外伤害导致两个或两个以上肢体自腕关节或踝关节近端（靠近躯</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干端）以上完全性断离。</w:t>
            </w:r>
          </w:p>
        </w:tc>
      </w:tr>
      <w:tr>
        <w:trPr>
          <w:trHeight w:val="425" w:hRule="atLeast"/>
        </w:trPr>
        <w:tc>
          <w:tcPr>
            <w:tcW w:w="687" w:type="dxa"/>
          </w:tcPr>
          <w:p>
            <w:pPr>
              <w:pStyle w:val="TableParagraph"/>
              <w:spacing w:before="99"/>
              <w:ind w:left="50"/>
              <w:rPr>
                <w:b/>
                <w:sz w:val="21"/>
              </w:rPr>
            </w:pPr>
            <w:r>
              <w:rPr>
                <w:b/>
                <w:w w:val="99"/>
                <w:sz w:val="21"/>
              </w:rPr>
              <w:t>五</w:t>
            </w:r>
          </w:p>
        </w:tc>
        <w:tc>
          <w:tcPr>
            <w:tcW w:w="2024" w:type="dxa"/>
          </w:tcPr>
          <w:p>
            <w:pPr>
              <w:pStyle w:val="TableParagraph"/>
              <w:spacing w:before="99"/>
              <w:ind w:left="215"/>
              <w:rPr>
                <w:b/>
                <w:sz w:val="21"/>
              </w:rPr>
            </w:pPr>
            <w:r>
              <w:rPr>
                <w:b/>
                <w:w w:val="95"/>
                <w:sz w:val="21"/>
              </w:rPr>
              <w:t>急性或亚急性重症</w:t>
            </w:r>
          </w:p>
        </w:tc>
        <w:tc>
          <w:tcPr>
            <w:tcW w:w="7367" w:type="dxa"/>
          </w:tcPr>
          <w:p>
            <w:pPr>
              <w:pStyle w:val="TableParagraph"/>
              <w:spacing w:before="99"/>
              <w:ind w:left="121"/>
              <w:rPr>
                <w:sz w:val="21"/>
              </w:rPr>
            </w:pPr>
            <w:r>
              <w:rPr>
                <w:sz w:val="21"/>
              </w:rPr>
              <w:t>指因肝炎病毒感染引起肝脏组织弥漫性坏死，导致急性肝功能衰竭，且经血清</w:t>
            </w:r>
          </w:p>
        </w:tc>
      </w:tr>
      <w:tr>
        <w:trPr>
          <w:trHeight w:val="311" w:hRule="atLeast"/>
        </w:trPr>
        <w:tc>
          <w:tcPr>
            <w:tcW w:w="687" w:type="dxa"/>
          </w:tcPr>
          <w:p>
            <w:pPr>
              <w:pStyle w:val="TableParagraph"/>
              <w:rPr>
                <w:rFonts w:ascii="Times New Roman"/>
                <w:sz w:val="20"/>
              </w:rPr>
            </w:pPr>
          </w:p>
        </w:tc>
        <w:tc>
          <w:tcPr>
            <w:tcW w:w="2024" w:type="dxa"/>
          </w:tcPr>
          <w:p>
            <w:pPr>
              <w:pStyle w:val="TableParagraph"/>
              <w:spacing w:line="261" w:lineRule="exact"/>
              <w:ind w:left="215"/>
              <w:rPr>
                <w:b/>
                <w:sz w:val="21"/>
              </w:rPr>
            </w:pPr>
            <w:r>
              <w:rPr>
                <w:b/>
                <w:sz w:val="21"/>
              </w:rPr>
              <w:t>肝炎</w:t>
            </w:r>
          </w:p>
        </w:tc>
        <w:tc>
          <w:tcPr>
            <w:tcW w:w="7367" w:type="dxa"/>
          </w:tcPr>
          <w:p>
            <w:pPr>
              <w:pStyle w:val="TableParagraph"/>
              <w:spacing w:line="261" w:lineRule="exact"/>
              <w:ind w:left="121"/>
              <w:rPr>
                <w:sz w:val="21"/>
              </w:rPr>
            </w:pPr>
            <w:r>
              <w:rPr>
                <w:sz w:val="21"/>
              </w:rPr>
              <w:t>学或病毒学检查证实，并须满足下列全部条件：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（1）重度黄疸或黄疸迅速加重；</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（2）肝性脑病；</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（3）B 超或其它影像学检查显示肝脏体积急速萎缩；</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（4）肝功能指标进行性恶化。</w:t>
            </w:r>
          </w:p>
        </w:tc>
      </w:tr>
      <w:tr>
        <w:trPr>
          <w:trHeight w:val="425" w:hRule="atLeast"/>
        </w:trPr>
        <w:tc>
          <w:tcPr>
            <w:tcW w:w="687" w:type="dxa"/>
          </w:tcPr>
          <w:p>
            <w:pPr>
              <w:pStyle w:val="TableParagraph"/>
              <w:spacing w:before="99"/>
              <w:ind w:left="50"/>
              <w:rPr>
                <w:b/>
                <w:sz w:val="21"/>
              </w:rPr>
            </w:pPr>
            <w:r>
              <w:rPr>
                <w:b/>
                <w:w w:val="99"/>
                <w:sz w:val="21"/>
              </w:rPr>
              <w:t>六</w:t>
            </w:r>
          </w:p>
        </w:tc>
        <w:tc>
          <w:tcPr>
            <w:tcW w:w="2024" w:type="dxa"/>
          </w:tcPr>
          <w:p>
            <w:pPr>
              <w:pStyle w:val="TableParagraph"/>
              <w:spacing w:before="99"/>
              <w:ind w:left="215"/>
              <w:rPr>
                <w:b/>
                <w:sz w:val="21"/>
              </w:rPr>
            </w:pPr>
            <w:r>
              <w:rPr>
                <w:b/>
                <w:w w:val="95"/>
                <w:sz w:val="21"/>
              </w:rPr>
              <w:t>良性脑肿瘤</w:t>
            </w:r>
          </w:p>
        </w:tc>
        <w:tc>
          <w:tcPr>
            <w:tcW w:w="7367" w:type="dxa"/>
          </w:tcPr>
          <w:p>
            <w:pPr>
              <w:pStyle w:val="TableParagraph"/>
              <w:spacing w:before="99"/>
              <w:ind w:left="121"/>
              <w:rPr>
                <w:sz w:val="21"/>
              </w:rPr>
            </w:pPr>
            <w:r>
              <w:rPr>
                <w:sz w:val="21"/>
              </w:rPr>
              <w:t>指脑的良性肿瘤，已经引起颅内压增高，临床表现为视神经乳头水肿、精神症</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pacing w:val="-1"/>
                <w:sz w:val="21"/>
              </w:rPr>
              <w:t>状、癫痫及运动感觉障碍等，并危及生命。须由头颅断层扫描（CT</w:t>
            </w:r>
            <w:r>
              <w:rPr>
                <w:spacing w:val="-104"/>
                <w:sz w:val="21"/>
              </w:rPr>
              <w:t>）</w:t>
            </w:r>
            <w:r>
              <w:rPr>
                <w:spacing w:val="-1"/>
                <w:sz w:val="21"/>
              </w:rPr>
              <w:t>、核磁共</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振检查（MRI）或正电子发射断层扫描（PET）等影像学检查证实，并须满足下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（1）实际实施了开颅进行的脑肿瘤完全切除或部分切除的手术；</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（2）实际实施了对脑肿瘤进行的放射治疗。</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脑垂体瘤、脑囊肿、脑血管性疾病不在保障范围内。</w:t>
            </w:r>
          </w:p>
        </w:tc>
      </w:tr>
      <w:tr>
        <w:trPr>
          <w:trHeight w:val="425" w:hRule="atLeast"/>
        </w:trPr>
        <w:tc>
          <w:tcPr>
            <w:tcW w:w="687" w:type="dxa"/>
          </w:tcPr>
          <w:p>
            <w:pPr>
              <w:pStyle w:val="TableParagraph"/>
              <w:spacing w:before="100"/>
              <w:ind w:left="50"/>
              <w:rPr>
                <w:b/>
                <w:sz w:val="21"/>
              </w:rPr>
            </w:pPr>
            <w:r>
              <w:rPr>
                <w:b/>
                <w:w w:val="99"/>
                <w:sz w:val="21"/>
              </w:rPr>
              <w:t>七</w:t>
            </w:r>
          </w:p>
        </w:tc>
        <w:tc>
          <w:tcPr>
            <w:tcW w:w="2024" w:type="dxa"/>
          </w:tcPr>
          <w:p>
            <w:pPr>
              <w:pStyle w:val="TableParagraph"/>
              <w:spacing w:before="100"/>
              <w:ind w:left="215"/>
              <w:rPr>
                <w:b/>
                <w:sz w:val="21"/>
              </w:rPr>
            </w:pPr>
            <w:r>
              <w:rPr>
                <w:b/>
                <w:w w:val="95"/>
                <w:sz w:val="21"/>
              </w:rPr>
              <w:t>慢性肝功能衰竭失</w:t>
            </w:r>
          </w:p>
        </w:tc>
        <w:tc>
          <w:tcPr>
            <w:tcW w:w="7367" w:type="dxa"/>
          </w:tcPr>
          <w:p>
            <w:pPr>
              <w:pStyle w:val="TableParagraph"/>
              <w:spacing w:before="100"/>
              <w:ind w:left="121"/>
              <w:rPr>
                <w:sz w:val="21"/>
              </w:rPr>
            </w:pPr>
            <w:r>
              <w:rPr>
                <w:sz w:val="21"/>
              </w:rPr>
              <w:t>指因慢性肝脏疾病导致肝功能衰竭。须满足下列全部条件：</w:t>
            </w:r>
          </w:p>
        </w:tc>
      </w:tr>
      <w:tr>
        <w:trPr>
          <w:trHeight w:val="311" w:hRule="atLeast"/>
        </w:trPr>
        <w:tc>
          <w:tcPr>
            <w:tcW w:w="687" w:type="dxa"/>
          </w:tcPr>
          <w:p>
            <w:pPr>
              <w:pStyle w:val="TableParagraph"/>
              <w:rPr>
                <w:rFonts w:ascii="Times New Roman"/>
                <w:sz w:val="20"/>
              </w:rPr>
            </w:pPr>
          </w:p>
        </w:tc>
        <w:tc>
          <w:tcPr>
            <w:tcW w:w="2024" w:type="dxa"/>
          </w:tcPr>
          <w:p>
            <w:pPr>
              <w:pStyle w:val="TableParagraph"/>
              <w:spacing w:line="261" w:lineRule="exact"/>
              <w:ind w:left="215"/>
              <w:rPr>
                <w:b/>
                <w:sz w:val="21"/>
              </w:rPr>
            </w:pPr>
            <w:r>
              <w:rPr>
                <w:b/>
                <w:sz w:val="21"/>
              </w:rPr>
              <w:t>代偿期</w:t>
            </w:r>
          </w:p>
        </w:tc>
        <w:tc>
          <w:tcPr>
            <w:tcW w:w="7367" w:type="dxa"/>
          </w:tcPr>
          <w:p>
            <w:pPr>
              <w:pStyle w:val="TableParagraph"/>
              <w:spacing w:line="261" w:lineRule="exact"/>
              <w:ind w:left="121"/>
              <w:rPr>
                <w:sz w:val="21"/>
              </w:rPr>
            </w:pPr>
            <w:r>
              <w:rPr>
                <w:sz w:val="21"/>
              </w:rPr>
              <w:t>（1）持续性黄疸；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（2）腹水；</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（3）肝性脑病；</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（4）充血性脾肿大伴脾功能亢进或食管胃底静脉曲张。</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因酗酒或药物滥用导致的肝功能衰竭不在保障范围内。</w:t>
            </w:r>
          </w:p>
        </w:tc>
      </w:tr>
      <w:tr>
        <w:trPr>
          <w:trHeight w:val="425" w:hRule="atLeast"/>
        </w:trPr>
        <w:tc>
          <w:tcPr>
            <w:tcW w:w="687" w:type="dxa"/>
          </w:tcPr>
          <w:p>
            <w:pPr>
              <w:pStyle w:val="TableParagraph"/>
              <w:spacing w:before="99"/>
              <w:ind w:left="50"/>
              <w:rPr>
                <w:b/>
                <w:sz w:val="21"/>
              </w:rPr>
            </w:pPr>
            <w:r>
              <w:rPr>
                <w:b/>
                <w:w w:val="99"/>
                <w:sz w:val="21"/>
              </w:rPr>
              <w:t>八</w:t>
            </w:r>
          </w:p>
        </w:tc>
        <w:tc>
          <w:tcPr>
            <w:tcW w:w="2024" w:type="dxa"/>
          </w:tcPr>
          <w:p>
            <w:pPr>
              <w:pStyle w:val="TableParagraph"/>
              <w:spacing w:before="99"/>
              <w:ind w:left="215"/>
              <w:rPr>
                <w:b/>
                <w:sz w:val="21"/>
              </w:rPr>
            </w:pPr>
            <w:r>
              <w:rPr>
                <w:b/>
                <w:w w:val="95"/>
                <w:sz w:val="21"/>
              </w:rPr>
              <w:t>脑炎后遗症或脑膜</w:t>
            </w:r>
          </w:p>
        </w:tc>
        <w:tc>
          <w:tcPr>
            <w:tcW w:w="7367" w:type="dxa"/>
          </w:tcPr>
          <w:p>
            <w:pPr>
              <w:pStyle w:val="TableParagraph"/>
              <w:spacing w:before="99"/>
              <w:ind w:left="121"/>
              <w:rPr>
                <w:sz w:val="21"/>
              </w:rPr>
            </w:pPr>
            <w:r>
              <w:rPr>
                <w:sz w:val="21"/>
              </w:rPr>
              <w:t>指因患脑炎或脑膜炎导致的神经系统永久性的功能障碍。神经系统永久性的功</w:t>
            </w:r>
          </w:p>
        </w:tc>
      </w:tr>
      <w:tr>
        <w:trPr>
          <w:trHeight w:val="311" w:hRule="atLeast"/>
        </w:trPr>
        <w:tc>
          <w:tcPr>
            <w:tcW w:w="687" w:type="dxa"/>
          </w:tcPr>
          <w:p>
            <w:pPr>
              <w:pStyle w:val="TableParagraph"/>
              <w:rPr>
                <w:rFonts w:ascii="Times New Roman"/>
                <w:sz w:val="20"/>
              </w:rPr>
            </w:pPr>
          </w:p>
        </w:tc>
        <w:tc>
          <w:tcPr>
            <w:tcW w:w="2024" w:type="dxa"/>
          </w:tcPr>
          <w:p>
            <w:pPr>
              <w:pStyle w:val="TableParagraph"/>
              <w:spacing w:line="261" w:lineRule="exact"/>
              <w:ind w:left="215"/>
              <w:rPr>
                <w:b/>
                <w:sz w:val="21"/>
              </w:rPr>
            </w:pPr>
            <w:r>
              <w:rPr>
                <w:b/>
                <w:sz w:val="21"/>
              </w:rPr>
              <w:t>炎后遗症</w:t>
            </w:r>
          </w:p>
        </w:tc>
        <w:tc>
          <w:tcPr>
            <w:tcW w:w="7367" w:type="dxa"/>
          </w:tcPr>
          <w:p>
            <w:pPr>
              <w:pStyle w:val="TableParagraph"/>
              <w:spacing w:line="261" w:lineRule="exact"/>
              <w:ind w:left="121"/>
              <w:rPr>
                <w:sz w:val="21"/>
              </w:rPr>
            </w:pPr>
            <w:r>
              <w:rPr>
                <w:sz w:val="21"/>
              </w:rPr>
              <w:t>能障碍，指疾病确诊 180 天后，仍遗留下列一种或一种以上障碍：</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7" w:type="dxa"/>
          </w:tcPr>
          <w:p>
            <w:pPr>
              <w:pStyle w:val="TableParagraph"/>
              <w:spacing w:line="241" w:lineRule="exact"/>
              <w:ind w:left="121"/>
              <w:rPr>
                <w:sz w:val="21"/>
              </w:rPr>
            </w:pPr>
            <w:r>
              <w:rPr>
                <w:sz w:val="21"/>
              </w:rPr>
              <w:t>（3）</w:t>
            </w:r>
            <w:r>
              <w:rPr>
                <w:spacing w:val="-1"/>
                <w:sz w:val="21"/>
              </w:rPr>
              <w:t>自主生活能力完全丧失，无法独立完成</w:t>
            </w:r>
            <w:r>
              <w:rPr>
                <w:b/>
                <w:sz w:val="21"/>
              </w:rPr>
              <w:t>六项基本日常生活活动</w:t>
            </w:r>
            <w:r>
              <w:rPr>
                <w:sz w:val="21"/>
              </w:rPr>
              <w:t>（</w:t>
            </w:r>
            <w:r>
              <w:rPr>
                <w:spacing w:val="-21"/>
                <w:sz w:val="21"/>
              </w:rPr>
              <w:t>见注 </w:t>
            </w:r>
            <w:r>
              <w:rPr>
                <w:sz w:val="21"/>
              </w:rPr>
              <w:t>1）</w:t>
            </w:r>
          </w:p>
        </w:tc>
      </w:tr>
      <w:tr>
        <w:trPr>
          <w:trHeight w:val="476"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before="37"/>
              <w:ind w:left="647"/>
              <w:rPr>
                <w:sz w:val="21"/>
              </w:rPr>
            </w:pPr>
            <w:r>
              <w:rPr>
                <w:sz w:val="21"/>
              </w:rPr>
              <w:t>中的三项或三项以上。</w:t>
            </w:r>
          </w:p>
        </w:tc>
      </w:tr>
      <w:tr>
        <w:trPr>
          <w:trHeight w:val="425" w:hRule="atLeast"/>
        </w:trPr>
        <w:tc>
          <w:tcPr>
            <w:tcW w:w="687" w:type="dxa"/>
          </w:tcPr>
          <w:p>
            <w:pPr>
              <w:pStyle w:val="TableParagraph"/>
              <w:spacing w:before="99"/>
              <w:ind w:left="50"/>
              <w:rPr>
                <w:b/>
                <w:sz w:val="21"/>
              </w:rPr>
            </w:pPr>
            <w:r>
              <w:rPr>
                <w:b/>
                <w:w w:val="99"/>
                <w:sz w:val="21"/>
              </w:rPr>
              <w:t>九</w:t>
            </w:r>
          </w:p>
        </w:tc>
        <w:tc>
          <w:tcPr>
            <w:tcW w:w="2024" w:type="dxa"/>
          </w:tcPr>
          <w:p>
            <w:pPr>
              <w:pStyle w:val="TableParagraph"/>
              <w:spacing w:before="99"/>
              <w:ind w:left="214"/>
              <w:rPr>
                <w:b/>
                <w:sz w:val="21"/>
              </w:rPr>
            </w:pPr>
            <w:r>
              <w:rPr>
                <w:b/>
                <w:sz w:val="21"/>
              </w:rPr>
              <w:t>深度昏迷</w:t>
            </w:r>
          </w:p>
        </w:tc>
        <w:tc>
          <w:tcPr>
            <w:tcW w:w="7367" w:type="dxa"/>
          </w:tcPr>
          <w:p>
            <w:pPr>
              <w:pStyle w:val="TableParagraph"/>
              <w:spacing w:before="99"/>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w w:val="99"/>
                <w:sz w:val="21"/>
              </w:rPr>
              <w:t>十</w:t>
            </w:r>
          </w:p>
        </w:tc>
        <w:tc>
          <w:tcPr>
            <w:tcW w:w="2024" w:type="dxa"/>
          </w:tcPr>
          <w:p>
            <w:pPr>
              <w:pStyle w:val="TableParagraph"/>
              <w:spacing w:before="99"/>
              <w:ind w:left="214"/>
              <w:rPr>
                <w:b/>
                <w:sz w:val="21"/>
              </w:rPr>
            </w:pPr>
            <w:r>
              <w:rPr>
                <w:b/>
                <w:sz w:val="21"/>
              </w:rPr>
              <w:t>双耳失聪</w:t>
            </w:r>
          </w:p>
        </w:tc>
        <w:tc>
          <w:tcPr>
            <w:tcW w:w="7367"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261" w:lineRule="exact"/>
              <w:ind w:left="121"/>
              <w:rPr>
                <w:sz w:val="21"/>
              </w:rPr>
            </w:pPr>
            <w:r>
              <w:rPr>
                <w:sz w:val="21"/>
              </w:rPr>
              <w:t>声导抗检测或听觉诱发电位检测等证实。</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7" w:type="dxa"/>
          </w:tcPr>
          <w:p>
            <w:pPr>
              <w:pStyle w:val="TableParagraph"/>
              <w:spacing w:line="312" w:lineRule="exact"/>
              <w:ind w:left="121" w:right="254"/>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7" w:hRule="atLeast"/>
        </w:trPr>
        <w:tc>
          <w:tcPr>
            <w:tcW w:w="687" w:type="dxa"/>
          </w:tcPr>
          <w:p>
            <w:pPr>
              <w:pStyle w:val="TableParagraph"/>
              <w:spacing w:before="92"/>
              <w:ind w:left="50"/>
              <w:rPr>
                <w:b/>
                <w:sz w:val="21"/>
              </w:rPr>
            </w:pPr>
            <w:r>
              <w:rPr>
                <w:b/>
                <w:sz w:val="21"/>
              </w:rPr>
              <w:t>十一</w:t>
            </w:r>
          </w:p>
        </w:tc>
        <w:tc>
          <w:tcPr>
            <w:tcW w:w="2024" w:type="dxa"/>
          </w:tcPr>
          <w:p>
            <w:pPr>
              <w:pStyle w:val="TableParagraph"/>
              <w:spacing w:before="92"/>
              <w:ind w:left="215"/>
              <w:rPr>
                <w:b/>
                <w:sz w:val="21"/>
              </w:rPr>
            </w:pPr>
            <w:r>
              <w:rPr>
                <w:b/>
                <w:sz w:val="21"/>
              </w:rPr>
              <w:t>双目失明</w:t>
            </w:r>
          </w:p>
        </w:tc>
        <w:tc>
          <w:tcPr>
            <w:tcW w:w="7367"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7" w:type="dxa"/>
          </w:tcPr>
          <w:p>
            <w:pPr>
              <w:pStyle w:val="TableParagraph"/>
              <w:spacing w:line="241" w:lineRule="exact"/>
              <w:ind w:left="121"/>
              <w:rPr>
                <w:sz w:val="21"/>
              </w:rPr>
            </w:pPr>
            <w:r>
              <w:rPr>
                <w:sz w:val="21"/>
              </w:rPr>
              <w:t>列至少一项条件：</w:t>
            </w:r>
          </w:p>
        </w:tc>
      </w:tr>
    </w:tbl>
    <w:p>
      <w:pPr>
        <w:spacing w:after="0" w:line="241" w:lineRule="exact"/>
        <w:rPr>
          <w:sz w:val="21"/>
        </w:rPr>
        <w:sectPr>
          <w:pgSz w:w="11910" w:h="16840"/>
          <w:pgMar w:top="1180" w:bottom="280" w:left="860" w:right="740"/>
        </w:sectPr>
      </w:pPr>
    </w:p>
    <w:p>
      <w:pPr>
        <w:pStyle w:val="BodyText"/>
        <w:spacing w:before="19"/>
        <w:ind w:left="2884"/>
      </w:pPr>
      <w:r>
        <w:rPr/>
        <w:t>（1）眼球缺失或摘除；</w:t>
      </w:r>
    </w:p>
    <w:p>
      <w:pPr>
        <w:pStyle w:val="BodyText"/>
        <w:spacing w:line="273" w:lineRule="auto"/>
        <w:ind w:left="3409" w:right="211"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2884"/>
      </w:pPr>
      <w:r>
        <w:rPr/>
        <w:t>（3）视野半径小于 5 度。</w:t>
      </w:r>
    </w:p>
    <w:p>
      <w:pPr>
        <w:pStyle w:val="Heading2"/>
        <w:spacing w:line="237" w:lineRule="auto" w:before="15"/>
        <w:ind w:left="2884" w:right="309"/>
      </w:pPr>
      <w:r>
        <w:rPr>
          <w:spacing w:val="-5"/>
        </w:rPr>
        <w:t>被保险人申请理赔时年龄必须在 </w:t>
      </w:r>
      <w:r>
        <w:rPr/>
        <w:t>3</w:t>
      </w:r>
      <w:r>
        <w:rPr>
          <w:spacing w:val="-8"/>
        </w:rPr>
        <w:t> 周岁以上，并且提供理赔当时的视力丧失诊断及检查证据。</w:t>
      </w:r>
    </w:p>
    <w:p>
      <w:pPr>
        <w:pStyle w:val="BodyText"/>
        <w:spacing w:before="13"/>
        <w:rPr>
          <w:b/>
          <w:sz w:val="18"/>
        </w:rPr>
      </w:pPr>
    </w:p>
    <w:p>
      <w:pPr>
        <w:pStyle w:val="BodyText"/>
        <w:tabs>
          <w:tab w:pos="2883" w:val="left" w:leader="none"/>
        </w:tabs>
        <w:spacing w:line="273" w:lineRule="auto" w:before="0"/>
        <w:ind w:left="2883" w:right="208" w:hanging="2783"/>
        <w:jc w:val="both"/>
      </w:pPr>
      <w:r>
        <w:rPr>
          <w:b/>
        </w:rPr>
        <w:t>十 二  </w:t>
      </w:r>
      <w:r>
        <w:rPr>
          <w:b/>
          <w:spacing w:val="5"/>
        </w:rPr>
        <w:t> </w:t>
      </w:r>
      <w:r>
        <w:rPr>
          <w:b/>
        </w:rPr>
        <w:t>瘫痪</w:t>
        <w:tab/>
      </w:r>
      <w:r>
        <w:rPr/>
        <w:t>指因疾病或意外伤害导致两肢或两肢以上肢体机能永久完全丧失</w:t>
      </w:r>
      <w:r>
        <w:rPr>
          <w:spacing w:val="-51"/>
        </w:rPr>
        <w:t>。</w:t>
      </w:r>
      <w:r>
        <w:rPr/>
        <w:t>肢体机能永久完全丧失</w:t>
      </w:r>
      <w:r>
        <w:rPr>
          <w:spacing w:val="-26"/>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26"/>
        </w:rPr>
        <w:t>，</w:t>
      </w:r>
      <w:r>
        <w:rPr/>
        <w:t>每肢三大关节中的两大关节仍然完全僵硬，或不能随意识活动。</w:t>
      </w:r>
    </w:p>
    <w:p>
      <w:pPr>
        <w:pStyle w:val="BodyText"/>
        <w:spacing w:before="12"/>
        <w:rPr>
          <w:sz w:val="17"/>
        </w:rPr>
      </w:pPr>
    </w:p>
    <w:p>
      <w:pPr>
        <w:tabs>
          <w:tab w:pos="953" w:val="left" w:leader="none"/>
          <w:tab w:pos="2883" w:val="left" w:leader="none"/>
        </w:tabs>
        <w:spacing w:before="0"/>
        <w:ind w:left="101" w:right="0" w:firstLine="0"/>
        <w:jc w:val="left"/>
        <w:rPr>
          <w:sz w:val="21"/>
        </w:rPr>
      </w:pPr>
      <w:r>
        <w:rPr>
          <w:b/>
          <w:sz w:val="21"/>
        </w:rPr>
        <w:t>十三</w:t>
        <w:tab/>
        <w:t>心脏瓣膜手术</w:t>
        <w:tab/>
      </w:r>
      <w:r>
        <w:rPr>
          <w:sz w:val="21"/>
        </w:rPr>
        <w:t>指为治疗心脏瓣膜疾病，实际实施了开胸进行的心脏瓣膜置换或修复的手术。</w:t>
      </w:r>
    </w:p>
    <w:p>
      <w:pPr>
        <w:pStyle w:val="BodyText"/>
        <w:spacing w:before="2"/>
        <w:rPr>
          <w:sz w:val="20"/>
        </w:rPr>
      </w:pPr>
    </w:p>
    <w:p>
      <w:pPr>
        <w:pStyle w:val="BodyText"/>
        <w:spacing w:line="273" w:lineRule="auto" w:before="0"/>
        <w:ind w:left="2883" w:right="207" w:hanging="2783"/>
        <w:jc w:val="both"/>
      </w:pPr>
      <w:r>
        <w:rPr>
          <w:b/>
          <w:spacing w:val="2"/>
        </w:rPr>
        <w:t>十四 严重脑损伤 </w:t>
      </w:r>
      <w:r>
        <w:rPr>
          <w:spacing w:val="-6"/>
        </w:rPr>
        <w:t>指因头部遭受机械性外力，引起脑重要部位损伤，导致神经系统永久性的功能障碍。须由</w:t>
      </w:r>
      <w:r>
        <w:rPr>
          <w:spacing w:val="-7"/>
        </w:rPr>
        <w:t>头颅断层扫描</w:t>
      </w:r>
      <w:r>
        <w:rPr>
          <w:spacing w:val="-1"/>
        </w:rPr>
        <w:t>（CT</w:t>
      </w:r>
      <w:r>
        <w:rPr>
          <w:spacing w:val="-104"/>
        </w:rPr>
        <w:t>）</w:t>
      </w:r>
      <w:r>
        <w:rPr>
          <w:spacing w:val="-4"/>
        </w:rPr>
        <w:t>、核磁共振检查</w:t>
      </w:r>
      <w:r>
        <w:rPr/>
        <w:t>（MRI</w:t>
      </w:r>
      <w:r>
        <w:rPr>
          <w:spacing w:val="-10"/>
        </w:rPr>
        <w:t>）</w:t>
      </w:r>
      <w:r>
        <w:rPr>
          <w:spacing w:val="-1"/>
        </w:rPr>
        <w:t>或正电子发射断层扫描</w:t>
      </w:r>
    </w:p>
    <w:p>
      <w:pPr>
        <w:pStyle w:val="BodyText"/>
        <w:spacing w:line="273" w:lineRule="auto" w:before="7"/>
        <w:ind w:left="2883" w:right="101"/>
      </w:pPr>
      <w:r>
        <w:rPr>
          <w:spacing w:val="-4"/>
        </w:rPr>
        <w:t>（PET）</w:t>
      </w:r>
      <w:r>
        <w:rPr>
          <w:spacing w:val="-5"/>
        </w:rPr>
        <w:t>等影像学检查证实。神经系统永久性的功能障碍，指脑损伤 </w:t>
      </w:r>
      <w:r>
        <w:rPr/>
        <w:t>180</w:t>
      </w:r>
      <w:r>
        <w:rPr>
          <w:spacing w:val="-14"/>
        </w:rPr>
        <w:t> 天后， </w:t>
      </w:r>
      <w:r>
        <w:rPr>
          <w:spacing w:val="-1"/>
        </w:rPr>
        <w:t>仍遗留下列一种或一种以上障碍：</w:t>
      </w:r>
    </w:p>
    <w:p>
      <w:pPr>
        <w:spacing w:before="7"/>
        <w:ind w:left="2883" w:right="0" w:firstLine="0"/>
        <w:jc w:val="left"/>
        <w:rPr>
          <w:sz w:val="21"/>
        </w:rPr>
      </w:pPr>
      <w:r>
        <w:rPr>
          <w:w w:val="95"/>
          <w:sz w:val="21"/>
        </w:rPr>
        <w:t>（1）一肢或一肢以上</w:t>
      </w:r>
      <w:r>
        <w:rPr>
          <w:b/>
          <w:w w:val="95"/>
          <w:sz w:val="21"/>
        </w:rPr>
        <w:t>肢体机能完全丧失</w:t>
      </w:r>
      <w:r>
        <w:rPr>
          <w:w w:val="95"/>
          <w:sz w:val="21"/>
        </w:rPr>
        <w:t>；</w:t>
      </w:r>
    </w:p>
    <w:p>
      <w:pPr>
        <w:spacing w:before="37"/>
        <w:ind w:left="2883"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3409" w:right="255" w:hanging="526"/>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0"/>
        <w:rPr>
          <w:sz w:val="18"/>
        </w:rPr>
      </w:pPr>
    </w:p>
    <w:p>
      <w:pPr>
        <w:pStyle w:val="BodyText"/>
        <w:tabs>
          <w:tab w:pos="953" w:val="left" w:leader="none"/>
          <w:tab w:pos="2883" w:val="left" w:leader="none"/>
        </w:tabs>
        <w:spacing w:line="273" w:lineRule="auto" w:before="0"/>
        <w:ind w:left="2883" w:right="104" w:hanging="2783"/>
      </w:pPr>
      <w:r>
        <w:rPr>
          <w:b/>
        </w:rPr>
        <w:t>十五</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12"/>
        <w:rPr>
          <w:sz w:val="17"/>
        </w:rPr>
      </w:pPr>
    </w:p>
    <w:p>
      <w:pPr>
        <w:spacing w:line="273" w:lineRule="auto" w:before="0"/>
        <w:ind w:left="2883" w:right="158" w:hanging="2783"/>
        <w:jc w:val="both"/>
        <w:rPr>
          <w:sz w:val="21"/>
        </w:rPr>
      </w:pPr>
      <w:r>
        <w:rPr>
          <w:b/>
          <w:sz w:val="21"/>
        </w:rPr>
        <w:t>十六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2"/>
        <w:rPr>
          <w:sz w:val="17"/>
        </w:rPr>
      </w:pPr>
    </w:p>
    <w:p>
      <w:pPr>
        <w:pStyle w:val="BodyText"/>
        <w:tabs>
          <w:tab w:pos="953" w:val="left" w:leader="none"/>
          <w:tab w:pos="2883" w:val="left" w:leader="none"/>
        </w:tabs>
        <w:spacing w:line="273" w:lineRule="auto" w:before="0"/>
        <w:ind w:left="2883" w:right="264" w:hanging="2783"/>
      </w:pPr>
      <w:r>
        <w:rPr>
          <w:b/>
        </w:rPr>
        <w:t>十七</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7"/>
        <w:ind w:left="2883"/>
      </w:pPr>
      <w:r>
        <w:rPr/>
        <w:t>精神心理因素所致的语言能力丧失不在保障范围内。</w:t>
      </w:r>
    </w:p>
    <w:p>
      <w:pPr>
        <w:pStyle w:val="Heading2"/>
        <w:spacing w:line="237" w:lineRule="auto" w:before="15"/>
        <w:ind w:left="288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3"/>
        <w:rPr>
          <w:b/>
          <w:sz w:val="16"/>
        </w:rPr>
      </w:pPr>
    </w:p>
    <w:p>
      <w:pPr>
        <w:spacing w:after="0"/>
        <w:rPr>
          <w:sz w:val="16"/>
        </w:rPr>
        <w:sectPr>
          <w:pgSz w:w="11910" w:h="16840"/>
          <w:pgMar w:top="1100" w:bottom="280" w:left="920" w:right="800"/>
        </w:sectPr>
      </w:pPr>
    </w:p>
    <w:p>
      <w:pPr>
        <w:pStyle w:val="Heading3"/>
        <w:tabs>
          <w:tab w:pos="953" w:val="left" w:leader="none"/>
        </w:tabs>
        <w:spacing w:before="36"/>
        <w:ind w:left="101"/>
      </w:pPr>
      <w:r>
        <w:rPr/>
        <w:t>十八</w:t>
        <w:tab/>
      </w:r>
      <w:r>
        <w:rPr>
          <w:w w:val="95"/>
        </w:rPr>
        <w:t>重型再生障碍性贫</w:t>
      </w:r>
    </w:p>
    <w:p>
      <w:pPr>
        <w:spacing w:before="37"/>
        <w:ind w:left="0" w:right="521" w:firstLine="0"/>
        <w:jc w:val="center"/>
        <w:rPr>
          <w:b/>
          <w:sz w:val="21"/>
        </w:rPr>
      </w:pPr>
      <w:r>
        <w:rPr>
          <w:b/>
          <w:w w:val="99"/>
          <w:sz w:val="21"/>
        </w:rPr>
        <w:t>血</w:t>
      </w:r>
    </w:p>
    <w:p>
      <w:pPr>
        <w:pStyle w:val="BodyText"/>
        <w:spacing w:line="273" w:lineRule="auto" w:before="36"/>
        <w:ind w:left="101" w:right="368"/>
      </w:pPr>
      <w:r>
        <w:rPr/>
        <w:br w:type="column"/>
      </w:r>
      <w:r>
        <w:rPr/>
        <w:t>指因骨髓造血功能慢性持续性衰竭导致的贫血、中性粒细胞减少及血小板减少。须满足下列全部条件：</w:t>
      </w:r>
    </w:p>
    <w:p>
      <w:pPr>
        <w:pStyle w:val="BodyText"/>
        <w:spacing w:before="7"/>
        <w:ind w:left="101"/>
      </w:pPr>
      <w:r>
        <w:rPr/>
        <w:t>（1）骨髓穿刺检查或骨髓活检结果支持诊断；</w:t>
      </w:r>
    </w:p>
    <w:p>
      <w:pPr>
        <w:pStyle w:val="BodyText"/>
        <w:spacing w:before="36"/>
        <w:ind w:left="101"/>
      </w:pPr>
      <w:r>
        <w:rPr/>
        <w:t>（2）外周血象须具备以下三项条件：</w:t>
      </w:r>
    </w:p>
    <w:p>
      <w:pPr>
        <w:pStyle w:val="BodyText"/>
        <w:spacing w:before="36"/>
        <w:ind w:left="521"/>
      </w:pPr>
      <w:r>
        <w:rPr/>
        <w:t>① 中性粒细胞绝对值≤0.5×10</w:t>
      </w:r>
      <w:r>
        <w:rPr>
          <w:position w:val="11"/>
          <w:sz w:val="11"/>
        </w:rPr>
        <w:t>9</w:t>
      </w:r>
      <w:r>
        <w:rPr/>
        <w:t>/L；</w:t>
      </w:r>
    </w:p>
    <w:p>
      <w:pPr>
        <w:pStyle w:val="BodyText"/>
        <w:spacing w:before="36"/>
        <w:ind w:left="521"/>
      </w:pPr>
      <w:r>
        <w:rPr/>
        <w:t>② 网织红细胞＜1%；</w:t>
      </w:r>
    </w:p>
    <w:p>
      <w:pPr>
        <w:pStyle w:val="BodyText"/>
        <w:spacing w:before="36"/>
        <w:ind w:left="521"/>
      </w:pPr>
      <w:r>
        <w:rPr/>
        <w:t>③ 血小板绝对值≤20×10</w:t>
      </w:r>
      <w:r>
        <w:rPr>
          <w:position w:val="11"/>
          <w:sz w:val="11"/>
        </w:rPr>
        <w:t>9</w:t>
      </w:r>
      <w:r>
        <w:rPr/>
        <w:t>/L。</w:t>
      </w:r>
    </w:p>
    <w:p>
      <w:pPr>
        <w:spacing w:after="0"/>
        <w:sectPr>
          <w:type w:val="continuous"/>
          <w:pgSz w:w="11910" w:h="16840"/>
          <w:pgMar w:top="520" w:bottom="280" w:left="920" w:right="800"/>
          <w:cols w:num="2" w:equalWidth="0">
            <w:col w:w="2641" w:space="142"/>
            <w:col w:w="7407"/>
          </w:cols>
        </w:sectPr>
      </w:pPr>
    </w:p>
    <w:p>
      <w:pPr>
        <w:pStyle w:val="BodyText"/>
        <w:spacing w:before="5"/>
        <w:rPr>
          <w:sz w:val="17"/>
        </w:rPr>
      </w:pPr>
    </w:p>
    <w:p>
      <w:pPr>
        <w:pStyle w:val="BodyText"/>
        <w:spacing w:line="273" w:lineRule="auto" w:before="36"/>
        <w:ind w:left="2884" w:right="208" w:hanging="2783"/>
        <w:jc w:val="both"/>
      </w:pPr>
      <w:r>
        <w:rPr>
          <w:b/>
          <w:spacing w:val="0"/>
        </w:rPr>
        <w:t>十九    主动脉手术       </w:t>
      </w:r>
      <w:r>
        <w:rPr>
          <w:spacing w:val="-4"/>
        </w:rPr>
        <w:t>指为治疗主动脉疾病，实际实施了开胸或开腹进行的切除、置换、修补病损主</w:t>
      </w:r>
      <w:r>
        <w:rPr>
          <w:spacing w:val="-8"/>
        </w:rPr>
        <w:t>动脉血管的手术。主动脉指胸主动脉和腹主动脉，不包括胸主动脉和腹主动脉</w:t>
      </w:r>
      <w:r>
        <w:rPr>
          <w:spacing w:val="-1"/>
        </w:rPr>
        <w:t>的分支血管。</w:t>
      </w:r>
    </w:p>
    <w:p>
      <w:pPr>
        <w:pStyle w:val="BodyText"/>
        <w:spacing w:before="8"/>
        <w:ind w:left="2883"/>
      </w:pPr>
      <w:r>
        <w:rPr/>
        <w:t>动脉内血管成形术不在保障范围内。</w:t>
      </w:r>
    </w:p>
    <w:p>
      <w:pPr>
        <w:spacing w:after="0"/>
        <w:sectPr>
          <w:type w:val="continuous"/>
          <w:pgSz w:w="11910" w:h="16840"/>
          <w:pgMar w:top="520" w:bottom="280" w:left="920" w:right="800"/>
        </w:sectPr>
      </w:pPr>
    </w:p>
    <w:p>
      <w:pPr>
        <w:pStyle w:val="Heading3"/>
        <w:spacing w:line="273" w:lineRule="auto" w:before="19"/>
        <w:ind w:left="2883" w:right="136"/>
      </w:pPr>
      <w:r>
        <w:rPr>
          <w:spacing w:val="-20"/>
        </w:rPr>
        <w:t>以上 </w:t>
      </w:r>
      <w:r>
        <w:rPr/>
        <w:t>19</w:t>
      </w:r>
      <w:r>
        <w:rPr>
          <w:spacing w:val="-8"/>
        </w:rPr>
        <w:t> 种重大疾病的定义采用中国保险行业协会制定的《重大疾病保险的疾</w:t>
      </w:r>
      <w:r>
        <w:rPr>
          <w:spacing w:val="-8"/>
          <w:w w:val="95"/>
        </w:rPr>
        <w:t>病定义使用规范》中的定义。</w:t>
      </w:r>
    </w:p>
    <w:p>
      <w:pPr>
        <w:pStyle w:val="BodyText"/>
        <w:spacing w:before="12"/>
        <w:rPr>
          <w:b/>
          <w:sz w:val="17"/>
        </w:rPr>
      </w:pPr>
    </w:p>
    <w:p>
      <w:pPr>
        <w:spacing w:line="273" w:lineRule="auto" w:before="0"/>
        <w:ind w:left="2883" w:right="108" w:hanging="2783"/>
        <w:jc w:val="both"/>
        <w:rPr>
          <w:sz w:val="21"/>
        </w:rPr>
      </w:pPr>
      <w:r>
        <w:rPr>
          <w:b/>
          <w:spacing w:val="0"/>
          <w:sz w:val="21"/>
        </w:rPr>
        <w:t>二十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3"/>
        <w:rPr>
          <w:sz w:val="15"/>
        </w:rPr>
      </w:pPr>
    </w:p>
    <w:p>
      <w:pPr>
        <w:spacing w:after="0"/>
        <w:rPr>
          <w:sz w:val="15"/>
        </w:rPr>
        <w:sectPr>
          <w:pgSz w:w="11910" w:h="16840"/>
          <w:pgMar w:top="1100" w:bottom="280" w:left="920" w:right="900"/>
        </w:sectPr>
      </w:pPr>
    </w:p>
    <w:p>
      <w:pPr>
        <w:pStyle w:val="Heading3"/>
        <w:tabs>
          <w:tab w:pos="953" w:val="left" w:leader="none"/>
        </w:tabs>
        <w:spacing w:before="35"/>
        <w:ind w:left="101"/>
      </w:pPr>
      <w:r>
        <w:rPr/>
        <w:t>二十一</w:t>
        <w:tab/>
      </w:r>
      <w:r>
        <w:rPr>
          <w:w w:val="95"/>
        </w:rPr>
        <w:t>经输血导致的人类</w:t>
      </w:r>
    </w:p>
    <w:p>
      <w:pPr>
        <w:spacing w:before="37"/>
        <w:ind w:left="953" w:right="0" w:firstLine="0"/>
        <w:jc w:val="left"/>
        <w:rPr>
          <w:b/>
          <w:sz w:val="21"/>
        </w:rPr>
      </w:pPr>
      <w:r>
        <w:rPr>
          <w:b/>
          <w:w w:val="95"/>
          <w:sz w:val="21"/>
        </w:rPr>
        <w:t>免疫缺陷病毒感染</w:t>
      </w:r>
    </w:p>
    <w:p>
      <w:pPr>
        <w:pStyle w:val="BodyText"/>
        <w:spacing w:before="35"/>
        <w:ind w:left="101"/>
      </w:pPr>
      <w:r>
        <w:rPr/>
        <w:br w:type="column"/>
      </w:r>
      <w:r>
        <w:rPr/>
        <w:t>被保险人感染上人类免疫缺陷病毒（HIV）并且满足下列全部条件：</w:t>
      </w:r>
    </w:p>
    <w:p>
      <w:pPr>
        <w:pStyle w:val="BodyText"/>
        <w:spacing w:line="273" w:lineRule="auto"/>
        <w:ind w:left="605" w:right="163" w:hanging="504"/>
      </w:pPr>
      <w:r>
        <w:rPr/>
        <w:t>（1）造成感染的输血事件发生在本附加合同生效日或最后复效日（以较迟者为准）之后；</w:t>
      </w:r>
    </w:p>
    <w:p>
      <w:pPr>
        <w:pStyle w:val="BodyText"/>
        <w:spacing w:line="273" w:lineRule="auto" w:before="8"/>
        <w:ind w:left="605" w:right="161" w:hanging="504"/>
      </w:pPr>
      <w:r>
        <w:rPr/>
        <w:t>（2）提供输血治疗的输血中心或</w:t>
      </w:r>
      <w:r>
        <w:rPr>
          <w:b/>
        </w:rPr>
        <w:t>医院</w:t>
      </w:r>
      <w:r>
        <w:rPr/>
        <w:t>出具该项输血感染属医疗责任事故的报告，或者法院终审裁定为医疗责任并且不准上诉；</w:t>
      </w:r>
    </w:p>
    <w:p>
      <w:pPr>
        <w:pStyle w:val="BodyText"/>
        <w:spacing w:before="8"/>
        <w:ind w:left="101"/>
      </w:pPr>
      <w:r>
        <w:rPr>
          <w:w w:val="95"/>
        </w:rPr>
        <w:t>（3）提供输血治疗的输血中心或</w:t>
      </w:r>
      <w:r>
        <w:rPr>
          <w:b/>
          <w:w w:val="95"/>
        </w:rPr>
        <w:t>医院</w:t>
      </w:r>
      <w:r>
        <w:rPr>
          <w:w w:val="95"/>
        </w:rPr>
        <w:t>必须拥有合法经营执照；</w:t>
      </w:r>
    </w:p>
    <w:p>
      <w:pPr>
        <w:pStyle w:val="BodyText"/>
        <w:ind w:left="101"/>
      </w:pPr>
      <w:r>
        <w:rPr/>
        <w:t>（4）受感染的被保险人不是血友病患者。</w:t>
      </w:r>
    </w:p>
    <w:p>
      <w:pPr>
        <w:pStyle w:val="BodyText"/>
        <w:ind w:left="101"/>
      </w:pPr>
      <w:r>
        <w:rPr>
          <w:spacing w:val="-3"/>
        </w:rPr>
        <w:t>在任何治愈艾滋病（AIDS）</w:t>
      </w:r>
      <w:r>
        <w:rPr>
          <w:spacing w:val="-14"/>
        </w:rPr>
        <w:t>或阻止 </w:t>
      </w:r>
      <w:r>
        <w:rPr/>
        <w:t>HIV</w:t>
      </w:r>
      <w:r>
        <w:rPr>
          <w:spacing w:val="-9"/>
        </w:rPr>
        <w:t> 病毒作用的疗法被发现以后，或能防止</w:t>
      </w:r>
    </w:p>
    <w:p>
      <w:pPr>
        <w:pStyle w:val="BodyText"/>
        <w:ind w:left="101"/>
      </w:pPr>
      <w:r>
        <w:rPr/>
        <w:t>AIDS 发生的医疗方法被研究出来以后，本保障将不再予以赔付。</w:t>
      </w:r>
    </w:p>
    <w:p>
      <w:pPr>
        <w:pStyle w:val="BodyText"/>
        <w:spacing w:line="273" w:lineRule="auto"/>
        <w:ind w:left="101" w:right="1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900"/>
          <w:cols w:num="2" w:equalWidth="0">
            <w:col w:w="2641" w:space="142"/>
            <w:col w:w="7307"/>
          </w:cols>
        </w:sectPr>
      </w:pPr>
    </w:p>
    <w:p>
      <w:pPr>
        <w:pStyle w:val="BodyText"/>
        <w:spacing w:before="3"/>
        <w:rPr>
          <w:sz w:val="15"/>
        </w:rPr>
      </w:pPr>
    </w:p>
    <w:p>
      <w:pPr>
        <w:pStyle w:val="BodyText"/>
        <w:tabs>
          <w:tab w:pos="953" w:val="left" w:leader="none"/>
          <w:tab w:pos="2883" w:val="left" w:leader="none"/>
        </w:tabs>
        <w:spacing w:line="273" w:lineRule="auto" w:before="35"/>
        <w:ind w:left="2883" w:right="108" w:hanging="2783"/>
      </w:pPr>
      <w:r>
        <w:rPr>
          <w:b/>
        </w:rPr>
        <w:t>二十二</w:t>
        <w:tab/>
        <w:t>脊髓灰质炎</w:t>
        <w:tab/>
      </w:r>
      <w:r>
        <w:rPr/>
        <w:t>脊髓灰质炎是由于脊髓灰质炎病毒感染所致的瘫痪性疾病</w:t>
      </w:r>
      <w:r>
        <w:rPr>
          <w:spacing w:val="-51"/>
        </w:rPr>
        <w:t>，</w:t>
      </w:r>
      <w:r>
        <w:rPr/>
        <w:t>临床表现为运动功能损害或呼吸无力</w:t>
      </w:r>
      <w:r>
        <w:rPr>
          <w:spacing w:val="-26"/>
        </w:rPr>
        <w:t>。</w:t>
      </w:r>
      <w:r>
        <w:rPr/>
        <w:t>脊髓灰质炎必须明确诊断</w:t>
      </w:r>
      <w:r>
        <w:rPr>
          <w:spacing w:val="-26"/>
        </w:rPr>
        <w:t>。</w:t>
      </w:r>
      <w:r>
        <w:rPr/>
        <w:t>本保单仅对脊髓灰质炎造成的神经系统功能损害导致被保险人一肢或一肢以上肢体机能永久完全丧失的情况予以理赔</w:t>
      </w:r>
      <w:r>
        <w:rPr>
          <w:spacing w:val="-17"/>
        </w:rPr>
        <w:t>。</w:t>
      </w:r>
      <w:r>
        <w:rPr/>
        <w:t>肢体机能永久完全丧失</w:t>
      </w:r>
      <w:r>
        <w:rPr>
          <w:spacing w:val="-17"/>
        </w:rPr>
        <w:t>，</w:t>
      </w:r>
      <w:r>
        <w:rPr/>
        <w:t>指疾病确诊</w:t>
      </w:r>
      <w:r>
        <w:rPr>
          <w:spacing w:val="-54"/>
        </w:rPr>
        <w:t> </w:t>
      </w:r>
      <w:r>
        <w:rPr/>
        <w:t>180</w:t>
      </w:r>
      <w:r>
        <w:rPr>
          <w:spacing w:val="-53"/>
        </w:rPr>
        <w:t> </w:t>
      </w:r>
      <w:r>
        <w:rPr/>
        <w:t>天后</w:t>
      </w:r>
      <w:r>
        <w:rPr>
          <w:spacing w:val="-17"/>
        </w:rPr>
        <w:t>，</w:t>
      </w:r>
      <w:r>
        <w:rPr/>
        <w:t>每肢三大关节中的两大关节仍然完全僵硬，或不能随意识活动。</w:t>
      </w:r>
    </w:p>
    <w:p>
      <w:pPr>
        <w:pStyle w:val="BodyText"/>
        <w:spacing w:before="12"/>
        <w:rPr>
          <w:sz w:val="17"/>
        </w:rPr>
      </w:pPr>
    </w:p>
    <w:p>
      <w:pPr>
        <w:pStyle w:val="BodyText"/>
        <w:spacing w:line="273" w:lineRule="auto" w:before="1"/>
        <w:ind w:left="2883" w:right="108" w:hanging="2783"/>
        <w:jc w:val="both"/>
      </w:pPr>
      <w:r>
        <w:rPr>
          <w:b/>
          <w:spacing w:val="0"/>
        </w:rPr>
        <w:t>二十三  </w:t>
      </w:r>
      <w:r>
        <w:rPr>
          <w:b/>
        </w:rPr>
        <w:t>I</w:t>
      </w:r>
      <w:r>
        <w:rPr>
          <w:b/>
          <w:spacing w:val="0"/>
        </w:rPr>
        <w:t> 型糖尿病       </w:t>
      </w:r>
      <w:r>
        <w:rPr/>
        <w:t>I</w:t>
      </w:r>
      <w:r>
        <w:rPr>
          <w:spacing w:val="-8"/>
        </w:rPr>
        <w:t> 型糖尿病的特征为由于胰岛素分泌绝对不足引起严重胰岛素缺乏导致慢性血</w:t>
      </w:r>
      <w:r>
        <w:rPr>
          <w:spacing w:val="-6"/>
        </w:rPr>
        <w:t>糖升高， 需要依赖外源性胰岛素进行机体的葡萄糖代谢和维持生命。被保险</w:t>
      </w:r>
      <w:r>
        <w:rPr>
          <w:spacing w:val="-22"/>
        </w:rPr>
        <w:t>人的 </w:t>
      </w:r>
      <w:r>
        <w:rPr/>
        <w:t>1</w:t>
      </w:r>
      <w:r>
        <w:rPr>
          <w:spacing w:val="-14"/>
        </w:rPr>
        <w:t> 型糖尿病必须明确诊断，而且有血胰岛素测定及血 </w:t>
      </w:r>
      <w:r>
        <w:rPr/>
        <w:t>C</w:t>
      </w:r>
      <w:r>
        <w:rPr>
          <w:spacing w:val="-22"/>
        </w:rPr>
        <w:t> 肽或尿 </w:t>
      </w:r>
      <w:r>
        <w:rPr/>
        <w:t>C</w:t>
      </w:r>
      <w:r>
        <w:rPr>
          <w:spacing w:val="-12"/>
        </w:rPr>
        <w:t> 肽测定结果支持诊断，并且满足下列全部条件：</w:t>
      </w:r>
    </w:p>
    <w:p>
      <w:pPr>
        <w:pStyle w:val="BodyText"/>
        <w:spacing w:before="8"/>
        <w:ind w:left="2883"/>
      </w:pPr>
      <w:r>
        <w:rPr/>
        <w:t>（1）已经持续性地接受外源性胰岛素注射治疗连续 180 天以上；</w:t>
      </w:r>
    </w:p>
    <w:p>
      <w:pPr>
        <w:pStyle w:val="BodyText"/>
        <w:ind w:left="2883"/>
      </w:pPr>
      <w:r>
        <w:rPr/>
        <w:t>（2）因需要已经接受了下列治疗：</w:t>
      </w:r>
    </w:p>
    <w:p>
      <w:pPr>
        <w:pStyle w:val="BodyText"/>
        <w:ind w:left="3303"/>
      </w:pPr>
      <w:r>
        <w:rPr/>
        <w:t>① 因严重心律失常植入了心脏起搏器；或</w:t>
      </w:r>
    </w:p>
    <w:p>
      <w:pPr>
        <w:pStyle w:val="BodyText"/>
        <w:ind w:left="3303"/>
      </w:pPr>
      <w:r>
        <w:rPr/>
        <w:t>② 因坏疽自跖趾关节或以上切除了一趾或多趾。</w:t>
      </w:r>
    </w:p>
    <w:p>
      <w:pPr>
        <w:pStyle w:val="BodyText"/>
        <w:spacing w:before="1"/>
        <w:rPr>
          <w:sz w:val="20"/>
        </w:rPr>
      </w:pPr>
    </w:p>
    <w:p>
      <w:pPr>
        <w:pStyle w:val="BodyText"/>
        <w:tabs>
          <w:tab w:pos="953" w:val="left" w:leader="none"/>
          <w:tab w:pos="2883" w:val="left" w:leader="none"/>
        </w:tabs>
        <w:spacing w:line="273" w:lineRule="auto" w:before="1"/>
        <w:ind w:left="2883" w:right="108" w:hanging="2783"/>
      </w:pPr>
      <w:r>
        <w:rPr>
          <w:b/>
        </w:rPr>
        <w:t>二十四</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3"/>
        <w:rPr>
          <w:sz w:val="15"/>
        </w:rPr>
      </w:pPr>
    </w:p>
    <w:p>
      <w:pPr>
        <w:spacing w:after="0"/>
        <w:rPr>
          <w:sz w:val="15"/>
        </w:rPr>
        <w:sectPr>
          <w:type w:val="continuous"/>
          <w:pgSz w:w="11910" w:h="16840"/>
          <w:pgMar w:top="520" w:bottom="280" w:left="920" w:right="900"/>
        </w:sectPr>
      </w:pPr>
    </w:p>
    <w:p>
      <w:pPr>
        <w:pStyle w:val="Heading3"/>
        <w:tabs>
          <w:tab w:pos="953" w:val="left" w:leader="none"/>
        </w:tabs>
        <w:spacing w:before="35"/>
        <w:ind w:left="101"/>
      </w:pPr>
      <w:r>
        <w:rPr/>
        <w:t>二十五</w:t>
        <w:tab/>
      </w:r>
      <w:r>
        <w:rPr>
          <w:w w:val="95"/>
        </w:rPr>
        <w:t>川崎病（伴有冠状</w:t>
      </w:r>
    </w:p>
    <w:p>
      <w:pPr>
        <w:spacing w:before="37"/>
        <w:ind w:left="953" w:right="0" w:firstLine="0"/>
        <w:jc w:val="left"/>
        <w:rPr>
          <w:b/>
          <w:sz w:val="21"/>
        </w:rPr>
      </w:pPr>
      <w:r>
        <w:rPr>
          <w:b/>
          <w:w w:val="95"/>
          <w:sz w:val="21"/>
        </w:rPr>
        <w:t>动脉瘤形成）</w:t>
      </w:r>
    </w:p>
    <w:p>
      <w:pPr>
        <w:pStyle w:val="BodyText"/>
        <w:spacing w:line="273" w:lineRule="auto" w:before="35"/>
        <w:ind w:left="101" w:right="46"/>
      </w:pPr>
      <w:r>
        <w:rPr/>
        <w:br w:type="column"/>
      </w:r>
      <w:r>
        <w:rPr/>
        <w:t>指一种以全身血管炎变为主要病理改变的急性发热性出疹性小儿疾病。必须由本公司认可的儿科医生确诊并且同时满足下列指标：</w:t>
      </w:r>
    </w:p>
    <w:p>
      <w:pPr>
        <w:pStyle w:val="BodyText"/>
        <w:spacing w:line="273" w:lineRule="auto" w:before="7"/>
        <w:ind w:left="626" w:right="163" w:hanging="526"/>
      </w:pPr>
      <w:r>
        <w:rPr/>
        <w:t>（1）血液化验显示：不成熟型白细胞增多和明显的血小板增多，贫血，血沉升高；</w:t>
      </w:r>
    </w:p>
    <w:p>
      <w:pPr>
        <w:pStyle w:val="BodyText"/>
        <w:spacing w:line="273" w:lineRule="auto" w:before="7"/>
        <w:ind w:left="626" w:right="163" w:hanging="526"/>
      </w:pPr>
      <w:r>
        <w:rPr/>
        <w:t>（2）因严重心脏并发症确已接受开胸手术以矫正冠状动脉狭窄或阻塞手术治疗；或确已接受心脏瓣膜置换手术（瓣膜包括生物瓣膜和机械瓣膜</w:t>
      </w:r>
      <w:r>
        <w:rPr>
          <w:spacing w:val="-105"/>
        </w:rPr>
        <w:t>）</w:t>
      </w:r>
      <w:r>
        <w:rPr/>
        <w:t>。</w:t>
      </w:r>
    </w:p>
    <w:p>
      <w:pPr>
        <w:spacing w:after="0" w:line="273" w:lineRule="auto"/>
        <w:sectPr>
          <w:type w:val="continuous"/>
          <w:pgSz w:w="11910" w:h="16840"/>
          <w:pgMar w:top="520" w:bottom="280" w:left="920" w:right="900"/>
          <w:cols w:num="2" w:equalWidth="0">
            <w:col w:w="2641" w:space="142"/>
            <w:col w:w="7307"/>
          </w:cols>
        </w:sectPr>
      </w:pPr>
    </w:p>
    <w:p>
      <w:pPr>
        <w:pStyle w:val="BodyText"/>
        <w:spacing w:before="2"/>
        <w:rPr>
          <w:sz w:val="15"/>
        </w:rPr>
      </w:pPr>
    </w:p>
    <w:p>
      <w:pPr>
        <w:tabs>
          <w:tab w:pos="953" w:val="left" w:leader="none"/>
          <w:tab w:pos="2883" w:val="left" w:leader="none"/>
        </w:tabs>
        <w:spacing w:before="36"/>
        <w:ind w:left="101" w:right="0" w:firstLine="0"/>
        <w:jc w:val="left"/>
        <w:rPr>
          <w:sz w:val="21"/>
        </w:rPr>
      </w:pPr>
      <w:r>
        <w:rPr>
          <w:b/>
          <w:sz w:val="21"/>
        </w:rPr>
        <w:t>二十六</w:t>
        <w:tab/>
        <w:t>幼年类风湿性关节</w:t>
        <w:tab/>
      </w:r>
      <w:r>
        <w:rPr>
          <w:sz w:val="21"/>
        </w:rPr>
        <w:t>因非传染的慢性关节滑膜炎引起多处关节呈现的慢性关节炎症</w:t>
      </w:r>
      <w:r>
        <w:rPr>
          <w:spacing w:val="-51"/>
          <w:sz w:val="21"/>
        </w:rPr>
        <w:t>，</w:t>
      </w:r>
      <w:r>
        <w:rPr>
          <w:sz w:val="21"/>
        </w:rPr>
        <w:t>并导致自身免</w:t>
      </w:r>
    </w:p>
    <w:p>
      <w:pPr>
        <w:spacing w:after="0"/>
        <w:jc w:val="left"/>
        <w:rPr>
          <w:sz w:val="21"/>
        </w:rPr>
        <w:sectPr>
          <w:type w:val="continuous"/>
          <w:pgSz w:w="11910" w:h="16840"/>
          <w:pgMar w:top="520" w:bottom="280" w:left="920" w:right="900"/>
        </w:sectPr>
      </w:pPr>
    </w:p>
    <w:p>
      <w:pPr>
        <w:pStyle w:val="BodyText"/>
        <w:tabs>
          <w:tab w:pos="2883" w:val="left" w:leader="none"/>
        </w:tabs>
        <w:spacing w:line="273" w:lineRule="auto" w:before="19"/>
        <w:ind w:left="2884" w:right="104" w:hanging="1931"/>
      </w:pPr>
      <w:r>
        <w:rPr>
          <w:b/>
        </w:rPr>
        <w:t>炎-斯蒂尔病</w:t>
        <w:tab/>
      </w:r>
      <w:r>
        <w:rPr/>
        <w:t>疫失调</w:t>
      </w:r>
      <w:r>
        <w:rPr>
          <w:spacing w:val="-78"/>
        </w:rPr>
        <w:t>。</w:t>
      </w:r>
      <w:r>
        <w:rPr/>
        <w:t>本病须经本公司认可的类风湿科医生出具医学诊断证明</w:t>
      </w:r>
      <w:r>
        <w:rPr>
          <w:spacing w:val="-78"/>
        </w:rPr>
        <w:t>，</w:t>
      </w:r>
      <w:r>
        <w:rPr/>
        <w:t>因病情严重，在医生的建议下已接受以治疗为目的的膝或髋关节的置换手术</w:t>
      </w:r>
      <w:r>
        <w:rPr>
          <w:spacing w:val="-51"/>
        </w:rPr>
        <w:t>，</w:t>
      </w:r>
      <w:r>
        <w:rPr/>
        <w:t>其他类型的儿童类风湿性关节炎除外。</w:t>
      </w:r>
    </w:p>
    <w:p>
      <w:pPr>
        <w:pStyle w:val="BodyText"/>
        <w:spacing w:before="9"/>
        <w:rPr>
          <w:sz w:val="14"/>
        </w:rPr>
      </w:pPr>
    </w:p>
    <w:p>
      <w:pPr>
        <w:spacing w:after="0"/>
        <w:rPr>
          <w:sz w:val="14"/>
        </w:rPr>
        <w:sectPr>
          <w:pgSz w:w="11910" w:h="16840"/>
          <w:pgMar w:top="1100" w:bottom="280" w:left="920" w:right="800"/>
        </w:sectPr>
      </w:pPr>
    </w:p>
    <w:p>
      <w:pPr>
        <w:pStyle w:val="Heading3"/>
        <w:tabs>
          <w:tab w:pos="953" w:val="left" w:leader="none"/>
        </w:tabs>
        <w:spacing w:before="42"/>
        <w:ind w:left="101"/>
      </w:pPr>
      <w:r>
        <w:rPr/>
        <w:t>注</w:t>
      </w:r>
      <w:r>
        <w:rPr>
          <w:spacing w:val="-53"/>
        </w:rPr>
        <w:t> </w:t>
      </w:r>
      <w:r>
        <w:rPr/>
        <w:t>1</w:t>
        <w:tab/>
      </w:r>
      <w:r>
        <w:rPr>
          <w:w w:val="95"/>
        </w:rPr>
        <w:t>六项基本日常生活</w:t>
      </w:r>
    </w:p>
    <w:p>
      <w:pPr>
        <w:spacing w:before="37"/>
        <w:ind w:left="935" w:right="1244" w:firstLine="0"/>
        <w:jc w:val="center"/>
        <w:rPr>
          <w:b/>
          <w:sz w:val="21"/>
        </w:rPr>
      </w:pPr>
      <w:r>
        <w:rPr>
          <w:b/>
          <w:sz w:val="21"/>
        </w:rPr>
        <w:t>活动</w:t>
      </w:r>
    </w:p>
    <w:p>
      <w:pPr>
        <w:pStyle w:val="BodyText"/>
        <w:spacing w:before="42"/>
        <w:ind w:left="101"/>
      </w:pPr>
      <w:r>
        <w:rPr/>
        <w:br w:type="column"/>
      </w:r>
      <w:r>
        <w:rPr/>
        <w:t>适用于年龄 </w:t>
      </w:r>
      <w:r>
        <w:rPr>
          <w:rFonts w:ascii="Times New Roman" w:eastAsia="Times New Roman"/>
        </w:rPr>
        <w:t>4 </w:t>
      </w:r>
      <w:r>
        <w:rPr/>
        <w:t>周岁以上被保险人，包括：</w:t>
      </w:r>
    </w:p>
    <w:p>
      <w:pPr>
        <w:pStyle w:val="BodyText"/>
        <w:spacing w:before="21"/>
        <w:ind w:left="101"/>
      </w:pPr>
      <w:r>
        <w:rPr/>
        <w:t>（</w:t>
      </w:r>
      <w:r>
        <w:rPr>
          <w:rFonts w:ascii="Times New Roman" w:eastAsia="Times New Roman"/>
        </w:rPr>
        <w:t>1</w:t>
      </w:r>
      <w:r>
        <w:rPr/>
        <w:t>）穿衣：自己能够穿衣及脱衣；</w:t>
      </w:r>
    </w:p>
    <w:p>
      <w:pPr>
        <w:pStyle w:val="BodyText"/>
        <w:spacing w:before="21"/>
        <w:ind w:left="101"/>
      </w:pPr>
      <w:r>
        <w:rPr/>
        <w:t>（</w:t>
      </w:r>
      <w:r>
        <w:rPr>
          <w:rFonts w:ascii="Times New Roman" w:eastAsia="Times New Roman"/>
        </w:rPr>
        <w:t>2</w:t>
      </w:r>
      <w:r>
        <w:rPr/>
        <w:t>）移动：自己从一个房间到另一个房间；</w:t>
      </w:r>
    </w:p>
    <w:p>
      <w:pPr>
        <w:pStyle w:val="BodyText"/>
        <w:spacing w:before="21"/>
        <w:ind w:left="101"/>
      </w:pPr>
      <w:r>
        <w:rPr/>
        <w:t>（</w:t>
      </w:r>
      <w:r>
        <w:rPr>
          <w:rFonts w:ascii="Times New Roman" w:eastAsia="Times New Roman"/>
        </w:rPr>
        <w:t>3</w:t>
      </w:r>
      <w:r>
        <w:rPr/>
        <w:t>）行动：自己上下床或上下轮椅；</w:t>
      </w:r>
    </w:p>
    <w:p>
      <w:pPr>
        <w:pStyle w:val="BodyText"/>
        <w:spacing w:before="21"/>
        <w:ind w:left="101"/>
      </w:pPr>
      <w:r>
        <w:rPr/>
        <w:t>（</w:t>
      </w:r>
      <w:r>
        <w:rPr>
          <w:rFonts w:ascii="Times New Roman" w:eastAsia="Times New Roman"/>
        </w:rPr>
        <w:t>4</w:t>
      </w:r>
      <w:r>
        <w:rPr/>
        <w:t>）如厕：自己控制进行大小便；</w:t>
      </w:r>
    </w:p>
    <w:p>
      <w:pPr>
        <w:pStyle w:val="BodyText"/>
        <w:spacing w:before="21"/>
        <w:ind w:left="101"/>
      </w:pPr>
      <w:r>
        <w:rPr/>
        <w:t>（</w:t>
      </w:r>
      <w:r>
        <w:rPr>
          <w:rFonts w:ascii="Times New Roman" w:eastAsia="Times New Roman"/>
        </w:rPr>
        <w:t>5</w:t>
      </w:r>
      <w:r>
        <w:rPr/>
        <w:t>）进食：自己从已准备好的碗或碟中取食物放入口中；</w:t>
      </w:r>
    </w:p>
    <w:p>
      <w:pPr>
        <w:pStyle w:val="BodyText"/>
        <w:spacing w:before="21"/>
        <w:ind w:left="101"/>
      </w:pPr>
      <w:r>
        <w:rPr/>
        <w:t>（</w:t>
      </w:r>
      <w:r>
        <w:rPr>
          <w:rFonts w:ascii="Times New Roman" w:eastAsia="Times New Roman"/>
        </w:rPr>
        <w:t>6</w:t>
      </w:r>
      <w:r>
        <w:rPr/>
        <w:t>）洗澡：自己进行淋浴或盆浴。</w:t>
      </w:r>
    </w:p>
    <w:p>
      <w:pPr>
        <w:spacing w:after="0"/>
        <w:sectPr>
          <w:type w:val="continuous"/>
          <w:pgSz w:w="11910" w:h="16840"/>
          <w:pgMar w:top="520" w:bottom="280" w:left="920" w:right="800"/>
          <w:cols w:num="2" w:equalWidth="0">
            <w:col w:w="2641" w:space="142"/>
            <w:col w:w="7407"/>
          </w:cols>
        </w:sectPr>
      </w:pPr>
    </w:p>
    <w:p>
      <w:pPr>
        <w:pStyle w:val="BodyText"/>
        <w:spacing w:before="3"/>
        <w:rPr>
          <w:sz w:val="16"/>
        </w:rPr>
      </w:pPr>
    </w:p>
    <w:p>
      <w:pPr>
        <w:pStyle w:val="BodyText"/>
        <w:tabs>
          <w:tab w:pos="953" w:val="left" w:leader="none"/>
          <w:tab w:pos="2884" w:val="left" w:leader="none"/>
        </w:tabs>
        <w:spacing w:line="273" w:lineRule="auto" w:before="35"/>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before="36"/>
        <w:ind w:left="101"/>
      </w:pPr>
      <w:r>
        <w:rPr/>
        <w:t>注</w:t>
      </w:r>
      <w:r>
        <w:rPr>
          <w:spacing w:val="-53"/>
        </w:rPr>
        <w:t> </w:t>
      </w:r>
      <w:r>
        <w:rPr/>
        <w:t>3</w:t>
        <w:tab/>
      </w:r>
      <w:r>
        <w:rPr>
          <w:w w:val="95"/>
        </w:rPr>
        <w:t>语言能力或咀嚼吞</w:t>
      </w:r>
    </w:p>
    <w:p>
      <w:pPr>
        <w:spacing w:before="37"/>
        <w:ind w:left="953" w:right="0" w:firstLine="0"/>
        <w:jc w:val="left"/>
        <w:rPr>
          <w:b/>
          <w:sz w:val="21"/>
        </w:rPr>
      </w:pPr>
      <w:r>
        <w:rPr>
          <w:b/>
          <w:w w:val="95"/>
          <w:sz w:val="21"/>
        </w:rPr>
        <w:t>咽能力完全丧失</w:t>
      </w:r>
    </w:p>
    <w:p>
      <w:pPr>
        <w:pStyle w:val="BodyText"/>
        <w:spacing w:line="273" w:lineRule="auto" w:before="36"/>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10"/>
        <w:rPr>
          <w:sz w:val="14"/>
        </w:rPr>
      </w:pPr>
    </w:p>
    <w:p>
      <w:pPr>
        <w:pStyle w:val="BodyText"/>
        <w:tabs>
          <w:tab w:pos="953" w:val="left" w:leader="none"/>
          <w:tab w:pos="2884"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righ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4">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3">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2">
    <w:multiLevelType w:val="hybridMultilevel"/>
    <w:lvl w:ilvl="0">
      <w:start w:val="3"/>
      <w:numFmt w:val="decimal"/>
      <w:lvlText w:val="%1"/>
      <w:lvlJc w:val="left"/>
      <w:pPr>
        <w:ind w:left="1073" w:hanging="853"/>
        <w:jc w:val="left"/>
      </w:pPr>
      <w:rPr>
        <w:rFonts w:hint="default"/>
      </w:rPr>
    </w:lvl>
    <w:lvl w:ilvl="1">
      <w:start w:val="1"/>
      <w:numFmt w:val="decimal"/>
      <w:lvlText w:val="%1.%2"/>
      <w:lvlJc w:val="left"/>
      <w:pPr>
        <w:ind w:left="1073" w:hanging="853"/>
        <w:jc w:val="right"/>
      </w:pPr>
      <w:rPr>
        <w:rFonts w:hint="default" w:ascii="宋体" w:hAnsi="宋体" w:eastAsia="宋体" w:cs="宋体"/>
        <w:b/>
        <w:bCs/>
        <w:w w:val="99"/>
        <w:sz w:val="21"/>
        <w:szCs w:val="21"/>
      </w:rPr>
    </w:lvl>
    <w:lvl w:ilvl="2">
      <w:start w:val="1"/>
      <w:numFmt w:val="decimal"/>
      <w:lvlText w:val="%1.%2.%3"/>
      <w:lvlJc w:val="left"/>
      <w:pPr>
        <w:ind w:left="2884" w:hanging="852"/>
        <w:jc w:val="left"/>
      </w:pPr>
      <w:rPr>
        <w:rFonts w:hint="default" w:ascii="宋体" w:hAnsi="宋体" w:eastAsia="宋体" w:cs="宋体"/>
        <w:b/>
        <w:bCs/>
        <w:w w:val="99"/>
        <w:sz w:val="21"/>
        <w:szCs w:val="21"/>
      </w:rPr>
    </w:lvl>
    <w:lvl w:ilvl="3">
      <w:start w:val="0"/>
      <w:numFmt w:val="bullet"/>
      <w:lvlText w:val="•"/>
      <w:lvlJc w:val="left"/>
      <w:pPr>
        <w:ind w:left="4503" w:hanging="852"/>
      </w:pPr>
      <w:rPr>
        <w:rFonts w:hint="default"/>
      </w:rPr>
    </w:lvl>
    <w:lvl w:ilvl="4">
      <w:start w:val="0"/>
      <w:numFmt w:val="bullet"/>
      <w:lvlText w:val="•"/>
      <w:lvlJc w:val="left"/>
      <w:pPr>
        <w:ind w:left="5314" w:hanging="852"/>
      </w:pPr>
      <w:rPr>
        <w:rFonts w:hint="default"/>
      </w:rPr>
    </w:lvl>
    <w:lvl w:ilvl="5">
      <w:start w:val="0"/>
      <w:numFmt w:val="bullet"/>
      <w:lvlText w:val="•"/>
      <w:lvlJc w:val="left"/>
      <w:pPr>
        <w:ind w:left="6126" w:hanging="852"/>
      </w:pPr>
      <w:rPr>
        <w:rFonts w:hint="default"/>
      </w:rPr>
    </w:lvl>
    <w:lvl w:ilvl="6">
      <w:start w:val="0"/>
      <w:numFmt w:val="bullet"/>
      <w:lvlText w:val="•"/>
      <w:lvlJc w:val="left"/>
      <w:pPr>
        <w:ind w:left="6938" w:hanging="852"/>
      </w:pPr>
      <w:rPr>
        <w:rFonts w:hint="default"/>
      </w:rPr>
    </w:lvl>
    <w:lvl w:ilvl="7">
      <w:start w:val="0"/>
      <w:numFmt w:val="bullet"/>
      <w:lvlText w:val="•"/>
      <w:lvlJc w:val="left"/>
      <w:pPr>
        <w:ind w:left="7749" w:hanging="852"/>
      </w:pPr>
      <w:rPr>
        <w:rFonts w:hint="default"/>
      </w:rPr>
    </w:lvl>
    <w:lvl w:ilvl="8">
      <w:start w:val="0"/>
      <w:numFmt w:val="bullet"/>
      <w:lvlText w:val="•"/>
      <w:lvlJc w:val="left"/>
      <w:pPr>
        <w:ind w:left="8561" w:hanging="852"/>
      </w:pPr>
      <w:rPr>
        <w:rFonts w:hint="default"/>
      </w:rPr>
    </w:lvl>
  </w:abstractNum>
  <w:abstractNum w:abstractNumId="1">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1"/>
      <w:numFmt w:val="decimal"/>
      <w:lvlText w:val="%1.%2.%3"/>
      <w:lvlJc w:val="left"/>
      <w:pPr>
        <w:ind w:left="3003" w:hanging="852"/>
        <w:jc w:val="left"/>
      </w:pPr>
      <w:rPr>
        <w:rFonts w:hint="default" w:ascii="宋体" w:hAnsi="宋体" w:eastAsia="宋体" w:cs="宋体"/>
        <w:b/>
        <w:bCs/>
        <w:w w:val="99"/>
        <w:sz w:val="21"/>
        <w:szCs w:val="21"/>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71"/>
      <w:ind w:left="1246"/>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1"/>
      <w:ind w:left="221"/>
      <w:outlineLvl w:val="2"/>
    </w:pPr>
    <w:rPr>
      <w:rFonts w:ascii="宋体" w:hAnsi="宋体" w:eastAsia="宋体" w:cs="宋体"/>
      <w:b/>
      <w:bCs/>
      <w:sz w:val="24"/>
      <w:szCs w:val="24"/>
    </w:rPr>
  </w:style>
  <w:style w:styleId="Heading3" w:type="paragraph">
    <w:name w:val="Heading 3"/>
    <w:basedOn w:val="Normal"/>
    <w:uiPriority w:val="1"/>
    <w:qFormat/>
    <w:pPr>
      <w:spacing w:before="37"/>
      <w:ind w:left="953"/>
      <w:outlineLvl w:val="3"/>
    </w:pPr>
    <w:rPr>
      <w:rFonts w:ascii="宋体" w:hAnsi="宋体" w:eastAsia="宋体" w:cs="宋体"/>
      <w:b/>
      <w:bCs/>
      <w:sz w:val="21"/>
      <w:szCs w:val="21"/>
    </w:rPr>
  </w:style>
  <w:style w:styleId="ListParagraph" w:type="paragraph">
    <w:name w:val="List Paragraph"/>
    <w:basedOn w:val="Normal"/>
    <w:uiPriority w:val="1"/>
    <w:qFormat/>
    <w:pPr>
      <w:ind w:left="1697" w:hanging="27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&lt;4D6963726F736F667420576F7264202D20BDBBD2F8BFB5C1AAB8BDBCD3BDBBD2F8C9D9B6F9D6D8B4F3BCB2B2A1B1A3CFD52DCCF5BFEEA3A8B6FECEACC2EBA3A9&gt;</dc:title>
  <dcterms:created xsi:type="dcterms:W3CDTF">2018-10-20T03:13:10Z</dcterms:created>
  <dcterms:modified xsi:type="dcterms:W3CDTF">2018-10-20T03:13:10Z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