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036 号</w:t>
      </w:r>
    </w:p>
    <w:p>
      <w:pPr>
        <w:pStyle w:val="BodyText"/>
        <w:spacing w:before="0"/>
        <w:ind w:right="137"/>
        <w:jc w:val="right"/>
      </w:pPr>
      <w:r>
        <w:rPr/>
        <w:t>请扫描以查询验证条款</w:t>
      </w:r>
    </w:p>
    <w:p>
      <w:pPr>
        <w:pStyle w:val="Heading1"/>
        <w:spacing w:before="20"/>
      </w:pPr>
      <w:r>
        <w:rPr/>
        <w:pict>
          <v:line style="position:absolute;mso-position-horizontal-relative:page;mso-position-vertical-relative:paragraph;z-index:-27640" from="49.560001pt,2.966659pt" to="545.760001pt,2.966659pt" stroked="true" strokeweight=".71997pt" strokecolor="#000000">
            <v:stroke dashstyle="solid"/>
            <w10:wrap type="none"/>
          </v:line>
        </w:pict>
      </w:r>
      <w:r>
        <w:rPr>
          <w:w w:val="95"/>
        </w:rPr>
        <w:t>交银康联附加钟爱一生重大疾病保险条款</w:t>
      </w:r>
      <w:r>
        <w:rPr>
          <w:spacing w:val="11"/>
          <w:w w:val="95"/>
          <w:vertAlign w:val="subscript"/>
        </w:rPr>
        <w:t>（</w:t>
      </w:r>
      <w:r>
        <w:rPr>
          <w:spacing w:val="11"/>
          <w:w w:val="95"/>
          <w:vertAlign w:val="baseline"/>
        </w:rPr>
      </w:r>
      <w:r>
        <w:rPr>
          <w:spacing w:val="11"/>
          <w:w w:val="95"/>
          <w:vertAlign w:val="subscript"/>
        </w:rPr>
        <w:t>2</w:t>
      </w:r>
      <w:r>
        <w:rPr>
          <w:spacing w:val="11"/>
          <w:w w:val="95"/>
          <w:vertAlign w:val="baseline"/>
        </w:rPr>
      </w:r>
      <w:r>
        <w:rPr>
          <w:spacing w:val="11"/>
          <w:w w:val="95"/>
          <w:vertAlign w:val="subscript"/>
        </w:rPr>
        <w:t>0</w:t>
      </w:r>
      <w:r>
        <w:rPr>
          <w:spacing w:val="11"/>
          <w:w w:val="95"/>
          <w:vertAlign w:val="baseline"/>
        </w:rPr>
      </w:r>
      <w:r>
        <w:rPr>
          <w:spacing w:val="11"/>
          <w:w w:val="95"/>
          <w:vertAlign w:val="subscript"/>
        </w:rPr>
        <w:t>1</w:t>
      </w:r>
      <w:r>
        <w:rPr>
          <w:spacing w:val="11"/>
          <w:w w:val="95"/>
          <w:vertAlign w:val="baseline"/>
        </w:rPr>
      </w:r>
      <w:r>
        <w:rPr>
          <w:spacing w:val="11"/>
          <w:w w:val="95"/>
          <w:vertAlign w:val="subscript"/>
        </w:rPr>
        <w:t>0</w:t>
      </w:r>
      <w:r>
        <w:rPr>
          <w:spacing w:val="60"/>
          <w:w w:val="95"/>
          <w:vertAlign w:val="subscript"/>
        </w:rPr>
        <w:t>年</w:t>
      </w:r>
      <w:r>
        <w:rPr>
          <w:w w:val="95"/>
          <w:vertAlign w:val="subscript"/>
        </w:rPr>
        <w:t>1</w:t>
      </w:r>
      <w:r>
        <w:rPr>
          <w:spacing w:val="15"/>
          <w:w w:val="95"/>
          <w:vertAlign w:val="baseline"/>
        </w:rPr>
        <w:t>  月</w:t>
      </w:r>
      <w:r>
        <w:rPr>
          <w:w w:val="95"/>
          <w:vertAlign w:val="subscript"/>
        </w:rPr>
        <w:t>）</w:t>
      </w:r>
      <w:r>
        <w:rPr>
          <w:w w:val="95"/>
          <w:vertAlign w:val="baseline"/>
        </w:rPr>
      </w:r>
    </w:p>
    <w:p>
      <w:pPr>
        <w:spacing w:before="71"/>
        <w:ind w:left="1814" w:right="181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814" w:right="181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8.1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保险事故发生后请您及时通知本公司</w:t>
        <w:tab/>
        <w:t>3.2</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本公司对保障范围内的重大疾病做了定义，请您仔细阅读</w:t>
        <w:tab/>
        <w:t>9.3</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6"/>
        <w:ind w:left="305" w:right="0" w:firstLine="0"/>
        <w:jc w:val="left"/>
        <w:rPr>
          <w:b/>
          <w:sz w:val="21"/>
        </w:rPr>
      </w:pPr>
      <w:r>
        <w:rPr/>
        <w:pict>
          <v:shapetype id="_x0000_t202" o:spt="202" coordsize="21600,21600" path="m,l,21600r21600,l21600,xe">
            <v:stroke joinstyle="miter"/>
            <v:path gradientshapeok="t" o:connecttype="rect"/>
          </v:shapetype>
          <v:shape style="position:absolute;margin-left:76.785004pt;margin-top:24.608009pt;width:460.35pt;height:281.6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2999"/>
                    <w:gridCol w:w="667"/>
                    <w:gridCol w:w="2434"/>
                  </w:tblGrid>
                  <w:tr>
                    <w:trPr>
                      <w:trHeight w:val="512" w:hRule="atLeast"/>
                    </w:trPr>
                    <w:tc>
                      <w:tcPr>
                        <w:tcW w:w="3091" w:type="dxa"/>
                        <w:tcBorders>
                          <w:top w:val="dotted" w:sz="6" w:space="0" w:color="000000"/>
                          <w:left w:val="dotted" w:sz="6" w:space="0" w:color="000000"/>
                        </w:tcBorders>
                      </w:tcPr>
                      <w:p>
                        <w:pPr>
                          <w:pStyle w:val="TableParagraph"/>
                          <w:spacing w:line="342" w:lineRule="exact" w:before="151"/>
                          <w:ind w:left="462"/>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999" w:type="dxa"/>
                        <w:tcBorders>
                          <w:top w:val="dotted" w:sz="6" w:space="0" w:color="000000"/>
                        </w:tcBorders>
                      </w:tcPr>
                      <w:p>
                        <w:pPr>
                          <w:pStyle w:val="TableParagraph"/>
                          <w:spacing w:line="342" w:lineRule="exact" w:before="151"/>
                          <w:ind w:left="212"/>
                          <w:rPr>
                            <w:rFonts w:ascii="Microsoft JhengHei" w:eastAsia="Microsoft JhengHei" w:hint="eastAsia"/>
                            <w:b/>
                            <w:sz w:val="21"/>
                          </w:rPr>
                        </w:pPr>
                        <w:r>
                          <w:rPr>
                            <w:sz w:val="21"/>
                          </w:rPr>
                          <w:t>5</w:t>
                        </w:r>
                        <w:r>
                          <w:rPr>
                            <w:rFonts w:ascii="Microsoft JhengHei" w:eastAsia="Microsoft JhengHei" w:hint="eastAsia"/>
                            <w:b/>
                            <w:sz w:val="21"/>
                          </w:rPr>
                          <w:t>．现金价值权益</w:t>
                        </w:r>
                      </w:p>
                    </w:tc>
                    <w:tc>
                      <w:tcPr>
                        <w:tcW w:w="667" w:type="dxa"/>
                        <w:tcBorders>
                          <w:top w:val="dotted" w:sz="6" w:space="0" w:color="000000"/>
                        </w:tcBorders>
                      </w:tcPr>
                      <w:p>
                        <w:pPr>
                          <w:pStyle w:val="TableParagraph"/>
                          <w:spacing w:before="9"/>
                          <w:rPr>
                            <w:b/>
                            <w:sz w:val="16"/>
                          </w:rPr>
                        </w:pPr>
                      </w:p>
                      <w:p>
                        <w:pPr>
                          <w:pStyle w:val="TableParagraph"/>
                          <w:spacing w:line="274" w:lineRule="exact"/>
                          <w:ind w:left="255"/>
                          <w:rPr>
                            <w:sz w:val="21"/>
                          </w:rPr>
                        </w:pPr>
                        <w:r>
                          <w:rPr>
                            <w:sz w:val="21"/>
                          </w:rPr>
                          <w:t>9.6</w:t>
                        </w:r>
                      </w:p>
                    </w:tc>
                    <w:tc>
                      <w:tcPr>
                        <w:tcW w:w="2434" w:type="dxa"/>
                        <w:tcBorders>
                          <w:top w:val="dotted" w:sz="6" w:space="0" w:color="000000"/>
                          <w:right w:val="dotted" w:sz="6" w:space="0" w:color="000000"/>
                        </w:tcBorders>
                      </w:tcPr>
                      <w:p>
                        <w:pPr>
                          <w:pStyle w:val="TableParagraph"/>
                          <w:spacing w:before="9"/>
                          <w:rPr>
                            <w:b/>
                            <w:sz w:val="16"/>
                          </w:rPr>
                        </w:pPr>
                      </w:p>
                      <w:p>
                        <w:pPr>
                          <w:pStyle w:val="TableParagraph"/>
                          <w:spacing w:line="274" w:lineRule="exact"/>
                          <w:ind w:left="8"/>
                          <w:rPr>
                            <w:sz w:val="21"/>
                          </w:rPr>
                        </w:pPr>
                        <w:r>
                          <w:rPr>
                            <w:sz w:val="21"/>
                          </w:rPr>
                          <w:t>医院</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1.1 合同构成</w:t>
                        </w:r>
                      </w:p>
                    </w:tc>
                    <w:tc>
                      <w:tcPr>
                        <w:tcW w:w="2999" w:type="dxa"/>
                      </w:tcPr>
                      <w:p>
                        <w:pPr>
                          <w:pStyle w:val="TableParagraph"/>
                          <w:spacing w:line="229" w:lineRule="exact"/>
                          <w:ind w:left="422"/>
                          <w:rPr>
                            <w:sz w:val="21"/>
                          </w:rPr>
                        </w:pPr>
                        <w:r>
                          <w:rPr>
                            <w:sz w:val="21"/>
                          </w:rPr>
                          <w:t>5.1 现金价值</w:t>
                        </w:r>
                      </w:p>
                    </w:tc>
                    <w:tc>
                      <w:tcPr>
                        <w:tcW w:w="667" w:type="dxa"/>
                      </w:tcPr>
                      <w:p>
                        <w:pPr>
                          <w:pStyle w:val="TableParagraph"/>
                          <w:spacing w:line="230" w:lineRule="exact"/>
                          <w:ind w:left="255"/>
                          <w:rPr>
                            <w:sz w:val="21"/>
                          </w:rPr>
                        </w:pPr>
                        <w:r>
                          <w:rPr>
                            <w:sz w:val="21"/>
                          </w:rPr>
                          <w:t>9.7</w:t>
                        </w:r>
                      </w:p>
                    </w:tc>
                    <w:tc>
                      <w:tcPr>
                        <w:tcW w:w="2434" w:type="dxa"/>
                        <w:tcBorders>
                          <w:right w:val="dotted" w:sz="6" w:space="0" w:color="000000"/>
                        </w:tcBorders>
                      </w:tcPr>
                      <w:p>
                        <w:pPr>
                          <w:pStyle w:val="TableParagraph"/>
                          <w:spacing w:line="230" w:lineRule="exact"/>
                          <w:ind w:left="8"/>
                          <w:rPr>
                            <w:sz w:val="21"/>
                          </w:rPr>
                        </w:pPr>
                        <w:r>
                          <w:rPr>
                            <w:sz w:val="21"/>
                          </w:rPr>
                          <w:t>专科医生</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1.2 合同生效</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67" w:type="dxa"/>
                      </w:tcPr>
                      <w:p>
                        <w:pPr>
                          <w:pStyle w:val="TableParagraph"/>
                          <w:spacing w:line="230" w:lineRule="exact"/>
                          <w:ind w:left="255"/>
                          <w:rPr>
                            <w:sz w:val="21"/>
                          </w:rPr>
                        </w:pPr>
                        <w:r>
                          <w:rPr>
                            <w:sz w:val="21"/>
                          </w:rPr>
                          <w:t>9.8</w:t>
                        </w:r>
                      </w:p>
                    </w:tc>
                    <w:tc>
                      <w:tcPr>
                        <w:tcW w:w="2434" w:type="dxa"/>
                        <w:tcBorders>
                          <w:right w:val="dotted" w:sz="6" w:space="0" w:color="000000"/>
                        </w:tcBorders>
                      </w:tcPr>
                      <w:p>
                        <w:pPr>
                          <w:pStyle w:val="TableParagraph"/>
                          <w:spacing w:line="230" w:lineRule="exact"/>
                          <w:ind w:left="11"/>
                          <w:rPr>
                            <w:sz w:val="21"/>
                          </w:rPr>
                        </w:pPr>
                        <w:r>
                          <w:rPr>
                            <w:sz w:val="21"/>
                          </w:rPr>
                          <w:t>感染艾滋病病毒或患</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1.3 投保年龄</w:t>
                        </w:r>
                      </w:p>
                    </w:tc>
                    <w:tc>
                      <w:tcPr>
                        <w:tcW w:w="2999" w:type="dxa"/>
                      </w:tcPr>
                      <w:p>
                        <w:pPr>
                          <w:pStyle w:val="TableParagraph"/>
                          <w:spacing w:line="230" w:lineRule="exact"/>
                          <w:ind w:left="422"/>
                          <w:rPr>
                            <w:sz w:val="21"/>
                          </w:rPr>
                        </w:pPr>
                        <w:r>
                          <w:rPr>
                            <w:sz w:val="21"/>
                          </w:rPr>
                          <w:t>6.1 效力中止</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spacing w:line="230" w:lineRule="exact"/>
                          <w:ind w:left="8"/>
                          <w:rPr>
                            <w:sz w:val="21"/>
                          </w:rPr>
                        </w:pPr>
                        <w:r>
                          <w:rPr>
                            <w:sz w:val="21"/>
                          </w:rPr>
                          <w:t>艾滋病</w:t>
                        </w:r>
                      </w:p>
                    </w:tc>
                  </w:tr>
                  <w:tr>
                    <w:trPr>
                      <w:trHeight w:val="249"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2．本公司提供的保障</w:t>
                        </w:r>
                      </w:p>
                    </w:tc>
                    <w:tc>
                      <w:tcPr>
                        <w:tcW w:w="2999" w:type="dxa"/>
                      </w:tcPr>
                      <w:p>
                        <w:pPr>
                          <w:pStyle w:val="TableParagraph"/>
                          <w:spacing w:line="229" w:lineRule="exact"/>
                          <w:ind w:left="422"/>
                          <w:rPr>
                            <w:sz w:val="21"/>
                          </w:rPr>
                        </w:pPr>
                        <w:r>
                          <w:rPr>
                            <w:sz w:val="21"/>
                          </w:rPr>
                          <w:t>6.2 效力恢复</w:t>
                        </w:r>
                      </w:p>
                    </w:tc>
                    <w:tc>
                      <w:tcPr>
                        <w:tcW w:w="667" w:type="dxa"/>
                      </w:tcPr>
                      <w:p>
                        <w:pPr>
                          <w:pStyle w:val="TableParagraph"/>
                          <w:spacing w:line="230" w:lineRule="exact"/>
                          <w:ind w:left="255"/>
                          <w:rPr>
                            <w:sz w:val="21"/>
                          </w:rPr>
                        </w:pPr>
                        <w:r>
                          <w:rPr>
                            <w:sz w:val="21"/>
                          </w:rPr>
                          <w:t>9.9</w:t>
                        </w:r>
                      </w:p>
                    </w:tc>
                    <w:tc>
                      <w:tcPr>
                        <w:tcW w:w="2434" w:type="dxa"/>
                        <w:tcBorders>
                          <w:right w:val="dotted" w:sz="6" w:space="0" w:color="000000"/>
                        </w:tcBorders>
                      </w:tcPr>
                      <w:p>
                        <w:pPr>
                          <w:pStyle w:val="TableParagraph"/>
                          <w:spacing w:line="230" w:lineRule="exact"/>
                          <w:ind w:left="8"/>
                          <w:rPr>
                            <w:sz w:val="21"/>
                          </w:rPr>
                        </w:pPr>
                        <w:r>
                          <w:rPr>
                            <w:sz w:val="21"/>
                          </w:rPr>
                          <w:t>遗传性疾病</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2.1 保险金额</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7．合同解除</w:t>
                        </w:r>
                      </w:p>
                    </w:tc>
                    <w:tc>
                      <w:tcPr>
                        <w:tcW w:w="667" w:type="dxa"/>
                      </w:tcPr>
                      <w:p>
                        <w:pPr>
                          <w:pStyle w:val="TableParagraph"/>
                          <w:spacing w:line="230" w:lineRule="exact"/>
                          <w:ind w:left="255" w:right="-15"/>
                          <w:rPr>
                            <w:sz w:val="21"/>
                          </w:rPr>
                        </w:pPr>
                        <w:r>
                          <w:rPr>
                            <w:sz w:val="21"/>
                          </w:rPr>
                          <w:t>9.10</w:t>
                        </w:r>
                      </w:p>
                    </w:tc>
                    <w:tc>
                      <w:tcPr>
                        <w:tcW w:w="2434" w:type="dxa"/>
                        <w:tcBorders>
                          <w:right w:val="dotted" w:sz="6" w:space="0" w:color="000000"/>
                        </w:tcBorders>
                      </w:tcPr>
                      <w:p>
                        <w:pPr>
                          <w:pStyle w:val="TableParagraph"/>
                          <w:spacing w:line="230" w:lineRule="exact"/>
                          <w:ind w:left="113"/>
                          <w:rPr>
                            <w:sz w:val="21"/>
                          </w:rPr>
                        </w:pPr>
                        <w:r>
                          <w:rPr>
                            <w:sz w:val="21"/>
                          </w:rPr>
                          <w:t>先天性畸形、变形或</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2.2 保险期间</w:t>
                        </w:r>
                      </w:p>
                    </w:tc>
                    <w:tc>
                      <w:tcPr>
                        <w:tcW w:w="2999" w:type="dxa"/>
                      </w:tcPr>
                      <w:p>
                        <w:pPr>
                          <w:pStyle w:val="TableParagraph"/>
                          <w:spacing w:line="230" w:lineRule="exact"/>
                          <w:ind w:right="264"/>
                          <w:jc w:val="right"/>
                          <w:rPr>
                            <w:sz w:val="21"/>
                          </w:rPr>
                        </w:pPr>
                        <w:r>
                          <w:rPr>
                            <w:sz w:val="21"/>
                          </w:rPr>
                          <w:t>7.1 您解除合同的手续及</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spacing w:line="230" w:lineRule="exact"/>
                          <w:ind w:left="114"/>
                          <w:rPr>
                            <w:sz w:val="21"/>
                          </w:rPr>
                        </w:pPr>
                        <w:r>
                          <w:rPr>
                            <w:sz w:val="21"/>
                          </w:rPr>
                          <w:t>染色体异常</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2.3 保险责任</w:t>
                        </w:r>
                      </w:p>
                    </w:tc>
                    <w:tc>
                      <w:tcPr>
                        <w:tcW w:w="2999" w:type="dxa"/>
                      </w:tcPr>
                      <w:p>
                        <w:pPr>
                          <w:pStyle w:val="TableParagraph"/>
                          <w:spacing w:line="229" w:lineRule="exact"/>
                          <w:ind w:left="842"/>
                          <w:rPr>
                            <w:sz w:val="21"/>
                          </w:rPr>
                        </w:pPr>
                        <w:r>
                          <w:rPr>
                            <w:sz w:val="21"/>
                          </w:rPr>
                          <w:t>风险</w:t>
                        </w:r>
                      </w:p>
                    </w:tc>
                    <w:tc>
                      <w:tcPr>
                        <w:tcW w:w="667" w:type="dxa"/>
                      </w:tcPr>
                      <w:p>
                        <w:pPr>
                          <w:pStyle w:val="TableParagraph"/>
                          <w:spacing w:line="230" w:lineRule="exact"/>
                          <w:ind w:left="255" w:right="-15"/>
                          <w:rPr>
                            <w:sz w:val="21"/>
                          </w:rPr>
                        </w:pPr>
                        <w:r>
                          <w:rPr>
                            <w:sz w:val="21"/>
                          </w:rPr>
                          <w:t>9.11</w:t>
                        </w:r>
                      </w:p>
                    </w:tc>
                    <w:tc>
                      <w:tcPr>
                        <w:tcW w:w="2434" w:type="dxa"/>
                        <w:tcBorders>
                          <w:right w:val="dotted" w:sz="6" w:space="0" w:color="000000"/>
                        </w:tcBorders>
                      </w:tcPr>
                      <w:p>
                        <w:pPr>
                          <w:pStyle w:val="TableParagraph"/>
                          <w:spacing w:line="230" w:lineRule="exact"/>
                          <w:ind w:left="113"/>
                          <w:rPr>
                            <w:sz w:val="21"/>
                          </w:rPr>
                        </w:pPr>
                        <w:r>
                          <w:rPr>
                            <w:sz w:val="21"/>
                          </w:rPr>
                          <w:t>适用主合同释义</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2.4 责任免除</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8．其他需要关注的事项</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3．保险金的申请</w:t>
                        </w:r>
                      </w:p>
                    </w:tc>
                    <w:tc>
                      <w:tcPr>
                        <w:tcW w:w="2999" w:type="dxa"/>
                      </w:tcPr>
                      <w:p>
                        <w:pPr>
                          <w:pStyle w:val="TableParagraph"/>
                          <w:spacing w:line="230" w:lineRule="exact"/>
                          <w:ind w:left="422"/>
                          <w:rPr>
                            <w:sz w:val="21"/>
                          </w:rPr>
                        </w:pPr>
                        <w:r>
                          <w:rPr>
                            <w:sz w:val="21"/>
                          </w:rPr>
                          <w:t>8.1 效力终止</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3.1 受益人</w:t>
                        </w:r>
                      </w:p>
                    </w:tc>
                    <w:tc>
                      <w:tcPr>
                        <w:tcW w:w="2999" w:type="dxa"/>
                      </w:tcPr>
                      <w:p>
                        <w:pPr>
                          <w:pStyle w:val="TableParagraph"/>
                          <w:spacing w:line="230" w:lineRule="exact"/>
                          <w:ind w:left="422"/>
                          <w:rPr>
                            <w:sz w:val="21"/>
                          </w:rPr>
                        </w:pPr>
                        <w:r>
                          <w:rPr>
                            <w:sz w:val="21"/>
                          </w:rPr>
                          <w:t>8.2 适用主合同条款</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3.2 保险事故通知</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9．释义</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3.3 保险金申请</w:t>
                        </w:r>
                      </w:p>
                    </w:tc>
                    <w:tc>
                      <w:tcPr>
                        <w:tcW w:w="2999" w:type="dxa"/>
                      </w:tcPr>
                      <w:p>
                        <w:pPr>
                          <w:pStyle w:val="TableParagraph"/>
                          <w:spacing w:line="230" w:lineRule="exact"/>
                          <w:ind w:left="422"/>
                          <w:rPr>
                            <w:sz w:val="21"/>
                          </w:rPr>
                        </w:pPr>
                        <w:r>
                          <w:rPr>
                            <w:sz w:val="21"/>
                          </w:rPr>
                          <w:t>9.1 重大疾病</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3.4 保险金给付</w:t>
                        </w:r>
                      </w:p>
                    </w:tc>
                    <w:tc>
                      <w:tcPr>
                        <w:tcW w:w="2999" w:type="dxa"/>
                      </w:tcPr>
                      <w:p>
                        <w:pPr>
                          <w:pStyle w:val="TableParagraph"/>
                          <w:spacing w:line="230" w:lineRule="exact"/>
                          <w:ind w:right="237"/>
                          <w:jc w:val="right"/>
                          <w:rPr>
                            <w:sz w:val="21"/>
                          </w:rPr>
                        </w:pPr>
                        <w:r>
                          <w:rPr>
                            <w:sz w:val="21"/>
                          </w:rPr>
                          <w:t>9.2 六项基本日常生活活</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3.5 诉讼时效</w:t>
                        </w:r>
                      </w:p>
                    </w:tc>
                    <w:tc>
                      <w:tcPr>
                        <w:tcW w:w="2999" w:type="dxa"/>
                      </w:tcPr>
                      <w:p>
                        <w:pPr>
                          <w:pStyle w:val="TableParagraph"/>
                          <w:spacing w:line="230" w:lineRule="exact"/>
                          <w:ind w:left="842"/>
                          <w:rPr>
                            <w:sz w:val="21"/>
                          </w:rPr>
                        </w:pPr>
                        <w:r>
                          <w:rPr>
                            <w:sz w:val="21"/>
                          </w:rPr>
                          <w:t>动</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w w:val="105"/>
                            <w:sz w:val="21"/>
                          </w:rPr>
                          <w:t>4</w:t>
                        </w:r>
                        <w:r>
                          <w:rPr>
                            <w:rFonts w:ascii="Microsoft JhengHei" w:eastAsia="Microsoft JhengHei" w:hint="eastAsia"/>
                            <w:b/>
                            <w:w w:val="105"/>
                            <w:sz w:val="21"/>
                          </w:rPr>
                          <w:t>. 保险费的交纳</w:t>
                        </w:r>
                      </w:p>
                    </w:tc>
                    <w:tc>
                      <w:tcPr>
                        <w:tcW w:w="2999" w:type="dxa"/>
                      </w:tcPr>
                      <w:p>
                        <w:pPr>
                          <w:pStyle w:val="TableParagraph"/>
                          <w:spacing w:line="230" w:lineRule="exact"/>
                          <w:ind w:left="422"/>
                          <w:rPr>
                            <w:sz w:val="21"/>
                          </w:rPr>
                        </w:pPr>
                        <w:r>
                          <w:rPr>
                            <w:sz w:val="21"/>
                          </w:rPr>
                          <w:t>9.3 肢体机能完全丧失</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4.1 保险费的交纳</w:t>
                        </w:r>
                      </w:p>
                    </w:tc>
                    <w:tc>
                      <w:tcPr>
                        <w:tcW w:w="2999" w:type="dxa"/>
                      </w:tcPr>
                      <w:p>
                        <w:pPr>
                          <w:pStyle w:val="TableParagraph"/>
                          <w:spacing w:line="230" w:lineRule="exact"/>
                          <w:ind w:right="237"/>
                          <w:jc w:val="right"/>
                          <w:rPr>
                            <w:sz w:val="21"/>
                          </w:rPr>
                        </w:pPr>
                        <w:r>
                          <w:rPr>
                            <w:sz w:val="21"/>
                          </w:rPr>
                          <w:t>9.4 语言能力或咀嚼吞咽</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4.2 宽限期</w:t>
                        </w:r>
                      </w:p>
                    </w:tc>
                    <w:tc>
                      <w:tcPr>
                        <w:tcW w:w="2999" w:type="dxa"/>
                      </w:tcPr>
                      <w:p>
                        <w:pPr>
                          <w:pStyle w:val="TableParagraph"/>
                          <w:spacing w:line="230" w:lineRule="exact"/>
                          <w:ind w:left="842"/>
                          <w:rPr>
                            <w:sz w:val="21"/>
                          </w:rPr>
                        </w:pPr>
                        <w:r>
                          <w:rPr>
                            <w:sz w:val="21"/>
                          </w:rPr>
                          <w:t>能力完全丧失</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840" w:hRule="atLeast"/>
                    </w:trPr>
                    <w:tc>
                      <w:tcPr>
                        <w:tcW w:w="3091" w:type="dxa"/>
                        <w:tcBorders>
                          <w:left w:val="dotted" w:sz="6" w:space="0" w:color="000000"/>
                          <w:bottom w:val="dotted" w:sz="6" w:space="0" w:color="000000"/>
                        </w:tcBorders>
                      </w:tcPr>
                      <w:p>
                        <w:pPr>
                          <w:pStyle w:val="TableParagraph"/>
                          <w:spacing w:line="230" w:lineRule="exact"/>
                          <w:ind w:left="672"/>
                          <w:rPr>
                            <w:sz w:val="21"/>
                          </w:rPr>
                        </w:pPr>
                        <w:r>
                          <w:rPr>
                            <w:sz w:val="21"/>
                          </w:rPr>
                          <w:t>4.3 保险费率调整</w:t>
                        </w:r>
                      </w:p>
                    </w:tc>
                    <w:tc>
                      <w:tcPr>
                        <w:tcW w:w="2999" w:type="dxa"/>
                        <w:tcBorders>
                          <w:bottom w:val="dotted" w:sz="6" w:space="0" w:color="000000"/>
                        </w:tcBorders>
                      </w:tcPr>
                      <w:p>
                        <w:pPr>
                          <w:pStyle w:val="TableParagraph"/>
                          <w:spacing w:line="230" w:lineRule="exact"/>
                          <w:ind w:left="422"/>
                          <w:rPr>
                            <w:sz w:val="21"/>
                          </w:rPr>
                        </w:pPr>
                        <w:r>
                          <w:rPr>
                            <w:sz w:val="21"/>
                          </w:rPr>
                          <w:t>9.5 永久不可逆</w:t>
                        </w:r>
                      </w:p>
                    </w:tc>
                    <w:tc>
                      <w:tcPr>
                        <w:tcW w:w="667" w:type="dxa"/>
                        <w:tcBorders>
                          <w:bottom w:val="dotted" w:sz="6" w:space="0" w:color="000000"/>
                        </w:tcBorders>
                      </w:tcPr>
                      <w:p>
                        <w:pPr>
                          <w:pStyle w:val="TableParagraph"/>
                          <w:rPr>
                            <w:rFonts w:ascii="Times New Roman"/>
                            <w:sz w:val="20"/>
                          </w:rPr>
                        </w:pPr>
                      </w:p>
                    </w:tc>
                    <w:tc>
                      <w:tcPr>
                        <w:tcW w:w="2434"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326" w:right="0" w:firstLine="0"/>
        <w:jc w:val="left"/>
        <w:rPr>
          <w:rFonts w:ascii="微软雅黑" w:eastAsia="微软雅黑" w:hint="eastAsia"/>
          <w:b/>
          <w:sz w:val="32"/>
        </w:rPr>
      </w:pPr>
      <w:r>
        <w:rPr>
          <w:rFonts w:ascii="微软雅黑" w:eastAsia="微软雅黑" w:hint="eastAsia"/>
          <w:b/>
          <w:w w:val="95"/>
          <w:sz w:val="32"/>
        </w:rPr>
        <w:t>交银康联附加钟爱一生重大疾病保险条款</w:t>
      </w:r>
      <w:r>
        <w:rPr>
          <w:rFonts w:ascii="微软雅黑" w:eastAsia="微软雅黑" w:hint="eastAsia"/>
          <w:b/>
          <w:spacing w:val="11"/>
          <w:w w:val="95"/>
          <w:sz w:val="32"/>
          <w:vertAlign w:val="subscript"/>
        </w:rPr>
        <w:t>（</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2</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0</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1</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0</w:t>
      </w:r>
      <w:r>
        <w:rPr>
          <w:rFonts w:ascii="微软雅黑" w:eastAsia="微软雅黑" w:hint="eastAsia"/>
          <w:b/>
          <w:spacing w:val="60"/>
          <w:w w:val="95"/>
          <w:sz w:val="32"/>
          <w:vertAlign w:val="subscript"/>
        </w:rPr>
        <w:t>年</w:t>
      </w:r>
      <w:r>
        <w:rPr>
          <w:rFonts w:ascii="微软雅黑" w:eastAsia="微软雅黑" w:hint="eastAsia"/>
          <w:b/>
          <w:w w:val="95"/>
          <w:sz w:val="32"/>
          <w:vertAlign w:val="subscript"/>
        </w:rPr>
        <w:t>1</w:t>
      </w:r>
      <w:r>
        <w:rPr>
          <w:rFonts w:ascii="微软雅黑" w:eastAsia="微软雅黑" w:hint="eastAsia"/>
          <w:b/>
          <w:spacing w:val="15"/>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在本条款中，“您”指投保人，“本公司”指交银康联人寿保险有限公司，“本附加合同”指您与本公司之间订立的“交银康联附加钟爱一生重大疾病保险合同”。</w:t>
      </w:r>
    </w:p>
    <w:p>
      <w:pPr>
        <w:pStyle w:val="BodyText"/>
        <w:spacing w:before="0"/>
        <w:rPr>
          <w:sz w:val="20"/>
        </w:rPr>
      </w:pPr>
    </w:p>
    <w:p>
      <w:pPr>
        <w:pStyle w:val="BodyText"/>
        <w:spacing w:before="1"/>
      </w:pPr>
    </w:p>
    <w:p>
      <w:pPr>
        <w:pStyle w:val="Heading2"/>
        <w:tabs>
          <w:tab w:pos="978" w:val="left" w:leader="none"/>
        </w:tabs>
        <w:spacing w:before="0"/>
      </w:pPr>
      <w:r>
        <w:rPr/>
        <w:pict>
          <v:group style="position:absolute;margin-left:45.66pt;margin-top:28.100044pt;width:504.5pt;height:1pt;mso-position-horizontal-relative:page;mso-position-vertical-relative:paragraph;z-index:1096;mso-wrap-distance-left:0;mso-wrap-distance-right:0" coordorigin="913,562" coordsize="10090,20">
            <v:line style="position:absolute" from="913,572" to="3647,572" stroked="true" strokeweight=".95996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7" w:val="left" w:leader="none"/>
          <w:tab w:pos="978" w:val="left" w:leader="none"/>
          <w:tab w:pos="2935" w:val="left" w:leader="none"/>
        </w:tabs>
        <w:spacing w:line="273" w:lineRule="auto" w:before="35" w:after="0"/>
        <w:ind w:left="2935" w:right="103" w:hanging="2714"/>
        <w:jc w:val="left"/>
        <w:rPr>
          <w:sz w:val="21"/>
        </w:rPr>
      </w:pPr>
      <w:r>
        <w:rPr>
          <w:b/>
          <w:sz w:val="21"/>
        </w:rPr>
        <w:t>合同构成</w:t>
        <w:tab/>
      </w:r>
      <w:r>
        <w:rPr>
          <w:sz w:val="21"/>
        </w:rPr>
        <w:t>本附加合同是您与本公司约定保险权利义务关系的协议，包括本保险条款、保险单或其他保险凭证</w:t>
      </w:r>
      <w:r>
        <w:rPr>
          <w:spacing w:val="-29"/>
          <w:sz w:val="21"/>
        </w:rPr>
        <w:t>、</w:t>
      </w:r>
      <w:r>
        <w:rPr>
          <w:sz w:val="21"/>
        </w:rPr>
        <w:t>投保单</w:t>
      </w:r>
      <w:r>
        <w:rPr>
          <w:spacing w:val="-29"/>
          <w:sz w:val="21"/>
        </w:rPr>
        <w:t>、</w:t>
      </w:r>
      <w:r>
        <w:rPr>
          <w:sz w:val="21"/>
        </w:rPr>
        <w:t>与保险合同有关的投保文件</w:t>
      </w:r>
      <w:r>
        <w:rPr>
          <w:spacing w:val="-29"/>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35" w:val="left" w:leader="none"/>
        </w:tabs>
        <w:spacing w:line="273" w:lineRule="auto" w:before="0" w:after="0"/>
        <w:ind w:left="2935" w:right="103" w:hanging="2714"/>
        <w:jc w:val="left"/>
        <w:rPr>
          <w:sz w:val="21"/>
        </w:rPr>
      </w:pPr>
      <w:r>
        <w:rPr>
          <w:b/>
          <w:sz w:val="21"/>
        </w:rPr>
        <w:t>合同生效</w:t>
        <w:tab/>
      </w:r>
      <w:r>
        <w:rPr>
          <w:sz w:val="21"/>
        </w:rPr>
        <w:t>除另有约定外，本附加合同须与主合同同时投保，本附加合同的生效日与主合同相同</w:t>
      </w:r>
      <w:r>
        <w:rPr>
          <w:spacing w:val="-87"/>
          <w:sz w:val="21"/>
        </w:rPr>
        <w:t>。</w:t>
      </w:r>
      <w:r>
        <w:rPr>
          <w:sz w:val="21"/>
        </w:rPr>
        <w:t>本公司自合同生效日次日零时起开始承担本附加合同约定的保险责任。</w:t>
      </w:r>
    </w:p>
    <w:p>
      <w:pPr>
        <w:pStyle w:val="BodyText"/>
        <w:spacing w:before="4"/>
        <w:rPr>
          <w:sz w:val="24"/>
        </w:rPr>
      </w:pPr>
    </w:p>
    <w:p>
      <w:pPr>
        <w:pStyle w:val="ListParagraph"/>
        <w:numPr>
          <w:ilvl w:val="1"/>
          <w:numId w:val="2"/>
        </w:numPr>
        <w:tabs>
          <w:tab w:pos="978" w:val="left" w:leader="none"/>
          <w:tab w:pos="979" w:val="left" w:leader="none"/>
          <w:tab w:pos="2935" w:val="left" w:leader="none"/>
        </w:tabs>
        <w:spacing w:line="273" w:lineRule="auto" w:before="1" w:after="0"/>
        <w:ind w:left="2935" w:right="225" w:hanging="2714"/>
        <w:jc w:val="left"/>
        <w:rPr>
          <w:sz w:val="21"/>
        </w:rPr>
      </w:pPr>
      <w:r>
        <w:rPr>
          <w:b/>
          <w:sz w:val="21"/>
        </w:rPr>
        <w:t>投保年龄</w:t>
        <w:tab/>
      </w:r>
      <w:r>
        <w:rPr>
          <w:w w:val="95"/>
          <w:sz w:val="21"/>
        </w:rPr>
        <w:t>指您投保时被保险人的年龄，投保年龄以</w:t>
      </w:r>
      <w:r>
        <w:rPr>
          <w:b/>
          <w:w w:val="95"/>
          <w:sz w:val="21"/>
        </w:rPr>
        <w:t>周岁</w:t>
      </w:r>
      <w:r>
        <w:rPr>
          <w:w w:val="95"/>
          <w:sz w:val="21"/>
        </w:rPr>
        <w:t>计算，本附加合同接受的投保年    </w:t>
      </w:r>
      <w:r>
        <w:rPr>
          <w:sz w:val="21"/>
        </w:rPr>
        <w:t>龄为出生满</w:t>
      </w:r>
      <w:r>
        <w:rPr>
          <w:spacing w:val="-54"/>
          <w:sz w:val="21"/>
        </w:rPr>
        <w:t> </w:t>
      </w:r>
      <w:r>
        <w:rPr>
          <w:sz w:val="21"/>
        </w:rPr>
        <w:t>30</w:t>
      </w:r>
      <w:r>
        <w:rPr>
          <w:spacing w:val="-53"/>
          <w:sz w:val="21"/>
        </w:rPr>
        <w:t> </w:t>
      </w:r>
      <w:r>
        <w:rPr>
          <w:sz w:val="21"/>
        </w:rPr>
        <w:t>天至</w:t>
      </w:r>
      <w:r>
        <w:rPr>
          <w:spacing w:val="-55"/>
          <w:sz w:val="21"/>
        </w:rPr>
        <w:t> </w:t>
      </w:r>
      <w:r>
        <w:rPr>
          <w:sz w:val="21"/>
        </w:rPr>
        <w:t>55</w:t>
      </w:r>
      <w:r>
        <w:rPr>
          <w:spacing w:val="-54"/>
          <w:sz w:val="21"/>
        </w:rPr>
        <w:t> </w:t>
      </w:r>
      <w:r>
        <w:rPr>
          <w:b/>
          <w:sz w:val="21"/>
        </w:rPr>
        <w:t>周岁</w:t>
      </w:r>
      <w:r>
        <w:rPr>
          <w:sz w:val="21"/>
        </w:rPr>
        <w:t>。</w:t>
      </w:r>
    </w:p>
    <w:p>
      <w:pPr>
        <w:pStyle w:val="BodyText"/>
        <w:spacing w:before="6"/>
        <w:rPr>
          <w:sz w:val="20"/>
        </w:rPr>
      </w:pPr>
    </w:p>
    <w:p>
      <w:pPr>
        <w:pStyle w:val="Heading2"/>
        <w:tabs>
          <w:tab w:pos="978" w:val="left" w:leader="none"/>
        </w:tabs>
        <w:spacing w:before="62"/>
      </w:pPr>
      <w:r>
        <w:rPr/>
        <w:pict>
          <v:group style="position:absolute;margin-left:45.66pt;margin-top:31.200043pt;width:504.5pt;height:1pt;mso-position-horizontal-relative:page;mso-position-vertical-relative:paragraph;z-index:1120;mso-wrap-distance-left:0;mso-wrap-distance-right:0" coordorigin="913,624" coordsize="10090,20">
            <v:line style="position:absolute" from="913,634" to="3647,634" stroked="true" strokeweight=".96002pt" strokecolor="#000000">
              <v:stroke dashstyle="solid"/>
            </v:line>
            <v:line style="position:absolute" from="3647,634" to="11003,634"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3"/>
        </w:numPr>
        <w:tabs>
          <w:tab w:pos="978" w:val="left" w:leader="none"/>
          <w:tab w:pos="979" w:val="left" w:leader="none"/>
          <w:tab w:pos="2935" w:val="left" w:leader="none"/>
        </w:tabs>
        <w:spacing w:line="273" w:lineRule="auto" w:before="35" w:after="0"/>
        <w:ind w:left="2935" w:right="226" w:hanging="2714"/>
        <w:jc w:val="left"/>
        <w:rPr>
          <w:sz w:val="21"/>
        </w:rPr>
      </w:pPr>
      <w:r>
        <w:rPr>
          <w:b/>
          <w:sz w:val="21"/>
        </w:rPr>
        <w:t>保险金额</w:t>
        <w:tab/>
      </w:r>
      <w:r>
        <w:rPr>
          <w:sz w:val="21"/>
        </w:rPr>
        <w:t>本附加合同的保险金额由您在投保时与本公司约定，为本附加合同保险费的计算基础，并载明于保险单或批注上。</w:t>
      </w:r>
    </w:p>
    <w:p>
      <w:pPr>
        <w:pStyle w:val="BodyText"/>
        <w:spacing w:before="13"/>
        <w:rPr>
          <w:sz w:val="17"/>
        </w:rPr>
      </w:pPr>
    </w:p>
    <w:p>
      <w:pPr>
        <w:pStyle w:val="ListParagraph"/>
        <w:numPr>
          <w:ilvl w:val="1"/>
          <w:numId w:val="3"/>
        </w:numPr>
        <w:tabs>
          <w:tab w:pos="977" w:val="left" w:leader="none"/>
          <w:tab w:pos="978" w:val="left" w:leader="none"/>
          <w:tab w:pos="2935" w:val="left" w:leader="none"/>
        </w:tabs>
        <w:spacing w:line="273" w:lineRule="auto" w:before="0" w:after="0"/>
        <w:ind w:left="2935" w:right="331" w:hanging="2714"/>
        <w:jc w:val="left"/>
        <w:rPr>
          <w:sz w:val="21"/>
        </w:rPr>
      </w:pPr>
      <w:r>
        <w:rPr>
          <w:b/>
          <w:sz w:val="21"/>
        </w:rPr>
        <w:t>保险期间</w:t>
        <w:tab/>
      </w:r>
      <w:r>
        <w:rPr>
          <w:sz w:val="21"/>
        </w:rPr>
        <w:t>本附加合同的保险期间自本附加合同生效日次日零时起至被保险人年满</w:t>
      </w:r>
      <w:r>
        <w:rPr>
          <w:spacing w:val="-69"/>
          <w:sz w:val="21"/>
        </w:rPr>
        <w:t> </w:t>
      </w:r>
      <w:r>
        <w:rPr>
          <w:sz w:val="21"/>
        </w:rPr>
        <w:t>70</w:t>
      </w:r>
      <w:r>
        <w:rPr>
          <w:spacing w:val="-68"/>
          <w:sz w:val="21"/>
        </w:rPr>
        <w:t> </w:t>
      </w:r>
      <w:r>
        <w:rPr>
          <w:b/>
          <w:sz w:val="21"/>
        </w:rPr>
        <w:t>周岁</w:t>
      </w:r>
      <w:r>
        <w:rPr>
          <w:sz w:val="21"/>
        </w:rPr>
        <w:t>后的首个</w:t>
      </w:r>
      <w:r>
        <w:rPr>
          <w:b/>
          <w:sz w:val="21"/>
        </w:rPr>
        <w:t>保险合同周年日</w:t>
      </w:r>
      <w:r>
        <w:rPr>
          <w:b/>
          <w:spacing w:val="-55"/>
          <w:sz w:val="21"/>
        </w:rPr>
        <w:t> </w:t>
      </w:r>
      <w:r>
        <w:rPr>
          <w:sz w:val="21"/>
        </w:rPr>
        <w:t>24</w:t>
      </w:r>
      <w:r>
        <w:rPr>
          <w:spacing w:val="-55"/>
          <w:sz w:val="21"/>
        </w:rPr>
        <w:t> </w:t>
      </w:r>
      <w:r>
        <w:rPr>
          <w:sz w:val="21"/>
        </w:rPr>
        <w:t>时止。</w:t>
      </w:r>
    </w:p>
    <w:p>
      <w:pPr>
        <w:pStyle w:val="BodyText"/>
        <w:spacing w:before="12"/>
        <w:rPr>
          <w:sz w:val="17"/>
        </w:rPr>
      </w:pPr>
    </w:p>
    <w:p>
      <w:pPr>
        <w:pStyle w:val="ListParagraph"/>
        <w:numPr>
          <w:ilvl w:val="1"/>
          <w:numId w:val="3"/>
        </w:numPr>
        <w:tabs>
          <w:tab w:pos="977" w:val="left" w:leader="none"/>
          <w:tab w:pos="978" w:val="left" w:leader="none"/>
          <w:tab w:pos="2935" w:val="left" w:leader="none"/>
        </w:tabs>
        <w:spacing w:line="240" w:lineRule="auto" w:before="0" w:after="0"/>
        <w:ind w:left="977" w:right="0" w:hanging="756"/>
        <w:jc w:val="left"/>
        <w:rPr>
          <w:sz w:val="21"/>
        </w:rPr>
      </w:pPr>
      <w:r>
        <w:rPr>
          <w:b/>
          <w:sz w:val="21"/>
        </w:rPr>
        <w:t>保险责任</w:t>
        <w:tab/>
      </w:r>
      <w:r>
        <w:rPr>
          <w:sz w:val="21"/>
        </w:rPr>
        <w:t>在本附加合同保险责任有效期间内，本公司承担下列保险责任：</w:t>
      </w:r>
    </w:p>
    <w:p>
      <w:pPr>
        <w:pStyle w:val="BodyText"/>
        <w:spacing w:before="4"/>
        <w:rPr>
          <w:sz w:val="20"/>
        </w:rPr>
      </w:pPr>
    </w:p>
    <w:p>
      <w:pPr>
        <w:pStyle w:val="BodyText"/>
        <w:tabs>
          <w:tab w:pos="2935" w:val="left" w:leader="none"/>
        </w:tabs>
        <w:spacing w:line="273" w:lineRule="auto" w:before="0"/>
        <w:ind w:left="2935" w:right="209" w:hanging="1958"/>
      </w:pPr>
      <w:r>
        <w:rPr>
          <w:b/>
        </w:rPr>
        <w:t>重大疾病保险金</w:t>
        <w:tab/>
      </w:r>
      <w:r>
        <w:rPr/>
        <w:t>如果被保险人在合同生效日或最后复效日（以较迟者为准）180</w:t>
      </w:r>
      <w:r>
        <w:rPr>
          <w:spacing w:val="-86"/>
        </w:rPr>
        <w:t> </w:t>
      </w:r>
      <w:r>
        <w:rPr/>
        <w:t>日以后，经</w:t>
      </w:r>
      <w:r>
        <w:rPr>
          <w:b/>
        </w:rPr>
        <w:t>医院</w:t>
      </w:r>
      <w:r>
        <w:rPr/>
        <w:t>的</w:t>
      </w:r>
      <w:r>
        <w:rPr>
          <w:b/>
        </w:rPr>
        <w:t>专科医生</w:t>
      </w:r>
      <w:r>
        <w:rPr/>
        <w:t>确诊初次患上本附加合同内所界定的</w:t>
      </w:r>
      <w:r>
        <w:rPr>
          <w:b/>
        </w:rPr>
        <w:t>重大疾病</w:t>
      </w:r>
      <w:r>
        <w:rPr/>
        <w:t>中的任何一种疾 病</w:t>
      </w:r>
      <w:r>
        <w:rPr>
          <w:spacing w:val="-29"/>
        </w:rPr>
        <w:t>，</w:t>
      </w:r>
      <w:r>
        <w:rPr/>
        <w:t>并于患病后</w:t>
      </w:r>
      <w:r>
        <w:rPr>
          <w:spacing w:val="-65"/>
        </w:rPr>
        <w:t> </w:t>
      </w:r>
      <w:r>
        <w:rPr/>
        <w:t>30</w:t>
      </w:r>
      <w:r>
        <w:rPr>
          <w:spacing w:val="-64"/>
        </w:rPr>
        <w:t> </w:t>
      </w:r>
      <w:r>
        <w:rPr/>
        <w:t>日仍生存</w:t>
      </w:r>
      <w:r>
        <w:rPr>
          <w:spacing w:val="-29"/>
        </w:rPr>
        <w:t>，</w:t>
      </w:r>
      <w:r>
        <w:rPr/>
        <w:t>本公司按保险金额给付重大疾病保险金</w:t>
      </w:r>
      <w:r>
        <w:rPr>
          <w:spacing w:val="-29"/>
        </w:rPr>
        <w:t>，</w:t>
      </w:r>
      <w:r>
        <w:rPr/>
        <w:t>本附加合同终止。</w:t>
      </w:r>
    </w:p>
    <w:p>
      <w:pPr>
        <w:pStyle w:val="BodyText"/>
        <w:spacing w:before="7"/>
        <w:ind w:left="2935"/>
      </w:pPr>
      <w:r>
        <w:rPr/>
        <w:t>本公司对本附加合同所负的重大疾病保险金给付责任以一次为限。</w:t>
      </w:r>
    </w:p>
    <w:p>
      <w:pPr>
        <w:pStyle w:val="BodyText"/>
        <w:spacing w:before="3"/>
        <w:rPr>
          <w:sz w:val="20"/>
        </w:rPr>
      </w:pPr>
    </w:p>
    <w:p>
      <w:pPr>
        <w:pStyle w:val="ListParagraph"/>
        <w:numPr>
          <w:ilvl w:val="1"/>
          <w:numId w:val="3"/>
        </w:numPr>
        <w:tabs>
          <w:tab w:pos="978" w:val="left" w:leader="none"/>
          <w:tab w:pos="979" w:val="left" w:leader="none"/>
          <w:tab w:pos="2935" w:val="left" w:leader="none"/>
        </w:tabs>
        <w:spacing w:line="273" w:lineRule="auto" w:before="0" w:after="0"/>
        <w:ind w:left="2935" w:right="223" w:hanging="2714"/>
        <w:jc w:val="left"/>
        <w:rPr>
          <w:rFonts w:ascii="黑体" w:eastAsia="黑体" w:hint="eastAsia"/>
          <w:sz w:val="21"/>
        </w:rPr>
      </w:pPr>
      <w:r>
        <w:rPr>
          <w:b/>
          <w:sz w:val="21"/>
        </w:rPr>
        <w:t>责任免除</w:t>
        <w:tab/>
      </w:r>
      <w:r>
        <w:rPr>
          <w:rFonts w:ascii="黑体" w:eastAsia="黑体" w:hint="eastAsia"/>
          <w:w w:val="95"/>
          <w:sz w:val="21"/>
        </w:rPr>
        <w:t>因下列情形之一，导致被保险人发Th本附加合同界定的</w:t>
      </w:r>
      <w:r>
        <w:rPr>
          <w:rFonts w:ascii="黑体" w:eastAsia="黑体" w:hint="eastAsia"/>
          <w:b/>
          <w:w w:val="95"/>
          <w:sz w:val="21"/>
        </w:rPr>
        <w:t>重大疾病</w:t>
      </w:r>
      <w:r>
        <w:rPr>
          <w:rFonts w:ascii="黑体" w:eastAsia="黑体" w:hint="eastAsia"/>
          <w:w w:val="95"/>
          <w:sz w:val="21"/>
        </w:rPr>
        <w:t>的，本公司不    </w:t>
      </w:r>
      <w:r>
        <w:rPr>
          <w:rFonts w:ascii="黑体" w:eastAsia="黑体" w:hint="eastAsia"/>
          <w:sz w:val="21"/>
        </w:rPr>
        <w:t>承担保险责任：</w:t>
      </w:r>
    </w:p>
    <w:p>
      <w:pPr>
        <w:pStyle w:val="BodyText"/>
        <w:spacing w:before="7"/>
        <w:ind w:left="2935"/>
        <w:rPr>
          <w:rFonts w:ascii="黑体" w:eastAsia="黑体" w:hint="eastAsia"/>
        </w:rPr>
      </w:pPr>
      <w:r>
        <w:rPr>
          <w:rFonts w:ascii="黑体" w:eastAsia="黑体" w:hint="eastAsia"/>
        </w:rPr>
        <w:t>（1）投保人对被保险人的故意杀害、故意伤害；</w:t>
      </w:r>
    </w:p>
    <w:p>
      <w:pPr>
        <w:pStyle w:val="BodyText"/>
        <w:ind w:left="2935"/>
        <w:rPr>
          <w:rFonts w:ascii="黑体" w:eastAsia="黑体" w:hint="eastAsia"/>
        </w:rPr>
      </w:pPr>
      <w:r>
        <w:rPr>
          <w:rFonts w:ascii="黑体" w:eastAsia="黑体" w:hint="eastAsia"/>
        </w:rPr>
        <w:t>（2）被保险人故意自伤、故意犯罪或者抗拒依法采取的刑事强制措施；</w:t>
      </w:r>
    </w:p>
    <w:p>
      <w:pPr>
        <w:pStyle w:val="BodyText"/>
        <w:ind w:left="293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6"/>
        <w:ind w:left="3439" w:right="208" w:hanging="504"/>
        <w:jc w:val="left"/>
        <w:rPr>
          <w:rFonts w:ascii="黑体" w:eastAsia="黑体" w:hint="eastAsia"/>
          <w:sz w:val="21"/>
        </w:rPr>
      </w:pPr>
      <w:r>
        <w:rPr>
          <w:rFonts w:ascii="黑体" w:eastAsia="黑体" w:hint="eastAsia"/>
          <w:spacing w:val="-12"/>
          <w:sz w:val="21"/>
        </w:rPr>
        <w:t>（4）</w:t>
      </w:r>
      <w:r>
        <w:rPr>
          <w:rFonts w:ascii="黑体" w:eastAsia="黑体" w:hint="eastAsia"/>
          <w:sz w:val="21"/>
        </w:rPr>
        <w:t>被保险人</w:t>
      </w:r>
      <w:r>
        <w:rPr>
          <w:rFonts w:ascii="黑体" w:eastAsia="黑体" w:hint="eastAsia"/>
          <w:b/>
          <w:sz w:val="21"/>
        </w:rPr>
        <w:t>酒后驾驶</w:t>
      </w:r>
      <w:r>
        <w:rPr>
          <w:rFonts w:ascii="黑体" w:eastAsia="黑体" w:hint="eastAsia"/>
          <w:spacing w:val="-34"/>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的机动车；</w:t>
      </w:r>
    </w:p>
    <w:p>
      <w:pPr>
        <w:spacing w:line="273" w:lineRule="auto" w:before="7"/>
        <w:ind w:left="3439" w:right="208" w:hanging="504"/>
        <w:jc w:val="left"/>
        <w:rPr>
          <w:rFonts w:ascii="黑体" w:hAnsi="黑体" w:eastAsia="黑体" w:hint="eastAsia"/>
          <w:b/>
          <w:sz w:val="21"/>
        </w:rPr>
      </w:pPr>
      <w:r>
        <w:rPr>
          <w:rFonts w:ascii="黑体" w:hAnsi="黑体" w:eastAsia="黑体" w:hint="eastAsia"/>
          <w:spacing w:val="-11"/>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pacing w:val="-9"/>
          <w:sz w:val="21"/>
        </w:rPr>
        <w:t>，但对“经输血导致的艾滋病病毒感</w:t>
      </w:r>
      <w:r>
        <w:rPr>
          <w:rFonts w:ascii="黑体" w:hAnsi="黑体" w:eastAsia="黑体" w:hint="eastAsia"/>
          <w:spacing w:val="-9"/>
          <w:w w:val="95"/>
          <w:sz w:val="21"/>
        </w:rPr>
        <w:t>染”本公司仍负重大疾病保险金的给付责任</w:t>
      </w:r>
      <w:r>
        <w:rPr>
          <w:rFonts w:ascii="黑体" w:hAnsi="黑体" w:eastAsia="黑体" w:hint="eastAsia"/>
          <w:b/>
          <w:spacing w:val="-9"/>
          <w:w w:val="95"/>
          <w:sz w:val="21"/>
        </w:rPr>
        <w:t>；</w:t>
      </w:r>
    </w:p>
    <w:p>
      <w:pPr>
        <w:pStyle w:val="BodyText"/>
        <w:spacing w:before="7"/>
        <w:ind w:left="2935"/>
        <w:rPr>
          <w:rFonts w:ascii="黑体" w:eastAsia="黑体" w:hint="eastAsia"/>
        </w:rPr>
      </w:pPr>
      <w:r>
        <w:rPr>
          <w:rFonts w:ascii="黑体" w:eastAsia="黑体" w:hint="eastAsia"/>
        </w:rPr>
        <w:t>（6）战争、军事冲突、暴乱或武装叛乱；</w:t>
      </w:r>
    </w:p>
    <w:p>
      <w:pPr>
        <w:pStyle w:val="BodyText"/>
        <w:ind w:left="2935"/>
        <w:rPr>
          <w:rFonts w:ascii="黑体" w:eastAsia="黑体" w:hint="eastAsia"/>
        </w:rPr>
      </w:pPr>
      <w:r>
        <w:rPr>
          <w:rFonts w:ascii="黑体" w:eastAsia="黑体" w:hint="eastAsia"/>
        </w:rPr>
        <w:t>（7）核爆炸、核辐射或核污染；</w:t>
      </w:r>
    </w:p>
    <w:p>
      <w:pPr>
        <w:spacing w:after="0"/>
        <w:rPr>
          <w:rFonts w:ascii="黑体" w:eastAsia="黑体" w:hint="eastAsia"/>
        </w:rPr>
        <w:sectPr>
          <w:pgSz w:w="11910" w:h="16840"/>
          <w:pgMar w:top="1160" w:bottom="280" w:left="800" w:right="800"/>
        </w:sectPr>
      </w:pPr>
    </w:p>
    <w:p>
      <w:pPr>
        <w:pStyle w:val="BodyText"/>
        <w:spacing w:before="3"/>
        <w:rPr>
          <w:rFonts w:ascii="黑体"/>
          <w:sz w:val="51"/>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spacing w:before="20"/>
        <w:ind w:left="221" w:right="0" w:firstLine="0"/>
        <w:jc w:val="left"/>
        <w:rPr>
          <w:rFonts w:ascii="黑体" w:eastAsia="黑体" w:hint="eastAsia"/>
          <w:sz w:val="21"/>
        </w:rPr>
      </w:pPr>
      <w:r>
        <w:rPr/>
        <w:br w:type="column"/>
      </w: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spacing w:after="0"/>
        <w:jc w:val="left"/>
        <w:rPr>
          <w:rFonts w:ascii="黑体" w:eastAsia="黑体" w:hint="eastAsia"/>
          <w:sz w:val="21"/>
        </w:rPr>
        <w:sectPr>
          <w:pgSz w:w="11910" w:h="16840"/>
          <w:pgMar w:top="1080" w:bottom="280" w:left="800" w:right="800"/>
          <w:cols w:num="2" w:equalWidth="0">
            <w:col w:w="2422" w:space="292"/>
            <w:col w:w="7596"/>
          </w:cols>
        </w:sectPr>
      </w:pPr>
    </w:p>
    <w:p>
      <w:pPr>
        <w:pStyle w:val="BodyText"/>
        <w:spacing w:before="10"/>
        <w:rPr>
          <w:rFonts w:ascii="黑体"/>
          <w:sz w:val="7"/>
        </w:rPr>
      </w:pPr>
    </w:p>
    <w:p>
      <w:pPr>
        <w:pStyle w:val="BodyText"/>
        <w:spacing w:line="20" w:lineRule="exact" w:before="0"/>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2734,10" stroked="true" strokeweight=".96002pt" strokecolor="#000000">
              <v:stroke dashstyle="solid"/>
            </v:line>
            <v:line style="position:absolute" from="2734,10" to="10090,10" stroked="true" strokeweight=".96pt" strokecolor="#000000">
              <v:stroke dashstyle="solid"/>
            </v:line>
          </v:group>
        </w:pict>
      </w:r>
      <w:r>
        <w:rPr>
          <w:rFonts w:ascii="黑体"/>
          <w:spacing w:val="6"/>
          <w:sz w:val="2"/>
        </w:rPr>
      </w:r>
    </w:p>
    <w:p>
      <w:pPr>
        <w:pStyle w:val="BodyText"/>
        <w:spacing w:before="0"/>
        <w:rPr>
          <w:rFonts w:ascii="黑体"/>
          <w:sz w:val="12"/>
        </w:rPr>
      </w:pPr>
    </w:p>
    <w:p>
      <w:pPr>
        <w:pStyle w:val="ListParagraph"/>
        <w:numPr>
          <w:ilvl w:val="1"/>
          <w:numId w:val="4"/>
        </w:numPr>
        <w:tabs>
          <w:tab w:pos="978" w:val="left" w:leader="none"/>
          <w:tab w:pos="979" w:val="left" w:leader="none"/>
          <w:tab w:pos="2935" w:val="left" w:leader="none"/>
        </w:tabs>
        <w:spacing w:line="240" w:lineRule="auto" w:before="35" w:after="0"/>
        <w:ind w:left="2935" w:right="0" w:hanging="2714"/>
        <w:jc w:val="left"/>
        <w:rPr>
          <w:sz w:val="21"/>
        </w:rPr>
      </w:pPr>
      <w:r>
        <w:rPr>
          <w:b/>
          <w:sz w:val="21"/>
        </w:rPr>
        <w:t>受益人</w:t>
        <w:tab/>
      </w:r>
      <w:r>
        <w:rPr>
          <w:sz w:val="21"/>
        </w:rPr>
        <w:t>您或者被保险人可以指定一人或多人为重大疾病保险金受益人。</w:t>
      </w:r>
    </w:p>
    <w:p>
      <w:pPr>
        <w:pStyle w:val="BodyText"/>
        <w:spacing w:line="273" w:lineRule="auto" w:before="37"/>
        <w:ind w:left="2935" w:right="103"/>
      </w:pPr>
      <w:r>
        <w:rPr>
          <w:spacing w:val="-6"/>
        </w:rPr>
        <w:t>保险金受益人为多人时，可以确定受益人顺序和受益份额；如果没有确定份额， 各受益人按照相等份额享有受益权。</w:t>
      </w:r>
    </w:p>
    <w:p>
      <w:pPr>
        <w:pStyle w:val="BodyText"/>
        <w:spacing w:line="273" w:lineRule="auto" w:before="8"/>
        <w:ind w:left="2935" w:right="226"/>
      </w:pPr>
      <w:r>
        <w:rPr/>
        <w:t>被保险人为无民事行为能力人或限制民事行为能力人的，可以由其监护人指定受益人。</w:t>
      </w:r>
    </w:p>
    <w:p>
      <w:pPr>
        <w:pStyle w:val="BodyText"/>
        <w:spacing w:line="273" w:lineRule="auto" w:before="8"/>
        <w:ind w:left="2935" w:right="226"/>
      </w:pPr>
      <w:r>
        <w:rPr/>
        <w:t>您或者被保险人可以变更保险金受益人并书面通知本公司。本公司收到变更受益人的书面通知后，在保险单或其他保险凭证上批注或附贴批单。</w:t>
      </w:r>
    </w:p>
    <w:p>
      <w:pPr>
        <w:pStyle w:val="BodyText"/>
        <w:spacing w:line="273" w:lineRule="auto" w:before="8"/>
        <w:ind w:left="2935" w:right="226"/>
      </w:pPr>
      <w:r>
        <w:rPr/>
        <w:t>除本合同另有约定外，如果有下列情形之一的，重大疾病保险金受益人为被保险人：</w:t>
      </w:r>
    </w:p>
    <w:p>
      <w:pPr>
        <w:pStyle w:val="BodyText"/>
        <w:spacing w:line="273" w:lineRule="auto" w:before="8"/>
        <w:ind w:left="3371" w:right="207" w:hanging="420"/>
      </w:pPr>
      <w:r>
        <w:rPr>
          <w:spacing w:val="-17"/>
        </w:rPr>
        <w:t>（1）</w:t>
      </w:r>
      <w:r>
        <w:rPr>
          <w:spacing w:val="-4"/>
        </w:rPr>
        <w:t>没有指定重大疾病保险金受益人，或者重大疾病保险金受益人指定不明无法确定的；</w:t>
      </w:r>
    </w:p>
    <w:p>
      <w:pPr>
        <w:pStyle w:val="BodyText"/>
        <w:spacing w:line="273" w:lineRule="auto" w:before="8"/>
        <w:ind w:left="3371" w:right="207" w:hanging="420"/>
      </w:pPr>
      <w:r>
        <w:rPr>
          <w:spacing w:val="-17"/>
        </w:rPr>
        <w:t>（2）</w:t>
      </w:r>
      <w:r>
        <w:rPr>
          <w:spacing w:val="-3"/>
        </w:rPr>
        <w:t>重大疾病保险金受益人先于被保险人身故，没有其他重大疾病保险金受益人的；</w:t>
      </w:r>
    </w:p>
    <w:p>
      <w:pPr>
        <w:pStyle w:val="BodyText"/>
        <w:spacing w:line="273" w:lineRule="auto" w:before="8"/>
        <w:ind w:left="3371" w:right="207" w:hanging="420"/>
      </w:pPr>
      <w:r>
        <w:rPr>
          <w:spacing w:val="-17"/>
        </w:rPr>
        <w:t>（3）</w:t>
      </w:r>
      <w:r>
        <w:rPr>
          <w:spacing w:val="-3"/>
        </w:rPr>
        <w:t>重大疾病保险金受益人依法丧失受益权或者放弃受益权，没有其他重大疾病保险金受益人的。</w:t>
      </w:r>
    </w:p>
    <w:p>
      <w:pPr>
        <w:pStyle w:val="BodyText"/>
        <w:spacing w:line="273" w:lineRule="auto" w:before="8"/>
        <w:ind w:left="2951" w:right="103"/>
      </w:pPr>
      <w:r>
        <w:rPr>
          <w:spacing w:val="-7"/>
        </w:rPr>
        <w:t>受益人故意造成被保险人身故、伤残、疾病的，或者故意杀害被保险人未遂的， 该受益人丧失受益权。</w:t>
      </w:r>
    </w:p>
    <w:p>
      <w:pPr>
        <w:pStyle w:val="BodyText"/>
        <w:spacing w:before="0"/>
        <w:rPr>
          <w:sz w:val="17"/>
        </w:rPr>
      </w:pPr>
    </w:p>
    <w:p>
      <w:pPr>
        <w:pStyle w:val="ListParagraph"/>
        <w:numPr>
          <w:ilvl w:val="1"/>
          <w:numId w:val="4"/>
        </w:numPr>
        <w:tabs>
          <w:tab w:pos="978" w:val="left" w:leader="none"/>
          <w:tab w:pos="979" w:val="left" w:leader="none"/>
          <w:tab w:pos="2935" w:val="left" w:leader="none"/>
        </w:tabs>
        <w:spacing w:line="240" w:lineRule="auto" w:before="0" w:after="0"/>
        <w:ind w:left="978" w:right="0" w:hanging="757"/>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5"/>
        <w:ind w:left="2935" w:right="103"/>
      </w:pPr>
      <w:r>
        <w:rPr>
          <w:spacing w:val="-4"/>
        </w:rPr>
        <w:t>如果您或受益人故意或者因重大过失未及时通知，致使保险事故的性质、原因、</w:t>
      </w:r>
      <w:r>
        <w:rPr>
          <w:spacing w:val="-10"/>
        </w:rPr>
        <w:t>损失程度等难以确定的，本公司对无法确定的部分，不承担给付保险金的责任， 但本公司通过其他途径已经及时知道或者应当及时知道保险事故发生或者虽未及时通知但不影响本公司确定保险事故的性质、原因、损失程度的除外。</w:t>
      </w:r>
    </w:p>
    <w:p>
      <w:pPr>
        <w:pStyle w:val="BodyText"/>
        <w:spacing w:before="11"/>
        <w:rPr>
          <w:sz w:val="17"/>
        </w:rPr>
      </w:pPr>
    </w:p>
    <w:p>
      <w:pPr>
        <w:pStyle w:val="ListParagraph"/>
        <w:numPr>
          <w:ilvl w:val="1"/>
          <w:numId w:val="4"/>
        </w:numPr>
        <w:tabs>
          <w:tab w:pos="978" w:val="left" w:leader="none"/>
          <w:tab w:pos="979" w:val="left" w:leader="none"/>
          <w:tab w:pos="2935" w:val="left" w:leader="none"/>
        </w:tabs>
        <w:spacing w:line="273" w:lineRule="auto" w:before="1" w:after="0"/>
        <w:ind w:left="2935" w:right="226" w:hanging="2714"/>
        <w:jc w:val="left"/>
        <w:rPr>
          <w:sz w:val="21"/>
        </w:rPr>
      </w:pPr>
      <w:r>
        <w:rPr>
          <w:b/>
          <w:sz w:val="21"/>
        </w:rPr>
        <w:t>保险金申请</w:t>
        <w:tab/>
      </w:r>
      <w:r>
        <w:rPr>
          <w:sz w:val="21"/>
        </w:rPr>
        <w:t>在申请保险金时，重大疾病保险金受益人作为申请人填写保险金给付申请书，并须提供下列证明和资料：</w:t>
      </w:r>
    </w:p>
    <w:p>
      <w:pPr>
        <w:pStyle w:val="BodyText"/>
        <w:spacing w:before="8"/>
        <w:ind w:left="2935"/>
      </w:pPr>
      <w:r>
        <w:rPr/>
        <w:t>（1）保险合同；</w:t>
      </w:r>
    </w:p>
    <w:p>
      <w:pPr>
        <w:spacing w:before="37"/>
        <w:ind w:left="2935"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7"/>
        <w:ind w:left="3475" w:right="311" w:hanging="525"/>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8"/>
        <w:ind w:left="2935"/>
      </w:pPr>
      <w:r>
        <w:rPr/>
        <w:t>（4）所能提供的与确认保险事故的性质、原因等有关的其他证明和资料；</w:t>
      </w:r>
    </w:p>
    <w:p>
      <w:pPr>
        <w:pStyle w:val="BodyText"/>
        <w:spacing w:before="37"/>
        <w:ind w:left="2935"/>
      </w:pPr>
      <w:r>
        <w:rPr/>
        <w:t>（5）本公司需要的其他有关文件和资料。</w:t>
      </w:r>
    </w:p>
    <w:p>
      <w:pPr>
        <w:pStyle w:val="BodyText"/>
        <w:spacing w:line="273" w:lineRule="auto" w:before="37"/>
        <w:ind w:left="2935" w:right="226"/>
      </w:pPr>
      <w:r>
        <w:rPr/>
        <w:t>以上证明和资料不完整的，本公司将及时一次性通知申请人补充提供有关的证明和资料。</w:t>
      </w:r>
    </w:p>
    <w:p>
      <w:pPr>
        <w:spacing w:after="0" w:line="273" w:lineRule="auto"/>
        <w:sectPr>
          <w:type w:val="continuous"/>
          <w:pgSz w:w="11910" w:h="16840"/>
          <w:pgMar w:top="52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01"/>
        <w:gridCol w:w="7524"/>
      </w:tblGrid>
      <w:tr>
        <w:trPr>
          <w:trHeight w:val="3809" w:hRule="atLeast"/>
        </w:trPr>
        <w:tc>
          <w:tcPr>
            <w:tcW w:w="664" w:type="dxa"/>
          </w:tcPr>
          <w:p>
            <w:pPr>
              <w:pStyle w:val="TableParagraph"/>
              <w:spacing w:line="210" w:lineRule="exact"/>
              <w:ind w:left="108"/>
              <w:rPr>
                <w:b/>
                <w:sz w:val="21"/>
              </w:rPr>
            </w:pPr>
            <w:r>
              <w:rPr>
                <w:b/>
                <w:sz w:val="21"/>
              </w:rPr>
              <w:t>3.4</w:t>
            </w:r>
          </w:p>
        </w:tc>
        <w:tc>
          <w:tcPr>
            <w:tcW w:w="1901" w:type="dxa"/>
          </w:tcPr>
          <w:p>
            <w:pPr>
              <w:pStyle w:val="TableParagraph"/>
              <w:spacing w:line="210" w:lineRule="exact"/>
              <w:ind w:left="201"/>
              <w:rPr>
                <w:b/>
                <w:sz w:val="21"/>
              </w:rPr>
            </w:pPr>
            <w:r>
              <w:rPr>
                <w:b/>
                <w:w w:val="95"/>
                <w:sz w:val="21"/>
              </w:rPr>
              <w:t>保险金给付</w:t>
            </w:r>
          </w:p>
        </w:tc>
        <w:tc>
          <w:tcPr>
            <w:tcW w:w="7524" w:type="dxa"/>
          </w:tcPr>
          <w:p>
            <w:pPr>
              <w:pStyle w:val="TableParagraph"/>
              <w:spacing w:line="210" w:lineRule="exact"/>
              <w:ind w:left="257"/>
              <w:rPr>
                <w:sz w:val="21"/>
              </w:rPr>
            </w:pPr>
            <w:r>
              <w:rPr>
                <w:spacing w:val="-4"/>
                <w:sz w:val="21"/>
              </w:rPr>
              <w:t>本公司在收到保险金给付申请书及合同约定的证明和资料后，将及时作出核定；</w:t>
            </w:r>
          </w:p>
          <w:p>
            <w:pPr>
              <w:pStyle w:val="TableParagraph"/>
              <w:spacing w:before="37"/>
              <w:ind w:left="257"/>
              <w:rPr>
                <w:sz w:val="21"/>
              </w:rPr>
            </w:pPr>
            <w:r>
              <w:rPr>
                <w:sz w:val="21"/>
              </w:rPr>
              <w:t>情形复杂的，在 30 日内作出核定。</w:t>
            </w:r>
          </w:p>
          <w:p>
            <w:pPr>
              <w:pStyle w:val="TableParagraph"/>
              <w:spacing w:line="273" w:lineRule="auto" w:before="37"/>
              <w:ind w:left="257" w:right="107"/>
              <w:jc w:val="both"/>
              <w:rPr>
                <w:sz w:val="21"/>
              </w:rPr>
            </w:pPr>
            <w:r>
              <w:rPr>
                <w:spacing w:val="-8"/>
                <w:sz w:val="21"/>
              </w:rPr>
              <w:t>对属于保险责任的，本公司在与受益人达成给付保险金的协议后 </w:t>
            </w:r>
            <w:r>
              <w:rPr>
                <w:sz w:val="21"/>
              </w:rPr>
              <w:t>10</w:t>
            </w:r>
            <w:r>
              <w:rPr>
                <w:spacing w:val="-20"/>
                <w:sz w:val="21"/>
              </w:rPr>
              <w:t> 日内，履行给付保险金义务。</w:t>
            </w:r>
          </w:p>
          <w:p>
            <w:pPr>
              <w:pStyle w:val="TableParagraph"/>
              <w:spacing w:line="273" w:lineRule="auto" w:before="7"/>
              <w:ind w:left="257" w:right="124"/>
              <w:jc w:val="both"/>
              <w:rPr>
                <w:sz w:val="21"/>
              </w:rPr>
            </w:pPr>
            <w:r>
              <w:rPr>
                <w:sz w:val="21"/>
              </w:rPr>
              <w:t>本公司未及时履行前款规定义务的，除支付保险金外，还应对未及时给付的保险金支付利息。利息按中国人民银行公布的人民币一年期定期存款基准利率计息，自达成给付保险金的协议后第 11 日起，至保险金付清时止。</w:t>
            </w:r>
          </w:p>
          <w:p>
            <w:pPr>
              <w:pStyle w:val="TableParagraph"/>
              <w:spacing w:line="273" w:lineRule="auto" w:before="7"/>
              <w:ind w:left="257" w:right="124"/>
              <w:jc w:val="both"/>
              <w:rPr>
                <w:sz w:val="21"/>
              </w:rPr>
            </w:pPr>
            <w:r>
              <w:rPr>
                <w:spacing w:val="-3"/>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3" w:lineRule="auto" w:before="7"/>
              <w:ind w:left="257" w:right="105"/>
              <w:jc w:val="both"/>
              <w:rPr>
                <w:sz w:val="21"/>
              </w:rPr>
            </w:pPr>
            <w:r>
              <w:rPr>
                <w:spacing w:val="-3"/>
                <w:sz w:val="21"/>
              </w:rPr>
              <w:t>本公司在收到保险金给付申请书及有关证明和资料之日起 </w:t>
            </w:r>
            <w:r>
              <w:rPr>
                <w:sz w:val="21"/>
              </w:rPr>
              <w:t>60</w:t>
            </w:r>
            <w:r>
              <w:rPr>
                <w:spacing w:val="-19"/>
                <w:sz w:val="21"/>
              </w:rPr>
              <w:t> 日内，对给付保险金的数额不能确定的，根据已有证明和资料可以确定的数额先予支付；本公司最终确定给付保险金的数额后，将支付相应的差额。</w:t>
            </w:r>
          </w:p>
        </w:tc>
      </w:tr>
      <w:tr>
        <w:trPr>
          <w:trHeight w:val="877" w:hRule="atLeast"/>
        </w:trPr>
        <w:tc>
          <w:tcPr>
            <w:tcW w:w="664" w:type="dxa"/>
          </w:tcPr>
          <w:p>
            <w:pPr>
              <w:pStyle w:val="TableParagraph"/>
              <w:spacing w:before="103"/>
              <w:ind w:left="108"/>
              <w:rPr>
                <w:b/>
                <w:sz w:val="21"/>
              </w:rPr>
            </w:pPr>
            <w:r>
              <w:rPr>
                <w:b/>
                <w:sz w:val="21"/>
              </w:rPr>
              <w:t>3.5</w:t>
            </w:r>
          </w:p>
        </w:tc>
        <w:tc>
          <w:tcPr>
            <w:tcW w:w="1901" w:type="dxa"/>
          </w:tcPr>
          <w:p>
            <w:pPr>
              <w:pStyle w:val="TableParagraph"/>
              <w:spacing w:before="103"/>
              <w:ind w:left="200"/>
              <w:rPr>
                <w:b/>
                <w:sz w:val="21"/>
              </w:rPr>
            </w:pPr>
            <w:r>
              <w:rPr>
                <w:b/>
                <w:w w:val="95"/>
                <w:sz w:val="21"/>
              </w:rPr>
              <w:t>诉讼时效</w:t>
            </w:r>
          </w:p>
        </w:tc>
        <w:tc>
          <w:tcPr>
            <w:tcW w:w="7524" w:type="dxa"/>
          </w:tcPr>
          <w:p>
            <w:pPr>
              <w:pStyle w:val="TableParagraph"/>
              <w:spacing w:line="273" w:lineRule="auto" w:before="103"/>
              <w:ind w:left="257" w:right="124"/>
              <w:rPr>
                <w:sz w:val="21"/>
              </w:rPr>
            </w:pPr>
            <w:r>
              <w:rPr>
                <w:spacing w:val="-3"/>
                <w:sz w:val="21"/>
              </w:rPr>
              <w:t>受益人向本公司请求给付保险金的诉讼时效期间为 </w:t>
            </w:r>
            <w:r>
              <w:rPr>
                <w:sz w:val="21"/>
              </w:rPr>
              <w:t>2</w:t>
            </w:r>
            <w:r>
              <w:rPr>
                <w:spacing w:val="-8"/>
                <w:sz w:val="21"/>
              </w:rPr>
              <w:t> 年，自其知道或者应当知道保险事故发生之日起计算。</w:t>
            </w:r>
          </w:p>
        </w:tc>
      </w:tr>
      <w:tr>
        <w:trPr>
          <w:trHeight w:val="721" w:hRule="atLeast"/>
        </w:trPr>
        <w:tc>
          <w:tcPr>
            <w:tcW w:w="664"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01" w:type="dxa"/>
            <w:tcBorders>
              <w:bottom w:val="single" w:sz="8" w:space="0" w:color="000000"/>
            </w:tcBorders>
          </w:tcPr>
          <w:p>
            <w:pPr>
              <w:pStyle w:val="TableParagraph"/>
              <w:spacing w:before="215"/>
              <w:ind w:left="201"/>
              <w:rPr>
                <w:b/>
                <w:sz w:val="24"/>
              </w:rPr>
            </w:pPr>
            <w:r>
              <w:rPr>
                <w:b/>
                <w:w w:val="95"/>
                <w:sz w:val="24"/>
              </w:rPr>
              <w:t>保险费的交纳</w:t>
            </w:r>
          </w:p>
        </w:tc>
        <w:tc>
          <w:tcPr>
            <w:tcW w:w="7524" w:type="dxa"/>
            <w:tcBorders>
              <w:bottom w:val="single" w:sz="8" w:space="0" w:color="000000"/>
            </w:tcBorders>
          </w:tcPr>
          <w:p>
            <w:pPr>
              <w:pStyle w:val="TableParagraph"/>
              <w:rPr>
                <w:rFonts w:ascii="Times New Roman"/>
                <w:sz w:val="20"/>
              </w:rPr>
            </w:pPr>
          </w:p>
        </w:tc>
      </w:tr>
      <w:tr>
        <w:trPr>
          <w:trHeight w:val="1567"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01"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24" w:type="dxa"/>
            <w:tcBorders>
              <w:top w:val="single" w:sz="8" w:space="0" w:color="000000"/>
            </w:tcBorders>
          </w:tcPr>
          <w:p>
            <w:pPr>
              <w:pStyle w:val="TableParagraph"/>
              <w:spacing w:before="9"/>
              <w:rPr>
                <w:sz w:val="14"/>
              </w:rPr>
            </w:pPr>
          </w:p>
          <w:p>
            <w:pPr>
              <w:pStyle w:val="TableParagraph"/>
              <w:spacing w:line="273" w:lineRule="auto"/>
              <w:ind w:left="257" w:right="334"/>
              <w:rPr>
                <w:sz w:val="21"/>
              </w:rPr>
            </w:pPr>
            <w:r>
              <w:rPr>
                <w:sz w:val="21"/>
              </w:rPr>
              <w:t>本附加合同的交费方式和交费期间由您和本公司约定并载明于保险单或批注上。</w:t>
            </w:r>
          </w:p>
          <w:p>
            <w:pPr>
              <w:pStyle w:val="TableParagraph"/>
              <w:spacing w:line="273" w:lineRule="auto" w:before="7"/>
              <w:ind w:left="257" w:right="119"/>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交纳其余各期的保险费。</w:t>
            </w:r>
          </w:p>
        </w:tc>
      </w:tr>
      <w:tr>
        <w:trPr>
          <w:trHeight w:val="2098" w:hRule="atLeast"/>
        </w:trPr>
        <w:tc>
          <w:tcPr>
            <w:tcW w:w="664" w:type="dxa"/>
          </w:tcPr>
          <w:p>
            <w:pPr>
              <w:pStyle w:val="TableParagraph"/>
              <w:spacing w:before="99"/>
              <w:ind w:left="108"/>
              <w:rPr>
                <w:b/>
                <w:sz w:val="21"/>
              </w:rPr>
            </w:pPr>
            <w:r>
              <w:rPr>
                <w:b/>
                <w:sz w:val="21"/>
              </w:rPr>
              <w:t>4.2</w:t>
            </w:r>
          </w:p>
        </w:tc>
        <w:tc>
          <w:tcPr>
            <w:tcW w:w="1901" w:type="dxa"/>
          </w:tcPr>
          <w:p>
            <w:pPr>
              <w:pStyle w:val="TableParagraph"/>
              <w:spacing w:before="99"/>
              <w:ind w:left="201"/>
              <w:rPr>
                <w:b/>
                <w:sz w:val="21"/>
              </w:rPr>
            </w:pPr>
            <w:r>
              <w:rPr>
                <w:b/>
                <w:w w:val="95"/>
                <w:sz w:val="21"/>
              </w:rPr>
              <w:t>宽限期</w:t>
            </w:r>
          </w:p>
        </w:tc>
        <w:tc>
          <w:tcPr>
            <w:tcW w:w="7524" w:type="dxa"/>
          </w:tcPr>
          <w:p>
            <w:pPr>
              <w:pStyle w:val="TableParagraph"/>
              <w:spacing w:line="273" w:lineRule="auto" w:before="99"/>
              <w:ind w:left="257" w:right="106"/>
              <w:jc w:val="both"/>
              <w:rPr>
                <w:sz w:val="21"/>
              </w:rPr>
            </w:pPr>
            <w:r>
              <w:rPr>
                <w:sz w:val="21"/>
              </w:rPr>
              <w:t>分期支付保险费的，您交纳首期保险费后，除本附加合同另有约定外，如果您</w:t>
            </w:r>
            <w:r>
              <w:rPr>
                <w:spacing w:val="-10"/>
                <w:sz w:val="21"/>
              </w:rPr>
              <w:t>到期未交纳保险费，自您首次欠费的</w:t>
            </w:r>
            <w:r>
              <w:rPr>
                <w:b/>
                <w:sz w:val="21"/>
              </w:rPr>
              <w:t>保险费约定交纳日</w:t>
            </w:r>
            <w:r>
              <w:rPr>
                <w:spacing w:val="-10"/>
                <w:sz w:val="21"/>
              </w:rPr>
              <w:t>次日零时起 </w:t>
            </w:r>
            <w:r>
              <w:rPr>
                <w:sz w:val="21"/>
              </w:rPr>
              <w:t>60</w:t>
            </w:r>
            <w:r>
              <w:rPr>
                <w:spacing w:val="-12"/>
                <w:sz w:val="21"/>
              </w:rPr>
              <w:t> 日为宽限期。宽限期内发生的保险事故，本公司仍会承担保险责任，但在给付保险金时会扣减您欠交的保险费。</w:t>
            </w:r>
          </w:p>
          <w:p>
            <w:pPr>
              <w:pStyle w:val="TableParagraph"/>
              <w:spacing w:line="273" w:lineRule="auto" w:before="7"/>
              <w:ind w:left="257" w:right="124"/>
              <w:jc w:val="both"/>
              <w:rPr>
                <w:sz w:val="21"/>
              </w:rPr>
            </w:pPr>
            <w:r>
              <w:rPr>
                <w:sz w:val="21"/>
              </w:rPr>
              <w:t>如果您宽限期结束之后仍未交纳保险费，则本附加合同自宽限期满的次日零时起效力中止。</w:t>
            </w:r>
          </w:p>
        </w:tc>
      </w:tr>
      <w:tr>
        <w:trPr>
          <w:trHeight w:val="1812" w:hRule="atLeast"/>
        </w:trPr>
        <w:tc>
          <w:tcPr>
            <w:tcW w:w="664" w:type="dxa"/>
          </w:tcPr>
          <w:p>
            <w:pPr>
              <w:pStyle w:val="TableParagraph"/>
              <w:spacing w:before="99"/>
              <w:ind w:left="108"/>
              <w:rPr>
                <w:b/>
                <w:sz w:val="21"/>
              </w:rPr>
            </w:pPr>
            <w:r>
              <w:rPr>
                <w:b/>
                <w:sz w:val="21"/>
              </w:rPr>
              <w:t>4.3</w:t>
            </w:r>
          </w:p>
        </w:tc>
        <w:tc>
          <w:tcPr>
            <w:tcW w:w="1901" w:type="dxa"/>
          </w:tcPr>
          <w:p>
            <w:pPr>
              <w:pStyle w:val="TableParagraph"/>
              <w:spacing w:before="99"/>
              <w:ind w:left="201"/>
              <w:rPr>
                <w:b/>
                <w:sz w:val="21"/>
              </w:rPr>
            </w:pPr>
            <w:r>
              <w:rPr>
                <w:b/>
                <w:w w:val="95"/>
                <w:sz w:val="21"/>
              </w:rPr>
              <w:t>保险费率调整</w:t>
            </w:r>
          </w:p>
        </w:tc>
        <w:tc>
          <w:tcPr>
            <w:tcW w:w="7524" w:type="dxa"/>
          </w:tcPr>
          <w:p>
            <w:pPr>
              <w:pStyle w:val="TableParagraph"/>
              <w:spacing w:line="273" w:lineRule="auto" w:before="99"/>
              <w:ind w:left="257" w:right="124"/>
              <w:jc w:val="both"/>
              <w:rPr>
                <w:sz w:val="21"/>
              </w:rPr>
            </w:pPr>
            <w:r>
              <w:rPr>
                <w:sz w:val="21"/>
              </w:rPr>
              <w:t>本公司保留提高或降低保险费率的权利，但须报送国务院保险监督管理机构备案。保险费率的调整适用于相同产品项下的所有被保险人或同一投保年龄和性别的所有被保险人。</w:t>
            </w:r>
          </w:p>
          <w:p>
            <w:pPr>
              <w:pStyle w:val="TableParagraph"/>
              <w:spacing w:line="273" w:lineRule="auto" w:before="7"/>
              <w:ind w:left="257" w:right="124"/>
              <w:jc w:val="both"/>
              <w:rPr>
                <w:sz w:val="21"/>
              </w:rPr>
            </w:pPr>
            <w:r>
              <w:rPr>
                <w:sz w:val="21"/>
              </w:rPr>
              <w:t>本公司调整保险费率后，您须按调整后的保险费率交纳续期保险费，调整前您已经交纳的保险费不受影响。</w:t>
            </w:r>
          </w:p>
        </w:tc>
      </w:tr>
      <w:tr>
        <w:trPr>
          <w:trHeight w:val="713" w:hRule="atLeast"/>
        </w:trPr>
        <w:tc>
          <w:tcPr>
            <w:tcW w:w="664" w:type="dxa"/>
            <w:tcBorders>
              <w:bottom w:val="single" w:sz="8" w:space="0" w:color="000000"/>
            </w:tcBorders>
          </w:tcPr>
          <w:p>
            <w:pPr>
              <w:pStyle w:val="TableParagraph"/>
              <w:spacing w:before="152"/>
              <w:ind w:left="108"/>
              <w:rPr>
                <w:rFonts w:ascii="Arial" w:hAnsi="Arial"/>
                <w:b/>
                <w:sz w:val="40"/>
              </w:rPr>
            </w:pPr>
            <w:r>
              <w:rPr>
                <w:rFonts w:ascii="Arial" w:hAnsi="Arial"/>
                <w:b/>
                <w:w w:val="118"/>
                <w:sz w:val="40"/>
              </w:rPr>
              <w:t></w:t>
            </w:r>
          </w:p>
        </w:tc>
        <w:tc>
          <w:tcPr>
            <w:tcW w:w="1901" w:type="dxa"/>
            <w:tcBorders>
              <w:bottom w:val="single" w:sz="8" w:space="0" w:color="000000"/>
            </w:tcBorders>
          </w:tcPr>
          <w:p>
            <w:pPr>
              <w:pStyle w:val="TableParagraph"/>
              <w:spacing w:before="206"/>
              <w:ind w:left="201"/>
              <w:rPr>
                <w:b/>
                <w:sz w:val="24"/>
              </w:rPr>
            </w:pPr>
            <w:r>
              <w:rPr>
                <w:b/>
                <w:w w:val="95"/>
                <w:sz w:val="24"/>
              </w:rPr>
              <w:t>现金价值权益</w:t>
            </w:r>
          </w:p>
        </w:tc>
        <w:tc>
          <w:tcPr>
            <w:tcW w:w="7524" w:type="dxa"/>
            <w:tcBorders>
              <w:bottom w:val="single" w:sz="8" w:space="0" w:color="000000"/>
            </w:tcBorders>
          </w:tcPr>
          <w:p>
            <w:pPr>
              <w:pStyle w:val="TableParagraph"/>
              <w:rPr>
                <w:rFonts w:ascii="Times New Roman"/>
                <w:sz w:val="20"/>
              </w:rPr>
            </w:pPr>
          </w:p>
        </w:tc>
      </w:tr>
      <w:tr>
        <w:trPr>
          <w:trHeight w:val="467" w:hRule="atLeast"/>
        </w:trPr>
        <w:tc>
          <w:tcPr>
            <w:tcW w:w="664"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5.1</w:t>
            </w:r>
          </w:p>
        </w:tc>
        <w:tc>
          <w:tcPr>
            <w:tcW w:w="1901" w:type="dxa"/>
            <w:tcBorders>
              <w:top w:val="single" w:sz="8" w:space="0" w:color="000000"/>
            </w:tcBorders>
          </w:tcPr>
          <w:p>
            <w:pPr>
              <w:pStyle w:val="TableParagraph"/>
              <w:spacing w:before="9"/>
              <w:rPr>
                <w:sz w:val="14"/>
              </w:rPr>
            </w:pPr>
          </w:p>
          <w:p>
            <w:pPr>
              <w:pStyle w:val="TableParagraph"/>
              <w:spacing w:line="255" w:lineRule="exact"/>
              <w:ind w:left="200"/>
              <w:rPr>
                <w:b/>
                <w:sz w:val="21"/>
              </w:rPr>
            </w:pPr>
            <w:r>
              <w:rPr>
                <w:b/>
                <w:w w:val="95"/>
                <w:sz w:val="21"/>
              </w:rPr>
              <w:t>现金价值</w:t>
            </w:r>
          </w:p>
        </w:tc>
        <w:tc>
          <w:tcPr>
            <w:tcW w:w="7524" w:type="dxa"/>
            <w:tcBorders>
              <w:top w:val="single" w:sz="8" w:space="0" w:color="000000"/>
            </w:tcBorders>
          </w:tcPr>
          <w:p>
            <w:pPr>
              <w:pStyle w:val="TableParagraph"/>
              <w:spacing w:before="9"/>
              <w:rPr>
                <w:sz w:val="14"/>
              </w:rPr>
            </w:pPr>
          </w:p>
          <w:p>
            <w:pPr>
              <w:pStyle w:val="TableParagraph"/>
              <w:spacing w:line="255" w:lineRule="exact"/>
              <w:ind w:left="257"/>
              <w:rPr>
                <w:sz w:val="21"/>
              </w:rPr>
            </w:pPr>
            <w:r>
              <w:rPr>
                <w:sz w:val="21"/>
              </w:rPr>
              <w:t>本附加合同的现金价值为零。</w:t>
            </w:r>
          </w:p>
        </w:tc>
      </w:tr>
    </w:tbl>
    <w:p>
      <w:pPr>
        <w:pStyle w:val="BodyText"/>
        <w:spacing w:before="9"/>
      </w:pPr>
    </w:p>
    <w:p>
      <w:pPr>
        <w:pStyle w:val="Heading2"/>
        <w:tabs>
          <w:tab w:pos="978" w:val="left" w:leader="none"/>
        </w:tabs>
      </w:pPr>
      <w:r>
        <w:rPr/>
        <w:pict>
          <v:group style="position:absolute;margin-left:45.66pt;margin-top:31.150043pt;width:504.5pt;height:1pt;mso-position-horizontal-relative:page;mso-position-vertical-relative:paragraph;z-index:1168;mso-wrap-distance-left:0;mso-wrap-distance-right:0" coordorigin="913,623" coordsize="10090,20">
            <v:line style="position:absolute" from="913,633" to="3647,633" stroked="true" strokeweight=".96002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0"/>
        <w:rPr>
          <w:b/>
          <w:sz w:val="9"/>
        </w:rPr>
      </w:pPr>
    </w:p>
    <w:p>
      <w:pPr>
        <w:pStyle w:val="ListParagraph"/>
        <w:numPr>
          <w:ilvl w:val="1"/>
          <w:numId w:val="5"/>
        </w:numPr>
        <w:tabs>
          <w:tab w:pos="977" w:val="left" w:leader="none"/>
          <w:tab w:pos="978" w:val="left" w:leader="none"/>
          <w:tab w:pos="2935" w:val="left" w:leader="none"/>
        </w:tabs>
        <w:spacing w:line="273" w:lineRule="auto" w:before="35" w:after="0"/>
        <w:ind w:left="2935" w:right="436" w:hanging="2714"/>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0"/>
        <w:rPr>
          <w:sz w:val="18"/>
        </w:rPr>
      </w:pPr>
    </w:p>
    <w:p>
      <w:pPr>
        <w:pStyle w:val="ListParagraph"/>
        <w:numPr>
          <w:ilvl w:val="1"/>
          <w:numId w:val="5"/>
        </w:numPr>
        <w:tabs>
          <w:tab w:pos="977" w:val="left" w:leader="none"/>
          <w:tab w:pos="978" w:val="left" w:leader="none"/>
          <w:tab w:pos="2935" w:val="left" w:leader="none"/>
        </w:tabs>
        <w:spacing w:line="240" w:lineRule="auto" w:before="1" w:after="0"/>
        <w:ind w:left="2935" w:right="0" w:hanging="2714"/>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年内，您在申请主合同效力恢复的同时可以申请恢复</w:t>
      </w:r>
    </w:p>
    <w:p>
      <w:pPr>
        <w:spacing w:after="0" w:line="240" w:lineRule="auto"/>
        <w:jc w:val="left"/>
        <w:rPr>
          <w:sz w:val="21"/>
        </w:rPr>
        <w:sectPr>
          <w:pgSz w:w="11910" w:h="16840"/>
          <w:pgMar w:top="1180" w:bottom="280" w:left="800" w:right="800"/>
        </w:sectPr>
      </w:pPr>
    </w:p>
    <w:p>
      <w:pPr>
        <w:pStyle w:val="BodyText"/>
        <w:spacing w:before="0"/>
        <w:rPr>
          <w:sz w:val="42"/>
        </w:rPr>
      </w:pPr>
    </w:p>
    <w:p>
      <w:pPr>
        <w:pStyle w:val="BodyText"/>
        <w:spacing w:before="0"/>
        <w:rPr>
          <w:sz w:val="42"/>
        </w:rPr>
      </w:pPr>
    </w:p>
    <w:p>
      <w:pPr>
        <w:pStyle w:val="BodyText"/>
        <w:spacing w:before="0"/>
        <w:rPr>
          <w:sz w:val="36"/>
        </w:rPr>
      </w:pPr>
    </w:p>
    <w:p>
      <w:pPr>
        <w:tabs>
          <w:tab w:pos="978" w:val="left" w:leader="none"/>
        </w:tabs>
        <w:spacing w:before="0"/>
        <w:ind w:left="221" w:right="0" w:firstLine="0"/>
        <w:jc w:val="left"/>
        <w:rPr>
          <w:b/>
          <w:sz w:val="24"/>
        </w:rPr>
      </w:pPr>
      <w:r>
        <w:rPr>
          <w:rFonts w:ascii="Arial" w:hAnsi="Arial" w:eastAsia="Arial"/>
          <w:b/>
          <w:w w:val="105"/>
          <w:position w:val="-3"/>
          <w:sz w:val="40"/>
        </w:rPr>
        <w:t></w:t>
        <w:tab/>
      </w:r>
      <w:r>
        <w:rPr>
          <w:b/>
          <w:w w:val="95"/>
          <w:sz w:val="24"/>
        </w:rPr>
        <w:t>合同解除</w:t>
      </w:r>
    </w:p>
    <w:p>
      <w:pPr>
        <w:pStyle w:val="BodyText"/>
        <w:spacing w:line="273" w:lineRule="auto" w:before="19"/>
        <w:ind w:left="221" w:right="224"/>
      </w:pPr>
      <w:r>
        <w:rPr/>
        <w:br w:type="column"/>
      </w:r>
      <w:r>
        <w:rPr/>
        <w:t>本附加合同效力。经您与本公司协商并达成协议，在您补交保险费及</w:t>
      </w:r>
      <w:r>
        <w:rPr>
          <w:b/>
        </w:rPr>
        <w:t>利息</w:t>
      </w:r>
      <w:r>
        <w:rPr/>
        <w:t>、清</w:t>
      </w:r>
      <w:r>
        <w:rPr>
          <w:w w:val="95"/>
        </w:rPr>
        <w:t>偿其他各项欠款及</w:t>
      </w:r>
      <w:r>
        <w:rPr>
          <w:b/>
          <w:w w:val="95"/>
        </w:rPr>
        <w:t>利息</w:t>
      </w:r>
      <w:r>
        <w:rPr>
          <w:w w:val="95"/>
        </w:rPr>
        <w:t>后次日的零时起，合同效力恢复。</w:t>
      </w:r>
    </w:p>
    <w:p>
      <w:pPr>
        <w:pStyle w:val="BodyText"/>
        <w:spacing w:line="273" w:lineRule="auto" w:before="7"/>
        <w:ind w:left="221" w:right="226"/>
      </w:pPr>
      <w:r>
        <w:rPr>
          <w:spacing w:val="-4"/>
        </w:rPr>
        <w:t>自本附加合同效力中止之日起满 </w:t>
      </w:r>
      <w:r>
        <w:rPr/>
        <w:t>2</w:t>
      </w:r>
      <w:r>
        <w:rPr>
          <w:spacing w:val="-8"/>
        </w:rPr>
        <w:t> 年您和本公司未达成协议的，本公司有权解除合同。本公司解除合同的，按照合同解除条款处理。</w:t>
      </w:r>
    </w:p>
    <w:p>
      <w:pPr>
        <w:spacing w:after="0" w:line="273" w:lineRule="auto"/>
        <w:sectPr>
          <w:pgSz w:w="11910" w:h="16840"/>
          <w:pgMar w:top="1100" w:bottom="280" w:left="800" w:right="800"/>
          <w:cols w:num="2" w:equalWidth="0">
            <w:col w:w="1941" w:space="773"/>
            <w:col w:w="7596"/>
          </w:cols>
        </w:sectPr>
      </w:pPr>
    </w:p>
    <w:p>
      <w:pPr>
        <w:pStyle w:val="BodyText"/>
        <w:spacing w:before="9"/>
        <w:rPr>
          <w:sz w:val="7"/>
        </w:rPr>
      </w:pPr>
    </w:p>
    <w:p>
      <w:pPr>
        <w:pStyle w:val="BodyText"/>
        <w:spacing w:line="20" w:lineRule="exact" w:before="0"/>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2734,10" stroked="true" strokeweight=".96002pt" strokecolor="#000000">
              <v:stroke dashstyle="solid"/>
            </v:line>
            <v:line style="position:absolute" from="2734,10" to="10090,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520" w:bottom="280" w:left="800" w:right="800"/>
        </w:sectPr>
      </w:pPr>
    </w:p>
    <w:p>
      <w:pPr>
        <w:pStyle w:val="Heading3"/>
        <w:tabs>
          <w:tab w:pos="978" w:val="left" w:leader="none"/>
        </w:tabs>
        <w:ind w:left="221"/>
      </w:pPr>
      <w:r>
        <w:rPr/>
        <w:t>7.1</w:t>
        <w:tab/>
      </w:r>
      <w:r>
        <w:rPr>
          <w:w w:val="95"/>
        </w:rPr>
        <w:t>您解除合同的手续</w:t>
      </w:r>
    </w:p>
    <w:p>
      <w:pPr>
        <w:spacing w:before="37"/>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spacing w:before="37"/>
        <w:ind w:left="221"/>
      </w:pPr>
      <w:r>
        <w:rPr/>
        <w:t>（1）保险合同；</w:t>
      </w:r>
    </w:p>
    <w:p>
      <w:pPr>
        <w:pStyle w:val="BodyText"/>
        <w:spacing w:before="37"/>
        <w:ind w:left="221"/>
      </w:pPr>
      <w:r>
        <w:rPr/>
        <w:t>（2）您的法定身份证明。</w:t>
      </w:r>
    </w:p>
    <w:p>
      <w:pPr>
        <w:pStyle w:val="BodyText"/>
        <w:spacing w:line="273" w:lineRule="auto" w:before="37"/>
        <w:ind w:left="221" w:right="207"/>
        <w:jc w:val="both"/>
      </w:pPr>
      <w:r>
        <w:rPr/>
        <w:t>自本公司收到解除合同申请书之日起，本附加合同终止。本公司自收到解除合</w:t>
      </w:r>
      <w:r>
        <w:rPr>
          <w:spacing w:val="-8"/>
        </w:rPr>
        <w:t>同申请书之日起 </w:t>
      </w:r>
      <w:r>
        <w:rPr>
          <w:spacing w:val="-1"/>
        </w:rPr>
        <w:t>3</w:t>
      </w:r>
      <w:r>
        <w:rPr/>
        <w:t>0</w:t>
      </w:r>
      <w:r>
        <w:rPr>
          <w:spacing w:val="-9"/>
        </w:rPr>
        <w:t> 日内，如果本附加合同缴费已满一年</w:t>
      </w:r>
      <w:r>
        <w:rPr>
          <w:spacing w:val="-1"/>
        </w:rPr>
        <w:t>（不含一年</w:t>
      </w:r>
      <w:r>
        <w:rPr>
          <w:spacing w:val="-104"/>
        </w:rPr>
        <w:t>）</w:t>
      </w:r>
      <w:r>
        <w:rPr>
          <w:spacing w:val="-1"/>
        </w:rPr>
        <w:t>，本公司按下表比例退还本附加合同最后一期已交保险费；如果本附加合同缴费未满一</w:t>
      </w:r>
      <w:r>
        <w:rPr>
          <w:spacing w:val="-44"/>
        </w:rPr>
        <w:t>年</w:t>
      </w:r>
      <w:r>
        <w:rPr/>
        <w:t>（含一年</w:t>
      </w:r>
      <w:r>
        <w:rPr>
          <w:spacing w:val="-75"/>
        </w:rPr>
        <w:t>）</w:t>
      </w:r>
      <w:r>
        <w:rPr>
          <w:spacing w:val="-9"/>
        </w:rPr>
        <w:t>，本公司在扣除百分之七十的金额后按下表比例退还最后一期已交保险费。</w:t>
      </w:r>
    </w:p>
    <w:tbl>
      <w:tblPr>
        <w:tblW w:w="0" w:type="auto"/>
        <w:jc w:val="lef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852"/>
        <w:gridCol w:w="851"/>
        <w:gridCol w:w="851"/>
        <w:gridCol w:w="851"/>
      </w:tblGrid>
      <w:tr>
        <w:trPr>
          <w:trHeight w:val="312" w:hRule="atLeast"/>
        </w:trPr>
        <w:tc>
          <w:tcPr>
            <w:tcW w:w="3440" w:type="dxa"/>
            <w:vMerge w:val="restart"/>
          </w:tcPr>
          <w:p>
            <w:pPr>
              <w:pStyle w:val="TableParagraph"/>
              <w:spacing w:before="147"/>
              <w:ind w:left="249"/>
              <w:rPr>
                <w:sz w:val="21"/>
              </w:rPr>
            </w:pPr>
            <w:r>
              <w:rPr>
                <w:sz w:val="21"/>
              </w:rPr>
              <w:t>最后一期已交保险费的剩余月数</w:t>
            </w:r>
          </w:p>
        </w:tc>
        <w:tc>
          <w:tcPr>
            <w:tcW w:w="3405" w:type="dxa"/>
            <w:gridSpan w:val="4"/>
          </w:tcPr>
          <w:p>
            <w:pPr>
              <w:pStyle w:val="TableParagraph"/>
              <w:spacing w:line="261" w:lineRule="exact"/>
              <w:ind w:left="127"/>
              <w:rPr>
                <w:sz w:val="21"/>
              </w:rPr>
            </w:pPr>
            <w:r>
              <w:rPr>
                <w:sz w:val="21"/>
              </w:rPr>
              <w:t>不同交费方式下退还保险费的比例</w:t>
            </w:r>
          </w:p>
        </w:tc>
      </w:tr>
      <w:tr>
        <w:trPr>
          <w:trHeight w:val="311" w:hRule="atLeast"/>
        </w:trPr>
        <w:tc>
          <w:tcPr>
            <w:tcW w:w="3440" w:type="dxa"/>
            <w:vMerge/>
            <w:tcBorders>
              <w:top w:val="nil"/>
            </w:tcBorders>
          </w:tcPr>
          <w:p>
            <w:pPr>
              <w:rPr>
                <w:sz w:val="2"/>
                <w:szCs w:val="2"/>
              </w:rPr>
            </w:pPr>
          </w:p>
        </w:tc>
        <w:tc>
          <w:tcPr>
            <w:tcW w:w="852" w:type="dxa"/>
          </w:tcPr>
          <w:p>
            <w:pPr>
              <w:pStyle w:val="TableParagraph"/>
              <w:spacing w:line="260" w:lineRule="exact"/>
              <w:ind w:left="195" w:right="185"/>
              <w:jc w:val="center"/>
              <w:rPr>
                <w:b/>
                <w:sz w:val="21"/>
              </w:rPr>
            </w:pPr>
            <w:r>
              <w:rPr>
                <w:b/>
                <w:sz w:val="21"/>
              </w:rPr>
              <w:t>月交</w:t>
            </w:r>
          </w:p>
        </w:tc>
        <w:tc>
          <w:tcPr>
            <w:tcW w:w="851" w:type="dxa"/>
          </w:tcPr>
          <w:p>
            <w:pPr>
              <w:pStyle w:val="TableParagraph"/>
              <w:spacing w:line="260" w:lineRule="exact"/>
              <w:ind w:left="87" w:right="80"/>
              <w:jc w:val="center"/>
              <w:rPr>
                <w:b/>
                <w:sz w:val="21"/>
              </w:rPr>
            </w:pPr>
            <w:r>
              <w:rPr>
                <w:b/>
                <w:w w:val="95"/>
                <w:sz w:val="21"/>
              </w:rPr>
              <w:t>季交</w:t>
            </w:r>
          </w:p>
        </w:tc>
        <w:tc>
          <w:tcPr>
            <w:tcW w:w="851" w:type="dxa"/>
          </w:tcPr>
          <w:p>
            <w:pPr>
              <w:pStyle w:val="TableParagraph"/>
              <w:spacing w:line="260" w:lineRule="exact"/>
              <w:ind w:left="88" w:right="80"/>
              <w:jc w:val="center"/>
              <w:rPr>
                <w:b/>
                <w:sz w:val="21"/>
              </w:rPr>
            </w:pPr>
            <w:r>
              <w:rPr>
                <w:b/>
                <w:sz w:val="21"/>
              </w:rPr>
              <w:t>半年交</w:t>
            </w:r>
          </w:p>
        </w:tc>
        <w:tc>
          <w:tcPr>
            <w:tcW w:w="851" w:type="dxa"/>
          </w:tcPr>
          <w:p>
            <w:pPr>
              <w:pStyle w:val="TableParagraph"/>
              <w:spacing w:line="260" w:lineRule="exact"/>
              <w:ind w:left="87" w:right="80"/>
              <w:jc w:val="center"/>
              <w:rPr>
                <w:b/>
                <w:sz w:val="21"/>
              </w:rPr>
            </w:pPr>
            <w:r>
              <w:rPr>
                <w:b/>
                <w:w w:val="95"/>
                <w:sz w:val="21"/>
              </w:rPr>
              <w:t>年交</w:t>
            </w:r>
          </w:p>
        </w:tc>
      </w:tr>
      <w:tr>
        <w:trPr>
          <w:trHeight w:val="311" w:hRule="atLeast"/>
        </w:trPr>
        <w:tc>
          <w:tcPr>
            <w:tcW w:w="3440" w:type="dxa"/>
          </w:tcPr>
          <w:p>
            <w:pPr>
              <w:pStyle w:val="TableParagraph"/>
              <w:spacing w:line="260" w:lineRule="exact"/>
              <w:ind w:left="106"/>
              <w:rPr>
                <w:sz w:val="21"/>
              </w:rPr>
            </w:pPr>
            <w:r>
              <w:rPr>
                <w:sz w:val="21"/>
              </w:rPr>
              <w:t>满 11 个月</w:t>
            </w:r>
          </w:p>
        </w:tc>
        <w:tc>
          <w:tcPr>
            <w:tcW w:w="852" w:type="dxa"/>
          </w:tcPr>
          <w:p>
            <w:pPr>
              <w:pStyle w:val="TableParagraph"/>
              <w:spacing w:line="260" w:lineRule="exact"/>
              <w:ind w:left="10"/>
              <w:jc w:val="center"/>
              <w:rPr>
                <w:sz w:val="21"/>
              </w:rPr>
            </w:pPr>
            <w:r>
              <w:rPr>
                <w:sz w:val="21"/>
              </w:rPr>
              <w:t>-</w:t>
            </w:r>
          </w:p>
        </w:tc>
        <w:tc>
          <w:tcPr>
            <w:tcW w:w="851" w:type="dxa"/>
          </w:tcPr>
          <w:p>
            <w:pPr>
              <w:pStyle w:val="TableParagraph"/>
              <w:spacing w:line="260" w:lineRule="exact"/>
              <w:ind w:left="9"/>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5" w:right="80"/>
              <w:jc w:val="center"/>
              <w:rPr>
                <w:sz w:val="21"/>
              </w:rPr>
            </w:pPr>
            <w:r>
              <w:rPr>
                <w:sz w:val="21"/>
              </w:rPr>
              <w:t>55%</w:t>
            </w:r>
          </w:p>
        </w:tc>
      </w:tr>
      <w:tr>
        <w:trPr>
          <w:trHeight w:val="312" w:hRule="atLeast"/>
        </w:trPr>
        <w:tc>
          <w:tcPr>
            <w:tcW w:w="3440" w:type="dxa"/>
          </w:tcPr>
          <w:p>
            <w:pPr>
              <w:pStyle w:val="TableParagraph"/>
              <w:spacing w:line="261" w:lineRule="exact"/>
              <w:ind w:left="106"/>
              <w:rPr>
                <w:sz w:val="21"/>
              </w:rPr>
            </w:pPr>
            <w:r>
              <w:rPr>
                <w:sz w:val="21"/>
              </w:rPr>
              <w:t>满 10 个月但不满 11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6"/>
              <w:jc w:val="center"/>
              <w:rPr>
                <w:sz w:val="21"/>
              </w:rPr>
            </w:pPr>
            <w:r>
              <w:rPr>
                <w:sz w:val="21"/>
              </w:rPr>
              <w:t>-</w:t>
            </w:r>
          </w:p>
        </w:tc>
        <w:tc>
          <w:tcPr>
            <w:tcW w:w="851" w:type="dxa"/>
          </w:tcPr>
          <w:p>
            <w:pPr>
              <w:pStyle w:val="TableParagraph"/>
              <w:spacing w:line="261" w:lineRule="exact"/>
              <w:ind w:left="85" w:right="80"/>
              <w:jc w:val="center"/>
              <w:rPr>
                <w:sz w:val="21"/>
              </w:rPr>
            </w:pPr>
            <w:r>
              <w:rPr>
                <w:sz w:val="21"/>
              </w:rPr>
              <w:t>50%</w:t>
            </w:r>
          </w:p>
        </w:tc>
      </w:tr>
      <w:tr>
        <w:trPr>
          <w:trHeight w:val="311" w:hRule="atLeast"/>
        </w:trPr>
        <w:tc>
          <w:tcPr>
            <w:tcW w:w="3440" w:type="dxa"/>
          </w:tcPr>
          <w:p>
            <w:pPr>
              <w:pStyle w:val="TableParagraph"/>
              <w:spacing w:line="260" w:lineRule="exact"/>
              <w:ind w:left="106"/>
              <w:rPr>
                <w:sz w:val="21"/>
              </w:rPr>
            </w:pPr>
            <w:r>
              <w:rPr>
                <w:sz w:val="21"/>
              </w:rPr>
              <w:t>满 9 个月但不满 10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6"/>
              <w:jc w:val="center"/>
              <w:rPr>
                <w:sz w:val="21"/>
              </w:rPr>
            </w:pPr>
            <w:r>
              <w:rPr>
                <w:sz w:val="21"/>
              </w:rPr>
              <w:t>-</w:t>
            </w:r>
          </w:p>
        </w:tc>
        <w:tc>
          <w:tcPr>
            <w:tcW w:w="851" w:type="dxa"/>
          </w:tcPr>
          <w:p>
            <w:pPr>
              <w:pStyle w:val="TableParagraph"/>
              <w:spacing w:line="260" w:lineRule="exact"/>
              <w:ind w:left="85" w:right="80"/>
              <w:jc w:val="center"/>
              <w:rPr>
                <w:sz w:val="21"/>
              </w:rPr>
            </w:pPr>
            <w:r>
              <w:rPr>
                <w:sz w:val="21"/>
              </w:rPr>
              <w:t>45%</w:t>
            </w:r>
          </w:p>
        </w:tc>
      </w:tr>
      <w:tr>
        <w:trPr>
          <w:trHeight w:val="311" w:hRule="atLeast"/>
        </w:trPr>
        <w:tc>
          <w:tcPr>
            <w:tcW w:w="3440" w:type="dxa"/>
          </w:tcPr>
          <w:p>
            <w:pPr>
              <w:pStyle w:val="TableParagraph"/>
              <w:spacing w:line="260" w:lineRule="exact"/>
              <w:ind w:left="106"/>
              <w:rPr>
                <w:sz w:val="21"/>
              </w:rPr>
            </w:pPr>
            <w:r>
              <w:rPr>
                <w:sz w:val="21"/>
              </w:rPr>
              <w:t>满 8 个月但不满 9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85" w:right="80"/>
              <w:jc w:val="center"/>
              <w:rPr>
                <w:sz w:val="21"/>
              </w:rPr>
            </w:pPr>
            <w:r>
              <w:rPr>
                <w:sz w:val="21"/>
              </w:rPr>
              <w:t>40%</w:t>
            </w:r>
          </w:p>
        </w:tc>
      </w:tr>
      <w:tr>
        <w:trPr>
          <w:trHeight w:val="312" w:hRule="atLeast"/>
        </w:trPr>
        <w:tc>
          <w:tcPr>
            <w:tcW w:w="3440" w:type="dxa"/>
          </w:tcPr>
          <w:p>
            <w:pPr>
              <w:pStyle w:val="TableParagraph"/>
              <w:spacing w:line="261" w:lineRule="exact"/>
              <w:ind w:left="106"/>
              <w:rPr>
                <w:sz w:val="21"/>
              </w:rPr>
            </w:pPr>
            <w:r>
              <w:rPr>
                <w:sz w:val="21"/>
              </w:rPr>
              <w:t>满 7 个月但不满 8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85" w:right="80"/>
              <w:jc w:val="center"/>
              <w:rPr>
                <w:sz w:val="21"/>
              </w:rPr>
            </w:pPr>
            <w:r>
              <w:rPr>
                <w:sz w:val="21"/>
              </w:rPr>
              <w:t>35%</w:t>
            </w:r>
          </w:p>
        </w:tc>
      </w:tr>
      <w:tr>
        <w:trPr>
          <w:trHeight w:val="311" w:hRule="atLeast"/>
        </w:trPr>
        <w:tc>
          <w:tcPr>
            <w:tcW w:w="3440" w:type="dxa"/>
          </w:tcPr>
          <w:p>
            <w:pPr>
              <w:pStyle w:val="TableParagraph"/>
              <w:spacing w:line="260" w:lineRule="exact"/>
              <w:ind w:left="106"/>
              <w:rPr>
                <w:sz w:val="21"/>
              </w:rPr>
            </w:pPr>
            <w:r>
              <w:rPr>
                <w:sz w:val="21"/>
              </w:rPr>
              <w:t>满 6 个月但不满 7 个月</w:t>
            </w:r>
          </w:p>
        </w:tc>
        <w:tc>
          <w:tcPr>
            <w:tcW w:w="852" w:type="dxa"/>
          </w:tcPr>
          <w:p>
            <w:pPr>
              <w:pStyle w:val="TableParagraph"/>
              <w:spacing w:line="260" w:lineRule="exact"/>
              <w:ind w:left="9"/>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5" w:right="80"/>
              <w:jc w:val="center"/>
              <w:rPr>
                <w:sz w:val="21"/>
              </w:rPr>
            </w:pPr>
            <w:r>
              <w:rPr>
                <w:sz w:val="21"/>
              </w:rPr>
              <w:t>30%</w:t>
            </w:r>
          </w:p>
        </w:tc>
      </w:tr>
      <w:tr>
        <w:trPr>
          <w:trHeight w:val="311" w:hRule="atLeast"/>
        </w:trPr>
        <w:tc>
          <w:tcPr>
            <w:tcW w:w="3440" w:type="dxa"/>
          </w:tcPr>
          <w:p>
            <w:pPr>
              <w:pStyle w:val="TableParagraph"/>
              <w:spacing w:line="260" w:lineRule="exact"/>
              <w:ind w:left="106"/>
              <w:rPr>
                <w:sz w:val="21"/>
              </w:rPr>
            </w:pPr>
            <w:r>
              <w:rPr>
                <w:sz w:val="21"/>
              </w:rPr>
              <w:t>满 5 个月但不满 6 个月</w:t>
            </w:r>
          </w:p>
        </w:tc>
        <w:tc>
          <w:tcPr>
            <w:tcW w:w="852" w:type="dxa"/>
          </w:tcPr>
          <w:p>
            <w:pPr>
              <w:pStyle w:val="TableParagraph"/>
              <w:spacing w:line="260" w:lineRule="exact"/>
              <w:ind w:left="9"/>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6" w:right="80"/>
              <w:jc w:val="center"/>
              <w:rPr>
                <w:sz w:val="21"/>
              </w:rPr>
            </w:pPr>
            <w:r>
              <w:rPr>
                <w:sz w:val="21"/>
              </w:rPr>
              <w:t>50%</w:t>
            </w:r>
          </w:p>
        </w:tc>
        <w:tc>
          <w:tcPr>
            <w:tcW w:w="851" w:type="dxa"/>
          </w:tcPr>
          <w:p>
            <w:pPr>
              <w:pStyle w:val="TableParagraph"/>
              <w:spacing w:line="260" w:lineRule="exact"/>
              <w:ind w:left="85" w:right="80"/>
              <w:jc w:val="center"/>
              <w:rPr>
                <w:sz w:val="21"/>
              </w:rPr>
            </w:pPr>
            <w:r>
              <w:rPr>
                <w:sz w:val="21"/>
              </w:rPr>
              <w:t>25%</w:t>
            </w:r>
          </w:p>
        </w:tc>
      </w:tr>
      <w:tr>
        <w:trPr>
          <w:trHeight w:val="312" w:hRule="atLeast"/>
        </w:trPr>
        <w:tc>
          <w:tcPr>
            <w:tcW w:w="3440" w:type="dxa"/>
          </w:tcPr>
          <w:p>
            <w:pPr>
              <w:pStyle w:val="TableParagraph"/>
              <w:spacing w:line="261" w:lineRule="exact"/>
              <w:ind w:left="106"/>
              <w:rPr>
                <w:sz w:val="21"/>
              </w:rPr>
            </w:pPr>
            <w:r>
              <w:rPr>
                <w:sz w:val="21"/>
              </w:rPr>
              <w:t>满 4 个月但不满 5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85" w:right="80"/>
              <w:jc w:val="center"/>
              <w:rPr>
                <w:sz w:val="21"/>
              </w:rPr>
            </w:pPr>
            <w:r>
              <w:rPr>
                <w:sz w:val="21"/>
              </w:rPr>
              <w:t>40%</w:t>
            </w:r>
          </w:p>
        </w:tc>
        <w:tc>
          <w:tcPr>
            <w:tcW w:w="851" w:type="dxa"/>
          </w:tcPr>
          <w:p>
            <w:pPr>
              <w:pStyle w:val="TableParagraph"/>
              <w:spacing w:line="261" w:lineRule="exact"/>
              <w:ind w:left="85" w:right="80"/>
              <w:jc w:val="center"/>
              <w:rPr>
                <w:sz w:val="21"/>
              </w:rPr>
            </w:pPr>
            <w:r>
              <w:rPr>
                <w:sz w:val="21"/>
              </w:rPr>
              <w:t>20%</w:t>
            </w:r>
          </w:p>
        </w:tc>
      </w:tr>
      <w:tr>
        <w:trPr>
          <w:trHeight w:val="311" w:hRule="atLeast"/>
        </w:trPr>
        <w:tc>
          <w:tcPr>
            <w:tcW w:w="3440" w:type="dxa"/>
          </w:tcPr>
          <w:p>
            <w:pPr>
              <w:pStyle w:val="TableParagraph"/>
              <w:spacing w:line="260" w:lineRule="exact"/>
              <w:ind w:left="106"/>
              <w:rPr>
                <w:sz w:val="21"/>
              </w:rPr>
            </w:pPr>
            <w:r>
              <w:rPr>
                <w:sz w:val="21"/>
              </w:rPr>
              <w:t>满 3 个月但不满 4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85" w:right="80"/>
              <w:jc w:val="center"/>
              <w:rPr>
                <w:sz w:val="21"/>
              </w:rPr>
            </w:pPr>
            <w:r>
              <w:rPr>
                <w:sz w:val="21"/>
              </w:rPr>
              <w:t>30%</w:t>
            </w:r>
          </w:p>
        </w:tc>
        <w:tc>
          <w:tcPr>
            <w:tcW w:w="851" w:type="dxa"/>
          </w:tcPr>
          <w:p>
            <w:pPr>
              <w:pStyle w:val="TableParagraph"/>
              <w:spacing w:line="260" w:lineRule="exact"/>
              <w:ind w:left="85" w:right="80"/>
              <w:jc w:val="center"/>
              <w:rPr>
                <w:sz w:val="21"/>
              </w:rPr>
            </w:pPr>
            <w:r>
              <w:rPr>
                <w:sz w:val="21"/>
              </w:rPr>
              <w:t>15%</w:t>
            </w:r>
          </w:p>
        </w:tc>
      </w:tr>
      <w:tr>
        <w:trPr>
          <w:trHeight w:val="311" w:hRule="atLeast"/>
        </w:trPr>
        <w:tc>
          <w:tcPr>
            <w:tcW w:w="3440" w:type="dxa"/>
          </w:tcPr>
          <w:p>
            <w:pPr>
              <w:pStyle w:val="TableParagraph"/>
              <w:spacing w:line="260" w:lineRule="exact"/>
              <w:ind w:left="106"/>
              <w:rPr>
                <w:sz w:val="21"/>
              </w:rPr>
            </w:pPr>
            <w:r>
              <w:rPr>
                <w:sz w:val="21"/>
              </w:rPr>
              <w:t>满 2 个月但不满 3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5" w:right="80"/>
              <w:jc w:val="center"/>
              <w:rPr>
                <w:sz w:val="21"/>
              </w:rPr>
            </w:pPr>
            <w:r>
              <w:rPr>
                <w:sz w:val="21"/>
              </w:rPr>
              <w:t>40%</w:t>
            </w:r>
          </w:p>
        </w:tc>
        <w:tc>
          <w:tcPr>
            <w:tcW w:w="851" w:type="dxa"/>
          </w:tcPr>
          <w:p>
            <w:pPr>
              <w:pStyle w:val="TableParagraph"/>
              <w:spacing w:line="260" w:lineRule="exact"/>
              <w:ind w:left="85" w:right="80"/>
              <w:jc w:val="center"/>
              <w:rPr>
                <w:sz w:val="21"/>
              </w:rPr>
            </w:pPr>
            <w:r>
              <w:rPr>
                <w:sz w:val="21"/>
              </w:rPr>
              <w:t>20%</w:t>
            </w:r>
          </w:p>
        </w:tc>
        <w:tc>
          <w:tcPr>
            <w:tcW w:w="851" w:type="dxa"/>
          </w:tcPr>
          <w:p>
            <w:pPr>
              <w:pStyle w:val="TableParagraph"/>
              <w:spacing w:line="260" w:lineRule="exact"/>
              <w:ind w:left="85" w:right="80"/>
              <w:jc w:val="center"/>
              <w:rPr>
                <w:sz w:val="21"/>
              </w:rPr>
            </w:pPr>
            <w:r>
              <w:rPr>
                <w:sz w:val="21"/>
              </w:rPr>
              <w:t>10%</w:t>
            </w:r>
          </w:p>
        </w:tc>
      </w:tr>
      <w:tr>
        <w:trPr>
          <w:trHeight w:val="312" w:hRule="atLeast"/>
        </w:trPr>
        <w:tc>
          <w:tcPr>
            <w:tcW w:w="3440" w:type="dxa"/>
          </w:tcPr>
          <w:p>
            <w:pPr>
              <w:pStyle w:val="TableParagraph"/>
              <w:spacing w:line="261" w:lineRule="exact"/>
              <w:ind w:left="106"/>
              <w:rPr>
                <w:sz w:val="21"/>
              </w:rPr>
            </w:pPr>
            <w:r>
              <w:rPr>
                <w:sz w:val="21"/>
              </w:rPr>
              <w:t>满 1 个月但不满 2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5" w:right="80"/>
              <w:jc w:val="center"/>
              <w:rPr>
                <w:sz w:val="21"/>
              </w:rPr>
            </w:pPr>
            <w:r>
              <w:rPr>
                <w:sz w:val="21"/>
              </w:rPr>
              <w:t>20%</w:t>
            </w:r>
          </w:p>
        </w:tc>
        <w:tc>
          <w:tcPr>
            <w:tcW w:w="851" w:type="dxa"/>
          </w:tcPr>
          <w:p>
            <w:pPr>
              <w:pStyle w:val="TableParagraph"/>
              <w:spacing w:line="261" w:lineRule="exact"/>
              <w:ind w:left="85" w:right="80"/>
              <w:jc w:val="center"/>
              <w:rPr>
                <w:sz w:val="21"/>
              </w:rPr>
            </w:pPr>
            <w:r>
              <w:rPr>
                <w:sz w:val="21"/>
              </w:rPr>
              <w:t>10%</w:t>
            </w:r>
          </w:p>
        </w:tc>
        <w:tc>
          <w:tcPr>
            <w:tcW w:w="851" w:type="dxa"/>
          </w:tcPr>
          <w:p>
            <w:pPr>
              <w:pStyle w:val="TableParagraph"/>
              <w:spacing w:line="261" w:lineRule="exact"/>
              <w:ind w:left="87" w:right="80"/>
              <w:jc w:val="center"/>
              <w:rPr>
                <w:sz w:val="21"/>
              </w:rPr>
            </w:pPr>
            <w:r>
              <w:rPr>
                <w:sz w:val="21"/>
              </w:rPr>
              <w:t>5%</w:t>
            </w:r>
          </w:p>
        </w:tc>
      </w:tr>
      <w:tr>
        <w:trPr>
          <w:trHeight w:val="311" w:hRule="atLeast"/>
        </w:trPr>
        <w:tc>
          <w:tcPr>
            <w:tcW w:w="3440" w:type="dxa"/>
          </w:tcPr>
          <w:p>
            <w:pPr>
              <w:pStyle w:val="TableParagraph"/>
              <w:spacing w:line="260" w:lineRule="exact"/>
              <w:ind w:left="106"/>
              <w:rPr>
                <w:sz w:val="21"/>
              </w:rPr>
            </w:pPr>
            <w:r>
              <w:rPr>
                <w:sz w:val="21"/>
              </w:rPr>
              <w:t>不满 1 个月</w:t>
            </w:r>
          </w:p>
        </w:tc>
        <w:tc>
          <w:tcPr>
            <w:tcW w:w="852" w:type="dxa"/>
          </w:tcPr>
          <w:p>
            <w:pPr>
              <w:pStyle w:val="TableParagraph"/>
              <w:spacing w:line="260" w:lineRule="exact"/>
              <w:ind w:left="195" w:right="185"/>
              <w:jc w:val="center"/>
              <w:rPr>
                <w:sz w:val="21"/>
              </w:rPr>
            </w:pPr>
            <w:r>
              <w:rPr>
                <w:sz w:val="21"/>
              </w:rPr>
              <w:t>0%</w:t>
            </w:r>
          </w:p>
        </w:tc>
        <w:tc>
          <w:tcPr>
            <w:tcW w:w="851" w:type="dxa"/>
          </w:tcPr>
          <w:p>
            <w:pPr>
              <w:pStyle w:val="TableParagraph"/>
              <w:spacing w:line="260" w:lineRule="exact"/>
              <w:ind w:left="88" w:right="80"/>
              <w:jc w:val="center"/>
              <w:rPr>
                <w:sz w:val="21"/>
              </w:rPr>
            </w:pPr>
            <w:r>
              <w:rPr>
                <w:sz w:val="21"/>
              </w:rPr>
              <w:t>0%</w:t>
            </w:r>
          </w:p>
        </w:tc>
        <w:tc>
          <w:tcPr>
            <w:tcW w:w="851" w:type="dxa"/>
          </w:tcPr>
          <w:p>
            <w:pPr>
              <w:pStyle w:val="TableParagraph"/>
              <w:spacing w:line="260" w:lineRule="exact"/>
              <w:ind w:left="88" w:right="80"/>
              <w:jc w:val="center"/>
              <w:rPr>
                <w:sz w:val="21"/>
              </w:rPr>
            </w:pPr>
            <w:r>
              <w:rPr>
                <w:sz w:val="21"/>
              </w:rPr>
              <w:t>0%</w:t>
            </w:r>
          </w:p>
        </w:tc>
        <w:tc>
          <w:tcPr>
            <w:tcW w:w="851" w:type="dxa"/>
          </w:tcPr>
          <w:p>
            <w:pPr>
              <w:pStyle w:val="TableParagraph"/>
              <w:spacing w:line="260" w:lineRule="exact"/>
              <w:ind w:left="87" w:right="80"/>
              <w:jc w:val="center"/>
              <w:rPr>
                <w:sz w:val="21"/>
              </w:rPr>
            </w:pPr>
            <w:r>
              <w:rPr>
                <w:sz w:val="21"/>
              </w:rPr>
              <w:t>0%</w:t>
            </w:r>
          </w:p>
        </w:tc>
      </w:tr>
    </w:tbl>
    <w:p>
      <w:pPr>
        <w:pStyle w:val="BodyText"/>
        <w:spacing w:before="8"/>
        <w:ind w:left="221"/>
      </w:pPr>
      <w:r>
        <w:rPr/>
        <w:t>您解除合同会遭受一定损失。</w:t>
      </w:r>
    </w:p>
    <w:p>
      <w:pPr>
        <w:spacing w:after="0"/>
        <w:sectPr>
          <w:type w:val="continuous"/>
          <w:pgSz w:w="11910" w:h="16840"/>
          <w:pgMar w:top="520" w:bottom="280" w:left="800" w:right="800"/>
          <w:cols w:num="2" w:equalWidth="0">
            <w:col w:w="2666" w:space="49"/>
            <w:col w:w="7595"/>
          </w:cols>
        </w:sectPr>
      </w:pPr>
    </w:p>
    <w:p>
      <w:pPr>
        <w:pStyle w:val="BodyText"/>
        <w:spacing w:before="0"/>
        <w:rPr>
          <w:sz w:val="20"/>
        </w:rPr>
      </w:pPr>
    </w:p>
    <w:p>
      <w:pPr>
        <w:pStyle w:val="BodyText"/>
        <w:spacing w:before="12"/>
        <w:rPr>
          <w:sz w:val="13"/>
        </w:rPr>
      </w:pPr>
    </w:p>
    <w:p>
      <w:pPr>
        <w:pStyle w:val="Heading2"/>
        <w:tabs>
          <w:tab w:pos="978" w:val="left" w:leader="none"/>
        </w:tabs>
      </w:pPr>
      <w:r>
        <w:rPr/>
        <w:pict>
          <v:group style="position:absolute;margin-left:45.66pt;margin-top:31.150181pt;width:504.5pt;height:1pt;mso-position-horizontal-relative:page;mso-position-vertical-relative:paragraph;z-index:1216;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6"/>
        </w:numPr>
        <w:tabs>
          <w:tab w:pos="978" w:val="left" w:leader="none"/>
          <w:tab w:pos="979" w:val="left" w:leader="none"/>
          <w:tab w:pos="2935" w:val="left" w:leader="none"/>
        </w:tabs>
        <w:spacing w:line="273" w:lineRule="auto" w:before="35" w:after="0"/>
        <w:ind w:left="2935" w:right="226" w:hanging="2714"/>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before="11"/>
        <w:rPr>
          <w:sz w:val="17"/>
        </w:rPr>
      </w:pPr>
    </w:p>
    <w:p>
      <w:pPr>
        <w:pStyle w:val="ListParagraph"/>
        <w:numPr>
          <w:ilvl w:val="1"/>
          <w:numId w:val="6"/>
        </w:numPr>
        <w:tabs>
          <w:tab w:pos="978" w:val="left" w:leader="none"/>
          <w:tab w:pos="979" w:val="left" w:leader="none"/>
          <w:tab w:pos="2935"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ind w:left="2935"/>
      </w:pPr>
      <w:r>
        <w:rPr/>
        <w:t>（1）犹豫期</w:t>
      </w:r>
    </w:p>
    <w:p>
      <w:pPr>
        <w:pStyle w:val="BodyText"/>
        <w:ind w:left="2935"/>
      </w:pPr>
      <w:r>
        <w:rPr/>
        <w:t>（2）明确说明与如实告知</w:t>
      </w:r>
    </w:p>
    <w:p>
      <w:pPr>
        <w:pStyle w:val="BodyText"/>
        <w:ind w:left="2935"/>
      </w:pPr>
      <w:r>
        <w:rPr/>
        <w:t>（3）本公司合同解除权的限制</w:t>
      </w:r>
    </w:p>
    <w:p>
      <w:pPr>
        <w:pStyle w:val="BodyText"/>
        <w:ind w:left="2935"/>
      </w:pPr>
      <w:r>
        <w:rPr/>
        <w:t>（4）年龄性别错误</w:t>
      </w:r>
    </w:p>
    <w:p>
      <w:pPr>
        <w:pStyle w:val="BodyText"/>
        <w:ind w:left="2935"/>
      </w:pPr>
      <w:r>
        <w:rPr/>
        <w:t>（5）未还款项</w:t>
      </w:r>
    </w:p>
    <w:p>
      <w:pPr>
        <w:pStyle w:val="BodyText"/>
        <w:ind w:left="2935"/>
      </w:pPr>
      <w:r>
        <w:rPr/>
        <w:t>（6）合同内容变更</w:t>
      </w:r>
    </w:p>
    <w:p>
      <w:pPr>
        <w:pStyle w:val="BodyText"/>
        <w:ind w:left="2935"/>
      </w:pPr>
      <w:r>
        <w:rPr/>
        <w:t>（7）争议处理</w:t>
      </w:r>
    </w:p>
    <w:p>
      <w:pPr>
        <w:pStyle w:val="BodyText"/>
        <w:ind w:left="2935"/>
      </w:pPr>
      <w:r>
        <w:rPr/>
        <w:t>如果主合同与本附加合同的条款互有抵触，则以本附加合同的条款为准。</w:t>
      </w:r>
    </w:p>
    <w:p>
      <w:pPr>
        <w:spacing w:after="0"/>
        <w:sectPr>
          <w:type w:val="continuous"/>
          <w:pgSz w:w="11910" w:h="16840"/>
          <w:pgMar w:top="520" w:bottom="280" w:left="800" w:right="800"/>
        </w:sectPr>
      </w:pPr>
    </w:p>
    <w:p>
      <w:pPr>
        <w:tabs>
          <w:tab w:pos="978" w:val="left" w:leader="none"/>
        </w:tabs>
        <w:spacing w:before="42"/>
        <w:ind w:left="221" w:right="0" w:firstLine="0"/>
        <w:jc w:val="left"/>
        <w:rPr>
          <w:b/>
          <w:sz w:val="24"/>
        </w:rPr>
      </w:pPr>
      <w:r>
        <w:rPr/>
        <w:pict>
          <v:group style="position:absolute;margin-left:45.66pt;margin-top:30.200026pt;width:504.5pt;height:1pt;mso-position-horizontal-relative:page;mso-position-vertical-relative:paragraph;z-index:1240;mso-wrap-distance-left:0;mso-wrap-distance-right:0" coordorigin="913,604" coordsize="10090,20">
            <v:line style="position:absolute" from="913,614" to="3647,614" stroked="true" strokeweight=".96002pt" strokecolor="#000000">
              <v:stroke dashstyle="solid"/>
            </v:line>
            <v:line style="position:absolute" from="3647,614" to="11003,614" stroked="true" strokeweight=".96pt" strokecolor="#000000">
              <v:stroke dashstyle="solid"/>
            </v:line>
            <w10:wrap type="topAndBottom"/>
          </v:group>
        </w:pict>
      </w:r>
      <w:r>
        <w:rPr>
          <w:rFonts w:ascii="Arial" w:hAnsi="Arial" w:eastAsia="Arial"/>
          <w:b/>
          <w:w w:val="110"/>
          <w:position w:val="-3"/>
          <w:sz w:val="40"/>
        </w:rPr>
        <w:t></w:t>
        <w:tab/>
      </w:r>
      <w:r>
        <w:rPr>
          <w:b/>
          <w:w w:val="95"/>
          <w:sz w:val="24"/>
        </w:rPr>
        <w:t>释义</w:t>
      </w:r>
    </w:p>
    <w:p>
      <w:pPr>
        <w:pStyle w:val="BodyText"/>
        <w:spacing w:before="10"/>
        <w:rPr>
          <w:b/>
          <w:sz w:val="9"/>
        </w:rPr>
      </w:pPr>
    </w:p>
    <w:p>
      <w:pPr>
        <w:tabs>
          <w:tab w:pos="978" w:val="left" w:leader="none"/>
          <w:tab w:pos="2935" w:val="left" w:leader="none"/>
        </w:tabs>
        <w:spacing w:before="35"/>
        <w:ind w:left="221" w:right="0" w:firstLine="0"/>
        <w:jc w:val="left"/>
        <w:rPr>
          <w:sz w:val="21"/>
        </w:rPr>
      </w:pPr>
      <w:r>
        <w:rPr>
          <w:b/>
          <w:sz w:val="21"/>
        </w:rPr>
        <w:t>9.1</w:t>
        <w:tab/>
        <w:t>重大疾病</w:t>
        <w:tab/>
      </w:r>
      <w:r>
        <w:rPr>
          <w:sz w:val="21"/>
        </w:rPr>
        <w:t>指被保险人初次发生符合下列定义的疾病，或初次接受符合下列定义的手术：</w:t>
      </w:r>
    </w:p>
    <w:p>
      <w:pPr>
        <w:pStyle w:val="BodyText"/>
        <w:spacing w:before="1"/>
        <w:rPr>
          <w:sz w:val="20"/>
        </w:rPr>
      </w:pPr>
    </w:p>
    <w:p>
      <w:pPr>
        <w:pStyle w:val="BodyText"/>
        <w:tabs>
          <w:tab w:pos="2935" w:val="left" w:leader="none"/>
        </w:tabs>
        <w:spacing w:line="273" w:lineRule="auto" w:before="0"/>
        <w:ind w:left="2935" w:right="226" w:hanging="1958"/>
        <w:jc w:val="both"/>
      </w:pPr>
      <w:r>
        <w:rPr>
          <w:b/>
        </w:rPr>
        <w:t>恶性肿瘤</w:t>
        <w:tab/>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2935" w:right="4637"/>
      </w:pPr>
      <w:r>
        <w:rPr/>
        <w:t>（ICD-10）的恶性肿瘤范畴。下列疾病不在保障范围内：</w:t>
      </w:r>
    </w:p>
    <w:p>
      <w:pPr>
        <w:pStyle w:val="BodyText"/>
        <w:spacing w:before="7"/>
        <w:ind w:left="2935"/>
      </w:pPr>
      <w:r>
        <w:rPr/>
        <w:t>（1）原位癌；</w:t>
      </w:r>
    </w:p>
    <w:p>
      <w:pPr>
        <w:pStyle w:val="BodyText"/>
        <w:ind w:left="2935"/>
      </w:pPr>
      <w:r>
        <w:rPr/>
        <w:t>（2）相当于Binet 分期方案 A 期程度的慢性淋巴细胞白血病；</w:t>
      </w:r>
    </w:p>
    <w:p>
      <w:pPr>
        <w:pStyle w:val="BodyText"/>
        <w:ind w:left="2935"/>
      </w:pPr>
      <w:r>
        <w:rPr/>
        <w:t>（3）相当于Ann Arbor 分期方案 I 期程度的何杰金氏病；</w:t>
      </w:r>
    </w:p>
    <w:p>
      <w:pPr>
        <w:pStyle w:val="BodyText"/>
        <w:ind w:left="2935"/>
      </w:pPr>
      <w:r>
        <w:rPr/>
        <w:t>（4）</w:t>
      </w:r>
      <w:r>
        <w:rPr>
          <w:spacing w:val="-1"/>
        </w:rPr>
        <w:t>皮肤癌</w:t>
      </w:r>
      <w:r>
        <w:rPr/>
        <w:t>（不包括恶性黑色素瘤及已发生转移的皮肤癌</w:t>
      </w:r>
      <w:r>
        <w:rPr>
          <w:spacing w:val="-106"/>
        </w:rPr>
        <w:t>）</w:t>
      </w:r>
      <w:r>
        <w:rPr/>
        <w:t>；</w:t>
      </w:r>
    </w:p>
    <w:p>
      <w:pPr>
        <w:pStyle w:val="BodyText"/>
        <w:ind w:left="2935"/>
      </w:pPr>
      <w:r>
        <w:rPr/>
        <w:t>（5）TNM 分期为 T1N0M0 期或更轻分期的前列腺癌；</w:t>
      </w:r>
    </w:p>
    <w:p>
      <w:pPr>
        <w:pStyle w:val="BodyText"/>
        <w:ind w:left="2935"/>
      </w:pPr>
      <w:r>
        <w:rPr/>
        <w:t>（6）感染艾滋病病毒或患艾滋病期间所患恶性肿瘤。</w:t>
      </w:r>
    </w:p>
    <w:p>
      <w:pPr>
        <w:pStyle w:val="BodyText"/>
        <w:spacing w:before="3"/>
        <w:rPr>
          <w:sz w:val="20"/>
        </w:rPr>
      </w:pPr>
    </w:p>
    <w:p>
      <w:pPr>
        <w:spacing w:line="273" w:lineRule="auto" w:before="0"/>
        <w:ind w:left="2935" w:right="226" w:hanging="1958"/>
        <w:jc w:val="both"/>
        <w:rPr>
          <w:sz w:val="21"/>
        </w:rPr>
      </w:pPr>
      <w:r>
        <w:rPr>
          <w:b/>
          <w:sz w:val="21"/>
        </w:rPr>
        <w:t>急性心肌梗塞     </w:t>
      </w:r>
      <w:r>
        <w:rPr>
          <w:sz w:val="21"/>
        </w:rPr>
        <w:t>指因冠状动脉阻塞导致的相应区域供血不足造成部分心肌坏死。须满足下列至少三项条件：</w:t>
      </w:r>
    </w:p>
    <w:p>
      <w:pPr>
        <w:pStyle w:val="BodyText"/>
        <w:spacing w:before="7"/>
        <w:ind w:left="2935"/>
      </w:pPr>
      <w:r>
        <w:rPr/>
        <w:t>（1）典型临床表现，例如急性胸痛等；</w:t>
      </w:r>
    </w:p>
    <w:p>
      <w:pPr>
        <w:pStyle w:val="BodyText"/>
        <w:ind w:left="2935"/>
      </w:pPr>
      <w:r>
        <w:rPr/>
        <w:t>（2）新近的心电图改变提示急性心肌梗塞；</w:t>
      </w:r>
    </w:p>
    <w:p>
      <w:pPr>
        <w:pStyle w:val="BodyText"/>
        <w:spacing w:line="273" w:lineRule="auto"/>
        <w:ind w:left="3439" w:right="128" w:hanging="504"/>
      </w:pPr>
      <w:r>
        <w:rPr/>
        <w:t>（3）心肌酶或肌钙蛋白有诊断意义的升高，或呈符合急性心肌梗塞的动态性变化；</w:t>
      </w:r>
    </w:p>
    <w:p>
      <w:pPr>
        <w:pStyle w:val="BodyText"/>
        <w:spacing w:before="7"/>
        <w:ind w:left="293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before="0"/>
        <w:ind w:left="293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spacing w:before="7"/>
        <w:ind w:left="2935"/>
      </w:pPr>
      <w:r>
        <w:rPr/>
        <w:t>（1）一肢或一肢以上肢体机能完全丧失；</w:t>
      </w:r>
    </w:p>
    <w:p>
      <w:pPr>
        <w:pStyle w:val="BodyText"/>
        <w:ind w:left="2935"/>
      </w:pPr>
      <w:r>
        <w:rPr/>
        <w:t>（2）语言能力或咀嚼吞咽能力完全丧失；</w:t>
      </w:r>
    </w:p>
    <w:p>
      <w:pPr>
        <w:pStyle w:val="BodyText"/>
        <w:spacing w:line="273" w:lineRule="auto"/>
        <w:ind w:left="3439" w:right="128" w:hanging="504"/>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top="1380" w:bottom="280" w:left="800" w:right="800"/>
        </w:sectPr>
      </w:pPr>
    </w:p>
    <w:p>
      <w:pPr>
        <w:pStyle w:val="Heading3"/>
        <w:spacing w:line="273" w:lineRule="auto"/>
        <w:ind w:left="978"/>
      </w:pPr>
      <w:r>
        <w:rPr/>
        <w:t>重大器官移植术或</w:t>
      </w:r>
      <w:r>
        <w:rPr>
          <w:w w:val="95"/>
        </w:rPr>
        <w:t>造血干细胞移植术</w:t>
      </w:r>
    </w:p>
    <w:p>
      <w:pPr>
        <w:pStyle w:val="BodyText"/>
        <w:spacing w:line="273" w:lineRule="auto" w:before="35"/>
        <w:ind w:left="230" w:right="226"/>
        <w:jc w:val="both"/>
      </w:pPr>
      <w:r>
        <w:rPr/>
        <w:br w:type="column"/>
      </w:r>
      <w:r>
        <w:rPr/>
        <w:t>重大器官移植术，指因相应器官功能衰竭，已经实施了肾脏、肝脏、心脏或肺脏的异体移植手术。</w:t>
      </w:r>
    </w:p>
    <w:p>
      <w:pPr>
        <w:pStyle w:val="BodyText"/>
        <w:spacing w:line="273" w:lineRule="auto" w:before="7"/>
        <w:ind w:left="229" w:right="22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800" w:right="800"/>
          <w:cols w:num="2" w:equalWidth="0">
            <w:col w:w="2666" w:space="40"/>
            <w:col w:w="7604"/>
          </w:cols>
        </w:sectPr>
      </w:pPr>
    </w:p>
    <w:p>
      <w:pPr>
        <w:pStyle w:val="BodyText"/>
        <w:spacing w:before="3"/>
        <w:rPr>
          <w:sz w:val="15"/>
        </w:rPr>
      </w:pPr>
    </w:p>
    <w:p>
      <w:pPr>
        <w:spacing w:after="0"/>
        <w:rPr>
          <w:sz w:val="15"/>
        </w:rPr>
        <w:sectPr>
          <w:type w:val="continuous"/>
          <w:pgSz w:w="11910" w:h="16840"/>
          <w:pgMar w:top="520" w:bottom="280" w:left="800" w:right="800"/>
        </w:sectPr>
      </w:pPr>
    </w:p>
    <w:p>
      <w:pPr>
        <w:pStyle w:val="Heading3"/>
        <w:ind w:left="978"/>
      </w:pPr>
      <w:r>
        <w:rPr>
          <w:w w:val="95"/>
        </w:rPr>
        <w:t>冠状动脉搭桥术</w:t>
      </w:r>
    </w:p>
    <w:p>
      <w:pPr>
        <w:spacing w:line="273" w:lineRule="auto" w:before="37"/>
        <w:ind w:left="978" w:right="0" w:firstLine="0"/>
        <w:jc w:val="left"/>
        <w:rPr>
          <w:b/>
          <w:sz w:val="21"/>
        </w:rPr>
      </w:pPr>
      <w:r>
        <w:rPr>
          <w:b/>
          <w:sz w:val="21"/>
        </w:rPr>
        <w:t>（或称冠状动脉旁</w:t>
      </w:r>
      <w:r>
        <w:rPr>
          <w:b/>
          <w:w w:val="95"/>
          <w:sz w:val="21"/>
        </w:rPr>
        <w:t>路移植术）</w:t>
      </w:r>
    </w:p>
    <w:p>
      <w:pPr>
        <w:pStyle w:val="BodyText"/>
        <w:spacing w:line="273" w:lineRule="auto" w:before="35"/>
        <w:ind w:left="230"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800" w:right="800"/>
          <w:cols w:num="2" w:equalWidth="0">
            <w:col w:w="2666" w:space="40"/>
            <w:col w:w="7604"/>
          </w:cols>
        </w:sectPr>
      </w:pPr>
    </w:p>
    <w:p>
      <w:pPr>
        <w:pStyle w:val="BodyText"/>
        <w:spacing w:before="2"/>
        <w:rPr>
          <w:sz w:val="15"/>
        </w:rPr>
      </w:pPr>
    </w:p>
    <w:p>
      <w:pPr>
        <w:spacing w:after="0"/>
        <w:rPr>
          <w:sz w:val="15"/>
        </w:rPr>
        <w:sectPr>
          <w:type w:val="continuous"/>
          <w:pgSz w:w="11910" w:h="16840"/>
          <w:pgMar w:top="520" w:bottom="280" w:left="800" w:right="800"/>
        </w:sectPr>
      </w:pPr>
    </w:p>
    <w:p>
      <w:pPr>
        <w:pStyle w:val="Heading3"/>
        <w:spacing w:line="273" w:lineRule="auto" w:before="36"/>
        <w:ind w:left="978"/>
        <w:jc w:val="both"/>
      </w:pPr>
      <w:r>
        <w:rPr/>
        <w:t>终末期肾病（或称慢性肾功能衰竭尿毒症期）</w:t>
      </w:r>
    </w:p>
    <w:p>
      <w:pPr>
        <w:pStyle w:val="BodyText"/>
        <w:spacing w:line="273" w:lineRule="auto"/>
        <w:ind w:left="230"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800" w:right="800"/>
          <w:cols w:num="2" w:equalWidth="0">
            <w:col w:w="2666" w:space="40"/>
            <w:col w:w="7604"/>
          </w:cols>
        </w:sectPr>
      </w:pPr>
    </w:p>
    <w:p>
      <w:pPr>
        <w:pStyle w:val="BodyText"/>
        <w:spacing w:before="3"/>
        <w:rPr>
          <w:sz w:val="15"/>
        </w:rPr>
      </w:pPr>
    </w:p>
    <w:p>
      <w:pPr>
        <w:pStyle w:val="BodyText"/>
        <w:tabs>
          <w:tab w:pos="2935" w:val="left" w:leader="none"/>
        </w:tabs>
        <w:spacing w:before="35"/>
        <w:ind w:left="978"/>
      </w:pPr>
      <w:r>
        <w:rPr>
          <w:b/>
        </w:rPr>
        <w:t>多个肢体缺失</w:t>
        <w:tab/>
      </w:r>
      <w:r>
        <w:rPr/>
        <w:t>指因疾病或意外伤害导致两个或两个以上肢体自腕关节或踝关节近端（靠近躯</w:t>
      </w:r>
    </w:p>
    <w:p>
      <w:pPr>
        <w:spacing w:after="0"/>
        <w:sectPr>
          <w:type w:val="continuous"/>
          <w:pgSz w:w="11910" w:h="16840"/>
          <w:pgMar w:top="520" w:bottom="280" w:left="800" w:right="800"/>
        </w:sectPr>
      </w:pPr>
    </w:p>
    <w:p>
      <w:pPr>
        <w:pStyle w:val="BodyText"/>
        <w:spacing w:before="19"/>
        <w:ind w:left="2075"/>
      </w:pPr>
      <w:r>
        <w:rPr/>
        <w:t>干端）以上完全性断离。</w:t>
      </w:r>
    </w:p>
    <w:p>
      <w:pPr>
        <w:pStyle w:val="BodyText"/>
        <w:spacing w:before="6"/>
        <w:rPr>
          <w:sz w:val="17"/>
        </w:rPr>
      </w:pPr>
    </w:p>
    <w:p>
      <w:pPr>
        <w:spacing w:after="0"/>
        <w:rPr>
          <w:sz w:val="17"/>
        </w:rPr>
        <w:sectPr>
          <w:pgSz w:w="11910" w:h="16840"/>
          <w:pgMar w:top="1100" w:bottom="280" w:left="1660" w:right="900"/>
        </w:sectPr>
      </w:pPr>
    </w:p>
    <w:p>
      <w:pPr>
        <w:pStyle w:val="Heading3"/>
        <w:spacing w:line="273" w:lineRule="auto"/>
      </w:pPr>
      <w:r>
        <w:rPr/>
        <w:t>急性或亚急性重症肝炎</w:t>
      </w:r>
    </w:p>
    <w:p>
      <w:pPr>
        <w:pStyle w:val="BodyText"/>
        <w:spacing w:line="273" w:lineRule="auto" w:before="35"/>
        <w:ind w:left="118" w:right="126"/>
      </w:pPr>
      <w:r>
        <w:rPr/>
        <w:br w:type="column"/>
      </w:r>
      <w:r>
        <w:rPr/>
        <w:t>指因肝炎病毒感染引起肝脏组织弥漫性坏死，导致急性肝功能衰竭，且经血清学或病毒学检查证实，并须满足下列全部条件：</w:t>
      </w:r>
    </w:p>
    <w:p>
      <w:pPr>
        <w:pStyle w:val="BodyText"/>
        <w:spacing w:before="7"/>
        <w:ind w:left="118"/>
      </w:pPr>
      <w:r>
        <w:rPr/>
        <w:t>（1）重度黄疸或黄疸迅速加重；</w:t>
      </w:r>
    </w:p>
    <w:p>
      <w:pPr>
        <w:pStyle w:val="BodyText"/>
        <w:spacing w:before="37"/>
        <w:ind w:left="118"/>
      </w:pPr>
      <w:r>
        <w:rPr/>
        <w:t>（2）肝性脑病；</w:t>
      </w:r>
    </w:p>
    <w:p>
      <w:pPr>
        <w:pStyle w:val="BodyText"/>
        <w:spacing w:before="37"/>
        <w:ind w:left="118"/>
      </w:pPr>
      <w:r>
        <w:rPr/>
        <w:t>（3）B 超或其它影像学检查显示肝脏体积急速萎缩；</w:t>
      </w:r>
    </w:p>
    <w:p>
      <w:pPr>
        <w:pStyle w:val="BodyText"/>
        <w:spacing w:before="37"/>
        <w:ind w:left="118"/>
      </w:pPr>
      <w:r>
        <w:rPr/>
        <w:t>（4）肝功能指标进行性恶化。</w:t>
      </w:r>
    </w:p>
    <w:p>
      <w:pPr>
        <w:spacing w:after="0"/>
        <w:sectPr>
          <w:type w:val="continuous"/>
          <w:pgSz w:w="11910" w:h="16840"/>
          <w:pgMar w:top="520" w:bottom="280" w:left="1660" w:right="900"/>
          <w:cols w:num="2" w:equalWidth="0">
            <w:col w:w="1806" w:space="151"/>
            <w:col w:w="7393"/>
          </w:cols>
        </w:sectPr>
      </w:pPr>
    </w:p>
    <w:p>
      <w:pPr>
        <w:pStyle w:val="BodyText"/>
        <w:spacing w:before="6"/>
        <w:rPr>
          <w:sz w:val="17"/>
        </w:rPr>
      </w:pPr>
    </w:p>
    <w:p>
      <w:pPr>
        <w:pStyle w:val="BodyText"/>
        <w:spacing w:line="273" w:lineRule="auto" w:before="35"/>
        <w:ind w:left="2075" w:right="106" w:hanging="1958"/>
        <w:jc w:val="both"/>
      </w:pPr>
      <w:r>
        <w:rPr>
          <w:b/>
          <w:spacing w:val="8"/>
        </w:rPr>
        <w:t>良性脑肿瘤 </w:t>
      </w:r>
      <w:r>
        <w:rPr>
          <w:spacing w:val="-2"/>
        </w:rPr>
        <w:t>指脑的良性肿瘤，已经引起颅内压增高，临床表现为视神经乳头水肿、精神症状、癫</w:t>
      </w:r>
      <w:r>
        <w:rPr>
          <w:spacing w:val="-6"/>
        </w:rPr>
        <w:t>痫及运动感觉障碍等，并危及生命。须由头颅断层扫描</w:t>
      </w:r>
      <w:r>
        <w:rPr>
          <w:spacing w:val="-1"/>
        </w:rPr>
        <w:t>（CT</w:t>
      </w:r>
      <w:r>
        <w:rPr>
          <w:spacing w:val="-104"/>
        </w:rPr>
        <w:t>）</w:t>
      </w:r>
      <w:r>
        <w:rPr>
          <w:spacing w:val="-4"/>
        </w:rPr>
        <w:t>、核磁共振检查（MRI）或正电子发射断层扫描（PET）等影像学检查证实，并须满足下列至少一项条件：</w:t>
      </w:r>
    </w:p>
    <w:p>
      <w:pPr>
        <w:pStyle w:val="BodyText"/>
        <w:spacing w:before="7"/>
        <w:ind w:left="2075"/>
      </w:pPr>
      <w:r>
        <w:rPr/>
        <w:t>（1）实际实施了开颅进行的脑肿瘤完全切除或部分切除的手术；</w:t>
      </w:r>
    </w:p>
    <w:p>
      <w:pPr>
        <w:pStyle w:val="BodyText"/>
        <w:spacing w:before="37"/>
        <w:ind w:left="2075"/>
      </w:pPr>
      <w:r>
        <w:rPr/>
        <w:t>（2）实际实施了对脑肿瘤进行的放射治疗。</w:t>
      </w:r>
    </w:p>
    <w:p>
      <w:pPr>
        <w:pStyle w:val="BodyText"/>
        <w:spacing w:before="37"/>
        <w:ind w:left="2075"/>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1660" w:right="900"/>
        </w:sectPr>
      </w:pPr>
    </w:p>
    <w:p>
      <w:pPr>
        <w:pStyle w:val="Heading3"/>
        <w:spacing w:line="273" w:lineRule="auto"/>
      </w:pPr>
      <w:r>
        <w:rPr/>
        <w:t>慢性肝功能衰竭失代偿期</w:t>
      </w:r>
    </w:p>
    <w:p>
      <w:pPr>
        <w:pStyle w:val="BodyText"/>
        <w:spacing w:before="35"/>
        <w:ind w:left="118"/>
      </w:pPr>
      <w:r>
        <w:rPr/>
        <w:br w:type="column"/>
      </w:r>
      <w:r>
        <w:rPr/>
        <w:t>指因慢性肝脏疾病导致肝功能衰竭。须满足下列全部条件：</w:t>
      </w:r>
    </w:p>
    <w:p>
      <w:pPr>
        <w:pStyle w:val="BodyText"/>
        <w:ind w:left="118"/>
      </w:pPr>
      <w:r>
        <w:rPr/>
        <w:t>（1）持续性黄疸；</w:t>
      </w:r>
    </w:p>
    <w:p>
      <w:pPr>
        <w:pStyle w:val="BodyText"/>
        <w:ind w:left="118"/>
      </w:pPr>
      <w:r>
        <w:rPr/>
        <w:t>（2）腹水；</w:t>
      </w:r>
    </w:p>
    <w:p>
      <w:pPr>
        <w:pStyle w:val="BodyText"/>
        <w:ind w:left="118"/>
      </w:pPr>
      <w:r>
        <w:rPr/>
        <w:t>（3）肝性脑病；</w:t>
      </w:r>
    </w:p>
    <w:p>
      <w:pPr>
        <w:pStyle w:val="BodyText"/>
        <w:spacing w:line="273" w:lineRule="auto"/>
        <w:ind w:left="118" w:right="2122"/>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900"/>
          <w:cols w:num="2" w:equalWidth="0">
            <w:col w:w="1806" w:space="151"/>
            <w:col w:w="7393"/>
          </w:cols>
        </w:sectPr>
      </w:pPr>
    </w:p>
    <w:p>
      <w:pPr>
        <w:pStyle w:val="BodyText"/>
        <w:spacing w:before="3"/>
        <w:rPr>
          <w:sz w:val="15"/>
        </w:rPr>
      </w:pPr>
    </w:p>
    <w:p>
      <w:pPr>
        <w:spacing w:after="0"/>
        <w:rPr>
          <w:sz w:val="15"/>
        </w:rPr>
        <w:sectPr>
          <w:type w:val="continuous"/>
          <w:pgSz w:w="11910" w:h="16840"/>
          <w:pgMar w:top="520" w:bottom="280" w:left="1660" w:right="900"/>
        </w:sectPr>
      </w:pPr>
    </w:p>
    <w:p>
      <w:pPr>
        <w:pStyle w:val="Heading3"/>
        <w:spacing w:line="273" w:lineRule="auto" w:before="36"/>
      </w:pPr>
      <w:r>
        <w:rPr/>
        <w:t>脑炎后遗症或脑膜炎后遗症</w:t>
      </w:r>
    </w:p>
    <w:p>
      <w:pPr>
        <w:pStyle w:val="BodyText"/>
        <w:spacing w:line="273" w:lineRule="auto"/>
        <w:ind w:left="118" w:right="126"/>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118"/>
      </w:pPr>
      <w:r>
        <w:rPr/>
        <w:t>（1）一肢或一肢以上肢体机能完全丧失；</w:t>
      </w:r>
    </w:p>
    <w:p>
      <w:pPr>
        <w:pStyle w:val="BodyText"/>
        <w:ind w:left="118"/>
      </w:pPr>
      <w:r>
        <w:rPr/>
        <w:t>（2）语言能力或咀嚼吞咽能力完全丧失；</w:t>
      </w:r>
    </w:p>
    <w:p>
      <w:pPr>
        <w:pStyle w:val="BodyText"/>
        <w:spacing w:line="273" w:lineRule="auto"/>
        <w:ind w:left="622" w:right="28" w:hanging="504"/>
      </w:pPr>
      <w:r>
        <w:rPr/>
        <w:t>（3）自主生活能力完全丧失，无法独立完成六项基本日常生活活动中的三项或三项以上。</w:t>
      </w:r>
    </w:p>
    <w:p>
      <w:pPr>
        <w:spacing w:after="0" w:line="273" w:lineRule="auto"/>
        <w:sectPr>
          <w:type w:val="continuous"/>
          <w:pgSz w:w="11910" w:h="16840"/>
          <w:pgMar w:top="520" w:bottom="280" w:left="1660" w:right="900"/>
          <w:cols w:num="2" w:equalWidth="0">
            <w:col w:w="1806" w:space="151"/>
            <w:col w:w="7393"/>
          </w:cols>
        </w:sectPr>
      </w:pPr>
    </w:p>
    <w:p>
      <w:pPr>
        <w:pStyle w:val="BodyText"/>
        <w:spacing w:before="2"/>
        <w:rPr>
          <w:sz w:val="15"/>
        </w:rPr>
      </w:pPr>
    </w:p>
    <w:p>
      <w:pPr>
        <w:pStyle w:val="BodyText"/>
        <w:tabs>
          <w:tab w:pos="2075" w:val="left" w:leader="none"/>
        </w:tabs>
        <w:spacing w:line="273" w:lineRule="auto" w:before="35"/>
        <w:ind w:left="2075" w:right="126" w:hanging="1958"/>
        <w:jc w:val="both"/>
      </w:pPr>
      <w:r>
        <w:rPr>
          <w:b/>
        </w:rPr>
        <w:t>深度昏迷</w:t>
        <w:tab/>
      </w:r>
      <w:r>
        <w:rPr/>
        <w:t>指因疾病或意外伤害导致意识丧失，对外界刺激和体内需求均无反应，昏迷程度按照格拉斯哥昏迷分级（Glasgow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spacing w:before="7"/>
        <w:ind w:left="2075"/>
      </w:pPr>
      <w:r>
        <w:rPr/>
        <w:t>因酗酒或药物滥用导致的深度昏迷不在保障范围内。</w:t>
      </w:r>
    </w:p>
    <w:p>
      <w:pPr>
        <w:pStyle w:val="BodyText"/>
        <w:spacing w:before="6"/>
        <w:rPr>
          <w:sz w:val="17"/>
        </w:rPr>
      </w:pPr>
    </w:p>
    <w:p>
      <w:pPr>
        <w:spacing w:after="0"/>
        <w:rPr>
          <w:sz w:val="17"/>
        </w:rPr>
        <w:sectPr>
          <w:type w:val="continuous"/>
          <w:pgSz w:w="11910" w:h="16840"/>
          <w:pgMar w:top="520" w:bottom="280" w:left="1660" w:right="900"/>
        </w:sectPr>
      </w:pPr>
    </w:p>
    <w:p>
      <w:pPr>
        <w:pStyle w:val="Heading3"/>
        <w:spacing w:line="273" w:lineRule="auto"/>
      </w:pPr>
      <w:r>
        <w:rPr/>
        <w:t>双耳失聪－三岁始理赔</w:t>
      </w:r>
    </w:p>
    <w:p>
      <w:pPr>
        <w:pStyle w:val="BodyText"/>
        <w:spacing w:line="273" w:lineRule="auto" w:before="35"/>
        <w:ind w:left="118" w:right="107"/>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before="7"/>
        <w:ind w:left="118" w:right="126"/>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900"/>
          <w:cols w:num="2" w:equalWidth="0">
            <w:col w:w="1806" w:space="151"/>
            <w:col w:w="7393"/>
          </w:cols>
        </w:sectPr>
      </w:pPr>
    </w:p>
    <w:p>
      <w:pPr>
        <w:pStyle w:val="BodyText"/>
        <w:spacing w:before="2"/>
        <w:rPr>
          <w:sz w:val="15"/>
        </w:rPr>
      </w:pPr>
    </w:p>
    <w:p>
      <w:pPr>
        <w:spacing w:after="0"/>
        <w:rPr>
          <w:sz w:val="15"/>
        </w:rPr>
        <w:sectPr>
          <w:type w:val="continuous"/>
          <w:pgSz w:w="11910" w:h="16840"/>
          <w:pgMar w:top="520" w:bottom="280" w:left="1660" w:right="900"/>
        </w:sectPr>
      </w:pPr>
    </w:p>
    <w:p>
      <w:pPr>
        <w:pStyle w:val="Heading3"/>
        <w:spacing w:line="273" w:lineRule="auto" w:before="36"/>
      </w:pPr>
      <w:r>
        <w:rPr/>
        <w:t>双目失明－三岁始理赔</w:t>
      </w:r>
    </w:p>
    <w:p>
      <w:pPr>
        <w:pStyle w:val="BodyText"/>
        <w:spacing w:line="273" w:lineRule="auto"/>
        <w:ind w:left="118" w:right="126"/>
      </w:pPr>
      <w:r>
        <w:rPr/>
        <w:br w:type="column"/>
      </w:r>
      <w:r>
        <w:rPr/>
        <w:t>指因疾病或意外伤害导致双眼视力永久不可逆性丧失，双眼中较好眼须满足下列至少一项条件：</w:t>
      </w:r>
    </w:p>
    <w:p>
      <w:pPr>
        <w:pStyle w:val="BodyText"/>
        <w:spacing w:before="8"/>
        <w:ind w:left="118"/>
      </w:pPr>
      <w:r>
        <w:rPr/>
        <w:t>（1）眼球缺失或摘除；</w:t>
      </w:r>
    </w:p>
    <w:p>
      <w:pPr>
        <w:pStyle w:val="BodyText"/>
        <w:spacing w:line="273" w:lineRule="auto" w:before="37"/>
        <w:ind w:left="644" w:right="179"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18"/>
      </w:pPr>
      <w:r>
        <w:rPr/>
        <w:t>（3）视野半径小于 5 度。</w:t>
      </w:r>
    </w:p>
    <w:p>
      <w:pPr>
        <w:spacing w:after="0"/>
        <w:sectPr>
          <w:type w:val="continuous"/>
          <w:pgSz w:w="11910" w:h="16840"/>
          <w:pgMar w:top="520" w:bottom="280" w:left="1660" w:right="900"/>
          <w:cols w:num="2" w:equalWidth="0">
            <w:col w:w="1806" w:space="151"/>
            <w:col w:w="7393"/>
          </w:cols>
        </w:sectPr>
      </w:pPr>
    </w:p>
    <w:p>
      <w:pPr>
        <w:pStyle w:val="BodyText"/>
        <w:spacing w:line="273" w:lineRule="auto" w:before="19"/>
        <w:ind w:left="2075" w:right="226"/>
      </w:pPr>
      <w:r>
        <w:rPr/>
        <w:t>被保险人申请理赔时年龄必须在三周岁以上，并且提供理赔当时的视力丧失诊断及检查证据。</w:t>
      </w:r>
    </w:p>
    <w:p>
      <w:pPr>
        <w:pStyle w:val="BodyText"/>
        <w:spacing w:before="12"/>
        <w:rPr>
          <w:sz w:val="17"/>
        </w:rPr>
      </w:pPr>
    </w:p>
    <w:p>
      <w:pPr>
        <w:pStyle w:val="BodyText"/>
        <w:tabs>
          <w:tab w:pos="2075" w:val="left" w:leader="none"/>
        </w:tabs>
        <w:spacing w:line="273" w:lineRule="auto" w:before="0"/>
        <w:ind w:left="207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tabs>
          <w:tab w:pos="2075" w:val="left" w:leader="none"/>
        </w:tabs>
        <w:spacing w:line="538" w:lineRule="exact" w:before="49"/>
        <w:ind w:left="118" w:right="226"/>
      </w:pPr>
      <w:r>
        <w:rPr>
          <w:b/>
        </w:rPr>
        <w:t>心脏瓣膜手术</w:t>
        <w:tab/>
      </w:r>
      <w:r>
        <w:rPr/>
        <w:t>指为治疗心脏瓣膜疾病，实际实施了开胸进行的心脏瓣膜置换或修复的手术。</w:t>
      </w:r>
      <w:r>
        <w:rPr>
          <w:b/>
        </w:rPr>
        <w:t>严重阿尔茨海默病</w:t>
        <w:tab/>
      </w:r>
      <w:r>
        <w:rPr/>
        <w:t>指因大脑进行性、不可逆性改变导致智能严重衰退或丧失，临床表现为明显的</w:t>
      </w:r>
    </w:p>
    <w:p>
      <w:pPr>
        <w:pStyle w:val="BodyText"/>
        <w:spacing w:line="234" w:lineRule="exact" w:before="0"/>
        <w:ind w:left="2075"/>
      </w:pPr>
      <w:r>
        <w:rPr/>
        <w:t>认知能力障碍、行为异常和社交能力减退，其日常生活必须持续受到他人监护。</w:t>
      </w:r>
    </w:p>
    <w:p>
      <w:pPr>
        <w:pStyle w:val="BodyText"/>
        <w:spacing w:line="273" w:lineRule="auto" w:before="37"/>
        <w:ind w:left="2075" w:right="122"/>
      </w:pP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spacing w:before="7"/>
        <w:ind w:left="2075"/>
      </w:pPr>
      <w:r>
        <w:rPr/>
        <w:t>神经官能症和精神疾病不在保障范围内。</w:t>
      </w:r>
    </w:p>
    <w:p>
      <w:pPr>
        <w:pStyle w:val="BodyText"/>
        <w:spacing w:before="3"/>
        <w:rPr>
          <w:sz w:val="20"/>
        </w:rPr>
      </w:pPr>
    </w:p>
    <w:p>
      <w:pPr>
        <w:pStyle w:val="BodyText"/>
        <w:spacing w:line="273" w:lineRule="auto" w:before="0"/>
        <w:ind w:left="2075" w:right="226" w:hanging="1958"/>
        <w:jc w:val="both"/>
      </w:pPr>
      <w:r>
        <w:rPr>
          <w:b/>
          <w:spacing w:val="8"/>
        </w:rPr>
        <w:t>严重脑损伤 </w:t>
      </w:r>
      <w:r>
        <w:rPr>
          <w:spacing w:val="-1"/>
        </w:rPr>
        <w:t>指因头部遭受机械性外力，引起脑重要部位损伤，导致神经系统永久性的功能障碍。须由头颅断层扫描（CT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7"/>
        <w:ind w:left="2075" w:right="121"/>
      </w:pPr>
      <w:r>
        <w:rPr/>
        <w:t>（PET）</w:t>
      </w:r>
      <w:r>
        <w:rPr>
          <w:spacing w:val="-2"/>
        </w:rPr>
        <w:t>等影像学检查证实。神经系统永久性的功能障碍，指脑损伤 </w:t>
      </w:r>
      <w:r>
        <w:rPr/>
        <w:t>180</w:t>
      </w:r>
      <w:r>
        <w:rPr>
          <w:spacing w:val="-14"/>
        </w:rPr>
        <w:t> 天后， </w:t>
      </w:r>
      <w:r>
        <w:rPr>
          <w:spacing w:val="-1"/>
        </w:rPr>
        <w:t>仍遗留下列一种或一种以上障碍：</w:t>
      </w:r>
    </w:p>
    <w:p>
      <w:pPr>
        <w:pStyle w:val="BodyText"/>
        <w:spacing w:before="7"/>
        <w:ind w:left="2075"/>
      </w:pPr>
      <w:r>
        <w:rPr/>
        <w:t>（1）一肢或一肢以上肢体机能完全丧失；</w:t>
      </w:r>
    </w:p>
    <w:p>
      <w:pPr>
        <w:pStyle w:val="BodyText"/>
        <w:spacing w:before="37"/>
        <w:ind w:left="2075"/>
      </w:pPr>
      <w:r>
        <w:rPr/>
        <w:t>（2）语言能力或咀嚼吞咽能力完全丧失；</w:t>
      </w:r>
    </w:p>
    <w:p>
      <w:pPr>
        <w:pStyle w:val="BodyText"/>
        <w:spacing w:line="273" w:lineRule="auto" w:before="37"/>
        <w:ind w:left="2579" w:right="128" w:hanging="504"/>
      </w:pPr>
      <w:r>
        <w:rPr/>
        <w:t>（3）自主生活能力完全丧失，无法独立完成六项基本日常生活活动中的三项或三项以上。</w:t>
      </w:r>
    </w:p>
    <w:p>
      <w:pPr>
        <w:pStyle w:val="BodyText"/>
        <w:spacing w:before="11"/>
        <w:rPr>
          <w:sz w:val="17"/>
        </w:rPr>
      </w:pPr>
    </w:p>
    <w:p>
      <w:pPr>
        <w:spacing w:line="273" w:lineRule="auto" w:before="1"/>
        <w:ind w:left="2075" w:right="226" w:hanging="1958"/>
        <w:jc w:val="both"/>
        <w:rPr>
          <w:sz w:val="21"/>
        </w:rPr>
      </w:pPr>
      <w:r>
        <w:rPr>
          <w:b/>
          <w:sz w:val="21"/>
        </w:rPr>
        <w:t>严重帕金森病     </w:t>
      </w:r>
      <w:r>
        <w:rPr>
          <w:sz w:val="21"/>
        </w:rPr>
        <w:t>是一种中枢神经系统的退行性疾病，临床表现为震颤麻痹、共济失调等。须满足下列全部条件：</w:t>
      </w:r>
    </w:p>
    <w:p>
      <w:pPr>
        <w:pStyle w:val="BodyText"/>
        <w:spacing w:before="8"/>
        <w:ind w:left="2075"/>
      </w:pPr>
      <w:r>
        <w:rPr/>
        <w:t>（1）药物治疗无法控制病情；</w:t>
      </w:r>
    </w:p>
    <w:p>
      <w:pPr>
        <w:pStyle w:val="BodyText"/>
        <w:spacing w:line="273" w:lineRule="auto" w:before="37"/>
        <w:ind w:left="2601" w:right="128" w:hanging="526"/>
      </w:pPr>
      <w:r>
        <w:rPr/>
        <w:t>（2）自主生活能力完全丧失，无法独立完成六项基本日常生活活动中的三项或三项以上。</w:t>
      </w:r>
    </w:p>
    <w:p>
      <w:pPr>
        <w:pStyle w:val="BodyText"/>
        <w:spacing w:before="7"/>
        <w:ind w:left="2075"/>
      </w:pPr>
      <w:r>
        <w:rPr/>
        <w:t>继发性帕金森综合征不在保障范围内。</w:t>
      </w:r>
    </w:p>
    <w:p>
      <w:pPr>
        <w:pStyle w:val="BodyText"/>
        <w:spacing w:before="1"/>
        <w:rPr>
          <w:sz w:val="20"/>
        </w:rPr>
      </w:pPr>
    </w:p>
    <w:p>
      <w:pPr>
        <w:pStyle w:val="BodyText"/>
        <w:tabs>
          <w:tab w:pos="2075" w:val="left" w:leader="none"/>
        </w:tabs>
        <w:spacing w:line="273" w:lineRule="auto" w:before="0"/>
        <w:ind w:left="2075" w:right="121" w:hanging="1958"/>
      </w:pPr>
      <w:r>
        <w:rPr>
          <w:b/>
        </w:rPr>
        <w:t>严重Ⅲ度烧伤</w:t>
        <w:tab/>
      </w:r>
      <w:r>
        <w:rPr/>
        <w:t>指烧伤程度为Ⅲ度，且Ⅲ度烧伤的面积达到全身体表面积的</w:t>
      </w:r>
      <w:r>
        <w:rPr>
          <w:spacing w:val="-54"/>
        </w:rPr>
        <w:t> </w:t>
      </w:r>
      <w:r>
        <w:rPr/>
        <w:t>20％或</w:t>
      </w:r>
      <w:r>
        <w:rPr>
          <w:spacing w:val="-54"/>
        </w:rPr>
        <w:t> </w:t>
      </w:r>
      <w:r>
        <w:rPr/>
        <w:t>20％以上。体表面积根据《中国新九分法》计算。</w:t>
      </w:r>
    </w:p>
    <w:p>
      <w:pPr>
        <w:pStyle w:val="BodyText"/>
        <w:spacing w:before="2"/>
        <w:rPr>
          <w:sz w:val="15"/>
        </w:rPr>
      </w:pPr>
    </w:p>
    <w:p>
      <w:pPr>
        <w:spacing w:after="0"/>
        <w:rPr>
          <w:sz w:val="15"/>
        </w:rPr>
        <w:sectPr>
          <w:pgSz w:w="11910" w:h="16840"/>
          <w:pgMar w:top="1100" w:bottom="280" w:left="1660" w:right="800"/>
        </w:sectPr>
      </w:pPr>
    </w:p>
    <w:p>
      <w:pPr>
        <w:pStyle w:val="Heading3"/>
        <w:spacing w:line="273" w:lineRule="auto"/>
      </w:pPr>
      <w:r>
        <w:rPr/>
        <w:t>严重原发性肺动脉高压</w:t>
      </w:r>
    </w:p>
    <w:p>
      <w:pPr>
        <w:pStyle w:val="BodyText"/>
        <w:spacing w:line="273" w:lineRule="auto" w:before="35"/>
        <w:ind w:left="118" w:right="22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spacing w:line="273" w:lineRule="auto" w:before="35"/>
        <w:ind w:left="2075" w:right="226" w:hanging="1958"/>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语言能力丧失－三岁始理赔</w:t>
      </w:r>
    </w:p>
    <w:p>
      <w:pPr>
        <w:pStyle w:val="BodyText"/>
        <w:spacing w:line="273" w:lineRule="auto" w:before="35"/>
        <w:ind w:left="118" w:right="209"/>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2"/>
        </w:rPr>
        <w:t>，仍无法通过现有医疗手段恢复。</w:t>
      </w:r>
    </w:p>
    <w:p>
      <w:pPr>
        <w:pStyle w:val="BodyText"/>
        <w:spacing w:before="7"/>
        <w:ind w:left="118"/>
      </w:pPr>
      <w:r>
        <w:rPr/>
        <w:t>精神心理因素所致的语言能力丧失不在保障范围内。</w:t>
      </w:r>
    </w:p>
    <w:p>
      <w:pPr>
        <w:pStyle w:val="BodyText"/>
        <w:spacing w:line="273" w:lineRule="auto" w:before="37"/>
        <w:ind w:left="118" w:right="226"/>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Heading3"/>
        <w:spacing w:line="273" w:lineRule="auto" w:before="6"/>
      </w:pPr>
      <w:r>
        <w:rPr/>
        <w:t>重型再生障碍性贫血</w:t>
      </w:r>
    </w:p>
    <w:p>
      <w:pPr>
        <w:pStyle w:val="BodyText"/>
        <w:spacing w:line="273" w:lineRule="auto" w:before="6"/>
        <w:ind w:left="118" w:right="24"/>
      </w:pPr>
      <w:r>
        <w:rPr/>
        <w:br w:type="column"/>
      </w:r>
      <w:r>
        <w:rPr/>
        <w:t>指因骨髓造血功能慢性持续性衰竭导致的贫血、中性粒细胞减少及血小板减少。须满足下列全部条件：</w:t>
      </w:r>
    </w:p>
    <w:p>
      <w:pPr>
        <w:pStyle w:val="BodyText"/>
        <w:spacing w:before="8"/>
        <w:ind w:left="118"/>
      </w:pPr>
      <w:r>
        <w:rPr/>
        <w:t>（1）骨髓穿刺检查或骨髓活检结果支持诊断；</w:t>
      </w:r>
    </w:p>
    <w:p>
      <w:pPr>
        <w:pStyle w:val="BodyText"/>
        <w:spacing w:before="37"/>
        <w:ind w:left="118"/>
      </w:pPr>
      <w:r>
        <w:rPr/>
        <w:t>（2）外周血象须具备以下三项条件：</w:t>
      </w:r>
    </w:p>
    <w:p>
      <w:pPr>
        <w:pStyle w:val="BodyText"/>
        <w:spacing w:before="37"/>
        <w:ind w:left="538"/>
      </w:pPr>
      <w:r>
        <w:rPr/>
        <w:t>① 中性粒细胞绝对值≤0.5×10</w:t>
      </w:r>
      <w:r>
        <w:rPr>
          <w:position w:val="11"/>
          <w:sz w:val="11"/>
        </w:rPr>
        <w:t>9</w:t>
      </w:r>
      <w:r>
        <w:rPr/>
        <w:t>/L；</w:t>
      </w:r>
    </w:p>
    <w:p>
      <w:pPr>
        <w:pStyle w:val="BodyText"/>
        <w:spacing w:before="37"/>
        <w:ind w:left="538"/>
      </w:pPr>
      <w:r>
        <w:rPr/>
        <w:t>② 网织红细胞＜1%；</w:t>
      </w:r>
    </w:p>
    <w:p>
      <w:pPr>
        <w:pStyle w:val="BodyText"/>
        <w:spacing w:before="37"/>
        <w:ind w:left="538"/>
      </w:pPr>
      <w:r>
        <w:rPr/>
        <w:t>③ 血小板绝对值≤20×10</w:t>
      </w:r>
      <w:r>
        <w:rPr>
          <w:position w:val="11"/>
          <w:sz w:val="11"/>
        </w:rPr>
        <w:t>9</w:t>
      </w:r>
      <w:r>
        <w:rPr/>
        <w:t>/L。</w:t>
      </w:r>
    </w:p>
    <w:p>
      <w:pPr>
        <w:spacing w:after="0"/>
        <w:sectPr>
          <w:pgSz w:w="11910" w:h="16840"/>
          <w:pgMar w:top="1340" w:bottom="280" w:left="1660" w:right="800"/>
          <w:cols w:num="2" w:equalWidth="0">
            <w:col w:w="1806" w:space="151"/>
            <w:col w:w="7493"/>
          </w:cols>
        </w:sectPr>
      </w:pPr>
    </w:p>
    <w:p>
      <w:pPr>
        <w:pStyle w:val="BodyText"/>
        <w:spacing w:before="6"/>
        <w:rPr>
          <w:sz w:val="17"/>
        </w:rPr>
      </w:pPr>
    </w:p>
    <w:p>
      <w:pPr>
        <w:pStyle w:val="BodyText"/>
        <w:spacing w:line="273" w:lineRule="auto" w:before="35"/>
        <w:ind w:left="207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075"/>
      </w:pPr>
      <w:r>
        <w:rPr/>
        <w:t>动脉内血管成形术不在保障范围内。</w:t>
      </w:r>
    </w:p>
    <w:p>
      <w:pPr>
        <w:pStyle w:val="BodyText"/>
        <w:spacing w:before="2"/>
        <w:rPr>
          <w:sz w:val="20"/>
        </w:rPr>
      </w:pPr>
    </w:p>
    <w:p>
      <w:pPr>
        <w:pStyle w:val="Heading3"/>
        <w:spacing w:line="273" w:lineRule="auto" w:before="0"/>
        <w:ind w:left="2075" w:right="304"/>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0"/>
        <w:rPr>
          <w:b/>
          <w:sz w:val="18"/>
        </w:rPr>
      </w:pPr>
    </w:p>
    <w:p>
      <w:pPr>
        <w:pStyle w:val="BodyText"/>
        <w:spacing w:line="273" w:lineRule="auto" w:before="0"/>
        <w:ind w:left="2075" w:right="226" w:hanging="1958"/>
        <w:jc w:val="both"/>
      </w:pPr>
      <w:r>
        <w:rPr>
          <w:b/>
        </w:rPr>
        <w:t>脊髓灰质炎       </w:t>
      </w:r>
      <w:r>
        <w:rPr/>
        <w:t>指由本公司认可的神经专科医生确认是因脊髓灰质病毒感染以致表现出运动功能障碍或呼吸功能减弱，并造成瘫痪。</w:t>
      </w:r>
    </w:p>
    <w:p>
      <w:pPr>
        <w:pStyle w:val="BodyText"/>
        <w:spacing w:before="7"/>
        <w:ind w:left="2075"/>
      </w:pPr>
      <w:r>
        <w:rPr/>
        <w:t>其他病因所致的瘫痪例如格－巴二氏综合症（急性感染性神经炎）是除外的。</w:t>
      </w:r>
    </w:p>
    <w:p>
      <w:pPr>
        <w:pStyle w:val="BodyText"/>
        <w:spacing w:before="1"/>
        <w:rPr>
          <w:sz w:val="20"/>
        </w:rPr>
      </w:pPr>
    </w:p>
    <w:p>
      <w:pPr>
        <w:pStyle w:val="BodyText"/>
        <w:tabs>
          <w:tab w:pos="2075" w:val="left" w:leader="none"/>
        </w:tabs>
        <w:spacing w:line="273" w:lineRule="auto" w:before="0"/>
        <w:ind w:left="2075" w:right="102" w:hanging="1958"/>
      </w:pPr>
      <w:r>
        <w:rPr>
          <w:b/>
        </w:rPr>
        <w:t>慢性复发性胰腺炎</w:t>
        <w:tab/>
      </w:r>
      <w:r>
        <w:rPr/>
        <w:t>有腹痛等典型症状的胰腺炎反复发作，导致胰腺进行性破坏，并导致胰腺功能紊乱而导致严重糖尿病以及营养不良</w:t>
      </w:r>
      <w:r>
        <w:rPr>
          <w:spacing w:val="-70"/>
        </w:rPr>
        <w:t>、</w:t>
      </w:r>
      <w:r>
        <w:rPr/>
        <w:t>恶液质</w:t>
      </w:r>
      <w:r>
        <w:rPr>
          <w:spacing w:val="-70"/>
        </w:rPr>
        <w:t>。</w:t>
      </w:r>
      <w:r>
        <w:rPr/>
        <w:t>CT</w:t>
      </w:r>
      <w:r>
        <w:rPr>
          <w:spacing w:val="-54"/>
        </w:rPr>
        <w:t> </w:t>
      </w:r>
      <w:r>
        <w:rPr/>
        <w:t>检查证实胰腺存在广泛钙化， 且必须接受酶替代以及胰岛素替代治疗</w:t>
      </w:r>
      <w:r>
        <w:rPr>
          <w:spacing w:val="-54"/>
        </w:rPr>
        <w:t> </w:t>
      </w:r>
      <w:r>
        <w:rPr/>
        <w:t>6</w:t>
      </w:r>
      <w:r>
        <w:rPr>
          <w:spacing w:val="-53"/>
        </w:rPr>
        <w:t> </w:t>
      </w:r>
      <w:r>
        <w:rPr/>
        <w:t>个月以上。诊断必须有消化科专科医生确诊。</w:t>
      </w:r>
    </w:p>
    <w:p>
      <w:pPr>
        <w:pStyle w:val="BodyText"/>
        <w:spacing w:before="7"/>
        <w:ind w:left="2075"/>
      </w:pPr>
      <w:r>
        <w:rPr/>
        <w:t>酒精导致的慢性复发性胰腺炎除外。</w:t>
      </w:r>
    </w:p>
    <w:p>
      <w:pPr>
        <w:pStyle w:val="BodyText"/>
        <w:spacing w:before="2"/>
        <w:rPr>
          <w:sz w:val="20"/>
        </w:rPr>
      </w:pPr>
    </w:p>
    <w:p>
      <w:pPr>
        <w:pStyle w:val="BodyText"/>
        <w:spacing w:line="273" w:lineRule="auto" w:before="0"/>
        <w:ind w:left="2075" w:right="226" w:hanging="1958"/>
        <w:jc w:val="both"/>
      </w:pPr>
      <w:r>
        <w:rPr>
          <w:b/>
        </w:rPr>
        <w:t>多发性硬化症     </w:t>
      </w:r>
      <w:r>
        <w:rPr/>
        <w:t>指因中枢神经系统脱髓鞘病变而导致永久完全性不可逆的身体部位功能障碍， 须由本公司认可的神经专科医生提供完全性明确诊断，并有计算机断层扫描</w:t>
      </w:r>
    </w:p>
    <w:p>
      <w:pPr>
        <w:pStyle w:val="BodyText"/>
        <w:spacing w:before="7"/>
        <w:ind w:left="2075"/>
      </w:pPr>
      <w:r>
        <w:rPr/>
        <w:t>（CT）或核磁共振（MRI）检查诊断报告。其诊断必须包含以下全部内容：</w:t>
      </w:r>
    </w:p>
    <w:p>
      <w:pPr>
        <w:pStyle w:val="BodyText"/>
        <w:ind w:left="2075"/>
      </w:pPr>
      <w:r>
        <w:rPr/>
        <w:t>（1）由于视神经、脑干、脊髓损伤而导致的临床表现；</w:t>
      </w:r>
    </w:p>
    <w:p>
      <w:pPr>
        <w:pStyle w:val="BodyText"/>
        <w:ind w:left="2075"/>
      </w:pPr>
      <w:r>
        <w:rPr/>
        <w:t>（2）散在的身体损害的多样性；</w:t>
      </w:r>
    </w:p>
    <w:p>
      <w:pPr>
        <w:pStyle w:val="BodyText"/>
        <w:ind w:left="2075"/>
      </w:pPr>
      <w:r>
        <w:rPr/>
        <w:t>（3）上述症状反复发作、恶化及神经损伤的病史记录。</w:t>
      </w:r>
    </w:p>
    <w:p>
      <w:pPr>
        <w:pStyle w:val="BodyText"/>
        <w:spacing w:before="1"/>
        <w:rPr>
          <w:sz w:val="20"/>
        </w:rPr>
      </w:pPr>
    </w:p>
    <w:p>
      <w:pPr>
        <w:pStyle w:val="BodyText"/>
        <w:spacing w:line="273" w:lineRule="auto" w:before="1"/>
        <w:ind w:left="2075" w:right="225" w:hanging="1958"/>
        <w:jc w:val="both"/>
      </w:pPr>
      <w:r>
        <w:rPr>
          <w:b/>
          <w:spacing w:val="5"/>
        </w:rPr>
        <w:t>严重狼疮性肾炎   </w:t>
      </w:r>
      <w:r>
        <w:rPr/>
        <w:t>指被保险人必须患上多系统、多因子的自身免疫病症，并产生自身抗体对抗各种自身抗原。被保险人需同时因患上系统性红斑狼疮而影响肾脏功能，必须符</w:t>
      </w:r>
      <w:r>
        <w:rPr>
          <w:spacing w:val="-5"/>
        </w:rPr>
        <w:t>合以下列明的世界卫生组织 </w:t>
      </w:r>
      <w:r>
        <w:rPr/>
        <w:t>WHO</w:t>
      </w:r>
      <w:r>
        <w:rPr>
          <w:spacing w:val="-11"/>
        </w:rPr>
        <w:t> 通过由肾活组织诊断结果所分类别内第 </w:t>
      </w:r>
      <w:r>
        <w:rPr/>
        <w:t>III</w:t>
      </w:r>
      <w:r>
        <w:rPr>
          <w:spacing w:val="-27"/>
        </w:rPr>
        <w:t> 型</w:t>
      </w:r>
      <w:r>
        <w:rPr>
          <w:spacing w:val="-36"/>
        </w:rPr>
        <w:t>至第 </w:t>
      </w:r>
      <w:r>
        <w:rPr/>
        <w:t>V</w:t>
      </w:r>
      <w:r>
        <w:rPr>
          <w:spacing w:val="-8"/>
        </w:rPr>
        <w:t> 型的狼疮型肾炎。其他类型之狼疮，如盘状狼疮，或其他只影响血液和关节的狼疮除外。最终诊断必须经由本公司认可的风湿专科医生确诊。</w:t>
      </w:r>
    </w:p>
    <w:p>
      <w:pPr>
        <w:pStyle w:val="BodyText"/>
        <w:spacing w:before="8"/>
        <w:ind w:left="2075"/>
      </w:pPr>
      <w:r>
        <w:rPr/>
        <w:t>世界卫生组织 WHO 狼疮型肾炎分类：</w:t>
      </w:r>
    </w:p>
    <w:p>
      <w:pPr>
        <w:pStyle w:val="BodyText"/>
        <w:spacing w:before="37"/>
        <w:ind w:left="2075"/>
      </w:pPr>
      <w:r>
        <w:rPr/>
        <w:t>WHOI 类（微小病型）——尿液检验阴性，正常尿；</w:t>
      </w:r>
    </w:p>
    <w:p>
      <w:pPr>
        <w:pStyle w:val="BodyText"/>
        <w:spacing w:before="37"/>
        <w:ind w:left="2075"/>
      </w:pPr>
      <w:r>
        <w:rPr/>
        <w:t>WHOII 类（系膜增生型）——中度蛋白尿，偶尔有活跃的沉积物；</w:t>
      </w:r>
    </w:p>
    <w:p>
      <w:pPr>
        <w:pStyle w:val="BodyText"/>
        <w:spacing w:before="37"/>
        <w:ind w:left="2075"/>
      </w:pPr>
      <w:r>
        <w:rPr/>
        <w:t>WHOIII 类（局灶节段型）——蛋白尿，活动性的沉积物；</w:t>
      </w:r>
    </w:p>
    <w:p>
      <w:pPr>
        <w:pStyle w:val="BodyText"/>
        <w:spacing w:before="37"/>
        <w:ind w:left="2075"/>
      </w:pPr>
      <w:r>
        <w:rPr/>
        <w:t>WHOIV 类（弥漫增生型）——急性肾炎伴随着活性沉积物和/或肾病综合症；</w:t>
      </w:r>
    </w:p>
    <w:p>
      <w:pPr>
        <w:pStyle w:val="BodyText"/>
        <w:spacing w:before="37"/>
        <w:ind w:left="2075"/>
      </w:pPr>
      <w:r>
        <w:rPr/>
        <w:t>WHOV 类（弥漫性膜性增生性肾病型）——肾病综合症或重度蛋白尿。</w:t>
      </w:r>
    </w:p>
    <w:p>
      <w:pPr>
        <w:pStyle w:val="BodyText"/>
        <w:spacing w:before="2"/>
        <w:rPr>
          <w:sz w:val="20"/>
        </w:rPr>
      </w:pPr>
    </w:p>
    <w:p>
      <w:pPr>
        <w:pStyle w:val="BodyText"/>
        <w:spacing w:line="273" w:lineRule="auto" w:before="0"/>
        <w:ind w:left="2075" w:right="226" w:hanging="1958"/>
        <w:jc w:val="both"/>
      </w:pPr>
      <w:r>
        <w:rPr>
          <w:b/>
        </w:rPr>
        <w:t>肌营养不良症     </w:t>
      </w:r>
      <w:r>
        <w:rPr/>
        <w:t>肌营养不良症是一组遗传性的肌肉病变，其临床特征是与神经系统无关的肌肉无力和肌肉萎缩，须由本公司认可的神经专科医生诊断证实。诊断必须同时符</w:t>
      </w:r>
    </w:p>
    <w:p>
      <w:pPr>
        <w:spacing w:after="0" w:line="273" w:lineRule="auto"/>
        <w:jc w:val="both"/>
        <w:sectPr>
          <w:type w:val="continuous"/>
          <w:pgSz w:w="11910" w:h="16840"/>
          <w:pgMar w:top="520" w:bottom="280" w:left="1660" w:right="800"/>
        </w:sectPr>
      </w:pPr>
    </w:p>
    <w:p>
      <w:pPr>
        <w:pStyle w:val="BodyText"/>
        <w:spacing w:before="19"/>
        <w:ind w:left="2875"/>
      </w:pPr>
      <w:r>
        <w:rPr/>
        <w:t>合下列条件：</w:t>
      </w:r>
    </w:p>
    <w:p>
      <w:pPr>
        <w:pStyle w:val="BodyText"/>
        <w:spacing w:before="37"/>
        <w:ind w:left="2875"/>
      </w:pPr>
      <w:r>
        <w:rPr/>
        <w:t>（1）肌电图显示典型肌营养不良的阳性改变；</w:t>
      </w:r>
    </w:p>
    <w:p>
      <w:pPr>
        <w:pStyle w:val="BodyText"/>
        <w:spacing w:line="273" w:lineRule="auto" w:before="37"/>
        <w:ind w:left="2875" w:right="188"/>
      </w:pPr>
      <w:r>
        <w:rPr/>
        <w:t>（2）肌肉活检的病理报告证实符合肌营养不良症的肌肉细胞变性、坏死等阳性改变；</w:t>
      </w:r>
    </w:p>
    <w:p>
      <w:pPr>
        <w:pStyle w:val="BodyText"/>
        <w:spacing w:line="273" w:lineRule="auto" w:before="7"/>
        <w:ind w:left="2875" w:right="267"/>
      </w:pPr>
      <w:r>
        <w:rPr/>
        <w:t>（3</w:t>
      </w:r>
      <w:r>
        <w:rPr>
          <w:spacing w:val="-87"/>
        </w:rPr>
        <w:t>）</w:t>
      </w:r>
      <w:r>
        <w:rPr/>
        <w:t>并且已导致被保险人持续超过三个月无法独立进行六项基本日常生活活动中的其中三项或三项以上。</w:t>
      </w:r>
    </w:p>
    <w:p>
      <w:pPr>
        <w:pStyle w:val="BodyText"/>
        <w:spacing w:before="11"/>
        <w:rPr>
          <w:sz w:val="17"/>
        </w:rPr>
      </w:pPr>
    </w:p>
    <w:p>
      <w:pPr>
        <w:tabs>
          <w:tab w:pos="2875" w:val="left" w:leader="none"/>
        </w:tabs>
        <w:spacing w:before="0"/>
        <w:ind w:left="918" w:right="0" w:firstLine="0"/>
        <w:jc w:val="left"/>
        <w:rPr>
          <w:sz w:val="21"/>
        </w:rPr>
      </w:pPr>
      <w:r>
        <w:rPr>
          <w:b/>
          <w:sz w:val="21"/>
        </w:rPr>
        <w:t>慢性呼吸功能衰竭</w:t>
        <w:tab/>
      </w:r>
      <w:r>
        <w:rPr>
          <w:sz w:val="21"/>
        </w:rPr>
        <w:t>指末期肺部疾病包括间质肺部疾病所引起的慢性呼吸功能衰竭。肺功能测验</w:t>
      </w:r>
    </w:p>
    <w:p>
      <w:pPr>
        <w:pStyle w:val="BodyText"/>
        <w:spacing w:line="273" w:lineRule="auto"/>
        <w:ind w:left="2875" w:right="286"/>
        <w:jc w:val="both"/>
      </w:pPr>
      <w:r>
        <w:rPr/>
        <w:t>FEV1（第一秒钟末用力呼气量）</w:t>
      </w:r>
      <w:r>
        <w:rPr>
          <w:spacing w:val="-19"/>
        </w:rPr>
        <w:t>少于 </w:t>
      </w:r>
      <w:r>
        <w:rPr/>
        <w:t>1</w:t>
      </w:r>
      <w:r>
        <w:rPr>
          <w:spacing w:val="-8"/>
        </w:rPr>
        <w:t> 公升且需要持久大量的氧气治疗，动脉血气分析结果符合重度呼吸衰竭诊断标准，静止时也感到呼吸困难。诊断必须由呼吸专科医生确认。</w:t>
      </w:r>
    </w:p>
    <w:p>
      <w:pPr>
        <w:pStyle w:val="BodyText"/>
        <w:spacing w:before="2"/>
        <w:rPr>
          <w:sz w:val="15"/>
        </w:rPr>
      </w:pPr>
    </w:p>
    <w:p>
      <w:pPr>
        <w:spacing w:after="0"/>
        <w:rPr>
          <w:sz w:val="15"/>
        </w:rPr>
        <w:sectPr>
          <w:pgSz w:w="11910" w:h="16840"/>
          <w:pgMar w:top="1100" w:bottom="280" w:left="860" w:right="740"/>
        </w:sectPr>
      </w:pPr>
    </w:p>
    <w:p>
      <w:pPr>
        <w:pStyle w:val="Heading3"/>
        <w:spacing w:line="273" w:lineRule="auto"/>
        <w:ind w:left="918"/>
      </w:pPr>
      <w:r>
        <w:rPr/>
        <w:t>经输血导致的艾滋</w:t>
      </w:r>
      <w:r>
        <w:rPr>
          <w:w w:val="95"/>
        </w:rPr>
        <w:t>病病毒感染</w:t>
      </w:r>
    </w:p>
    <w:p>
      <w:pPr>
        <w:pStyle w:val="BodyText"/>
        <w:spacing w:before="35"/>
        <w:ind w:left="230"/>
      </w:pPr>
      <w:r>
        <w:rPr/>
        <w:br w:type="column"/>
      </w:r>
      <w:r>
        <w:rPr/>
        <w:t>指被保险人因医疗输血感染艾滋病病毒，并符合下列所有的条件：</w:t>
      </w:r>
    </w:p>
    <w:p>
      <w:pPr>
        <w:pStyle w:val="BodyText"/>
        <w:spacing w:line="273" w:lineRule="auto"/>
        <w:ind w:left="734" w:right="187" w:hanging="504"/>
      </w:pPr>
      <w:r>
        <w:rPr/>
        <w:t>（1）造成感染的输血事件发生在本附加合同生效日或最后复效日（以较迟者为准）之后；</w:t>
      </w:r>
    </w:p>
    <w:p>
      <w:pPr>
        <w:pStyle w:val="BodyText"/>
        <w:spacing w:line="273" w:lineRule="auto" w:before="7"/>
        <w:ind w:left="734" w:right="392" w:hanging="504"/>
      </w:pPr>
      <w:r>
        <w:rPr/>
        <w:t>（2）提供输血治疗的输血中心或医院出具该项输血感染属医疗责任事故的报告；</w:t>
      </w:r>
    </w:p>
    <w:p>
      <w:pPr>
        <w:pStyle w:val="BodyText"/>
        <w:spacing w:before="7"/>
        <w:ind w:left="230"/>
      </w:pPr>
      <w:r>
        <w:rPr/>
        <w:t>（3）受感染的被保险人不是血友病患者；</w:t>
      </w:r>
    </w:p>
    <w:p>
      <w:pPr>
        <w:pStyle w:val="BodyText"/>
        <w:spacing w:line="273" w:lineRule="auto"/>
        <w:ind w:left="734" w:right="267" w:hanging="504"/>
      </w:pPr>
      <w:r>
        <w:rPr/>
        <w:t>（4</w:t>
      </w:r>
      <w:r>
        <w:rPr>
          <w:spacing w:val="-87"/>
        </w:rPr>
        <w:t>）</w:t>
      </w:r>
      <w:r>
        <w:rPr/>
        <w:t>病情须对生命造成威胁并且在申请理赔当时的医疗技术条件下尚无已知的治愈方法。</w:t>
      </w:r>
    </w:p>
    <w:p>
      <w:pPr>
        <w:spacing w:after="0" w:line="273" w:lineRule="auto"/>
        <w:sectPr>
          <w:type w:val="continuous"/>
          <w:pgSz w:w="11910" w:h="16840"/>
          <w:pgMar w:top="520" w:bottom="280" w:left="860" w:right="740"/>
          <w:cols w:num="2" w:equalWidth="0">
            <w:col w:w="2606" w:space="40"/>
            <w:col w:w="7664"/>
          </w:cols>
        </w:sectPr>
      </w:pPr>
    </w:p>
    <w:p>
      <w:pPr>
        <w:pStyle w:val="BodyText"/>
        <w:spacing w:before="10" w:after="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2042"/>
        <w:gridCol w:w="7449"/>
      </w:tblGrid>
      <w:tr>
        <w:trPr>
          <w:trHeight w:val="260" w:hRule="atLeast"/>
        </w:trPr>
        <w:tc>
          <w:tcPr>
            <w:tcW w:w="588" w:type="dxa"/>
            <w:vMerge w:val="restart"/>
          </w:tcPr>
          <w:p>
            <w:pPr>
              <w:pStyle w:val="TableParagraph"/>
              <w:rPr>
                <w:rFonts w:ascii="Times New Roman"/>
                <w:sz w:val="20"/>
              </w:rPr>
            </w:pPr>
          </w:p>
        </w:tc>
        <w:tc>
          <w:tcPr>
            <w:tcW w:w="2042" w:type="dxa"/>
          </w:tcPr>
          <w:p>
            <w:pPr>
              <w:pStyle w:val="TableParagraph"/>
              <w:spacing w:line="210" w:lineRule="exact"/>
              <w:ind w:left="219"/>
              <w:rPr>
                <w:b/>
                <w:sz w:val="21"/>
              </w:rPr>
            </w:pPr>
            <w:r>
              <w:rPr>
                <w:b/>
                <w:w w:val="95"/>
                <w:sz w:val="21"/>
              </w:rPr>
              <w:t>冠状动脉血管成形</w:t>
            </w:r>
          </w:p>
        </w:tc>
        <w:tc>
          <w:tcPr>
            <w:tcW w:w="7449" w:type="dxa"/>
          </w:tcPr>
          <w:p>
            <w:pPr>
              <w:pStyle w:val="TableParagraph"/>
              <w:spacing w:line="210" w:lineRule="exact"/>
              <w:ind w:left="134"/>
              <w:rPr>
                <w:sz w:val="21"/>
              </w:rPr>
            </w:pPr>
            <w:r>
              <w:rPr>
                <w:spacing w:val="-8"/>
                <w:sz w:val="21"/>
              </w:rPr>
              <w:t>指已经接受了 </w:t>
            </w:r>
            <w:r>
              <w:rPr>
                <w:sz w:val="21"/>
              </w:rPr>
              <w:t>2</w:t>
            </w:r>
            <w:r>
              <w:rPr>
                <w:spacing w:val="-27"/>
                <w:sz w:val="21"/>
              </w:rPr>
              <w:t> 支或 </w:t>
            </w:r>
            <w:r>
              <w:rPr>
                <w:sz w:val="21"/>
              </w:rPr>
              <w:t>2</w:t>
            </w:r>
            <w:r>
              <w:rPr>
                <w:spacing w:val="-8"/>
                <w:sz w:val="21"/>
              </w:rPr>
              <w:t> 支以上的冠状动脉血管成形术以矫正或治疗狭窄的冠状</w:t>
            </w:r>
          </w:p>
        </w:tc>
      </w:tr>
      <w:tr>
        <w:trPr>
          <w:trHeight w:val="311" w:hRule="atLeast"/>
        </w:trPr>
        <w:tc>
          <w:tcPr>
            <w:tcW w:w="588" w:type="dxa"/>
            <w:vMerge/>
            <w:tcBorders>
              <w:top w:val="nil"/>
            </w:tcBorders>
          </w:tcPr>
          <w:p>
            <w:pPr>
              <w:rPr>
                <w:sz w:val="2"/>
                <w:szCs w:val="2"/>
              </w:rPr>
            </w:pPr>
          </w:p>
        </w:tc>
        <w:tc>
          <w:tcPr>
            <w:tcW w:w="2042" w:type="dxa"/>
          </w:tcPr>
          <w:p>
            <w:pPr>
              <w:pStyle w:val="TableParagraph"/>
              <w:spacing w:line="261" w:lineRule="exact"/>
              <w:ind w:left="219"/>
              <w:rPr>
                <w:b/>
                <w:sz w:val="21"/>
              </w:rPr>
            </w:pPr>
            <w:r>
              <w:rPr>
                <w:b/>
                <w:w w:val="99"/>
                <w:sz w:val="21"/>
              </w:rPr>
              <w:t>术</w:t>
            </w:r>
          </w:p>
        </w:tc>
        <w:tc>
          <w:tcPr>
            <w:tcW w:w="7449" w:type="dxa"/>
          </w:tcPr>
          <w:p>
            <w:pPr>
              <w:pStyle w:val="TableParagraph"/>
              <w:spacing w:line="261" w:lineRule="exact"/>
              <w:ind w:left="134"/>
              <w:rPr>
                <w:sz w:val="21"/>
              </w:rPr>
            </w:pPr>
            <w:r>
              <w:rPr>
                <w:spacing w:val="-3"/>
                <w:sz w:val="21"/>
              </w:rPr>
              <w:t>动脉。必须提供冠状动脉造影检查报告，证实 </w:t>
            </w:r>
            <w:r>
              <w:rPr>
                <w:sz w:val="21"/>
              </w:rPr>
              <w:t>2</w:t>
            </w:r>
            <w:r>
              <w:rPr>
                <w:spacing w:val="-28"/>
                <w:sz w:val="21"/>
              </w:rPr>
              <w:t> 支或 </w:t>
            </w:r>
            <w:r>
              <w:rPr>
                <w:sz w:val="21"/>
              </w:rPr>
              <w:t>2</w:t>
            </w:r>
            <w:r>
              <w:rPr>
                <w:spacing w:val="-8"/>
                <w:sz w:val="21"/>
              </w:rPr>
              <w:t> 支以上的冠状动脉血管</w:t>
            </w:r>
          </w:p>
        </w:tc>
      </w:tr>
      <w:tr>
        <w:trPr>
          <w:trHeight w:val="425" w:hRule="atLeast"/>
        </w:trPr>
        <w:tc>
          <w:tcPr>
            <w:tcW w:w="588" w:type="dxa"/>
            <w:vMerge/>
            <w:tcBorders>
              <w:top w:val="nil"/>
            </w:tcBorders>
          </w:tcPr>
          <w:p>
            <w:pPr>
              <w:rPr>
                <w:sz w:val="2"/>
                <w:szCs w:val="2"/>
              </w:rPr>
            </w:pPr>
          </w:p>
        </w:tc>
        <w:tc>
          <w:tcPr>
            <w:tcW w:w="2042" w:type="dxa"/>
          </w:tcPr>
          <w:p>
            <w:pPr>
              <w:pStyle w:val="TableParagraph"/>
              <w:rPr>
                <w:rFonts w:ascii="Times New Roman"/>
                <w:sz w:val="20"/>
              </w:rPr>
            </w:pPr>
          </w:p>
        </w:tc>
        <w:tc>
          <w:tcPr>
            <w:tcW w:w="7449" w:type="dxa"/>
          </w:tcPr>
          <w:p>
            <w:pPr>
              <w:pStyle w:val="TableParagraph"/>
              <w:spacing w:line="261" w:lineRule="exact"/>
              <w:ind w:left="134"/>
              <w:rPr>
                <w:sz w:val="21"/>
              </w:rPr>
            </w:pPr>
            <w:r>
              <w:rPr>
                <w:sz w:val="21"/>
              </w:rPr>
              <w:t>有超过 70％的狭窄。</w:t>
            </w:r>
          </w:p>
        </w:tc>
      </w:tr>
      <w:tr>
        <w:trPr>
          <w:trHeight w:val="425" w:hRule="atLeast"/>
        </w:trPr>
        <w:tc>
          <w:tcPr>
            <w:tcW w:w="588" w:type="dxa"/>
            <w:vMerge/>
            <w:tcBorders>
              <w:top w:val="nil"/>
            </w:tcBorders>
          </w:tcPr>
          <w:p>
            <w:pPr>
              <w:rPr>
                <w:sz w:val="2"/>
                <w:szCs w:val="2"/>
              </w:rPr>
            </w:pPr>
          </w:p>
        </w:tc>
        <w:tc>
          <w:tcPr>
            <w:tcW w:w="2042" w:type="dxa"/>
          </w:tcPr>
          <w:p>
            <w:pPr>
              <w:pStyle w:val="TableParagraph"/>
              <w:spacing w:before="100"/>
              <w:ind w:left="219"/>
              <w:rPr>
                <w:b/>
                <w:sz w:val="21"/>
              </w:rPr>
            </w:pPr>
            <w:r>
              <w:rPr>
                <w:b/>
                <w:w w:val="95"/>
                <w:sz w:val="21"/>
              </w:rPr>
              <w:t>系统性硬化病（硬</w:t>
            </w:r>
          </w:p>
        </w:tc>
        <w:tc>
          <w:tcPr>
            <w:tcW w:w="7449" w:type="dxa"/>
          </w:tcPr>
          <w:p>
            <w:pPr>
              <w:pStyle w:val="TableParagraph"/>
              <w:spacing w:before="100"/>
              <w:ind w:left="134"/>
              <w:rPr>
                <w:sz w:val="21"/>
              </w:rPr>
            </w:pPr>
            <w:r>
              <w:rPr>
                <w:sz w:val="21"/>
              </w:rPr>
              <w:t>是一种以皮肤、血管和内脏器官出现异常纤维化为特征的系统性结缔组织病。</w:t>
            </w:r>
          </w:p>
        </w:tc>
      </w:tr>
      <w:tr>
        <w:trPr>
          <w:trHeight w:val="311" w:hRule="atLeast"/>
        </w:trPr>
        <w:tc>
          <w:tcPr>
            <w:tcW w:w="588" w:type="dxa"/>
            <w:vMerge/>
            <w:tcBorders>
              <w:top w:val="nil"/>
            </w:tcBorders>
          </w:tcPr>
          <w:p>
            <w:pPr>
              <w:rPr>
                <w:sz w:val="2"/>
                <w:szCs w:val="2"/>
              </w:rPr>
            </w:pPr>
          </w:p>
        </w:tc>
        <w:tc>
          <w:tcPr>
            <w:tcW w:w="2042" w:type="dxa"/>
          </w:tcPr>
          <w:p>
            <w:pPr>
              <w:pStyle w:val="TableParagraph"/>
              <w:spacing w:line="261" w:lineRule="exact"/>
              <w:ind w:left="219"/>
              <w:rPr>
                <w:b/>
                <w:sz w:val="21"/>
              </w:rPr>
            </w:pPr>
            <w:r>
              <w:rPr>
                <w:b/>
                <w:sz w:val="21"/>
              </w:rPr>
              <w:t>皮病）</w:t>
            </w:r>
          </w:p>
        </w:tc>
        <w:tc>
          <w:tcPr>
            <w:tcW w:w="7449" w:type="dxa"/>
          </w:tcPr>
          <w:p>
            <w:pPr>
              <w:pStyle w:val="TableParagraph"/>
              <w:spacing w:line="261" w:lineRule="exact"/>
              <w:ind w:left="134"/>
              <w:rPr>
                <w:sz w:val="21"/>
              </w:rPr>
            </w:pPr>
            <w:r>
              <w:rPr>
                <w:sz w:val="21"/>
              </w:rPr>
              <w:t>须经本公司认可的相关专科医生确诊且须提供肺脏、心脏或肾脏器官受累的证</w:t>
            </w:r>
          </w:p>
        </w:tc>
      </w:tr>
      <w:tr>
        <w:trPr>
          <w:trHeight w:val="422" w:hRule="atLeast"/>
        </w:trPr>
        <w:tc>
          <w:tcPr>
            <w:tcW w:w="588" w:type="dxa"/>
            <w:vMerge/>
            <w:tcBorders>
              <w:top w:val="nil"/>
            </w:tcBorders>
          </w:tcPr>
          <w:p>
            <w:pPr>
              <w:rPr>
                <w:sz w:val="2"/>
                <w:szCs w:val="2"/>
              </w:rPr>
            </w:pPr>
          </w:p>
        </w:tc>
        <w:tc>
          <w:tcPr>
            <w:tcW w:w="2042" w:type="dxa"/>
          </w:tcPr>
          <w:p>
            <w:pPr>
              <w:pStyle w:val="TableParagraph"/>
              <w:rPr>
                <w:rFonts w:ascii="Times New Roman"/>
                <w:sz w:val="20"/>
              </w:rPr>
            </w:pPr>
          </w:p>
        </w:tc>
        <w:tc>
          <w:tcPr>
            <w:tcW w:w="7449" w:type="dxa"/>
          </w:tcPr>
          <w:p>
            <w:pPr>
              <w:pStyle w:val="TableParagraph"/>
              <w:spacing w:line="261" w:lineRule="exact"/>
              <w:ind w:left="134"/>
              <w:rPr>
                <w:sz w:val="21"/>
              </w:rPr>
            </w:pPr>
            <w:r>
              <w:rPr>
                <w:sz w:val="21"/>
              </w:rPr>
              <w:t>据。</w:t>
            </w:r>
          </w:p>
        </w:tc>
      </w:tr>
      <w:tr>
        <w:trPr>
          <w:trHeight w:val="2422" w:hRule="atLeast"/>
        </w:trPr>
        <w:tc>
          <w:tcPr>
            <w:tcW w:w="588" w:type="dxa"/>
          </w:tcPr>
          <w:p>
            <w:pPr>
              <w:pStyle w:val="TableParagraph"/>
              <w:spacing w:before="103"/>
              <w:ind w:left="50"/>
              <w:rPr>
                <w:b/>
                <w:sz w:val="21"/>
              </w:rPr>
            </w:pPr>
            <w:r>
              <w:rPr>
                <w:b/>
                <w:sz w:val="21"/>
              </w:rPr>
              <w:t>9.2</w:t>
            </w:r>
          </w:p>
        </w:tc>
        <w:tc>
          <w:tcPr>
            <w:tcW w:w="2042" w:type="dxa"/>
          </w:tcPr>
          <w:p>
            <w:pPr>
              <w:pStyle w:val="TableParagraph"/>
              <w:spacing w:line="273" w:lineRule="auto" w:before="103"/>
              <w:ind w:left="219" w:right="133"/>
              <w:rPr>
                <w:b/>
                <w:sz w:val="21"/>
              </w:rPr>
            </w:pPr>
            <w:r>
              <w:rPr>
                <w:b/>
                <w:sz w:val="21"/>
              </w:rPr>
              <w:t>六项基本日常生活活动</w:t>
            </w:r>
          </w:p>
        </w:tc>
        <w:tc>
          <w:tcPr>
            <w:tcW w:w="7449" w:type="dxa"/>
          </w:tcPr>
          <w:p>
            <w:pPr>
              <w:pStyle w:val="TableParagraph"/>
              <w:spacing w:before="103"/>
              <w:ind w:left="134"/>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34"/>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34"/>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34"/>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34"/>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34"/>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134"/>
              <w:rPr>
                <w:sz w:val="21"/>
              </w:rPr>
            </w:pPr>
            <w:r>
              <w:rPr>
                <w:sz w:val="21"/>
              </w:rPr>
              <w:t>（</w:t>
            </w:r>
            <w:r>
              <w:rPr>
                <w:rFonts w:ascii="Times New Roman" w:eastAsia="Times New Roman"/>
                <w:sz w:val="21"/>
              </w:rPr>
              <w:t>6</w:t>
            </w:r>
            <w:r>
              <w:rPr>
                <w:sz w:val="21"/>
              </w:rPr>
              <w:t>）洗澡：自己进行淋浴或盆浴。</w:t>
            </w:r>
          </w:p>
        </w:tc>
      </w:tr>
      <w:tr>
        <w:trPr>
          <w:trHeight w:val="417" w:hRule="atLeast"/>
        </w:trPr>
        <w:tc>
          <w:tcPr>
            <w:tcW w:w="588" w:type="dxa"/>
          </w:tcPr>
          <w:p>
            <w:pPr>
              <w:pStyle w:val="TableParagraph"/>
              <w:spacing w:before="91"/>
              <w:ind w:left="50"/>
              <w:rPr>
                <w:b/>
                <w:sz w:val="21"/>
              </w:rPr>
            </w:pPr>
            <w:r>
              <w:rPr>
                <w:b/>
                <w:sz w:val="21"/>
              </w:rPr>
              <w:t>9.3</w:t>
            </w:r>
          </w:p>
        </w:tc>
        <w:tc>
          <w:tcPr>
            <w:tcW w:w="2042" w:type="dxa"/>
          </w:tcPr>
          <w:p>
            <w:pPr>
              <w:pStyle w:val="TableParagraph"/>
              <w:spacing w:before="91"/>
              <w:ind w:left="219"/>
              <w:rPr>
                <w:b/>
                <w:sz w:val="21"/>
              </w:rPr>
            </w:pPr>
            <w:r>
              <w:rPr>
                <w:b/>
                <w:w w:val="95"/>
                <w:sz w:val="21"/>
              </w:rPr>
              <w:t>肢体机能完全丧失</w:t>
            </w:r>
          </w:p>
        </w:tc>
        <w:tc>
          <w:tcPr>
            <w:tcW w:w="7449" w:type="dxa"/>
          </w:tcPr>
          <w:p>
            <w:pPr>
              <w:pStyle w:val="TableParagraph"/>
              <w:spacing w:before="91"/>
              <w:ind w:left="134"/>
              <w:rPr>
                <w:sz w:val="21"/>
              </w:rPr>
            </w:pPr>
            <w:r>
              <w:rPr>
                <w:sz w:val="21"/>
              </w:rPr>
              <w:t>指肢体的三大关节中的两大关节僵硬，或不能随意识活动。肢体是指包括肩关</w:t>
            </w:r>
          </w:p>
        </w:tc>
      </w:tr>
      <w:tr>
        <w:trPr>
          <w:trHeight w:val="425" w:hRule="atLeast"/>
        </w:trPr>
        <w:tc>
          <w:tcPr>
            <w:tcW w:w="588" w:type="dxa"/>
          </w:tcPr>
          <w:p>
            <w:pPr>
              <w:pStyle w:val="TableParagraph"/>
              <w:rPr>
                <w:rFonts w:ascii="Times New Roman"/>
                <w:sz w:val="20"/>
              </w:rPr>
            </w:pPr>
          </w:p>
        </w:tc>
        <w:tc>
          <w:tcPr>
            <w:tcW w:w="2042" w:type="dxa"/>
          </w:tcPr>
          <w:p>
            <w:pPr>
              <w:pStyle w:val="TableParagraph"/>
              <w:rPr>
                <w:rFonts w:ascii="Times New Roman"/>
                <w:sz w:val="20"/>
              </w:rPr>
            </w:pPr>
          </w:p>
        </w:tc>
        <w:tc>
          <w:tcPr>
            <w:tcW w:w="7449" w:type="dxa"/>
          </w:tcPr>
          <w:p>
            <w:pPr>
              <w:pStyle w:val="TableParagraph"/>
              <w:spacing w:line="261" w:lineRule="exact"/>
              <w:ind w:left="134"/>
              <w:rPr>
                <w:sz w:val="21"/>
              </w:rPr>
            </w:pPr>
            <w:r>
              <w:rPr>
                <w:sz w:val="21"/>
              </w:rPr>
              <w:t>节的整个上肢或包括髋关节的整个下肢。</w:t>
            </w:r>
          </w:p>
        </w:tc>
      </w:tr>
      <w:tr>
        <w:trPr>
          <w:trHeight w:val="425" w:hRule="atLeast"/>
        </w:trPr>
        <w:tc>
          <w:tcPr>
            <w:tcW w:w="588" w:type="dxa"/>
          </w:tcPr>
          <w:p>
            <w:pPr>
              <w:pStyle w:val="TableParagraph"/>
              <w:spacing w:before="99"/>
              <w:ind w:left="50"/>
              <w:rPr>
                <w:b/>
                <w:sz w:val="21"/>
              </w:rPr>
            </w:pPr>
            <w:r>
              <w:rPr>
                <w:b/>
                <w:sz w:val="21"/>
              </w:rPr>
              <w:t>9.4</w:t>
            </w:r>
          </w:p>
        </w:tc>
        <w:tc>
          <w:tcPr>
            <w:tcW w:w="2042" w:type="dxa"/>
          </w:tcPr>
          <w:p>
            <w:pPr>
              <w:pStyle w:val="TableParagraph"/>
              <w:spacing w:before="99"/>
              <w:ind w:left="219"/>
              <w:rPr>
                <w:b/>
                <w:sz w:val="21"/>
              </w:rPr>
            </w:pPr>
            <w:r>
              <w:rPr>
                <w:b/>
                <w:w w:val="95"/>
                <w:sz w:val="21"/>
              </w:rPr>
              <w:t>语言能力或咀嚼吞</w:t>
            </w:r>
          </w:p>
        </w:tc>
        <w:tc>
          <w:tcPr>
            <w:tcW w:w="7449" w:type="dxa"/>
          </w:tcPr>
          <w:p>
            <w:pPr>
              <w:pStyle w:val="TableParagraph"/>
              <w:spacing w:before="99"/>
              <w:ind w:left="134"/>
              <w:rPr>
                <w:sz w:val="21"/>
              </w:rPr>
            </w:pPr>
            <w:r>
              <w:rPr>
                <w:sz w:val="21"/>
              </w:rPr>
              <w:t>语言能力完全丧失，指无法发出四种语音（包括口唇音、齿舌音、口盖音和喉</w:t>
            </w:r>
          </w:p>
        </w:tc>
      </w:tr>
      <w:tr>
        <w:trPr>
          <w:trHeight w:val="311" w:hRule="atLeast"/>
        </w:trPr>
        <w:tc>
          <w:tcPr>
            <w:tcW w:w="588" w:type="dxa"/>
          </w:tcPr>
          <w:p>
            <w:pPr>
              <w:pStyle w:val="TableParagraph"/>
              <w:rPr>
                <w:rFonts w:ascii="Times New Roman"/>
                <w:sz w:val="20"/>
              </w:rPr>
            </w:pPr>
          </w:p>
        </w:tc>
        <w:tc>
          <w:tcPr>
            <w:tcW w:w="2042" w:type="dxa"/>
          </w:tcPr>
          <w:p>
            <w:pPr>
              <w:pStyle w:val="TableParagraph"/>
              <w:spacing w:line="261" w:lineRule="exact"/>
              <w:ind w:left="219"/>
              <w:rPr>
                <w:b/>
                <w:sz w:val="21"/>
              </w:rPr>
            </w:pPr>
            <w:r>
              <w:rPr>
                <w:b/>
                <w:w w:val="95"/>
                <w:sz w:val="21"/>
              </w:rPr>
              <w:t>咽能力完全丧失</w:t>
            </w:r>
          </w:p>
        </w:tc>
        <w:tc>
          <w:tcPr>
            <w:tcW w:w="7449" w:type="dxa"/>
          </w:tcPr>
          <w:p>
            <w:pPr>
              <w:pStyle w:val="TableParagraph"/>
              <w:spacing w:line="261" w:lineRule="exact"/>
              <w:ind w:left="134"/>
              <w:rPr>
                <w:sz w:val="21"/>
              </w:rPr>
            </w:pPr>
            <w:r>
              <w:rPr>
                <w:sz w:val="21"/>
              </w:rPr>
              <w:t>头音</w:t>
            </w:r>
            <w:r>
              <w:rPr>
                <w:spacing w:val="-29"/>
                <w:sz w:val="21"/>
              </w:rPr>
              <w:t>）</w:t>
            </w:r>
            <w:r>
              <w:rPr>
                <w:spacing w:val="-7"/>
                <w:sz w:val="21"/>
              </w:rPr>
              <w:t>中的任何三种、或声带全部切除，或因大脑语言中枢受伤害而患失语症。</w:t>
            </w:r>
          </w:p>
        </w:tc>
      </w:tr>
      <w:tr>
        <w:trPr>
          <w:trHeight w:val="311" w:hRule="atLeast"/>
        </w:trPr>
        <w:tc>
          <w:tcPr>
            <w:tcW w:w="588" w:type="dxa"/>
          </w:tcPr>
          <w:p>
            <w:pPr>
              <w:pStyle w:val="TableParagraph"/>
              <w:rPr>
                <w:rFonts w:ascii="Times New Roman"/>
                <w:sz w:val="20"/>
              </w:rPr>
            </w:pPr>
          </w:p>
        </w:tc>
        <w:tc>
          <w:tcPr>
            <w:tcW w:w="2042" w:type="dxa"/>
          </w:tcPr>
          <w:p>
            <w:pPr>
              <w:pStyle w:val="TableParagraph"/>
              <w:rPr>
                <w:rFonts w:ascii="Times New Roman"/>
                <w:sz w:val="20"/>
              </w:rPr>
            </w:pPr>
          </w:p>
        </w:tc>
        <w:tc>
          <w:tcPr>
            <w:tcW w:w="7449" w:type="dxa"/>
          </w:tcPr>
          <w:p>
            <w:pPr>
              <w:pStyle w:val="TableParagraph"/>
              <w:spacing w:line="261" w:lineRule="exact"/>
              <w:ind w:left="134"/>
              <w:rPr>
                <w:sz w:val="21"/>
              </w:rPr>
            </w:pPr>
            <w:r>
              <w:rPr>
                <w:sz w:val="21"/>
              </w:rPr>
              <w:t>咀嚼吞咽能力完全丧失，指因牙齿以外的原因导致器质障碍或机能障碍，以致</w:t>
            </w:r>
          </w:p>
        </w:tc>
      </w:tr>
      <w:tr>
        <w:trPr>
          <w:trHeight w:val="422" w:hRule="atLeast"/>
        </w:trPr>
        <w:tc>
          <w:tcPr>
            <w:tcW w:w="588" w:type="dxa"/>
          </w:tcPr>
          <w:p>
            <w:pPr>
              <w:pStyle w:val="TableParagraph"/>
              <w:rPr>
                <w:rFonts w:ascii="Times New Roman"/>
                <w:sz w:val="20"/>
              </w:rPr>
            </w:pPr>
          </w:p>
        </w:tc>
        <w:tc>
          <w:tcPr>
            <w:tcW w:w="2042" w:type="dxa"/>
          </w:tcPr>
          <w:p>
            <w:pPr>
              <w:pStyle w:val="TableParagraph"/>
              <w:rPr>
                <w:rFonts w:ascii="Times New Roman"/>
                <w:sz w:val="20"/>
              </w:rPr>
            </w:pPr>
          </w:p>
        </w:tc>
        <w:tc>
          <w:tcPr>
            <w:tcW w:w="7449" w:type="dxa"/>
          </w:tcPr>
          <w:p>
            <w:pPr>
              <w:pStyle w:val="TableParagraph"/>
              <w:spacing w:line="261" w:lineRule="exact"/>
              <w:ind w:left="134"/>
              <w:rPr>
                <w:sz w:val="21"/>
              </w:rPr>
            </w:pPr>
            <w:r>
              <w:rPr>
                <w:sz w:val="21"/>
              </w:rPr>
              <w:t>不能作咀嚼吞咽运动，除流质食物外不能摄取或吞咽的状态。</w:t>
            </w:r>
          </w:p>
        </w:tc>
      </w:tr>
      <w:tr>
        <w:trPr>
          <w:trHeight w:val="436" w:hRule="atLeast"/>
        </w:trPr>
        <w:tc>
          <w:tcPr>
            <w:tcW w:w="588" w:type="dxa"/>
          </w:tcPr>
          <w:p>
            <w:pPr>
              <w:pStyle w:val="TableParagraph"/>
              <w:spacing w:before="103"/>
              <w:ind w:left="50"/>
              <w:rPr>
                <w:b/>
                <w:sz w:val="21"/>
              </w:rPr>
            </w:pPr>
            <w:r>
              <w:rPr>
                <w:b/>
                <w:sz w:val="21"/>
              </w:rPr>
              <w:t>9.5</w:t>
            </w:r>
          </w:p>
        </w:tc>
        <w:tc>
          <w:tcPr>
            <w:tcW w:w="2042" w:type="dxa"/>
          </w:tcPr>
          <w:p>
            <w:pPr>
              <w:pStyle w:val="TableParagraph"/>
              <w:spacing w:before="103"/>
              <w:ind w:left="219"/>
              <w:rPr>
                <w:b/>
                <w:sz w:val="21"/>
              </w:rPr>
            </w:pPr>
            <w:r>
              <w:rPr>
                <w:b/>
                <w:w w:val="95"/>
                <w:sz w:val="21"/>
              </w:rPr>
              <w:t>永久不可逆</w:t>
            </w:r>
          </w:p>
        </w:tc>
        <w:tc>
          <w:tcPr>
            <w:tcW w:w="7449" w:type="dxa"/>
          </w:tcPr>
          <w:p>
            <w:pPr>
              <w:pStyle w:val="TableParagraph"/>
              <w:spacing w:before="103"/>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17" w:hRule="atLeast"/>
        </w:trPr>
        <w:tc>
          <w:tcPr>
            <w:tcW w:w="588" w:type="dxa"/>
          </w:tcPr>
          <w:p>
            <w:pPr>
              <w:pStyle w:val="TableParagraph"/>
              <w:rPr>
                <w:rFonts w:ascii="Times New Roman"/>
                <w:sz w:val="20"/>
              </w:rPr>
            </w:pPr>
          </w:p>
        </w:tc>
        <w:tc>
          <w:tcPr>
            <w:tcW w:w="2042" w:type="dxa"/>
          </w:tcPr>
          <w:p>
            <w:pPr>
              <w:pStyle w:val="TableParagraph"/>
              <w:rPr>
                <w:rFonts w:ascii="Times New Roman"/>
                <w:sz w:val="20"/>
              </w:rPr>
            </w:pPr>
          </w:p>
        </w:tc>
        <w:tc>
          <w:tcPr>
            <w:tcW w:w="7449" w:type="dxa"/>
          </w:tcPr>
          <w:p>
            <w:pPr>
              <w:pStyle w:val="TableParagraph"/>
              <w:spacing w:line="253" w:lineRule="exact"/>
              <w:ind w:left="134"/>
              <w:rPr>
                <w:sz w:val="21"/>
              </w:rPr>
            </w:pPr>
            <w:r>
              <w:rPr>
                <w:sz w:val="21"/>
              </w:rPr>
              <w:t>有医疗手段恢复。</w:t>
            </w:r>
          </w:p>
        </w:tc>
      </w:tr>
      <w:tr>
        <w:trPr>
          <w:trHeight w:val="374" w:hRule="atLeast"/>
        </w:trPr>
        <w:tc>
          <w:tcPr>
            <w:tcW w:w="588" w:type="dxa"/>
          </w:tcPr>
          <w:p>
            <w:pPr>
              <w:pStyle w:val="TableParagraph"/>
              <w:spacing w:line="255" w:lineRule="exact" w:before="99"/>
              <w:ind w:left="50"/>
              <w:rPr>
                <w:b/>
                <w:sz w:val="21"/>
              </w:rPr>
            </w:pPr>
            <w:r>
              <w:rPr>
                <w:b/>
                <w:sz w:val="21"/>
              </w:rPr>
              <w:t>9.6</w:t>
            </w:r>
          </w:p>
        </w:tc>
        <w:tc>
          <w:tcPr>
            <w:tcW w:w="2042" w:type="dxa"/>
          </w:tcPr>
          <w:p>
            <w:pPr>
              <w:pStyle w:val="TableParagraph"/>
              <w:spacing w:line="255" w:lineRule="exact" w:before="99"/>
              <w:ind w:left="219"/>
              <w:rPr>
                <w:b/>
                <w:sz w:val="21"/>
              </w:rPr>
            </w:pPr>
            <w:r>
              <w:rPr>
                <w:b/>
                <w:sz w:val="21"/>
              </w:rPr>
              <w:t>医院</w:t>
            </w:r>
          </w:p>
        </w:tc>
        <w:tc>
          <w:tcPr>
            <w:tcW w:w="7449" w:type="dxa"/>
          </w:tcPr>
          <w:p>
            <w:pPr>
              <w:pStyle w:val="TableParagraph"/>
              <w:spacing w:line="255" w:lineRule="exact" w:before="99"/>
              <w:ind w:left="134"/>
              <w:rPr>
                <w:sz w:val="21"/>
              </w:rPr>
            </w:pPr>
            <w:r>
              <w:rPr>
                <w:sz w:val="21"/>
              </w:rPr>
              <w:t>指国家卫生行政管理部门医院等级分类中的二级或二级以上的上海市内公立医</w:t>
            </w:r>
          </w:p>
        </w:tc>
      </w:tr>
    </w:tbl>
    <w:p>
      <w:pPr>
        <w:spacing w:after="0" w:line="255" w:lineRule="exact"/>
        <w:rPr>
          <w:sz w:val="21"/>
        </w:rPr>
        <w:sectPr>
          <w:type w:val="continuous"/>
          <w:pgSz w:w="11910" w:h="16840"/>
          <w:pgMar w:top="520" w:bottom="280" w:left="860" w:right="740"/>
        </w:sectPr>
      </w:pPr>
    </w:p>
    <w:p>
      <w:pPr>
        <w:pStyle w:val="BodyText"/>
        <w:spacing w:line="273" w:lineRule="auto" w:before="19"/>
        <w:ind w:left="2815" w:right="226"/>
        <w:jc w:val="both"/>
      </w:pPr>
      <w:r>
        <w:rPr/>
        <w:t>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p>
      <w:pPr>
        <w:pStyle w:val="BodyText"/>
        <w:spacing w:before="12"/>
        <w:rPr>
          <w:sz w:val="17"/>
        </w:rPr>
      </w:pPr>
    </w:p>
    <w:p>
      <w:pPr>
        <w:pStyle w:val="ListParagraph"/>
        <w:numPr>
          <w:ilvl w:val="1"/>
          <w:numId w:val="7"/>
        </w:numPr>
        <w:tabs>
          <w:tab w:pos="859" w:val="left" w:leader="none"/>
          <w:tab w:pos="2815" w:val="left" w:leader="none"/>
        </w:tabs>
        <w:spacing w:line="273" w:lineRule="auto" w:before="0" w:after="0"/>
        <w:ind w:left="2815" w:right="207" w:hanging="271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68"/>
          <w:sz w:val="21"/>
        </w:rPr>
        <w:t>：</w:t>
      </w:r>
      <w:r>
        <w:rPr>
          <w:sz w:val="21"/>
        </w:rPr>
        <w:t>（1</w:t>
      </w:r>
      <w:r>
        <w:rPr>
          <w:spacing w:val="-65"/>
          <w:sz w:val="21"/>
        </w:rPr>
        <w:t>）</w:t>
      </w:r>
      <w:r>
        <w:rPr>
          <w:sz w:val="21"/>
        </w:rPr>
        <w:t>具有有效的中华人民共和</w:t>
      </w:r>
      <w:r>
        <w:rPr>
          <w:spacing w:val="-64"/>
          <w:sz w:val="21"/>
        </w:rPr>
        <w:t>国</w:t>
      </w:r>
      <w:r>
        <w:rPr>
          <w:sz w:val="21"/>
        </w:rPr>
        <w:t>《医师资格证书</w:t>
      </w:r>
      <w:r>
        <w:rPr>
          <w:spacing w:val="-106"/>
          <w:sz w:val="21"/>
        </w:rPr>
        <w:t>》</w:t>
      </w:r>
      <w:r>
        <w:rPr>
          <w:spacing w:val="-105"/>
          <w:sz w:val="21"/>
        </w:rPr>
        <w:t>；</w:t>
      </w:r>
      <w:r>
        <w:rPr>
          <w:sz w:val="21"/>
        </w:rPr>
        <w:t>（2）具</w:t>
      </w:r>
      <w:r>
        <w:rPr>
          <w:spacing w:val="-2"/>
          <w:sz w:val="21"/>
        </w:rPr>
        <w:t>有</w:t>
      </w:r>
      <w:r>
        <w:rPr>
          <w:sz w:val="21"/>
        </w:rPr>
        <w:t>有效的中华人民共和国《医师执业证书</w:t>
      </w:r>
      <w:r>
        <w:rPr>
          <w:spacing w:val="-105"/>
          <w:sz w:val="21"/>
        </w:rPr>
        <w:t>》</w:t>
      </w:r>
      <w:r>
        <w:rPr>
          <w:sz w:val="21"/>
        </w:rPr>
        <w:t>，并</w:t>
      </w:r>
      <w:r>
        <w:rPr>
          <w:spacing w:val="-2"/>
          <w:sz w:val="21"/>
        </w:rPr>
        <w:t>按</w:t>
      </w:r>
      <w:r>
        <w:rPr>
          <w:sz w:val="21"/>
        </w:rPr>
        <w:t>期到相关部门登记注册</w:t>
      </w:r>
      <w:r>
        <w:rPr>
          <w:spacing w:val="-105"/>
          <w:sz w:val="21"/>
        </w:rPr>
        <w:t>；</w:t>
      </w:r>
      <w:r>
        <w:rPr>
          <w:sz w:val="21"/>
        </w:rPr>
        <w:t>（3</w:t>
      </w:r>
      <w:r>
        <w:rPr>
          <w:spacing w:val="-2"/>
          <w:sz w:val="21"/>
        </w:rPr>
        <w:t>）</w:t>
      </w:r>
      <w:r>
        <w:rPr>
          <w:sz w:val="21"/>
        </w:rPr>
        <w:t>具有有效的中华人民共和国主治医师或主治医师以上职称</w:t>
      </w:r>
      <w:r>
        <w:rPr>
          <w:spacing w:val="-29"/>
          <w:sz w:val="21"/>
        </w:rPr>
        <w:t>的</w:t>
      </w:r>
      <w:r>
        <w:rPr>
          <w:sz w:val="21"/>
        </w:rPr>
        <w:t>《医师职称证书</w:t>
      </w:r>
      <w:r>
        <w:rPr>
          <w:spacing w:val="-105"/>
          <w:sz w:val="21"/>
        </w:rPr>
        <w:t>》</w:t>
      </w:r>
      <w:r>
        <w:rPr>
          <w:spacing w:val="-135"/>
          <w:sz w:val="21"/>
        </w:rPr>
        <w:t>；</w:t>
      </w:r>
      <w:r>
        <w:rPr>
          <w:sz w:val="21"/>
        </w:rPr>
        <w:t>（4</w:t>
      </w:r>
      <w:r>
        <w:rPr>
          <w:spacing w:val="-29"/>
          <w:sz w:val="21"/>
        </w:rPr>
        <w:t>）</w:t>
      </w:r>
      <w:r>
        <w:rPr>
          <w:sz w:val="21"/>
        </w:rPr>
        <w:t>在二级或二级以上医院的相应科室从事临床工作三年以上。</w:t>
      </w:r>
    </w:p>
    <w:p>
      <w:pPr>
        <w:pStyle w:val="BodyText"/>
        <w:spacing w:before="7"/>
        <w:ind w:left="2815"/>
        <w:jc w:val="both"/>
      </w:pPr>
      <w:r>
        <w:rPr/>
        <w:t>专科医生不包括被保险人本人及其直系亲属。</w:t>
      </w:r>
    </w:p>
    <w:p>
      <w:pPr>
        <w:pStyle w:val="BodyText"/>
        <w:spacing w:before="11"/>
        <w:rPr>
          <w:sz w:val="16"/>
        </w:rPr>
      </w:pPr>
    </w:p>
    <w:p>
      <w:pPr>
        <w:spacing w:after="0"/>
        <w:rPr>
          <w:sz w:val="16"/>
        </w:rPr>
        <w:sectPr>
          <w:pgSz w:w="11910" w:h="16840"/>
          <w:pgMar w:top="1100" w:bottom="280" w:left="920" w:right="800"/>
        </w:sectPr>
      </w:pPr>
    </w:p>
    <w:p>
      <w:pPr>
        <w:pStyle w:val="Heading3"/>
        <w:numPr>
          <w:ilvl w:val="1"/>
          <w:numId w:val="7"/>
        </w:numPr>
        <w:tabs>
          <w:tab w:pos="858" w:val="left" w:leader="none"/>
          <w:tab w:pos="859" w:val="left" w:leader="none"/>
        </w:tabs>
        <w:spacing w:line="273" w:lineRule="auto" w:before="43" w:after="0"/>
        <w:ind w:left="858" w:right="0" w:hanging="757"/>
        <w:jc w:val="left"/>
      </w:pPr>
      <w:r>
        <w:rPr/>
        <w:t>感染艾滋病病毒或</w:t>
      </w:r>
      <w:r>
        <w:rPr>
          <w:w w:val="95"/>
        </w:rPr>
        <w:t>患艾滋病</w:t>
      </w:r>
    </w:p>
    <w:p>
      <w:pPr>
        <w:pStyle w:val="BodyText"/>
        <w:spacing w:line="256" w:lineRule="auto" w:before="43"/>
        <w:ind w:left="101" w:right="220"/>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3"/>
        </w:rPr>
        <w:t>毒引起的获得性免疫缺陷综合征，英文缩写为 </w:t>
      </w:r>
      <w:r>
        <w:rPr>
          <w:rFonts w:ascii="Times New Roman" w:eastAsia="Times New Roman"/>
        </w:rPr>
        <w:t>AIDS</w:t>
      </w:r>
      <w:r>
        <w:rPr/>
        <w:t>。</w:t>
      </w:r>
    </w:p>
    <w:p>
      <w:pPr>
        <w:pStyle w:val="BodyText"/>
        <w:spacing w:line="273" w:lineRule="auto" w:before="5"/>
        <w:ind w:left="101" w:right="226"/>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546" w:space="169"/>
            <w:col w:w="7475"/>
          </w:cols>
        </w:sectPr>
      </w:pPr>
    </w:p>
    <w:p>
      <w:pPr>
        <w:pStyle w:val="BodyText"/>
        <w:spacing w:before="2"/>
        <w:rPr>
          <w:sz w:val="15"/>
        </w:rPr>
      </w:pPr>
    </w:p>
    <w:p>
      <w:pPr>
        <w:pStyle w:val="ListParagraph"/>
        <w:numPr>
          <w:ilvl w:val="1"/>
          <w:numId w:val="7"/>
        </w:numPr>
        <w:tabs>
          <w:tab w:pos="858" w:val="left" w:leader="none"/>
          <w:tab w:pos="859" w:val="left" w:leader="none"/>
          <w:tab w:pos="2837" w:val="left" w:leader="none"/>
        </w:tabs>
        <w:spacing w:line="273" w:lineRule="auto" w:before="36" w:after="0"/>
        <w:ind w:left="283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4"/>
        <w:rPr>
          <w:sz w:val="15"/>
        </w:rPr>
      </w:pPr>
    </w:p>
    <w:p>
      <w:pPr>
        <w:spacing w:after="0"/>
        <w:rPr>
          <w:sz w:val="15"/>
        </w:rPr>
        <w:sectPr>
          <w:type w:val="continuous"/>
          <w:pgSz w:w="11910" w:h="16840"/>
          <w:pgMar w:top="520" w:bottom="280" w:left="920" w:right="800"/>
        </w:sectPr>
      </w:pPr>
    </w:p>
    <w:p>
      <w:pPr>
        <w:pStyle w:val="Heading3"/>
        <w:numPr>
          <w:ilvl w:val="1"/>
          <w:numId w:val="7"/>
        </w:numPr>
        <w:tabs>
          <w:tab w:pos="858" w:val="left" w:leader="none"/>
          <w:tab w:pos="859" w:val="left" w:leader="none"/>
        </w:tabs>
        <w:spacing w:line="240" w:lineRule="auto" w:before="35" w:after="0"/>
        <w:ind w:left="858" w:right="0" w:hanging="757"/>
        <w:jc w:val="left"/>
      </w:pPr>
      <w:r>
        <w:rPr>
          <w:w w:val="95"/>
        </w:rPr>
        <w:t>先天性畸形、变形</w:t>
      </w:r>
    </w:p>
    <w:p>
      <w:pPr>
        <w:spacing w:before="37"/>
        <w:ind w:left="858" w:right="0" w:firstLine="0"/>
        <w:jc w:val="left"/>
        <w:rPr>
          <w:b/>
          <w:sz w:val="21"/>
        </w:rPr>
      </w:pPr>
      <w:r>
        <w:rPr>
          <w:b/>
          <w:w w:val="95"/>
          <w:sz w:val="21"/>
        </w:rPr>
        <w:t>或染色体异常</w:t>
      </w:r>
    </w:p>
    <w:p>
      <w:pPr>
        <w:pStyle w:val="BodyText"/>
        <w:spacing w:line="273" w:lineRule="auto" w:before="35"/>
        <w:ind w:left="10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90"/>
            <w:col w:w="7454"/>
          </w:cols>
        </w:sectPr>
      </w:pPr>
    </w:p>
    <w:p>
      <w:pPr>
        <w:pStyle w:val="BodyText"/>
        <w:spacing w:before="2"/>
        <w:rPr>
          <w:sz w:val="15"/>
        </w:rPr>
      </w:pPr>
    </w:p>
    <w:p>
      <w:pPr>
        <w:pStyle w:val="ListParagraph"/>
        <w:numPr>
          <w:ilvl w:val="1"/>
          <w:numId w:val="7"/>
        </w:numPr>
        <w:tabs>
          <w:tab w:pos="858" w:val="left" w:leader="none"/>
          <w:tab w:pos="859" w:val="left" w:leader="none"/>
          <w:tab w:pos="2815" w:val="left" w:leader="none"/>
        </w:tabs>
        <w:spacing w:line="240" w:lineRule="auto" w:before="36" w:after="0"/>
        <w:ind w:left="858" w:right="0" w:hanging="757"/>
        <w:jc w:val="left"/>
        <w:rPr>
          <w:sz w:val="21"/>
        </w:rPr>
      </w:pPr>
      <w:r>
        <w:rPr>
          <w:b/>
          <w:sz w:val="21"/>
        </w:rPr>
        <w:t>适用主合同释义</w:t>
        <w:tab/>
      </w:r>
      <w:r>
        <w:rPr>
          <w:sz w:val="21"/>
        </w:rPr>
        <w:t>本附加合同中其他重要术语的释义请参看主合同释义条款。</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815" w:hanging="758"/>
        <w:jc w:val="left"/>
      </w:pPr>
      <w:rPr>
        <w:rFonts w:hint="default"/>
      </w:rPr>
    </w:lvl>
    <w:lvl w:ilvl="1">
      <w:start w:val="7"/>
      <w:numFmt w:val="decimal"/>
      <w:lvlText w:val="%1.%2"/>
      <w:lvlJc w:val="left"/>
      <w:pPr>
        <w:ind w:left="2815" w:hanging="758"/>
        <w:jc w:val="left"/>
      </w:pPr>
      <w:rPr>
        <w:rFonts w:hint="default" w:ascii="宋体" w:hAnsi="宋体" w:eastAsia="宋体" w:cs="宋体"/>
        <w:b/>
        <w:bCs/>
        <w:w w:val="99"/>
        <w:sz w:val="21"/>
        <w:szCs w:val="21"/>
      </w:rPr>
    </w:lvl>
    <w:lvl w:ilvl="2">
      <w:start w:val="0"/>
      <w:numFmt w:val="bullet"/>
      <w:lvlText w:val="•"/>
      <w:lvlJc w:val="left"/>
      <w:pPr>
        <w:ind w:left="4292" w:hanging="758"/>
      </w:pPr>
      <w:rPr>
        <w:rFonts w:hint="default"/>
      </w:rPr>
    </w:lvl>
    <w:lvl w:ilvl="3">
      <w:start w:val="0"/>
      <w:numFmt w:val="bullet"/>
      <w:lvlText w:val="•"/>
      <w:lvlJc w:val="left"/>
      <w:pPr>
        <w:ind w:left="5029" w:hanging="758"/>
      </w:pPr>
      <w:rPr>
        <w:rFonts w:hint="default"/>
      </w:rPr>
    </w:lvl>
    <w:lvl w:ilvl="4">
      <w:start w:val="0"/>
      <w:numFmt w:val="bullet"/>
      <w:lvlText w:val="•"/>
      <w:lvlJc w:val="left"/>
      <w:pPr>
        <w:ind w:left="5765" w:hanging="758"/>
      </w:pPr>
      <w:rPr>
        <w:rFonts w:hint="default"/>
      </w:rPr>
    </w:lvl>
    <w:lvl w:ilvl="5">
      <w:start w:val="0"/>
      <w:numFmt w:val="bullet"/>
      <w:lvlText w:val="•"/>
      <w:lvlJc w:val="left"/>
      <w:pPr>
        <w:ind w:left="6502" w:hanging="758"/>
      </w:pPr>
      <w:rPr>
        <w:rFonts w:hint="default"/>
      </w:rPr>
    </w:lvl>
    <w:lvl w:ilvl="6">
      <w:start w:val="0"/>
      <w:numFmt w:val="bullet"/>
      <w:lvlText w:val="•"/>
      <w:lvlJc w:val="left"/>
      <w:pPr>
        <w:ind w:left="7238" w:hanging="758"/>
      </w:pPr>
      <w:rPr>
        <w:rFonts w:hint="default"/>
      </w:rPr>
    </w:lvl>
    <w:lvl w:ilvl="7">
      <w:start w:val="0"/>
      <w:numFmt w:val="bullet"/>
      <w:lvlText w:val="•"/>
      <w:lvlJc w:val="left"/>
      <w:pPr>
        <w:ind w:left="7975" w:hanging="758"/>
      </w:pPr>
      <w:rPr>
        <w:rFonts w:hint="default"/>
      </w:rPr>
    </w:lvl>
    <w:lvl w:ilvl="8">
      <w:start w:val="0"/>
      <w:numFmt w:val="bullet"/>
      <w:lvlText w:val="•"/>
      <w:lvlJc w:val="left"/>
      <w:pPr>
        <w:ind w:left="8711" w:hanging="758"/>
      </w:pPr>
      <w:rPr>
        <w:rFonts w:hint="default"/>
      </w:rPr>
    </w:lvl>
  </w:abstractNum>
  <w:abstractNum w:abstractNumId="5">
    <w:multiLevelType w:val="hybridMultilevel"/>
    <w:lvl w:ilvl="0">
      <w:start w:val="8"/>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4">
    <w:multiLevelType w:val="hybridMultilevel"/>
    <w:lvl w:ilvl="0">
      <w:start w:val="6"/>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3">
    <w:multiLevelType w:val="hybridMultilevel"/>
    <w:lvl w:ilvl="0">
      <w:start w:val="3"/>
      <w:numFmt w:val="decimal"/>
      <w:lvlText w:val="%1"/>
      <w:lvlJc w:val="left"/>
      <w:pPr>
        <w:ind w:left="978"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3758" w:hanging="758"/>
      </w:pPr>
      <w:rPr>
        <w:rFonts w:hint="default"/>
      </w:rPr>
    </w:lvl>
    <w:lvl w:ilvl="3">
      <w:start w:val="0"/>
      <w:numFmt w:val="bullet"/>
      <w:lvlText w:val="•"/>
      <w:lvlJc w:val="left"/>
      <w:pPr>
        <w:ind w:left="4576" w:hanging="758"/>
      </w:pPr>
      <w:rPr>
        <w:rFonts w:hint="default"/>
      </w:rPr>
    </w:lvl>
    <w:lvl w:ilvl="4">
      <w:start w:val="0"/>
      <w:numFmt w:val="bullet"/>
      <w:lvlText w:val="•"/>
      <w:lvlJc w:val="left"/>
      <w:pPr>
        <w:ind w:left="5394" w:hanging="758"/>
      </w:pPr>
      <w:rPr>
        <w:rFonts w:hint="default"/>
      </w:rPr>
    </w:lvl>
    <w:lvl w:ilvl="5">
      <w:start w:val="0"/>
      <w:numFmt w:val="bullet"/>
      <w:lvlText w:val="•"/>
      <w:lvlJc w:val="left"/>
      <w:pPr>
        <w:ind w:left="6213" w:hanging="758"/>
      </w:pPr>
      <w:rPr>
        <w:rFonts w:hint="default"/>
      </w:rPr>
    </w:lvl>
    <w:lvl w:ilvl="6">
      <w:start w:val="0"/>
      <w:numFmt w:val="bullet"/>
      <w:lvlText w:val="•"/>
      <w:lvlJc w:val="left"/>
      <w:pPr>
        <w:ind w:left="7031" w:hanging="758"/>
      </w:pPr>
      <w:rPr>
        <w:rFonts w:hint="default"/>
      </w:rPr>
    </w:lvl>
    <w:lvl w:ilvl="7">
      <w:start w:val="0"/>
      <w:numFmt w:val="bullet"/>
      <w:lvlText w:val="•"/>
      <w:lvlJc w:val="left"/>
      <w:pPr>
        <w:ind w:left="7849" w:hanging="758"/>
      </w:pPr>
      <w:rPr>
        <w:rFonts w:hint="default"/>
      </w:rPr>
    </w:lvl>
    <w:lvl w:ilvl="8">
      <w:start w:val="0"/>
      <w:numFmt w:val="bullet"/>
      <w:lvlText w:val="•"/>
      <w:lvlJc w:val="left"/>
      <w:pPr>
        <w:ind w:left="8667" w:hanging="758"/>
      </w:pPr>
      <w:rPr>
        <w:rFonts w:hint="default"/>
      </w:rPr>
    </w:lvl>
  </w:abstractNum>
  <w:abstractNum w:abstractNumId="2">
    <w:multiLevelType w:val="hybridMultilevel"/>
    <w:lvl w:ilvl="0">
      <w:start w:val="2"/>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1">
    <w:multiLevelType w:val="hybridMultilevel"/>
    <w:lvl w:ilvl="0">
      <w:start w:val="1"/>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71"/>
      <w:ind w:left="1246"/>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1"/>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8"/>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1697" w:hanging="27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&lt;4D6963726F736F667420576F7264202D20BDBBD2F8BFB5C1AAB8BDBCD3D6D3B0AED2BBC9FAD6D8B4F3BCB2B2A1B1A3CFD52DCCF5BFEE2D34A3A8B6FECEACC2EBA3A9&gt;</dc:title>
  <dcterms:created xsi:type="dcterms:W3CDTF">2018-10-20T03:13:28Z</dcterms:created>
  <dcterms:modified xsi:type="dcterms:W3CDTF">2018-10-20T03:13:28Z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PScript5.dll Version 5.2.2</vt:lpwstr>
  </property>
  <property fmtid="{D5CDD505-2E9C-101B-9397-08002B2CF9AE}" pid="4" name="LastSaved">
    <vt:filetime>2018-10-19T00:00:00Z</vt:filetime>
  </property>
</Properties>
</file>