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8"/>
        <w:ind w:left="0" w:right="114"/>
        <w:jc w:val="right"/>
      </w:pPr>
      <w:r>
        <w:rPr/>
        <w:drawing>
          <wp:anchor distT="0" distB="0" distL="0" distR="0" allowOverlap="1" layoutInCell="1" locked="0" behindDoc="0" simplePos="0" relativeHeight="0">
            <wp:simplePos x="0" y="0"/>
            <wp:positionH relativeFrom="page">
              <wp:posOffset>5778577</wp:posOffset>
            </wp:positionH>
            <wp:positionV relativeFrom="paragraph">
              <wp:posOffset>230524</wp:posOffset>
            </wp:positionV>
            <wp:extent cx="723845" cy="723873"/>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45" cy="723873"/>
                    </a:xfrm>
                    <a:prstGeom prst="rect">
                      <a:avLst/>
                    </a:prstGeom>
                  </pic:spPr>
                </pic:pic>
              </a:graphicData>
            </a:graphic>
          </wp:anchor>
        </w:drawing>
      </w:r>
      <w:r>
        <w:rPr/>
        <w:t>北大方正人寿[2012]疾病保险 049 号</w:t>
      </w: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23"/>
        </w:rPr>
      </w:pPr>
    </w:p>
    <w:p>
      <w:pPr>
        <w:spacing w:after="0"/>
        <w:rPr>
          <w:sz w:val="23"/>
        </w:rPr>
        <w:sectPr>
          <w:footerReference w:type="default" r:id="rId5"/>
          <w:type w:val="continuous"/>
          <w:pgSz w:w="11960" w:h="16850"/>
          <w:pgMar w:footer="1001" w:top="280" w:bottom="1200" w:left="1600" w:right="760"/>
          <w:pgNumType w:start="1"/>
        </w:sectPr>
      </w:pPr>
    </w:p>
    <w:p>
      <w:pPr>
        <w:spacing w:line="237" w:lineRule="auto" w:before="30"/>
        <w:ind w:left="2671" w:right="0" w:firstLine="239"/>
        <w:jc w:val="left"/>
        <w:rPr>
          <w:b/>
          <w:sz w:val="24"/>
        </w:rPr>
      </w:pPr>
      <w:r>
        <w:rPr>
          <w:b/>
          <w:sz w:val="24"/>
        </w:rPr>
        <w:t>北大方正人寿保险有限公司 </w:t>
      </w:r>
      <w:r>
        <w:rPr>
          <w:b/>
          <w:w w:val="95"/>
          <w:sz w:val="24"/>
        </w:rPr>
        <w:t>附加康宁一生重大疾病保险条款</w:t>
      </w:r>
    </w:p>
    <w:p>
      <w:pPr>
        <w:spacing w:line="330" w:lineRule="exact" w:before="0"/>
        <w:ind w:left="3429" w:right="760" w:firstLine="0"/>
        <w:jc w:val="center"/>
        <w:rPr>
          <w:b/>
          <w:sz w:val="24"/>
        </w:rPr>
      </w:pPr>
      <w:r>
        <w:rPr>
          <w:b/>
          <w:sz w:val="24"/>
        </w:rPr>
        <w:t>（</w:t>
      </w:r>
      <w:r>
        <w:rPr>
          <w:rFonts w:ascii="Times New Roman" w:eastAsia="Times New Roman"/>
          <w:b/>
          <w:sz w:val="24"/>
        </w:rPr>
        <w:t>2012 </w:t>
      </w:r>
      <w:r>
        <w:rPr>
          <w:b/>
          <w:sz w:val="24"/>
        </w:rPr>
        <w:t>年 </w:t>
      </w:r>
      <w:r>
        <w:rPr>
          <w:rFonts w:ascii="Times New Roman" w:eastAsia="Times New Roman"/>
          <w:b/>
          <w:sz w:val="24"/>
        </w:rPr>
        <w:t>3 </w:t>
      </w:r>
      <w:r>
        <w:rPr>
          <w:b/>
          <w:sz w:val="24"/>
        </w:rPr>
        <w:t>月）</w:t>
      </w:r>
    </w:p>
    <w:p>
      <w:pPr>
        <w:pStyle w:val="BodyText"/>
        <w:spacing w:before="1"/>
        <w:ind w:left="0"/>
        <w:rPr>
          <w:b/>
          <w:sz w:val="32"/>
        </w:rPr>
      </w:pPr>
    </w:p>
    <w:p>
      <w:pPr>
        <w:spacing w:before="0"/>
        <w:ind w:left="0" w:right="1466" w:firstLine="0"/>
        <w:jc w:val="right"/>
        <w:rPr>
          <w:sz w:val="21"/>
        </w:rPr>
      </w:pPr>
      <w:r>
        <w:rPr>
          <w:sz w:val="21"/>
        </w:rPr>
        <w:t>目录</w:t>
      </w:r>
    </w:p>
    <w:p>
      <w:pPr>
        <w:pStyle w:val="BodyText"/>
        <w:spacing w:before="3"/>
        <w:ind w:left="0"/>
        <w:rPr>
          <w:sz w:val="13"/>
        </w:rPr>
      </w:pPr>
      <w:r>
        <w:rPr/>
        <w:br w:type="column"/>
      </w:r>
      <w:r>
        <w:rPr>
          <w:sz w:val="13"/>
        </w:rPr>
      </w:r>
    </w:p>
    <w:p>
      <w:pPr>
        <w:pStyle w:val="BodyText"/>
        <w:ind w:left="1061"/>
      </w:pPr>
      <w:r>
        <w:rPr/>
        <w:t>请扫描以查询验证条款</w:t>
      </w:r>
    </w:p>
    <w:p>
      <w:pPr>
        <w:spacing w:after="0"/>
        <w:sectPr>
          <w:type w:val="continuous"/>
          <w:pgSz w:w="11960" w:h="16850"/>
          <w:pgMar w:top="280" w:bottom="1200" w:left="1600" w:right="760"/>
          <w:cols w:num="2" w:equalWidth="0">
            <w:col w:w="6034" w:space="40"/>
            <w:col w:w="3526"/>
          </w:cols>
        </w:sectPr>
      </w:pPr>
    </w:p>
    <w:p>
      <w:pPr>
        <w:pStyle w:val="BodyText"/>
        <w:spacing w:before="9"/>
        <w:ind w:left="0"/>
        <w:rPr>
          <w:sz w:val="9"/>
        </w:rPr>
      </w:pPr>
    </w:p>
    <w:sdt>
      <w:sdtPr>
        <w:docPartObj>
          <w:docPartGallery w:val="Table of Contents"/>
          <w:docPartUnique/>
        </w:docPartObj>
      </w:sdtPr>
      <w:sdtEndPr/>
      <w:sdtContent>
        <w:p>
          <w:pPr>
            <w:pStyle w:val="TOC1"/>
            <w:tabs>
              <w:tab w:pos="8863" w:val="right" w:leader="middleDot"/>
            </w:tabs>
            <w:spacing w:before="50"/>
            <w:rPr>
              <w:rFonts w:ascii="Times New Roman" w:hAnsi="Times New Roman" w:eastAsia="Times New Roman"/>
            </w:rPr>
          </w:pPr>
          <w:r>
            <w:rPr/>
            <w:t>第一部分</w:t>
          </w:r>
          <w:r>
            <w:rPr>
              <w:spacing w:val="-51"/>
            </w:rPr>
            <w:t> </w:t>
          </w:r>
          <w:r>
            <w:rPr>
              <w:rFonts w:ascii="Times New Roman" w:hAnsi="Times New Roman" w:eastAsia="Times New Roman"/>
              <w:spacing w:val="-3"/>
            </w:rPr>
            <w:t>·····</w:t>
          </w:r>
          <w:r>
            <w:rPr>
              <w:spacing w:val="-168"/>
            </w:rPr>
            <w:t>您</w:t>
          </w:r>
          <w:r>
            <w:rPr>
              <w:rFonts w:ascii="Times New Roman" w:hAnsi="Times New Roman" w:eastAsia="Times New Roman"/>
            </w:rPr>
            <w:t>· </w:t>
          </w:r>
          <w:r>
            <w:rPr>
              <w:rFonts w:ascii="Times New Roman" w:hAnsi="Times New Roman" w:eastAsia="Times New Roman"/>
              <w:spacing w:val="16"/>
            </w:rPr>
            <w:t> </w:t>
          </w:r>
          <w:r>
            <w:rPr/>
            <w:t>（投保人）与我们（北大方正人寿保险有限公司）的合同</w:t>
            <w:tab/>
          </w:r>
          <w:r>
            <w:rPr>
              <w:rFonts w:ascii="Times New Roman" w:hAnsi="Times New Roman" w:eastAsia="Times New Roman"/>
              <w:spacing w:val="-6"/>
            </w:rPr>
            <w:t>2·····</w:t>
          </w:r>
        </w:p>
        <w:p>
          <w:pPr>
            <w:pStyle w:val="TOC3"/>
            <w:tabs>
              <w:tab w:pos="1361" w:val="left" w:leader="none"/>
              <w:tab w:pos="8722" w:val="right" w:leader="middleDot"/>
            </w:tabs>
            <w:spacing w:before="192"/>
            <w:rPr>
              <w:rFonts w:ascii="Times New Roman" w:hAnsi="Times New Roman" w:eastAsia="Times New Roman"/>
              <w:b w:val="0"/>
              <w:i w:val="0"/>
              <w:sz w:val="21"/>
            </w:rPr>
          </w:pPr>
          <w:r>
            <w:rPr>
              <w:b w:val="0"/>
              <w:i w:val="0"/>
              <w:w w:val="100"/>
              <w:sz w:val="18"/>
            </w:rPr>
            <w:t>第一条</w:t>
            <w:tab/>
            <w:t>合同的构成</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p>
        <w:p>
          <w:pPr>
            <w:pStyle w:val="TOC3"/>
            <w:tabs>
              <w:tab w:pos="1361" w:val="left" w:leader="none"/>
              <w:tab w:pos="8774" w:val="right" w:leader="middleDot"/>
            </w:tabs>
            <w:rPr>
              <w:rFonts w:ascii="Times New Roman" w:hAnsi="Times New Roman" w:eastAsia="Times New Roman"/>
              <w:b w:val="0"/>
              <w:i w:val="0"/>
              <w:sz w:val="21"/>
            </w:rPr>
          </w:pPr>
          <w:r>
            <w:rPr>
              <w:b w:val="0"/>
              <w:i w:val="0"/>
              <w:sz w:val="18"/>
            </w:rPr>
            <w:t>第二条</w:t>
            <w:tab/>
            <w:t>投保范围</w:t>
            <w:tab/>
          </w:r>
          <w:r>
            <w:rPr>
              <w:rFonts w:ascii="Times New Roman" w:hAnsi="Times New Roman" w:eastAsia="Times New Roman"/>
              <w:b w:val="0"/>
              <w:i w:val="0"/>
              <w:spacing w:val="-9"/>
              <w:sz w:val="21"/>
            </w:rPr>
            <w:t>2···</w:t>
          </w:r>
        </w:p>
        <w:p>
          <w:pPr>
            <w:pStyle w:val="TOC3"/>
            <w:tabs>
              <w:tab w:pos="1361" w:val="left" w:leader="none"/>
              <w:tab w:pos="8774" w:val="right" w:leader="middleDot"/>
            </w:tabs>
            <w:rPr>
              <w:rFonts w:ascii="Times New Roman" w:hAnsi="Times New Roman" w:eastAsia="Times New Roman"/>
              <w:b w:val="0"/>
              <w:i w:val="0"/>
              <w:sz w:val="21"/>
            </w:rPr>
          </w:pPr>
          <w:hyperlink w:history="true" w:anchor="_TOC_250019">
            <w:r>
              <w:rPr>
                <w:b w:val="0"/>
                <w:i w:val="0"/>
                <w:sz w:val="18"/>
              </w:rPr>
              <w:t>第三条</w:t>
              <w:tab/>
              <w:t>保险期间</w:t>
              <w:tab/>
            </w:r>
            <w:r>
              <w:rPr>
                <w:rFonts w:ascii="Times New Roman" w:hAnsi="Times New Roman" w:eastAsia="Times New Roman"/>
                <w:b w:val="0"/>
                <w:i w:val="0"/>
                <w:spacing w:val="-9"/>
                <w:sz w:val="21"/>
              </w:rPr>
              <w:t>2···</w:t>
            </w:r>
          </w:hyperlink>
        </w:p>
        <w:p>
          <w:pPr>
            <w:pStyle w:val="TOC2"/>
            <w:tabs>
              <w:tab w:pos="1361" w:val="left" w:leader="none"/>
              <w:tab w:pos="8600" w:val="right" w:leader="middleDot"/>
            </w:tabs>
            <w:rPr>
              <w:rFonts w:ascii="Times New Roman" w:hAnsi="Times New Roman" w:eastAsia="Times New Roman"/>
              <w:sz w:val="21"/>
            </w:rPr>
          </w:pPr>
          <w:r>
            <w:rPr/>
            <w:t>第四条</w:t>
            <w:tab/>
            <w:t>保险责任的开始</w:t>
            <w:tab/>
          </w:r>
          <w:r>
            <w:rPr>
              <w:rFonts w:ascii="Times New Roman" w:hAnsi="Times New Roman" w:eastAsia="Times New Roman"/>
              <w:spacing w:val="-33"/>
              <w:sz w:val="21"/>
            </w:rPr>
            <w:t>2·</w:t>
          </w:r>
        </w:p>
        <w:p>
          <w:pPr>
            <w:pStyle w:val="TOC3"/>
            <w:tabs>
              <w:tab w:pos="1361" w:val="left" w:leader="none"/>
              <w:tab w:pos="8827" w:val="right" w:leader="middleDot"/>
            </w:tabs>
            <w:rPr>
              <w:rFonts w:ascii="Times New Roman" w:hAnsi="Times New Roman" w:eastAsia="Times New Roman"/>
              <w:b w:val="0"/>
              <w:i w:val="0"/>
              <w:sz w:val="21"/>
            </w:rPr>
          </w:pPr>
          <w:hyperlink w:history="true" w:anchor="_TOC_250018">
            <w:r>
              <w:rPr>
                <w:b w:val="0"/>
                <w:i w:val="0"/>
                <w:sz w:val="18"/>
              </w:rPr>
              <w:t>第五条</w:t>
              <w:tab/>
              <w:t>犹豫期</w:t>
              <w:tab/>
            </w:r>
            <w:r>
              <w:rPr>
                <w:rFonts w:ascii="Times New Roman" w:hAnsi="Times New Roman" w:eastAsia="Times New Roman"/>
                <w:b w:val="0"/>
                <w:i w:val="0"/>
                <w:spacing w:val="-11"/>
                <w:sz w:val="21"/>
              </w:rPr>
              <w:t>2····</w:t>
            </w:r>
          </w:hyperlink>
        </w:p>
        <w:p>
          <w:pPr>
            <w:pStyle w:val="TOC1"/>
            <w:tabs>
              <w:tab w:pos="8724" w:val="right" w:leader="middleDot"/>
            </w:tabs>
            <w:rPr>
              <w:rFonts w:ascii="Times New Roman" w:hAnsi="Times New Roman" w:eastAsia="Times New Roman"/>
            </w:rPr>
          </w:pPr>
          <w:hyperlink w:history="true" w:anchor="_TOC_250017">
            <w:r>
              <w:rPr/>
              <w:t>第二部分</w:t>
            </w:r>
            <w:r>
              <w:rPr>
                <w:spacing w:val="-50"/>
              </w:rPr>
              <w:t> </w:t>
            </w:r>
            <w:r>
              <w:rPr>
                <w:rFonts w:ascii="Times New Roman" w:hAnsi="Times New Roman" w:eastAsia="Times New Roman"/>
                <w:spacing w:val="-3"/>
              </w:rPr>
              <w:t>·····</w:t>
            </w:r>
            <w:r>
              <w:rPr>
                <w:spacing w:val="-168"/>
              </w:rPr>
              <w:t>我</w:t>
            </w:r>
            <w:r>
              <w:rPr>
                <w:rFonts w:ascii="Times New Roman" w:hAnsi="Times New Roman" w:eastAsia="Times New Roman"/>
              </w:rPr>
              <w:t>· </w:t>
            </w:r>
            <w:r>
              <w:rPr>
                <w:rFonts w:ascii="Times New Roman" w:hAnsi="Times New Roman" w:eastAsia="Times New Roman"/>
                <w:spacing w:val="17"/>
              </w:rPr>
              <w:t> </w:t>
            </w:r>
            <w:r>
              <w:rPr/>
              <w:t>们提供的保障</w:t>
              <w:tab/>
            </w:r>
            <w:r>
              <w:rPr>
                <w:rFonts w:ascii="Times New Roman" w:hAnsi="Times New Roman" w:eastAsia="Times New Roman"/>
                <w:spacing w:val="-13"/>
              </w:rPr>
              <w:t>2···</w:t>
            </w:r>
          </w:hyperlink>
        </w:p>
        <w:p>
          <w:pPr>
            <w:pStyle w:val="TOC3"/>
            <w:tabs>
              <w:tab w:pos="1361" w:val="left" w:leader="none"/>
              <w:tab w:pos="8652" w:val="right" w:leader="middleDot"/>
            </w:tabs>
            <w:spacing w:before="191"/>
            <w:rPr>
              <w:rFonts w:ascii="Times New Roman" w:hAnsi="Times New Roman" w:eastAsia="Times New Roman"/>
              <w:b w:val="0"/>
              <w:i w:val="0"/>
              <w:sz w:val="21"/>
            </w:rPr>
          </w:pPr>
          <w:hyperlink w:history="true" w:anchor="_TOC_250016">
            <w:r>
              <w:rPr>
                <w:b w:val="0"/>
                <w:i w:val="0"/>
                <w:w w:val="100"/>
                <w:sz w:val="18"/>
              </w:rPr>
              <w:t>第六条</w:t>
              <w:tab/>
              <w:t>基本保险金额</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5"/>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3"/>
            <w:tabs>
              <w:tab w:pos="1361" w:val="left" w:leader="none"/>
              <w:tab w:pos="8774" w:val="right" w:leader="middleDot"/>
            </w:tabs>
            <w:spacing w:before="55"/>
            <w:rPr>
              <w:rFonts w:ascii="Times New Roman" w:hAnsi="Times New Roman" w:eastAsia="Times New Roman"/>
              <w:b w:val="0"/>
              <w:i w:val="0"/>
              <w:sz w:val="21"/>
            </w:rPr>
          </w:pPr>
          <w:hyperlink w:history="true" w:anchor="_TOC_250015">
            <w:r>
              <w:rPr>
                <w:b w:val="0"/>
                <w:i w:val="0"/>
                <w:sz w:val="18"/>
              </w:rPr>
              <w:t>第七条</w:t>
              <w:tab/>
              <w:t>保险责任</w:t>
              <w:tab/>
            </w:r>
            <w:r>
              <w:rPr>
                <w:rFonts w:ascii="Times New Roman" w:hAnsi="Times New Roman" w:eastAsia="Times New Roman"/>
                <w:b w:val="0"/>
                <w:i w:val="0"/>
                <w:spacing w:val="-9"/>
                <w:sz w:val="21"/>
              </w:rPr>
              <w:t>2···</w:t>
            </w:r>
          </w:hyperlink>
        </w:p>
        <w:p>
          <w:pPr>
            <w:pStyle w:val="TOC3"/>
            <w:tabs>
              <w:tab w:pos="1361" w:val="left" w:leader="none"/>
              <w:tab w:pos="8774" w:val="right" w:leader="middleDot"/>
            </w:tabs>
            <w:spacing w:before="55"/>
            <w:rPr>
              <w:rFonts w:ascii="Times New Roman" w:hAnsi="Times New Roman" w:eastAsia="Times New Roman"/>
              <w:b w:val="0"/>
              <w:i w:val="0"/>
              <w:sz w:val="21"/>
            </w:rPr>
          </w:pPr>
          <w:hyperlink w:history="true" w:anchor="_TOC_250014">
            <w:r>
              <w:rPr>
                <w:b w:val="0"/>
                <w:i w:val="0"/>
                <w:sz w:val="18"/>
              </w:rPr>
              <w:t>第八条</w:t>
              <w:tab/>
              <w:t>责任免除</w:t>
              <w:tab/>
            </w:r>
            <w:r>
              <w:rPr>
                <w:rFonts w:ascii="Times New Roman" w:hAnsi="Times New Roman" w:eastAsia="Times New Roman"/>
                <w:b w:val="0"/>
                <w:i w:val="0"/>
                <w:spacing w:val="-9"/>
                <w:sz w:val="21"/>
              </w:rPr>
              <w:t>3···</w:t>
            </w:r>
          </w:hyperlink>
        </w:p>
        <w:p>
          <w:pPr>
            <w:pStyle w:val="TOC1"/>
            <w:tabs>
              <w:tab w:pos="8907" w:val="right" w:leader="middleDot"/>
            </w:tabs>
            <w:rPr>
              <w:rFonts w:ascii="Times New Roman" w:hAnsi="Times New Roman" w:eastAsia="Times New Roman"/>
            </w:rPr>
          </w:pPr>
          <w:hyperlink w:history="true" w:anchor="_TOC_250013">
            <w:r>
              <w:rPr/>
              <w:t>第三部分</w:t>
            </w:r>
            <w:r>
              <w:rPr>
                <w:spacing w:val="-50"/>
              </w:rPr>
              <w:t> </w:t>
            </w:r>
            <w:r>
              <w:rPr>
                <w:rFonts w:ascii="Times New Roman" w:hAnsi="Times New Roman" w:eastAsia="Times New Roman"/>
                <w:spacing w:val="-3"/>
              </w:rPr>
              <w:t>·····</w:t>
            </w:r>
            <w:r>
              <w:rPr>
                <w:spacing w:val="-168"/>
              </w:rPr>
              <w:t>如</w:t>
            </w:r>
            <w:r>
              <w:rPr>
                <w:rFonts w:ascii="Times New Roman" w:hAnsi="Times New Roman" w:eastAsia="Times New Roman"/>
              </w:rPr>
              <w:t>· </w:t>
            </w:r>
            <w:r>
              <w:rPr>
                <w:rFonts w:ascii="Times New Roman" w:hAnsi="Times New Roman" w:eastAsia="Times New Roman"/>
                <w:spacing w:val="17"/>
              </w:rPr>
              <w:t> </w:t>
            </w:r>
            <w:r>
              <w:rPr/>
              <w:t>何申请领取保险金</w:t>
              <w:tab/>
            </w:r>
            <w:r>
              <w:rPr>
                <w:rFonts w:ascii="Times New Roman" w:hAnsi="Times New Roman" w:eastAsia="Times New Roman"/>
                <w:spacing w:val="-7"/>
              </w:rPr>
              <w:t>3······</w:t>
            </w:r>
          </w:hyperlink>
        </w:p>
        <w:p>
          <w:pPr>
            <w:pStyle w:val="TOC3"/>
            <w:tabs>
              <w:tab w:pos="1361" w:val="left" w:leader="none"/>
              <w:tab w:pos="8836" w:val="right" w:leader="middleDot"/>
            </w:tabs>
            <w:spacing w:before="192"/>
            <w:rPr>
              <w:rFonts w:ascii="Times New Roman" w:hAnsi="Times New Roman" w:eastAsia="Times New Roman"/>
              <w:b w:val="0"/>
              <w:i w:val="0"/>
              <w:sz w:val="21"/>
            </w:rPr>
          </w:pPr>
          <w:hyperlink w:history="true" w:anchor="_TOC_250012">
            <w:r>
              <w:rPr>
                <w:b w:val="0"/>
                <w:i w:val="0"/>
                <w:sz w:val="18"/>
              </w:rPr>
              <w:t>第九条</w:t>
              <w:tab/>
              <w:t>受益人的指定和变更</w:t>
              <w:tab/>
            </w:r>
            <w:r>
              <w:rPr>
                <w:rFonts w:ascii="Times New Roman" w:hAnsi="Times New Roman" w:eastAsia="Times New Roman"/>
                <w:b w:val="0"/>
                <w:i w:val="0"/>
                <w:spacing w:val="-9"/>
                <w:sz w:val="21"/>
              </w:rPr>
              <w:t>3····</w:t>
            </w:r>
          </w:hyperlink>
        </w:p>
        <w:p>
          <w:pPr>
            <w:pStyle w:val="TOC3"/>
            <w:tabs>
              <w:tab w:pos="1361" w:val="left" w:leader="none"/>
              <w:tab w:pos="8774" w:val="right" w:leader="middleDot"/>
            </w:tabs>
            <w:rPr>
              <w:rFonts w:ascii="Times New Roman" w:hAnsi="Times New Roman" w:eastAsia="Times New Roman"/>
              <w:b w:val="0"/>
              <w:i w:val="0"/>
              <w:sz w:val="21"/>
            </w:rPr>
          </w:pPr>
          <w:r>
            <w:rPr>
              <w:b w:val="0"/>
              <w:i w:val="0"/>
              <w:sz w:val="18"/>
            </w:rPr>
            <w:t>第十条</w:t>
            <w:tab/>
            <w:t>申请资料</w:t>
            <w:tab/>
          </w:r>
          <w:r>
            <w:rPr>
              <w:rFonts w:ascii="Times New Roman" w:hAnsi="Times New Roman" w:eastAsia="Times New Roman"/>
              <w:b w:val="0"/>
              <w:i w:val="0"/>
              <w:spacing w:val="-9"/>
              <w:sz w:val="21"/>
            </w:rPr>
            <w:t>3···</w:t>
          </w:r>
        </w:p>
        <w:p>
          <w:pPr>
            <w:pStyle w:val="TOC3"/>
            <w:tabs>
              <w:tab w:pos="1361" w:val="left" w:leader="none"/>
              <w:tab w:pos="8774" w:val="right" w:leader="middleDot"/>
            </w:tabs>
            <w:rPr>
              <w:rFonts w:ascii="Times New Roman" w:hAnsi="Times New Roman" w:eastAsia="Times New Roman"/>
              <w:b w:val="0"/>
              <w:i w:val="0"/>
              <w:sz w:val="21"/>
            </w:rPr>
          </w:pPr>
          <w:r>
            <w:rPr>
              <w:b w:val="0"/>
              <w:i w:val="0"/>
              <w:sz w:val="18"/>
            </w:rPr>
            <w:t>第十一条</w:t>
            <w:tab/>
            <w:t>诉讼时效</w:t>
            <w:tab/>
          </w:r>
          <w:r>
            <w:rPr>
              <w:rFonts w:ascii="Times New Roman" w:hAnsi="Times New Roman" w:eastAsia="Times New Roman"/>
              <w:b w:val="0"/>
              <w:i w:val="0"/>
              <w:spacing w:val="-9"/>
              <w:sz w:val="21"/>
            </w:rPr>
            <w:t>3···</w:t>
          </w:r>
        </w:p>
        <w:p>
          <w:pPr>
            <w:pStyle w:val="TOC1"/>
            <w:tabs>
              <w:tab w:pos="8724" w:val="right" w:leader="middleDot"/>
            </w:tabs>
            <w:rPr>
              <w:rFonts w:ascii="Times New Roman" w:hAnsi="Times New Roman" w:eastAsia="Times New Roman"/>
            </w:rPr>
          </w:pPr>
          <w:hyperlink w:history="true" w:anchor="_TOC_250011">
            <w:r>
              <w:rPr/>
              <w:t>第四部分</w:t>
            </w:r>
            <w:r>
              <w:rPr>
                <w:spacing w:val="-50"/>
              </w:rPr>
              <w:t> </w:t>
            </w:r>
            <w:r>
              <w:rPr>
                <w:rFonts w:ascii="Times New Roman" w:hAnsi="Times New Roman" w:eastAsia="Times New Roman"/>
                <w:spacing w:val="-3"/>
              </w:rPr>
              <w:t>·····</w:t>
            </w:r>
            <w:r>
              <w:rPr>
                <w:spacing w:val="-168"/>
              </w:rPr>
              <w:t>如</w:t>
            </w:r>
            <w:r>
              <w:rPr>
                <w:rFonts w:ascii="Times New Roman" w:hAnsi="Times New Roman" w:eastAsia="Times New Roman"/>
              </w:rPr>
              <w:t>· </w:t>
            </w:r>
            <w:r>
              <w:rPr>
                <w:rFonts w:ascii="Times New Roman" w:hAnsi="Times New Roman" w:eastAsia="Times New Roman"/>
                <w:spacing w:val="17"/>
              </w:rPr>
              <w:t> </w:t>
            </w:r>
            <w:r>
              <w:rPr/>
              <w:t>何交纳保险费</w:t>
              <w:tab/>
            </w:r>
            <w:r>
              <w:rPr>
                <w:rFonts w:ascii="Times New Roman" w:hAnsi="Times New Roman" w:eastAsia="Times New Roman"/>
                <w:spacing w:val="-13"/>
              </w:rPr>
              <w:t>3···</w:t>
            </w:r>
          </w:hyperlink>
        </w:p>
        <w:p>
          <w:pPr>
            <w:pStyle w:val="TOC3"/>
            <w:tabs>
              <w:tab w:pos="1361" w:val="left" w:leader="none"/>
              <w:tab w:pos="8652" w:val="right" w:leader="middleDot"/>
            </w:tabs>
            <w:spacing w:before="192"/>
            <w:rPr>
              <w:rFonts w:ascii="Times New Roman" w:hAnsi="Times New Roman" w:eastAsia="Times New Roman"/>
              <w:b w:val="0"/>
              <w:i w:val="0"/>
              <w:sz w:val="21"/>
            </w:rPr>
          </w:pPr>
          <w:hyperlink w:history="true" w:anchor="_TOC_250010">
            <w:r>
              <w:rPr>
                <w:b w:val="0"/>
                <w:i w:val="0"/>
                <w:w w:val="100"/>
                <w:sz w:val="18"/>
              </w:rPr>
              <w:t>第十二条</w:t>
              <w:tab/>
              <w:t>保险费的交纳</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5"/>
                <w:w w:val="100"/>
                <w:sz w:val="21"/>
              </w:rPr>
              <w:t>3</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2"/>
            <w:tabs>
              <w:tab w:pos="1361" w:val="left" w:leader="none"/>
              <w:tab w:pos="8600" w:val="right" w:leader="middleDot"/>
            </w:tabs>
            <w:rPr>
              <w:rFonts w:ascii="Times New Roman" w:hAnsi="Times New Roman" w:eastAsia="Times New Roman"/>
              <w:sz w:val="21"/>
            </w:rPr>
          </w:pPr>
          <w:hyperlink w:history="true" w:anchor="_TOC_250009">
            <w:r>
              <w:rPr/>
              <w:t>第十三条</w:t>
              <w:tab/>
              <w:t>保险费率的调整</w:t>
              <w:tab/>
            </w:r>
            <w:r>
              <w:rPr>
                <w:rFonts w:ascii="Times New Roman" w:hAnsi="Times New Roman" w:eastAsia="Times New Roman"/>
                <w:spacing w:val="-33"/>
                <w:sz w:val="21"/>
              </w:rPr>
              <w:t>4·</w:t>
            </w:r>
          </w:hyperlink>
        </w:p>
        <w:p>
          <w:pPr>
            <w:pStyle w:val="TOC1"/>
            <w:tabs>
              <w:tab w:pos="8595" w:val="right" w:leader="middleDot"/>
            </w:tabs>
            <w:rPr>
              <w:rFonts w:ascii="Times New Roman" w:hAnsi="Times New Roman" w:eastAsia="Times New Roman"/>
              <w:b/>
            </w:rPr>
          </w:pPr>
          <w:hyperlink w:history="true" w:anchor="_TOC_250008">
            <w:r>
              <w:rPr/>
              <w:t>第五部分</w:t>
            </w:r>
            <w:r>
              <w:rPr>
                <w:spacing w:val="-50"/>
              </w:rPr>
              <w:t> </w:t>
            </w:r>
            <w:r>
              <w:rPr>
                <w:rFonts w:ascii="Times New Roman" w:hAnsi="Times New Roman" w:eastAsia="Times New Roman"/>
                <w:spacing w:val="-3"/>
              </w:rPr>
              <w:t>·····</w:t>
            </w:r>
            <w:r>
              <w:rPr>
                <w:spacing w:val="-168"/>
              </w:rPr>
              <w:t>现</w:t>
            </w:r>
            <w:r>
              <w:rPr>
                <w:rFonts w:ascii="Times New Roman" w:hAnsi="Times New Roman" w:eastAsia="Times New Roman"/>
              </w:rPr>
              <w:t>· </w:t>
            </w:r>
            <w:r>
              <w:rPr>
                <w:rFonts w:ascii="Times New Roman" w:hAnsi="Times New Roman" w:eastAsia="Times New Roman"/>
                <w:spacing w:val="17"/>
              </w:rPr>
              <w:t> </w:t>
            </w:r>
            <w:r>
              <w:rPr/>
              <w:t>金价值权益</w:t>
              <w:tab/>
            </w:r>
            <w:r>
              <w:rPr>
                <w:rFonts w:ascii="Times New Roman" w:hAnsi="Times New Roman" w:eastAsia="Times New Roman"/>
                <w:spacing w:val="-29"/>
              </w:rPr>
              <w:t>4</w:t>
            </w:r>
            <w:r>
              <w:rPr>
                <w:rFonts w:ascii="Times New Roman" w:hAnsi="Times New Roman" w:eastAsia="Times New Roman"/>
                <w:b/>
                <w:spacing w:val="-29"/>
              </w:rPr>
              <w:t>·</w:t>
            </w:r>
          </w:hyperlink>
        </w:p>
        <w:p>
          <w:pPr>
            <w:pStyle w:val="TOC3"/>
            <w:tabs>
              <w:tab w:pos="1361" w:val="left" w:leader="none"/>
              <w:tab w:pos="8774" w:val="right" w:leader="middleDot"/>
            </w:tabs>
            <w:spacing w:before="192"/>
            <w:rPr>
              <w:rFonts w:ascii="Times New Roman" w:hAnsi="Times New Roman" w:eastAsia="Times New Roman"/>
              <w:b w:val="0"/>
              <w:i w:val="0"/>
              <w:sz w:val="21"/>
            </w:rPr>
          </w:pPr>
          <w:hyperlink w:history="true" w:anchor="_TOC_250007">
            <w:r>
              <w:rPr>
                <w:b w:val="0"/>
                <w:i w:val="0"/>
                <w:sz w:val="18"/>
              </w:rPr>
              <w:t>第十四条</w:t>
              <w:tab/>
              <w:t>现金价值</w:t>
              <w:tab/>
            </w:r>
            <w:r>
              <w:rPr>
                <w:rFonts w:ascii="Times New Roman" w:hAnsi="Times New Roman" w:eastAsia="Times New Roman"/>
                <w:b w:val="0"/>
                <w:i w:val="0"/>
                <w:spacing w:val="-9"/>
                <w:sz w:val="21"/>
              </w:rPr>
              <w:t>4···</w:t>
            </w:r>
          </w:hyperlink>
        </w:p>
        <w:p>
          <w:pPr>
            <w:pStyle w:val="TOC3"/>
            <w:tabs>
              <w:tab w:pos="1361" w:val="left" w:leader="none"/>
              <w:tab w:pos="8774" w:val="right" w:leader="middleDot"/>
            </w:tabs>
            <w:rPr>
              <w:rFonts w:ascii="Times New Roman" w:hAnsi="Times New Roman" w:eastAsia="Times New Roman"/>
              <w:b w:val="0"/>
              <w:i w:val="0"/>
              <w:sz w:val="21"/>
            </w:rPr>
          </w:pPr>
          <w:r>
            <w:rPr>
              <w:b w:val="0"/>
              <w:i w:val="0"/>
              <w:sz w:val="18"/>
            </w:rPr>
            <w:t>第十五条</w:t>
            <w:tab/>
            <w:t>减额交清</w:t>
            <w:tab/>
          </w:r>
          <w:r>
            <w:rPr>
              <w:rFonts w:ascii="Times New Roman" w:hAnsi="Times New Roman" w:eastAsia="Times New Roman"/>
              <w:b w:val="0"/>
              <w:i w:val="0"/>
              <w:spacing w:val="-9"/>
              <w:sz w:val="21"/>
            </w:rPr>
            <w:t>4···</w:t>
          </w:r>
        </w:p>
        <w:p>
          <w:pPr>
            <w:pStyle w:val="TOC1"/>
            <w:tabs>
              <w:tab w:pos="8724" w:val="right" w:leader="middleDot"/>
            </w:tabs>
            <w:rPr>
              <w:rFonts w:ascii="Times New Roman" w:hAnsi="Times New Roman" w:eastAsia="Times New Roman"/>
            </w:rPr>
          </w:pPr>
          <w:hyperlink w:history="true" w:anchor="_TOC_250006">
            <w:r>
              <w:rPr/>
              <w:t>第六部分</w:t>
            </w:r>
            <w:r>
              <w:rPr>
                <w:spacing w:val="-50"/>
              </w:rPr>
              <w:t> </w:t>
            </w:r>
            <w:r>
              <w:rPr>
                <w:rFonts w:ascii="Times New Roman" w:hAnsi="Times New Roman" w:eastAsia="Times New Roman"/>
                <w:spacing w:val="-3"/>
              </w:rPr>
              <w:t>·····</w:t>
            </w:r>
            <w:r>
              <w:rPr>
                <w:spacing w:val="-168"/>
              </w:rPr>
              <w:t>合</w:t>
            </w:r>
            <w:r>
              <w:rPr>
                <w:rFonts w:ascii="Times New Roman" w:hAnsi="Times New Roman" w:eastAsia="Times New Roman"/>
              </w:rPr>
              <w:t>· </w:t>
            </w:r>
            <w:r>
              <w:rPr>
                <w:rFonts w:ascii="Times New Roman" w:hAnsi="Times New Roman" w:eastAsia="Times New Roman"/>
                <w:spacing w:val="17"/>
              </w:rPr>
              <w:t> </w:t>
            </w:r>
            <w:r>
              <w:rPr/>
              <w:t>同效力的终止</w:t>
              <w:tab/>
            </w:r>
            <w:r>
              <w:rPr>
                <w:rFonts w:ascii="Times New Roman" w:hAnsi="Times New Roman" w:eastAsia="Times New Roman"/>
                <w:spacing w:val="-13"/>
              </w:rPr>
              <w:t>4···</w:t>
            </w:r>
          </w:hyperlink>
        </w:p>
        <w:p>
          <w:pPr>
            <w:pStyle w:val="TOC3"/>
            <w:tabs>
              <w:tab w:pos="1361" w:val="left" w:leader="none"/>
              <w:tab w:pos="8984" w:val="right" w:leader="middleDot"/>
            </w:tabs>
            <w:spacing w:before="192"/>
            <w:rPr>
              <w:rFonts w:ascii="Times New Roman" w:hAnsi="Times New Roman" w:eastAsia="Times New Roman"/>
              <w:b w:val="0"/>
              <w:i w:val="0"/>
              <w:sz w:val="21"/>
            </w:rPr>
          </w:pPr>
          <w:hyperlink w:history="true" w:anchor="_TOC_250005">
            <w:r>
              <w:rPr>
                <w:b w:val="0"/>
                <w:i w:val="0"/>
                <w:sz w:val="18"/>
              </w:rPr>
              <w:t>第十六条</w:t>
              <w:tab/>
              <w:t>您主动解除合同的权利</w:t>
              <w:tab/>
            </w:r>
            <w:r>
              <w:rPr>
                <w:rFonts w:ascii="Times New Roman" w:hAnsi="Times New Roman" w:eastAsia="Times New Roman"/>
                <w:b w:val="0"/>
                <w:i w:val="0"/>
                <w:spacing w:val="-6"/>
                <w:sz w:val="21"/>
              </w:rPr>
              <w:t>4······</w:t>
            </w:r>
          </w:hyperlink>
        </w:p>
        <w:p>
          <w:pPr>
            <w:pStyle w:val="TOC2"/>
            <w:tabs>
              <w:tab w:pos="1361" w:val="left" w:leader="none"/>
              <w:tab w:pos="8600" w:val="right" w:leader="middleDot"/>
            </w:tabs>
            <w:rPr>
              <w:rFonts w:ascii="Times New Roman" w:hAnsi="Times New Roman" w:eastAsia="Times New Roman"/>
              <w:sz w:val="21"/>
            </w:rPr>
          </w:pPr>
          <w:r>
            <w:rPr/>
            <w:t>第十七条</w:t>
            <w:tab/>
            <w:t>合同效力的终止</w:t>
            <w:tab/>
          </w:r>
          <w:r>
            <w:rPr>
              <w:rFonts w:ascii="Times New Roman" w:hAnsi="Times New Roman" w:eastAsia="Times New Roman"/>
              <w:spacing w:val="-33"/>
              <w:sz w:val="21"/>
            </w:rPr>
            <w:t>4·</w:t>
          </w:r>
        </w:p>
        <w:p>
          <w:pPr>
            <w:pStyle w:val="TOC1"/>
            <w:tabs>
              <w:tab w:pos="8848" w:val="right" w:leader="middleDot"/>
            </w:tabs>
            <w:rPr>
              <w:rFonts w:ascii="Times New Roman" w:hAnsi="Times New Roman" w:eastAsia="Times New Roman"/>
            </w:rPr>
          </w:pPr>
          <w:hyperlink w:history="true" w:anchor="_TOC_250004">
            <w:r>
              <w:rPr/>
              <w:t>第七部分</w:t>
            </w:r>
            <w:r>
              <w:rPr>
                <w:spacing w:val="-50"/>
              </w:rPr>
              <w:t> </w:t>
            </w:r>
            <w:r>
              <w:rPr>
                <w:rFonts w:ascii="Times New Roman" w:hAnsi="Times New Roman" w:eastAsia="Times New Roman"/>
                <w:spacing w:val="-3"/>
              </w:rPr>
              <w:t>·····</w:t>
            </w:r>
            <w:r>
              <w:rPr>
                <w:spacing w:val="-168"/>
              </w:rPr>
              <w:t>您</w:t>
            </w:r>
            <w:r>
              <w:rPr>
                <w:rFonts w:ascii="Times New Roman" w:hAnsi="Times New Roman" w:eastAsia="Times New Roman"/>
              </w:rPr>
              <w:t>· </w:t>
            </w:r>
            <w:r>
              <w:rPr>
                <w:rFonts w:ascii="Times New Roman" w:hAnsi="Times New Roman" w:eastAsia="Times New Roman"/>
                <w:spacing w:val="17"/>
              </w:rPr>
              <w:t> </w:t>
            </w:r>
            <w:r>
              <w:rPr/>
              <w:t>必须了解的其他事项</w:t>
              <w:tab/>
            </w:r>
            <w:r>
              <w:rPr>
                <w:rFonts w:ascii="Times New Roman" w:hAnsi="Times New Roman" w:eastAsia="Times New Roman"/>
                <w:spacing w:val="-8"/>
              </w:rPr>
              <w:t>4·····</w:t>
            </w:r>
          </w:hyperlink>
        </w:p>
        <w:p>
          <w:pPr>
            <w:pStyle w:val="TOC3"/>
            <w:tabs>
              <w:tab w:pos="1361" w:val="left" w:leader="none"/>
              <w:tab w:pos="8836" w:val="right" w:leader="middleDot"/>
            </w:tabs>
            <w:spacing w:before="192"/>
            <w:rPr>
              <w:rFonts w:ascii="Times New Roman" w:hAnsi="Times New Roman" w:eastAsia="Times New Roman"/>
              <w:b w:val="0"/>
              <w:i w:val="0"/>
              <w:sz w:val="21"/>
            </w:rPr>
          </w:pPr>
          <w:hyperlink w:history="true" w:anchor="_TOC_250003">
            <w:r>
              <w:rPr>
                <w:b w:val="0"/>
                <w:i w:val="0"/>
                <w:sz w:val="18"/>
              </w:rPr>
              <w:t>第十八条</w:t>
              <w:tab/>
              <w:t>明确说明与如实告知</w:t>
              <w:tab/>
            </w:r>
            <w:r>
              <w:rPr>
                <w:rFonts w:ascii="Times New Roman" w:hAnsi="Times New Roman" w:eastAsia="Times New Roman"/>
                <w:b w:val="0"/>
                <w:i w:val="0"/>
                <w:spacing w:val="-9"/>
                <w:sz w:val="21"/>
              </w:rPr>
              <w:t>4····</w:t>
            </w:r>
          </w:hyperlink>
        </w:p>
        <w:p>
          <w:pPr>
            <w:pStyle w:val="TOC3"/>
            <w:tabs>
              <w:tab w:pos="1361" w:val="left" w:leader="none"/>
              <w:tab w:pos="8932" w:val="right" w:leader="middleDot"/>
            </w:tabs>
            <w:rPr>
              <w:rFonts w:ascii="Times New Roman" w:hAnsi="Times New Roman" w:eastAsia="Times New Roman"/>
              <w:b w:val="0"/>
              <w:i w:val="0"/>
              <w:sz w:val="21"/>
            </w:rPr>
          </w:pPr>
          <w:hyperlink w:history="true" w:anchor="_TOC_250002">
            <w:r>
              <w:rPr>
                <w:b w:val="0"/>
                <w:i w:val="0"/>
                <w:w w:val="100"/>
                <w:sz w:val="18"/>
              </w:rPr>
              <w:t>第十九条</w:t>
              <w:tab/>
              <w:t>本公司合同解除权的限制</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96"/>
                <w:w w:val="100"/>
                <w:sz w:val="21"/>
              </w:rPr>
              <w:t>5</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3"/>
            <w:tabs>
              <w:tab w:pos="1361" w:val="left" w:leader="none"/>
              <w:tab w:pos="8774" w:val="right" w:leader="middleDot"/>
            </w:tabs>
            <w:rPr>
              <w:rFonts w:ascii="Times New Roman" w:hAnsi="Times New Roman" w:eastAsia="Times New Roman"/>
              <w:b w:val="0"/>
              <w:i w:val="0"/>
              <w:sz w:val="21"/>
            </w:rPr>
          </w:pPr>
          <w:hyperlink w:history="true" w:anchor="_TOC_250001">
            <w:r>
              <w:rPr>
                <w:b w:val="0"/>
                <w:i w:val="0"/>
                <w:sz w:val="18"/>
              </w:rPr>
              <w:t>第二十条</w:t>
              <w:tab/>
              <w:t>未还款项</w:t>
              <w:tab/>
            </w:r>
            <w:r>
              <w:rPr>
                <w:rFonts w:ascii="Times New Roman" w:hAnsi="Times New Roman" w:eastAsia="Times New Roman"/>
                <w:b w:val="0"/>
                <w:i w:val="0"/>
                <w:spacing w:val="-9"/>
                <w:sz w:val="21"/>
              </w:rPr>
              <w:t>5···</w:t>
            </w:r>
          </w:hyperlink>
        </w:p>
        <w:p>
          <w:pPr>
            <w:pStyle w:val="TOC1"/>
            <w:tabs>
              <w:tab w:pos="8833" w:val="right" w:leader="middleDot"/>
            </w:tabs>
            <w:rPr>
              <w:rFonts w:ascii="Times New Roman" w:hAnsi="Times New Roman" w:eastAsia="Times New Roman"/>
            </w:rPr>
          </w:pPr>
          <w:hyperlink w:history="true" w:anchor="_TOC_250000">
            <w:r>
              <w:rPr/>
              <w:t>第八部分</w:t>
            </w:r>
            <w:r>
              <w:rPr>
                <w:spacing w:val="-50"/>
              </w:rPr>
              <w:t> </w:t>
            </w:r>
            <w:r>
              <w:rPr>
                <w:rFonts w:ascii="Times New Roman" w:hAnsi="Times New Roman" w:eastAsia="Times New Roman"/>
                <w:spacing w:val="-3"/>
              </w:rPr>
              <w:t>·····</w:t>
            </w:r>
            <w:r>
              <w:rPr>
                <w:spacing w:val="-168"/>
              </w:rPr>
              <w:t>释</w:t>
            </w:r>
            <w:r>
              <w:rPr>
                <w:rFonts w:ascii="Times New Roman" w:hAnsi="Times New Roman" w:eastAsia="Times New Roman"/>
              </w:rPr>
              <w:t>· </w:t>
            </w:r>
            <w:r>
              <w:rPr>
                <w:rFonts w:ascii="Times New Roman" w:hAnsi="Times New Roman" w:eastAsia="Times New Roman"/>
                <w:spacing w:val="17"/>
              </w:rPr>
              <w:t> </w:t>
            </w:r>
            <w:r>
              <w:rPr/>
              <w:t>义</w:t>
              <w:tab/>
            </w:r>
            <w:r>
              <w:rPr>
                <w:rFonts w:ascii="Times New Roman" w:hAnsi="Times New Roman" w:eastAsia="Times New Roman"/>
                <w:spacing w:val="-11"/>
              </w:rPr>
              <w:t>5·····</w:t>
            </w:r>
          </w:hyperlink>
        </w:p>
      </w:sdtContent>
    </w:sdt>
    <w:p>
      <w:pPr>
        <w:spacing w:after="0"/>
        <w:rPr>
          <w:rFonts w:ascii="Times New Roman" w:hAnsi="Times New Roman" w:eastAsia="Times New Roman"/>
        </w:rPr>
        <w:sectPr>
          <w:type w:val="continuous"/>
          <w:pgSz w:w="11960" w:h="16850"/>
          <w:pgMar w:top="280" w:bottom="1200" w:left="1600" w:right="760"/>
        </w:sectPr>
      </w:pPr>
    </w:p>
    <w:p>
      <w:pPr>
        <w:pStyle w:val="Heading1"/>
        <w:tabs>
          <w:tab w:pos="1361" w:val="left" w:leader="none"/>
          <w:tab w:pos="2909" w:val="left" w:leader="none"/>
        </w:tabs>
        <w:spacing w:line="672" w:lineRule="exact" w:before="24"/>
        <w:ind w:right="1216" w:firstLine="1007"/>
      </w:pPr>
      <w:r>
        <w:rPr/>
        <w:t>第一部分</w:t>
        <w:tab/>
      </w:r>
      <w:r>
        <w:rPr>
          <w:spacing w:val="-1"/>
          <w:w w:val="95"/>
        </w:rPr>
        <w:t>您（投保人</w:t>
      </w:r>
      <w:r>
        <w:rPr>
          <w:w w:val="95"/>
        </w:rPr>
        <w:t>）与我们（北大方正人寿保险有限公司）的合同   </w:t>
      </w:r>
      <w:r>
        <w:rPr/>
        <w:t>第一条</w:t>
        <w:tab/>
      </w:r>
      <w:r>
        <w:rPr>
          <w:w w:val="95"/>
        </w:rPr>
        <w:t>合同的构成</w:t>
      </w:r>
    </w:p>
    <w:p>
      <w:pPr>
        <w:pStyle w:val="BodyText"/>
        <w:spacing w:before="87"/>
        <w:ind w:left="101"/>
      </w:pPr>
      <w:r>
        <w:rPr>
          <w:spacing w:val="-1"/>
          <w:w w:val="100"/>
        </w:rPr>
        <w:t>本附加保险合同（</w:t>
      </w:r>
      <w:r>
        <w:rPr>
          <w:spacing w:val="-10"/>
          <w:w w:val="100"/>
        </w:rPr>
        <w:t>以下简称“本附加合同”</w:t>
      </w:r>
      <w:r>
        <w:rPr>
          <w:spacing w:val="-1"/>
          <w:w w:val="100"/>
        </w:rPr>
        <w:t>）须经我们在保险单或批注中注明始为有效。</w:t>
      </w:r>
    </w:p>
    <w:p>
      <w:pPr>
        <w:pStyle w:val="BodyText"/>
        <w:spacing w:line="316" w:lineRule="auto" w:before="76"/>
        <w:ind w:left="101" w:right="208"/>
        <w:jc w:val="both"/>
      </w:pPr>
      <w:r>
        <w:rPr/>
        <w:t>本附加合同附属于主合同。除非本附加合同的条款明确表明其适用于主合同，本附加合同的条款不构成主合同的一部分。主合同的构成中与本附加合同相关的部分均为本附加合同的构成部分，但如果主合同与本附加合同互有抵触，则以本附加合同为准。</w:t>
      </w:r>
    </w:p>
    <w:p>
      <w:pPr>
        <w:tabs>
          <w:tab w:pos="1361" w:val="left" w:leader="none"/>
        </w:tabs>
        <w:spacing w:line="415" w:lineRule="auto" w:before="18"/>
        <w:ind w:left="101" w:right="5931" w:firstLine="0"/>
        <w:jc w:val="left"/>
        <w:rPr>
          <w:b/>
          <w:sz w:val="18"/>
        </w:rPr>
      </w:pPr>
      <w:r>
        <w:rPr>
          <w:sz w:val="18"/>
        </w:rPr>
        <w:t>本附加合同的英文简称为</w:t>
      </w:r>
      <w:r>
        <w:rPr>
          <w:spacing w:val="-46"/>
          <w:sz w:val="18"/>
        </w:rPr>
        <w:t> </w:t>
      </w:r>
      <w:r>
        <w:rPr>
          <w:rFonts w:ascii="Times New Roman" w:eastAsia="Times New Roman"/>
          <w:sz w:val="18"/>
        </w:rPr>
        <w:t>TRR_D</w:t>
      </w:r>
      <w:r>
        <w:rPr>
          <w:sz w:val="18"/>
        </w:rPr>
        <w:t>。</w:t>
      </w:r>
      <w:r>
        <w:rPr>
          <w:b/>
          <w:sz w:val="18"/>
        </w:rPr>
        <w:t>第二条</w:t>
        <w:tab/>
      </w:r>
      <w:r>
        <w:rPr>
          <w:b/>
          <w:w w:val="95"/>
          <w:sz w:val="18"/>
        </w:rPr>
        <w:t>投保范围</w:t>
      </w:r>
    </w:p>
    <w:p>
      <w:pPr>
        <w:spacing w:line="103" w:lineRule="exact" w:before="36"/>
        <w:ind w:left="4061" w:right="0" w:firstLine="0"/>
        <w:jc w:val="left"/>
        <w:rPr>
          <w:b/>
          <w:sz w:val="12"/>
        </w:rPr>
      </w:pPr>
      <w:r>
        <w:rPr>
          <w:b/>
          <w:sz w:val="12"/>
        </w:rPr>
        <w:t>释义 1</w:t>
      </w:r>
    </w:p>
    <w:p>
      <w:pPr>
        <w:pStyle w:val="BodyText"/>
        <w:tabs>
          <w:tab w:pos="4423" w:val="left" w:leader="none"/>
        </w:tabs>
        <w:spacing w:line="182" w:lineRule="exact"/>
        <w:ind w:left="101"/>
      </w:pPr>
      <w:r>
        <w:rPr/>
        <w:t>本附加合同接受的被保险人的投保年龄为十八</w:t>
      </w:r>
      <w:r>
        <w:rPr>
          <w:b/>
        </w:rPr>
        <w:t>周岁</w:t>
        <w:tab/>
      </w:r>
      <w:r>
        <w:rPr>
          <w:spacing w:val="-1"/>
        </w:rPr>
        <w:t>至</w:t>
      </w:r>
      <w:r>
        <w:rPr>
          <w:spacing w:val="-3"/>
        </w:rPr>
        <w:t>五</w:t>
      </w:r>
      <w:r>
        <w:rPr/>
        <w:t>十周岁。</w:t>
      </w:r>
    </w:p>
    <w:p>
      <w:pPr>
        <w:pStyle w:val="BodyText"/>
        <w:spacing w:before="5"/>
        <w:ind w:left="0"/>
        <w:rPr>
          <w:sz w:val="13"/>
        </w:rPr>
      </w:pPr>
    </w:p>
    <w:p>
      <w:pPr>
        <w:pStyle w:val="Heading1"/>
        <w:tabs>
          <w:tab w:pos="1361" w:val="left" w:leader="none"/>
        </w:tabs>
      </w:pPr>
      <w:bookmarkStart w:name="_TOC_250019" w:id="1"/>
      <w:r>
        <w:rPr/>
        <w:t>第三条</w:t>
        <w:tab/>
      </w:r>
      <w:bookmarkEnd w:id="1"/>
      <w:r>
        <w:rPr>
          <w:w w:val="95"/>
        </w:rPr>
        <w:t>保险期间</w:t>
      </w:r>
    </w:p>
    <w:p>
      <w:pPr>
        <w:pStyle w:val="BodyText"/>
        <w:spacing w:before="13"/>
        <w:ind w:left="0"/>
        <w:rPr>
          <w:b/>
          <w:sz w:val="14"/>
        </w:rPr>
      </w:pPr>
    </w:p>
    <w:p>
      <w:pPr>
        <w:tabs>
          <w:tab w:pos="1361" w:val="left" w:leader="none"/>
        </w:tabs>
        <w:spacing w:line="439" w:lineRule="auto" w:before="0"/>
        <w:ind w:left="101" w:right="3848" w:firstLine="0"/>
        <w:jc w:val="left"/>
        <w:rPr>
          <w:b/>
          <w:sz w:val="18"/>
        </w:rPr>
      </w:pPr>
      <w:r>
        <w:rPr>
          <w:sz w:val="18"/>
        </w:rPr>
        <w:t>本附加合同的保险期间由您与我们约定，并在保险单上载明。</w:t>
      </w:r>
      <w:r>
        <w:rPr>
          <w:b/>
          <w:sz w:val="18"/>
        </w:rPr>
        <w:t>第四条</w:t>
        <w:tab/>
      </w:r>
      <w:r>
        <w:rPr>
          <w:b/>
          <w:w w:val="95"/>
          <w:sz w:val="18"/>
        </w:rPr>
        <w:t>保险责任的开始</w:t>
      </w:r>
    </w:p>
    <w:p>
      <w:pPr>
        <w:pStyle w:val="BodyText"/>
        <w:spacing w:before="47"/>
        <w:ind w:left="101"/>
        <w:rPr>
          <w:b/>
        </w:rPr>
      </w:pPr>
      <w:r>
        <w:rPr/>
        <w:t>在我们同意承保、签发正式保险合同并收到您交付的首期保险费的条件下，我们所承担的保险责任自</w:t>
      </w:r>
      <w:r>
        <w:rPr>
          <w:b/>
        </w:rPr>
        <w:t>本附加</w:t>
      </w:r>
    </w:p>
    <w:p>
      <w:pPr>
        <w:spacing w:line="103" w:lineRule="exact" w:before="48"/>
        <w:ind w:left="1001" w:right="0" w:firstLine="0"/>
        <w:jc w:val="left"/>
        <w:rPr>
          <w:b/>
          <w:sz w:val="12"/>
        </w:rPr>
      </w:pPr>
      <w:r>
        <w:rPr>
          <w:b/>
          <w:sz w:val="12"/>
        </w:rPr>
        <w:t>释义 2</w:t>
      </w:r>
    </w:p>
    <w:p>
      <w:pPr>
        <w:pStyle w:val="BodyText"/>
        <w:tabs>
          <w:tab w:pos="1406" w:val="left" w:leader="none"/>
        </w:tabs>
        <w:spacing w:line="182" w:lineRule="exact"/>
        <w:ind w:left="101"/>
      </w:pPr>
      <w:r>
        <w:rPr>
          <w:b/>
        </w:rPr>
        <w:t>合同生效日</w:t>
        <w:tab/>
      </w:r>
      <w:r>
        <w:rPr>
          <w:spacing w:val="-1"/>
        </w:rPr>
        <w:t>的次日零时</w:t>
      </w:r>
      <w:r>
        <w:rPr>
          <w:spacing w:val="-3"/>
        </w:rPr>
        <w:t>开</w:t>
      </w:r>
      <w:r>
        <w:rPr/>
        <w:t>始，至本附加合同约定情形发生时终止。如果我们已经同意承保并签发保险合</w:t>
      </w:r>
    </w:p>
    <w:p>
      <w:pPr>
        <w:pStyle w:val="BodyText"/>
        <w:spacing w:line="316" w:lineRule="auto" w:before="55"/>
        <w:ind w:left="101" w:right="208"/>
      </w:pPr>
      <w:r>
        <w:rPr/>
        <w:t>同，但因为您的原因导致我们未能在和您约定的时间内收到首期保险费的，本附加合同自始不生效，我们自始不承担保险责任，您应当将我们签发的保险合同返还给我们。</w:t>
      </w:r>
    </w:p>
    <w:p>
      <w:pPr>
        <w:pStyle w:val="Heading1"/>
        <w:tabs>
          <w:tab w:pos="1361" w:val="left" w:leader="none"/>
        </w:tabs>
        <w:spacing w:before="139"/>
      </w:pPr>
      <w:bookmarkStart w:name="_TOC_250018" w:id="2"/>
      <w:r>
        <w:rPr/>
        <w:t>第五条</w:t>
        <w:tab/>
      </w:r>
      <w:bookmarkEnd w:id="2"/>
      <w:r>
        <w:rPr>
          <w:w w:val="95"/>
        </w:rPr>
        <w:t>犹豫期</w:t>
      </w:r>
    </w:p>
    <w:p>
      <w:pPr>
        <w:pStyle w:val="BodyText"/>
        <w:ind w:left="0"/>
        <w:rPr>
          <w:b/>
          <w:sz w:val="15"/>
        </w:rPr>
      </w:pPr>
    </w:p>
    <w:p>
      <w:pPr>
        <w:pStyle w:val="BodyText"/>
        <w:ind w:left="101"/>
      </w:pPr>
      <w:r>
        <w:rPr/>
        <w:t>您收到本附加合同并书面签收之日起，我们给予您十日的犹豫期，以便您在此期间浏览本附加合同。</w:t>
      </w:r>
    </w:p>
    <w:p>
      <w:pPr>
        <w:pStyle w:val="BodyText"/>
        <w:spacing w:line="316" w:lineRule="auto" w:before="76"/>
        <w:ind w:left="101" w:right="60"/>
      </w:pPr>
      <w:r>
        <w:rPr/>
        <w:t>如果您确定本附加合同与您的需求不相符，您可以在犹豫期内以书面形式向我们提出解除本附加合同的申请， 同时提供您的身份证明复印件，并退还本附加合同及首期保险费发票原件。</w:t>
      </w:r>
    </w:p>
    <w:p>
      <w:pPr>
        <w:pStyle w:val="BodyText"/>
        <w:spacing w:line="316" w:lineRule="auto" w:before="18"/>
        <w:ind w:left="101" w:right="208"/>
      </w:pPr>
      <w:r>
        <w:rPr/>
        <w:t>自我们收到您解除本附加合同的书面申请之日起，本附加合同正式解除，我们自始不承担保险责任。我们将无息退还已收全部保险费。如果被保险人曾接受过我们的体检，体检费用须自行承担。</w:t>
      </w:r>
    </w:p>
    <w:p>
      <w:pPr>
        <w:pStyle w:val="BodyText"/>
        <w:spacing w:before="9"/>
        <w:ind w:left="0"/>
        <w:rPr>
          <w:sz w:val="19"/>
        </w:rPr>
      </w:pPr>
    </w:p>
    <w:p>
      <w:pPr>
        <w:pStyle w:val="Heading1"/>
        <w:tabs>
          <w:tab w:pos="1799" w:val="left" w:leader="none"/>
        </w:tabs>
        <w:ind w:left="0" w:right="106"/>
        <w:jc w:val="center"/>
      </w:pPr>
      <w:bookmarkStart w:name="_TOC_250017" w:id="3"/>
      <w:r>
        <w:rPr/>
        <w:t>第二部分</w:t>
        <w:tab/>
      </w:r>
      <w:bookmarkEnd w:id="3"/>
      <w:r>
        <w:rPr>
          <w:w w:val="95"/>
        </w:rPr>
        <w:t>我们提供的保障</w:t>
      </w:r>
    </w:p>
    <w:p>
      <w:pPr>
        <w:pStyle w:val="BodyText"/>
        <w:ind w:left="0"/>
        <w:rPr>
          <w:b/>
        </w:rPr>
      </w:pPr>
    </w:p>
    <w:p>
      <w:pPr>
        <w:pStyle w:val="BodyText"/>
        <w:spacing w:before="4"/>
        <w:ind w:left="0"/>
        <w:rPr>
          <w:b/>
          <w:sz w:val="15"/>
        </w:rPr>
      </w:pPr>
    </w:p>
    <w:p>
      <w:pPr>
        <w:pStyle w:val="Heading1"/>
        <w:tabs>
          <w:tab w:pos="1361" w:val="left" w:leader="none"/>
        </w:tabs>
      </w:pPr>
      <w:bookmarkStart w:name="_TOC_250016" w:id="4"/>
      <w:r>
        <w:rPr/>
        <w:t>第六条</w:t>
        <w:tab/>
      </w:r>
      <w:bookmarkEnd w:id="4"/>
      <w:r>
        <w:rPr>
          <w:w w:val="95"/>
        </w:rPr>
        <w:t>基本保险金额</w:t>
      </w:r>
    </w:p>
    <w:p>
      <w:pPr>
        <w:pStyle w:val="BodyText"/>
        <w:ind w:left="0"/>
        <w:rPr>
          <w:b/>
          <w:sz w:val="15"/>
        </w:rPr>
      </w:pPr>
    </w:p>
    <w:p>
      <w:pPr>
        <w:pStyle w:val="BodyText"/>
        <w:spacing w:line="316" w:lineRule="auto"/>
        <w:ind w:left="101" w:right="208"/>
        <w:jc w:val="both"/>
      </w:pPr>
      <w:r>
        <w:rPr/>
        <w:t>本附加合同的基本保险金额由您在投保时与我们约定并在保险单或批注上载明。如果该金额因本附加合同其他条款的约定而发生变更，则以变更后的金额为基本保险金额；同时其主合同的基本保险金额也须变更为与本附加合同相同的基本保险金额。</w:t>
      </w:r>
    </w:p>
    <w:p>
      <w:pPr>
        <w:pStyle w:val="Heading1"/>
        <w:tabs>
          <w:tab w:pos="1361" w:val="left" w:leader="none"/>
        </w:tabs>
        <w:spacing w:before="138"/>
      </w:pPr>
      <w:bookmarkStart w:name="_TOC_250015" w:id="5"/>
      <w:r>
        <w:rPr/>
        <w:t>第七条</w:t>
        <w:tab/>
      </w:r>
      <w:bookmarkEnd w:id="5"/>
      <w:r>
        <w:rPr>
          <w:w w:val="95"/>
        </w:rPr>
        <w:t>保险责任</w:t>
      </w:r>
    </w:p>
    <w:p>
      <w:pPr>
        <w:pStyle w:val="BodyText"/>
        <w:spacing w:before="12"/>
        <w:ind w:left="0"/>
        <w:rPr>
          <w:b/>
          <w:sz w:val="14"/>
        </w:rPr>
      </w:pPr>
    </w:p>
    <w:p>
      <w:pPr>
        <w:pStyle w:val="BodyText"/>
        <w:ind w:left="101"/>
      </w:pPr>
      <w:r>
        <w:rPr/>
        <w:t>在本附加合同的有效保险期间内，我们将承担下列保险责任：</w:t>
      </w:r>
    </w:p>
    <w:p>
      <w:pPr>
        <w:pStyle w:val="BodyText"/>
        <w:spacing w:line="273" w:lineRule="auto" w:before="47"/>
        <w:ind w:left="101" w:right="203"/>
        <w:jc w:val="both"/>
      </w:pPr>
      <w:r>
        <w:rPr>
          <w:spacing w:val="-2"/>
        </w:rPr>
        <w:t>如果被保险人在本附加合同生效日或最后复效日</w:t>
      </w:r>
      <w:r>
        <w:rPr/>
        <w:t>（以较迟者为准</w:t>
      </w:r>
      <w:r>
        <w:rPr>
          <w:spacing w:val="-27"/>
        </w:rPr>
        <w:t>）</w:t>
      </w:r>
      <w:r>
        <w:rPr>
          <w:spacing w:val="-4"/>
        </w:rPr>
        <w:t>起一百八十天后，首次</w:t>
      </w:r>
      <w:r>
        <w:rPr>
          <w:b/>
        </w:rPr>
        <w:t>发病</w:t>
      </w:r>
      <w:r>
        <w:rPr>
          <w:b/>
          <w:spacing w:val="-11"/>
          <w:position w:val="12"/>
          <w:sz w:val="12"/>
        </w:rPr>
        <w:t>释义 </w:t>
      </w:r>
      <w:r>
        <w:rPr>
          <w:b/>
          <w:position w:val="12"/>
          <w:sz w:val="12"/>
        </w:rPr>
        <w:t>3 </w:t>
      </w:r>
      <w:r>
        <w:rPr>
          <w:spacing w:val="-2"/>
        </w:rPr>
        <w:t>并经</w:t>
      </w:r>
      <w:r>
        <w:rPr>
          <w:b/>
        </w:rPr>
        <w:t>医生</w:t>
      </w:r>
      <w:r>
        <w:rPr>
          <w:b/>
          <w:position w:val="12"/>
          <w:sz w:val="12"/>
        </w:rPr>
        <w:t>释</w:t>
      </w:r>
      <w:r>
        <w:rPr>
          <w:b/>
          <w:spacing w:val="-8"/>
          <w:position w:val="12"/>
          <w:sz w:val="12"/>
        </w:rPr>
        <w:t>义 </w:t>
      </w:r>
      <w:r>
        <w:rPr>
          <w:b/>
          <w:position w:val="12"/>
          <w:sz w:val="12"/>
        </w:rPr>
        <w:t>4 </w:t>
      </w:r>
      <w:r>
        <w:rPr>
          <w:spacing w:val="-2"/>
        </w:rPr>
        <w:t>确诊初次患有本附加合同内所界定的重大疾病中的任何一种疾病，我们将按 </w:t>
      </w:r>
      <w:r>
        <w:rPr>
          <w:rFonts w:ascii="Times New Roman" w:eastAsia="Times New Roman"/>
        </w:rPr>
        <w:t>150%</w:t>
      </w:r>
      <w:r>
        <w:rPr>
          <w:spacing w:val="-2"/>
        </w:rPr>
        <w:t>的基本保险金额给付重</w:t>
      </w:r>
      <w:r>
        <w:rPr>
          <w:spacing w:val="-1"/>
        </w:rPr>
        <w:t>大疾病保险金，同时本附加合同及其主合同终止。</w:t>
      </w:r>
    </w:p>
    <w:p>
      <w:pPr>
        <w:spacing w:before="22"/>
        <w:ind w:left="101" w:right="0" w:firstLine="0"/>
        <w:jc w:val="left"/>
        <w:rPr>
          <w:sz w:val="18"/>
        </w:rPr>
      </w:pPr>
      <w:r>
        <w:rPr>
          <w:sz w:val="18"/>
        </w:rPr>
        <w:t>如果该重大疾病是由于被保险人遭受</w:t>
      </w:r>
      <w:r>
        <w:rPr>
          <w:b/>
          <w:sz w:val="18"/>
        </w:rPr>
        <w:t>意外伤害事故</w:t>
      </w:r>
      <w:r>
        <w:rPr>
          <w:b/>
          <w:position w:val="12"/>
          <w:sz w:val="12"/>
        </w:rPr>
        <w:t>释义 5 </w:t>
      </w:r>
      <w:r>
        <w:rPr>
          <w:sz w:val="18"/>
        </w:rPr>
        <w:t>引起的，则无须受上述一百八十天的限制。</w:t>
      </w:r>
    </w:p>
    <w:p>
      <w:pPr>
        <w:spacing w:after="0"/>
        <w:jc w:val="left"/>
        <w:rPr>
          <w:sz w:val="18"/>
        </w:rPr>
        <w:sectPr>
          <w:pgSz w:w="11960" w:h="16850"/>
          <w:pgMar w:header="0" w:footer="1001" w:top="1600" w:bottom="1200" w:left="1600" w:right="1540"/>
        </w:sectPr>
      </w:pPr>
    </w:p>
    <w:p>
      <w:pPr>
        <w:pStyle w:val="Heading1"/>
        <w:tabs>
          <w:tab w:pos="1361" w:val="left" w:leader="none"/>
        </w:tabs>
        <w:spacing w:before="112"/>
      </w:pPr>
      <w:bookmarkStart w:name="_TOC_250014" w:id="6"/>
      <w:r>
        <w:rPr/>
        <w:t>第八条</w:t>
        <w:tab/>
      </w:r>
      <w:bookmarkEnd w:id="6"/>
      <w:r>
        <w:rPr>
          <w:w w:val="95"/>
        </w:rPr>
        <w:t>责任免除</w:t>
      </w:r>
    </w:p>
    <w:p>
      <w:pPr>
        <w:pStyle w:val="BodyText"/>
        <w:ind w:left="0"/>
        <w:rPr>
          <w:b/>
          <w:sz w:val="15"/>
        </w:rPr>
      </w:pPr>
    </w:p>
    <w:p>
      <w:pPr>
        <w:spacing w:before="0"/>
        <w:ind w:left="101" w:right="0" w:firstLine="0"/>
        <w:jc w:val="left"/>
        <w:rPr>
          <w:b/>
          <w:sz w:val="18"/>
        </w:rPr>
      </w:pPr>
      <w:r>
        <w:rPr>
          <w:b/>
          <w:w w:val="95"/>
          <w:sz w:val="18"/>
        </w:rPr>
        <w:t>请您注意，下列情形的发生将导致我们重大疾病保险金责任的免除：</w:t>
      </w:r>
    </w:p>
    <w:p>
      <w:pPr>
        <w:spacing w:before="76"/>
        <w:ind w:left="101" w:right="0" w:firstLine="0"/>
        <w:jc w:val="left"/>
        <w:rPr>
          <w:b/>
          <w:sz w:val="18"/>
        </w:rPr>
      </w:pPr>
      <w:r>
        <w:rPr>
          <w:b/>
          <w:w w:val="95"/>
          <w:sz w:val="18"/>
        </w:rPr>
        <w:t>（</w:t>
      </w:r>
      <w:r>
        <w:rPr>
          <w:rFonts w:ascii="Times New Roman" w:eastAsia="Times New Roman"/>
          <w:b/>
          <w:w w:val="95"/>
          <w:sz w:val="18"/>
        </w:rPr>
        <w:t>1</w:t>
      </w:r>
      <w:r>
        <w:rPr>
          <w:b/>
          <w:w w:val="95"/>
          <w:sz w:val="18"/>
        </w:rPr>
        <w:t>）投保人故意造成被保险人死亡、伤残或疾病；</w:t>
      </w:r>
    </w:p>
    <w:p>
      <w:pPr>
        <w:spacing w:before="62"/>
        <w:ind w:left="101" w:right="0" w:firstLine="0"/>
        <w:jc w:val="left"/>
        <w:rPr>
          <w:b/>
          <w:sz w:val="18"/>
        </w:rPr>
      </w:pPr>
      <w:r>
        <w:rPr>
          <w:b/>
          <w:w w:val="95"/>
          <w:sz w:val="18"/>
        </w:rPr>
        <w:t>（</w:t>
      </w:r>
      <w:r>
        <w:rPr>
          <w:rFonts w:ascii="Times New Roman" w:eastAsia="Times New Roman"/>
          <w:b/>
          <w:w w:val="95"/>
          <w:sz w:val="18"/>
        </w:rPr>
        <w:t>2</w:t>
      </w:r>
      <w:r>
        <w:rPr>
          <w:b/>
          <w:w w:val="95"/>
          <w:sz w:val="18"/>
        </w:rPr>
        <w:t>）被保险人故意自伤、故意犯罪或者抗拒依法采取的刑事强制措施的；</w:t>
      </w:r>
    </w:p>
    <w:p>
      <w:pPr>
        <w:spacing w:line="103" w:lineRule="exact" w:before="34"/>
        <w:ind w:left="0" w:right="1509" w:firstLine="0"/>
        <w:jc w:val="center"/>
        <w:rPr>
          <w:b/>
          <w:sz w:val="12"/>
        </w:rPr>
      </w:pPr>
      <w:r>
        <w:rPr>
          <w:b/>
          <w:sz w:val="12"/>
        </w:rPr>
        <w:t>释义 6</w:t>
      </w:r>
    </w:p>
    <w:p>
      <w:pPr>
        <w:pStyle w:val="Heading1"/>
        <w:tabs>
          <w:tab w:pos="3765" w:val="left" w:leader="none"/>
        </w:tabs>
        <w:spacing w:line="196" w:lineRule="exact"/>
      </w:pPr>
      <w:r>
        <w:rPr/>
        <w:t>（</w:t>
      </w:r>
      <w:r>
        <w:rPr>
          <w:rFonts w:ascii="Times New Roman" w:eastAsia="Times New Roman"/>
        </w:rPr>
        <w:t>3</w:t>
      </w:r>
      <w:r>
        <w:rPr/>
        <w:t>）被保险人主动服用、吸食或注射毒品</w:t>
        <w:tab/>
        <w:t>；</w:t>
      </w:r>
    </w:p>
    <w:p>
      <w:pPr>
        <w:tabs>
          <w:tab w:pos="2313" w:val="left" w:leader="none"/>
          <w:tab w:pos="4295" w:val="left" w:leader="none"/>
        </w:tabs>
        <w:spacing w:line="103" w:lineRule="exact" w:before="12"/>
        <w:ind w:left="0" w:right="98" w:firstLine="0"/>
        <w:jc w:val="center"/>
        <w:rPr>
          <w:b/>
          <w:sz w:val="12"/>
        </w:rPr>
      </w:pPr>
      <w:r>
        <w:rPr>
          <w:b/>
          <w:sz w:val="12"/>
        </w:rPr>
        <w:t>释义</w:t>
      </w:r>
      <w:r>
        <w:rPr>
          <w:b/>
          <w:spacing w:val="-31"/>
          <w:sz w:val="12"/>
        </w:rPr>
        <w:t> </w:t>
      </w:r>
      <w:r>
        <w:rPr>
          <w:b/>
          <w:sz w:val="12"/>
        </w:rPr>
        <w:t>7</w:t>
        <w:tab/>
        <w:t>释义</w:t>
      </w:r>
      <w:r>
        <w:rPr>
          <w:b/>
          <w:spacing w:val="-31"/>
          <w:sz w:val="12"/>
        </w:rPr>
        <w:t> </w:t>
      </w:r>
      <w:r>
        <w:rPr>
          <w:b/>
          <w:sz w:val="12"/>
        </w:rPr>
        <w:t>8</w:t>
        <w:tab/>
        <w:t>释义</w:t>
      </w:r>
      <w:r>
        <w:rPr>
          <w:b/>
          <w:spacing w:val="-32"/>
          <w:sz w:val="12"/>
        </w:rPr>
        <w:t> </w:t>
      </w:r>
      <w:r>
        <w:rPr>
          <w:b/>
          <w:sz w:val="12"/>
        </w:rPr>
        <w:t>9</w:t>
      </w:r>
    </w:p>
    <w:p>
      <w:pPr>
        <w:pStyle w:val="Heading1"/>
        <w:tabs>
          <w:tab w:pos="2323" w:val="left" w:leader="none"/>
          <w:tab w:pos="4668" w:val="left" w:leader="none"/>
          <w:tab w:pos="6650" w:val="left" w:leader="none"/>
        </w:tabs>
        <w:spacing w:line="196" w:lineRule="exact"/>
      </w:pPr>
      <w:r>
        <w:rPr/>
        <w:t>（</w:t>
      </w:r>
      <w:r>
        <w:rPr>
          <w:rFonts w:ascii="Times New Roman" w:eastAsia="Times New Roman"/>
        </w:rPr>
        <w:t>4</w:t>
      </w:r>
      <w:r>
        <w:rPr/>
        <w:t>）被保险人酒后驾驶</w:t>
        <w:tab/>
        <w:t>、无合法有效驾驶证驾驶</w:t>
        <w:tab/>
      </w:r>
      <w:r>
        <w:rPr>
          <w:spacing w:val="-3"/>
        </w:rPr>
        <w:t>或</w:t>
      </w:r>
      <w:r>
        <w:rPr/>
        <w:t>驾驶无有效行驶证</w:t>
        <w:tab/>
      </w:r>
      <w:r>
        <w:rPr>
          <w:spacing w:val="-1"/>
          <w:w w:val="95"/>
        </w:rPr>
        <w:t>的</w:t>
      </w:r>
      <w:r>
        <w:rPr>
          <w:w w:val="95"/>
        </w:rPr>
        <w:t>机</w:t>
      </w:r>
      <w:r>
        <w:rPr>
          <w:spacing w:val="-3"/>
          <w:w w:val="95"/>
        </w:rPr>
        <w:t>动</w:t>
      </w:r>
      <w:r>
        <w:rPr>
          <w:w w:val="95"/>
        </w:rPr>
        <w:t>交通工具；</w:t>
      </w:r>
    </w:p>
    <w:p>
      <w:pPr>
        <w:tabs>
          <w:tab w:pos="4615" w:val="left" w:leader="none"/>
        </w:tabs>
        <w:spacing w:line="103" w:lineRule="exact" w:before="13"/>
        <w:ind w:left="1992" w:right="0" w:firstLine="0"/>
        <w:jc w:val="left"/>
        <w:rPr>
          <w:b/>
          <w:sz w:val="12"/>
        </w:rPr>
      </w:pPr>
      <w:r>
        <w:rPr>
          <w:b/>
          <w:sz w:val="12"/>
        </w:rPr>
        <w:t>释义</w:t>
      </w:r>
      <w:r>
        <w:rPr>
          <w:b/>
          <w:spacing w:val="-31"/>
          <w:sz w:val="12"/>
        </w:rPr>
        <w:t> </w:t>
      </w:r>
      <w:r>
        <w:rPr>
          <w:b/>
          <w:sz w:val="12"/>
        </w:rPr>
        <w:t>10</w:t>
        <w:tab/>
        <w:t>释义</w:t>
      </w:r>
      <w:r>
        <w:rPr>
          <w:b/>
          <w:spacing w:val="-32"/>
          <w:sz w:val="12"/>
        </w:rPr>
        <w:t> </w:t>
      </w:r>
      <w:r>
        <w:rPr>
          <w:b/>
          <w:sz w:val="12"/>
        </w:rPr>
        <w:t>11</w:t>
      </w:r>
    </w:p>
    <w:p>
      <w:pPr>
        <w:pStyle w:val="Heading1"/>
        <w:tabs>
          <w:tab w:pos="2383" w:val="left" w:leader="none"/>
          <w:tab w:pos="5006" w:val="left" w:leader="none"/>
        </w:tabs>
        <w:spacing w:line="196" w:lineRule="exact"/>
      </w:pPr>
      <w:r>
        <w:rPr>
          <w:spacing w:val="1"/>
          <w:w w:val="99"/>
        </w:rPr>
        <w:t>（</w:t>
      </w:r>
      <w:r>
        <w:rPr>
          <w:rFonts w:ascii="Times New Roman" w:eastAsia="Times New Roman"/>
          <w:spacing w:val="-2"/>
          <w:w w:val="100"/>
        </w:rPr>
        <w:t>5</w:t>
      </w:r>
      <w:r>
        <w:rPr>
          <w:spacing w:val="-1"/>
          <w:w w:val="99"/>
        </w:rPr>
        <w:t>）</w:t>
      </w:r>
      <w:r>
        <w:rPr>
          <w:w w:val="99"/>
        </w:rPr>
        <w:t>被保险人患艾滋病</w:t>
      </w:r>
      <w:r>
        <w:rPr/>
        <w:tab/>
      </w:r>
      <w:r>
        <w:rPr>
          <w:spacing w:val="1"/>
          <w:w w:val="99"/>
        </w:rPr>
        <w:t>（</w:t>
      </w:r>
      <w:r>
        <w:rPr>
          <w:rFonts w:ascii="Times New Roman" w:eastAsia="Times New Roman"/>
          <w:spacing w:val="-1"/>
          <w:w w:val="100"/>
        </w:rPr>
        <w:t>AID</w:t>
      </w:r>
      <w:r>
        <w:rPr>
          <w:rFonts w:ascii="Times New Roman" w:eastAsia="Times New Roman"/>
          <w:spacing w:val="-2"/>
          <w:w w:val="100"/>
        </w:rPr>
        <w:t>S</w:t>
      </w:r>
      <w:r>
        <w:rPr>
          <w:spacing w:val="-1"/>
          <w:w w:val="99"/>
        </w:rPr>
        <w:t>）</w:t>
      </w:r>
      <w:r>
        <w:rPr>
          <w:spacing w:val="1"/>
          <w:w w:val="99"/>
        </w:rPr>
        <w:t>或</w:t>
      </w:r>
      <w:r>
        <w:rPr>
          <w:w w:val="99"/>
        </w:rPr>
        <w:t>感染艾滋病病毒</w:t>
      </w:r>
      <w:r>
        <w:rPr/>
        <w:tab/>
      </w:r>
      <w:r>
        <w:rPr>
          <w:spacing w:val="1"/>
          <w:w w:val="99"/>
        </w:rPr>
        <w:t>（</w:t>
      </w:r>
      <w:r>
        <w:rPr>
          <w:rFonts w:ascii="Times New Roman" w:eastAsia="Times New Roman"/>
          <w:spacing w:val="-1"/>
          <w:w w:val="100"/>
        </w:rPr>
        <w:t>HI</w:t>
      </w:r>
      <w:r>
        <w:rPr>
          <w:rFonts w:ascii="Times New Roman" w:eastAsia="Times New Roman"/>
          <w:w w:val="100"/>
        </w:rPr>
        <w:t>V</w:t>
      </w:r>
      <w:r>
        <w:rPr>
          <w:rFonts w:ascii="Times New Roman" w:eastAsia="Times New Roman"/>
          <w:spacing w:val="-3"/>
          <w:w w:val="100"/>
        </w:rPr>
        <w:t> </w:t>
      </w:r>
      <w:r>
        <w:rPr>
          <w:w w:val="99"/>
        </w:rPr>
        <w:t>呈阳</w:t>
      </w:r>
      <w:r>
        <w:rPr>
          <w:spacing w:val="1"/>
          <w:w w:val="99"/>
        </w:rPr>
        <w:t>性</w:t>
      </w:r>
      <w:r>
        <w:rPr>
          <w:spacing w:val="-92"/>
          <w:w w:val="99"/>
        </w:rPr>
        <w:t>）</w:t>
      </w:r>
      <w:r>
        <w:rPr>
          <w:w w:val="99"/>
        </w:rPr>
        <w:t>；</w:t>
      </w:r>
    </w:p>
    <w:p>
      <w:pPr>
        <w:spacing w:before="42"/>
        <w:ind w:left="101" w:right="0" w:firstLine="0"/>
        <w:jc w:val="left"/>
        <w:rPr>
          <w:b/>
          <w:sz w:val="18"/>
        </w:rPr>
      </w:pPr>
      <w:r>
        <w:rPr>
          <w:b/>
          <w:w w:val="95"/>
          <w:sz w:val="18"/>
        </w:rPr>
        <w:t>（</w:t>
      </w:r>
      <w:r>
        <w:rPr>
          <w:rFonts w:ascii="Times New Roman" w:eastAsia="Times New Roman"/>
          <w:b/>
          <w:w w:val="95"/>
          <w:sz w:val="18"/>
        </w:rPr>
        <w:t>6</w:t>
      </w:r>
      <w:r>
        <w:rPr>
          <w:b/>
          <w:w w:val="95"/>
          <w:sz w:val="18"/>
        </w:rPr>
        <w:t>）战争、军事冲突、暴乱或武装叛乱；</w:t>
      </w:r>
    </w:p>
    <w:p>
      <w:pPr>
        <w:spacing w:before="63"/>
        <w:ind w:left="101" w:right="0" w:firstLine="0"/>
        <w:jc w:val="left"/>
        <w:rPr>
          <w:b/>
          <w:sz w:val="18"/>
        </w:rPr>
      </w:pPr>
      <w:r>
        <w:rPr>
          <w:b/>
          <w:w w:val="95"/>
          <w:sz w:val="18"/>
        </w:rPr>
        <w:t>（</w:t>
      </w:r>
      <w:r>
        <w:rPr>
          <w:rFonts w:ascii="Times New Roman" w:eastAsia="Times New Roman"/>
          <w:b/>
          <w:w w:val="95"/>
          <w:sz w:val="18"/>
        </w:rPr>
        <w:t>7</w:t>
      </w:r>
      <w:r>
        <w:rPr>
          <w:b/>
          <w:w w:val="95"/>
          <w:sz w:val="18"/>
        </w:rPr>
        <w:t>）核爆炸、核辐射或核污染；</w:t>
      </w:r>
    </w:p>
    <w:p>
      <w:pPr>
        <w:tabs>
          <w:tab w:pos="3093" w:val="left" w:leader="none"/>
        </w:tabs>
        <w:spacing w:line="103" w:lineRule="exact" w:before="34"/>
        <w:ind w:left="0" w:right="2320" w:firstLine="0"/>
        <w:jc w:val="center"/>
        <w:rPr>
          <w:b/>
          <w:sz w:val="12"/>
        </w:rPr>
      </w:pPr>
      <w:r>
        <w:rPr>
          <w:b/>
          <w:sz w:val="12"/>
        </w:rPr>
        <w:t>释义</w:t>
      </w:r>
      <w:r>
        <w:rPr>
          <w:b/>
          <w:spacing w:val="-31"/>
          <w:sz w:val="12"/>
        </w:rPr>
        <w:t> </w:t>
      </w:r>
      <w:r>
        <w:rPr>
          <w:b/>
          <w:sz w:val="12"/>
        </w:rPr>
        <w:t>12</w:t>
        <w:tab/>
        <w:t>释义</w:t>
      </w:r>
      <w:r>
        <w:rPr>
          <w:b/>
          <w:spacing w:val="-32"/>
          <w:sz w:val="12"/>
        </w:rPr>
        <w:t> </w:t>
      </w:r>
      <w:r>
        <w:rPr>
          <w:b/>
          <w:sz w:val="12"/>
        </w:rPr>
        <w:t>13</w:t>
      </w:r>
    </w:p>
    <w:p>
      <w:pPr>
        <w:pStyle w:val="Heading1"/>
        <w:tabs>
          <w:tab w:pos="1843" w:val="left" w:leader="none"/>
          <w:tab w:pos="4937" w:val="left" w:leader="none"/>
        </w:tabs>
        <w:spacing w:line="196" w:lineRule="exact"/>
      </w:pPr>
      <w:r>
        <w:rPr/>
        <w:t>（</w:t>
      </w:r>
      <w:r>
        <w:rPr>
          <w:rFonts w:ascii="Times New Roman" w:eastAsia="Times New Roman"/>
        </w:rPr>
        <w:t>8</w:t>
      </w:r>
      <w:r>
        <w:rPr/>
        <w:t>）遗传性疾病</w:t>
        <w:tab/>
        <w:t>，先天性畸形、变形或染色体异常</w:t>
        <w:tab/>
        <w:t>。</w:t>
      </w:r>
    </w:p>
    <w:p>
      <w:pPr>
        <w:pStyle w:val="BodyText"/>
        <w:spacing w:line="307" w:lineRule="auto" w:before="42"/>
        <w:ind w:left="101" w:right="103"/>
        <w:jc w:val="both"/>
      </w:pPr>
      <w:r>
        <w:rPr/>
        <w:t>发生上述（</w:t>
      </w:r>
      <w:r>
        <w:rPr>
          <w:rFonts w:ascii="Times New Roman" w:hAnsi="Times New Roman" w:eastAsia="Times New Roman"/>
        </w:rPr>
        <w:t>1</w:t>
      </w:r>
      <w:r>
        <w:rPr/>
        <w:t>）至（</w:t>
      </w:r>
      <w:r>
        <w:rPr>
          <w:rFonts w:ascii="Times New Roman" w:hAnsi="Times New Roman" w:eastAsia="Times New Roman"/>
        </w:rPr>
        <w:t>8</w:t>
      </w:r>
      <w:r>
        <w:rPr/>
        <w:t>）情形之一，导致被保险人初次患有本附加合同内所界定的重大疾病中的任何一种疾病的，我们不承担任何保险金给付责任。但符合本附加合同内重大疾病释义中所界定的“经输血导致的艾滋病</w:t>
      </w:r>
      <w:r>
        <w:rPr>
          <w:spacing w:val="-3"/>
        </w:rPr>
        <w:t>病毒感染”不受上述情形</w:t>
      </w:r>
      <w:r>
        <w:rPr>
          <w:spacing w:val="-4"/>
        </w:rPr>
        <w:t>（</w:t>
      </w:r>
      <w:r>
        <w:rPr>
          <w:rFonts w:ascii="Times New Roman" w:hAnsi="Times New Roman" w:eastAsia="Times New Roman"/>
          <w:spacing w:val="-4"/>
        </w:rPr>
        <w:t>5</w:t>
      </w:r>
      <w:r>
        <w:rPr>
          <w:spacing w:val="-4"/>
        </w:rPr>
        <w:t>）的限制；符合本附加合同内重大疾病释义中所界定的“肌营养不良症”不受上</w:t>
      </w:r>
      <w:r>
        <w:rPr>
          <w:spacing w:val="-1"/>
        </w:rPr>
        <w:t>述情形</w:t>
      </w:r>
      <w:r>
        <w:rPr/>
        <w:t>（</w:t>
      </w:r>
      <w:r>
        <w:rPr>
          <w:rFonts w:ascii="Times New Roman" w:hAnsi="Times New Roman" w:eastAsia="Times New Roman"/>
        </w:rPr>
        <w:t>8</w:t>
      </w:r>
      <w:r>
        <w:rPr/>
        <w:t>）的限制。</w:t>
      </w:r>
    </w:p>
    <w:p>
      <w:pPr>
        <w:pStyle w:val="BodyText"/>
        <w:spacing w:before="11"/>
        <w:ind w:left="0"/>
      </w:pPr>
    </w:p>
    <w:p>
      <w:pPr>
        <w:pStyle w:val="Heading1"/>
        <w:tabs>
          <w:tab w:pos="4440" w:val="left" w:leader="none"/>
        </w:tabs>
        <w:ind w:left="2640"/>
      </w:pPr>
      <w:bookmarkStart w:name="_TOC_250013" w:id="7"/>
      <w:r>
        <w:rPr/>
        <w:t>第三部分</w:t>
        <w:tab/>
      </w:r>
      <w:bookmarkEnd w:id="7"/>
      <w:r>
        <w:rPr>
          <w:w w:val="95"/>
        </w:rPr>
        <w:t>如何申请领取保险金</w:t>
      </w:r>
    </w:p>
    <w:p>
      <w:pPr>
        <w:pStyle w:val="BodyText"/>
        <w:ind w:left="0"/>
        <w:rPr>
          <w:b/>
        </w:rPr>
      </w:pPr>
    </w:p>
    <w:p>
      <w:pPr>
        <w:pStyle w:val="BodyText"/>
        <w:spacing w:before="3"/>
        <w:ind w:left="0"/>
        <w:rPr>
          <w:b/>
          <w:sz w:val="15"/>
        </w:rPr>
      </w:pPr>
    </w:p>
    <w:p>
      <w:pPr>
        <w:pStyle w:val="Heading1"/>
        <w:tabs>
          <w:tab w:pos="1361" w:val="left" w:leader="none"/>
        </w:tabs>
        <w:spacing w:before="1"/>
      </w:pPr>
      <w:bookmarkStart w:name="_TOC_250012" w:id="8"/>
      <w:r>
        <w:rPr/>
        <w:t>第九条</w:t>
        <w:tab/>
      </w:r>
      <w:bookmarkEnd w:id="8"/>
      <w:r>
        <w:rPr>
          <w:w w:val="95"/>
        </w:rPr>
        <w:t>受益人的指定和变更</w:t>
      </w:r>
    </w:p>
    <w:p>
      <w:pPr>
        <w:pStyle w:val="BodyText"/>
        <w:ind w:left="0"/>
        <w:rPr>
          <w:b/>
          <w:sz w:val="15"/>
        </w:rPr>
      </w:pPr>
    </w:p>
    <w:p>
      <w:pPr>
        <w:tabs>
          <w:tab w:pos="1361" w:val="left" w:leader="none"/>
        </w:tabs>
        <w:spacing w:line="439" w:lineRule="auto" w:before="0"/>
        <w:ind w:left="101" w:right="5188" w:firstLine="0"/>
        <w:jc w:val="left"/>
        <w:rPr>
          <w:b/>
          <w:sz w:val="18"/>
        </w:rPr>
      </w:pPr>
      <w:r>
        <w:rPr>
          <w:sz w:val="18"/>
        </w:rPr>
        <w:t>重大疾病保险金的受益人为被保险人本人。</w:t>
      </w:r>
      <w:r>
        <w:rPr>
          <w:b/>
          <w:sz w:val="18"/>
        </w:rPr>
        <w:t>第十条</w:t>
        <w:tab/>
      </w:r>
      <w:r>
        <w:rPr>
          <w:b/>
          <w:w w:val="95"/>
          <w:sz w:val="18"/>
        </w:rPr>
        <w:t>申请资料</w:t>
      </w:r>
    </w:p>
    <w:p>
      <w:pPr>
        <w:pStyle w:val="BodyText"/>
        <w:spacing w:before="47"/>
        <w:ind w:left="101"/>
      </w:pPr>
      <w:r>
        <w:rPr/>
        <w:t>重大疾病保险金的申请</w:t>
      </w:r>
    </w:p>
    <w:p>
      <w:pPr>
        <w:pStyle w:val="BodyText"/>
        <w:spacing w:line="316" w:lineRule="auto" w:before="76"/>
        <w:ind w:left="101" w:right="108"/>
      </w:pPr>
      <w:r>
        <w:rPr/>
        <w:t>在符合保险责任有关规定的条件下，由重大疾病保险金受益人作为申请人填写申请书，并凭下列证明、资料的原件向我们申请给付保险金：</w:t>
      </w:r>
    </w:p>
    <w:p>
      <w:pPr>
        <w:pStyle w:val="BodyText"/>
        <w:spacing w:before="18"/>
        <w:ind w:left="101"/>
      </w:pPr>
      <w:r>
        <w:rPr/>
        <w:t>（</w:t>
      </w:r>
      <w:r>
        <w:rPr>
          <w:rFonts w:ascii="Times New Roman" w:eastAsia="Times New Roman"/>
        </w:rPr>
        <w:t>1</w:t>
      </w:r>
      <w:r>
        <w:rPr/>
        <w:t>）申请书；</w:t>
      </w:r>
    </w:p>
    <w:p>
      <w:pPr>
        <w:pStyle w:val="BodyText"/>
        <w:spacing w:before="62"/>
        <w:ind w:left="101"/>
      </w:pPr>
      <w:r>
        <w:rPr/>
        <w:t>（</w:t>
      </w:r>
      <w:r>
        <w:rPr>
          <w:rFonts w:ascii="Times New Roman" w:eastAsia="Times New Roman"/>
        </w:rPr>
        <w:t>2</w:t>
      </w:r>
      <w:r>
        <w:rPr/>
        <w:t>）保险合同；</w:t>
      </w:r>
    </w:p>
    <w:p>
      <w:pPr>
        <w:pStyle w:val="BodyText"/>
        <w:spacing w:before="62"/>
        <w:ind w:left="101"/>
      </w:pPr>
      <w:r>
        <w:rPr/>
        <w:t>（</w:t>
      </w:r>
      <w:r>
        <w:rPr>
          <w:rFonts w:ascii="Times New Roman" w:eastAsia="Times New Roman"/>
        </w:rPr>
        <w:t>3</w:t>
      </w:r>
      <w:r>
        <w:rPr/>
        <w:t>）受益人户籍证明及身份证明；</w:t>
      </w:r>
    </w:p>
    <w:p>
      <w:pPr>
        <w:spacing w:line="103" w:lineRule="exact" w:before="34"/>
        <w:ind w:left="0" w:right="3575" w:firstLine="0"/>
        <w:jc w:val="center"/>
        <w:rPr>
          <w:b/>
          <w:sz w:val="12"/>
        </w:rPr>
      </w:pPr>
      <w:r>
        <w:rPr>
          <w:b/>
          <w:sz w:val="12"/>
        </w:rPr>
        <w:t>释义 14</w:t>
      </w:r>
    </w:p>
    <w:p>
      <w:pPr>
        <w:tabs>
          <w:tab w:pos="2839" w:val="left" w:leader="none"/>
        </w:tabs>
        <w:spacing w:line="196" w:lineRule="exact" w:before="0"/>
        <w:ind w:left="101" w:right="0" w:firstLine="0"/>
        <w:jc w:val="left"/>
        <w:rPr>
          <w:sz w:val="18"/>
        </w:rPr>
      </w:pPr>
      <w:r>
        <w:rPr>
          <w:sz w:val="18"/>
        </w:rPr>
        <w:t>（</w:t>
      </w:r>
      <w:r>
        <w:rPr>
          <w:rFonts w:ascii="Times New Roman" w:eastAsia="Times New Roman"/>
          <w:sz w:val="18"/>
        </w:rPr>
        <w:t>4</w:t>
      </w:r>
      <w:r>
        <w:rPr>
          <w:sz w:val="18"/>
        </w:rPr>
        <w:t>）</w:t>
      </w:r>
      <w:r>
        <w:rPr>
          <w:b/>
          <w:sz w:val="18"/>
        </w:rPr>
        <w:t>我们指定或认可的医院</w:t>
        <w:tab/>
      </w:r>
      <w:r>
        <w:rPr>
          <w:sz w:val="18"/>
        </w:rPr>
        <w:t>出具的附有被保险人完整病历、病理、血液及其它科学方法检验报告的诊</w:t>
      </w:r>
    </w:p>
    <w:p>
      <w:pPr>
        <w:pStyle w:val="BodyText"/>
        <w:spacing w:before="41"/>
        <w:ind w:left="101"/>
      </w:pPr>
      <w:r>
        <w:rPr/>
        <w:t>断证明文件；</w:t>
      </w:r>
    </w:p>
    <w:p>
      <w:pPr>
        <w:spacing w:line="103" w:lineRule="exact" w:before="47"/>
        <w:ind w:left="2712" w:right="0" w:firstLine="0"/>
        <w:jc w:val="left"/>
        <w:rPr>
          <w:b/>
          <w:sz w:val="12"/>
        </w:rPr>
      </w:pPr>
      <w:r>
        <w:rPr>
          <w:b/>
          <w:sz w:val="12"/>
        </w:rPr>
        <w:t>释义 16</w:t>
      </w:r>
    </w:p>
    <w:p>
      <w:pPr>
        <w:pStyle w:val="BodyText"/>
        <w:tabs>
          <w:tab w:pos="3134" w:val="left" w:leader="none"/>
        </w:tabs>
        <w:spacing w:line="196" w:lineRule="exact"/>
        <w:ind w:left="101"/>
      </w:pPr>
      <w:r>
        <w:rPr/>
        <w:t>（</w:t>
      </w:r>
      <w:r>
        <w:rPr>
          <w:rFonts w:ascii="Times New Roman" w:eastAsia="Times New Roman"/>
        </w:rPr>
        <w:t>5</w:t>
      </w:r>
      <w:r>
        <w:rPr/>
        <w:t>）所能提供的与确认</w:t>
      </w:r>
      <w:r>
        <w:rPr>
          <w:b/>
        </w:rPr>
        <w:t>保险事故</w:t>
        <w:tab/>
      </w:r>
      <w:r>
        <w:rPr>
          <w:spacing w:val="-1"/>
        </w:rPr>
        <w:t>的性质</w:t>
      </w:r>
      <w:r>
        <w:rPr/>
        <w:t>、原因等有关</w:t>
      </w:r>
      <w:r>
        <w:rPr>
          <w:spacing w:val="-3"/>
        </w:rPr>
        <w:t>的</w:t>
      </w:r>
      <w:r>
        <w:rPr/>
        <w:t>其他证明和资料。</w:t>
      </w:r>
    </w:p>
    <w:p>
      <w:pPr>
        <w:pStyle w:val="BodyText"/>
        <w:tabs>
          <w:tab w:pos="1361" w:val="left" w:leader="none"/>
        </w:tabs>
        <w:spacing w:line="439" w:lineRule="auto" w:before="42"/>
        <w:ind w:left="101" w:right="1589"/>
        <w:rPr>
          <w:b/>
        </w:rPr>
      </w:pPr>
      <w:r>
        <w:rPr/>
        <w:t>以上证明和资料不完整的，我们将及时一次性以书面形式向您告知需要补充的有关材料。</w:t>
      </w:r>
      <w:r>
        <w:rPr>
          <w:b/>
        </w:rPr>
        <w:t>第十一条</w:t>
        <w:tab/>
      </w:r>
      <w:r>
        <w:rPr>
          <w:b/>
          <w:w w:val="95"/>
        </w:rPr>
        <w:t>诉讼时效</w:t>
      </w:r>
    </w:p>
    <w:p>
      <w:pPr>
        <w:pStyle w:val="BodyText"/>
        <w:spacing w:line="316" w:lineRule="auto" w:before="47"/>
        <w:ind w:left="101" w:right="108"/>
      </w:pPr>
      <w:r>
        <w:rPr/>
        <w:t>被保险人或受益人向我们请求给付保险金的诉讼时效期间为二年，自其知道或者应当知道保险事故发生之日起计算。</w:t>
      </w:r>
    </w:p>
    <w:p>
      <w:pPr>
        <w:pStyle w:val="BodyText"/>
        <w:spacing w:before="10"/>
        <w:ind w:left="0"/>
        <w:rPr>
          <w:sz w:val="19"/>
        </w:rPr>
      </w:pPr>
    </w:p>
    <w:p>
      <w:pPr>
        <w:pStyle w:val="Heading1"/>
        <w:tabs>
          <w:tab w:pos="1799" w:val="left" w:leader="none"/>
        </w:tabs>
        <w:ind w:left="0" w:right="6"/>
        <w:jc w:val="center"/>
      </w:pPr>
      <w:bookmarkStart w:name="_TOC_250011" w:id="9"/>
      <w:r>
        <w:rPr/>
        <w:t>第四部分</w:t>
        <w:tab/>
      </w:r>
      <w:bookmarkEnd w:id="9"/>
      <w:r>
        <w:rPr>
          <w:w w:val="95"/>
        </w:rPr>
        <w:t>如何交纳保险费</w:t>
      </w:r>
    </w:p>
    <w:p>
      <w:pPr>
        <w:pStyle w:val="BodyText"/>
        <w:ind w:left="0"/>
        <w:rPr>
          <w:b/>
        </w:rPr>
      </w:pPr>
    </w:p>
    <w:p>
      <w:pPr>
        <w:pStyle w:val="BodyText"/>
        <w:spacing w:before="4"/>
        <w:ind w:left="0"/>
        <w:rPr>
          <w:b/>
          <w:sz w:val="15"/>
        </w:rPr>
      </w:pPr>
    </w:p>
    <w:p>
      <w:pPr>
        <w:pStyle w:val="Heading1"/>
        <w:tabs>
          <w:tab w:pos="1361" w:val="left" w:leader="none"/>
        </w:tabs>
      </w:pPr>
      <w:bookmarkStart w:name="_TOC_250010" w:id="10"/>
      <w:r>
        <w:rPr/>
        <w:t>第十二条</w:t>
        <w:tab/>
      </w:r>
      <w:bookmarkEnd w:id="10"/>
      <w:r>
        <w:rPr>
          <w:w w:val="95"/>
        </w:rPr>
        <w:t>保险费的交纳</w:t>
      </w:r>
    </w:p>
    <w:p>
      <w:pPr>
        <w:pStyle w:val="BodyText"/>
        <w:spacing w:before="12"/>
        <w:ind w:left="0"/>
        <w:rPr>
          <w:b/>
          <w:sz w:val="14"/>
        </w:rPr>
      </w:pPr>
    </w:p>
    <w:p>
      <w:pPr>
        <w:pStyle w:val="BodyText"/>
        <w:spacing w:line="316" w:lineRule="auto"/>
        <w:ind w:left="101" w:right="108"/>
      </w:pPr>
      <w:r>
        <w:rPr/>
        <w:t>本附加合同的交费方式与主合同相同。在主合同的交费期间内，本附加合同的保险费必须随主合同保险费一同支付，不能单独交纳。</w:t>
      </w:r>
    </w:p>
    <w:p>
      <w:pPr>
        <w:spacing w:after="0" w:line="316" w:lineRule="auto"/>
        <w:sectPr>
          <w:pgSz w:w="11960" w:h="16850"/>
          <w:pgMar w:header="0" w:footer="1001" w:top="1600" w:bottom="1200" w:left="1600" w:right="1640"/>
        </w:sectPr>
      </w:pPr>
    </w:p>
    <w:p>
      <w:pPr>
        <w:pStyle w:val="Heading1"/>
        <w:tabs>
          <w:tab w:pos="1361" w:val="left" w:leader="none"/>
        </w:tabs>
        <w:spacing w:before="112"/>
      </w:pPr>
      <w:bookmarkStart w:name="_TOC_250009" w:id="11"/>
      <w:r>
        <w:rPr/>
        <w:t>第十三条</w:t>
        <w:tab/>
      </w:r>
      <w:bookmarkEnd w:id="11"/>
      <w:r>
        <w:rPr>
          <w:w w:val="95"/>
        </w:rPr>
        <w:t>保险费率的调整</w:t>
      </w:r>
    </w:p>
    <w:p>
      <w:pPr>
        <w:pStyle w:val="BodyText"/>
        <w:ind w:left="0"/>
        <w:rPr>
          <w:b/>
          <w:sz w:val="15"/>
        </w:rPr>
      </w:pPr>
    </w:p>
    <w:p>
      <w:pPr>
        <w:pStyle w:val="BodyText"/>
        <w:spacing w:line="316" w:lineRule="auto"/>
        <w:ind w:left="101" w:right="117"/>
      </w:pPr>
      <w:r>
        <w:rPr/>
        <w:t>当本附加合同内所界定的疾病的发生率或相关的医疗技术发生重大改变时，我们有权提高或降低本产品的保</w:t>
      </w:r>
      <w:r>
        <w:rPr>
          <w:spacing w:val="-6"/>
        </w:rPr>
        <w:t>险费率。费率的调整将符合中国保险监督管理机构的相关规定，并针对同一性别或同一年龄的所有被保险人。</w:t>
      </w:r>
    </w:p>
    <w:p>
      <w:pPr>
        <w:spacing w:line="94" w:lineRule="exact" w:before="0"/>
        <w:ind w:left="2308" w:right="106" w:firstLine="0"/>
        <w:jc w:val="center"/>
        <w:rPr>
          <w:b/>
          <w:sz w:val="12"/>
        </w:rPr>
      </w:pPr>
      <w:r>
        <w:rPr>
          <w:b/>
          <w:sz w:val="12"/>
        </w:rPr>
        <w:t>释义 17</w:t>
      </w:r>
    </w:p>
    <w:p>
      <w:pPr>
        <w:pStyle w:val="BodyText"/>
        <w:tabs>
          <w:tab w:pos="5733" w:val="left" w:leader="none"/>
        </w:tabs>
        <w:spacing w:line="182" w:lineRule="exact"/>
        <w:ind w:left="101"/>
      </w:pPr>
      <w:r>
        <w:rPr/>
        <w:t>我们进行保险费率调整后</w:t>
      </w:r>
      <w:r>
        <w:rPr>
          <w:spacing w:val="-10"/>
        </w:rPr>
        <w:t>，</w:t>
      </w:r>
      <w:r>
        <w:rPr/>
        <w:t>您须自调整后的第一个</w:t>
      </w:r>
      <w:r>
        <w:rPr>
          <w:b/>
        </w:rPr>
        <w:t>保险合同周年日</w:t>
        <w:tab/>
      </w:r>
      <w:r>
        <w:rPr>
          <w:spacing w:val="-1"/>
        </w:rPr>
        <w:t>起</w:t>
      </w:r>
      <w:r>
        <w:rPr>
          <w:spacing w:val="-10"/>
        </w:rPr>
        <w:t>，</w:t>
      </w:r>
      <w:r>
        <w:rPr/>
        <w:t>按照调整后的保险费率交纳本附</w:t>
      </w:r>
    </w:p>
    <w:p>
      <w:pPr>
        <w:pStyle w:val="BodyText"/>
        <w:spacing w:before="54"/>
        <w:ind w:left="101"/>
      </w:pPr>
      <w:r>
        <w:rPr/>
        <w:t>加合同相应的保险费。</w:t>
      </w:r>
    </w:p>
    <w:p>
      <w:pPr>
        <w:pStyle w:val="BodyText"/>
        <w:spacing w:before="1"/>
        <w:ind w:left="0"/>
        <w:rPr>
          <w:sz w:val="24"/>
        </w:rPr>
      </w:pPr>
    </w:p>
    <w:p>
      <w:pPr>
        <w:pStyle w:val="Heading1"/>
        <w:tabs>
          <w:tab w:pos="1799" w:val="left" w:leader="none"/>
        </w:tabs>
        <w:ind w:left="0" w:right="106"/>
        <w:jc w:val="center"/>
      </w:pPr>
      <w:bookmarkStart w:name="_TOC_250008" w:id="12"/>
      <w:r>
        <w:rPr/>
        <w:t>第五部分</w:t>
        <w:tab/>
      </w:r>
      <w:bookmarkEnd w:id="12"/>
      <w:r>
        <w:rPr>
          <w:w w:val="95"/>
        </w:rPr>
        <w:t>现金价值权益</w:t>
      </w:r>
    </w:p>
    <w:p>
      <w:pPr>
        <w:pStyle w:val="BodyText"/>
        <w:ind w:left="0"/>
        <w:rPr>
          <w:b/>
        </w:rPr>
      </w:pPr>
    </w:p>
    <w:p>
      <w:pPr>
        <w:pStyle w:val="BodyText"/>
        <w:spacing w:before="3"/>
        <w:ind w:left="0"/>
        <w:rPr>
          <w:b/>
          <w:sz w:val="15"/>
        </w:rPr>
      </w:pPr>
    </w:p>
    <w:p>
      <w:pPr>
        <w:pStyle w:val="Heading1"/>
        <w:tabs>
          <w:tab w:pos="1361" w:val="left" w:leader="none"/>
        </w:tabs>
        <w:spacing w:before="1"/>
      </w:pPr>
      <w:bookmarkStart w:name="_TOC_250007" w:id="13"/>
      <w:r>
        <w:rPr/>
        <w:t>第十四条</w:t>
        <w:tab/>
      </w:r>
      <w:bookmarkEnd w:id="13"/>
      <w:r>
        <w:rPr>
          <w:w w:val="95"/>
        </w:rPr>
        <w:t>现金价值</w:t>
      </w:r>
    </w:p>
    <w:p>
      <w:pPr>
        <w:pStyle w:val="BodyText"/>
        <w:spacing w:before="11"/>
        <w:ind w:left="0"/>
        <w:rPr>
          <w:b/>
          <w:sz w:val="12"/>
        </w:rPr>
      </w:pPr>
    </w:p>
    <w:p>
      <w:pPr>
        <w:spacing w:line="103" w:lineRule="exact" w:before="0"/>
        <w:ind w:left="1979" w:right="106" w:firstLine="0"/>
        <w:jc w:val="center"/>
        <w:rPr>
          <w:b/>
          <w:sz w:val="12"/>
        </w:rPr>
      </w:pPr>
      <w:r>
        <w:rPr>
          <w:b/>
          <w:sz w:val="12"/>
        </w:rPr>
        <w:t>释义 18</w:t>
      </w:r>
    </w:p>
    <w:p>
      <w:pPr>
        <w:pStyle w:val="BodyText"/>
        <w:tabs>
          <w:tab w:pos="5546" w:val="left" w:leader="none"/>
        </w:tabs>
        <w:spacing w:line="182" w:lineRule="exact"/>
        <w:ind w:left="101"/>
      </w:pPr>
      <w:r>
        <w:rPr/>
        <w:t>我们会在保险单或批注上载明本附加合同保单年度末的</w:t>
      </w:r>
      <w:r>
        <w:rPr>
          <w:b/>
        </w:rPr>
        <w:t>现金价值</w:t>
        <w:tab/>
      </w:r>
      <w:r>
        <w:rPr>
          <w:spacing w:val="-1"/>
        </w:rPr>
        <w:t>。现</w:t>
      </w:r>
      <w:r>
        <w:rPr/>
        <w:t>金价值可能因</w:t>
      </w:r>
      <w:r>
        <w:rPr>
          <w:spacing w:val="-3"/>
        </w:rPr>
        <w:t>为</w:t>
      </w:r>
      <w:r>
        <w:rPr/>
        <w:t>其他条款的约定发</w:t>
      </w:r>
    </w:p>
    <w:p>
      <w:pPr>
        <w:tabs>
          <w:tab w:pos="1361" w:val="left" w:leader="none"/>
        </w:tabs>
        <w:spacing w:line="439" w:lineRule="auto" w:before="55"/>
        <w:ind w:left="101" w:right="3488" w:firstLine="0"/>
        <w:jc w:val="left"/>
        <w:rPr>
          <w:b/>
          <w:sz w:val="18"/>
        </w:rPr>
      </w:pPr>
      <w:r>
        <w:rPr>
          <w:sz w:val="18"/>
        </w:rPr>
        <w:t>生变更。如果您需要了解保单年度内的现金价值，可向我们查询。</w:t>
      </w:r>
      <w:r>
        <w:rPr>
          <w:b/>
          <w:sz w:val="18"/>
        </w:rPr>
        <w:t>第十五条</w:t>
        <w:tab/>
      </w:r>
      <w:r>
        <w:rPr>
          <w:b/>
          <w:w w:val="95"/>
          <w:sz w:val="18"/>
        </w:rPr>
        <w:t>减额交清</w:t>
      </w:r>
    </w:p>
    <w:p>
      <w:pPr>
        <w:pStyle w:val="BodyText"/>
        <w:spacing w:before="47"/>
        <w:ind w:left="101"/>
      </w:pPr>
      <w:r>
        <w:rPr/>
        <w:t>减额交清保险不适用于本附加合同。</w:t>
      </w:r>
    </w:p>
    <w:p>
      <w:pPr>
        <w:pStyle w:val="BodyText"/>
        <w:spacing w:before="2"/>
        <w:ind w:left="0"/>
        <w:rPr>
          <w:sz w:val="24"/>
        </w:rPr>
      </w:pPr>
    </w:p>
    <w:p>
      <w:pPr>
        <w:pStyle w:val="Heading1"/>
        <w:tabs>
          <w:tab w:pos="1799" w:val="left" w:leader="none"/>
        </w:tabs>
        <w:ind w:left="0" w:right="106"/>
        <w:jc w:val="center"/>
      </w:pPr>
      <w:bookmarkStart w:name="_TOC_250006" w:id="14"/>
      <w:r>
        <w:rPr/>
        <w:t>第六部分</w:t>
        <w:tab/>
      </w:r>
      <w:bookmarkEnd w:id="14"/>
      <w:r>
        <w:rPr>
          <w:w w:val="95"/>
        </w:rPr>
        <w:t>合同效力的终止</w:t>
      </w:r>
    </w:p>
    <w:p>
      <w:pPr>
        <w:pStyle w:val="BodyText"/>
        <w:ind w:left="0"/>
        <w:rPr>
          <w:b/>
        </w:rPr>
      </w:pPr>
    </w:p>
    <w:p>
      <w:pPr>
        <w:pStyle w:val="BodyText"/>
        <w:spacing w:before="4"/>
        <w:ind w:left="0"/>
        <w:rPr>
          <w:b/>
          <w:sz w:val="15"/>
        </w:rPr>
      </w:pPr>
    </w:p>
    <w:p>
      <w:pPr>
        <w:pStyle w:val="Heading1"/>
        <w:tabs>
          <w:tab w:pos="1361" w:val="left" w:leader="none"/>
        </w:tabs>
      </w:pPr>
      <w:bookmarkStart w:name="_TOC_250005" w:id="15"/>
      <w:r>
        <w:rPr/>
        <w:t>第十六条</w:t>
        <w:tab/>
      </w:r>
      <w:bookmarkEnd w:id="15"/>
      <w:r>
        <w:rPr>
          <w:w w:val="95"/>
        </w:rPr>
        <w:t>您主动解除合同的权利</w:t>
      </w:r>
    </w:p>
    <w:p>
      <w:pPr>
        <w:pStyle w:val="BodyText"/>
        <w:ind w:left="0"/>
        <w:rPr>
          <w:b/>
          <w:sz w:val="15"/>
        </w:rPr>
      </w:pPr>
    </w:p>
    <w:p>
      <w:pPr>
        <w:pStyle w:val="BodyText"/>
        <w:ind w:left="101"/>
      </w:pPr>
      <w:r>
        <w:rPr/>
        <w:t>本附加合同生效后，您可以书面通知我们要求解除本附加合同，并应提供下列证明和资料：</w:t>
      </w:r>
    </w:p>
    <w:p>
      <w:pPr>
        <w:pStyle w:val="BodyText"/>
        <w:spacing w:before="76"/>
        <w:ind w:left="101"/>
      </w:pPr>
      <w:r>
        <w:rPr/>
        <w:t>（</w:t>
      </w:r>
      <w:r>
        <w:rPr>
          <w:rFonts w:ascii="Times New Roman" w:eastAsia="Times New Roman"/>
        </w:rPr>
        <w:t>1</w:t>
      </w:r>
      <w:r>
        <w:rPr/>
        <w:t>）保险合同终止申请书；</w:t>
      </w:r>
    </w:p>
    <w:p>
      <w:pPr>
        <w:pStyle w:val="BodyText"/>
        <w:spacing w:before="62"/>
        <w:ind w:left="101"/>
      </w:pPr>
      <w:r>
        <w:rPr/>
        <w:t>（</w:t>
      </w:r>
      <w:r>
        <w:rPr>
          <w:rFonts w:ascii="Times New Roman" w:eastAsia="Times New Roman"/>
        </w:rPr>
        <w:t>2</w:t>
      </w:r>
      <w:r>
        <w:rPr/>
        <w:t>）保险合同原件；</w:t>
      </w:r>
    </w:p>
    <w:p>
      <w:pPr>
        <w:pStyle w:val="BodyText"/>
        <w:spacing w:before="62"/>
        <w:ind w:left="101"/>
      </w:pPr>
      <w:r>
        <w:rPr/>
        <w:t>（</w:t>
      </w:r>
      <w:r>
        <w:rPr>
          <w:rFonts w:ascii="Times New Roman" w:eastAsia="Times New Roman"/>
        </w:rPr>
        <w:t>3</w:t>
      </w:r>
      <w:r>
        <w:rPr/>
        <w:t>）您的身份证明复印件。</w:t>
      </w:r>
    </w:p>
    <w:p>
      <w:pPr>
        <w:pStyle w:val="BodyText"/>
        <w:spacing w:line="316" w:lineRule="auto" w:before="62"/>
        <w:ind w:left="101" w:right="208"/>
        <w:jc w:val="both"/>
      </w:pPr>
      <w:r>
        <w:rPr/>
        <w:t>如果您要求解除本附加合同，本附加合同所属的主合同将一并解除。本附加合同及其主合同的保险责任将自我们收到终止保险合同的书面申请之次日零时起终止。我们将于收到上述证明和资料之日起三十日内退还本附加合同及其主合同的现金价值。</w:t>
      </w:r>
    </w:p>
    <w:p>
      <w:pPr>
        <w:tabs>
          <w:tab w:pos="1361" w:val="left" w:leader="none"/>
        </w:tabs>
        <w:spacing w:line="439" w:lineRule="auto" w:before="18"/>
        <w:ind w:left="101" w:right="5648" w:firstLine="0"/>
        <w:jc w:val="left"/>
        <w:rPr>
          <w:b/>
          <w:sz w:val="18"/>
        </w:rPr>
      </w:pPr>
      <w:r>
        <w:rPr>
          <w:sz w:val="18"/>
        </w:rPr>
        <w:t>您犹豫期后解除合同会遭受一定损失。</w:t>
      </w:r>
      <w:r>
        <w:rPr>
          <w:b/>
          <w:sz w:val="18"/>
        </w:rPr>
        <w:t>第十七条</w:t>
        <w:tab/>
      </w:r>
      <w:r>
        <w:rPr>
          <w:b/>
          <w:w w:val="95"/>
          <w:sz w:val="18"/>
        </w:rPr>
        <w:t>合同效力的终止</w:t>
      </w:r>
    </w:p>
    <w:p>
      <w:pPr>
        <w:pStyle w:val="BodyText"/>
        <w:spacing w:before="46"/>
        <w:ind w:left="101"/>
      </w:pPr>
      <w:r>
        <w:rPr/>
        <w:t>本附加合同发生下列情况之一时将会自动终止：</w:t>
      </w:r>
    </w:p>
    <w:p>
      <w:pPr>
        <w:pStyle w:val="BodyText"/>
        <w:spacing w:before="76"/>
        <w:ind w:left="101"/>
      </w:pPr>
      <w:r>
        <w:rPr/>
        <w:t>（</w:t>
      </w:r>
      <w:r>
        <w:rPr>
          <w:rFonts w:ascii="Times New Roman" w:eastAsia="Times New Roman"/>
        </w:rPr>
        <w:t>1</w:t>
      </w:r>
      <w:r>
        <w:rPr/>
        <w:t>）主合同被撤销、解除，或发生其他效力终止的情况；</w:t>
      </w:r>
    </w:p>
    <w:p>
      <w:pPr>
        <w:pStyle w:val="BodyText"/>
        <w:spacing w:before="63"/>
        <w:ind w:left="101"/>
      </w:pPr>
      <w:r>
        <w:rPr/>
        <w:t>（</w:t>
      </w:r>
      <w:r>
        <w:rPr>
          <w:rFonts w:ascii="Times New Roman" w:eastAsia="Times New Roman"/>
        </w:rPr>
        <w:t>2</w:t>
      </w:r>
      <w:r>
        <w:rPr/>
        <w:t>）因出现本附加合同其他条款所列情况而终止。</w:t>
      </w:r>
    </w:p>
    <w:p>
      <w:pPr>
        <w:pStyle w:val="BodyText"/>
        <w:spacing w:before="1"/>
        <w:ind w:left="0"/>
        <w:rPr>
          <w:sz w:val="23"/>
        </w:rPr>
      </w:pPr>
    </w:p>
    <w:p>
      <w:pPr>
        <w:pStyle w:val="Heading1"/>
        <w:tabs>
          <w:tab w:pos="1799" w:val="left" w:leader="none"/>
        </w:tabs>
        <w:spacing w:before="1"/>
        <w:ind w:left="0" w:right="104"/>
        <w:jc w:val="center"/>
      </w:pPr>
      <w:bookmarkStart w:name="_TOC_250004" w:id="16"/>
      <w:r>
        <w:rPr/>
        <w:t>第七部分</w:t>
        <w:tab/>
      </w:r>
      <w:bookmarkEnd w:id="16"/>
      <w:r>
        <w:rPr>
          <w:w w:val="95"/>
        </w:rPr>
        <w:t>您必须了解的其他事项</w:t>
      </w:r>
    </w:p>
    <w:p>
      <w:pPr>
        <w:pStyle w:val="BodyText"/>
        <w:ind w:left="0"/>
        <w:rPr>
          <w:b/>
        </w:rPr>
      </w:pPr>
    </w:p>
    <w:p>
      <w:pPr>
        <w:pStyle w:val="BodyText"/>
        <w:spacing w:before="4"/>
        <w:ind w:left="0"/>
        <w:rPr>
          <w:b/>
          <w:sz w:val="15"/>
        </w:rPr>
      </w:pPr>
    </w:p>
    <w:p>
      <w:pPr>
        <w:pStyle w:val="Heading1"/>
        <w:tabs>
          <w:tab w:pos="1361" w:val="left" w:leader="none"/>
        </w:tabs>
      </w:pPr>
      <w:bookmarkStart w:name="_TOC_250003" w:id="17"/>
      <w:r>
        <w:rPr/>
        <w:t>第十八条</w:t>
        <w:tab/>
      </w:r>
      <w:bookmarkEnd w:id="17"/>
      <w:r>
        <w:rPr>
          <w:w w:val="95"/>
        </w:rPr>
        <w:t>明确说明与如实告知</w:t>
      </w:r>
    </w:p>
    <w:p>
      <w:pPr>
        <w:pStyle w:val="BodyText"/>
        <w:spacing w:before="12"/>
        <w:ind w:left="0"/>
        <w:rPr>
          <w:b/>
          <w:sz w:val="14"/>
        </w:rPr>
      </w:pPr>
    </w:p>
    <w:p>
      <w:pPr>
        <w:pStyle w:val="BodyText"/>
        <w:spacing w:line="316" w:lineRule="auto"/>
        <w:ind w:left="101" w:right="117"/>
      </w:pPr>
      <w:r>
        <w:rPr>
          <w:spacing w:val="-4"/>
        </w:rPr>
        <w:t>订立本附加合同时，我们应向您明确说明本附加合同的条款内容。对本附加合同条款中免除我们责任的条款， 我们在订立本附加合同时应当在投保单、保险单或者其他保险凭证上做出足以引起您注意的提示，并对该条</w:t>
      </w:r>
      <w:r>
        <w:rPr>
          <w:spacing w:val="-1"/>
        </w:rPr>
        <w:t>款的内容以书面或者口头形式向您做出明确说明，未作提示或者明确说明的，该条款不产生效力。</w:t>
      </w:r>
    </w:p>
    <w:p>
      <w:pPr>
        <w:pStyle w:val="BodyText"/>
        <w:spacing w:before="18"/>
        <w:ind w:left="101"/>
      </w:pPr>
      <w:r>
        <w:rPr/>
        <w:t>我们可以就您和被保险人的有关情况向您提出书面询问，您应当以书面方式如实告知。</w:t>
      </w:r>
    </w:p>
    <w:p>
      <w:pPr>
        <w:pStyle w:val="BodyText"/>
        <w:spacing w:line="316" w:lineRule="auto" w:before="76"/>
        <w:ind w:left="101" w:right="208"/>
      </w:pPr>
      <w:r>
        <w:rPr/>
        <w:t>您故意或者因重大过失未履行前款规定的如实告知义务，足以影响我们决定是否同意承保或者提高保险费率的，我们有权解除本附加合同。</w:t>
      </w:r>
    </w:p>
    <w:p>
      <w:pPr>
        <w:spacing w:after="0" w:line="316" w:lineRule="auto"/>
        <w:sectPr>
          <w:pgSz w:w="11960" w:h="16850"/>
          <w:pgMar w:header="0" w:footer="1001" w:top="1600" w:bottom="1200" w:left="1600" w:right="1540"/>
        </w:sectPr>
      </w:pPr>
    </w:p>
    <w:p>
      <w:pPr>
        <w:pStyle w:val="BodyText"/>
        <w:spacing w:line="316" w:lineRule="auto" w:before="112"/>
        <w:ind w:left="101" w:right="130"/>
      </w:pPr>
      <w:r>
        <w:rPr/>
        <w:t>您故意不履行如实告知义务，我们对于本附加合同解除前发生的保险事故，不承担赔偿或者给付保险金的责任，并不退还保险费。</w:t>
      </w:r>
    </w:p>
    <w:p>
      <w:pPr>
        <w:pStyle w:val="BodyText"/>
        <w:spacing w:line="316" w:lineRule="auto" w:before="19"/>
        <w:ind w:left="101" w:right="128"/>
      </w:pPr>
      <w:r>
        <w:rPr/>
        <w:t>您因重大过失没能履行如实告知义务，对保险事故的发生有严重影响的，我们对解除本附加合同前发生的保险事故，不承担赔偿或给付保险金的责任，但会退还您已交的保险费。</w:t>
      </w:r>
    </w:p>
    <w:p>
      <w:pPr>
        <w:pStyle w:val="Heading1"/>
        <w:tabs>
          <w:tab w:pos="1361" w:val="left" w:leader="none"/>
        </w:tabs>
        <w:spacing w:before="139"/>
      </w:pPr>
      <w:bookmarkStart w:name="_TOC_250002" w:id="18"/>
      <w:r>
        <w:rPr/>
        <w:t>第十九条</w:t>
        <w:tab/>
      </w:r>
      <w:bookmarkEnd w:id="18"/>
      <w:r>
        <w:rPr>
          <w:w w:val="95"/>
        </w:rPr>
        <w:t>本公司合同解除权的限制</w:t>
      </w:r>
    </w:p>
    <w:p>
      <w:pPr>
        <w:pStyle w:val="BodyText"/>
        <w:ind w:left="0"/>
        <w:rPr>
          <w:b/>
          <w:sz w:val="15"/>
        </w:rPr>
      </w:pPr>
    </w:p>
    <w:p>
      <w:pPr>
        <w:pStyle w:val="BodyText"/>
        <w:spacing w:line="300" w:lineRule="auto"/>
        <w:ind w:left="101" w:right="123"/>
      </w:pPr>
      <w:r>
        <w:rPr>
          <w:spacing w:val="-5"/>
        </w:rPr>
        <w:t>前条规定的合同解除权，自我们知道有解除事由之日起，超过 </w:t>
      </w:r>
      <w:r>
        <w:rPr>
          <w:rFonts w:ascii="Times New Roman" w:eastAsia="Times New Roman"/>
        </w:rPr>
        <w:t>30 </w:t>
      </w:r>
      <w:r>
        <w:rPr>
          <w:spacing w:val="-3"/>
        </w:rPr>
        <w:t>日不行使而消灭。自本附加合同成立之日起</w:t>
      </w:r>
      <w:r>
        <w:rPr>
          <w:spacing w:val="-1"/>
        </w:rPr>
        <w:t>超过两年的，我们不得解除合同；发生保险事故的，我们承担给付保险金的责任。</w:t>
      </w:r>
    </w:p>
    <w:p>
      <w:pPr>
        <w:pStyle w:val="BodyText"/>
        <w:spacing w:line="316" w:lineRule="auto" w:before="31"/>
        <w:ind w:left="101" w:right="128"/>
      </w:pPr>
      <w:r>
        <w:rPr/>
        <w:t>我们在合同订立时已经知道您未如实告知的情况的，我们不得解除合同；发生保险事故的，我们承担给付保险金的责任。</w:t>
      </w:r>
    </w:p>
    <w:p>
      <w:pPr>
        <w:pStyle w:val="Heading1"/>
        <w:tabs>
          <w:tab w:pos="1361" w:val="left" w:leader="none"/>
        </w:tabs>
        <w:spacing w:before="138"/>
      </w:pPr>
      <w:bookmarkStart w:name="_TOC_250001" w:id="19"/>
      <w:r>
        <w:rPr/>
        <w:t>第二十条</w:t>
        <w:tab/>
      </w:r>
      <w:bookmarkEnd w:id="19"/>
      <w:r>
        <w:rPr>
          <w:w w:val="95"/>
        </w:rPr>
        <w:t>未还款项</w:t>
      </w:r>
    </w:p>
    <w:p>
      <w:pPr>
        <w:pStyle w:val="BodyText"/>
        <w:spacing w:before="12"/>
        <w:ind w:left="0"/>
        <w:rPr>
          <w:b/>
          <w:sz w:val="14"/>
        </w:rPr>
      </w:pPr>
    </w:p>
    <w:p>
      <w:pPr>
        <w:pStyle w:val="BodyText"/>
        <w:spacing w:line="316" w:lineRule="auto"/>
        <w:ind w:left="101" w:right="123"/>
        <w:jc w:val="both"/>
      </w:pPr>
      <w:r>
        <w:rPr>
          <w:spacing w:val="-2"/>
        </w:rPr>
        <w:t>我们在给付各项保险金、红利</w:t>
      </w:r>
      <w:r>
        <w:rPr/>
        <w:t>（如适用者</w:t>
      </w:r>
      <w:r>
        <w:rPr>
          <w:spacing w:val="-92"/>
        </w:rPr>
        <w:t>）</w:t>
      </w:r>
      <w:r>
        <w:rPr>
          <w:spacing w:val="-3"/>
        </w:rPr>
        <w:t>、退还现金价值（</w:t>
      </w:r>
      <w:r>
        <w:rPr/>
        <w:t>如适用者</w:t>
      </w:r>
      <w:r>
        <w:rPr>
          <w:spacing w:val="-5"/>
        </w:rPr>
        <w:t>）</w:t>
      </w:r>
      <w:r>
        <w:rPr>
          <w:spacing w:val="-1"/>
        </w:rPr>
        <w:t>或返还保险费</w:t>
      </w:r>
      <w:r>
        <w:rPr/>
        <w:t>（</w:t>
      </w:r>
      <w:r>
        <w:rPr>
          <w:spacing w:val="-2"/>
        </w:rPr>
        <w:t>如适用者</w:t>
      </w:r>
      <w:r>
        <w:rPr>
          <w:spacing w:val="-5"/>
        </w:rPr>
        <w:t>）</w:t>
      </w:r>
      <w:r>
        <w:rPr>
          <w:spacing w:val="-2"/>
        </w:rPr>
        <w:t>时，如果您有欠交的保险费或其他未还清款项，我们会在扣除上述款项及累积利息后给付。如果我们按照所有已交的</w:t>
      </w:r>
      <w:r>
        <w:rPr>
          <w:spacing w:val="-1"/>
        </w:rPr>
        <w:t>保险费给付保险金，我们不会重复扣除您欠交的保险费。</w:t>
      </w:r>
    </w:p>
    <w:p>
      <w:pPr>
        <w:pStyle w:val="BodyText"/>
        <w:spacing w:before="9"/>
        <w:ind w:left="0"/>
        <w:rPr>
          <w:sz w:val="19"/>
        </w:rPr>
      </w:pPr>
    </w:p>
    <w:p>
      <w:pPr>
        <w:pStyle w:val="Heading1"/>
        <w:tabs>
          <w:tab w:pos="5071" w:val="left" w:leader="none"/>
        </w:tabs>
        <w:ind w:left="3271"/>
      </w:pPr>
      <w:bookmarkStart w:name="_TOC_250000" w:id="20"/>
      <w:r>
        <w:rPr/>
        <w:t>第八部分</w:t>
        <w:tab/>
      </w:r>
      <w:bookmarkEnd w:id="20"/>
      <w:r>
        <w:rPr>
          <w:w w:val="95"/>
        </w:rPr>
        <w:t>释义</w:t>
      </w:r>
    </w:p>
    <w:p>
      <w:pPr>
        <w:pStyle w:val="BodyText"/>
        <w:spacing w:before="2"/>
        <w:ind w:left="0"/>
        <w:rPr>
          <w:b/>
          <w:sz w:val="21"/>
        </w:rPr>
      </w:pPr>
    </w:p>
    <w:p>
      <w:pPr>
        <w:pStyle w:val="BodyText"/>
        <w:tabs>
          <w:tab w:pos="2340" w:val="left" w:leader="none"/>
        </w:tabs>
        <w:ind w:left="101"/>
      </w:pPr>
      <w:r>
        <w:rPr/>
        <w:t>释义</w:t>
      </w:r>
      <w:r>
        <w:rPr>
          <w:spacing w:val="-45"/>
        </w:rPr>
        <w:t> </w:t>
      </w:r>
      <w:r>
        <w:rPr/>
        <w:t>1、周岁</w:t>
        <w:tab/>
        <w:t>:</w:t>
      </w:r>
      <w:r>
        <w:rPr>
          <w:spacing w:val="17"/>
        </w:rPr>
        <w:t> </w:t>
      </w:r>
      <w:r>
        <w:rPr/>
        <w:t>以法定身份证明文件中记载的出生日期为计算基础计算的年龄。</w:t>
      </w:r>
    </w:p>
    <w:p>
      <w:pPr>
        <w:pStyle w:val="BodyText"/>
        <w:spacing w:line="237" w:lineRule="auto" w:before="6"/>
        <w:ind w:right="69" w:hanging="2439"/>
      </w:pPr>
      <w:r>
        <w:rPr/>
        <w:t>释义 2、本附加合同生效日 : 是指在我们同意承保、签发保险合同并收到您交付的首期保险费的条件下，本附加合同开始生效的日期。此日期载明于保险合同首页上。</w:t>
      </w:r>
    </w:p>
    <w:p>
      <w:pPr>
        <w:pStyle w:val="BodyText"/>
        <w:tabs>
          <w:tab w:pos="2340" w:val="left" w:leader="none"/>
        </w:tabs>
        <w:spacing w:line="237" w:lineRule="auto" w:before="2"/>
        <w:ind w:right="111" w:hanging="2439"/>
      </w:pPr>
      <w:r>
        <w:rPr/>
        <w:t>释义</w:t>
      </w:r>
      <w:r>
        <w:rPr>
          <w:spacing w:val="-45"/>
        </w:rPr>
        <w:t> </w:t>
      </w:r>
      <w:r>
        <w:rPr/>
        <w:t>3、发病</w:t>
        <w:tab/>
        <w:t>:</w:t>
      </w:r>
      <w:r>
        <w:rPr>
          <w:spacing w:val="17"/>
        </w:rPr>
        <w:t> </w:t>
      </w:r>
      <w:r>
        <w:rPr/>
        <w:t>指被保险人出现本附加合同所界定疾病的前兆或异常的身体状况</w:t>
      </w:r>
      <w:r>
        <w:rPr>
          <w:spacing w:val="-41"/>
        </w:rPr>
        <w:t>，</w:t>
      </w:r>
      <w:r>
        <w:rPr/>
        <w:t>或已经显现</w:t>
      </w:r>
      <w:r>
        <w:rPr>
          <w:spacing w:val="-1"/>
        </w:rPr>
        <w:t>足以使</w:t>
      </w:r>
      <w:r>
        <w:rPr/>
        <w:t>一般人士引起注意并寻求诊断、治疗或护理的病症。</w:t>
      </w:r>
    </w:p>
    <w:p>
      <w:pPr>
        <w:pStyle w:val="BodyText"/>
        <w:tabs>
          <w:tab w:pos="2340" w:val="left" w:leader="none"/>
        </w:tabs>
        <w:spacing w:line="237" w:lineRule="auto" w:before="2"/>
        <w:ind w:right="111" w:hanging="2439"/>
      </w:pPr>
      <w:r>
        <w:rPr/>
        <w:t>释义</w:t>
      </w:r>
      <w:r>
        <w:rPr>
          <w:spacing w:val="-45"/>
        </w:rPr>
        <w:t> </w:t>
      </w:r>
      <w:r>
        <w:rPr/>
        <w:t>4、医生</w:t>
        <w:tab/>
        <w:t>:</w:t>
      </w:r>
      <w:r>
        <w:rPr>
          <w:spacing w:val="17"/>
        </w:rPr>
        <w:t> </w:t>
      </w:r>
      <w:r>
        <w:rPr/>
        <w:t>是指接受过高等医学教育和长期从事医疗卫生工作</w:t>
      </w:r>
      <w:r>
        <w:rPr>
          <w:spacing w:val="-41"/>
        </w:rPr>
        <w:t>，</w:t>
      </w:r>
      <w:r>
        <w:rPr/>
        <w:t>且为本附加合同所界定的</w:t>
      </w:r>
      <w:r>
        <w:rPr>
          <w:spacing w:val="-1"/>
        </w:rPr>
        <w:t>医院之正</w:t>
      </w:r>
      <w:r>
        <w:rPr/>
        <w:t>式注册医生，但不包括被保险人本人及其直系亲属。</w:t>
      </w:r>
    </w:p>
    <w:p>
      <w:pPr>
        <w:pStyle w:val="BodyText"/>
        <w:tabs>
          <w:tab w:pos="2340" w:val="left" w:leader="none"/>
        </w:tabs>
        <w:spacing w:line="237" w:lineRule="auto" w:before="2"/>
        <w:ind w:right="108" w:hanging="2439"/>
      </w:pPr>
      <w:r>
        <w:rPr/>
        <w:t>释义</w:t>
      </w:r>
      <w:r>
        <w:rPr>
          <w:spacing w:val="-45"/>
        </w:rPr>
        <w:t> </w:t>
      </w:r>
      <w:r>
        <w:rPr/>
        <w:t>5、意外伤害事故</w:t>
        <w:tab/>
        <w:t>:</w:t>
      </w:r>
      <w:r>
        <w:rPr>
          <w:spacing w:val="15"/>
        </w:rPr>
        <w:t> </w:t>
      </w:r>
      <w:r>
        <w:rPr/>
        <w:t>是指外来的</w:t>
      </w:r>
      <w:r>
        <w:rPr>
          <w:spacing w:val="-10"/>
        </w:rPr>
        <w:t>、</w:t>
      </w:r>
      <w:r>
        <w:rPr/>
        <w:t>突发的</w:t>
      </w:r>
      <w:r>
        <w:rPr>
          <w:spacing w:val="-10"/>
        </w:rPr>
        <w:t>、</w:t>
      </w:r>
      <w:r>
        <w:rPr/>
        <w:t>非本意的</w:t>
      </w:r>
      <w:r>
        <w:rPr>
          <w:spacing w:val="-10"/>
        </w:rPr>
        <w:t>、</w:t>
      </w:r>
      <w:r>
        <w:rPr/>
        <w:t>非疾病引起的</w:t>
      </w:r>
      <w:r>
        <w:rPr>
          <w:spacing w:val="-10"/>
        </w:rPr>
        <w:t>，</w:t>
      </w:r>
      <w:r>
        <w:rPr/>
        <w:t>并以此为直接且单独的原因</w:t>
      </w:r>
      <w:r>
        <w:rPr>
          <w:spacing w:val="-1"/>
        </w:rPr>
        <w:t>使</w:t>
      </w:r>
      <w:r>
        <w:rPr/>
        <w:t>身体受到伤害的客观事件。</w:t>
      </w:r>
    </w:p>
    <w:p>
      <w:pPr>
        <w:pStyle w:val="BodyText"/>
        <w:tabs>
          <w:tab w:pos="2340" w:val="left" w:leader="none"/>
        </w:tabs>
        <w:spacing w:line="237" w:lineRule="auto" w:before="2"/>
        <w:ind w:right="109" w:hanging="2439"/>
        <w:jc w:val="both"/>
      </w:pPr>
      <w:r>
        <w:rPr/>
        <w:t>释义</w:t>
      </w:r>
      <w:r>
        <w:rPr>
          <w:spacing w:val="-45"/>
        </w:rPr>
        <w:t> </w:t>
      </w:r>
      <w:r>
        <w:rPr/>
        <w:t>6、毒品</w:t>
        <w:tab/>
        <w:t>:</w:t>
      </w:r>
      <w:r>
        <w:rPr>
          <w:spacing w:val="60"/>
        </w:rPr>
        <w:t> </w:t>
      </w:r>
      <w:r>
        <w:rPr/>
        <w:t>指中华人民共和国刑法规定的鸦片、海洛因、甲基苯丙胺（冰毒</w:t>
      </w:r>
      <w:r>
        <w:rPr>
          <w:spacing w:val="-89"/>
        </w:rPr>
        <w:t>）</w:t>
      </w:r>
      <w:r>
        <w:rPr/>
        <w:t>、吗啡、大</w:t>
      </w:r>
      <w:r>
        <w:rPr>
          <w:spacing w:val="2"/>
        </w:rPr>
        <w:t>麻、可卡因以及</w:t>
      </w:r>
      <w:r>
        <w:rPr/>
        <w:t>国</w:t>
      </w:r>
      <w:r>
        <w:rPr>
          <w:spacing w:val="2"/>
        </w:rPr>
        <w:t>家规定管</w:t>
      </w:r>
      <w:r>
        <w:rPr/>
        <w:t>制</w:t>
      </w:r>
      <w:r>
        <w:rPr>
          <w:spacing w:val="2"/>
        </w:rPr>
        <w:t>的其他能够使人</w:t>
      </w:r>
      <w:r>
        <w:rPr/>
        <w:t>形</w:t>
      </w:r>
      <w:r>
        <w:rPr>
          <w:spacing w:val="2"/>
        </w:rPr>
        <w:t>成瘾癖的</w:t>
      </w:r>
      <w:r>
        <w:rPr/>
        <w:t>麻</w:t>
      </w:r>
      <w:r>
        <w:rPr>
          <w:spacing w:val="2"/>
        </w:rPr>
        <w:t>醉药品和精神</w:t>
      </w:r>
      <w:r>
        <w:rPr/>
        <w:t>药品</w:t>
      </w:r>
      <w:r>
        <w:rPr>
          <w:spacing w:val="-41"/>
        </w:rPr>
        <w:t>，</w:t>
      </w:r>
      <w:r>
        <w:rPr/>
        <w:t>但不包括由医生开具并遵医嘱使用的用于治疗疾病的含有毒品成分的处方</w:t>
      </w:r>
      <w:r>
        <w:rPr>
          <w:spacing w:val="-1"/>
        </w:rPr>
        <w:t>药</w:t>
      </w:r>
      <w:r>
        <w:rPr/>
        <w:t>品。</w:t>
      </w:r>
    </w:p>
    <w:p>
      <w:pPr>
        <w:pStyle w:val="BodyText"/>
        <w:spacing w:line="237" w:lineRule="auto" w:before="2"/>
        <w:ind w:right="109" w:hanging="2439"/>
        <w:jc w:val="both"/>
      </w:pPr>
      <w:r>
        <w:rPr>
          <w:spacing w:val="-16"/>
        </w:rPr>
        <w:t>释义 </w:t>
      </w:r>
      <w:r>
        <w:rPr/>
        <w:t>7</w:t>
      </w:r>
      <w:r>
        <w:rPr>
          <w:spacing w:val="-2"/>
        </w:rPr>
        <w:t>、酒后驾驶        : 指经检测或鉴定，发生保险事故时车辆驾驶人员每百毫升血液中的酒精含量达</w:t>
      </w:r>
      <w:r>
        <w:rPr>
          <w:spacing w:val="-6"/>
        </w:rPr>
        <w:t>到或超过一定的标准，公安机关交通管理部门依据《道路交通安全法》的规定</w:t>
      </w:r>
      <w:r>
        <w:rPr>
          <w:spacing w:val="-1"/>
        </w:rPr>
        <w:t>认定为饮酒后驾驶或醉酒后驾驶。</w:t>
      </w:r>
    </w:p>
    <w:p>
      <w:pPr>
        <w:pStyle w:val="BodyText"/>
        <w:spacing w:line="233" w:lineRule="exact"/>
        <w:ind w:left="101"/>
      </w:pPr>
      <w:r>
        <w:rPr/>
        <w:t>释义 8、无合法有效驾驶证: 指下列情形之一：</w:t>
      </w:r>
    </w:p>
    <w:p>
      <w:pPr>
        <w:pStyle w:val="BodyText"/>
        <w:tabs>
          <w:tab w:pos="2539" w:val="left" w:leader="none"/>
        </w:tabs>
        <w:spacing w:line="234" w:lineRule="exact"/>
        <w:ind w:left="101"/>
      </w:pPr>
      <w:r>
        <w:rPr/>
        <w:t>驾驶</w:t>
        <w:tab/>
      </w:r>
      <w:r>
        <w:rPr>
          <w:spacing w:val="-1"/>
        </w:rPr>
        <w:t>1</w:t>
      </w:r>
      <w:r>
        <w:rPr/>
        <w:t>、没有驾驶证驾驶；</w:t>
      </w:r>
    </w:p>
    <w:p>
      <w:pPr>
        <w:pStyle w:val="BodyText"/>
        <w:spacing w:line="234" w:lineRule="exact"/>
      </w:pPr>
      <w:r>
        <w:rPr/>
        <w:t>2、驾驶与驾驶证准驾车型不相符合的车辆；</w:t>
      </w:r>
    </w:p>
    <w:p>
      <w:pPr>
        <w:pStyle w:val="BodyText"/>
        <w:spacing w:line="234" w:lineRule="exact"/>
      </w:pPr>
      <w:r>
        <w:rPr/>
        <w:t>3、驾驶员持审验不合格的驾驶证驾驶；</w:t>
      </w:r>
    </w:p>
    <w:p>
      <w:pPr>
        <w:pStyle w:val="BodyText"/>
        <w:spacing w:line="234" w:lineRule="exact"/>
      </w:pPr>
      <w:r>
        <w:rPr/>
        <w:t>4、未经公安交通管理部门同意，持未审验的驾驶证驾驶；</w:t>
      </w:r>
    </w:p>
    <w:p>
      <w:pPr>
        <w:pStyle w:val="BodyText"/>
        <w:spacing w:line="237" w:lineRule="auto" w:before="2"/>
        <w:ind w:right="109"/>
      </w:pPr>
      <w:r>
        <w:rPr/>
        <w:t>5、持学习驾驶证学习驾车时，无教练员随车指导，或不按指定时间、路线学习驾车；</w:t>
      </w:r>
    </w:p>
    <w:p>
      <w:pPr>
        <w:pStyle w:val="BodyText"/>
        <w:spacing w:line="235" w:lineRule="exact"/>
      </w:pPr>
      <w:r>
        <w:rPr/>
        <w:t>6、公安交通管理部门规定的其他无有效驾驶证驾驶的情况。</w:t>
      </w:r>
    </w:p>
    <w:p>
      <w:pPr>
        <w:pStyle w:val="BodyText"/>
        <w:tabs>
          <w:tab w:pos="2340" w:val="left" w:leader="none"/>
        </w:tabs>
        <w:spacing w:line="233" w:lineRule="exact"/>
        <w:ind w:left="101"/>
      </w:pPr>
      <w:r>
        <w:rPr/>
        <w:t>释义</w:t>
      </w:r>
      <w:r>
        <w:rPr>
          <w:spacing w:val="-45"/>
        </w:rPr>
        <w:t> </w:t>
      </w:r>
      <w:r>
        <w:rPr/>
        <w:t>9、无有效行驶证</w:t>
        <w:tab/>
        <w:t>:</w:t>
      </w:r>
      <w:r>
        <w:rPr>
          <w:spacing w:val="17"/>
        </w:rPr>
        <w:t> </w:t>
      </w:r>
      <w:r>
        <w:rPr/>
        <w:t>指下列情形之一：</w:t>
      </w:r>
    </w:p>
    <w:p>
      <w:pPr>
        <w:pStyle w:val="BodyText"/>
        <w:spacing w:line="234" w:lineRule="exact"/>
      </w:pPr>
      <w:r>
        <w:rPr/>
        <w:t>1、机动车被依法注销登记的；</w:t>
      </w:r>
    </w:p>
    <w:p>
      <w:pPr>
        <w:pStyle w:val="BodyText"/>
        <w:spacing w:line="234" w:lineRule="exact"/>
      </w:pPr>
      <w:r>
        <w:rPr/>
        <w:t>2、未依法按时进行或通过机动车安全技术检验。</w:t>
      </w:r>
    </w:p>
    <w:p>
      <w:pPr>
        <w:pStyle w:val="BodyText"/>
        <w:tabs>
          <w:tab w:pos="2340" w:val="left" w:leader="none"/>
        </w:tabs>
        <w:spacing w:line="244" w:lineRule="auto"/>
        <w:ind w:left="101" w:right="202"/>
      </w:pPr>
      <w:r>
        <w:rPr/>
        <w:t>释义</w:t>
      </w:r>
      <w:r>
        <w:rPr>
          <w:spacing w:val="-45"/>
        </w:rPr>
        <w:t> </w:t>
      </w:r>
      <w:r>
        <w:rPr/>
        <w:t>10、艾滋病</w:t>
        <w:tab/>
        <w:t>:</w:t>
      </w:r>
      <w:r>
        <w:rPr>
          <w:spacing w:val="17"/>
        </w:rPr>
        <w:t> </w:t>
      </w:r>
      <w:r>
        <w:rPr/>
        <w:t>指人类免疫缺陷病毒引起的获得性免疫缺陷综合征简称，英文缩写为</w:t>
      </w:r>
      <w:r>
        <w:rPr>
          <w:spacing w:val="-46"/>
        </w:rPr>
        <w:t> </w:t>
      </w:r>
      <w:r>
        <w:rPr/>
        <w:t>AIDS。释义</w:t>
      </w:r>
      <w:r>
        <w:rPr>
          <w:spacing w:val="-45"/>
        </w:rPr>
        <w:t> </w:t>
      </w:r>
      <w:r>
        <w:rPr/>
        <w:t>11、艾滋病病毒</w:t>
        <w:tab/>
        <w:t>:</w:t>
      </w:r>
      <w:r>
        <w:rPr>
          <w:spacing w:val="18"/>
        </w:rPr>
        <w:t> </w:t>
      </w:r>
      <w:r>
        <w:rPr/>
        <w:t>指人类免疫缺陷病毒,英文缩写为</w:t>
      </w:r>
      <w:r>
        <w:rPr>
          <w:spacing w:val="-45"/>
        </w:rPr>
        <w:t> </w:t>
      </w:r>
      <w:r>
        <w:rPr/>
        <w:t>HIV。</w:t>
      </w:r>
    </w:p>
    <w:p>
      <w:pPr>
        <w:pStyle w:val="BodyText"/>
        <w:tabs>
          <w:tab w:pos="2340" w:val="left" w:leader="none"/>
        </w:tabs>
        <w:spacing w:line="237" w:lineRule="auto" w:before="3"/>
        <w:ind w:right="111" w:hanging="2439"/>
      </w:pPr>
      <w:r>
        <w:rPr/>
        <w:t>释义</w:t>
      </w:r>
      <w:r>
        <w:rPr>
          <w:spacing w:val="-45"/>
        </w:rPr>
        <w:t> </w:t>
      </w:r>
      <w:r>
        <w:rPr/>
        <w:t>12、遗传性疾病</w:t>
        <w:tab/>
        <w:t>:</w:t>
      </w:r>
      <w:r>
        <w:rPr>
          <w:spacing w:val="16"/>
        </w:rPr>
        <w:t> </w:t>
      </w:r>
      <w:r>
        <w:rPr/>
        <w:t>指生殖细胞或受精卵的遗传物</w:t>
      </w:r>
      <w:r>
        <w:rPr>
          <w:spacing w:val="-20"/>
        </w:rPr>
        <w:t>质</w:t>
      </w:r>
      <w:r>
        <w:rPr/>
        <w:t>（染色体和基因</w:t>
      </w:r>
      <w:r>
        <w:rPr>
          <w:spacing w:val="-20"/>
        </w:rPr>
        <w:t>）</w:t>
      </w:r>
      <w:r>
        <w:rPr/>
        <w:t>发生突</w:t>
      </w:r>
      <w:r>
        <w:rPr>
          <w:spacing w:val="-3"/>
        </w:rPr>
        <w:t>变</w:t>
      </w:r>
      <w:r>
        <w:rPr/>
        <w:t>或畸变所引起的疾</w:t>
      </w:r>
      <w:r>
        <w:rPr>
          <w:spacing w:val="-1"/>
        </w:rPr>
        <w:t>病，通</w:t>
      </w:r>
      <w:r>
        <w:rPr/>
        <w:t>常具有由亲代传至后代的垂直传递的特征。</w:t>
      </w:r>
    </w:p>
    <w:p>
      <w:pPr>
        <w:pStyle w:val="BodyText"/>
        <w:spacing w:line="235" w:lineRule="exact"/>
        <w:ind w:left="101"/>
      </w:pPr>
      <w:r>
        <w:rPr/>
        <w:t>释义 13、先天性畸形、变形: 指被保险人出生时就具有的畸形、变形或染色体异常。先天性畸形、变形和染</w:t>
      </w:r>
    </w:p>
    <w:p>
      <w:pPr>
        <w:pStyle w:val="BodyText"/>
        <w:tabs>
          <w:tab w:pos="2539" w:val="left" w:leader="none"/>
        </w:tabs>
        <w:spacing w:line="233" w:lineRule="exact"/>
        <w:ind w:left="101"/>
      </w:pPr>
      <w:r>
        <w:rPr/>
        <w:t>或染色体异常</w:t>
        <w:tab/>
      </w:r>
      <w:r>
        <w:rPr>
          <w:spacing w:val="-1"/>
        </w:rPr>
        <w:t>色</w:t>
      </w:r>
      <w:r>
        <w:rPr/>
        <w:t>体异常依照世界卫生组</w:t>
      </w:r>
      <w:r>
        <w:rPr>
          <w:spacing w:val="-41"/>
        </w:rPr>
        <w:t>织</w:t>
      </w:r>
      <w:r>
        <w:rPr/>
        <w:t>《疾病和有关健康问题的国际统计分类</w:t>
      </w:r>
      <w:r>
        <w:rPr>
          <w:spacing w:val="-92"/>
        </w:rPr>
        <w:t>》</w:t>
      </w:r>
      <w:r>
        <w:rPr/>
        <w:t>（ICD-10</w:t>
      </w:r>
    </w:p>
    <w:p>
      <w:pPr>
        <w:spacing w:after="0" w:line="233" w:lineRule="exact"/>
        <w:sectPr>
          <w:pgSz w:w="11960" w:h="16850"/>
          <w:pgMar w:header="0" w:footer="1001" w:top="1600" w:bottom="1200" w:left="1600" w:right="1620"/>
        </w:sectPr>
      </w:pPr>
    </w:p>
    <w:p>
      <w:pPr>
        <w:pStyle w:val="BodyText"/>
        <w:spacing w:before="73"/>
      </w:pPr>
      <w:r>
        <w:rPr/>
        <w:t>确定。</w:t>
      </w:r>
    </w:p>
    <w:p>
      <w:pPr>
        <w:pStyle w:val="BodyText"/>
        <w:spacing w:before="4"/>
        <w:ind w:left="101"/>
      </w:pPr>
      <w:r>
        <w:rPr/>
        <w:t>释义 14、我们指定或认可的: 1、我们将在批注中列明指定的医院名单，并保留对上述医院名单做出调整的</w:t>
      </w:r>
    </w:p>
    <w:p>
      <w:pPr>
        <w:pStyle w:val="BodyText"/>
        <w:tabs>
          <w:tab w:pos="2539" w:val="left" w:leader="none"/>
        </w:tabs>
        <w:ind w:right="189" w:hanging="2439"/>
      </w:pPr>
      <w:r>
        <w:rPr/>
        <w:t>医院</w:t>
        <w:tab/>
      </w:r>
      <w:r>
        <w:rPr>
          <w:spacing w:val="-1"/>
        </w:rPr>
        <w:t>权利</w:t>
      </w:r>
      <w:r>
        <w:rPr>
          <w:spacing w:val="-20"/>
        </w:rPr>
        <w:t>。</w:t>
      </w:r>
      <w:r>
        <w:rPr/>
        <w:t>我们指定的医院范围将以最新调整的医院名单范围为准</w:t>
      </w:r>
      <w:r>
        <w:rPr>
          <w:spacing w:val="-20"/>
        </w:rPr>
        <w:t>，</w:t>
      </w:r>
      <w:r>
        <w:rPr/>
        <w:t>该名单可通过</w:t>
      </w:r>
      <w:r>
        <w:rPr>
          <w:spacing w:val="-1"/>
        </w:rPr>
        <w:t>本</w:t>
      </w:r>
      <w:r>
        <w:rPr/>
        <w:t>公司网站和客户服务电话查询。</w:t>
      </w:r>
    </w:p>
    <w:p>
      <w:pPr>
        <w:pStyle w:val="BodyText"/>
        <w:ind w:right="189"/>
      </w:pPr>
      <w:r>
        <w:rPr/>
        <w:t>2、我们指定的医院均指医院本院，不包括所属的指导或教学医院分院、社区医疗服务点、外设门诊部及合作医院。</w:t>
      </w:r>
    </w:p>
    <w:p>
      <w:pPr>
        <w:pStyle w:val="BodyText"/>
        <w:ind w:right="189"/>
      </w:pPr>
      <w:r>
        <w:rPr/>
        <w:t>3、如果被保险人因紧急情况需要就近抢救，可不受我们指定医院的限制，但病情稳定后应转入我们指定的医院。</w:t>
      </w:r>
    </w:p>
    <w:p>
      <w:pPr>
        <w:pStyle w:val="BodyText"/>
        <w:ind w:right="189"/>
      </w:pPr>
      <w:r>
        <w:rPr/>
        <w:t>4、如果被保险人在批注中列明医院所在地以外的地区就诊，须选择我们认可的医院。其标准须符合本附加合同中对“医院”的释义。</w:t>
      </w:r>
    </w:p>
    <w:p>
      <w:pPr>
        <w:pStyle w:val="BodyText"/>
        <w:ind w:right="191"/>
      </w:pPr>
      <w:r>
        <w:rPr/>
        <w:t>5、如果本保险合同中无指定医院名单批注，被保险人就诊须选择我们认可的医院。其标准须符合本附加合同中对“医院”的释义。</w:t>
      </w:r>
    </w:p>
    <w:p>
      <w:pPr>
        <w:pStyle w:val="BodyText"/>
        <w:tabs>
          <w:tab w:pos="2340" w:val="left" w:leader="none"/>
        </w:tabs>
        <w:spacing w:line="237" w:lineRule="auto" w:before="2"/>
        <w:ind w:right="191" w:hanging="2439"/>
      </w:pPr>
      <w:r>
        <w:rPr/>
        <w:t>释义</w:t>
      </w:r>
      <w:r>
        <w:rPr>
          <w:spacing w:val="-45"/>
        </w:rPr>
        <w:t> </w:t>
      </w:r>
      <w:r>
        <w:rPr/>
        <w:t>15、医院</w:t>
        <w:tab/>
        <w:t>:</w:t>
      </w:r>
      <w:r>
        <w:rPr>
          <w:spacing w:val="51"/>
        </w:rPr>
        <w:t> </w:t>
      </w:r>
      <w:r>
        <w:rPr>
          <w:spacing w:val="2"/>
        </w:rPr>
        <w:t>是指经中华人民</w:t>
      </w:r>
      <w:r>
        <w:rPr/>
        <w:t>共</w:t>
      </w:r>
      <w:r>
        <w:rPr>
          <w:spacing w:val="2"/>
        </w:rPr>
        <w:t>和国卫生</w:t>
      </w:r>
      <w:r>
        <w:rPr/>
        <w:t>部</w:t>
      </w:r>
      <w:r>
        <w:rPr>
          <w:spacing w:val="2"/>
        </w:rPr>
        <w:t>门正式评定的二</w:t>
      </w:r>
      <w:r>
        <w:rPr/>
        <w:t>级</w:t>
      </w:r>
      <w:r>
        <w:rPr>
          <w:spacing w:val="2"/>
        </w:rPr>
        <w:t>或二级以</w:t>
      </w:r>
      <w:r>
        <w:rPr/>
        <w:t>上</w:t>
      </w:r>
      <w:r>
        <w:rPr>
          <w:spacing w:val="2"/>
        </w:rPr>
        <w:t>的综合性医院</w:t>
      </w:r>
      <w:r>
        <w:rPr/>
        <w:t>或专科医院</w:t>
      </w:r>
      <w:r>
        <w:rPr>
          <w:spacing w:val="-8"/>
        </w:rPr>
        <w:t>，</w:t>
      </w:r>
      <w:r>
        <w:rPr/>
        <w:t>但不包括专供康复</w:t>
      </w:r>
      <w:r>
        <w:rPr>
          <w:spacing w:val="-8"/>
        </w:rPr>
        <w:t>、</w:t>
      </w:r>
      <w:r>
        <w:rPr/>
        <w:t>休养</w:t>
      </w:r>
      <w:r>
        <w:rPr>
          <w:spacing w:val="-8"/>
        </w:rPr>
        <w:t>、</w:t>
      </w:r>
      <w:r>
        <w:rPr/>
        <w:t>戒毒</w:t>
      </w:r>
      <w:r>
        <w:rPr>
          <w:spacing w:val="-8"/>
        </w:rPr>
        <w:t>、</w:t>
      </w:r>
      <w:r>
        <w:rPr/>
        <w:t>戒酒</w:t>
      </w:r>
      <w:r>
        <w:rPr>
          <w:spacing w:val="-8"/>
        </w:rPr>
        <w:t>、</w:t>
      </w:r>
      <w:r>
        <w:rPr/>
        <w:t>护理</w:t>
      </w:r>
      <w:r>
        <w:rPr>
          <w:spacing w:val="-5"/>
        </w:rPr>
        <w:t>、</w:t>
      </w:r>
      <w:r>
        <w:rPr/>
        <w:t>养老等非以直接诊治病人为目的的医疗机构</w:t>
      </w:r>
      <w:r>
        <w:rPr>
          <w:spacing w:val="-41"/>
        </w:rPr>
        <w:t>。</w:t>
      </w:r>
      <w:r>
        <w:rPr/>
        <w:t>该医院必须符合国家有关医院管理规则设置标准的医疗设备，且全天二十四小时有合格医师及护士驻院提供医疗和护理服务。若国家有关部门对于医院的评级标准有更改或取消</w:t>
      </w:r>
      <w:r>
        <w:rPr>
          <w:spacing w:val="-41"/>
        </w:rPr>
        <w:t>，</w:t>
      </w:r>
      <w:r>
        <w:rPr/>
        <w:t>我们保留调整医院定义的</w:t>
      </w:r>
      <w:r>
        <w:rPr>
          <w:spacing w:val="-1"/>
        </w:rPr>
        <w:t>权</w:t>
      </w:r>
      <w:r>
        <w:rPr/>
        <w:t>利。</w:t>
      </w:r>
    </w:p>
    <w:p>
      <w:pPr>
        <w:pStyle w:val="BodyText"/>
        <w:tabs>
          <w:tab w:pos="2340" w:val="left" w:leader="none"/>
        </w:tabs>
        <w:spacing w:line="244" w:lineRule="auto"/>
        <w:ind w:left="101" w:right="2490"/>
      </w:pPr>
      <w:r>
        <w:rPr/>
        <w:t>释义</w:t>
      </w:r>
      <w:r>
        <w:rPr>
          <w:spacing w:val="-45"/>
        </w:rPr>
        <w:t> </w:t>
      </w:r>
      <w:r>
        <w:rPr/>
        <w:t>16、保险事故</w:t>
        <w:tab/>
        <w:t>:</w:t>
      </w:r>
      <w:r>
        <w:rPr>
          <w:spacing w:val="17"/>
        </w:rPr>
        <w:t> </w:t>
      </w:r>
      <w:r>
        <w:rPr/>
        <w:t>是指本附加合同约定的保险责任范围内的事故。释义</w:t>
      </w:r>
      <w:r>
        <w:rPr>
          <w:spacing w:val="-45"/>
        </w:rPr>
        <w:t> </w:t>
      </w:r>
      <w:r>
        <w:rPr/>
        <w:t>17、保险合同周年日</w:t>
        <w:tab/>
        <w:t>:</w:t>
      </w:r>
      <w:r>
        <w:rPr>
          <w:spacing w:val="17"/>
        </w:rPr>
        <w:t> </w:t>
      </w:r>
      <w:r>
        <w:rPr/>
        <w:t>是指主合同生效日起的周年日期。</w:t>
      </w:r>
    </w:p>
    <w:p>
      <w:pPr>
        <w:pStyle w:val="BodyText"/>
        <w:spacing w:before="4"/>
        <w:ind w:right="189" w:hanging="2439"/>
        <w:jc w:val="both"/>
      </w:pPr>
      <w:r>
        <w:rPr>
          <w:spacing w:val="-15"/>
        </w:rPr>
        <w:t>释义 </w:t>
      </w:r>
      <w:r>
        <w:rPr/>
        <w:t>18</w:t>
      </w:r>
      <w:r>
        <w:rPr>
          <w:spacing w:val="-3"/>
        </w:rPr>
        <w:t>、现金价值       : 指保险单所具有的价值，通常体现为解除合同时，根据精算原理计算的，由本</w:t>
      </w:r>
      <w:r>
        <w:rPr>
          <w:spacing w:val="-1"/>
        </w:rPr>
        <w:t>公司退还的那部分金额。</w:t>
      </w:r>
    </w:p>
    <w:p>
      <w:pPr>
        <w:pStyle w:val="BodyText"/>
        <w:ind w:left="101" w:right="186"/>
      </w:pPr>
      <w:r>
        <w:rPr/>
        <w:t>重大疾病是指下列任何一种疾病，被保险人发生符合以下疾病定义所述条件的疾病，应当由专科医生明确诊断。</w:t>
      </w:r>
    </w:p>
    <w:p>
      <w:pPr>
        <w:pStyle w:val="BodyText"/>
        <w:tabs>
          <w:tab w:pos="2340" w:val="left" w:leader="none"/>
        </w:tabs>
        <w:spacing w:line="237" w:lineRule="auto" w:before="14"/>
        <w:ind w:right="100" w:hanging="2439"/>
        <w:jc w:val="both"/>
      </w:pPr>
      <w:r>
        <w:rPr/>
        <w:t>1、恶性肿瘤</w:t>
        <w:tab/>
        <w:t>：</w:t>
      </w:r>
      <w:r>
        <w:rPr>
          <w:spacing w:val="-73"/>
        </w:rPr>
        <w:t> </w:t>
      </w:r>
      <w:r>
        <w:rPr/>
        <w:t>指恶性细胞不受控制的进行性增长和扩散</w:t>
      </w:r>
      <w:r>
        <w:rPr>
          <w:spacing w:val="-20"/>
        </w:rPr>
        <w:t>，</w:t>
      </w:r>
      <w:r>
        <w:rPr/>
        <w:t>浸润和破坏周围正常组织</w:t>
      </w:r>
      <w:r>
        <w:rPr>
          <w:spacing w:val="-20"/>
        </w:rPr>
        <w:t>，</w:t>
      </w:r>
      <w:r>
        <w:rPr/>
        <w:t>可以经血管</w:t>
      </w:r>
      <w:r>
        <w:rPr>
          <w:spacing w:val="-20"/>
        </w:rPr>
        <w:t>、</w:t>
      </w:r>
      <w:r>
        <w:rPr/>
        <w:t>淋巴管和体腔扩散转移到身体其它部位的疾病</w:t>
      </w:r>
      <w:r>
        <w:rPr>
          <w:spacing w:val="-20"/>
        </w:rPr>
        <w:t>。</w:t>
      </w:r>
      <w:r>
        <w:rPr/>
        <w:t>经病理学检查结果明确</w:t>
      </w:r>
      <w:r>
        <w:rPr>
          <w:spacing w:val="5"/>
        </w:rPr>
        <w:t>诊断，临床诊断</w:t>
      </w:r>
      <w:r>
        <w:rPr/>
        <w:t>属</w:t>
      </w:r>
      <w:r>
        <w:rPr>
          <w:spacing w:val="5"/>
        </w:rPr>
        <w:t>于世界卫生组</w:t>
      </w:r>
      <w:r>
        <w:rPr>
          <w:spacing w:val="15"/>
        </w:rPr>
        <w:t>织</w:t>
      </w:r>
      <w:r>
        <w:rPr>
          <w:spacing w:val="5"/>
        </w:rPr>
        <w:t>《疾病和有关健康问题的国际统计分</w:t>
      </w:r>
      <w:r>
        <w:rPr>
          <w:spacing w:val="7"/>
        </w:rPr>
        <w:t>类</w:t>
      </w:r>
      <w:r>
        <w:rPr/>
        <w:t>》</w:t>
      </w:r>
    </w:p>
    <w:p>
      <w:pPr>
        <w:pStyle w:val="BodyText"/>
        <w:spacing w:line="237" w:lineRule="auto" w:before="1"/>
        <w:ind w:right="3928"/>
      </w:pPr>
      <w:r>
        <w:rPr/>
        <w:t>（ICD-10）的恶性肿瘤范畴。下列疾病不在保障范围内：</w:t>
      </w:r>
    </w:p>
    <w:p>
      <w:pPr>
        <w:pStyle w:val="BodyText"/>
        <w:spacing w:line="234" w:lineRule="exact"/>
      </w:pPr>
      <w:r>
        <w:rPr/>
        <w:t>（1）原位癌；</w:t>
      </w:r>
    </w:p>
    <w:p>
      <w:pPr>
        <w:pStyle w:val="BodyText"/>
        <w:spacing w:line="234" w:lineRule="exact"/>
      </w:pPr>
      <w:r>
        <w:rPr/>
        <w:t>（2）相当于 Binet 分期方案 A 期程度的慢性淋巴细胞白血病；</w:t>
      </w:r>
    </w:p>
    <w:p>
      <w:pPr>
        <w:pStyle w:val="BodyText"/>
        <w:spacing w:line="234" w:lineRule="exact"/>
      </w:pPr>
      <w:r>
        <w:rPr/>
        <w:t>（3）相当于 Ann Arbor 分期方案 I 期程度的何杰金氏病；</w:t>
      </w:r>
    </w:p>
    <w:p>
      <w:pPr>
        <w:pStyle w:val="BodyText"/>
        <w:spacing w:line="234" w:lineRule="exact"/>
      </w:pPr>
      <w:r>
        <w:rPr>
          <w:spacing w:val="-1"/>
          <w:w w:val="100"/>
        </w:rPr>
        <w:t>（</w:t>
      </w:r>
      <w:r>
        <w:rPr>
          <w:spacing w:val="0"/>
          <w:w w:val="100"/>
        </w:rPr>
        <w:t>4</w:t>
      </w:r>
      <w:r>
        <w:rPr>
          <w:spacing w:val="-1"/>
          <w:w w:val="100"/>
        </w:rPr>
        <w:t>）皮肤癌（不包括恶性黑色素瘤及已发生转移的皮肤癌</w:t>
      </w:r>
      <w:r>
        <w:rPr>
          <w:spacing w:val="-92"/>
          <w:w w:val="100"/>
        </w:rPr>
        <w:t>）</w:t>
      </w:r>
      <w:r>
        <w:rPr>
          <w:w w:val="100"/>
        </w:rPr>
        <w:t>；</w:t>
      </w:r>
    </w:p>
    <w:p>
      <w:pPr>
        <w:pStyle w:val="BodyText"/>
        <w:spacing w:line="234" w:lineRule="exact"/>
      </w:pPr>
      <w:r>
        <w:rPr/>
        <w:t>（5）TNM 分期为 T1N0M0 期或更轻分期的前列腺癌；</w:t>
      </w:r>
    </w:p>
    <w:p>
      <w:pPr>
        <w:pStyle w:val="BodyText"/>
        <w:spacing w:line="234" w:lineRule="exact"/>
      </w:pPr>
      <w:r>
        <w:rPr/>
        <w:t>（6）感染艾滋病病毒或患艾滋病期间所患恶性肿瘤。</w:t>
      </w:r>
    </w:p>
    <w:p>
      <w:pPr>
        <w:pStyle w:val="BodyText"/>
        <w:spacing w:line="237" w:lineRule="auto" w:before="1"/>
        <w:ind w:right="191" w:hanging="2439"/>
        <w:jc w:val="both"/>
      </w:pPr>
      <w:r>
        <w:rPr/>
        <w:t>2、急性心肌梗塞        ： 指因冠状动脉阻塞导致的相应区域供血不足造成部分心肌坏死。须满足下列至少三项条件：</w:t>
      </w:r>
    </w:p>
    <w:p>
      <w:pPr>
        <w:pStyle w:val="BodyText"/>
        <w:spacing w:line="234" w:lineRule="exact"/>
      </w:pPr>
      <w:r>
        <w:rPr/>
        <w:t>（1）典型临床表现，例如急性胸痛等；</w:t>
      </w:r>
    </w:p>
    <w:p>
      <w:pPr>
        <w:pStyle w:val="BodyText"/>
        <w:spacing w:line="234" w:lineRule="exact"/>
      </w:pPr>
      <w:r>
        <w:rPr/>
        <w:t>（2）新近的心电图改变提示急性心肌梗塞；</w:t>
      </w:r>
    </w:p>
    <w:p>
      <w:pPr>
        <w:pStyle w:val="BodyText"/>
        <w:spacing w:line="237" w:lineRule="auto" w:before="1"/>
        <w:ind w:right="189"/>
      </w:pPr>
      <w:r>
        <w:rPr/>
        <w:t>（3）心肌酶或肌钙蛋白有诊断意义的升高，或呈符合急性心肌梗塞的动态性变化；</w:t>
      </w:r>
    </w:p>
    <w:p>
      <w:pPr>
        <w:pStyle w:val="BodyText"/>
        <w:spacing w:line="235" w:lineRule="exact"/>
      </w:pPr>
      <w:r>
        <w:rPr>
          <w:spacing w:val="-10"/>
        </w:rPr>
        <w:t>（4）</w:t>
      </w:r>
      <w:r>
        <w:rPr>
          <w:spacing w:val="-16"/>
        </w:rPr>
        <w:t>发病 </w:t>
      </w:r>
      <w:r>
        <w:rPr/>
        <w:t>90</w:t>
      </w:r>
      <w:r>
        <w:rPr>
          <w:spacing w:val="-13"/>
        </w:rPr>
        <w:t> 天后，经检查证实左心室功能降低，如左心室射血分数低于 </w:t>
      </w:r>
      <w:r>
        <w:rPr/>
        <w:t>50%。</w:t>
      </w:r>
    </w:p>
    <w:p>
      <w:pPr>
        <w:pStyle w:val="BodyText"/>
        <w:spacing w:line="237" w:lineRule="auto" w:before="48"/>
        <w:ind w:right="189" w:hanging="2439"/>
        <w:jc w:val="both"/>
      </w:pPr>
      <w:r>
        <w:rPr/>
        <w:t>3</w:t>
      </w:r>
      <w:r>
        <w:rPr>
          <w:spacing w:val="-4"/>
        </w:rPr>
        <w:t>、脑中风后遗症        ： 指因脑血管的突发病变引起脑血管出血、栓塞或梗塞，并导致神经系统永久性</w:t>
      </w:r>
      <w:r>
        <w:rPr>
          <w:spacing w:val="-9"/>
        </w:rPr>
        <w:t>的功能障碍。神经系统永久性的功能障碍，指疾病确诊 </w:t>
      </w:r>
      <w:r>
        <w:rPr/>
        <w:t>180</w:t>
      </w:r>
      <w:r>
        <w:rPr>
          <w:spacing w:val="-8"/>
        </w:rPr>
        <w:t> 天后，仍遗留下列</w:t>
      </w:r>
      <w:r>
        <w:rPr>
          <w:spacing w:val="-1"/>
        </w:rPr>
        <w:t>一种或一种以上障碍：</w:t>
      </w:r>
    </w:p>
    <w:p>
      <w:pPr>
        <w:pStyle w:val="BodyText"/>
        <w:spacing w:line="233" w:lineRule="exact"/>
      </w:pPr>
      <w:r>
        <w:rPr/>
        <w:t>（1）一肢或一肢以上肢体机能完全丧失；</w:t>
      </w:r>
    </w:p>
    <w:p>
      <w:pPr>
        <w:pStyle w:val="BodyText"/>
        <w:spacing w:line="234" w:lineRule="exact"/>
      </w:pPr>
      <w:r>
        <w:rPr/>
        <w:t>（2）语言能力或咀嚼吞咽能力完全丧失；</w:t>
      </w:r>
    </w:p>
    <w:p>
      <w:pPr>
        <w:pStyle w:val="BodyText"/>
        <w:ind w:right="189"/>
      </w:pPr>
      <w:r>
        <w:rPr/>
        <w:t>（3）自主生活能力完全丧失，无法独立完成六项基本日常生活活动中的三项或三项以上。</w:t>
      </w:r>
    </w:p>
    <w:p>
      <w:pPr>
        <w:pStyle w:val="BodyText"/>
        <w:spacing w:before="56"/>
        <w:ind w:left="101"/>
      </w:pPr>
      <w:r>
        <w:rPr/>
        <w:t>4、重大器官移植术或造血干： 重大器官移植术，指因相应器官功能衰竭，已经实施了肾脏、肝脏、心脏或肺</w:t>
      </w:r>
    </w:p>
    <w:p>
      <w:pPr>
        <w:spacing w:after="0"/>
        <w:sectPr>
          <w:pgSz w:w="11960" w:h="16850"/>
          <w:pgMar w:header="0" w:footer="1001" w:top="1600" w:bottom="1200" w:left="1600" w:right="1540"/>
        </w:sectPr>
      </w:pPr>
    </w:p>
    <w:p>
      <w:pPr>
        <w:pStyle w:val="BodyText"/>
        <w:spacing w:line="235" w:lineRule="exact"/>
        <w:ind w:left="101"/>
      </w:pPr>
      <w:r>
        <w:rPr/>
        <w:t>细胞移植术</w:t>
      </w:r>
    </w:p>
    <w:p>
      <w:pPr>
        <w:pStyle w:val="BodyText"/>
        <w:spacing w:line="233" w:lineRule="exact"/>
        <w:ind w:left="101"/>
      </w:pPr>
      <w:r>
        <w:rPr/>
        <w:br w:type="column"/>
      </w:r>
      <w:r>
        <w:rPr/>
        <w:t>脏的异体移植手术。</w:t>
      </w:r>
    </w:p>
    <w:p>
      <w:pPr>
        <w:pStyle w:val="BodyText"/>
        <w:spacing w:line="237" w:lineRule="auto" w:before="1"/>
        <w:ind w:left="101" w:right="189"/>
        <w:jc w:val="both"/>
      </w:pPr>
      <w:r>
        <w:rPr>
          <w:spacing w:val="-4"/>
        </w:rPr>
        <w:t>造血干细胞移植术，指因造血功能损害或造血系统恶性肿瘤，已经实施了造血</w:t>
      </w:r>
      <w:r>
        <w:rPr>
          <w:spacing w:val="-8"/>
        </w:rPr>
        <w:t>干细胞</w:t>
      </w:r>
      <w:r>
        <w:rPr/>
        <w:t>（</w:t>
      </w:r>
      <w:r>
        <w:rPr>
          <w:spacing w:val="-2"/>
        </w:rPr>
        <w:t>包括骨髓造血干细胞、外周血造血干细胞和脐血造血干细胞</w:t>
      </w:r>
      <w:r>
        <w:rPr>
          <w:spacing w:val="-15"/>
        </w:rPr>
        <w:t>）</w:t>
      </w:r>
      <w:r>
        <w:rPr/>
        <w:t>的异体</w:t>
      </w:r>
      <w:r>
        <w:rPr>
          <w:spacing w:val="-1"/>
        </w:rPr>
        <w:t>移植手术。</w:t>
      </w:r>
    </w:p>
    <w:p>
      <w:pPr>
        <w:spacing w:after="0" w:line="237" w:lineRule="auto"/>
        <w:jc w:val="both"/>
        <w:sectPr>
          <w:type w:val="continuous"/>
          <w:pgSz w:w="11960" w:h="16850"/>
          <w:pgMar w:top="280" w:bottom="1200" w:left="1600" w:right="1540"/>
          <w:cols w:num="2" w:equalWidth="0">
            <w:col w:w="1002" w:space="1436"/>
            <w:col w:w="6382"/>
          </w:cols>
        </w:sectPr>
      </w:pPr>
    </w:p>
    <w:p>
      <w:pPr>
        <w:pStyle w:val="BodyText"/>
        <w:spacing w:before="73"/>
        <w:ind w:left="101"/>
      </w:pPr>
      <w:r>
        <w:rPr/>
        <w:t>5、冠状动脉搭桥术（或称冠： 指为治疗严重的冠心病，实际实施了开胸进行的冠状动脉血管旁路移植的手</w:t>
      </w:r>
    </w:p>
    <w:p>
      <w:pPr>
        <w:spacing w:after="0"/>
        <w:sectPr>
          <w:pgSz w:w="11960" w:h="16850"/>
          <w:pgMar w:header="0" w:footer="1001" w:top="1600" w:bottom="1200" w:left="1600" w:right="1580"/>
        </w:sectPr>
      </w:pPr>
    </w:p>
    <w:p>
      <w:pPr>
        <w:pStyle w:val="BodyText"/>
        <w:spacing w:line="232" w:lineRule="exact"/>
        <w:ind w:left="101"/>
      </w:pPr>
      <w:r>
        <w:rPr/>
        <w:t>状动脉旁路移植术）</w:t>
      </w:r>
    </w:p>
    <w:p>
      <w:pPr>
        <w:spacing w:line="232" w:lineRule="exact" w:before="0"/>
        <w:ind w:left="101" w:right="0" w:firstLine="0"/>
        <w:jc w:val="left"/>
        <w:rPr>
          <w:sz w:val="18"/>
        </w:rPr>
      </w:pPr>
      <w:r>
        <w:rPr/>
        <w:br w:type="column"/>
      </w:r>
      <w:r>
        <w:rPr>
          <w:sz w:val="18"/>
        </w:rPr>
        <w:t>术。</w:t>
      </w:r>
    </w:p>
    <w:p>
      <w:pPr>
        <w:pStyle w:val="BodyText"/>
        <w:spacing w:line="237" w:lineRule="auto" w:before="2"/>
        <w:ind w:left="101" w:right="94"/>
      </w:pPr>
      <w:r>
        <w:rPr/>
        <w:t>冠状动脉支架植入术、心导管球囊扩张术、激光射频技术及其它非开胸的介入手术、腔镜手术不在保障范围内。</w:t>
      </w:r>
    </w:p>
    <w:p>
      <w:pPr>
        <w:spacing w:after="0" w:line="237" w:lineRule="auto"/>
        <w:sectPr>
          <w:type w:val="continuous"/>
          <w:pgSz w:w="11960" w:h="16850"/>
          <w:pgMar w:top="280" w:bottom="1200" w:left="1600" w:right="1580"/>
          <w:cols w:num="2" w:equalWidth="0">
            <w:col w:w="1722" w:space="716"/>
            <w:col w:w="6342"/>
          </w:cols>
        </w:sectPr>
      </w:pPr>
    </w:p>
    <w:p>
      <w:pPr>
        <w:pStyle w:val="BodyText"/>
        <w:spacing w:before="50"/>
        <w:ind w:left="101"/>
      </w:pPr>
      <w:r>
        <w:rPr/>
        <w:t>6</w:t>
      </w:r>
      <w:r>
        <w:rPr>
          <w:spacing w:val="-3"/>
        </w:rPr>
        <w:t>、终末期肾病</w:t>
      </w:r>
      <w:r>
        <w:rPr/>
        <w:t>（</w:t>
      </w:r>
      <w:r>
        <w:rPr>
          <w:spacing w:val="-15"/>
        </w:rPr>
        <w:t>或称慢性肾： 指双肾功能慢性不可逆性衰竭，达到尿毒症期，经诊断后已经进行了至少 </w:t>
      </w:r>
      <w:r>
        <w:rPr/>
        <w:t>90</w:t>
      </w:r>
      <w:r>
        <w:rPr>
          <w:spacing w:val="-23"/>
        </w:rPr>
        <w:t> 天</w:t>
      </w:r>
    </w:p>
    <w:p>
      <w:pPr>
        <w:pStyle w:val="BodyText"/>
        <w:tabs>
          <w:tab w:pos="2539" w:val="left" w:leader="none"/>
        </w:tabs>
        <w:spacing w:line="235" w:lineRule="exact"/>
        <w:ind w:left="101"/>
      </w:pPr>
      <w:r>
        <w:rPr/>
        <w:t>功能衰竭尿毒症期）</w:t>
        <w:tab/>
      </w:r>
      <w:r>
        <w:rPr>
          <w:spacing w:val="-1"/>
        </w:rPr>
        <w:t>的</w:t>
      </w:r>
      <w:r>
        <w:rPr/>
        <w:t>规律性透析治疗或实施了肾脏移植手术。</w:t>
      </w:r>
    </w:p>
    <w:p>
      <w:pPr>
        <w:pStyle w:val="BodyText"/>
        <w:spacing w:before="76"/>
        <w:ind w:right="151" w:hanging="2439"/>
        <w:jc w:val="both"/>
      </w:pPr>
      <w:r>
        <w:rPr/>
        <w:t>7、多个肢体缺失        ： 指因疾病或意外伤害导致两个或两个以上肢体自腕关节或踝关节近端（靠近躯干端）以上完全性断离。</w:t>
      </w:r>
    </w:p>
    <w:p>
      <w:pPr>
        <w:pStyle w:val="BodyText"/>
        <w:ind w:right="149" w:hanging="2439"/>
        <w:jc w:val="both"/>
      </w:pPr>
      <w:r>
        <w:rPr/>
        <w:t>8</w:t>
      </w:r>
      <w:r>
        <w:rPr>
          <w:spacing w:val="-3"/>
        </w:rPr>
        <w:t>、急性或亚急性重症肝炎 ： 指因肝炎病毒感染引起肝脏组织弥漫性坏死，导致急性肝功能衰竭，且经血清</w:t>
      </w:r>
      <w:r>
        <w:rPr>
          <w:spacing w:val="-1"/>
        </w:rPr>
        <w:t>学或病毒学检查证实，并须满足下列全部条件：</w:t>
      </w:r>
    </w:p>
    <w:p>
      <w:pPr>
        <w:pStyle w:val="BodyText"/>
        <w:spacing w:line="233" w:lineRule="exact" w:before="3"/>
      </w:pPr>
      <w:r>
        <w:rPr/>
        <w:t>（1）重度黄疸或黄疸迅速加重；</w:t>
      </w:r>
    </w:p>
    <w:p>
      <w:pPr>
        <w:pStyle w:val="BodyText"/>
        <w:spacing w:line="234" w:lineRule="exact"/>
      </w:pPr>
      <w:r>
        <w:rPr/>
        <w:t>（2）肝性脑病；</w:t>
      </w:r>
    </w:p>
    <w:p>
      <w:pPr>
        <w:pStyle w:val="BodyText"/>
        <w:spacing w:line="234" w:lineRule="exact"/>
      </w:pPr>
      <w:r>
        <w:rPr/>
        <w:t>（3）B 超或其它影像学检查显示肝脏体积急速萎缩；</w:t>
      </w:r>
    </w:p>
    <w:p>
      <w:pPr>
        <w:pStyle w:val="BodyText"/>
        <w:spacing w:line="234" w:lineRule="exact"/>
      </w:pPr>
      <w:r>
        <w:rPr/>
        <w:t>（4）肝功能指标进行性恶化。</w:t>
      </w:r>
    </w:p>
    <w:p>
      <w:pPr>
        <w:pStyle w:val="BodyText"/>
        <w:tabs>
          <w:tab w:pos="2340" w:val="left" w:leader="none"/>
        </w:tabs>
        <w:ind w:right="149" w:hanging="2439"/>
        <w:jc w:val="both"/>
      </w:pPr>
      <w:r>
        <w:rPr/>
        <w:t>9、良性脑肿瘤</w:t>
        <w:tab/>
        <w:t>：</w:t>
      </w:r>
      <w:r>
        <w:rPr>
          <w:spacing w:val="-70"/>
        </w:rPr>
        <w:t> </w:t>
      </w:r>
      <w:r>
        <w:rPr/>
        <w:t>指脑的良性肿瘤</w:t>
      </w:r>
      <w:r>
        <w:rPr>
          <w:spacing w:val="-15"/>
        </w:rPr>
        <w:t>，</w:t>
      </w:r>
      <w:r>
        <w:rPr/>
        <w:t>已经引起颅内压增高</w:t>
      </w:r>
      <w:r>
        <w:rPr>
          <w:spacing w:val="-15"/>
        </w:rPr>
        <w:t>，</w:t>
      </w:r>
      <w:r>
        <w:rPr/>
        <w:t>临床表现为视神经乳头水肿</w:t>
      </w:r>
      <w:r>
        <w:rPr>
          <w:spacing w:val="-15"/>
        </w:rPr>
        <w:t>、</w:t>
      </w:r>
      <w:r>
        <w:rPr/>
        <w:t>精神症</w:t>
      </w:r>
      <w:r>
        <w:rPr>
          <w:spacing w:val="1"/>
          <w:w w:val="100"/>
        </w:rPr>
        <w:t>状、癫</w:t>
      </w:r>
      <w:r>
        <w:rPr>
          <w:w w:val="100"/>
        </w:rPr>
        <w:t>痫</w:t>
      </w:r>
      <w:r>
        <w:rPr>
          <w:spacing w:val="1"/>
          <w:w w:val="100"/>
        </w:rPr>
        <w:t>及</w:t>
      </w:r>
      <w:r>
        <w:rPr>
          <w:w w:val="100"/>
        </w:rPr>
        <w:t>运</w:t>
      </w:r>
      <w:r>
        <w:rPr>
          <w:spacing w:val="1"/>
          <w:w w:val="100"/>
        </w:rPr>
        <w:t>动感</w:t>
      </w:r>
      <w:r>
        <w:rPr>
          <w:w w:val="100"/>
        </w:rPr>
        <w:t>觉</w:t>
      </w:r>
      <w:r>
        <w:rPr>
          <w:spacing w:val="1"/>
          <w:w w:val="100"/>
        </w:rPr>
        <w:t>障碍</w:t>
      </w:r>
      <w:r>
        <w:rPr>
          <w:w w:val="100"/>
        </w:rPr>
        <w:t>等</w:t>
      </w:r>
      <w:r>
        <w:rPr>
          <w:spacing w:val="-1"/>
          <w:w w:val="100"/>
        </w:rPr>
        <w:t>，</w:t>
      </w:r>
      <w:r>
        <w:rPr>
          <w:spacing w:val="1"/>
          <w:w w:val="100"/>
        </w:rPr>
        <w:t>并危及</w:t>
      </w:r>
      <w:r>
        <w:rPr>
          <w:w w:val="100"/>
        </w:rPr>
        <w:t>生</w:t>
      </w:r>
      <w:r>
        <w:rPr>
          <w:spacing w:val="1"/>
          <w:w w:val="100"/>
        </w:rPr>
        <w:t>命</w:t>
      </w:r>
      <w:r>
        <w:rPr>
          <w:spacing w:val="-1"/>
          <w:w w:val="100"/>
        </w:rPr>
        <w:t>。</w:t>
      </w:r>
      <w:r>
        <w:rPr>
          <w:spacing w:val="1"/>
          <w:w w:val="100"/>
        </w:rPr>
        <w:t>须由</w:t>
      </w:r>
      <w:r>
        <w:rPr>
          <w:w w:val="100"/>
        </w:rPr>
        <w:t>头</w:t>
      </w:r>
      <w:r>
        <w:rPr>
          <w:spacing w:val="1"/>
          <w:w w:val="100"/>
        </w:rPr>
        <w:t>颅断</w:t>
      </w:r>
      <w:r>
        <w:rPr>
          <w:w w:val="100"/>
        </w:rPr>
        <w:t>层扫</w:t>
      </w:r>
      <w:r>
        <w:rPr>
          <w:spacing w:val="1"/>
          <w:w w:val="100"/>
        </w:rPr>
        <w:t>描（</w:t>
      </w:r>
      <w:r>
        <w:rPr>
          <w:spacing w:val="-2"/>
          <w:w w:val="100"/>
        </w:rPr>
        <w:t>C</w:t>
      </w:r>
      <w:r>
        <w:rPr>
          <w:spacing w:val="2"/>
          <w:w w:val="100"/>
        </w:rPr>
        <w:t>T</w:t>
      </w:r>
      <w:r>
        <w:rPr>
          <w:spacing w:val="-89"/>
          <w:w w:val="100"/>
        </w:rPr>
        <w:t>）</w:t>
      </w:r>
      <w:r>
        <w:rPr>
          <w:spacing w:val="-1"/>
          <w:w w:val="100"/>
        </w:rPr>
        <w:t>、</w:t>
      </w:r>
      <w:r>
        <w:rPr>
          <w:spacing w:val="1"/>
          <w:w w:val="100"/>
        </w:rPr>
        <w:t>核磁</w:t>
      </w:r>
      <w:r>
        <w:rPr>
          <w:w w:val="100"/>
        </w:rPr>
        <w:t>共</w:t>
      </w:r>
      <w:r>
        <w:rPr/>
        <w:t>振检</w:t>
      </w:r>
      <w:r>
        <w:rPr>
          <w:spacing w:val="-8"/>
        </w:rPr>
        <w:t>查</w:t>
      </w:r>
      <w:r>
        <w:rPr>
          <w:spacing w:val="-3"/>
        </w:rPr>
        <w:t>（MRI）</w:t>
      </w:r>
      <w:r>
        <w:rPr/>
        <w:t>或正电子发射</w:t>
      </w:r>
      <w:r>
        <w:rPr>
          <w:spacing w:val="-3"/>
        </w:rPr>
        <w:t>断</w:t>
      </w:r>
      <w:r>
        <w:rPr/>
        <w:t>层扫</w:t>
      </w:r>
      <w:r>
        <w:rPr>
          <w:spacing w:val="-8"/>
        </w:rPr>
        <w:t>描</w:t>
      </w:r>
      <w:r>
        <w:rPr>
          <w:spacing w:val="-3"/>
        </w:rPr>
        <w:t>（PET）</w:t>
      </w:r>
      <w:r>
        <w:rPr/>
        <w:t>等影像学检查</w:t>
      </w:r>
      <w:r>
        <w:rPr>
          <w:spacing w:val="-3"/>
        </w:rPr>
        <w:t>证</w:t>
      </w:r>
      <w:r>
        <w:rPr/>
        <w:t>实</w:t>
      </w:r>
      <w:r>
        <w:rPr>
          <w:spacing w:val="-8"/>
        </w:rPr>
        <w:t>，</w:t>
      </w:r>
      <w:r>
        <w:rPr/>
        <w:t>并须满足下</w:t>
      </w:r>
      <w:r>
        <w:rPr>
          <w:spacing w:val="-1"/>
        </w:rPr>
        <w:t>列</w:t>
      </w:r>
      <w:r>
        <w:rPr/>
        <w:t>至少一项条件：</w:t>
      </w:r>
    </w:p>
    <w:p>
      <w:pPr>
        <w:pStyle w:val="BodyText"/>
        <w:spacing w:line="233" w:lineRule="exact" w:before="1"/>
      </w:pPr>
      <w:r>
        <w:rPr/>
        <w:t>（1）实际实施了开颅进行的脑肿瘤完全切除或部分切除的手术；</w:t>
      </w:r>
    </w:p>
    <w:p>
      <w:pPr>
        <w:pStyle w:val="BodyText"/>
        <w:spacing w:line="234" w:lineRule="exact"/>
      </w:pPr>
      <w:r>
        <w:rPr/>
        <w:t>（2）实际实施了对脑肿瘤进行的放射治疗。</w:t>
      </w:r>
    </w:p>
    <w:p>
      <w:pPr>
        <w:pStyle w:val="BodyText"/>
        <w:spacing w:line="234" w:lineRule="exact"/>
      </w:pPr>
      <w:r>
        <w:rPr/>
        <w:t>脑垂体瘤、脑囊肿、脑血管性疾病不在保障范围内。</w:t>
      </w:r>
    </w:p>
    <w:p>
      <w:pPr>
        <w:pStyle w:val="BodyText"/>
        <w:spacing w:before="6"/>
        <w:ind w:left="101"/>
      </w:pPr>
      <w:r>
        <w:rPr/>
        <w:t>10、慢性肝功能衰竭失代偿： 指因慢性肝脏疾病导致肝功能衰竭。须满足下列全部条件：</w:t>
      </w:r>
    </w:p>
    <w:p>
      <w:pPr>
        <w:pStyle w:val="BodyText"/>
        <w:tabs>
          <w:tab w:pos="2539" w:val="left" w:leader="none"/>
        </w:tabs>
        <w:spacing w:line="233" w:lineRule="exact"/>
        <w:ind w:left="101"/>
      </w:pPr>
      <w:r>
        <w:rPr/>
        <w:t>期</w:t>
        <w:tab/>
      </w:r>
      <w:r>
        <w:rPr>
          <w:spacing w:val="-1"/>
        </w:rPr>
        <w:t>（1）</w:t>
      </w:r>
      <w:r>
        <w:rPr/>
        <w:t>持续性黄疸；</w:t>
      </w:r>
    </w:p>
    <w:p>
      <w:pPr>
        <w:pStyle w:val="BodyText"/>
        <w:spacing w:line="234" w:lineRule="exact"/>
      </w:pPr>
      <w:r>
        <w:rPr/>
        <w:t>（2）腹水；</w:t>
      </w:r>
    </w:p>
    <w:p>
      <w:pPr>
        <w:pStyle w:val="BodyText"/>
        <w:spacing w:line="234" w:lineRule="exact"/>
      </w:pPr>
      <w:r>
        <w:rPr/>
        <w:t>（3）肝性脑病；</w:t>
      </w:r>
    </w:p>
    <w:p>
      <w:pPr>
        <w:pStyle w:val="BodyText"/>
        <w:ind w:right="1819"/>
      </w:pPr>
      <w:r>
        <w:rPr/>
        <w:t>（4）充血性脾肿大伴脾功能亢进或食管胃底静脉曲张。因酗酒或药物滥用导致的肝功能衰竭不在保障范围内。</w:t>
      </w:r>
    </w:p>
    <w:p>
      <w:pPr>
        <w:pStyle w:val="BodyText"/>
        <w:spacing w:line="234" w:lineRule="exact"/>
        <w:ind w:left="101"/>
      </w:pPr>
      <w:r>
        <w:rPr/>
        <w:t>11、脑炎后遗症或脑膜炎后： 指因患脑炎或脑膜炎导致的神经系统永久性的功能障碍。神经系统永久性的功</w:t>
      </w:r>
    </w:p>
    <w:p>
      <w:pPr>
        <w:pStyle w:val="BodyText"/>
        <w:tabs>
          <w:tab w:pos="2539" w:val="left" w:leader="none"/>
        </w:tabs>
        <w:spacing w:line="234" w:lineRule="exact"/>
        <w:ind w:left="101"/>
      </w:pPr>
      <w:r>
        <w:rPr/>
        <w:t>遗症</w:t>
        <w:tab/>
        <w:t>能障碍，指疾病确诊</w:t>
      </w:r>
      <w:r>
        <w:rPr>
          <w:spacing w:val="-47"/>
        </w:rPr>
        <w:t> </w:t>
      </w:r>
      <w:r>
        <w:rPr/>
        <w:t>180</w:t>
      </w:r>
      <w:r>
        <w:rPr>
          <w:spacing w:val="-2"/>
        </w:rPr>
        <w:t> </w:t>
      </w:r>
      <w:r>
        <w:rPr/>
        <w:t>天</w:t>
      </w:r>
      <w:r>
        <w:rPr>
          <w:spacing w:val="-3"/>
        </w:rPr>
        <w:t>后</w:t>
      </w:r>
      <w:r>
        <w:rPr/>
        <w:t>，仍遗留下列一种或一种以上障碍：</w:t>
      </w:r>
    </w:p>
    <w:p>
      <w:pPr>
        <w:pStyle w:val="BodyText"/>
        <w:spacing w:line="234" w:lineRule="exact"/>
      </w:pPr>
      <w:r>
        <w:rPr/>
        <w:t>（1）一肢或一肢以上肢体机能完全丧失；</w:t>
      </w:r>
    </w:p>
    <w:p>
      <w:pPr>
        <w:pStyle w:val="BodyText"/>
        <w:spacing w:line="234" w:lineRule="exact"/>
      </w:pPr>
      <w:r>
        <w:rPr/>
        <w:t>（2）语言能力或咀嚼吞咽能力完全丧失；</w:t>
      </w:r>
    </w:p>
    <w:p>
      <w:pPr>
        <w:pStyle w:val="BodyText"/>
        <w:ind w:right="149"/>
      </w:pPr>
      <w:r>
        <w:rPr/>
        <w:t>（3）自主生活能力完全丧失，无法独立完成六项基本日常生活活动中的三项或三项以上。</w:t>
      </w:r>
    </w:p>
    <w:p>
      <w:pPr>
        <w:pStyle w:val="BodyText"/>
        <w:tabs>
          <w:tab w:pos="2340" w:val="left" w:leader="none"/>
        </w:tabs>
        <w:spacing w:line="237" w:lineRule="auto" w:before="73"/>
        <w:ind w:right="146" w:hanging="2439"/>
        <w:jc w:val="both"/>
      </w:pPr>
      <w:r>
        <w:rPr/>
        <w:t>12、深度昏迷</w:t>
        <w:tab/>
        <w:t>：</w:t>
      </w:r>
      <w:r>
        <w:rPr>
          <w:spacing w:val="-33"/>
        </w:rPr>
        <w:t> </w:t>
      </w:r>
      <w:r>
        <w:rPr>
          <w:spacing w:val="2"/>
        </w:rPr>
        <w:t>指因疾病或</w:t>
      </w:r>
      <w:r>
        <w:rPr/>
        <w:t>意</w:t>
      </w:r>
      <w:r>
        <w:rPr>
          <w:spacing w:val="2"/>
        </w:rPr>
        <w:t>外伤害导</w:t>
      </w:r>
      <w:r>
        <w:rPr/>
        <w:t>致</w:t>
      </w:r>
      <w:r>
        <w:rPr>
          <w:spacing w:val="2"/>
        </w:rPr>
        <w:t>意</w:t>
      </w:r>
      <w:r>
        <w:rPr/>
        <w:t>识</w:t>
      </w:r>
      <w:r>
        <w:rPr>
          <w:spacing w:val="2"/>
        </w:rPr>
        <w:t>丧</w:t>
      </w:r>
      <w:r>
        <w:rPr>
          <w:spacing w:val="5"/>
        </w:rPr>
        <w:t>失,</w:t>
      </w:r>
      <w:r>
        <w:rPr/>
        <w:t>对</w:t>
      </w:r>
      <w:r>
        <w:rPr>
          <w:spacing w:val="2"/>
        </w:rPr>
        <w:t>外界刺</w:t>
      </w:r>
      <w:r>
        <w:rPr/>
        <w:t>激</w:t>
      </w:r>
      <w:r>
        <w:rPr>
          <w:spacing w:val="2"/>
        </w:rPr>
        <w:t>和体内需</w:t>
      </w:r>
      <w:r>
        <w:rPr/>
        <w:t>求</w:t>
      </w:r>
      <w:r>
        <w:rPr>
          <w:spacing w:val="2"/>
        </w:rPr>
        <w:t>均无反</w:t>
      </w:r>
      <w:r>
        <w:rPr/>
        <w:t>应</w:t>
      </w:r>
      <w:r>
        <w:rPr>
          <w:spacing w:val="5"/>
        </w:rPr>
        <w:t>,</w:t>
      </w:r>
      <w:r>
        <w:rPr>
          <w:spacing w:val="2"/>
        </w:rPr>
        <w:t>昏迷</w:t>
      </w:r>
      <w:r>
        <w:rPr/>
        <w:t>程度按照格拉斯哥昏迷分级（Glasgow</w:t>
      </w:r>
      <w:r>
        <w:rPr>
          <w:spacing w:val="-1"/>
        </w:rPr>
        <w:t> </w:t>
      </w:r>
      <w:r>
        <w:rPr/>
        <w:t>coma</w:t>
      </w:r>
      <w:r>
        <w:rPr>
          <w:spacing w:val="-1"/>
        </w:rPr>
        <w:t> </w:t>
      </w:r>
      <w:r>
        <w:rPr/>
        <w:t>scale）结果为</w:t>
      </w:r>
      <w:r>
        <w:rPr>
          <w:spacing w:val="-24"/>
        </w:rPr>
        <w:t> </w:t>
      </w:r>
      <w:r>
        <w:rPr/>
        <w:t>5</w:t>
      </w:r>
      <w:r>
        <w:rPr>
          <w:spacing w:val="-2"/>
        </w:rPr>
        <w:t> </w:t>
      </w:r>
      <w:r>
        <w:rPr/>
        <w:t>分或</w:t>
      </w:r>
      <w:r>
        <w:rPr>
          <w:spacing w:val="-22"/>
        </w:rPr>
        <w:t> </w:t>
      </w:r>
      <w:r>
        <w:rPr/>
        <w:t>5</w:t>
      </w:r>
      <w:r>
        <w:rPr>
          <w:spacing w:val="0"/>
        </w:rPr>
        <w:t> </w:t>
      </w:r>
      <w:r>
        <w:rPr/>
        <w:t>分以下， 且已经持续使用呼吸机及其它生命维持系统</w:t>
      </w:r>
      <w:r>
        <w:rPr>
          <w:spacing w:val="-45"/>
        </w:rPr>
        <w:t> </w:t>
      </w:r>
      <w:r>
        <w:rPr/>
        <w:t>96</w:t>
      </w:r>
      <w:r>
        <w:rPr>
          <w:spacing w:val="-44"/>
        </w:rPr>
        <w:t> </w:t>
      </w:r>
      <w:r>
        <w:rPr/>
        <w:t>小时以上。</w:t>
      </w:r>
    </w:p>
    <w:p>
      <w:pPr>
        <w:pStyle w:val="BodyText"/>
        <w:spacing w:line="233" w:lineRule="exact"/>
      </w:pPr>
      <w:r>
        <w:rPr/>
        <w:t>因酗酒或药物滥用导致的深度昏迷不在保障范围内。</w:t>
      </w:r>
    </w:p>
    <w:p>
      <w:pPr>
        <w:pStyle w:val="BodyText"/>
        <w:tabs>
          <w:tab w:pos="2340" w:val="left" w:leader="none"/>
        </w:tabs>
        <w:spacing w:line="237" w:lineRule="auto" w:before="124"/>
        <w:ind w:right="146" w:hanging="2439"/>
        <w:jc w:val="both"/>
      </w:pPr>
      <w:r>
        <w:rPr/>
        <w:t>13、双耳失聪</w:t>
        <w:tab/>
        <w:t>：</w:t>
      </w:r>
      <w:r>
        <w:rPr>
          <w:spacing w:val="-72"/>
        </w:rPr>
        <w:t> </w:t>
      </w:r>
      <w:r>
        <w:rPr/>
        <w:t>指因疾病或意外伤害导致双耳听力永久不可逆性丧失，在</w:t>
      </w:r>
      <w:r>
        <w:rPr>
          <w:spacing w:val="-42"/>
        </w:rPr>
        <w:t> </w:t>
      </w:r>
      <w:r>
        <w:rPr/>
        <w:t>500</w:t>
      </w:r>
      <w:r>
        <w:rPr>
          <w:spacing w:val="-1"/>
        </w:rPr>
        <w:t> </w:t>
      </w:r>
      <w:r>
        <w:rPr/>
        <w:t>赫兹、1000</w:t>
      </w:r>
      <w:r>
        <w:rPr>
          <w:spacing w:val="-1"/>
        </w:rPr>
        <w:t> </w:t>
      </w:r>
      <w:r>
        <w:rPr/>
        <w:t>赫兹和</w:t>
      </w:r>
      <w:r>
        <w:rPr>
          <w:spacing w:val="-22"/>
        </w:rPr>
        <w:t> </w:t>
      </w:r>
      <w:r>
        <w:rPr/>
        <w:t>2000 赫兹语音频率下</w:t>
      </w:r>
      <w:r>
        <w:rPr>
          <w:spacing w:val="-3"/>
        </w:rPr>
        <w:t>，</w:t>
      </w:r>
      <w:r>
        <w:rPr/>
        <w:t>平均听阈大于</w:t>
      </w:r>
      <w:r>
        <w:rPr>
          <w:spacing w:val="-22"/>
        </w:rPr>
        <w:t> </w:t>
      </w:r>
      <w:r>
        <w:rPr/>
        <w:t>90 分贝，且</w:t>
      </w:r>
      <w:r>
        <w:rPr>
          <w:spacing w:val="-3"/>
        </w:rPr>
        <w:t>经</w:t>
      </w:r>
      <w:r>
        <w:rPr/>
        <w:t>纯音听力测试、声</w:t>
      </w:r>
      <w:r>
        <w:rPr>
          <w:spacing w:val="-1"/>
        </w:rPr>
        <w:t>导</w:t>
      </w:r>
      <w:r>
        <w:rPr/>
        <w:t>抗检测或听觉诱发电位检测等证实。</w:t>
      </w:r>
    </w:p>
    <w:p>
      <w:pPr>
        <w:pStyle w:val="BodyText"/>
        <w:tabs>
          <w:tab w:pos="2340" w:val="left" w:leader="none"/>
        </w:tabs>
        <w:ind w:right="151" w:hanging="2439"/>
        <w:jc w:val="both"/>
      </w:pPr>
      <w:r>
        <w:rPr/>
        <w:t>14、双目失明</w:t>
        <w:tab/>
        <w:t>：</w:t>
      </w:r>
      <w:r>
        <w:rPr>
          <w:spacing w:val="-72"/>
        </w:rPr>
        <w:t> </w:t>
      </w:r>
      <w:r>
        <w:rPr/>
        <w:t>指因疾病或意外伤害导致双眼视力永久不可逆性丧失</w:t>
      </w:r>
      <w:r>
        <w:rPr>
          <w:spacing w:val="-41"/>
        </w:rPr>
        <w:t>，</w:t>
      </w:r>
      <w:r>
        <w:rPr/>
        <w:t>双眼中较好眼须满足下</w:t>
      </w:r>
      <w:r>
        <w:rPr>
          <w:spacing w:val="-1"/>
        </w:rPr>
        <w:t>列</w:t>
      </w:r>
      <w:r>
        <w:rPr/>
        <w:t>至少一项条件：</w:t>
      </w:r>
    </w:p>
    <w:p>
      <w:pPr>
        <w:pStyle w:val="BodyText"/>
        <w:spacing w:line="233" w:lineRule="exact"/>
      </w:pPr>
      <w:r>
        <w:rPr/>
        <w:t>（1）眼球缺失或摘除；</w:t>
      </w:r>
    </w:p>
    <w:p>
      <w:pPr>
        <w:pStyle w:val="BodyText"/>
        <w:spacing w:line="237" w:lineRule="auto" w:before="1"/>
        <w:ind w:right="151"/>
      </w:pPr>
      <w:r>
        <w:rPr/>
        <w:t>（2）</w:t>
      </w:r>
      <w:r>
        <w:rPr>
          <w:spacing w:val="-7"/>
        </w:rPr>
        <w:t>矫正视力低于 </w:t>
      </w:r>
      <w:r>
        <w:rPr/>
        <w:t>0.02（</w:t>
      </w:r>
      <w:r>
        <w:rPr>
          <w:spacing w:val="-2"/>
        </w:rPr>
        <w:t>采用国际标准视力表，如果使用其它视力表应进行</w:t>
      </w:r>
      <w:r>
        <w:rPr>
          <w:spacing w:val="-2"/>
          <w:w w:val="100"/>
        </w:rPr>
        <w:t>换算</w:t>
      </w:r>
      <w:r>
        <w:rPr>
          <w:spacing w:val="-92"/>
          <w:w w:val="100"/>
        </w:rPr>
        <w:t>）</w:t>
      </w:r>
      <w:r>
        <w:rPr>
          <w:w w:val="100"/>
        </w:rPr>
        <w:t>；</w:t>
      </w:r>
    </w:p>
    <w:p>
      <w:pPr>
        <w:pStyle w:val="BodyText"/>
        <w:spacing w:line="234" w:lineRule="exact"/>
      </w:pPr>
      <w:r>
        <w:rPr/>
        <w:t>（3）视野半径小于 5 度。</w:t>
      </w:r>
    </w:p>
    <w:p>
      <w:pPr>
        <w:pStyle w:val="BodyText"/>
        <w:tabs>
          <w:tab w:pos="2340" w:val="left" w:leader="none"/>
        </w:tabs>
        <w:spacing w:line="237" w:lineRule="auto" w:before="1"/>
        <w:ind w:right="151" w:hanging="2439"/>
        <w:jc w:val="both"/>
      </w:pPr>
      <w:r>
        <w:rPr/>
        <w:t>15、瘫痪</w:t>
        <w:tab/>
        <w:t>：</w:t>
      </w:r>
      <w:r>
        <w:rPr>
          <w:spacing w:val="-73"/>
        </w:rPr>
        <w:t> </w:t>
      </w:r>
      <w:r>
        <w:rPr/>
        <w:t>指因疾病或意外伤害导致两肢或两肢以上肢体机能永久完全丧失</w:t>
      </w:r>
      <w:r>
        <w:rPr>
          <w:spacing w:val="-41"/>
        </w:rPr>
        <w:t>。</w:t>
      </w:r>
      <w:r>
        <w:rPr/>
        <w:t>肢体机能永久完全丧失，指疾病确诊</w:t>
      </w:r>
      <w:r>
        <w:rPr>
          <w:spacing w:val="-21"/>
        </w:rPr>
        <w:t> </w:t>
      </w:r>
      <w:r>
        <w:rPr/>
        <w:t>180</w:t>
      </w:r>
      <w:r>
        <w:rPr>
          <w:spacing w:val="-3"/>
        </w:rPr>
        <w:t> </w:t>
      </w:r>
      <w:r>
        <w:rPr/>
        <w:t>天后或意外伤害发生</w:t>
      </w:r>
      <w:r>
        <w:rPr>
          <w:spacing w:val="-21"/>
        </w:rPr>
        <w:t> </w:t>
      </w:r>
      <w:r>
        <w:rPr/>
        <w:t>180 天</w:t>
      </w:r>
      <w:r>
        <w:rPr>
          <w:spacing w:val="-3"/>
        </w:rPr>
        <w:t>后</w:t>
      </w:r>
      <w:r>
        <w:rPr/>
        <w:t>，每肢三大关节</w:t>
      </w:r>
      <w:r>
        <w:rPr>
          <w:spacing w:val="-1"/>
        </w:rPr>
        <w:t>中的两</w:t>
      </w:r>
      <w:r>
        <w:rPr/>
        <w:t>大关节仍然完全僵硬，或不能随意识活动。</w:t>
      </w:r>
    </w:p>
    <w:p>
      <w:pPr>
        <w:pStyle w:val="BodyText"/>
        <w:tabs>
          <w:tab w:pos="2340" w:val="left" w:leader="none"/>
        </w:tabs>
        <w:spacing w:before="23"/>
        <w:ind w:left="101"/>
      </w:pPr>
      <w:r>
        <w:rPr/>
        <w:t>16、心脏瓣膜手术</w:t>
        <w:tab/>
        <w:t>：</w:t>
      </w:r>
      <w:r>
        <w:rPr>
          <w:spacing w:val="-74"/>
        </w:rPr>
        <w:t> </w:t>
      </w:r>
      <w:r>
        <w:rPr/>
        <w:t>指为治疗心脏瓣膜疾病，实际实施了开胸进行的心脏瓣膜置换或修复的手术。</w:t>
      </w:r>
    </w:p>
    <w:p>
      <w:pPr>
        <w:spacing w:after="0"/>
        <w:sectPr>
          <w:type w:val="continuous"/>
          <w:pgSz w:w="11960" w:h="16850"/>
          <w:pgMar w:top="280" w:bottom="1200" w:left="1600" w:right="1580"/>
        </w:sectPr>
      </w:pPr>
    </w:p>
    <w:p>
      <w:pPr>
        <w:pStyle w:val="BodyText"/>
        <w:tabs>
          <w:tab w:pos="2340" w:val="left" w:leader="none"/>
        </w:tabs>
        <w:spacing w:line="237" w:lineRule="auto" w:before="76"/>
        <w:ind w:right="100" w:hanging="2439"/>
      </w:pPr>
      <w:r>
        <w:rPr/>
        <w:t>17、严重阿尔茨海默病</w:t>
        <w:tab/>
        <w:t>：</w:t>
      </w:r>
      <w:r>
        <w:rPr>
          <w:spacing w:val="-73"/>
        </w:rPr>
        <w:t> </w:t>
      </w:r>
      <w:r>
        <w:rPr/>
        <w:t>指因大脑进行性</w:t>
      </w:r>
      <w:r>
        <w:rPr>
          <w:spacing w:val="-20"/>
        </w:rPr>
        <w:t>、</w:t>
      </w:r>
      <w:r>
        <w:rPr/>
        <w:t>不可逆性改变导致智能严重衰退或丧失</w:t>
      </w:r>
      <w:r>
        <w:rPr>
          <w:spacing w:val="-20"/>
        </w:rPr>
        <w:t>，</w:t>
      </w:r>
      <w:r>
        <w:rPr/>
        <w:t>临床表现为明显的认知能力障碍</w:t>
      </w:r>
      <w:r>
        <w:rPr>
          <w:spacing w:val="-65"/>
        </w:rPr>
        <w:t>、</w:t>
      </w:r>
      <w:r>
        <w:rPr/>
        <w:t>行为异常和社交能力减退</w:t>
      </w:r>
      <w:r>
        <w:rPr>
          <w:spacing w:val="-65"/>
        </w:rPr>
        <w:t>，</w:t>
      </w:r>
      <w:r>
        <w:rPr/>
        <w:t>其日常生活必须持续受到他人监护。</w:t>
      </w:r>
      <w:r>
        <w:rPr>
          <w:w w:val="100"/>
        </w:rPr>
        <w:t>须由头颅断层扫</w:t>
      </w:r>
      <w:r>
        <w:rPr>
          <w:spacing w:val="-8"/>
          <w:w w:val="100"/>
        </w:rPr>
        <w:t>描</w:t>
      </w:r>
      <w:r>
        <w:rPr>
          <w:spacing w:val="-1"/>
          <w:w w:val="100"/>
        </w:rPr>
        <w:t>（</w:t>
      </w:r>
      <w:r>
        <w:rPr>
          <w:spacing w:val="0"/>
          <w:w w:val="100"/>
        </w:rPr>
        <w:t>CT</w:t>
      </w:r>
      <w:r>
        <w:rPr>
          <w:spacing w:val="-92"/>
          <w:w w:val="100"/>
        </w:rPr>
        <w:t>）</w:t>
      </w:r>
      <w:r>
        <w:rPr>
          <w:spacing w:val="-8"/>
          <w:w w:val="100"/>
        </w:rPr>
        <w:t>、</w:t>
      </w:r>
      <w:r>
        <w:rPr>
          <w:w w:val="100"/>
        </w:rPr>
        <w:t>核</w:t>
      </w:r>
      <w:r>
        <w:rPr>
          <w:spacing w:val="-3"/>
          <w:w w:val="100"/>
        </w:rPr>
        <w:t>磁</w:t>
      </w:r>
      <w:r>
        <w:rPr>
          <w:w w:val="100"/>
        </w:rPr>
        <w:t>共振检</w:t>
      </w:r>
      <w:r>
        <w:rPr>
          <w:spacing w:val="-8"/>
          <w:w w:val="100"/>
        </w:rPr>
        <w:t>查</w:t>
      </w:r>
      <w:r>
        <w:rPr>
          <w:spacing w:val="-1"/>
          <w:w w:val="100"/>
        </w:rPr>
        <w:t>（</w:t>
      </w:r>
      <w:r>
        <w:rPr>
          <w:spacing w:val="0"/>
          <w:w w:val="100"/>
        </w:rPr>
        <w:t>M</w:t>
      </w:r>
      <w:r>
        <w:rPr>
          <w:spacing w:val="-2"/>
          <w:w w:val="100"/>
        </w:rPr>
        <w:t>R</w:t>
      </w:r>
      <w:r>
        <w:rPr>
          <w:spacing w:val="0"/>
          <w:w w:val="100"/>
        </w:rPr>
        <w:t>I</w:t>
      </w:r>
      <w:r>
        <w:rPr>
          <w:spacing w:val="-8"/>
          <w:w w:val="100"/>
        </w:rPr>
        <w:t>）</w:t>
      </w:r>
      <w:r>
        <w:rPr>
          <w:w w:val="100"/>
        </w:rPr>
        <w:t>或正电子发射断层扫</w:t>
      </w:r>
      <w:r>
        <w:rPr>
          <w:spacing w:val="-10"/>
          <w:w w:val="100"/>
        </w:rPr>
        <w:t>描</w:t>
      </w:r>
      <w:r>
        <w:rPr>
          <w:spacing w:val="-1"/>
          <w:w w:val="100"/>
        </w:rPr>
        <w:t>（</w:t>
      </w:r>
      <w:r>
        <w:rPr>
          <w:spacing w:val="0"/>
          <w:w w:val="100"/>
        </w:rPr>
        <w:t>P</w:t>
      </w:r>
      <w:r>
        <w:rPr>
          <w:spacing w:val="-2"/>
          <w:w w:val="100"/>
        </w:rPr>
        <w:t>E</w:t>
      </w:r>
      <w:r>
        <w:rPr>
          <w:w w:val="100"/>
        </w:rPr>
        <w:t>T </w:t>
      </w:r>
      <w:r>
        <w:rPr/>
        <w:t>等影像学检查证实</w:t>
      </w:r>
      <w:r>
        <w:rPr>
          <w:spacing w:val="-20"/>
        </w:rPr>
        <w:t>，</w:t>
      </w:r>
      <w:r>
        <w:rPr/>
        <w:t>且自主生活能力完全丧失</w:t>
      </w:r>
      <w:r>
        <w:rPr>
          <w:spacing w:val="-20"/>
        </w:rPr>
        <w:t>，</w:t>
      </w:r>
      <w:r>
        <w:rPr/>
        <w:t>无法独立完成六项基本日常生</w:t>
      </w:r>
      <w:r>
        <w:rPr>
          <w:spacing w:val="-1"/>
        </w:rPr>
        <w:t>活</w:t>
      </w:r>
      <w:r>
        <w:rPr/>
        <w:t>活动中的三项或三项以上。</w:t>
      </w:r>
    </w:p>
    <w:p>
      <w:pPr>
        <w:pStyle w:val="BodyText"/>
        <w:spacing w:line="233" w:lineRule="exact"/>
      </w:pPr>
      <w:r>
        <w:rPr/>
        <w:t>神经官能症和精神疾病不在保障范围内。</w:t>
      </w:r>
    </w:p>
    <w:p>
      <w:pPr>
        <w:pStyle w:val="BodyText"/>
        <w:tabs>
          <w:tab w:pos="2340" w:val="left" w:leader="none"/>
        </w:tabs>
        <w:spacing w:line="237" w:lineRule="auto" w:before="42"/>
        <w:ind w:right="188" w:hanging="2439"/>
        <w:jc w:val="both"/>
      </w:pPr>
      <w:r>
        <w:rPr/>
        <w:t>18、严重脑损伤</w:t>
        <w:tab/>
        <w:t>：</w:t>
      </w:r>
      <w:r>
        <w:rPr>
          <w:spacing w:val="-73"/>
        </w:rPr>
        <w:t> </w:t>
      </w:r>
      <w:r>
        <w:rPr/>
        <w:t>指因头部遭受机械性外力</w:t>
      </w:r>
      <w:r>
        <w:rPr>
          <w:spacing w:val="-20"/>
        </w:rPr>
        <w:t>，</w:t>
      </w:r>
      <w:r>
        <w:rPr/>
        <w:t>引起脑重要部位损伤</w:t>
      </w:r>
      <w:r>
        <w:rPr>
          <w:spacing w:val="-20"/>
        </w:rPr>
        <w:t>，</w:t>
      </w:r>
      <w:r>
        <w:rPr/>
        <w:t>导致神经系统永久性的功能</w:t>
      </w:r>
      <w:r>
        <w:rPr>
          <w:w w:val="100"/>
        </w:rPr>
        <w:t>障</w:t>
      </w:r>
      <w:r>
        <w:rPr>
          <w:spacing w:val="-1"/>
          <w:w w:val="100"/>
        </w:rPr>
        <w:t>碍</w:t>
      </w:r>
      <w:r>
        <w:rPr>
          <w:spacing w:val="-8"/>
          <w:w w:val="100"/>
        </w:rPr>
        <w:t>。</w:t>
      </w:r>
      <w:r>
        <w:rPr>
          <w:w w:val="100"/>
        </w:rPr>
        <w:t>须由头颅断层扫</w:t>
      </w:r>
      <w:r>
        <w:rPr>
          <w:spacing w:val="-8"/>
          <w:w w:val="100"/>
        </w:rPr>
        <w:t>描</w:t>
      </w:r>
      <w:r>
        <w:rPr>
          <w:spacing w:val="-1"/>
          <w:w w:val="100"/>
        </w:rPr>
        <w:t>（</w:t>
      </w:r>
      <w:r>
        <w:rPr>
          <w:spacing w:val="-2"/>
          <w:w w:val="100"/>
        </w:rPr>
        <w:t>C</w:t>
      </w:r>
      <w:r>
        <w:rPr>
          <w:spacing w:val="0"/>
          <w:w w:val="100"/>
        </w:rPr>
        <w:t>T</w:t>
      </w:r>
      <w:r>
        <w:rPr>
          <w:spacing w:val="-92"/>
          <w:w w:val="100"/>
        </w:rPr>
        <w:t>）</w:t>
      </w:r>
      <w:r>
        <w:rPr>
          <w:spacing w:val="-8"/>
          <w:w w:val="100"/>
        </w:rPr>
        <w:t>、</w:t>
      </w:r>
      <w:r>
        <w:rPr>
          <w:w w:val="100"/>
        </w:rPr>
        <w:t>核磁共振检</w:t>
      </w:r>
      <w:r>
        <w:rPr>
          <w:spacing w:val="-8"/>
          <w:w w:val="100"/>
        </w:rPr>
        <w:t>查</w:t>
      </w:r>
      <w:r>
        <w:rPr>
          <w:spacing w:val="-1"/>
          <w:w w:val="100"/>
        </w:rPr>
        <w:t>（</w:t>
      </w:r>
      <w:r>
        <w:rPr>
          <w:spacing w:val="-2"/>
          <w:w w:val="100"/>
        </w:rPr>
        <w:t>M</w:t>
      </w:r>
      <w:r>
        <w:rPr>
          <w:spacing w:val="0"/>
          <w:w w:val="100"/>
        </w:rPr>
        <w:t>RI</w:t>
      </w:r>
      <w:r>
        <w:rPr>
          <w:spacing w:val="-8"/>
          <w:w w:val="100"/>
        </w:rPr>
        <w:t>）</w:t>
      </w:r>
      <w:r>
        <w:rPr>
          <w:w w:val="100"/>
        </w:rPr>
        <w:t>或正</w:t>
      </w:r>
      <w:r>
        <w:rPr>
          <w:spacing w:val="-3"/>
          <w:w w:val="100"/>
        </w:rPr>
        <w:t>电</w:t>
      </w:r>
      <w:r>
        <w:rPr>
          <w:w w:val="100"/>
        </w:rPr>
        <w:t>子发射断层扫描</w:t>
      </w:r>
    </w:p>
    <w:p>
      <w:pPr>
        <w:pStyle w:val="BodyText"/>
        <w:spacing w:line="237" w:lineRule="auto" w:before="1"/>
        <w:ind w:right="277"/>
      </w:pPr>
      <w:r>
        <w:rPr>
          <w:spacing w:val="-4"/>
        </w:rPr>
        <w:t>（PET）</w:t>
      </w:r>
      <w:r>
        <w:rPr>
          <w:spacing w:val="-6"/>
        </w:rPr>
        <w:t>等影像学检查证实。神经系统永久性的功能障碍，指脑损伤 </w:t>
      </w:r>
      <w:r>
        <w:rPr/>
        <w:t>180</w:t>
      </w:r>
      <w:r>
        <w:rPr>
          <w:spacing w:val="-14"/>
        </w:rPr>
        <w:t> 天后</w:t>
      </w:r>
      <w:r>
        <w:rPr>
          <w:spacing w:val="-1"/>
        </w:rPr>
        <w:t>仍遗留下列一种或一种以上障碍：</w:t>
      </w:r>
    </w:p>
    <w:p>
      <w:pPr>
        <w:pStyle w:val="BodyText"/>
        <w:spacing w:line="234" w:lineRule="exact"/>
      </w:pPr>
      <w:r>
        <w:rPr/>
        <w:t>（1）一肢或一肢以上肢体机能完全丧失；</w:t>
      </w:r>
    </w:p>
    <w:p>
      <w:pPr>
        <w:pStyle w:val="BodyText"/>
        <w:spacing w:line="234" w:lineRule="exact"/>
      </w:pPr>
      <w:r>
        <w:rPr/>
        <w:t>（2）语言能力或咀嚼吞咽能力完全丧失；</w:t>
      </w:r>
    </w:p>
    <w:p>
      <w:pPr>
        <w:pStyle w:val="BodyText"/>
        <w:spacing w:line="237" w:lineRule="auto" w:before="2"/>
        <w:ind w:right="189"/>
      </w:pPr>
      <w:r>
        <w:rPr/>
        <w:t>（3）自主生活能力完全丧失，无法独立完成六项基本日常生活活动中的三项或三项以上。</w:t>
      </w:r>
    </w:p>
    <w:p>
      <w:pPr>
        <w:pStyle w:val="BodyText"/>
        <w:spacing w:line="237" w:lineRule="auto" w:before="2"/>
        <w:ind w:right="191" w:hanging="2439"/>
        <w:jc w:val="both"/>
      </w:pPr>
      <w:r>
        <w:rPr/>
        <w:t>19</w:t>
      </w:r>
      <w:r>
        <w:rPr>
          <w:spacing w:val="-4"/>
        </w:rPr>
        <w:t>、严重帕金森病       ： 是一种中枢神经系统的退行性疾病，临床表现为震颤麻痹、共济失调等。须满</w:t>
      </w:r>
      <w:r>
        <w:rPr>
          <w:spacing w:val="-1"/>
        </w:rPr>
        <w:t>足下列全部条件：</w:t>
      </w:r>
    </w:p>
    <w:p>
      <w:pPr>
        <w:pStyle w:val="BodyText"/>
        <w:spacing w:line="234" w:lineRule="exact"/>
      </w:pPr>
      <w:r>
        <w:rPr/>
        <w:t>（1）药物治疗无法控制病情；</w:t>
      </w:r>
    </w:p>
    <w:p>
      <w:pPr>
        <w:pStyle w:val="BodyText"/>
        <w:ind w:right="189"/>
      </w:pPr>
      <w:r>
        <w:rPr/>
        <w:t>（2）自主生活能力完全丧失，无法独立完成六项基本日常生活活动中的三项或三项以上。</w:t>
      </w:r>
    </w:p>
    <w:p>
      <w:pPr>
        <w:pStyle w:val="BodyText"/>
        <w:spacing w:line="233" w:lineRule="exact" w:before="1"/>
      </w:pPr>
      <w:r>
        <w:rPr/>
        <w:t>继发性帕金森综合征不在保障范围内。</w:t>
      </w:r>
    </w:p>
    <w:p>
      <w:pPr>
        <w:pStyle w:val="BodyText"/>
        <w:spacing w:before="9"/>
        <w:ind w:right="277" w:hanging="2439"/>
        <w:jc w:val="both"/>
      </w:pPr>
      <w:r>
        <w:rPr/>
        <w:t>20</w:t>
      </w:r>
      <w:r>
        <w:rPr>
          <w:spacing w:val="-4"/>
        </w:rPr>
        <w:t>、严重Ⅲ度烧伤       ： 指烧伤程度为Ⅲ度，且Ⅲ度烧伤的面积达到全身体表面积的 </w:t>
      </w:r>
      <w:r>
        <w:rPr/>
        <w:t>20</w:t>
      </w:r>
      <w:r>
        <w:rPr>
          <w:spacing w:val="-16"/>
        </w:rPr>
        <w:t>％或 </w:t>
      </w:r>
      <w:r>
        <w:rPr/>
        <w:t>20％以上</w:t>
      </w:r>
      <w:r>
        <w:rPr>
          <w:spacing w:val="-1"/>
        </w:rPr>
        <w:t>体表面积根据《中国新九分法》计算。</w:t>
      </w:r>
    </w:p>
    <w:p>
      <w:pPr>
        <w:pStyle w:val="BodyText"/>
        <w:spacing w:line="237" w:lineRule="auto" w:before="90"/>
        <w:ind w:right="189" w:hanging="2439"/>
        <w:jc w:val="both"/>
      </w:pPr>
      <w:r>
        <w:rPr/>
        <w:t>21</w:t>
      </w:r>
      <w:r>
        <w:rPr>
          <w:spacing w:val="-9"/>
        </w:rPr>
        <w:t>、严重原发性肺动脉高压 ： 指不明原因的肺动脉压力持续性增高，进行性发展而导致的慢性疾病，已经造</w:t>
      </w:r>
      <w:r>
        <w:rPr>
          <w:spacing w:val="-11"/>
        </w:rPr>
        <w:t>成永久不可逆性的体力活动能力受限，达到美国纽约心脏病学会心功能状态分</w:t>
      </w:r>
      <w:r>
        <w:rPr>
          <w:spacing w:val="-29"/>
        </w:rPr>
        <w:t>级 </w:t>
      </w:r>
      <w:r>
        <w:rPr/>
        <w:t>IV</w:t>
      </w:r>
      <w:r>
        <w:rPr>
          <w:spacing w:val="-5"/>
        </w:rPr>
        <w:t> 级，且静息状态下肺动脉平均压超过 </w:t>
      </w:r>
      <w:r>
        <w:rPr/>
        <w:t>30mmHg。</w:t>
      </w:r>
    </w:p>
    <w:p>
      <w:pPr>
        <w:pStyle w:val="BodyText"/>
        <w:ind w:right="150" w:hanging="2439"/>
        <w:jc w:val="both"/>
      </w:pPr>
      <w:r>
        <w:rPr/>
        <w:t>22</w:t>
      </w:r>
      <w:r>
        <w:rPr>
          <w:spacing w:val="-1"/>
        </w:rPr>
        <w:t>、严重运动神经元病   ： 是一组中枢神经系统运动神经元的进行性变性疾病，包括进行性脊肌萎缩症、</w:t>
      </w:r>
      <w:r>
        <w:rPr>
          <w:spacing w:val="-5"/>
        </w:rPr>
        <w:t>进行性延髓麻痹症、原发性侧索硬化症、肌萎缩性侧索硬化症。须满足自主生</w:t>
      </w:r>
      <w:r>
        <w:rPr>
          <w:spacing w:val="-9"/>
        </w:rPr>
        <w:t>活能力完全丧失，无法独立完成六项基本日常生活活动中的三项或三项以上的</w:t>
      </w:r>
      <w:r>
        <w:rPr>
          <w:spacing w:val="-1"/>
        </w:rPr>
        <w:t>条件。</w:t>
      </w:r>
    </w:p>
    <w:p>
      <w:pPr>
        <w:pStyle w:val="BodyText"/>
        <w:ind w:right="189" w:hanging="2439"/>
        <w:jc w:val="both"/>
      </w:pPr>
      <w:r>
        <w:rPr/>
        <w:t>23</w:t>
      </w:r>
      <w:r>
        <w:rPr>
          <w:spacing w:val="-3"/>
        </w:rPr>
        <w:t>、语言能力丧失 ： 指因疾病或意外伤害导致完全丧失语言能力，经过积极治疗至少 </w:t>
      </w:r>
      <w:r>
        <w:rPr/>
        <w:t>12</w:t>
      </w:r>
      <w:r>
        <w:rPr>
          <w:spacing w:val="-1"/>
        </w:rPr>
        <w:t> 个月</w:t>
      </w:r>
      <w:r>
        <w:rPr/>
        <w:t>（声</w:t>
      </w:r>
      <w:r>
        <w:rPr>
          <w:w w:val="100"/>
        </w:rPr>
        <w:t>带完全</w:t>
      </w:r>
      <w:r>
        <w:rPr>
          <w:spacing w:val="-1"/>
          <w:w w:val="100"/>
        </w:rPr>
        <w:t>切除不受此时间限制</w:t>
      </w:r>
      <w:r>
        <w:rPr>
          <w:spacing w:val="-92"/>
          <w:w w:val="100"/>
        </w:rPr>
        <w:t>）</w:t>
      </w:r>
      <w:r>
        <w:rPr>
          <w:spacing w:val="-1"/>
          <w:w w:val="100"/>
        </w:rPr>
        <w:t>，仍无法通过现有医疗手段恢复。</w:t>
      </w:r>
    </w:p>
    <w:p>
      <w:pPr>
        <w:pStyle w:val="BodyText"/>
        <w:spacing w:line="233" w:lineRule="exact"/>
      </w:pPr>
      <w:r>
        <w:rPr/>
        <w:t>精神心理因素所致的语言能力丧失不在保障范围内。</w:t>
      </w:r>
    </w:p>
    <w:p>
      <w:pPr>
        <w:pStyle w:val="BodyText"/>
        <w:ind w:right="197" w:hanging="2439"/>
        <w:jc w:val="both"/>
      </w:pPr>
      <w:r>
        <w:rPr/>
        <w:t>24</w:t>
      </w:r>
      <w:r>
        <w:rPr>
          <w:spacing w:val="-5"/>
        </w:rPr>
        <w:t>、重型再生障碍性贫血  ： 指因骨髓造血功能慢性持续性衰竭导致的贫血、中性粒细胞减少及血小板减</w:t>
      </w:r>
      <w:r>
        <w:rPr>
          <w:spacing w:val="-1"/>
        </w:rPr>
        <w:t>少。须满足下列全部条件：</w:t>
      </w:r>
    </w:p>
    <w:p>
      <w:pPr>
        <w:pStyle w:val="BodyText"/>
        <w:spacing w:line="233" w:lineRule="exact"/>
      </w:pPr>
      <w:r>
        <w:rPr/>
        <w:t>（1）骨髓穿刺检查或骨髓活检结果支持诊断；</w:t>
      </w:r>
    </w:p>
    <w:p>
      <w:pPr>
        <w:pStyle w:val="BodyText"/>
        <w:spacing w:line="234" w:lineRule="exact"/>
      </w:pPr>
      <w:r>
        <w:rPr/>
        <w:t>（2）外周血象须具备以下三项条件：</w:t>
      </w:r>
    </w:p>
    <w:p>
      <w:pPr>
        <w:pStyle w:val="BodyText"/>
        <w:spacing w:line="234" w:lineRule="exact"/>
        <w:ind w:left="2902"/>
      </w:pPr>
      <w:r>
        <w:rPr/>
        <w:t>① 中性粒细胞绝对值≤0.5×10</w:t>
      </w:r>
      <w:r>
        <w:rPr>
          <w:position w:val="9"/>
          <w:sz w:val="9"/>
        </w:rPr>
        <w:t>9</w:t>
      </w:r>
      <w:r>
        <w:rPr/>
        <w:t>/L；</w:t>
      </w:r>
    </w:p>
    <w:p>
      <w:pPr>
        <w:pStyle w:val="BodyText"/>
        <w:spacing w:line="234" w:lineRule="exact"/>
        <w:ind w:left="2902"/>
      </w:pPr>
      <w:r>
        <w:rPr/>
        <w:t>② 网织红细胞＜1%；</w:t>
      </w:r>
    </w:p>
    <w:p>
      <w:pPr>
        <w:pStyle w:val="BodyText"/>
        <w:spacing w:line="234" w:lineRule="exact"/>
        <w:ind w:left="0" w:right="529"/>
        <w:jc w:val="center"/>
      </w:pPr>
      <w:r>
        <w:rPr/>
        <w:t>③ 血小板绝对值≤20×10</w:t>
      </w:r>
      <w:r>
        <w:rPr>
          <w:position w:val="9"/>
          <w:sz w:val="9"/>
        </w:rPr>
        <w:t>9</w:t>
      </w:r>
      <w:r>
        <w:rPr/>
        <w:t>/L。</w:t>
      </w:r>
    </w:p>
    <w:p>
      <w:pPr>
        <w:pStyle w:val="BodyText"/>
        <w:tabs>
          <w:tab w:pos="2340" w:val="left" w:leader="none"/>
        </w:tabs>
        <w:spacing w:line="237" w:lineRule="auto" w:before="120"/>
        <w:ind w:right="188" w:hanging="2439"/>
        <w:jc w:val="both"/>
      </w:pPr>
      <w:r>
        <w:rPr/>
        <w:t>25、主动脉手术</w:t>
        <w:tab/>
        <w:t>：</w:t>
      </w:r>
      <w:r>
        <w:rPr>
          <w:spacing w:val="-73"/>
        </w:rPr>
        <w:t> </w:t>
      </w:r>
      <w:r>
        <w:rPr/>
        <w:t>指为治疗主动脉疾病</w:t>
      </w:r>
      <w:r>
        <w:rPr>
          <w:spacing w:val="-15"/>
        </w:rPr>
        <w:t>，</w:t>
      </w:r>
      <w:r>
        <w:rPr/>
        <w:t>实际实施了开胸或开腹进行的切除</w:t>
      </w:r>
      <w:r>
        <w:rPr>
          <w:spacing w:val="-13"/>
        </w:rPr>
        <w:t>、</w:t>
      </w:r>
      <w:r>
        <w:rPr/>
        <w:t>置换</w:t>
      </w:r>
      <w:r>
        <w:rPr>
          <w:spacing w:val="-15"/>
        </w:rPr>
        <w:t>、</w:t>
      </w:r>
      <w:r>
        <w:rPr/>
        <w:t>修补病损主动脉血管的手术</w:t>
      </w:r>
      <w:r>
        <w:rPr>
          <w:spacing w:val="-20"/>
        </w:rPr>
        <w:t>。</w:t>
      </w:r>
      <w:r>
        <w:rPr/>
        <w:t>主动脉指胸主动脉和腹主动脉</w:t>
      </w:r>
      <w:r>
        <w:rPr>
          <w:spacing w:val="-20"/>
        </w:rPr>
        <w:t>，</w:t>
      </w:r>
      <w:r>
        <w:rPr/>
        <w:t>不包括胸主动脉和腹主动脉</w:t>
      </w:r>
      <w:r>
        <w:rPr>
          <w:spacing w:val="-1"/>
        </w:rPr>
        <w:t>的</w:t>
      </w:r>
      <w:r>
        <w:rPr/>
        <w:t>分支血管。</w:t>
      </w:r>
    </w:p>
    <w:p>
      <w:pPr>
        <w:pStyle w:val="BodyText"/>
        <w:spacing w:line="233" w:lineRule="exact"/>
      </w:pPr>
      <w:r>
        <w:rPr/>
        <w:t>动脉内血管成形术不在保障范围内。</w:t>
      </w:r>
    </w:p>
    <w:p>
      <w:pPr>
        <w:pStyle w:val="BodyText"/>
        <w:spacing w:line="316" w:lineRule="auto" w:before="64"/>
        <w:ind w:left="101" w:right="208"/>
      </w:pPr>
      <w:r>
        <w:rPr/>
        <w:t>以上重大疾病使用的定义为由中国保险行业协会所制定的统一的疾病定义，而以下疾病定义是我们在参考国内外成年人重大疾病保险发展状况并结合现代医学进展情况的基础上所制定的。</w:t>
      </w:r>
    </w:p>
    <w:p>
      <w:pPr>
        <w:pStyle w:val="BodyText"/>
        <w:spacing w:line="232" w:lineRule="exact" w:before="4"/>
        <w:ind w:right="189" w:hanging="2439"/>
        <w:jc w:val="both"/>
      </w:pPr>
      <w:r>
        <w:rPr/>
        <w:t>26</w:t>
      </w:r>
      <w:r>
        <w:rPr>
          <w:spacing w:val="-3"/>
        </w:rPr>
        <w:t>、多发性硬化症       ： 多发性硬化症为中枢神经系统白质多灶性脱髓鞘病变，病变有时累及灰质。多发性硬化症必须由我们认可的医院的神经专科医生确诊。必须伴有典型的脱髓</w:t>
      </w:r>
    </w:p>
    <w:p>
      <w:pPr>
        <w:pStyle w:val="BodyText"/>
        <w:spacing w:line="232" w:lineRule="exact" w:before="2"/>
        <w:ind w:right="134"/>
      </w:pPr>
      <w:r>
        <w:rPr/>
        <w:t>鞘症状和运动及感觉功能障碍的证据并有 MRI 和脑脊液检查的典型改变。 多发性硬化症必须造成神经系统永久性功能损害并且已导致被保险人自主生活</w:t>
      </w:r>
    </w:p>
    <w:p>
      <w:pPr>
        <w:pStyle w:val="BodyText"/>
        <w:spacing w:line="232" w:lineRule="exact" w:before="2"/>
        <w:ind w:right="191"/>
      </w:pPr>
      <w:r>
        <w:rPr>
          <w:spacing w:val="-6"/>
        </w:rPr>
        <w:t>能力完全丧失，无法独立完成六项基本日常生活活动中的三项或三项以上持续</w:t>
      </w:r>
      <w:r>
        <w:rPr>
          <w:spacing w:val="-26"/>
        </w:rPr>
        <w:t>达 </w:t>
      </w:r>
      <w:r>
        <w:rPr/>
        <w:t>180</w:t>
      </w:r>
      <w:r>
        <w:rPr>
          <w:spacing w:val="-10"/>
        </w:rPr>
        <w:t> 天以上。</w:t>
      </w:r>
    </w:p>
    <w:p>
      <w:pPr>
        <w:spacing w:after="0" w:line="232" w:lineRule="exact"/>
        <w:sectPr>
          <w:pgSz w:w="11960" w:h="16850"/>
          <w:pgMar w:header="0" w:footer="1001" w:top="1600" w:bottom="1200" w:left="1600" w:right="1540"/>
        </w:sectPr>
      </w:pPr>
    </w:p>
    <w:p>
      <w:pPr>
        <w:pStyle w:val="BodyText"/>
        <w:spacing w:before="73"/>
        <w:ind w:left="101"/>
      </w:pPr>
      <w:r>
        <w:rPr/>
        <w:t>27、经输血导致的艾滋病病： 被保险人感染上人类免疫缺陷病毒（HIV）并且符合下列所有条件：</w:t>
      </w:r>
    </w:p>
    <w:p>
      <w:pPr>
        <w:spacing w:after="0"/>
        <w:sectPr>
          <w:pgSz w:w="11960" w:h="16850"/>
          <w:pgMar w:header="0" w:footer="1001" w:top="1600" w:bottom="1200" w:left="1600" w:right="1540"/>
        </w:sectPr>
      </w:pPr>
    </w:p>
    <w:p>
      <w:pPr>
        <w:pStyle w:val="BodyText"/>
        <w:spacing w:line="232" w:lineRule="exact"/>
        <w:ind w:left="101"/>
      </w:pPr>
      <w:r>
        <w:rPr/>
        <w:t>毒感染</w:t>
      </w:r>
    </w:p>
    <w:p>
      <w:pPr>
        <w:pStyle w:val="ListParagraph"/>
        <w:numPr>
          <w:ilvl w:val="0"/>
          <w:numId w:val="1"/>
        </w:numPr>
        <w:tabs>
          <w:tab w:pos="376" w:val="left" w:leader="none"/>
        </w:tabs>
        <w:spacing w:line="240" w:lineRule="auto" w:before="0" w:after="0"/>
        <w:ind w:left="101" w:right="186" w:firstLine="0"/>
        <w:jc w:val="left"/>
        <w:rPr>
          <w:sz w:val="18"/>
        </w:rPr>
      </w:pPr>
      <w:r>
        <w:rPr>
          <w:w w:val="100"/>
          <w:sz w:val="18"/>
        </w:rPr>
        <w:br w:type="column"/>
      </w:r>
      <w:r>
        <w:rPr>
          <w:sz w:val="18"/>
        </w:rPr>
        <w:t>在保障起始日或复效日之后，被保险人因治疗必需而接受输血，并且因输</w:t>
      </w:r>
      <w:r>
        <w:rPr>
          <w:spacing w:val="-9"/>
          <w:sz w:val="18"/>
        </w:rPr>
        <w:t>血而感染 </w:t>
      </w:r>
      <w:r>
        <w:rPr>
          <w:sz w:val="18"/>
        </w:rPr>
        <w:t>HIV；</w:t>
      </w:r>
    </w:p>
    <w:p>
      <w:pPr>
        <w:pStyle w:val="ListParagraph"/>
        <w:numPr>
          <w:ilvl w:val="0"/>
          <w:numId w:val="1"/>
        </w:numPr>
        <w:tabs>
          <w:tab w:pos="335" w:val="left" w:leader="none"/>
        </w:tabs>
        <w:spacing w:line="240" w:lineRule="auto" w:before="0" w:after="0"/>
        <w:ind w:left="101" w:right="100" w:firstLine="0"/>
        <w:jc w:val="left"/>
        <w:rPr>
          <w:sz w:val="18"/>
        </w:rPr>
      </w:pPr>
      <w:r>
        <w:rPr>
          <w:spacing w:val="-1"/>
          <w:sz w:val="18"/>
        </w:rPr>
        <w:t>提供输血治疗的输血中心或医院出具该项输血感染属医疗责任事故的报告， 或者法院终审判决为医疗责任；</w:t>
      </w:r>
    </w:p>
    <w:p>
      <w:pPr>
        <w:pStyle w:val="ListParagraph"/>
        <w:numPr>
          <w:ilvl w:val="0"/>
          <w:numId w:val="1"/>
        </w:numPr>
        <w:tabs>
          <w:tab w:pos="376" w:val="left" w:leader="none"/>
        </w:tabs>
        <w:spacing w:line="233" w:lineRule="exact" w:before="0" w:after="0"/>
        <w:ind w:left="101" w:right="0" w:firstLine="0"/>
        <w:jc w:val="left"/>
        <w:rPr>
          <w:sz w:val="18"/>
        </w:rPr>
      </w:pPr>
      <w:r>
        <w:rPr>
          <w:spacing w:val="-2"/>
          <w:sz w:val="18"/>
        </w:rPr>
        <w:t>提供输血治疗的输血中心或医院必须拥有合法经营执照；</w:t>
      </w:r>
    </w:p>
    <w:p>
      <w:pPr>
        <w:pStyle w:val="ListParagraph"/>
        <w:numPr>
          <w:ilvl w:val="0"/>
          <w:numId w:val="1"/>
        </w:numPr>
        <w:tabs>
          <w:tab w:pos="376" w:val="left" w:leader="none"/>
        </w:tabs>
        <w:spacing w:line="234" w:lineRule="exact" w:before="0" w:after="0"/>
        <w:ind w:left="101" w:right="0" w:firstLine="0"/>
        <w:jc w:val="left"/>
        <w:rPr>
          <w:sz w:val="18"/>
        </w:rPr>
      </w:pPr>
      <w:r>
        <w:rPr>
          <w:spacing w:val="-2"/>
          <w:sz w:val="18"/>
        </w:rPr>
        <w:t>受感染的被保险人不是血友病患者；</w:t>
      </w:r>
    </w:p>
    <w:p>
      <w:pPr>
        <w:pStyle w:val="BodyText"/>
        <w:ind w:left="101" w:right="186"/>
      </w:pPr>
      <w:r>
        <w:rPr>
          <w:spacing w:val="-2"/>
        </w:rPr>
        <w:t>任何因其他传播方式</w:t>
      </w:r>
      <w:r>
        <w:rPr/>
        <w:t>（</w:t>
      </w:r>
      <w:r>
        <w:rPr>
          <w:spacing w:val="-4"/>
        </w:rPr>
        <w:t>包括：性传播或静脉注射毒品</w:t>
      </w:r>
      <w:r>
        <w:rPr>
          <w:spacing w:val="-15"/>
        </w:rPr>
        <w:t>）</w:t>
      </w:r>
      <w:r>
        <w:rPr>
          <w:spacing w:val="-12"/>
        </w:rPr>
        <w:t>导致的 </w:t>
      </w:r>
      <w:r>
        <w:rPr/>
        <w:t>HIV</w:t>
      </w:r>
      <w:r>
        <w:rPr>
          <w:spacing w:val="-9"/>
        </w:rPr>
        <w:t> 感染不在本</w:t>
      </w:r>
      <w:r>
        <w:rPr>
          <w:spacing w:val="-1"/>
        </w:rPr>
        <w:t>保单保障范围内。</w:t>
      </w:r>
    </w:p>
    <w:p>
      <w:pPr>
        <w:spacing w:after="0"/>
        <w:sectPr>
          <w:type w:val="continuous"/>
          <w:pgSz w:w="11960" w:h="16850"/>
          <w:pgMar w:top="280" w:bottom="1200" w:left="1600" w:right="1540"/>
          <w:cols w:num="2" w:equalWidth="0">
            <w:col w:w="642" w:space="1796"/>
            <w:col w:w="6382"/>
          </w:cols>
        </w:sectPr>
      </w:pPr>
    </w:p>
    <w:p>
      <w:pPr>
        <w:pStyle w:val="BodyText"/>
        <w:spacing w:line="237" w:lineRule="auto" w:before="18"/>
        <w:ind w:right="191" w:hanging="2439"/>
        <w:jc w:val="both"/>
      </w:pPr>
      <w:r>
        <w:rPr/>
        <w:t>28</w:t>
      </w:r>
      <w:r>
        <w:rPr>
          <w:spacing w:val="-3"/>
        </w:rPr>
        <w:t>、肌营养不良症       ： 肌营养不良症是一组遗传性肌肉变性坏死性病变，临床特征为与神经系统无关</w:t>
      </w:r>
      <w:r>
        <w:rPr>
          <w:spacing w:val="-1"/>
        </w:rPr>
        <w:t>的骨骼肌对称地进行性无力和萎缩，其诊断需同时符合以下条件：</w:t>
      </w:r>
    </w:p>
    <w:p>
      <w:pPr>
        <w:pStyle w:val="BodyText"/>
        <w:spacing w:line="234" w:lineRule="exact"/>
      </w:pPr>
      <w:r>
        <w:rPr/>
        <w:t>（1）肌电图显示典型肌营养不良症的阳性改变；</w:t>
      </w:r>
    </w:p>
    <w:p>
      <w:pPr>
        <w:pStyle w:val="BodyText"/>
        <w:spacing w:line="233" w:lineRule="exact"/>
      </w:pPr>
      <w:r>
        <w:rPr/>
        <w:t>（2）血清肌酸磷酸激酶（CPK）升高</w:t>
      </w:r>
    </w:p>
    <w:p>
      <w:pPr>
        <w:pStyle w:val="BodyText"/>
        <w:ind w:right="189"/>
      </w:pPr>
      <w:r>
        <w:rPr/>
        <w:t>（3）肌肉活检的病理学诊断符合肌营养不良症的肌肉细胞变性、坏死等阳性改变。</w:t>
      </w:r>
    </w:p>
    <w:p>
      <w:pPr>
        <w:pStyle w:val="BodyText"/>
        <w:ind w:right="149"/>
      </w:pPr>
      <w:r>
        <w:rPr/>
        <w:t>（4）疾病确诊 180 天以后，被保险人仍完全丧失独立生活能力，无法独立完成六项基本日常生活活动中的三项或三项以上</w:t>
      </w:r>
    </w:p>
    <w:p>
      <w:pPr>
        <w:pStyle w:val="BodyText"/>
        <w:spacing w:line="237" w:lineRule="auto" w:before="118"/>
        <w:ind w:right="189" w:hanging="2439"/>
        <w:jc w:val="both"/>
      </w:pPr>
      <w:r>
        <w:rPr/>
        <w:t>29</w:t>
      </w:r>
      <w:r>
        <w:rPr>
          <w:spacing w:val="-2"/>
        </w:rPr>
        <w:t>、原发性心肌病       ：是指不明原因引起的一类心肌病变，包括原发性扩张型心肌病、原发性肥厚型</w:t>
      </w:r>
      <w:r>
        <w:rPr>
          <w:spacing w:val="-5"/>
        </w:rPr>
        <w:t>心肌病及原发性限制型心肌病三种，病变必须已造成事实上心室功能障碍而出</w:t>
      </w:r>
      <w:r>
        <w:rPr>
          <w:spacing w:val="-6"/>
        </w:rPr>
        <w:t>现明显的心功能衰竭，达到美国纽约心脏病协会心功能状态分级 </w:t>
      </w:r>
      <w:r>
        <w:rPr/>
        <w:t>IV</w:t>
      </w:r>
      <w:r>
        <w:rPr>
          <w:spacing w:val="-5"/>
        </w:rPr>
        <w:t> 级，且有</w:t>
      </w:r>
      <w:r>
        <w:rPr>
          <w:spacing w:val="-8"/>
        </w:rPr>
        <w:t>相关住院医疗记录显示 </w:t>
      </w:r>
      <w:r>
        <w:rPr/>
        <w:t>IV</w:t>
      </w:r>
      <w:r>
        <w:rPr>
          <w:spacing w:val="-9"/>
        </w:rPr>
        <w:t> 级心功能状态持续至少 </w:t>
      </w:r>
      <w:r>
        <w:rPr/>
        <w:t>180</w:t>
      </w:r>
      <w:r>
        <w:rPr>
          <w:spacing w:val="-6"/>
        </w:rPr>
        <w:t> 天。该疾病索赔时须要</w:t>
      </w:r>
      <w:r>
        <w:rPr>
          <w:spacing w:val="-9"/>
        </w:rPr>
        <w:t>经专科医师做出明确诊断。继发于全身性疾病或其它器官系统疾病不属本保障</w:t>
      </w:r>
      <w:r>
        <w:rPr>
          <w:spacing w:val="-1"/>
        </w:rPr>
        <w:t>范围.</w:t>
      </w:r>
    </w:p>
    <w:p>
      <w:pPr>
        <w:pStyle w:val="BodyText"/>
        <w:tabs>
          <w:tab w:pos="2350" w:val="left" w:leader="none"/>
        </w:tabs>
        <w:spacing w:line="237" w:lineRule="auto" w:before="37"/>
        <w:ind w:right="189" w:hanging="2439"/>
        <w:jc w:val="both"/>
      </w:pPr>
      <w:r>
        <w:rPr/>
        <w:t>30、终末期肺病</w:t>
        <w:tab/>
      </w:r>
      <w:r>
        <w:rPr>
          <w:spacing w:val="7"/>
        </w:rPr>
        <w:t>：</w:t>
      </w:r>
      <w:r>
        <w:rPr>
          <w:spacing w:val="2"/>
        </w:rPr>
        <w:t>是指被保险人必</w:t>
      </w:r>
      <w:r>
        <w:rPr/>
        <w:t>须</w:t>
      </w:r>
      <w:r>
        <w:rPr>
          <w:spacing w:val="2"/>
        </w:rPr>
        <w:t>经本公司</w:t>
      </w:r>
      <w:r>
        <w:rPr/>
        <w:t>认</w:t>
      </w:r>
      <w:r>
        <w:rPr>
          <w:spacing w:val="2"/>
        </w:rPr>
        <w:t>可的医院的呼吸</w:t>
      </w:r>
      <w:r>
        <w:rPr/>
        <w:t>科</w:t>
      </w:r>
      <w:r>
        <w:rPr>
          <w:spacing w:val="2"/>
        </w:rPr>
        <w:t>专科医师</w:t>
      </w:r>
      <w:r>
        <w:rPr/>
        <w:t>确</w:t>
      </w:r>
      <w:r>
        <w:rPr>
          <w:spacing w:val="2"/>
        </w:rPr>
        <w:t>诊患有慢性肺</w:t>
      </w:r>
      <w:r>
        <w:rPr/>
        <w:t>部 </w:t>
      </w:r>
      <w:r>
        <w:rPr>
          <w:spacing w:val="-1"/>
        </w:rPr>
        <w:t>疾病而出</w:t>
      </w:r>
      <w:r>
        <w:rPr/>
        <w:t>现慢性呼吸功能衰竭，其诊断标准包括以下各项：</w:t>
      </w:r>
    </w:p>
    <w:p>
      <w:pPr>
        <w:pStyle w:val="BodyText"/>
        <w:spacing w:line="234" w:lineRule="exact"/>
      </w:pPr>
      <w:r>
        <w:rPr/>
        <w:t>a.肺功能测试其 FEV1 持续低于 1 升。</w:t>
      </w:r>
    </w:p>
    <w:p>
      <w:pPr>
        <w:pStyle w:val="BodyText"/>
        <w:spacing w:line="234" w:lineRule="exact"/>
      </w:pPr>
      <w:r>
        <w:rPr/>
        <w:t>b.病人血氧不足必须持续地进行输氧治疗。</w:t>
      </w:r>
    </w:p>
    <w:p>
      <w:pPr>
        <w:pStyle w:val="BodyText"/>
        <w:spacing w:line="234" w:lineRule="exact"/>
      </w:pPr>
      <w:r>
        <w:rPr/>
        <w:t>c.动脉血气分析氧分压等于或低于 55mmHg。</w:t>
      </w:r>
    </w:p>
    <w:p>
      <w:pPr>
        <w:pStyle w:val="BodyText"/>
        <w:spacing w:line="234" w:lineRule="exact"/>
      </w:pPr>
      <w:r>
        <w:rPr/>
        <w:t>d.休息时出现呼吸困难。</w:t>
      </w:r>
    </w:p>
    <w:p>
      <w:pPr>
        <w:pStyle w:val="BodyText"/>
        <w:spacing w:line="237" w:lineRule="auto" w:before="159"/>
        <w:ind w:right="190" w:hanging="2439"/>
        <w:jc w:val="both"/>
      </w:pPr>
      <w:r>
        <w:rPr/>
        <w:t>31、冠状动脉血管成形术  ：是指有心绞痛等心脏不适症状，经过血管造影技术检查证实同时存在两支(其中一支为左冠状动脉主干、左前降支或左回旋支)或更多支的冠状动脉血管发</w:t>
      </w:r>
      <w:r>
        <w:rPr>
          <w:spacing w:val="-1"/>
          <w:w w:val="100"/>
        </w:rPr>
        <w:t>生严重的狭窄（</w:t>
      </w:r>
      <w:r>
        <w:rPr>
          <w:spacing w:val="-7"/>
          <w:w w:val="100"/>
        </w:rPr>
        <w:t>狭窄程度在 </w:t>
      </w:r>
      <w:r>
        <w:rPr>
          <w:spacing w:val="0"/>
          <w:w w:val="100"/>
        </w:rPr>
        <w:t>7</w:t>
      </w:r>
      <w:r>
        <w:rPr>
          <w:spacing w:val="-2"/>
          <w:w w:val="100"/>
        </w:rPr>
        <w:t>0</w:t>
      </w:r>
      <w:r>
        <w:rPr>
          <w:spacing w:val="-1"/>
          <w:w w:val="100"/>
        </w:rPr>
        <w:t>％以上</w:t>
      </w:r>
      <w:r>
        <w:rPr>
          <w:spacing w:val="-92"/>
          <w:w w:val="100"/>
        </w:rPr>
        <w:t>）</w:t>
      </w:r>
      <w:r>
        <w:rPr>
          <w:spacing w:val="-1"/>
          <w:w w:val="100"/>
        </w:rPr>
        <w:t>，需要并且已实施冠状动脉气囊扩张以</w:t>
      </w:r>
      <w:r>
        <w:rPr>
          <w:spacing w:val="-5"/>
        </w:rPr>
        <w:t>改善血管的血流状况。索赔时必须提供血管造影的影像资料、报告、手术记录</w:t>
      </w:r>
      <w:r>
        <w:rPr>
          <w:spacing w:val="-1"/>
        </w:rPr>
        <w:t>和病历。</w:t>
      </w:r>
    </w:p>
    <w:p>
      <w:pPr>
        <w:pStyle w:val="BodyText"/>
        <w:spacing w:before="27"/>
        <w:ind w:left="101"/>
      </w:pPr>
      <w:r>
        <w:rPr/>
        <w:t>32、进行性系统性硬化（硬：是一种以皮肤、血管和内脏器官的进行性、弥漫性纤维化为特点的系统性结缔</w:t>
      </w:r>
    </w:p>
    <w:p>
      <w:pPr>
        <w:spacing w:after="0"/>
        <w:sectPr>
          <w:type w:val="continuous"/>
          <w:pgSz w:w="11960" w:h="16850"/>
          <w:pgMar w:top="280" w:bottom="1200" w:left="1600" w:right="1540"/>
        </w:sectPr>
      </w:pPr>
    </w:p>
    <w:p>
      <w:pPr>
        <w:pStyle w:val="BodyText"/>
        <w:spacing w:line="232" w:lineRule="exact"/>
        <w:ind w:left="101"/>
      </w:pPr>
      <w:r>
        <w:rPr/>
        <w:t>皮病）</w:t>
      </w:r>
    </w:p>
    <w:p>
      <w:pPr>
        <w:pStyle w:val="BodyText"/>
        <w:ind w:left="101" w:right="191"/>
      </w:pPr>
      <w:r>
        <w:rPr/>
        <w:br w:type="column"/>
      </w:r>
      <w:r>
        <w:rPr>
          <w:spacing w:val="-7"/>
        </w:rPr>
        <w:t>组织病。须经专科医生根据组织活检和血清学检查结果作出明确诊断并提供下</w:t>
      </w:r>
      <w:r>
        <w:rPr>
          <w:spacing w:val="-1"/>
        </w:rPr>
        <w:t>列一项或一项以上内脏器官受累的检查报告及诊疗记录：</w:t>
      </w:r>
    </w:p>
    <w:p>
      <w:pPr>
        <w:pStyle w:val="BodyText"/>
        <w:spacing w:line="233" w:lineRule="exact" w:before="3"/>
        <w:ind w:left="101"/>
      </w:pPr>
      <w:r>
        <w:rPr/>
        <w:t>肺脏：肺纤维化，已经发展为肺动脉高压、肺心病；</w:t>
      </w:r>
    </w:p>
    <w:p>
      <w:pPr>
        <w:pStyle w:val="BodyText"/>
        <w:spacing w:line="237" w:lineRule="auto" w:before="1"/>
        <w:ind w:left="101" w:right="330"/>
      </w:pPr>
      <w:r>
        <w:rPr/>
        <w:t>心脏：心室功能受损，至少达到美国纽约心脏病学会心功能状态分级Ⅲ级； 肾脏：肾脏受损，已经出现肾功能不全。</w:t>
      </w:r>
    </w:p>
    <w:p>
      <w:pPr>
        <w:pStyle w:val="BodyText"/>
        <w:spacing w:line="234" w:lineRule="exact"/>
        <w:ind w:left="101"/>
      </w:pPr>
      <w:r>
        <w:rPr/>
        <w:t>下列疾病不在保障范围内：</w:t>
      </w:r>
    </w:p>
    <w:p>
      <w:pPr>
        <w:pStyle w:val="BodyText"/>
        <w:spacing w:line="234" w:lineRule="exact"/>
        <w:ind w:left="463"/>
      </w:pPr>
      <w:r>
        <w:rPr>
          <w:spacing w:val="-1"/>
          <w:w w:val="100"/>
        </w:rPr>
        <w:t>（</w:t>
      </w:r>
      <w:r>
        <w:rPr>
          <w:spacing w:val="0"/>
          <w:w w:val="100"/>
        </w:rPr>
        <w:t>1</w:t>
      </w:r>
      <w:r>
        <w:rPr>
          <w:spacing w:val="-1"/>
          <w:w w:val="100"/>
        </w:rPr>
        <w:t>）局部性硬皮病（</w:t>
      </w:r>
      <w:r>
        <w:rPr>
          <w:spacing w:val="-2"/>
          <w:w w:val="100"/>
        </w:rPr>
        <w:t>如：带状硬皮病、硬斑病</w:t>
      </w:r>
      <w:r>
        <w:rPr>
          <w:spacing w:val="-92"/>
          <w:w w:val="100"/>
        </w:rPr>
        <w:t>）</w:t>
      </w:r>
      <w:r>
        <w:rPr>
          <w:w w:val="100"/>
        </w:rPr>
        <w:t>；</w:t>
      </w:r>
    </w:p>
    <w:p>
      <w:pPr>
        <w:pStyle w:val="BodyText"/>
        <w:spacing w:line="234" w:lineRule="exact"/>
        <w:ind w:left="463"/>
      </w:pPr>
      <w:r>
        <w:rPr/>
        <w:t>（2）嗜酸性粒细胞性筋膜炎；</w:t>
      </w:r>
    </w:p>
    <w:p>
      <w:pPr>
        <w:pStyle w:val="BodyText"/>
        <w:spacing w:line="234" w:lineRule="exact"/>
        <w:ind w:left="463"/>
      </w:pPr>
      <w:r>
        <w:rPr/>
        <w:t>（3）CREST 综合征。</w:t>
      </w:r>
    </w:p>
    <w:p>
      <w:pPr>
        <w:spacing w:after="0" w:line="234" w:lineRule="exact"/>
        <w:sectPr>
          <w:type w:val="continuous"/>
          <w:pgSz w:w="11960" w:h="16850"/>
          <w:pgMar w:top="280" w:bottom="1200" w:left="1600" w:right="1540"/>
          <w:cols w:num="2" w:equalWidth="0">
            <w:col w:w="642" w:space="1796"/>
            <w:col w:w="6382"/>
          </w:cols>
        </w:sectPr>
      </w:pPr>
    </w:p>
    <w:p>
      <w:pPr>
        <w:pStyle w:val="BodyText"/>
        <w:spacing w:before="12"/>
        <w:ind w:left="0"/>
        <w:rPr>
          <w:sz w:val="13"/>
        </w:rPr>
      </w:pPr>
    </w:p>
    <w:p>
      <w:pPr>
        <w:pStyle w:val="BodyText"/>
        <w:spacing w:before="45"/>
        <w:ind w:left="101"/>
      </w:pPr>
      <w:r>
        <w:rPr/>
        <w:t>重大疾病定义的释义：</w:t>
      </w:r>
    </w:p>
    <w:p>
      <w:pPr>
        <w:pStyle w:val="BodyText"/>
        <w:tabs>
          <w:tab w:pos="2340" w:val="left" w:leader="none"/>
        </w:tabs>
        <w:spacing w:line="235" w:lineRule="exact" w:before="38"/>
        <w:ind w:left="101"/>
      </w:pPr>
      <w:r>
        <w:rPr/>
        <w:t>专科医生</w:t>
        <w:tab/>
        <w:t>：</w:t>
      </w:r>
      <w:r>
        <w:rPr>
          <w:spacing w:val="-72"/>
        </w:rPr>
        <w:t> </w:t>
      </w:r>
      <w:r>
        <w:rPr/>
        <w:t>专科医生应当同时满足以下四项资格条件：</w:t>
      </w:r>
    </w:p>
    <w:p>
      <w:pPr>
        <w:pStyle w:val="BodyText"/>
        <w:spacing w:line="234" w:lineRule="exact"/>
      </w:pPr>
      <w:r>
        <w:rPr/>
        <w:t>（1）具有有效的中华人民共和国《医师资格证书》；</w:t>
      </w:r>
    </w:p>
    <w:p>
      <w:pPr>
        <w:pStyle w:val="BodyText"/>
        <w:ind w:right="191"/>
      </w:pPr>
      <w:r>
        <w:rPr>
          <w:spacing w:val="-6"/>
        </w:rPr>
        <w:t>（2）</w:t>
      </w:r>
      <w:r>
        <w:rPr>
          <w:spacing w:val="-8"/>
        </w:rPr>
        <w:t>具有有效的中华人民共和国《医师执业证书》，并按期到相关部门登记注</w:t>
      </w:r>
      <w:r>
        <w:rPr>
          <w:spacing w:val="-1"/>
        </w:rPr>
        <w:t>册；</w:t>
      </w:r>
    </w:p>
    <w:p>
      <w:pPr>
        <w:pStyle w:val="BodyText"/>
        <w:ind w:right="189"/>
      </w:pPr>
      <w:r>
        <w:rPr/>
        <w:t>（3）具有有效的中华人民共和国主治医师或主治医师以上职称的《医师职称证书》；</w:t>
      </w:r>
    </w:p>
    <w:p>
      <w:pPr>
        <w:pStyle w:val="BodyText"/>
        <w:spacing w:line="233" w:lineRule="exact" w:before="1"/>
      </w:pPr>
      <w:r>
        <w:rPr/>
        <w:t>（4）在二级或二级以上医院的相应科室从事临床工作三年以上。</w:t>
      </w:r>
    </w:p>
    <w:p>
      <w:pPr>
        <w:spacing w:after="0" w:line="233" w:lineRule="exact"/>
        <w:sectPr>
          <w:type w:val="continuous"/>
          <w:pgSz w:w="11960" w:h="16850"/>
          <w:pgMar w:top="280" w:bottom="1200" w:left="1600" w:right="1540"/>
        </w:sectPr>
      </w:pPr>
    </w:p>
    <w:p>
      <w:pPr>
        <w:pStyle w:val="BodyText"/>
        <w:tabs>
          <w:tab w:pos="2340" w:val="left" w:leader="none"/>
        </w:tabs>
        <w:spacing w:line="234" w:lineRule="exact" w:before="73"/>
        <w:ind w:left="101"/>
      </w:pPr>
      <w:r>
        <w:rPr/>
        <w:t>六项基本日常生活活动</w:t>
        <w:tab/>
        <w:t>：</w:t>
      </w:r>
      <w:r>
        <w:rPr>
          <w:spacing w:val="-72"/>
        </w:rPr>
        <w:t> </w:t>
      </w:r>
      <w:r>
        <w:rPr/>
        <w:t>六项基本日常生活活动是指：</w:t>
      </w:r>
    </w:p>
    <w:p>
      <w:pPr>
        <w:pStyle w:val="BodyText"/>
        <w:spacing w:line="234" w:lineRule="exact"/>
      </w:pPr>
      <w:r>
        <w:rPr/>
        <w:t>（1）穿衣：自己能够穿衣及脱衣；</w:t>
      </w:r>
    </w:p>
    <w:p>
      <w:pPr>
        <w:pStyle w:val="BodyText"/>
        <w:spacing w:line="234" w:lineRule="exact"/>
      </w:pPr>
      <w:r>
        <w:rPr/>
        <w:t>（2）移动：自己从一个房间到另一个房间；</w:t>
      </w:r>
    </w:p>
    <w:p>
      <w:pPr>
        <w:pStyle w:val="BodyText"/>
        <w:spacing w:line="234" w:lineRule="exact"/>
      </w:pPr>
      <w:r>
        <w:rPr/>
        <w:t>（3）行动：自己上下床或上下轮椅；</w:t>
      </w:r>
    </w:p>
    <w:p>
      <w:pPr>
        <w:pStyle w:val="BodyText"/>
        <w:spacing w:line="234" w:lineRule="exact"/>
      </w:pPr>
      <w:r>
        <w:rPr/>
        <w:t>（4）如厕：自己控制进行大小便；</w:t>
      </w:r>
    </w:p>
    <w:p>
      <w:pPr>
        <w:pStyle w:val="BodyText"/>
        <w:spacing w:line="234" w:lineRule="exact"/>
      </w:pPr>
      <w:r>
        <w:rPr/>
        <w:t>（5）进食：自己从已准备好的碗或碟中取食物放入口中；</w:t>
      </w:r>
    </w:p>
    <w:p>
      <w:pPr>
        <w:pStyle w:val="BodyText"/>
      </w:pPr>
      <w:r>
        <w:rPr/>
        <w:t>（6）洗澡：自己进行淋浴或盆浴。</w:t>
      </w:r>
    </w:p>
    <w:p>
      <w:pPr>
        <w:pStyle w:val="BodyText"/>
        <w:tabs>
          <w:tab w:pos="2340" w:val="left" w:leader="none"/>
        </w:tabs>
        <w:spacing w:line="237" w:lineRule="auto" w:before="42"/>
        <w:ind w:right="191" w:hanging="2439"/>
      </w:pPr>
      <w:r>
        <w:rPr/>
        <w:t>肢体机能完全丧失</w:t>
        <w:tab/>
        <w:t>：</w:t>
      </w:r>
      <w:r>
        <w:rPr>
          <w:spacing w:val="-73"/>
        </w:rPr>
        <w:t> </w:t>
      </w:r>
      <w:r>
        <w:rPr/>
        <w:t>指肢体的三大关节中的两大关节僵硬</w:t>
      </w:r>
      <w:r>
        <w:rPr>
          <w:spacing w:val="-20"/>
        </w:rPr>
        <w:t>，</w:t>
      </w:r>
      <w:r>
        <w:rPr/>
        <w:t>或不能随意识活动</w:t>
      </w:r>
      <w:r>
        <w:rPr>
          <w:spacing w:val="-22"/>
        </w:rPr>
        <w:t>。</w:t>
      </w:r>
      <w:r>
        <w:rPr/>
        <w:t>肢体是指包括肩关</w:t>
      </w:r>
      <w:r>
        <w:rPr>
          <w:spacing w:val="-1"/>
        </w:rPr>
        <w:t>节</w:t>
      </w:r>
      <w:r>
        <w:rPr/>
        <w:t>的整个上肢或包括髋关节的整个下肢。</w:t>
      </w:r>
    </w:p>
    <w:p>
      <w:pPr>
        <w:pStyle w:val="BodyText"/>
        <w:spacing w:before="11"/>
        <w:ind w:left="101"/>
      </w:pPr>
      <w:r>
        <w:rPr/>
        <w:t>语言能力或咀嚼吞咽能力完： 语言能力完全丧失，指无法发出四种语音（包括口唇音、齿舌音、口盖音和喉</w:t>
      </w:r>
    </w:p>
    <w:p>
      <w:pPr>
        <w:spacing w:after="0"/>
        <w:sectPr>
          <w:footerReference w:type="default" r:id="rId7"/>
          <w:pgSz w:w="11960" w:h="16850"/>
          <w:pgMar w:footer="1001" w:header="0" w:top="1600" w:bottom="1200" w:left="1600" w:right="1540"/>
        </w:sectPr>
      </w:pPr>
    </w:p>
    <w:p>
      <w:pPr>
        <w:pStyle w:val="BodyText"/>
        <w:spacing w:line="233" w:lineRule="exact"/>
        <w:ind w:left="101"/>
      </w:pPr>
      <w:r>
        <w:rPr/>
        <w:t>全丧失</w:t>
      </w:r>
    </w:p>
    <w:p>
      <w:pPr>
        <w:pStyle w:val="BodyText"/>
        <w:spacing w:line="237" w:lineRule="auto"/>
        <w:ind w:left="101" w:right="100"/>
      </w:pPr>
      <w:r>
        <w:rPr/>
        <w:br w:type="column"/>
      </w:r>
      <w:r>
        <w:rPr/>
        <w:t>头音</w:t>
      </w:r>
      <w:r>
        <w:rPr>
          <w:spacing w:val="-44"/>
        </w:rPr>
        <w:t>）</w:t>
      </w:r>
      <w:r>
        <w:rPr>
          <w:spacing w:val="-10"/>
        </w:rPr>
        <w:t>中的任何三种、或声带全部切除，或因大脑语言中枢受伤害而患失语症。</w:t>
      </w:r>
      <w:r>
        <w:rPr>
          <w:spacing w:val="-12"/>
        </w:rPr>
        <w:t>咀嚼吞咽能力完全丧失，指因牙齿以外的原因导致器质障碍或机能障碍，以致</w:t>
      </w:r>
      <w:r>
        <w:rPr>
          <w:spacing w:val="-1"/>
        </w:rPr>
        <w:t>不能作咀嚼吞咽运动，除流质食物外不能摄取或吞咽的状态。</w:t>
      </w:r>
    </w:p>
    <w:p>
      <w:pPr>
        <w:spacing w:after="0" w:line="237" w:lineRule="auto"/>
        <w:sectPr>
          <w:type w:val="continuous"/>
          <w:pgSz w:w="11960" w:h="16850"/>
          <w:pgMar w:top="280" w:bottom="1200" w:left="1600" w:right="1540"/>
          <w:cols w:num="2" w:equalWidth="0">
            <w:col w:w="642" w:space="1796"/>
            <w:col w:w="6382"/>
          </w:cols>
        </w:sectPr>
      </w:pPr>
    </w:p>
    <w:p>
      <w:pPr>
        <w:pStyle w:val="BodyText"/>
        <w:tabs>
          <w:tab w:pos="2340" w:val="left" w:leader="none"/>
        </w:tabs>
        <w:spacing w:before="122"/>
        <w:ind w:right="189" w:hanging="2439"/>
      </w:pPr>
      <w:r>
        <w:rPr/>
        <w:t>永久不可逆</w:t>
        <w:tab/>
        <w:t>：</w:t>
      </w:r>
      <w:r>
        <w:rPr>
          <w:spacing w:val="-72"/>
        </w:rPr>
        <w:t> </w:t>
      </w:r>
      <w:r>
        <w:rPr/>
        <w:t>指自疾病确诊或意外伤害发生之日起</w:t>
      </w:r>
      <w:r>
        <w:rPr>
          <w:spacing w:val="-20"/>
        </w:rPr>
        <w:t>，</w:t>
      </w:r>
      <w:r>
        <w:rPr/>
        <w:t>经过积极治疗</w:t>
      </w:r>
      <w:r>
        <w:rPr>
          <w:spacing w:val="-46"/>
        </w:rPr>
        <w:t> </w:t>
      </w:r>
      <w:r>
        <w:rPr/>
        <w:t>180</w:t>
      </w:r>
      <w:r>
        <w:rPr>
          <w:spacing w:val="-45"/>
        </w:rPr>
        <w:t> </w:t>
      </w:r>
      <w:r>
        <w:rPr/>
        <w:t>天</w:t>
      </w:r>
      <w:r>
        <w:rPr>
          <w:spacing w:val="-3"/>
        </w:rPr>
        <w:t>后</w:t>
      </w:r>
      <w:r>
        <w:rPr>
          <w:spacing w:val="-20"/>
        </w:rPr>
        <w:t>，</w:t>
      </w:r>
      <w:r>
        <w:rPr/>
        <w:t>仍无法通过现</w:t>
      </w:r>
      <w:r>
        <w:rPr>
          <w:spacing w:val="-1"/>
        </w:rPr>
        <w:t>有</w:t>
      </w:r>
      <w:r>
        <w:rPr/>
        <w:t>医疗手段恢复。</w:t>
      </w:r>
    </w:p>
    <w:sectPr>
      <w:type w:val="continuous"/>
      <w:pgSz w:w="11960" w:h="16850"/>
      <w:pgMar w:top="280" w:bottom="1200" w:left="1600" w:right="1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60.580505pt;margin-top:781.347778pt;width:74.150pt;height:11pt;mso-position-horizontal-relative:page;mso-position-vertical-relative:page;z-index:-11944"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w:t>
                </w:r>
                <w:r>
                  <w:rPr/>
                  <w:fldChar w:fldCharType="end"/>
                </w:r>
                <w:r>
                  <w:rPr/>
                  <w:t> 页 共 10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58.300690pt;margin-top:781.347778pt;width:78.7pt;height:11pt;mso-position-horizontal-relative:page;mso-position-vertical-relative:page;z-index:-11920" type="#_x0000_t202" filled="false" stroked="false">
          <v:textbox inset="0,0,0,0">
            <w:txbxContent>
              <w:p>
                <w:pPr>
                  <w:pStyle w:val="BodyText"/>
                  <w:spacing w:line="200" w:lineRule="exact"/>
                  <w:ind w:left="20"/>
                </w:pPr>
                <w:r>
                  <w:rPr/>
                  <w:t>第 10 页 共 10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01" w:hanging="274"/>
        <w:jc w:val="left"/>
      </w:pPr>
      <w:rPr>
        <w:rFonts w:hint="default" w:ascii="宋体" w:hAnsi="宋体" w:eastAsia="宋体" w:cs="宋体"/>
        <w:spacing w:val="0"/>
        <w:w w:val="100"/>
        <w:sz w:val="18"/>
        <w:szCs w:val="18"/>
      </w:rPr>
    </w:lvl>
    <w:lvl w:ilvl="1">
      <w:start w:val="0"/>
      <w:numFmt w:val="bullet"/>
      <w:lvlText w:val="•"/>
      <w:lvlJc w:val="left"/>
      <w:pPr>
        <w:ind w:left="727" w:hanging="274"/>
      </w:pPr>
      <w:rPr>
        <w:rFonts w:hint="default"/>
      </w:rPr>
    </w:lvl>
    <w:lvl w:ilvl="2">
      <w:start w:val="0"/>
      <w:numFmt w:val="bullet"/>
      <w:lvlText w:val="•"/>
      <w:lvlJc w:val="left"/>
      <w:pPr>
        <w:ind w:left="1354" w:hanging="274"/>
      </w:pPr>
      <w:rPr>
        <w:rFonts w:hint="default"/>
      </w:rPr>
    </w:lvl>
    <w:lvl w:ilvl="3">
      <w:start w:val="0"/>
      <w:numFmt w:val="bullet"/>
      <w:lvlText w:val="•"/>
      <w:lvlJc w:val="left"/>
      <w:pPr>
        <w:ind w:left="1982" w:hanging="274"/>
      </w:pPr>
      <w:rPr>
        <w:rFonts w:hint="default"/>
      </w:rPr>
    </w:lvl>
    <w:lvl w:ilvl="4">
      <w:start w:val="0"/>
      <w:numFmt w:val="bullet"/>
      <w:lvlText w:val="•"/>
      <w:lvlJc w:val="left"/>
      <w:pPr>
        <w:ind w:left="2609" w:hanging="274"/>
      </w:pPr>
      <w:rPr>
        <w:rFonts w:hint="default"/>
      </w:rPr>
    </w:lvl>
    <w:lvl w:ilvl="5">
      <w:start w:val="0"/>
      <w:numFmt w:val="bullet"/>
      <w:lvlText w:val="•"/>
      <w:lvlJc w:val="left"/>
      <w:pPr>
        <w:ind w:left="3236" w:hanging="274"/>
      </w:pPr>
      <w:rPr>
        <w:rFonts w:hint="default"/>
      </w:rPr>
    </w:lvl>
    <w:lvl w:ilvl="6">
      <w:start w:val="0"/>
      <w:numFmt w:val="bullet"/>
      <w:lvlText w:val="•"/>
      <w:lvlJc w:val="left"/>
      <w:pPr>
        <w:ind w:left="3864" w:hanging="274"/>
      </w:pPr>
      <w:rPr>
        <w:rFonts w:hint="default"/>
      </w:rPr>
    </w:lvl>
    <w:lvl w:ilvl="7">
      <w:start w:val="0"/>
      <w:numFmt w:val="bullet"/>
      <w:lvlText w:val="•"/>
      <w:lvlJc w:val="left"/>
      <w:pPr>
        <w:ind w:left="4491" w:hanging="274"/>
      </w:pPr>
      <w:rPr>
        <w:rFonts w:hint="default"/>
      </w:rPr>
    </w:lvl>
    <w:lvl w:ilvl="8">
      <w:start w:val="0"/>
      <w:numFmt w:val="bullet"/>
      <w:lvlText w:val="•"/>
      <w:lvlJc w:val="left"/>
      <w:pPr>
        <w:ind w:left="5119" w:hanging="27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66"/>
      <w:ind w:left="101"/>
    </w:pPr>
    <w:rPr>
      <w:rFonts w:ascii="宋体" w:hAnsi="宋体" w:eastAsia="宋体" w:cs="宋体"/>
      <w:sz w:val="18"/>
      <w:szCs w:val="18"/>
    </w:rPr>
  </w:style>
  <w:style w:styleId="TOC2" w:type="paragraph">
    <w:name w:val="TOC 2"/>
    <w:basedOn w:val="Normal"/>
    <w:uiPriority w:val="1"/>
    <w:qFormat/>
    <w:pPr>
      <w:spacing w:before="56"/>
      <w:ind w:left="312"/>
    </w:pPr>
    <w:rPr>
      <w:rFonts w:ascii="宋体" w:hAnsi="宋体" w:eastAsia="宋体" w:cs="宋体"/>
      <w:sz w:val="18"/>
      <w:szCs w:val="18"/>
    </w:rPr>
  </w:style>
  <w:style w:styleId="TOC3" w:type="paragraph">
    <w:name w:val="TOC 3"/>
    <w:basedOn w:val="Normal"/>
    <w:uiPriority w:val="1"/>
    <w:qFormat/>
    <w:pPr>
      <w:spacing w:before="56"/>
      <w:ind w:left="312"/>
    </w:pPr>
    <w:rPr>
      <w:rFonts w:ascii="宋体" w:hAnsi="宋体" w:eastAsia="宋体" w:cs="宋体"/>
      <w:b/>
      <w:bCs/>
      <w:i/>
    </w:rPr>
  </w:style>
  <w:style w:styleId="BodyText" w:type="paragraph">
    <w:name w:val="Body Text"/>
    <w:basedOn w:val="Normal"/>
    <w:uiPriority w:val="1"/>
    <w:qFormat/>
    <w:pPr>
      <w:ind w:left="2539"/>
    </w:pPr>
    <w:rPr>
      <w:rFonts w:ascii="宋体" w:hAnsi="宋体" w:eastAsia="宋体" w:cs="宋体"/>
      <w:sz w:val="18"/>
      <w:szCs w:val="18"/>
    </w:rPr>
  </w:style>
  <w:style w:styleId="Heading1" w:type="paragraph">
    <w:name w:val="Heading 1"/>
    <w:basedOn w:val="Normal"/>
    <w:uiPriority w:val="1"/>
    <w:qFormat/>
    <w:pPr>
      <w:ind w:left="101"/>
      <w:outlineLvl w:val="1"/>
    </w:pPr>
    <w:rPr>
      <w:rFonts w:ascii="宋体" w:hAnsi="宋体" w:eastAsia="宋体" w:cs="宋体"/>
      <w:b/>
      <w:bCs/>
      <w:sz w:val="18"/>
      <w:szCs w:val="18"/>
    </w:rPr>
  </w:style>
  <w:style w:styleId="ListParagraph" w:type="paragraph">
    <w:name w:val="List Paragraph"/>
    <w:basedOn w:val="Normal"/>
    <w:uiPriority w:val="1"/>
    <w:qFormat/>
    <w:pPr>
      <w:ind w:left="101"/>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2018-10-20T03:16:20Z</dcterms:created>
  <dcterms:modified xsi:type="dcterms:W3CDTF">2018-10-20T03:16:20Z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Microsoft Office Word</vt:lpwstr>
  </property>
  <property fmtid="{D5CDD505-2E9C-101B-9397-08002B2CF9AE}" pid="4" name="LastSaved">
    <vt:filetime>2014-05-23T00:00:00Z</vt:filetime>
  </property>
</Properties>
</file>