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9"/>
        <w:ind w:left="0" w:right="99"/>
        <w:jc w:val="right"/>
      </w:pPr>
      <w:r>
        <w:rPr/>
        <w:drawing>
          <wp:anchor distT="0" distB="0" distL="0" distR="0" allowOverlap="1" layoutInCell="1" locked="0" behindDoc="0" simplePos="0" relativeHeight="1072">
            <wp:simplePos x="0" y="0"/>
            <wp:positionH relativeFrom="page">
              <wp:posOffset>6086094</wp:posOffset>
            </wp:positionH>
            <wp:positionV relativeFrom="paragraph">
              <wp:posOffset>241663</wp:posOffset>
            </wp:positionV>
            <wp:extent cx="723900"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anchor>
        </w:drawing>
      </w:r>
      <w:r>
        <w:rPr/>
        <w:t>人保健康[2012]疾病保险 014 号</w:t>
      </w:r>
    </w:p>
    <w:p>
      <w:pPr>
        <w:pStyle w:val="BodyText"/>
        <w:spacing w:before="0"/>
        <w:ind w:left="0"/>
        <w:rPr>
          <w:sz w:val="20"/>
        </w:rPr>
      </w:pPr>
    </w:p>
    <w:p>
      <w:pPr>
        <w:pStyle w:val="BodyText"/>
        <w:spacing w:before="0"/>
        <w:ind w:left="0"/>
        <w:rPr>
          <w:sz w:val="20"/>
        </w:rPr>
      </w:pPr>
    </w:p>
    <w:p>
      <w:pPr>
        <w:pStyle w:val="BodyText"/>
        <w:spacing w:before="3"/>
        <w:ind w:left="0"/>
        <w:rPr>
          <w:sz w:val="22"/>
        </w:rPr>
      </w:pPr>
    </w:p>
    <w:p>
      <w:pPr>
        <w:spacing w:after="0"/>
        <w:rPr>
          <w:sz w:val="22"/>
        </w:rPr>
        <w:sectPr>
          <w:footerReference w:type="default" r:id="rId5"/>
          <w:type w:val="continuous"/>
          <w:pgSz w:w="11910" w:h="16840"/>
          <w:pgMar w:footer="1008" w:top="240" w:bottom="1200" w:left="1180" w:right="180"/>
          <w:pgNumType w:start="1"/>
        </w:sectPr>
      </w:pPr>
    </w:p>
    <w:p>
      <w:pPr>
        <w:spacing w:line="297" w:lineRule="auto" w:before="1"/>
        <w:ind w:left="2524" w:right="0" w:firstLine="0"/>
        <w:jc w:val="left"/>
        <w:rPr>
          <w:b/>
          <w:sz w:val="32"/>
        </w:rPr>
      </w:pPr>
      <w:r>
        <w:rPr>
          <w:b/>
          <w:w w:val="95"/>
          <w:sz w:val="32"/>
        </w:rPr>
        <w:t>中国人民健康保险股份有限公司康乐人生个人重大疾病保险条款</w:t>
      </w:r>
    </w:p>
    <w:p>
      <w:pPr>
        <w:pStyle w:val="BodyText"/>
        <w:spacing w:before="0"/>
        <w:ind w:left="0"/>
        <w:rPr>
          <w:b/>
          <w:sz w:val="20"/>
        </w:rPr>
      </w:pPr>
      <w:r>
        <w:rPr/>
        <w:br w:type="column"/>
      </w:r>
      <w:r>
        <w:rPr>
          <w:b/>
          <w:sz w:val="20"/>
        </w:rPr>
      </w:r>
    </w:p>
    <w:p>
      <w:pPr>
        <w:pStyle w:val="BodyText"/>
        <w:spacing w:before="5"/>
        <w:ind w:left="0"/>
        <w:rPr>
          <w:b/>
          <w:sz w:val="14"/>
        </w:rPr>
      </w:pPr>
    </w:p>
    <w:p>
      <w:pPr>
        <w:pStyle w:val="BodyText"/>
        <w:spacing w:before="0"/>
        <w:ind w:left="862"/>
      </w:pPr>
      <w:r>
        <w:rPr/>
        <w:t>请扫描以查询验证条款</w:t>
      </w:r>
    </w:p>
    <w:p>
      <w:pPr>
        <w:spacing w:after="0"/>
        <w:sectPr>
          <w:type w:val="continuous"/>
          <w:pgSz w:w="11910" w:h="16840"/>
          <w:pgMar w:top="240" w:bottom="1200" w:left="1180" w:right="180"/>
          <w:cols w:num="2" w:equalWidth="0">
            <w:col w:w="7022" w:space="40"/>
            <w:col w:w="3488"/>
          </w:cols>
        </w:sectPr>
      </w:pPr>
    </w:p>
    <w:p>
      <w:pPr>
        <w:pStyle w:val="BodyText"/>
        <w:spacing w:before="6" w:after="1"/>
        <w:ind w:left="0"/>
        <w:rPr>
          <w:sz w:val="29"/>
        </w:rPr>
      </w:pPr>
    </w:p>
    <w:p>
      <w:pPr>
        <w:pStyle w:val="BodyText"/>
        <w:spacing w:before="0"/>
        <w:ind w:left="105"/>
        <w:rPr>
          <w:sz w:val="20"/>
        </w:rPr>
      </w:pPr>
      <w:r>
        <w:rPr>
          <w:sz w:val="20"/>
        </w:rPr>
        <w:pict>
          <v:shape style="width:466.15pt;height:19.5pt;mso-position-horizontal-relative:char;mso-position-vertical-relative:line" type="#_x0000_t202" filled="true" fillcolor="#cccccc" stroked="false">
            <w10:anchorlock/>
            <v:textbox inset="0,0,0,0">
              <w:txbxContent>
                <w:p>
                  <w:pPr>
                    <w:tabs>
                      <w:tab w:pos="656" w:val="left" w:leader="none"/>
                    </w:tabs>
                    <w:spacing w:line="275" w:lineRule="exact" w:before="0"/>
                    <w:ind w:left="122" w:right="0" w:firstLine="0"/>
                    <w:jc w:val="left"/>
                    <w:rPr>
                      <w:b/>
                      <w:sz w:val="24"/>
                    </w:rPr>
                  </w:pPr>
                  <w:r>
                    <w:rPr>
                      <w:b/>
                      <w:sz w:val="24"/>
                    </w:rPr>
                    <w:t>1</w:t>
                    <w:tab/>
                    <w:t>被保险人范围</w:t>
                  </w:r>
                </w:p>
              </w:txbxContent>
            </v:textbox>
            <v:fill type="solid"/>
          </v:shape>
        </w:pict>
      </w:r>
      <w:r>
        <w:rPr>
          <w:sz w:val="20"/>
        </w:rPr>
      </w:r>
    </w:p>
    <w:p>
      <w:pPr>
        <w:tabs>
          <w:tab w:pos="761" w:val="left" w:leader="none"/>
        </w:tabs>
        <w:spacing w:line="225" w:lineRule="exact" w:before="0"/>
        <w:ind w:left="227" w:right="0" w:firstLine="0"/>
        <w:jc w:val="left"/>
        <w:rPr>
          <w:sz w:val="21"/>
        </w:rPr>
      </w:pPr>
      <w:r>
        <w:rPr>
          <w:b/>
          <w:sz w:val="21"/>
        </w:rPr>
        <w:t>1.1</w:t>
        <w:tab/>
      </w:r>
      <w:r>
        <w:rPr>
          <w:b/>
          <w:spacing w:val="-1"/>
          <w:sz w:val="21"/>
        </w:rPr>
        <w:t>被保险人范围 </w:t>
      </w:r>
      <w:r>
        <w:rPr>
          <w:spacing w:val="-7"/>
          <w:sz w:val="21"/>
        </w:rPr>
        <w:t>凡投保时出生满 </w:t>
      </w:r>
      <w:r>
        <w:rPr>
          <w:sz w:val="21"/>
        </w:rPr>
        <w:t>28</w:t>
      </w:r>
      <w:r>
        <w:rPr>
          <w:spacing w:val="-29"/>
          <w:sz w:val="21"/>
        </w:rPr>
        <w:t> 天至 </w:t>
      </w:r>
      <w:r>
        <w:rPr>
          <w:sz w:val="21"/>
        </w:rPr>
        <w:t>55</w:t>
      </w:r>
      <w:r>
        <w:rPr>
          <w:spacing w:val="-8"/>
          <w:sz w:val="21"/>
        </w:rPr>
        <w:t> 周岁，身体健康的个人均可作为被保险人参加本保</w:t>
      </w:r>
    </w:p>
    <w:p>
      <w:pPr>
        <w:pStyle w:val="BodyText"/>
        <w:spacing w:before="64"/>
      </w:pPr>
      <w:r>
        <w:rPr/>
        <w:pict>
          <v:shape style="position:absolute;margin-left:64.260002pt;margin-top:22.003977pt;width:466.15pt;height:19.45pt;mso-position-horizontal-relative:page;mso-position-vertical-relative:paragraph;z-index:1048;mso-wrap-distance-left:0;mso-wrap-distance-right:0" type="#_x0000_t202" filled="true" fillcolor="#cccccc" stroked="false">
            <v:textbox inset="0,0,0,0">
              <w:txbxContent>
                <w:p>
                  <w:pPr>
                    <w:tabs>
                      <w:tab w:pos="656" w:val="left" w:leader="none"/>
                    </w:tabs>
                    <w:spacing w:line="275" w:lineRule="exact" w:before="0"/>
                    <w:ind w:left="122" w:right="0" w:firstLine="0"/>
                    <w:jc w:val="left"/>
                    <w:rPr>
                      <w:b/>
                      <w:sz w:val="24"/>
                    </w:rPr>
                  </w:pPr>
                  <w:r>
                    <w:rPr>
                      <w:b/>
                      <w:sz w:val="24"/>
                    </w:rPr>
                    <w:t>2</w:t>
                    <w:tab/>
                    <w:t>保险责任及责任免除</w:t>
                  </w:r>
                </w:p>
              </w:txbxContent>
            </v:textbox>
            <v:fill type="solid"/>
            <w10:wrap type="topAndBottom"/>
          </v:shape>
        </w:pict>
      </w:r>
      <w:r>
        <w:rPr/>
        <w:t>险。</w:t>
      </w:r>
    </w:p>
    <w:p>
      <w:pPr>
        <w:pStyle w:val="ListParagraph"/>
        <w:numPr>
          <w:ilvl w:val="1"/>
          <w:numId w:val="1"/>
        </w:numPr>
        <w:tabs>
          <w:tab w:pos="762" w:val="left" w:leader="none"/>
          <w:tab w:pos="763" w:val="left" w:leader="none"/>
        </w:tabs>
        <w:spacing w:line="225" w:lineRule="exact" w:before="0" w:after="0"/>
        <w:ind w:left="761" w:right="0" w:hanging="534"/>
        <w:jc w:val="left"/>
        <w:rPr>
          <w:sz w:val="21"/>
        </w:rPr>
      </w:pPr>
      <w:r>
        <w:rPr>
          <w:b/>
          <w:spacing w:val="5"/>
          <w:sz w:val="21"/>
        </w:rPr>
        <w:t>基本保险金额 </w:t>
      </w:r>
      <w:r>
        <w:rPr>
          <w:sz w:val="21"/>
        </w:rPr>
        <w:t>由投保人与本公司共同约定被保险人的基本保险金额，经被保险人同意并在保</w:t>
      </w:r>
    </w:p>
    <w:p>
      <w:pPr>
        <w:pStyle w:val="BodyText"/>
        <w:spacing w:before="66"/>
      </w:pPr>
      <w:r>
        <w:rPr/>
        <w:t>险单中载明。</w:t>
      </w:r>
    </w:p>
    <w:p>
      <w:pPr>
        <w:pStyle w:val="BodyText"/>
        <w:spacing w:line="297" w:lineRule="auto" w:before="64"/>
        <w:ind w:right="1223"/>
        <w:jc w:val="both"/>
      </w:pPr>
      <w:r>
        <w:rPr>
          <w:b/>
          <w:spacing w:val="-1"/>
        </w:rPr>
        <w:t>重大疾病保险金额 </w:t>
      </w:r>
      <w:r>
        <w:rPr>
          <w:spacing w:val="-2"/>
        </w:rPr>
        <w:t>投保时的重大疾病保险金额等于基本保险金额。每满 </w:t>
      </w:r>
      <w:r>
        <w:rPr/>
        <w:t>5</w:t>
      </w:r>
      <w:r>
        <w:rPr>
          <w:spacing w:val="-6"/>
        </w:rPr>
        <w:t> 个保单年度，重大</w:t>
      </w:r>
      <w:r>
        <w:rPr>
          <w:spacing w:val="-9"/>
        </w:rPr>
        <w:t>疾病保险金额按固定的额度增加一次，增加额度为基本保险金额的 </w:t>
      </w:r>
      <w:r>
        <w:rPr/>
        <w:t>10%。</w:t>
      </w:r>
    </w:p>
    <w:p>
      <w:pPr>
        <w:pStyle w:val="BodyText"/>
      </w:pPr>
      <w:r>
        <w:rPr/>
        <w:t>即第 1 至第 5 个保单年度的重大疾病保险金额为基本保险金额，第 6 至第 10 个保单年度的重</w:t>
      </w:r>
    </w:p>
    <w:p>
      <w:pPr>
        <w:pStyle w:val="BodyText"/>
        <w:spacing w:before="61"/>
      </w:pPr>
      <w:r>
        <w:rPr>
          <w:spacing w:val="-1"/>
          <w:position w:val="1"/>
        </w:rPr>
        <w:t>大疾病保险金额为基本保险金额</w:t>
      </w:r>
      <w:r>
        <w:rPr>
          <w:position w:val="1"/>
        </w:rPr>
        <w:t>的</w:t>
      </w:r>
      <w:r>
        <w:rPr>
          <w:spacing w:val="-53"/>
          <w:position w:val="1"/>
        </w:rPr>
        <w:t> </w:t>
      </w:r>
      <w:r>
        <w:rPr>
          <w:spacing w:val="3"/>
        </w:rPr>
        <w:drawing>
          <wp:inline distT="0" distB="0" distL="0" distR="0">
            <wp:extent cx="60325" cy="104775"/>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60325" cy="104775"/>
                    </a:xfrm>
                    <a:prstGeom prst="rect">
                      <a:avLst/>
                    </a:prstGeom>
                  </pic:spPr>
                </pic:pic>
              </a:graphicData>
            </a:graphic>
          </wp:inline>
        </w:drawing>
      </w:r>
      <w:r>
        <w:rPr>
          <w:spacing w:val="3"/>
        </w:rPr>
      </w:r>
      <w:r>
        <w:rPr>
          <w:spacing w:val="-105"/>
          <w:position w:val="1"/>
        </w:rPr>
        <w:t>，</w:t>
      </w:r>
      <w:r>
        <w:rPr>
          <w:position w:val="1"/>
        </w:rPr>
        <w:t>第</w:t>
      </w:r>
      <w:r>
        <w:rPr>
          <w:spacing w:val="-53"/>
          <w:position w:val="1"/>
        </w:rPr>
        <w:t> </w:t>
      </w:r>
      <w:r>
        <w:rPr>
          <w:position w:val="1"/>
        </w:rPr>
        <w:t>11</w:t>
      </w:r>
      <w:r>
        <w:rPr>
          <w:spacing w:val="-54"/>
          <w:position w:val="1"/>
        </w:rPr>
        <w:t> </w:t>
      </w:r>
      <w:r>
        <w:rPr>
          <w:position w:val="1"/>
        </w:rPr>
        <w:t>至第</w:t>
      </w:r>
      <w:r>
        <w:rPr>
          <w:spacing w:val="-54"/>
          <w:position w:val="1"/>
        </w:rPr>
        <w:t> </w:t>
      </w:r>
      <w:r>
        <w:rPr>
          <w:position w:val="1"/>
        </w:rPr>
        <w:t>15</w:t>
      </w:r>
      <w:r>
        <w:rPr>
          <w:spacing w:val="-54"/>
          <w:position w:val="1"/>
        </w:rPr>
        <w:t> </w:t>
      </w:r>
      <w:r>
        <w:rPr>
          <w:position w:val="1"/>
        </w:rPr>
        <w:t>个保单年度的重大疾病保险金额为基本</w:t>
      </w:r>
    </w:p>
    <w:p>
      <w:pPr>
        <w:pStyle w:val="BodyText"/>
        <w:spacing w:before="64"/>
      </w:pPr>
      <w:r>
        <w:rPr>
          <w:spacing w:val="-1"/>
          <w:position w:val="1"/>
        </w:rPr>
        <w:t>保险金额</w:t>
      </w:r>
      <w:r>
        <w:rPr>
          <w:position w:val="1"/>
        </w:rPr>
        <w:t>的</w:t>
      </w:r>
      <w:r>
        <w:rPr>
          <w:spacing w:val="-53"/>
          <w:position w:val="1"/>
        </w:rPr>
        <w:t> </w:t>
      </w:r>
      <w:r>
        <w:rPr>
          <w:spacing w:val="3"/>
        </w:rPr>
        <w:drawing>
          <wp:inline distT="0" distB="0" distL="0" distR="0">
            <wp:extent cx="60325" cy="104775"/>
            <wp:effectExtent l="0" t="0" r="0" b="0"/>
            <wp:docPr id="5" name="image2.png" descr=""/>
            <wp:cNvGraphicFramePr>
              <a:graphicFrameLocks noChangeAspect="1"/>
            </wp:cNvGraphicFramePr>
            <a:graphic>
              <a:graphicData uri="http://schemas.openxmlformats.org/drawingml/2006/picture">
                <pic:pic>
                  <pic:nvPicPr>
                    <pic:cNvPr id="6" name="image2.png"/>
                    <pic:cNvPicPr/>
                  </pic:nvPicPr>
                  <pic:blipFill>
                    <a:blip r:embed="rId7" cstate="print"/>
                    <a:stretch>
                      <a:fillRect/>
                    </a:stretch>
                  </pic:blipFill>
                  <pic:spPr>
                    <a:xfrm>
                      <a:off x="0" y="0"/>
                      <a:ext cx="60325" cy="104775"/>
                    </a:xfrm>
                    <a:prstGeom prst="rect">
                      <a:avLst/>
                    </a:prstGeom>
                  </pic:spPr>
                </pic:pic>
              </a:graphicData>
            </a:graphic>
          </wp:inline>
        </w:drawing>
      </w:r>
      <w:r>
        <w:rPr>
          <w:spacing w:val="3"/>
        </w:rPr>
      </w:r>
      <w:r>
        <w:rPr>
          <w:spacing w:val="-1"/>
          <w:position w:val="1"/>
        </w:rPr>
        <w:t>，以此类推。</w:t>
      </w:r>
    </w:p>
    <w:p>
      <w:pPr>
        <w:pStyle w:val="ListParagraph"/>
        <w:numPr>
          <w:ilvl w:val="1"/>
          <w:numId w:val="1"/>
        </w:numPr>
        <w:tabs>
          <w:tab w:pos="761" w:val="left" w:leader="none"/>
          <w:tab w:pos="762" w:val="left" w:leader="none"/>
        </w:tabs>
        <w:spacing w:line="297" w:lineRule="auto" w:before="70" w:after="0"/>
        <w:ind w:left="761" w:right="4632" w:hanging="534"/>
        <w:jc w:val="left"/>
        <w:rPr>
          <w:b/>
          <w:sz w:val="21"/>
        </w:rPr>
      </w:pPr>
      <w:r>
        <w:rPr>
          <w:b/>
          <w:spacing w:val="-1"/>
          <w:sz w:val="21"/>
        </w:rPr>
        <w:t>保险责任 </w:t>
      </w:r>
      <w:r>
        <w:rPr>
          <w:sz w:val="21"/>
        </w:rPr>
        <w:t>本合同有效期内，本公司承担下列保险责任： </w:t>
      </w:r>
      <w:r>
        <w:rPr>
          <w:b/>
          <w:w w:val="95"/>
          <w:sz w:val="21"/>
        </w:rPr>
        <w:t>重大疾病保险金</w:t>
      </w:r>
    </w:p>
    <w:p>
      <w:pPr>
        <w:pStyle w:val="BodyText"/>
        <w:spacing w:line="297" w:lineRule="auto" w:before="14"/>
        <w:ind w:right="1221"/>
        <w:jc w:val="both"/>
      </w:pPr>
      <w:r>
        <w:rPr>
          <w:spacing w:val="-2"/>
        </w:rPr>
        <w:t>自保险合同生效之日起</w:t>
      </w:r>
      <w:r>
        <w:rPr/>
        <w:t>（保险合同复效的则自最后一次复效之日起</w:t>
      </w:r>
      <w:r>
        <w:rPr>
          <w:spacing w:val="-17"/>
        </w:rPr>
        <w:t>）</w:t>
      </w:r>
      <w:r>
        <w:rPr>
          <w:spacing w:val="-3"/>
        </w:rPr>
        <w:t>因意外伤害原因，或自保险合同生效之日起（保险合同复效的则自最后一次复效之日起）180</w:t>
      </w:r>
      <w:r>
        <w:rPr>
          <w:spacing w:val="-8"/>
        </w:rPr>
        <w:t> 天后因意外伤害之外的其</w:t>
      </w:r>
      <w:r>
        <w:rPr>
          <w:spacing w:val="-9"/>
        </w:rPr>
        <w:t>它原因，被保险人经医院专科医生确诊初次发生本合同约定的重大疾病，本公司按照确诊日的重大疾病保险金额给付重大疾病保险金，合同效力按下列情况处理：</w:t>
      </w:r>
    </w:p>
    <w:p>
      <w:pPr>
        <w:pStyle w:val="ListParagraph"/>
        <w:numPr>
          <w:ilvl w:val="2"/>
          <w:numId w:val="1"/>
        </w:numPr>
        <w:tabs>
          <w:tab w:pos="1181" w:val="left" w:leader="none"/>
          <w:tab w:pos="1182" w:val="left" w:leader="none"/>
        </w:tabs>
        <w:spacing w:line="297" w:lineRule="auto" w:before="15" w:after="0"/>
        <w:ind w:left="1181" w:right="1222" w:hanging="420"/>
        <w:jc w:val="left"/>
        <w:rPr>
          <w:sz w:val="21"/>
        </w:rPr>
      </w:pPr>
      <w:r>
        <w:rPr>
          <w:spacing w:val="-2"/>
          <w:sz w:val="21"/>
        </w:rPr>
        <w:t>被保险人初次发生本合同约定的重大疾病不属于本合同约定的特定疾病的，在给付重大疾病保险金后本合同效力终止；</w:t>
      </w:r>
    </w:p>
    <w:p>
      <w:pPr>
        <w:pStyle w:val="ListParagraph"/>
        <w:numPr>
          <w:ilvl w:val="2"/>
          <w:numId w:val="1"/>
        </w:numPr>
        <w:tabs>
          <w:tab w:pos="1182" w:val="left" w:leader="none"/>
        </w:tabs>
        <w:spacing w:line="297" w:lineRule="auto" w:before="13" w:after="0"/>
        <w:ind w:left="1181" w:right="1221" w:hanging="420"/>
        <w:jc w:val="both"/>
        <w:rPr>
          <w:sz w:val="21"/>
        </w:rPr>
      </w:pPr>
      <w:r>
        <w:rPr>
          <w:spacing w:val="-2"/>
          <w:sz w:val="21"/>
        </w:rPr>
        <w:t>被保险人初次发生本合同约定的重大疾病属于本合同约定的特定疾病的，在给付重大疾病</w:t>
      </w:r>
      <w:r>
        <w:rPr>
          <w:spacing w:val="-7"/>
          <w:sz w:val="21"/>
        </w:rPr>
        <w:t>保险金后，本项责任及身故保险金责任终止，合同继续有效，并无需交纳重大疾病确诊日以后的各期保险费。</w:t>
      </w:r>
    </w:p>
    <w:p>
      <w:pPr>
        <w:pStyle w:val="BodyText"/>
        <w:spacing w:line="297" w:lineRule="auto"/>
        <w:ind w:right="1221"/>
        <w:jc w:val="both"/>
      </w:pPr>
      <w:r>
        <w:rPr/>
        <w:t>被保险人自保险合同生效之日起（保险合同复效的则自最后一次复效之日起）180</w:t>
      </w:r>
      <w:r>
        <w:rPr>
          <w:spacing w:val="-10"/>
        </w:rPr>
        <w:t> 天内因意外</w:t>
      </w:r>
      <w:r>
        <w:rPr>
          <w:spacing w:val="-12"/>
        </w:rPr>
        <w:t>伤害之外的其它原因初次发生本合同约定的重大疾病，本公司向投保人无息返还已交纳的保险费，同时本合同效力终止。</w:t>
      </w:r>
    </w:p>
    <w:p>
      <w:pPr>
        <w:pStyle w:val="Heading2"/>
        <w:ind w:left="761"/>
      </w:pPr>
      <w:r>
        <w:rPr>
          <w:w w:val="95"/>
        </w:rPr>
        <w:t>特定疾病医疗费用保险金</w:t>
      </w:r>
    </w:p>
    <w:p>
      <w:pPr>
        <w:pStyle w:val="BodyText"/>
        <w:spacing w:line="297" w:lineRule="auto" w:before="64"/>
        <w:ind w:right="1221"/>
        <w:jc w:val="both"/>
      </w:pPr>
      <w:r>
        <w:rPr>
          <w:spacing w:val="-2"/>
        </w:rPr>
        <w:t>自保险合同生效之日起</w:t>
      </w:r>
      <w:r>
        <w:rPr/>
        <w:t>（保险合同复效的则自最后一次复效之日起</w:t>
      </w:r>
      <w:r>
        <w:rPr>
          <w:spacing w:val="-17"/>
        </w:rPr>
        <w:t>）</w:t>
      </w:r>
      <w:r>
        <w:rPr>
          <w:spacing w:val="-3"/>
        </w:rPr>
        <w:t>因意外伤害原因，或自保险合同生效之日起（保险合同复效的则自最后一次复效之日起）180</w:t>
      </w:r>
      <w:r>
        <w:rPr>
          <w:spacing w:val="-8"/>
        </w:rPr>
        <w:t> 天后因意外伤害之外的其</w:t>
      </w:r>
      <w:r>
        <w:rPr>
          <w:spacing w:val="-9"/>
        </w:rPr>
        <w:t>它原因，被保险人经医院专科医生确诊初次发生本合同约定的特定疾病，本公司除给付上述重</w:t>
      </w:r>
      <w:r>
        <w:rPr>
          <w:spacing w:val="-11"/>
        </w:rPr>
        <w:t>大疾病保险金外，对于特定疾病确诊前 </w:t>
      </w:r>
      <w:r>
        <w:rPr/>
        <w:t>3</w:t>
      </w:r>
      <w:r>
        <w:rPr>
          <w:spacing w:val="-10"/>
        </w:rPr>
        <w:t> 个月起至被保险人年满 </w:t>
      </w:r>
      <w:r>
        <w:rPr/>
        <w:t>80</w:t>
      </w:r>
      <w:r>
        <w:rPr>
          <w:spacing w:val="-7"/>
        </w:rPr>
        <w:t> 周岁对应的保单周年日期间所发生的与特定疾病相关的医疗费用，按下列约定给付特定疾病医疗费用保险金：</w:t>
      </w:r>
    </w:p>
    <w:p>
      <w:pPr>
        <w:pStyle w:val="ListParagraph"/>
        <w:numPr>
          <w:ilvl w:val="0"/>
          <w:numId w:val="2"/>
        </w:numPr>
        <w:tabs>
          <w:tab w:pos="1182" w:val="left" w:leader="none"/>
        </w:tabs>
        <w:spacing w:line="297" w:lineRule="auto" w:before="15" w:after="0"/>
        <w:ind w:left="1181" w:right="1221" w:hanging="420"/>
        <w:jc w:val="both"/>
        <w:rPr>
          <w:sz w:val="21"/>
        </w:rPr>
      </w:pPr>
      <w:r>
        <w:rPr>
          <w:spacing w:val="-3"/>
          <w:sz w:val="21"/>
        </w:rPr>
        <w:t>若被保险人享有社会医疗保险或公费医疗的，对其发生的合理且必须的医疗费用，本公司</w:t>
      </w:r>
      <w:r>
        <w:rPr>
          <w:sz w:val="21"/>
        </w:rPr>
        <w:t>对社会医疗保险或公费医疗支付后剩余部分</w:t>
      </w:r>
      <w:r>
        <w:rPr>
          <w:spacing w:val="1"/>
          <w:sz w:val="21"/>
        </w:rPr>
        <w:t>（</w:t>
      </w:r>
      <w:r>
        <w:rPr>
          <w:sz w:val="21"/>
        </w:rPr>
        <w:t>含比例自付、自费和乙类先行垫付费用</w:t>
      </w:r>
      <w:r>
        <w:rPr>
          <w:spacing w:val="-104"/>
          <w:sz w:val="21"/>
        </w:rPr>
        <w:t>）</w:t>
      </w:r>
      <w:r>
        <w:rPr>
          <w:sz w:val="21"/>
        </w:rPr>
        <w:t>，</w:t>
      </w:r>
      <w:r>
        <w:rPr>
          <w:spacing w:val="-28"/>
          <w:sz w:val="21"/>
        </w:rPr>
        <w:t>按 </w:t>
      </w:r>
      <w:r>
        <w:rPr>
          <w:sz w:val="21"/>
        </w:rPr>
        <w:t>80%的比例给付特定疾病医疗费用保险金。</w:t>
      </w:r>
    </w:p>
    <w:p>
      <w:pPr>
        <w:pStyle w:val="ListParagraph"/>
        <w:numPr>
          <w:ilvl w:val="0"/>
          <w:numId w:val="2"/>
        </w:numPr>
        <w:tabs>
          <w:tab w:pos="1182" w:val="left" w:leader="none"/>
        </w:tabs>
        <w:spacing w:line="240" w:lineRule="auto" w:before="15" w:after="0"/>
        <w:ind w:left="1181" w:right="0" w:hanging="420"/>
        <w:jc w:val="both"/>
        <w:rPr>
          <w:sz w:val="21"/>
        </w:rPr>
      </w:pPr>
      <w:r>
        <w:rPr>
          <w:spacing w:val="-3"/>
          <w:sz w:val="21"/>
        </w:rPr>
        <w:t>若被保险人未享有社会医疗保险和公费医疗的，对其发生的合理且必须的医疗费用，本公</w:t>
      </w:r>
    </w:p>
    <w:p>
      <w:pPr>
        <w:spacing w:after="0" w:line="240" w:lineRule="auto"/>
        <w:jc w:val="both"/>
        <w:rPr>
          <w:sz w:val="21"/>
        </w:rPr>
        <w:sectPr>
          <w:type w:val="continuous"/>
          <w:pgSz w:w="11910" w:h="16840"/>
          <w:pgMar w:top="240" w:bottom="1200" w:left="1180" w:right="180"/>
        </w:sectPr>
      </w:pPr>
    </w:p>
    <w:p>
      <w:pPr>
        <w:pStyle w:val="BodyText"/>
        <w:spacing w:before="6"/>
        <w:ind w:left="1181"/>
      </w:pPr>
      <w:r>
        <w:rPr/>
        <w:t>司按 70%的比例给付特定疾病医疗费用保险金。</w:t>
      </w:r>
    </w:p>
    <w:p>
      <w:pPr>
        <w:spacing w:line="297" w:lineRule="auto" w:before="65"/>
        <w:ind w:left="761" w:right="145" w:firstLine="0"/>
        <w:jc w:val="left"/>
        <w:rPr>
          <w:sz w:val="21"/>
        </w:rPr>
      </w:pPr>
      <w:r>
        <w:rPr>
          <w:b/>
          <w:sz w:val="21"/>
        </w:rPr>
        <w:t>保险期间内，特定疾病医疗费用保险金的累计给付以基本保险金额的 30%为限，</w:t>
      </w:r>
      <w:r>
        <w:rPr>
          <w:sz w:val="21"/>
        </w:rPr>
        <w:t>当特定疾病医疗费用保险金的累计给付达到基本保险金额的 30%时，本合同效力终止。</w:t>
      </w:r>
    </w:p>
    <w:p>
      <w:pPr>
        <w:pStyle w:val="Heading2"/>
        <w:spacing w:line="297" w:lineRule="auto" w:before="13"/>
        <w:ind w:left="761" w:right="143"/>
      </w:pPr>
      <w:r>
        <w:rPr/>
        <w:t>若被保险人发生的属于保险责任范围内的医疗费用已通过社会医疗保险、公费医疗或其他商业</w:t>
      </w:r>
      <w:r>
        <w:rPr>
          <w:w w:val="95"/>
        </w:rPr>
        <w:t>保险等途径得到了部分补偿，本公司仅对剩余部分按照本合同的约定进行给付。</w:t>
      </w:r>
    </w:p>
    <w:p>
      <w:pPr>
        <w:spacing w:before="15"/>
        <w:ind w:left="761" w:right="0" w:firstLine="0"/>
        <w:jc w:val="left"/>
        <w:rPr>
          <w:b/>
          <w:sz w:val="21"/>
        </w:rPr>
      </w:pPr>
      <w:r>
        <w:rPr>
          <w:b/>
          <w:w w:val="95"/>
          <w:sz w:val="21"/>
        </w:rPr>
        <w:t>身故保险金</w:t>
      </w:r>
    </w:p>
    <w:p>
      <w:pPr>
        <w:pStyle w:val="BodyText"/>
        <w:spacing w:line="297" w:lineRule="auto" w:before="65"/>
        <w:ind w:right="221"/>
        <w:jc w:val="both"/>
      </w:pPr>
      <w:r>
        <w:rPr>
          <w:spacing w:val="-2"/>
        </w:rPr>
        <w:t>自保险合同生效之日起</w:t>
      </w:r>
      <w:r>
        <w:rPr/>
        <w:t>（保险合同复效的则自最后一次复效之日起</w:t>
      </w:r>
      <w:r>
        <w:rPr>
          <w:spacing w:val="-17"/>
        </w:rPr>
        <w:t>）</w:t>
      </w:r>
      <w:r>
        <w:rPr>
          <w:spacing w:val="-3"/>
        </w:rPr>
        <w:t>因意外伤害原因，或自保险合同生效之日起（保险合同复效的则自最后一次复效之日起）180</w:t>
      </w:r>
      <w:r>
        <w:rPr>
          <w:spacing w:val="-8"/>
        </w:rPr>
        <w:t> 天后因意外伤害之外的其它原因被保险人身故，本公司按照基本保险金额给付身故保险金，同时本合同效力终止。</w:t>
      </w:r>
    </w:p>
    <w:p>
      <w:pPr>
        <w:pStyle w:val="BodyText"/>
        <w:spacing w:line="297" w:lineRule="auto"/>
        <w:ind w:right="170"/>
      </w:pPr>
      <w:r>
        <w:rPr/>
        <w:t>自保险合同生效之日起（保险合同复效的则自最后一次复效之日起）180 天内因意外伤害之外的其它原因被保险人身故，本公司向投保人无息返还已交纳的保险费，同时本合同效力终止。</w:t>
      </w:r>
    </w:p>
    <w:p>
      <w:pPr>
        <w:pStyle w:val="Heading2"/>
        <w:numPr>
          <w:ilvl w:val="1"/>
          <w:numId w:val="1"/>
        </w:numPr>
        <w:tabs>
          <w:tab w:pos="761" w:val="left" w:leader="none"/>
          <w:tab w:pos="762" w:val="left" w:leader="none"/>
        </w:tabs>
        <w:spacing w:line="240" w:lineRule="auto" w:before="15" w:after="0"/>
        <w:ind w:left="761" w:right="0" w:hanging="534"/>
        <w:jc w:val="left"/>
      </w:pPr>
      <w:r>
        <w:rPr/>
        <w:t>责任免除</w:t>
      </w:r>
    </w:p>
    <w:p>
      <w:pPr>
        <w:spacing w:before="66"/>
        <w:ind w:left="761" w:right="0" w:firstLine="0"/>
        <w:jc w:val="both"/>
        <w:rPr>
          <w:b/>
          <w:sz w:val="21"/>
        </w:rPr>
      </w:pPr>
      <w:r>
        <w:rPr>
          <w:b/>
          <w:w w:val="95"/>
          <w:sz w:val="21"/>
          <w:shd w:fill="CCCCCC" w:color="auto" w:val="clear"/>
        </w:rPr>
        <w:t>因下列情形之一引起的保险事故，本公司不承担给付保险金的责任：</w:t>
      </w:r>
    </w:p>
    <w:p>
      <w:pPr>
        <w:pStyle w:val="ListParagraph"/>
        <w:numPr>
          <w:ilvl w:val="2"/>
          <w:numId w:val="1"/>
        </w:numPr>
        <w:tabs>
          <w:tab w:pos="1182" w:val="left" w:leader="none"/>
        </w:tabs>
        <w:spacing w:line="240" w:lineRule="auto" w:before="64" w:after="0"/>
        <w:ind w:left="1181" w:right="0" w:hanging="420"/>
        <w:jc w:val="both"/>
        <w:rPr>
          <w:b/>
          <w:sz w:val="21"/>
        </w:rPr>
      </w:pPr>
      <w:r>
        <w:rPr>
          <w:b/>
          <w:w w:val="95"/>
          <w:sz w:val="21"/>
        </w:rPr>
        <w:t>投保人对被保险人的故意杀害、故意伤害；</w:t>
      </w:r>
    </w:p>
    <w:p>
      <w:pPr>
        <w:pStyle w:val="ListParagraph"/>
        <w:numPr>
          <w:ilvl w:val="2"/>
          <w:numId w:val="1"/>
        </w:numPr>
        <w:tabs>
          <w:tab w:pos="1182" w:val="left" w:leader="none"/>
        </w:tabs>
        <w:spacing w:line="240" w:lineRule="auto" w:before="65" w:after="0"/>
        <w:ind w:left="1181" w:right="0" w:hanging="420"/>
        <w:jc w:val="both"/>
        <w:rPr>
          <w:b/>
          <w:sz w:val="21"/>
        </w:rPr>
      </w:pPr>
      <w:r>
        <w:rPr>
          <w:b/>
          <w:w w:val="95"/>
          <w:sz w:val="21"/>
        </w:rPr>
        <w:t>被保险人故意自伤、故意犯罪或者抗拒依法采取的刑事强制措施；</w:t>
      </w:r>
    </w:p>
    <w:p>
      <w:pPr>
        <w:pStyle w:val="ListParagraph"/>
        <w:numPr>
          <w:ilvl w:val="2"/>
          <w:numId w:val="1"/>
        </w:numPr>
        <w:tabs>
          <w:tab w:pos="1181" w:val="left" w:leader="none"/>
          <w:tab w:pos="1182" w:val="left" w:leader="none"/>
        </w:tabs>
        <w:spacing w:line="297" w:lineRule="auto" w:before="65" w:after="0"/>
        <w:ind w:left="1181" w:right="223" w:hanging="420"/>
        <w:jc w:val="left"/>
        <w:rPr>
          <w:b/>
          <w:sz w:val="21"/>
        </w:rPr>
      </w:pPr>
      <w:r>
        <w:rPr>
          <w:b/>
          <w:spacing w:val="-3"/>
          <w:sz w:val="21"/>
        </w:rPr>
        <w:t>被保险人自本合同成立或者合同效力恢复之日起 </w:t>
      </w:r>
      <w:r>
        <w:rPr>
          <w:b/>
          <w:sz w:val="21"/>
        </w:rPr>
        <w:t>2</w:t>
      </w:r>
      <w:r>
        <w:rPr>
          <w:b/>
          <w:spacing w:val="-13"/>
          <w:sz w:val="21"/>
        </w:rPr>
        <w:t> 年内自杀，但被保险人自杀时为无民事</w:t>
      </w:r>
      <w:r>
        <w:rPr>
          <w:b/>
          <w:spacing w:val="-13"/>
          <w:w w:val="95"/>
          <w:sz w:val="21"/>
        </w:rPr>
        <w:t>行为能力人的除外；</w:t>
      </w:r>
    </w:p>
    <w:p>
      <w:pPr>
        <w:pStyle w:val="ListParagraph"/>
        <w:numPr>
          <w:ilvl w:val="2"/>
          <w:numId w:val="1"/>
        </w:numPr>
        <w:tabs>
          <w:tab w:pos="1182" w:val="left" w:leader="none"/>
        </w:tabs>
        <w:spacing w:line="240" w:lineRule="auto" w:before="15" w:after="0"/>
        <w:ind w:left="1181" w:right="0" w:hanging="420"/>
        <w:jc w:val="both"/>
        <w:rPr>
          <w:b/>
          <w:sz w:val="21"/>
        </w:rPr>
      </w:pPr>
      <w:r>
        <w:rPr>
          <w:b/>
          <w:w w:val="95"/>
          <w:sz w:val="21"/>
        </w:rPr>
        <w:t>被保险人患有遗传性疾病，先天性畸形、变形或染色体异常；</w:t>
      </w:r>
    </w:p>
    <w:p>
      <w:pPr>
        <w:pStyle w:val="ListParagraph"/>
        <w:numPr>
          <w:ilvl w:val="2"/>
          <w:numId w:val="1"/>
        </w:numPr>
        <w:tabs>
          <w:tab w:pos="1182" w:val="left" w:leader="none"/>
        </w:tabs>
        <w:spacing w:line="240" w:lineRule="auto" w:before="66" w:after="0"/>
        <w:ind w:left="1181" w:right="0" w:hanging="420"/>
        <w:jc w:val="both"/>
        <w:rPr>
          <w:b/>
          <w:sz w:val="21"/>
        </w:rPr>
      </w:pPr>
      <w:r>
        <w:rPr>
          <w:b/>
          <w:w w:val="95"/>
          <w:sz w:val="21"/>
        </w:rPr>
        <w:t>战争、军事冲突、暴乱或武装叛乱；</w:t>
      </w:r>
    </w:p>
    <w:p>
      <w:pPr>
        <w:pStyle w:val="ListParagraph"/>
        <w:numPr>
          <w:ilvl w:val="2"/>
          <w:numId w:val="1"/>
        </w:numPr>
        <w:tabs>
          <w:tab w:pos="1182" w:val="left" w:leader="none"/>
        </w:tabs>
        <w:spacing w:line="240" w:lineRule="auto" w:before="64" w:after="0"/>
        <w:ind w:left="1181" w:right="0" w:hanging="420"/>
        <w:jc w:val="both"/>
        <w:rPr>
          <w:b/>
          <w:sz w:val="21"/>
        </w:rPr>
      </w:pPr>
      <w:r>
        <w:rPr>
          <w:b/>
          <w:w w:val="95"/>
          <w:sz w:val="21"/>
        </w:rPr>
        <w:t>核爆炸、核辐射或核污染。</w:t>
      </w:r>
    </w:p>
    <w:p>
      <w:pPr>
        <w:spacing w:before="65"/>
        <w:ind w:left="761" w:right="0" w:firstLine="0"/>
        <w:jc w:val="both"/>
        <w:rPr>
          <w:b/>
          <w:sz w:val="21"/>
        </w:rPr>
      </w:pPr>
      <w:r>
        <w:rPr>
          <w:b/>
          <w:w w:val="95"/>
          <w:sz w:val="21"/>
          <w:shd w:fill="CCCCCC" w:color="auto" w:val="clear"/>
        </w:rPr>
        <w:t>被保险人在下列期间内发生的保险事故，本公司不承担给付保险金的责任：</w:t>
      </w:r>
    </w:p>
    <w:p>
      <w:pPr>
        <w:pStyle w:val="ListParagraph"/>
        <w:numPr>
          <w:ilvl w:val="0"/>
          <w:numId w:val="3"/>
        </w:numPr>
        <w:tabs>
          <w:tab w:pos="1182" w:val="left" w:leader="none"/>
        </w:tabs>
        <w:spacing w:line="240" w:lineRule="auto" w:before="65" w:after="0"/>
        <w:ind w:left="1181" w:right="0" w:hanging="420"/>
        <w:jc w:val="both"/>
        <w:rPr>
          <w:b/>
          <w:sz w:val="21"/>
        </w:rPr>
      </w:pPr>
      <w:r>
        <w:rPr>
          <w:b/>
          <w:w w:val="95"/>
          <w:sz w:val="21"/>
        </w:rPr>
        <w:t>醉酒、主动吸食或注射毒品；</w:t>
      </w:r>
    </w:p>
    <w:p>
      <w:pPr>
        <w:pStyle w:val="ListParagraph"/>
        <w:numPr>
          <w:ilvl w:val="0"/>
          <w:numId w:val="3"/>
        </w:numPr>
        <w:tabs>
          <w:tab w:pos="1182" w:val="left" w:leader="none"/>
        </w:tabs>
        <w:spacing w:line="240" w:lineRule="auto" w:before="65" w:after="0"/>
        <w:ind w:left="1181" w:right="0" w:hanging="420"/>
        <w:jc w:val="both"/>
        <w:rPr>
          <w:b/>
          <w:sz w:val="21"/>
        </w:rPr>
      </w:pPr>
      <w:r>
        <w:rPr>
          <w:b/>
          <w:w w:val="95"/>
          <w:sz w:val="21"/>
        </w:rPr>
        <w:t>酒后驾驶、无合法有效驾驶证驾驶，或驾驶无有效行驶证的机动车；</w:t>
      </w:r>
    </w:p>
    <w:p>
      <w:pPr>
        <w:pStyle w:val="ListParagraph"/>
        <w:numPr>
          <w:ilvl w:val="0"/>
          <w:numId w:val="3"/>
        </w:numPr>
        <w:tabs>
          <w:tab w:pos="1182" w:val="left" w:leader="none"/>
        </w:tabs>
        <w:spacing w:line="240" w:lineRule="auto" w:before="64" w:after="0"/>
        <w:ind w:left="1181" w:right="0" w:hanging="420"/>
        <w:jc w:val="both"/>
        <w:rPr>
          <w:b/>
          <w:sz w:val="21"/>
        </w:rPr>
      </w:pPr>
      <w:r>
        <w:rPr>
          <w:b/>
          <w:w w:val="95"/>
          <w:sz w:val="21"/>
        </w:rPr>
        <w:t>感染艾滋病病毒或患艾滋病。</w:t>
      </w:r>
    </w:p>
    <w:p>
      <w:pPr>
        <w:spacing w:line="297" w:lineRule="auto" w:before="65"/>
        <w:ind w:left="761" w:right="223" w:firstLine="0"/>
        <w:jc w:val="both"/>
        <w:rPr>
          <w:b/>
          <w:sz w:val="21"/>
        </w:rPr>
      </w:pPr>
      <w:r>
        <w:rPr/>
        <w:pict>
          <v:shape style="position:absolute;margin-left:64.260002pt;margin-top:56.073067pt;width:466.15pt;height:19.45pt;mso-position-horizontal-relative:page;mso-position-vertical-relative:paragraph;z-index:1096;mso-wrap-distance-left:0;mso-wrap-distance-right:0" type="#_x0000_t202" filled="true" fillcolor="#cccccc" stroked="false">
            <v:textbox inset="0,0,0,0">
              <w:txbxContent>
                <w:p>
                  <w:pPr>
                    <w:tabs>
                      <w:tab w:pos="656" w:val="left" w:leader="none"/>
                    </w:tabs>
                    <w:spacing w:line="275" w:lineRule="exact" w:before="0"/>
                    <w:ind w:left="122" w:right="0" w:firstLine="0"/>
                    <w:jc w:val="left"/>
                    <w:rPr>
                      <w:b/>
                      <w:sz w:val="24"/>
                    </w:rPr>
                  </w:pPr>
                  <w:r>
                    <w:rPr>
                      <w:b/>
                      <w:sz w:val="24"/>
                    </w:rPr>
                    <w:t>3</w:t>
                    <w:tab/>
                    <w:t>合同效力</w:t>
                  </w:r>
                </w:p>
              </w:txbxContent>
            </v:textbox>
            <v:fill type="solid"/>
            <w10:wrap type="topAndBottom"/>
          </v:shape>
        </w:pict>
      </w:r>
      <w:r>
        <w:rPr>
          <w:b/>
          <w:spacing w:val="-4"/>
          <w:sz w:val="21"/>
        </w:rPr>
        <w:t>因上述情况导致被保险人身故或初次发生本合同约定的重大疾病的，本合同效力终止，本公司</w:t>
      </w:r>
      <w:r>
        <w:rPr>
          <w:b/>
          <w:spacing w:val="-9"/>
          <w:sz w:val="21"/>
        </w:rPr>
        <w:t>向投保人退还本合同的现金价值。但因投保人对被保险人的故意杀害、故意伤害导致被保险人</w:t>
      </w:r>
      <w:r>
        <w:rPr>
          <w:b/>
          <w:spacing w:val="-9"/>
          <w:w w:val="95"/>
          <w:sz w:val="21"/>
        </w:rPr>
        <w:t>身故或初次发生本合同约定的重大疾病的，本公司向受益人退还本合同的现金价值。</w:t>
      </w:r>
    </w:p>
    <w:p>
      <w:pPr>
        <w:pStyle w:val="ListParagraph"/>
        <w:numPr>
          <w:ilvl w:val="1"/>
          <w:numId w:val="4"/>
        </w:numPr>
        <w:tabs>
          <w:tab w:pos="761" w:val="left" w:leader="none"/>
          <w:tab w:pos="762" w:val="left" w:leader="none"/>
        </w:tabs>
        <w:spacing w:line="225" w:lineRule="exact" w:before="0" w:after="0"/>
        <w:ind w:left="761" w:right="0" w:hanging="534"/>
        <w:jc w:val="left"/>
        <w:rPr>
          <w:b/>
          <w:sz w:val="21"/>
        </w:rPr>
      </w:pPr>
      <w:r>
        <w:rPr>
          <w:b/>
          <w:w w:val="95"/>
          <w:sz w:val="21"/>
        </w:rPr>
        <w:t>合同成立与生效</w:t>
      </w:r>
    </w:p>
    <w:p>
      <w:pPr>
        <w:pStyle w:val="BodyText"/>
        <w:spacing w:before="66"/>
      </w:pPr>
      <w:r>
        <w:rPr/>
        <w:t>投保人提出保险申请，本公司同意承保，本合同成立，合同成立日期于保险单上载明。</w:t>
      </w:r>
    </w:p>
    <w:p>
      <w:pPr>
        <w:pStyle w:val="BodyText"/>
        <w:spacing w:line="297" w:lineRule="auto" w:before="66"/>
        <w:ind w:right="179"/>
      </w:pPr>
      <w:r>
        <w:rPr/>
        <w:t>除另有约定外，自本合同成立，本公司收取保险费并签发保险单的次日零时起本合同生效，本公司自载明于保险单上的生效日开始承担本合同约定的保险责任。</w:t>
      </w:r>
    </w:p>
    <w:p>
      <w:pPr>
        <w:pStyle w:val="Heading2"/>
        <w:numPr>
          <w:ilvl w:val="1"/>
          <w:numId w:val="4"/>
        </w:numPr>
        <w:tabs>
          <w:tab w:pos="761" w:val="left" w:leader="none"/>
          <w:tab w:pos="762" w:val="left" w:leader="none"/>
        </w:tabs>
        <w:spacing w:line="240" w:lineRule="auto" w:before="15" w:after="0"/>
        <w:ind w:left="761" w:right="0" w:hanging="534"/>
        <w:jc w:val="left"/>
      </w:pPr>
      <w:r>
        <w:rPr>
          <w:w w:val="95"/>
        </w:rPr>
        <w:t>犹豫期</w:t>
      </w:r>
    </w:p>
    <w:p>
      <w:pPr>
        <w:pStyle w:val="BodyText"/>
        <w:spacing w:line="297" w:lineRule="auto" w:before="65"/>
        <w:ind w:right="171"/>
      </w:pPr>
      <w:r>
        <w:rPr/>
        <w:t>自投保人签收保险单之日起有 10 天的犹豫期。如果投保人在此期间内向本公司书面申请撤销合同，本合同不产生效力，本公司将不承担任何保险责任。</w:t>
      </w:r>
    </w:p>
    <w:p>
      <w:pPr>
        <w:pStyle w:val="BodyText"/>
      </w:pPr>
      <w:r>
        <w:rPr/>
        <w:t>投保人犹豫期内撤销合同，本公司将无息退还投保人所交的全部保险费。</w:t>
      </w:r>
    </w:p>
    <w:p>
      <w:pPr>
        <w:pStyle w:val="ListParagraph"/>
        <w:numPr>
          <w:ilvl w:val="1"/>
          <w:numId w:val="4"/>
        </w:numPr>
        <w:tabs>
          <w:tab w:pos="761" w:val="left" w:leader="none"/>
          <w:tab w:pos="762" w:val="left" w:leader="none"/>
        </w:tabs>
        <w:spacing w:line="240" w:lineRule="auto" w:before="65" w:after="0"/>
        <w:ind w:left="761" w:right="0" w:hanging="534"/>
        <w:jc w:val="left"/>
        <w:rPr>
          <w:sz w:val="21"/>
        </w:rPr>
      </w:pPr>
      <w:r>
        <w:rPr>
          <w:b/>
          <w:spacing w:val="-4"/>
          <w:sz w:val="21"/>
        </w:rPr>
        <w:t>保险期间 </w:t>
      </w:r>
      <w:r>
        <w:rPr>
          <w:spacing w:val="-3"/>
          <w:sz w:val="21"/>
        </w:rPr>
        <w:t>本合同的保险期间自合同生效之日起至被保险人年满 </w:t>
      </w:r>
      <w:r>
        <w:rPr>
          <w:sz w:val="21"/>
        </w:rPr>
        <w:t>80</w:t>
      </w:r>
      <w:r>
        <w:rPr>
          <w:spacing w:val="-8"/>
          <w:sz w:val="21"/>
        </w:rPr>
        <w:t> 周岁对应的保单周年日止。</w:t>
      </w:r>
    </w:p>
    <w:p>
      <w:pPr>
        <w:pStyle w:val="Heading2"/>
        <w:numPr>
          <w:ilvl w:val="1"/>
          <w:numId w:val="4"/>
        </w:numPr>
        <w:tabs>
          <w:tab w:pos="761" w:val="left" w:leader="none"/>
          <w:tab w:pos="762" w:val="left" w:leader="none"/>
        </w:tabs>
        <w:spacing w:line="240" w:lineRule="auto" w:before="64" w:after="0"/>
        <w:ind w:left="761" w:right="0" w:hanging="534"/>
        <w:jc w:val="left"/>
      </w:pPr>
      <w:r>
        <w:rPr>
          <w:w w:val="95"/>
        </w:rPr>
        <w:t>解除合同的手续及风险</w:t>
      </w:r>
    </w:p>
    <w:p>
      <w:pPr>
        <w:pStyle w:val="BodyText"/>
        <w:spacing w:before="66"/>
      </w:pPr>
      <w:r>
        <w:rPr/>
        <w:t>如投保人在犹豫期后申请解除本合同，应填写解除合同申请书并向本公司提供下列资料：</w:t>
      </w:r>
    </w:p>
    <w:p>
      <w:pPr>
        <w:spacing w:after="0"/>
        <w:sectPr>
          <w:pgSz w:w="11910" w:h="16840"/>
          <w:pgMar w:header="0" w:footer="1008" w:top="1360" w:bottom="1200" w:left="1180" w:right="1180"/>
        </w:sectPr>
      </w:pPr>
    </w:p>
    <w:p>
      <w:pPr>
        <w:pStyle w:val="ListParagraph"/>
        <w:numPr>
          <w:ilvl w:val="2"/>
          <w:numId w:val="4"/>
        </w:numPr>
        <w:tabs>
          <w:tab w:pos="1181" w:val="left" w:leader="none"/>
          <w:tab w:pos="1182" w:val="left" w:leader="none"/>
        </w:tabs>
        <w:spacing w:line="240" w:lineRule="auto" w:before="6" w:after="0"/>
        <w:ind w:left="1181" w:right="0" w:hanging="420"/>
        <w:jc w:val="left"/>
        <w:rPr>
          <w:sz w:val="21"/>
        </w:rPr>
      </w:pPr>
      <w:r>
        <w:rPr>
          <w:sz w:val="21"/>
        </w:rPr>
        <w:t>保险合同；</w:t>
      </w:r>
    </w:p>
    <w:p>
      <w:pPr>
        <w:pStyle w:val="ListParagraph"/>
        <w:numPr>
          <w:ilvl w:val="2"/>
          <w:numId w:val="4"/>
        </w:numPr>
        <w:tabs>
          <w:tab w:pos="1181" w:val="left" w:leader="none"/>
          <w:tab w:pos="1182" w:val="left" w:leader="none"/>
        </w:tabs>
        <w:spacing w:line="240" w:lineRule="auto" w:before="65" w:after="0"/>
        <w:ind w:left="1181" w:right="0" w:hanging="420"/>
        <w:jc w:val="left"/>
        <w:rPr>
          <w:sz w:val="21"/>
        </w:rPr>
      </w:pPr>
      <w:r>
        <w:rPr>
          <w:sz w:val="21"/>
        </w:rPr>
        <w:t>投保人的有效身份证件。</w:t>
      </w:r>
    </w:p>
    <w:p>
      <w:pPr>
        <w:pStyle w:val="BodyText"/>
        <w:spacing w:line="297" w:lineRule="auto" w:before="65"/>
        <w:ind w:right="222" w:hanging="1"/>
      </w:pPr>
      <w:r>
        <w:rPr>
          <w:spacing w:val="-9"/>
        </w:rPr>
        <w:t>自本公司收到解除合同申请书时起，本合同效力终止。本公司自收到解除合同申请书之日起 </w:t>
      </w:r>
      <w:r>
        <w:rPr/>
        <w:t>30 日内向投保人退还本合同的现金价值。</w:t>
      </w:r>
    </w:p>
    <w:p>
      <w:pPr>
        <w:pStyle w:val="BodyText"/>
      </w:pPr>
      <w:r>
        <w:rPr/>
        <w:t>投保人犹豫期后解除合同会遭受一定损失。</w:t>
      </w:r>
    </w:p>
    <w:p>
      <w:pPr>
        <w:pStyle w:val="BodyText"/>
        <w:spacing w:before="65"/>
      </w:pPr>
      <w:r>
        <w:rPr/>
        <w:pict>
          <v:shape style="position:absolute;margin-left:64.260002pt;margin-top:21.992603pt;width:466.15pt;height:19.5pt;mso-position-horizontal-relative:page;mso-position-vertical-relative:paragraph;z-index:1120;mso-wrap-distance-left:0;mso-wrap-distance-right:0" type="#_x0000_t202" filled="true" fillcolor="#cccccc" stroked="false">
            <v:textbox inset="0,0,0,0">
              <w:txbxContent>
                <w:p>
                  <w:pPr>
                    <w:tabs>
                      <w:tab w:pos="656" w:val="left" w:leader="none"/>
                    </w:tabs>
                    <w:spacing w:line="275" w:lineRule="exact" w:before="0"/>
                    <w:ind w:left="122" w:right="0" w:firstLine="0"/>
                    <w:jc w:val="left"/>
                    <w:rPr>
                      <w:b/>
                      <w:sz w:val="24"/>
                    </w:rPr>
                  </w:pPr>
                  <w:r>
                    <w:rPr>
                      <w:b/>
                      <w:sz w:val="24"/>
                    </w:rPr>
                    <w:t>4</w:t>
                    <w:tab/>
                    <w:t>保险费</w:t>
                  </w:r>
                </w:p>
              </w:txbxContent>
            </v:textbox>
            <v:fill type="solid"/>
            <w10:wrap type="topAndBottom"/>
          </v:shape>
        </w:pict>
      </w:r>
      <w:r>
        <w:rPr/>
        <w:t>如果被保险人已发生本合同责任范围内的保险事故，本公司将不接受解除合同申请。</w:t>
      </w:r>
    </w:p>
    <w:p>
      <w:pPr>
        <w:pStyle w:val="Heading2"/>
        <w:numPr>
          <w:ilvl w:val="1"/>
          <w:numId w:val="5"/>
        </w:numPr>
        <w:tabs>
          <w:tab w:pos="761" w:val="left" w:leader="none"/>
          <w:tab w:pos="762" w:val="left" w:leader="none"/>
        </w:tabs>
        <w:spacing w:line="225" w:lineRule="exact" w:before="0" w:after="0"/>
        <w:ind w:left="761" w:right="0" w:hanging="534"/>
        <w:jc w:val="left"/>
      </w:pPr>
      <w:r>
        <w:rPr>
          <w:w w:val="95"/>
        </w:rPr>
        <w:t>保险费</w:t>
      </w:r>
    </w:p>
    <w:p>
      <w:pPr>
        <w:pStyle w:val="BodyText"/>
        <w:spacing w:line="297" w:lineRule="auto" w:before="64"/>
        <w:ind w:right="170"/>
      </w:pPr>
      <w:r>
        <w:rPr/>
        <w:t>保险费将根据投保人与本公司约定的保障内容及被保险人的年龄、性别和风险状况进行确定， 投保人应按本合同的约定向本公司支付保险费。</w:t>
      </w:r>
    </w:p>
    <w:p>
      <w:pPr>
        <w:pStyle w:val="BodyText"/>
        <w:spacing w:line="297" w:lineRule="auto"/>
        <w:ind w:right="160"/>
      </w:pPr>
      <w:r>
        <w:rPr/>
        <w:t>如果本公司由于医疗条件、疾病发生率等社会整体风险状况的变化，针对所有被保险人或同一类别的所有被保险人调整保险费率，投保人应按调整后的保险费率交纳续期保险费。</w:t>
      </w:r>
    </w:p>
    <w:p>
      <w:pPr>
        <w:pStyle w:val="Heading2"/>
        <w:numPr>
          <w:ilvl w:val="1"/>
          <w:numId w:val="5"/>
        </w:numPr>
        <w:tabs>
          <w:tab w:pos="761" w:val="left" w:leader="none"/>
          <w:tab w:pos="763" w:val="left" w:leader="none"/>
        </w:tabs>
        <w:spacing w:line="240" w:lineRule="auto" w:before="15" w:after="0"/>
        <w:ind w:left="762" w:right="0" w:hanging="535"/>
        <w:jc w:val="left"/>
      </w:pPr>
      <w:r>
        <w:rPr>
          <w:w w:val="95"/>
        </w:rPr>
        <w:t>保险费的支付、宽限期、合同效力的中止和恢复</w:t>
      </w:r>
    </w:p>
    <w:p>
      <w:pPr>
        <w:pStyle w:val="BodyText"/>
        <w:spacing w:line="297" w:lineRule="auto" w:before="65"/>
        <w:ind w:right="160"/>
      </w:pPr>
      <w:r>
        <w:rPr/>
        <w:t>投保人分期支付保险费的，续期保险费应按保险单所载明的方式支付，如到期未支付，自保险费约定支付日的次日起 60 天为宽限期。</w:t>
      </w:r>
    </w:p>
    <w:p>
      <w:pPr>
        <w:pStyle w:val="BodyText"/>
        <w:spacing w:line="297" w:lineRule="auto" w:before="14"/>
        <w:ind w:right="160"/>
      </w:pPr>
      <w:r>
        <w:rPr/>
        <w:t>如果被保险人在宽限期内发生保险事故，本公司仍承担保险责任，但在给付保险金时扣除投保人所欠交的保险费。</w:t>
      </w:r>
    </w:p>
    <w:p>
      <w:pPr>
        <w:pStyle w:val="BodyText"/>
        <w:spacing w:line="297" w:lineRule="auto"/>
        <w:ind w:right="160"/>
      </w:pPr>
      <w:r>
        <w:rPr/>
        <w:t>如果宽限期结束时投保人仍未支付保险费，自宽限期满的次日零时起合同效力中止，合同效力中止期间本公司不承担保险责任。</w:t>
      </w:r>
    </w:p>
    <w:p>
      <w:pPr>
        <w:pStyle w:val="BodyText"/>
      </w:pPr>
      <w:r>
        <w:rPr/>
        <w:t>自本合同效力中止之日起 2 年内，投保人可向本公司申请恢复合同效力。</w:t>
      </w:r>
    </w:p>
    <w:p>
      <w:pPr>
        <w:pStyle w:val="BodyText"/>
        <w:spacing w:line="297" w:lineRule="auto" w:before="66"/>
        <w:ind w:right="117"/>
      </w:pPr>
      <w:r>
        <w:rPr/>
        <w:pict>
          <v:shape style="position:absolute;margin-left:64.260002pt;margin-top:56.121708pt;width:466.15pt;height:19.45pt;mso-position-horizontal-relative:page;mso-position-vertical-relative:paragraph;z-index:1144;mso-wrap-distance-left:0;mso-wrap-distance-right:0" type="#_x0000_t202" filled="true" fillcolor="#cccccc" stroked="false">
            <v:textbox inset="0,0,0,0">
              <w:txbxContent>
                <w:p>
                  <w:pPr>
                    <w:tabs>
                      <w:tab w:pos="656" w:val="left" w:leader="none"/>
                    </w:tabs>
                    <w:spacing w:line="275" w:lineRule="exact" w:before="0"/>
                    <w:ind w:left="122" w:right="0" w:firstLine="0"/>
                    <w:jc w:val="left"/>
                    <w:rPr>
                      <w:b/>
                      <w:sz w:val="24"/>
                    </w:rPr>
                  </w:pPr>
                  <w:r>
                    <w:rPr>
                      <w:b/>
                      <w:sz w:val="24"/>
                    </w:rPr>
                    <w:t>5</w:t>
                    <w:tab/>
                    <w:t>保险金的申请及给付</w:t>
                  </w:r>
                </w:p>
              </w:txbxContent>
            </v:textbox>
            <v:fill type="solid"/>
            <w10:wrap type="topAndBottom"/>
          </v:shape>
        </w:pict>
      </w:r>
      <w:r>
        <w:rPr>
          <w:spacing w:val="-3"/>
        </w:rPr>
        <w:t>经本公司与投保人协商并达成协议，自投保人补交所欠的保险费和利息的次日零时起，本合同</w:t>
      </w:r>
      <w:r>
        <w:rPr>
          <w:spacing w:val="-14"/>
        </w:rPr>
        <w:t>效力恢复。但是，自本合同效力中止之日起满 </w:t>
      </w:r>
      <w:r>
        <w:rPr/>
        <w:t>2</w:t>
      </w:r>
      <w:r>
        <w:rPr>
          <w:spacing w:val="-12"/>
        </w:rPr>
        <w:t> 年双方未达成协议的，本公司有权解除本合同。本公司解除合同的，向投保人退还本合同的现金价值。</w:t>
      </w:r>
    </w:p>
    <w:p>
      <w:pPr>
        <w:pStyle w:val="Heading2"/>
        <w:numPr>
          <w:ilvl w:val="1"/>
          <w:numId w:val="6"/>
        </w:numPr>
        <w:tabs>
          <w:tab w:pos="761" w:val="left" w:leader="none"/>
          <w:tab w:pos="762" w:val="left" w:leader="none"/>
        </w:tabs>
        <w:spacing w:line="225" w:lineRule="exact" w:before="0" w:after="0"/>
        <w:ind w:left="641" w:right="0" w:hanging="414"/>
        <w:jc w:val="left"/>
      </w:pPr>
      <w:r>
        <w:rPr>
          <w:w w:val="95"/>
        </w:rPr>
        <w:t>保险事故通知</w:t>
      </w:r>
    </w:p>
    <w:p>
      <w:pPr>
        <w:pStyle w:val="BodyText"/>
        <w:spacing w:before="66"/>
      </w:pPr>
      <w:r>
        <w:rPr/>
        <w:t>投保人、被保险人或受益人知道保险事故发生后应当在 10 日内通知本公司。</w:t>
      </w:r>
    </w:p>
    <w:p>
      <w:pPr>
        <w:pStyle w:val="BodyText"/>
        <w:spacing w:line="297" w:lineRule="auto" w:before="64"/>
        <w:ind w:right="119" w:hanging="1"/>
      </w:pPr>
      <w:r>
        <w:rPr>
          <w:spacing w:val="-11"/>
        </w:rPr>
        <w:t>如果投保人、被保险人或受益人故意或者因重大过失未及时通知，致使保险事故的性质、原因、</w:t>
      </w:r>
      <w:r>
        <w:rPr>
          <w:spacing w:val="-13"/>
        </w:rPr>
        <w:t>损失程度等难以确定的，本公司对无法确定的部分，不承担给付保险金的责任，但本公司通过</w:t>
      </w:r>
      <w:r>
        <w:rPr>
          <w:spacing w:val="-5"/>
        </w:rPr>
        <w:t>其他途径已经及时知道或者应当及时知道保险事故发生或者虽未及时通知但不影响本公司确 定保险事故的性质、原因、损失程度的除外。</w:t>
      </w:r>
    </w:p>
    <w:p>
      <w:pPr>
        <w:pStyle w:val="Heading2"/>
        <w:numPr>
          <w:ilvl w:val="1"/>
          <w:numId w:val="6"/>
        </w:numPr>
        <w:tabs>
          <w:tab w:pos="761" w:val="left" w:leader="none"/>
          <w:tab w:pos="762" w:val="left" w:leader="none"/>
        </w:tabs>
        <w:spacing w:line="240" w:lineRule="auto" w:before="15" w:after="0"/>
        <w:ind w:left="761" w:right="0" w:hanging="534"/>
        <w:jc w:val="left"/>
      </w:pPr>
      <w:r>
        <w:rPr>
          <w:w w:val="95"/>
        </w:rPr>
        <w:t>受益人</w:t>
      </w:r>
    </w:p>
    <w:p>
      <w:pPr>
        <w:pStyle w:val="BodyText"/>
        <w:spacing w:before="66"/>
      </w:pPr>
      <w:r>
        <w:rPr/>
        <w:t>投保人或者被保险人可以指定一人或多人为身故保险金受益人。</w:t>
      </w:r>
    </w:p>
    <w:p>
      <w:pPr>
        <w:pStyle w:val="BodyText"/>
        <w:spacing w:line="297" w:lineRule="auto" w:before="66"/>
        <w:ind w:right="221"/>
        <w:jc w:val="both"/>
      </w:pPr>
      <w:r>
        <w:rPr>
          <w:spacing w:val="-4"/>
        </w:rPr>
        <w:t>身故保险金受益人为多人时，投保人或者被保险人可以确定受益顺序和受益份额；同一受益顺</w:t>
      </w:r>
      <w:r>
        <w:rPr>
          <w:spacing w:val="-8"/>
        </w:rPr>
        <w:t>序如果没有确定受益份额，各受益人按照相等份额享有受益权；没有确定受益顺序的，各受益人按同一顺序享有受益权。</w:t>
      </w:r>
    </w:p>
    <w:p>
      <w:pPr>
        <w:pStyle w:val="BodyText"/>
      </w:pPr>
      <w:r>
        <w:rPr/>
        <w:t>被保险人为无民事行为能力人或限制民事行为能力人的，可以由其监护人指定受益人。</w:t>
      </w:r>
    </w:p>
    <w:p>
      <w:pPr>
        <w:pStyle w:val="BodyText"/>
        <w:spacing w:line="297" w:lineRule="auto" w:before="64"/>
        <w:ind w:right="160"/>
      </w:pPr>
      <w:r>
        <w:rPr/>
        <w:t>投保人或者被保险人可以变更身故保险金受益人并书面通知本公司。本公司收到变更受益人的书面通知后，在保险单或其他保险凭证上批注或附贴批单。</w:t>
      </w:r>
    </w:p>
    <w:p>
      <w:pPr>
        <w:pStyle w:val="BodyText"/>
      </w:pPr>
      <w:r>
        <w:rPr/>
        <w:t>投保人在指定和变更身故保险金受益人时，必须经过被保险人书面同意。</w:t>
      </w:r>
    </w:p>
    <w:p>
      <w:pPr>
        <w:spacing w:after="0"/>
        <w:sectPr>
          <w:pgSz w:w="11910" w:h="16840"/>
          <w:pgMar w:header="0" w:footer="1008" w:top="1360" w:bottom="1200" w:left="1180" w:right="1180"/>
        </w:sectPr>
      </w:pPr>
    </w:p>
    <w:p>
      <w:pPr>
        <w:pStyle w:val="BodyText"/>
        <w:spacing w:line="297" w:lineRule="auto" w:before="6"/>
        <w:ind w:left="641" w:right="119"/>
      </w:pPr>
      <w:r>
        <w:rPr/>
        <w:t>被保险人身故后，有下列情形之一的，保险金作为被保险人的遗产，由本公司依照《中华人民共和国继承法》的规定履行给付保险金的义务：</w:t>
      </w:r>
    </w:p>
    <w:p>
      <w:pPr>
        <w:pStyle w:val="ListParagraph"/>
        <w:numPr>
          <w:ilvl w:val="2"/>
          <w:numId w:val="6"/>
        </w:numPr>
        <w:tabs>
          <w:tab w:pos="1061" w:val="left" w:leader="none"/>
          <w:tab w:pos="1062" w:val="left" w:leader="none"/>
        </w:tabs>
        <w:spacing w:line="240" w:lineRule="auto" w:before="15" w:after="0"/>
        <w:ind w:left="1061" w:right="0" w:hanging="420"/>
        <w:jc w:val="left"/>
        <w:rPr>
          <w:sz w:val="21"/>
        </w:rPr>
      </w:pPr>
      <w:r>
        <w:rPr>
          <w:sz w:val="21"/>
        </w:rPr>
        <w:t>没有指定受益人，或者受益人指定不明无法确定的；</w:t>
      </w:r>
    </w:p>
    <w:p>
      <w:pPr>
        <w:pStyle w:val="ListParagraph"/>
        <w:numPr>
          <w:ilvl w:val="2"/>
          <w:numId w:val="6"/>
        </w:numPr>
        <w:tabs>
          <w:tab w:pos="1061" w:val="left" w:leader="none"/>
          <w:tab w:pos="1062" w:val="left" w:leader="none"/>
        </w:tabs>
        <w:spacing w:line="240" w:lineRule="auto" w:before="64" w:after="0"/>
        <w:ind w:left="1061" w:right="0" w:hanging="420"/>
        <w:jc w:val="left"/>
        <w:rPr>
          <w:sz w:val="21"/>
        </w:rPr>
      </w:pPr>
      <w:r>
        <w:rPr>
          <w:sz w:val="21"/>
        </w:rPr>
        <w:t>受益人先于被保险人身故，没有其他受益人的；</w:t>
      </w:r>
    </w:p>
    <w:p>
      <w:pPr>
        <w:pStyle w:val="ListParagraph"/>
        <w:numPr>
          <w:ilvl w:val="2"/>
          <w:numId w:val="6"/>
        </w:numPr>
        <w:tabs>
          <w:tab w:pos="1061" w:val="left" w:leader="none"/>
          <w:tab w:pos="1062" w:val="left" w:leader="none"/>
        </w:tabs>
        <w:spacing w:line="240" w:lineRule="auto" w:before="65" w:after="0"/>
        <w:ind w:left="1061" w:right="0" w:hanging="420"/>
        <w:jc w:val="left"/>
        <w:rPr>
          <w:sz w:val="21"/>
        </w:rPr>
      </w:pPr>
      <w:r>
        <w:rPr>
          <w:sz w:val="21"/>
        </w:rPr>
        <w:t>受益人依法丧失受益权或者放弃受益权，没有其他受益人的。</w:t>
      </w:r>
    </w:p>
    <w:p>
      <w:pPr>
        <w:pStyle w:val="BodyText"/>
        <w:spacing w:line="297" w:lineRule="auto" w:before="65"/>
        <w:ind w:left="641" w:right="163"/>
      </w:pPr>
      <w:r>
        <w:rPr/>
        <w:t>受益人与被保险人在同一事件中身故，且不能确定身故先后顺序的，推定受益人身故在先。</w:t>
      </w:r>
      <w:r>
        <w:rPr>
          <w:spacing w:val="-4"/>
        </w:rPr>
        <w:t>受益人故意造成被保险人身故、伤残、疾病的，或者故意杀害被保险人未遂的，该受益人丧失受益权。</w:t>
      </w:r>
    </w:p>
    <w:p>
      <w:pPr>
        <w:pStyle w:val="BodyText"/>
        <w:ind w:left="641"/>
      </w:pPr>
      <w:r>
        <w:rPr/>
        <w:t>除本合同另有约定外，重大疾病保险金和特定疾病医疗费用保险金的受益人为被保险人本人。</w:t>
      </w:r>
    </w:p>
    <w:p>
      <w:pPr>
        <w:pStyle w:val="ListParagraph"/>
        <w:numPr>
          <w:ilvl w:val="1"/>
          <w:numId w:val="6"/>
        </w:numPr>
        <w:tabs>
          <w:tab w:pos="640" w:val="left" w:leader="none"/>
          <w:tab w:pos="641" w:val="left" w:leader="none"/>
        </w:tabs>
        <w:spacing w:line="297" w:lineRule="auto" w:before="66" w:after="0"/>
        <w:ind w:left="641" w:right="840" w:hanging="534"/>
        <w:jc w:val="left"/>
        <w:rPr>
          <w:b/>
          <w:sz w:val="21"/>
        </w:rPr>
      </w:pPr>
      <w:r>
        <w:rPr>
          <w:b/>
          <w:spacing w:val="-1"/>
          <w:sz w:val="21"/>
        </w:rPr>
        <w:t>保险金申请资料 </w:t>
      </w:r>
      <w:r>
        <w:rPr>
          <w:sz w:val="21"/>
        </w:rPr>
        <w:t>申请人应提供下列资料，本公司有权保留申请资料的原件或复印件： </w:t>
      </w:r>
      <w:r>
        <w:rPr>
          <w:b/>
          <w:w w:val="95"/>
          <w:sz w:val="21"/>
        </w:rPr>
        <w:t>重大疾病保险金</w:t>
      </w:r>
    </w:p>
    <w:p>
      <w:pPr>
        <w:pStyle w:val="ListParagraph"/>
        <w:numPr>
          <w:ilvl w:val="2"/>
          <w:numId w:val="6"/>
        </w:numPr>
        <w:tabs>
          <w:tab w:pos="1061" w:val="left" w:leader="none"/>
          <w:tab w:pos="1062" w:val="left" w:leader="none"/>
        </w:tabs>
        <w:spacing w:line="240" w:lineRule="auto" w:before="15" w:after="0"/>
        <w:ind w:left="1061" w:right="0" w:hanging="420"/>
        <w:jc w:val="left"/>
        <w:rPr>
          <w:sz w:val="21"/>
        </w:rPr>
      </w:pPr>
      <w:r>
        <w:rPr>
          <w:sz w:val="21"/>
        </w:rPr>
        <w:t>申请人和受益人的有效身份证件；</w:t>
      </w:r>
    </w:p>
    <w:p>
      <w:pPr>
        <w:pStyle w:val="ListParagraph"/>
        <w:numPr>
          <w:ilvl w:val="2"/>
          <w:numId w:val="6"/>
        </w:numPr>
        <w:tabs>
          <w:tab w:pos="1061" w:val="left" w:leader="none"/>
          <w:tab w:pos="1062" w:val="left" w:leader="none"/>
        </w:tabs>
        <w:spacing w:line="297" w:lineRule="auto" w:before="65" w:after="0"/>
        <w:ind w:left="1061" w:right="163" w:hanging="420"/>
        <w:jc w:val="left"/>
        <w:rPr>
          <w:sz w:val="21"/>
        </w:rPr>
      </w:pPr>
      <w:r>
        <w:rPr>
          <w:spacing w:val="-4"/>
          <w:sz w:val="21"/>
        </w:rPr>
        <w:t>由医院专科医生出具的疾病诊断证明书、病历记录，以及由医院出具的确诊疾病必需的病理显微镜检查、血液检查、影像学检查及其他科学检验报告；</w:t>
      </w:r>
    </w:p>
    <w:p>
      <w:pPr>
        <w:pStyle w:val="ListParagraph"/>
        <w:numPr>
          <w:ilvl w:val="2"/>
          <w:numId w:val="6"/>
        </w:numPr>
        <w:tabs>
          <w:tab w:pos="1061" w:val="left" w:leader="none"/>
          <w:tab w:pos="1062" w:val="left" w:leader="none"/>
        </w:tabs>
        <w:spacing w:line="297" w:lineRule="auto" w:before="15" w:after="0"/>
        <w:ind w:left="641" w:right="2000" w:firstLine="0"/>
        <w:jc w:val="left"/>
        <w:rPr>
          <w:b/>
          <w:sz w:val="21"/>
        </w:rPr>
      </w:pPr>
      <w:r>
        <w:rPr>
          <w:sz w:val="21"/>
        </w:rPr>
        <w:t>所能提供的与确认保险事故的性质、原因等相关的其他证明和资料。</w:t>
      </w:r>
      <w:r>
        <w:rPr>
          <w:b/>
          <w:w w:val="95"/>
          <w:sz w:val="21"/>
        </w:rPr>
        <w:t>特定疾病医疗费用保险金</w:t>
      </w:r>
    </w:p>
    <w:p>
      <w:pPr>
        <w:pStyle w:val="ListParagraph"/>
        <w:numPr>
          <w:ilvl w:val="0"/>
          <w:numId w:val="7"/>
        </w:numPr>
        <w:tabs>
          <w:tab w:pos="1061" w:val="left" w:leader="none"/>
          <w:tab w:pos="1062" w:val="left" w:leader="none"/>
        </w:tabs>
        <w:spacing w:line="240" w:lineRule="auto" w:before="14" w:after="0"/>
        <w:ind w:left="1061" w:right="0" w:hanging="420"/>
        <w:jc w:val="left"/>
        <w:rPr>
          <w:sz w:val="21"/>
        </w:rPr>
      </w:pPr>
      <w:r>
        <w:rPr>
          <w:sz w:val="21"/>
        </w:rPr>
        <w:t>申请人和受益人的有效身份证件；</w:t>
      </w:r>
    </w:p>
    <w:p>
      <w:pPr>
        <w:pStyle w:val="ListParagraph"/>
        <w:numPr>
          <w:ilvl w:val="0"/>
          <w:numId w:val="7"/>
        </w:numPr>
        <w:tabs>
          <w:tab w:pos="1061" w:val="left" w:leader="none"/>
          <w:tab w:pos="1062" w:val="left" w:leader="none"/>
        </w:tabs>
        <w:spacing w:line="297" w:lineRule="auto" w:before="66" w:after="0"/>
        <w:ind w:left="1061" w:right="163" w:hanging="420"/>
        <w:jc w:val="left"/>
        <w:rPr>
          <w:sz w:val="21"/>
        </w:rPr>
      </w:pPr>
      <w:r>
        <w:rPr>
          <w:spacing w:val="-4"/>
          <w:sz w:val="21"/>
        </w:rPr>
        <w:t>由医院专科医生出具的疾病诊断证明书、病历记录，以及由医院出具的确诊疾病必需的病理显微镜检查、血液检查、影像学检查及其他科学检验报告；</w:t>
      </w:r>
    </w:p>
    <w:p>
      <w:pPr>
        <w:pStyle w:val="ListParagraph"/>
        <w:numPr>
          <w:ilvl w:val="0"/>
          <w:numId w:val="7"/>
        </w:numPr>
        <w:tabs>
          <w:tab w:pos="1061" w:val="left" w:leader="none"/>
          <w:tab w:pos="1062" w:val="left" w:leader="none"/>
        </w:tabs>
        <w:spacing w:line="240" w:lineRule="auto" w:before="14" w:after="0"/>
        <w:ind w:left="1061" w:right="0" w:hanging="420"/>
        <w:jc w:val="left"/>
        <w:rPr>
          <w:sz w:val="21"/>
        </w:rPr>
      </w:pPr>
      <w:r>
        <w:rPr>
          <w:sz w:val="21"/>
        </w:rPr>
        <w:t>医疗费用收据原件和费用清单；</w:t>
      </w:r>
    </w:p>
    <w:p>
      <w:pPr>
        <w:pStyle w:val="ListParagraph"/>
        <w:numPr>
          <w:ilvl w:val="0"/>
          <w:numId w:val="7"/>
        </w:numPr>
        <w:tabs>
          <w:tab w:pos="1061" w:val="left" w:leader="none"/>
          <w:tab w:pos="1062" w:val="left" w:leader="none"/>
        </w:tabs>
        <w:spacing w:line="240" w:lineRule="auto" w:before="65" w:after="0"/>
        <w:ind w:left="1061" w:right="0" w:hanging="420"/>
        <w:jc w:val="left"/>
        <w:rPr>
          <w:sz w:val="21"/>
        </w:rPr>
      </w:pPr>
      <w:r>
        <w:rPr>
          <w:sz w:val="21"/>
        </w:rPr>
        <w:t>所能提供的其他与确认保险事故性质、原因等相关的证明和资料。</w:t>
      </w:r>
    </w:p>
    <w:p>
      <w:pPr>
        <w:pStyle w:val="BodyText"/>
        <w:spacing w:line="297" w:lineRule="auto" w:before="65"/>
        <w:ind w:left="641" w:right="162"/>
        <w:jc w:val="both"/>
      </w:pPr>
      <w:r>
        <w:rPr>
          <w:spacing w:val="-2"/>
        </w:rPr>
        <w:t>若被保险人发生的属于保险责任范围内的医疗费用已通过社会医疗保险、公费医疗或其他商业</w:t>
      </w:r>
      <w:r>
        <w:rPr>
          <w:spacing w:val="-6"/>
        </w:rPr>
        <w:t>保险等途径得到了部分补偿的，申请人需提供已注明给付比例或给付金额的医疗费用收据原件或复印件，收据原件或复印件上应同时加盖给付单位的印章。</w:t>
      </w:r>
    </w:p>
    <w:p>
      <w:pPr>
        <w:pStyle w:val="Heading2"/>
        <w:ind w:left="641"/>
      </w:pPr>
      <w:r>
        <w:rPr>
          <w:w w:val="95"/>
        </w:rPr>
        <w:t>身故保险金</w:t>
      </w:r>
    </w:p>
    <w:p>
      <w:pPr>
        <w:pStyle w:val="ListParagraph"/>
        <w:numPr>
          <w:ilvl w:val="0"/>
          <w:numId w:val="8"/>
        </w:numPr>
        <w:tabs>
          <w:tab w:pos="1061" w:val="left" w:leader="none"/>
          <w:tab w:pos="1062" w:val="left" w:leader="none"/>
        </w:tabs>
        <w:spacing w:line="240" w:lineRule="auto" w:before="66" w:after="0"/>
        <w:ind w:left="1061" w:right="0" w:hanging="420"/>
        <w:jc w:val="left"/>
        <w:rPr>
          <w:sz w:val="21"/>
        </w:rPr>
      </w:pPr>
      <w:r>
        <w:rPr>
          <w:sz w:val="21"/>
        </w:rPr>
        <w:t>申请人和受益人的有效身份证件；</w:t>
      </w:r>
    </w:p>
    <w:p>
      <w:pPr>
        <w:pStyle w:val="ListParagraph"/>
        <w:numPr>
          <w:ilvl w:val="0"/>
          <w:numId w:val="8"/>
        </w:numPr>
        <w:tabs>
          <w:tab w:pos="1061" w:val="left" w:leader="none"/>
          <w:tab w:pos="1062" w:val="left" w:leader="none"/>
        </w:tabs>
        <w:spacing w:line="240" w:lineRule="auto" w:before="65" w:after="0"/>
        <w:ind w:left="1061" w:right="0" w:hanging="420"/>
        <w:jc w:val="left"/>
        <w:rPr>
          <w:sz w:val="21"/>
        </w:rPr>
      </w:pPr>
      <w:r>
        <w:rPr>
          <w:sz w:val="21"/>
        </w:rPr>
        <w:t>被保险人户籍注销证明；</w:t>
      </w:r>
    </w:p>
    <w:p>
      <w:pPr>
        <w:pStyle w:val="ListParagraph"/>
        <w:numPr>
          <w:ilvl w:val="0"/>
          <w:numId w:val="8"/>
        </w:numPr>
        <w:tabs>
          <w:tab w:pos="1061" w:val="left" w:leader="none"/>
          <w:tab w:pos="1062" w:val="left" w:leader="none"/>
        </w:tabs>
        <w:spacing w:line="297" w:lineRule="auto" w:before="66" w:after="0"/>
        <w:ind w:left="1061" w:right="320" w:hanging="420"/>
        <w:jc w:val="left"/>
        <w:rPr>
          <w:sz w:val="21"/>
        </w:rPr>
      </w:pPr>
      <w:r>
        <w:rPr>
          <w:sz w:val="21"/>
        </w:rPr>
        <w:t>国家卫生行政部门认定的医疗机构、公安部门或其他相关机构出具的被保险人的死亡证明；</w:t>
      </w:r>
    </w:p>
    <w:p>
      <w:pPr>
        <w:pStyle w:val="ListParagraph"/>
        <w:numPr>
          <w:ilvl w:val="0"/>
          <w:numId w:val="8"/>
        </w:numPr>
        <w:tabs>
          <w:tab w:pos="1061" w:val="left" w:leader="none"/>
          <w:tab w:pos="1062" w:val="left" w:leader="none"/>
        </w:tabs>
        <w:spacing w:line="240" w:lineRule="auto" w:before="14" w:after="0"/>
        <w:ind w:left="1061" w:right="0" w:hanging="420"/>
        <w:jc w:val="left"/>
        <w:rPr>
          <w:sz w:val="21"/>
        </w:rPr>
      </w:pPr>
      <w:r>
        <w:rPr>
          <w:sz w:val="21"/>
        </w:rPr>
        <w:t>被保险人由人民法院宣告死亡的，还应提供法院宣告死亡判决书原件；</w:t>
      </w:r>
    </w:p>
    <w:p>
      <w:pPr>
        <w:pStyle w:val="ListParagraph"/>
        <w:numPr>
          <w:ilvl w:val="0"/>
          <w:numId w:val="8"/>
        </w:numPr>
        <w:tabs>
          <w:tab w:pos="1061" w:val="left" w:leader="none"/>
          <w:tab w:pos="1062" w:val="left" w:leader="none"/>
        </w:tabs>
        <w:spacing w:line="297" w:lineRule="auto" w:before="65" w:after="0"/>
        <w:ind w:left="641" w:right="1790" w:firstLine="0"/>
        <w:jc w:val="left"/>
        <w:rPr>
          <w:sz w:val="21"/>
        </w:rPr>
      </w:pPr>
      <w:r>
        <w:rPr>
          <w:sz w:val="21"/>
        </w:rPr>
        <w:t>所能提供的与确认保险事故的性质、原因等有关的其他证明和资料。 保险金作为被保险人遗产时，必须提供可证明合法继承权的相关权利文件。</w:t>
      </w:r>
    </w:p>
    <w:p>
      <w:pPr>
        <w:pStyle w:val="BodyText"/>
        <w:spacing w:before="13"/>
        <w:ind w:left="641"/>
      </w:pPr>
      <w:r>
        <w:rPr/>
        <w:t>以上证明和资料不完整的，本公司将及时一次性通知申请人补充提供有关证明和资料。</w:t>
      </w:r>
    </w:p>
    <w:p>
      <w:pPr>
        <w:pStyle w:val="Heading2"/>
        <w:numPr>
          <w:ilvl w:val="1"/>
          <w:numId w:val="6"/>
        </w:numPr>
        <w:tabs>
          <w:tab w:pos="640" w:val="left" w:leader="none"/>
          <w:tab w:pos="641" w:val="left" w:leader="none"/>
        </w:tabs>
        <w:spacing w:line="240" w:lineRule="auto" w:before="65" w:after="0"/>
        <w:ind w:left="640" w:right="0" w:hanging="533"/>
        <w:jc w:val="left"/>
      </w:pPr>
      <w:r>
        <w:rPr>
          <w:w w:val="95"/>
        </w:rPr>
        <w:t>宣告死亡的处理</w:t>
      </w:r>
    </w:p>
    <w:p>
      <w:pPr>
        <w:pStyle w:val="BodyText"/>
        <w:spacing w:line="297" w:lineRule="auto" w:before="65"/>
        <w:ind w:left="641" w:right="119"/>
      </w:pPr>
      <w:r>
        <w:rPr/>
        <w:t>本合同有效期内，被保险人经人民法院宣告死亡的，本公司将根据法院判决所确定的被保险人死亡日期，按本合同约定的保险责任确定身故保险金的给付。</w:t>
      </w:r>
    </w:p>
    <w:p>
      <w:pPr>
        <w:pStyle w:val="BodyText"/>
        <w:spacing w:line="297" w:lineRule="auto" w:before="13"/>
        <w:ind w:left="633" w:right="117" w:hanging="26"/>
      </w:pPr>
      <w:r>
        <w:rPr/>
        <w:t>如被保险人在宣告死亡后生还，保险金领取人应于知道被保险人生还后 30 日内将已领取的保险金退还给本公司。</w:t>
      </w:r>
    </w:p>
    <w:p>
      <w:pPr>
        <w:pStyle w:val="Heading2"/>
        <w:numPr>
          <w:ilvl w:val="1"/>
          <w:numId w:val="6"/>
        </w:numPr>
        <w:tabs>
          <w:tab w:pos="641" w:val="left" w:leader="none"/>
          <w:tab w:pos="642" w:val="left" w:leader="none"/>
        </w:tabs>
        <w:spacing w:line="240" w:lineRule="auto" w:before="15" w:after="0"/>
        <w:ind w:left="641" w:right="0" w:hanging="534"/>
        <w:jc w:val="left"/>
      </w:pPr>
      <w:r>
        <w:rPr>
          <w:w w:val="95"/>
        </w:rPr>
        <w:t>保险金的给付</w:t>
      </w:r>
    </w:p>
    <w:p>
      <w:pPr>
        <w:spacing w:after="0" w:line="240" w:lineRule="auto"/>
        <w:jc w:val="left"/>
        <w:sectPr>
          <w:pgSz w:w="11910" w:h="16840"/>
          <w:pgMar w:header="0" w:footer="1008" w:top="1360" w:bottom="1200" w:left="1300" w:right="1240"/>
        </w:sectPr>
      </w:pPr>
    </w:p>
    <w:p>
      <w:pPr>
        <w:pStyle w:val="BodyText"/>
        <w:spacing w:before="6"/>
      </w:pPr>
      <w:r>
        <w:rPr/>
        <w:t>本公司在收到保险金给付申请书及合同约定的证明和资料后，将在 5 日内作出核定；情形复杂</w:t>
      </w:r>
    </w:p>
    <w:p>
      <w:pPr>
        <w:pStyle w:val="BodyText"/>
        <w:spacing w:line="273" w:lineRule="auto" w:before="36"/>
        <w:ind w:right="220"/>
      </w:pPr>
      <w:r>
        <w:rPr>
          <w:spacing w:val="-14"/>
        </w:rPr>
        <w:t>的，在 </w:t>
      </w:r>
      <w:r>
        <w:rPr/>
        <w:t>30</w:t>
      </w:r>
      <w:r>
        <w:rPr>
          <w:spacing w:val="-10"/>
        </w:rPr>
        <w:t> 日内作出核定。对属于保险责任的，本公司在与受益人达成给付保险金的协议后 </w:t>
      </w:r>
      <w:r>
        <w:rPr/>
        <w:t>10 日内，履行给付保险金义务。</w:t>
      </w:r>
    </w:p>
    <w:p>
      <w:pPr>
        <w:pStyle w:val="BodyText"/>
        <w:spacing w:before="7"/>
      </w:pPr>
      <w:r>
        <w:rPr/>
        <w:t>本公司未及时履行前款规定义务的，除支付保险金外，应当赔偿受益人因此受到的损失。</w:t>
      </w:r>
    </w:p>
    <w:p>
      <w:pPr>
        <w:pStyle w:val="BodyText"/>
        <w:spacing w:line="273" w:lineRule="auto" w:before="37"/>
        <w:ind w:right="222"/>
      </w:pPr>
      <w:r>
        <w:rPr>
          <w:spacing w:val="-9"/>
        </w:rPr>
        <w:t>对不属于保险责任的，本公司自作出核定之日起 </w:t>
      </w:r>
      <w:r>
        <w:rPr/>
        <w:t>3</w:t>
      </w:r>
      <w:r>
        <w:rPr>
          <w:spacing w:val="-8"/>
        </w:rPr>
        <w:t> 日内向受益人发出拒绝给付保险金通知书并说明理由。</w:t>
      </w:r>
    </w:p>
    <w:p>
      <w:pPr>
        <w:pStyle w:val="BodyText"/>
        <w:spacing w:line="297" w:lineRule="auto" w:before="0"/>
        <w:ind w:left="753" w:right="118" w:hanging="26"/>
      </w:pPr>
      <w:r>
        <w:rPr>
          <w:spacing w:val="-1"/>
        </w:rPr>
        <w:t>本公司在收到保险金给付申请书及有关证明和资料之日起 </w:t>
      </w:r>
      <w:r>
        <w:rPr/>
        <w:t>60</w:t>
      </w:r>
      <w:r>
        <w:rPr>
          <w:spacing w:val="-3"/>
        </w:rPr>
        <w:t> 日内，对给付保险金的数额不能</w:t>
      </w:r>
      <w:r>
        <w:rPr>
          <w:spacing w:val="-13"/>
        </w:rPr>
        <w:t>确定的，根据已有证明和资料可以确定的数额先予支付；本公司最终确定给付保险金的数额后， 将支付相应的差额。</w:t>
      </w:r>
    </w:p>
    <w:p>
      <w:pPr>
        <w:pStyle w:val="ListParagraph"/>
        <w:numPr>
          <w:ilvl w:val="1"/>
          <w:numId w:val="6"/>
        </w:numPr>
        <w:tabs>
          <w:tab w:pos="729" w:val="left" w:leader="none"/>
        </w:tabs>
        <w:spacing w:line="297" w:lineRule="auto" w:before="27" w:after="0"/>
        <w:ind w:left="753" w:right="222" w:hanging="526"/>
        <w:jc w:val="both"/>
        <w:rPr>
          <w:sz w:val="21"/>
        </w:rPr>
      </w:pPr>
      <w:r>
        <w:rPr>
          <w:b/>
          <w:spacing w:val="3"/>
          <w:sz w:val="21"/>
        </w:rPr>
        <w:t>未成年人身故保险金限制 </w:t>
      </w:r>
      <w:r>
        <w:rPr>
          <w:sz w:val="21"/>
        </w:rPr>
        <w:t>为未成年子女投保的人身保险，因被保险人身故给付的保险金总和</w:t>
      </w:r>
      <w:r>
        <w:rPr>
          <w:spacing w:val="-3"/>
          <w:sz w:val="21"/>
        </w:rPr>
        <w:t>不得超过国务院保险监督管理机构规定的限额，身故给付的保险金额总和约定也不得超过前述限额。</w:t>
      </w:r>
    </w:p>
    <w:p>
      <w:pPr>
        <w:pStyle w:val="ListParagraph"/>
        <w:numPr>
          <w:ilvl w:val="1"/>
          <w:numId w:val="6"/>
        </w:numPr>
        <w:tabs>
          <w:tab w:pos="729" w:val="left" w:leader="none"/>
        </w:tabs>
        <w:spacing w:line="297" w:lineRule="auto" w:before="14" w:after="0"/>
        <w:ind w:left="753" w:right="222" w:hanging="526"/>
        <w:jc w:val="both"/>
        <w:rPr>
          <w:sz w:val="21"/>
        </w:rPr>
      </w:pPr>
      <w:r>
        <w:rPr/>
        <w:pict>
          <v:shape style="position:absolute;margin-left:64.260002pt;margin-top:36.543503pt;width:466.15pt;height:19.45pt;mso-position-horizontal-relative:page;mso-position-vertical-relative:paragraph;z-index:1168;mso-wrap-distance-left:0;mso-wrap-distance-right:0" type="#_x0000_t202" filled="true" fillcolor="#cccccc" stroked="false">
            <v:textbox inset="0,0,0,0">
              <w:txbxContent>
                <w:p>
                  <w:pPr>
                    <w:tabs>
                      <w:tab w:pos="656" w:val="left" w:leader="none"/>
                    </w:tabs>
                    <w:spacing w:line="275" w:lineRule="exact" w:before="0"/>
                    <w:ind w:left="122" w:right="0" w:firstLine="0"/>
                    <w:jc w:val="left"/>
                    <w:rPr>
                      <w:b/>
                      <w:sz w:val="24"/>
                    </w:rPr>
                  </w:pPr>
                  <w:r>
                    <w:rPr>
                      <w:b/>
                      <w:sz w:val="24"/>
                    </w:rPr>
                    <w:t>6</w:t>
                    <w:tab/>
                    <w:t>其他事项</w:t>
                  </w:r>
                </w:p>
              </w:txbxContent>
            </v:textbox>
            <v:fill type="solid"/>
            <w10:wrap type="topAndBottom"/>
          </v:shape>
        </w:pict>
      </w:r>
      <w:r>
        <w:rPr>
          <w:b/>
          <w:sz w:val="21"/>
        </w:rPr>
        <w:t>诉讼时效 </w:t>
      </w:r>
      <w:r>
        <w:rPr>
          <w:spacing w:val="-1"/>
          <w:sz w:val="21"/>
        </w:rPr>
        <w:t>受益人向本公司请求给付保险金的诉讼时效期间为 </w:t>
      </w:r>
      <w:r>
        <w:rPr>
          <w:sz w:val="21"/>
        </w:rPr>
        <w:t>2</w:t>
      </w:r>
      <w:r>
        <w:rPr>
          <w:spacing w:val="-3"/>
          <w:sz w:val="21"/>
        </w:rPr>
        <w:t> 年，自其知道或者应当知道保险事故发生之日起计算。</w:t>
      </w:r>
    </w:p>
    <w:p>
      <w:pPr>
        <w:pStyle w:val="Heading2"/>
        <w:numPr>
          <w:ilvl w:val="1"/>
          <w:numId w:val="9"/>
        </w:numPr>
        <w:tabs>
          <w:tab w:pos="761" w:val="left" w:leader="none"/>
          <w:tab w:pos="762" w:val="left" w:leader="none"/>
        </w:tabs>
        <w:spacing w:line="225" w:lineRule="exact" w:before="0" w:after="0"/>
        <w:ind w:left="728" w:right="0" w:hanging="501"/>
        <w:jc w:val="left"/>
      </w:pPr>
      <w:r>
        <w:rPr>
          <w:w w:val="95"/>
        </w:rPr>
        <w:t>明确说明与如实告知</w:t>
      </w:r>
    </w:p>
    <w:p>
      <w:pPr>
        <w:pStyle w:val="BodyText"/>
        <w:spacing w:before="66"/>
      </w:pPr>
      <w:r>
        <w:rPr/>
        <w:t>订立本合同时，本公司应向投保人说明本合同的内容。</w:t>
      </w:r>
    </w:p>
    <w:p>
      <w:pPr>
        <w:pStyle w:val="BodyText"/>
        <w:spacing w:before="64"/>
      </w:pPr>
      <w:r>
        <w:rPr/>
        <w:t>本公司就投保人和被保险人的有关情况提出询问，投保人应当如实告知。</w:t>
      </w:r>
    </w:p>
    <w:p>
      <w:pPr>
        <w:pStyle w:val="BodyText"/>
        <w:spacing w:line="297" w:lineRule="auto" w:before="65"/>
        <w:ind w:right="160"/>
      </w:pPr>
      <w:r>
        <w:rPr/>
        <w:t>如果投保人故意或者因重大过失未履行前款规定的如实告知义务，足以影响本公司决定是否同意承保或者提高保险费率的，本公司有权解除本合同。</w:t>
      </w:r>
    </w:p>
    <w:p>
      <w:pPr>
        <w:pStyle w:val="BodyText"/>
        <w:spacing w:line="297" w:lineRule="auto"/>
        <w:ind w:right="160"/>
      </w:pPr>
      <w:r>
        <w:rPr/>
        <w:t>如果投保人故意不履行如实告知义务，对于本合同解除前发生的保险事故，本公司不承担给付保险金的责任，并不退还保险费。</w:t>
      </w:r>
    </w:p>
    <w:p>
      <w:pPr>
        <w:pStyle w:val="BodyText"/>
        <w:spacing w:line="297" w:lineRule="auto"/>
        <w:ind w:right="160"/>
      </w:pPr>
      <w:r>
        <w:rPr/>
        <w:t>如果投保人因重大过失未履行如实告知义务，对保险事故的发生有严重影响的，对于本合同解除前发生的保险事故，本公司不承担给付保险金的责任，但应当退还保险费。</w:t>
      </w:r>
    </w:p>
    <w:p>
      <w:pPr>
        <w:pStyle w:val="BodyText"/>
        <w:spacing w:line="297" w:lineRule="auto" w:before="14"/>
        <w:ind w:right="160"/>
      </w:pPr>
      <w:r>
        <w:rPr/>
        <w:t>本公司在合同订立时已经知道投保人未如实告知的情况的，本公司不得解除合同；发生保险事故的，本公司承担给付保险金的责任。</w:t>
      </w:r>
    </w:p>
    <w:p>
      <w:pPr>
        <w:pStyle w:val="ListParagraph"/>
        <w:numPr>
          <w:ilvl w:val="1"/>
          <w:numId w:val="9"/>
        </w:numPr>
        <w:tabs>
          <w:tab w:pos="726" w:val="left" w:leader="none"/>
        </w:tabs>
        <w:spacing w:line="297" w:lineRule="auto" w:before="15" w:after="0"/>
        <w:ind w:left="728" w:right="204" w:hanging="501"/>
        <w:jc w:val="both"/>
        <w:rPr>
          <w:sz w:val="21"/>
        </w:rPr>
      </w:pPr>
      <w:r>
        <w:rPr>
          <w:b/>
          <w:spacing w:val="-1"/>
          <w:sz w:val="21"/>
        </w:rPr>
        <w:t>本公司合同解除权的限制 </w:t>
      </w:r>
      <w:r>
        <w:rPr>
          <w:spacing w:val="-1"/>
          <w:sz w:val="21"/>
        </w:rPr>
        <w:t>前条规定的合同解除权，自本公司知道有解除事由之日起，超过 </w:t>
      </w:r>
      <w:r>
        <w:rPr>
          <w:sz w:val="21"/>
        </w:rPr>
        <w:t>30 </w:t>
      </w:r>
      <w:r>
        <w:rPr>
          <w:spacing w:val="-3"/>
          <w:sz w:val="21"/>
        </w:rPr>
        <w:t>日不行使而消灭。自本合同成立之日起超过 </w:t>
      </w:r>
      <w:r>
        <w:rPr>
          <w:sz w:val="21"/>
        </w:rPr>
        <w:t>2</w:t>
      </w:r>
      <w:r>
        <w:rPr>
          <w:spacing w:val="-8"/>
          <w:sz w:val="21"/>
        </w:rPr>
        <w:t> 年的，本公司不得解除合同；发生保险事故的， 本公司承担给付保险金的责任。</w:t>
      </w:r>
    </w:p>
    <w:p>
      <w:pPr>
        <w:pStyle w:val="ListParagraph"/>
        <w:numPr>
          <w:ilvl w:val="1"/>
          <w:numId w:val="9"/>
        </w:numPr>
        <w:tabs>
          <w:tab w:pos="729" w:val="left" w:leader="none"/>
        </w:tabs>
        <w:spacing w:line="297" w:lineRule="auto" w:before="15" w:after="0"/>
        <w:ind w:left="753" w:right="220" w:hanging="526"/>
        <w:jc w:val="left"/>
        <w:rPr>
          <w:sz w:val="21"/>
        </w:rPr>
      </w:pPr>
      <w:r>
        <w:rPr>
          <w:b/>
          <w:spacing w:val="7"/>
          <w:sz w:val="21"/>
        </w:rPr>
        <w:t>合同内容变更 </w:t>
      </w:r>
      <w:r>
        <w:rPr>
          <w:sz w:val="21"/>
        </w:rPr>
        <w:t>投保人和本公司可以协商变更合同内容。变更本合同的，由本公司在保险单或者其他保险凭证上批注或者附贴批单，或者由投保人和本公司订立变更的书面协议。</w:t>
      </w:r>
    </w:p>
    <w:p>
      <w:pPr>
        <w:pStyle w:val="Heading2"/>
        <w:numPr>
          <w:ilvl w:val="1"/>
          <w:numId w:val="9"/>
        </w:numPr>
        <w:tabs>
          <w:tab w:pos="762" w:val="left" w:leader="none"/>
          <w:tab w:pos="763" w:val="left" w:leader="none"/>
        </w:tabs>
        <w:spacing w:line="240" w:lineRule="auto" w:before="15" w:after="0"/>
        <w:ind w:left="762" w:right="0" w:hanging="535"/>
        <w:jc w:val="left"/>
      </w:pPr>
      <w:r>
        <w:rPr/>
        <w:t>地址变更</w:t>
      </w:r>
    </w:p>
    <w:p>
      <w:pPr>
        <w:pStyle w:val="BodyText"/>
        <w:spacing w:before="65"/>
      </w:pPr>
      <w:r>
        <w:rPr/>
        <w:t>本合同有效期内，投保人的住址或通讯地址发生变更时，应及时通知本公司。</w:t>
      </w:r>
    </w:p>
    <w:p>
      <w:pPr>
        <w:pStyle w:val="BodyText"/>
        <w:spacing w:line="297" w:lineRule="auto" w:before="65"/>
        <w:ind w:right="160"/>
      </w:pPr>
      <w:r>
        <w:rPr/>
        <w:t>如果未通知本公司，本公司将按本合同注明的最后住址或通讯地址发送有关通知，并视为已送达投保人。</w:t>
      </w:r>
    </w:p>
    <w:p>
      <w:pPr>
        <w:pStyle w:val="Heading2"/>
        <w:numPr>
          <w:ilvl w:val="1"/>
          <w:numId w:val="9"/>
        </w:numPr>
        <w:tabs>
          <w:tab w:pos="761" w:val="left" w:leader="none"/>
          <w:tab w:pos="762" w:val="left" w:leader="none"/>
        </w:tabs>
        <w:spacing w:line="240" w:lineRule="auto" w:before="15" w:after="0"/>
        <w:ind w:left="728" w:right="0" w:hanging="501"/>
        <w:jc w:val="left"/>
      </w:pPr>
      <w:r>
        <w:rPr>
          <w:w w:val="95"/>
        </w:rPr>
        <w:t>年龄确定与错误处理</w:t>
      </w:r>
    </w:p>
    <w:p>
      <w:pPr>
        <w:pStyle w:val="BodyText"/>
        <w:spacing w:line="297" w:lineRule="auto" w:before="66"/>
        <w:ind w:right="116"/>
      </w:pPr>
      <w:r>
        <w:rPr/>
        <w:t>被保险人的年龄按周岁计算，其中投保年龄以本合同生效日时的周岁为准。在投保本保险时， </w:t>
      </w:r>
      <w:r>
        <w:rPr>
          <w:spacing w:val="-7"/>
        </w:rPr>
        <w:t>投保人应将被保险人的真实年龄在投保单上填明，如果发生错误，本公司将按照下列规则处理：</w:t>
      </w:r>
    </w:p>
    <w:p>
      <w:pPr>
        <w:pStyle w:val="ListParagraph"/>
        <w:numPr>
          <w:ilvl w:val="2"/>
          <w:numId w:val="9"/>
        </w:numPr>
        <w:tabs>
          <w:tab w:pos="1181" w:val="left" w:leader="none"/>
          <w:tab w:pos="1182" w:val="left" w:leader="none"/>
        </w:tabs>
        <w:spacing w:line="297" w:lineRule="auto" w:before="15" w:after="0"/>
        <w:ind w:left="1181" w:right="170" w:hanging="420"/>
        <w:jc w:val="left"/>
        <w:rPr>
          <w:sz w:val="21"/>
        </w:rPr>
      </w:pPr>
      <w:r>
        <w:rPr>
          <w:sz w:val="21"/>
        </w:rPr>
        <w:t>投保人申报的被保险人年龄不真实，并且其真实年龄不符合本合同约定投保年龄限制的， </w:t>
      </w:r>
      <w:r>
        <w:rPr>
          <w:spacing w:val="-4"/>
          <w:sz w:val="21"/>
        </w:rPr>
        <w:t>本公司有权解除合同，并对合同解除前发生的保险事故不承担给付保险金的责任。解除本</w:t>
      </w:r>
    </w:p>
    <w:p>
      <w:pPr>
        <w:spacing w:after="0" w:line="297" w:lineRule="auto"/>
        <w:jc w:val="left"/>
        <w:rPr>
          <w:sz w:val="21"/>
        </w:rPr>
        <w:sectPr>
          <w:pgSz w:w="11910" w:h="16840"/>
          <w:pgMar w:header="0" w:footer="1008" w:top="1380" w:bottom="1200" w:left="1180" w:right="1180"/>
        </w:sectPr>
      </w:pPr>
    </w:p>
    <w:p>
      <w:pPr>
        <w:pStyle w:val="BodyText"/>
        <w:spacing w:line="297" w:lineRule="auto" w:before="6"/>
        <w:ind w:left="1181" w:right="221" w:hanging="1"/>
      </w:pPr>
      <w:r>
        <w:rPr>
          <w:spacing w:val="-17"/>
        </w:rPr>
        <w:t>合同的，本公司向投保人退还本合同的现金价值。本公司行使合同解除权适用本条款第 </w:t>
      </w:r>
      <w:r>
        <w:rPr/>
        <w:t>6.2 条“本公司合同解除权的限制”的规定。</w:t>
      </w:r>
    </w:p>
    <w:p>
      <w:pPr>
        <w:pStyle w:val="ListParagraph"/>
        <w:numPr>
          <w:ilvl w:val="2"/>
          <w:numId w:val="9"/>
        </w:numPr>
        <w:tabs>
          <w:tab w:pos="1182" w:val="left" w:leader="none"/>
        </w:tabs>
        <w:spacing w:line="297" w:lineRule="auto" w:before="15" w:after="0"/>
        <w:ind w:left="1181" w:right="223" w:hanging="420"/>
        <w:jc w:val="both"/>
        <w:rPr>
          <w:sz w:val="21"/>
        </w:rPr>
      </w:pPr>
      <w:r>
        <w:rPr>
          <w:spacing w:val="-3"/>
          <w:sz w:val="21"/>
        </w:rPr>
        <w:t>投保人申报的被保险人年龄不真实，致使投保人实付保险费少于应付保险费的，本公司有</w:t>
      </w:r>
      <w:r>
        <w:rPr>
          <w:spacing w:val="-6"/>
          <w:sz w:val="21"/>
        </w:rPr>
        <w:t>权更正并要求投保人补交保险费。若已经发生保险事故，在给付保险金时按实付保险费和应付保险费的比例给付。</w:t>
      </w:r>
    </w:p>
    <w:p>
      <w:pPr>
        <w:pStyle w:val="ListParagraph"/>
        <w:numPr>
          <w:ilvl w:val="2"/>
          <w:numId w:val="9"/>
        </w:numPr>
        <w:tabs>
          <w:tab w:pos="1181" w:val="left" w:leader="none"/>
          <w:tab w:pos="1182" w:val="left" w:leader="none"/>
        </w:tabs>
        <w:spacing w:line="297" w:lineRule="auto" w:before="15" w:after="0"/>
        <w:ind w:left="1181" w:right="223" w:hanging="420"/>
        <w:jc w:val="left"/>
        <w:rPr>
          <w:sz w:val="21"/>
        </w:rPr>
      </w:pPr>
      <w:r>
        <w:rPr>
          <w:spacing w:val="-3"/>
          <w:sz w:val="21"/>
        </w:rPr>
        <w:t>投保人申报的被保险人年龄不真实，致使投保人实付保险费多于应付保险费的，本公司会将多收的保险费无息退还给投保人。</w:t>
      </w:r>
    </w:p>
    <w:p>
      <w:pPr>
        <w:pStyle w:val="Heading2"/>
        <w:numPr>
          <w:ilvl w:val="1"/>
          <w:numId w:val="9"/>
        </w:numPr>
        <w:tabs>
          <w:tab w:pos="762" w:val="left" w:leader="none"/>
          <w:tab w:pos="763" w:val="left" w:leader="none"/>
        </w:tabs>
        <w:spacing w:line="240" w:lineRule="auto" w:before="15" w:after="0"/>
        <w:ind w:left="762" w:right="0" w:hanging="535"/>
        <w:jc w:val="left"/>
      </w:pPr>
      <w:r>
        <w:rPr/>
        <w:t>争议处理</w:t>
      </w:r>
    </w:p>
    <w:p>
      <w:pPr>
        <w:pStyle w:val="BodyText"/>
        <w:spacing w:before="65"/>
      </w:pPr>
      <w:r>
        <w:rPr/>
        <w:t>合同争议解决方式由当事人在合同约定从下列两种方式中选择一种：</w:t>
      </w:r>
    </w:p>
    <w:p>
      <w:pPr>
        <w:pStyle w:val="ListParagraph"/>
        <w:numPr>
          <w:ilvl w:val="2"/>
          <w:numId w:val="9"/>
        </w:numPr>
        <w:tabs>
          <w:tab w:pos="1181" w:val="left" w:leader="none"/>
          <w:tab w:pos="1182" w:val="left" w:leader="none"/>
          <w:tab w:pos="8271" w:val="left" w:leader="none"/>
        </w:tabs>
        <w:spacing w:line="297" w:lineRule="auto" w:before="65" w:after="0"/>
        <w:ind w:left="1181" w:right="222" w:hanging="420"/>
        <w:jc w:val="left"/>
        <w:rPr>
          <w:sz w:val="21"/>
        </w:rPr>
      </w:pPr>
      <w:r>
        <w:rPr>
          <w:sz w:val="21"/>
        </w:rPr>
        <w:t>因履行本合同发生的争议</w:t>
      </w:r>
      <w:r>
        <w:rPr>
          <w:spacing w:val="-17"/>
          <w:sz w:val="21"/>
        </w:rPr>
        <w:t>，</w:t>
      </w:r>
      <w:r>
        <w:rPr>
          <w:sz w:val="21"/>
        </w:rPr>
        <w:t>由当事人协商解决</w:t>
      </w:r>
      <w:r>
        <w:rPr>
          <w:spacing w:val="-17"/>
          <w:sz w:val="21"/>
        </w:rPr>
        <w:t>，</w:t>
      </w:r>
      <w:r>
        <w:rPr>
          <w:sz w:val="21"/>
        </w:rPr>
        <w:t>协商不成的</w:t>
      </w:r>
      <w:r>
        <w:rPr>
          <w:spacing w:val="-17"/>
          <w:sz w:val="21"/>
        </w:rPr>
        <w:t>，</w:t>
      </w:r>
      <w:r>
        <w:rPr>
          <w:sz w:val="21"/>
        </w:rPr>
        <w:t>提交</w:t>
      </w:r>
      <w:r>
        <w:rPr>
          <w:sz w:val="21"/>
          <w:u w:val="single"/>
        </w:rPr>
        <w:t> </w:t>
        <w:tab/>
      </w:r>
      <w:r>
        <w:rPr>
          <w:spacing w:val="-1"/>
          <w:sz w:val="21"/>
        </w:rPr>
        <w:t>仲裁</w:t>
      </w:r>
      <w:r>
        <w:rPr>
          <w:sz w:val="21"/>
        </w:rPr>
        <w:t>委员会仲裁；</w:t>
      </w:r>
    </w:p>
    <w:p>
      <w:pPr>
        <w:pStyle w:val="ListParagraph"/>
        <w:numPr>
          <w:ilvl w:val="2"/>
          <w:numId w:val="9"/>
        </w:numPr>
        <w:tabs>
          <w:tab w:pos="1181" w:val="left" w:leader="none"/>
          <w:tab w:pos="1182" w:val="left" w:leader="none"/>
        </w:tabs>
        <w:spacing w:line="240" w:lineRule="auto" w:before="15" w:after="0"/>
        <w:ind w:left="1181" w:right="0" w:hanging="420"/>
        <w:jc w:val="left"/>
        <w:rPr>
          <w:sz w:val="21"/>
        </w:rPr>
      </w:pPr>
      <w:r>
        <w:rPr>
          <w:sz w:val="21"/>
        </w:rPr>
        <w:t>因履行本合同发生的争议，由当事人协商解决，协商不成的，依法向人民法院起诉。</w:t>
      </w:r>
    </w:p>
    <w:p>
      <w:pPr>
        <w:pStyle w:val="ListParagraph"/>
        <w:numPr>
          <w:ilvl w:val="1"/>
          <w:numId w:val="9"/>
        </w:numPr>
        <w:tabs>
          <w:tab w:pos="729" w:val="left" w:leader="none"/>
        </w:tabs>
        <w:spacing w:line="297" w:lineRule="auto" w:before="65" w:after="0"/>
        <w:ind w:left="753" w:right="220" w:hanging="526"/>
        <w:jc w:val="left"/>
        <w:rPr>
          <w:sz w:val="21"/>
        </w:rPr>
      </w:pPr>
      <w:r>
        <w:rPr>
          <w:b/>
          <w:spacing w:val="10"/>
          <w:sz w:val="21"/>
        </w:rPr>
        <w:t>款项扣除 </w:t>
      </w:r>
      <w:r>
        <w:rPr>
          <w:sz w:val="21"/>
        </w:rPr>
        <w:t>本公司在给付各项保险金、退还现金价值或保险费时，如果投保人或被保险人有欠交的保险费或其他未还清款项，本公司在扣除上述欠款及利息后给付。</w:t>
      </w:r>
    </w:p>
    <w:p>
      <w:pPr>
        <w:pStyle w:val="ListParagraph"/>
        <w:numPr>
          <w:ilvl w:val="1"/>
          <w:numId w:val="9"/>
        </w:numPr>
        <w:tabs>
          <w:tab w:pos="761" w:val="left" w:leader="none"/>
          <w:tab w:pos="762" w:val="left" w:leader="none"/>
        </w:tabs>
        <w:spacing w:line="240" w:lineRule="auto" w:before="15" w:after="0"/>
        <w:ind w:left="761" w:right="0" w:hanging="534"/>
        <w:jc w:val="left"/>
        <w:rPr>
          <w:sz w:val="21"/>
        </w:rPr>
      </w:pPr>
      <w:r>
        <w:rPr>
          <w:b/>
          <w:spacing w:val="-1"/>
          <w:sz w:val="21"/>
        </w:rPr>
        <w:t>特别提示 </w:t>
      </w:r>
      <w:r>
        <w:rPr>
          <w:spacing w:val="-7"/>
          <w:sz w:val="21"/>
        </w:rPr>
        <w:t>如本合同附加险中的《中国人民健康保险股份有限公司附加康乐人生个人护理保险》</w:t>
      </w:r>
    </w:p>
    <w:p>
      <w:pPr>
        <w:spacing w:line="297" w:lineRule="auto" w:before="66"/>
        <w:ind w:left="761" w:right="154" w:firstLine="0"/>
        <w:jc w:val="left"/>
        <w:rPr>
          <w:b/>
          <w:sz w:val="21"/>
        </w:rPr>
      </w:pPr>
      <w:r>
        <w:rPr>
          <w:sz w:val="21"/>
        </w:rPr>
        <w:t>（以下简称《附加护理保险》）合同效力终止，本合同效力即行终止。</w:t>
      </w:r>
      <w:r>
        <w:rPr>
          <w:b/>
          <w:sz w:val="21"/>
        </w:rPr>
        <w:t>如因《附加护理保险》</w:t>
      </w:r>
      <w:r>
        <w:rPr>
          <w:b/>
          <w:w w:val="95"/>
          <w:sz w:val="21"/>
        </w:rPr>
        <w:t>合同发生保险事故导致合同效力终止的，本公司不退还本合同的保险费或现金价值。</w:t>
      </w:r>
    </w:p>
    <w:p>
      <w:pPr>
        <w:pStyle w:val="Heading1"/>
        <w:tabs>
          <w:tab w:pos="9427" w:val="left" w:leader="none"/>
        </w:tabs>
        <w:spacing w:line="240" w:lineRule="auto" w:before="11"/>
        <w:ind w:left="105"/>
      </w:pPr>
      <w:r>
        <w:rPr>
          <w:rFonts w:ascii="Times New Roman" w:eastAsia="Times New Roman"/>
          <w:shd w:fill="CCCCCC" w:color="auto" w:val="clear"/>
        </w:rPr>
        <w:t> </w:t>
      </w:r>
      <w:r>
        <w:rPr>
          <w:rFonts w:ascii="Times New Roman" w:eastAsia="Times New Roman"/>
          <w:spacing w:val="1"/>
          <w:shd w:fill="CCCCCC" w:color="auto" w:val="clear"/>
        </w:rPr>
        <w:t> </w:t>
      </w:r>
      <w:r>
        <w:rPr>
          <w:w w:val="95"/>
          <w:shd w:fill="CCCCCC" w:color="auto" w:val="clear"/>
        </w:rPr>
        <w:t>名词释义</w:t>
      </w:r>
      <w:r>
        <w:rPr>
          <w:shd w:fill="CCCCCC" w:color="auto" w:val="clear"/>
        </w:rPr>
        <w:tab/>
      </w:r>
    </w:p>
    <w:p>
      <w:pPr>
        <w:pStyle w:val="ListParagraph"/>
        <w:numPr>
          <w:ilvl w:val="0"/>
          <w:numId w:val="10"/>
        </w:numPr>
        <w:tabs>
          <w:tab w:pos="761" w:val="left" w:leader="none"/>
          <w:tab w:pos="762" w:val="left" w:leader="none"/>
        </w:tabs>
        <w:spacing w:line="240" w:lineRule="auto" w:before="78" w:after="0"/>
        <w:ind w:left="761" w:right="0" w:hanging="534"/>
        <w:jc w:val="left"/>
        <w:rPr>
          <w:sz w:val="21"/>
        </w:rPr>
      </w:pPr>
      <w:r>
        <w:rPr>
          <w:b/>
          <w:spacing w:val="-1"/>
          <w:sz w:val="21"/>
        </w:rPr>
        <w:t>周岁 </w:t>
      </w:r>
      <w:r>
        <w:rPr>
          <w:sz w:val="21"/>
        </w:rPr>
        <w:t>以法定身份证明文件中记载的出生日期为基础计算。</w:t>
      </w:r>
    </w:p>
    <w:p>
      <w:pPr>
        <w:pStyle w:val="ListParagraph"/>
        <w:numPr>
          <w:ilvl w:val="0"/>
          <w:numId w:val="10"/>
        </w:numPr>
        <w:tabs>
          <w:tab w:pos="761" w:val="left" w:leader="none"/>
          <w:tab w:pos="763" w:val="left" w:leader="none"/>
        </w:tabs>
        <w:spacing w:line="297" w:lineRule="auto" w:before="66" w:after="0"/>
        <w:ind w:left="761" w:right="223" w:hanging="534"/>
        <w:jc w:val="left"/>
        <w:rPr>
          <w:sz w:val="21"/>
        </w:rPr>
      </w:pPr>
      <w:r>
        <w:rPr>
          <w:b/>
          <w:spacing w:val="5"/>
          <w:sz w:val="21"/>
        </w:rPr>
        <w:t>保单年度 </w:t>
      </w:r>
      <w:r>
        <w:rPr>
          <w:sz w:val="21"/>
        </w:rPr>
        <w:t>指在保险期间内，保险合同生效日起一年期间或保单周年日起至下一个保单周年日的期间。</w:t>
      </w:r>
    </w:p>
    <w:p>
      <w:pPr>
        <w:pStyle w:val="ListParagraph"/>
        <w:numPr>
          <w:ilvl w:val="0"/>
          <w:numId w:val="10"/>
        </w:numPr>
        <w:tabs>
          <w:tab w:pos="761" w:val="left" w:leader="none"/>
          <w:tab w:pos="762" w:val="left" w:leader="none"/>
        </w:tabs>
        <w:spacing w:line="240" w:lineRule="auto" w:before="14" w:after="0"/>
        <w:ind w:left="761" w:right="0" w:hanging="534"/>
        <w:jc w:val="left"/>
        <w:rPr>
          <w:sz w:val="21"/>
        </w:rPr>
      </w:pPr>
      <w:r>
        <w:rPr>
          <w:b/>
          <w:spacing w:val="-1"/>
          <w:sz w:val="21"/>
        </w:rPr>
        <w:t>意外伤害 </w:t>
      </w:r>
      <w:r>
        <w:rPr>
          <w:sz w:val="21"/>
        </w:rPr>
        <w:t>指因遭受外来的、突发的、非本意的、非疾病的客观事件而使身体受到伤害。</w:t>
      </w:r>
    </w:p>
    <w:p>
      <w:pPr>
        <w:pStyle w:val="ListParagraph"/>
        <w:numPr>
          <w:ilvl w:val="0"/>
          <w:numId w:val="10"/>
        </w:numPr>
        <w:tabs>
          <w:tab w:pos="762" w:val="left" w:leader="none"/>
        </w:tabs>
        <w:spacing w:line="297" w:lineRule="auto" w:before="65" w:after="0"/>
        <w:ind w:left="761" w:right="221" w:hanging="534"/>
        <w:jc w:val="both"/>
        <w:rPr>
          <w:b/>
          <w:sz w:val="21"/>
        </w:rPr>
      </w:pPr>
      <w:r>
        <w:rPr>
          <w:b/>
          <w:spacing w:val="10"/>
          <w:sz w:val="21"/>
        </w:rPr>
        <w:t>医院 </w:t>
      </w:r>
      <w:r>
        <w:rPr>
          <w:sz w:val="21"/>
        </w:rPr>
        <w:t>指依法设立的国家卫生部医院等级分类中的二级甲等或二级甲等以上医疗机构，</w:t>
      </w:r>
      <w:r>
        <w:rPr>
          <w:b/>
          <w:sz w:val="21"/>
        </w:rPr>
        <w:t>但不包</w:t>
      </w:r>
      <w:r>
        <w:rPr>
          <w:b/>
          <w:spacing w:val="-9"/>
          <w:sz w:val="21"/>
        </w:rPr>
        <w:t>括疗养院、护理院、康复中心、戒酒或戒毒中心、精神心理治疗中心以及无相应医护人员或设</w:t>
      </w:r>
      <w:r>
        <w:rPr>
          <w:b/>
          <w:spacing w:val="-9"/>
          <w:w w:val="95"/>
          <w:sz w:val="21"/>
        </w:rPr>
        <w:t>备的二级或三级医院的联合医院或联合病房。</w:t>
      </w:r>
    </w:p>
    <w:p>
      <w:pPr>
        <w:pStyle w:val="Heading2"/>
        <w:numPr>
          <w:ilvl w:val="0"/>
          <w:numId w:val="10"/>
        </w:numPr>
        <w:tabs>
          <w:tab w:pos="761" w:val="left" w:leader="none"/>
          <w:tab w:pos="762" w:val="left" w:leader="none"/>
        </w:tabs>
        <w:spacing w:line="240" w:lineRule="auto" w:before="15" w:after="0"/>
        <w:ind w:left="761" w:right="0" w:hanging="534"/>
        <w:jc w:val="left"/>
      </w:pPr>
      <w:r>
        <w:rPr/>
        <w:t>专科医生</w:t>
      </w:r>
    </w:p>
    <w:p>
      <w:pPr>
        <w:pStyle w:val="BodyText"/>
        <w:spacing w:before="66"/>
      </w:pPr>
      <w:r>
        <w:rPr/>
        <w:t>重大疾病定义中所指的“专科医生”应当同时满足以下四项资格条件：</w:t>
      </w:r>
    </w:p>
    <w:p>
      <w:pPr>
        <w:pStyle w:val="ListParagraph"/>
        <w:numPr>
          <w:ilvl w:val="1"/>
          <w:numId w:val="10"/>
        </w:numPr>
        <w:tabs>
          <w:tab w:pos="1181" w:val="left" w:leader="none"/>
          <w:tab w:pos="1182" w:val="left" w:leader="none"/>
        </w:tabs>
        <w:spacing w:line="240" w:lineRule="auto" w:before="66" w:after="0"/>
        <w:ind w:left="1181" w:right="0" w:hanging="420"/>
        <w:jc w:val="left"/>
        <w:rPr>
          <w:sz w:val="21"/>
        </w:rPr>
      </w:pPr>
      <w:r>
        <w:rPr>
          <w:spacing w:val="-6"/>
          <w:sz w:val="21"/>
        </w:rPr>
        <w:t>具有有效的中华人民共和国《医师资格证书》；</w:t>
      </w:r>
    </w:p>
    <w:p>
      <w:pPr>
        <w:pStyle w:val="ListParagraph"/>
        <w:numPr>
          <w:ilvl w:val="1"/>
          <w:numId w:val="10"/>
        </w:numPr>
        <w:tabs>
          <w:tab w:pos="1181" w:val="left" w:leader="none"/>
          <w:tab w:pos="1182" w:val="left" w:leader="none"/>
        </w:tabs>
        <w:spacing w:line="240" w:lineRule="auto" w:before="65" w:after="0"/>
        <w:ind w:left="1181" w:right="0" w:hanging="420"/>
        <w:jc w:val="left"/>
        <w:rPr>
          <w:sz w:val="21"/>
        </w:rPr>
      </w:pPr>
      <w:r>
        <w:rPr>
          <w:spacing w:val="-7"/>
          <w:sz w:val="21"/>
        </w:rPr>
        <w:t>具有有效的中华人民共和国《医师执业证书》，并按期到相关部门登记注册；</w:t>
      </w:r>
    </w:p>
    <w:p>
      <w:pPr>
        <w:pStyle w:val="ListParagraph"/>
        <w:numPr>
          <w:ilvl w:val="1"/>
          <w:numId w:val="10"/>
        </w:numPr>
        <w:tabs>
          <w:tab w:pos="1181" w:val="left" w:leader="none"/>
          <w:tab w:pos="1182" w:val="left" w:leader="none"/>
        </w:tabs>
        <w:spacing w:line="240" w:lineRule="auto" w:before="66" w:after="0"/>
        <w:ind w:left="1181" w:right="0" w:hanging="420"/>
        <w:jc w:val="left"/>
        <w:rPr>
          <w:sz w:val="21"/>
        </w:rPr>
      </w:pPr>
      <w:r>
        <w:rPr>
          <w:spacing w:val="-4"/>
          <w:sz w:val="21"/>
        </w:rPr>
        <w:t>具有有效的中华人民共和国主治医师或主治医师以上职称的《医师职称证书》；</w:t>
      </w:r>
    </w:p>
    <w:p>
      <w:pPr>
        <w:pStyle w:val="ListParagraph"/>
        <w:numPr>
          <w:ilvl w:val="1"/>
          <w:numId w:val="10"/>
        </w:numPr>
        <w:tabs>
          <w:tab w:pos="1181" w:val="left" w:leader="none"/>
          <w:tab w:pos="1182" w:val="left" w:leader="none"/>
        </w:tabs>
        <w:spacing w:line="240" w:lineRule="auto" w:before="66" w:after="0"/>
        <w:ind w:left="1181" w:right="0" w:hanging="420"/>
        <w:jc w:val="left"/>
        <w:rPr>
          <w:sz w:val="21"/>
        </w:rPr>
      </w:pPr>
      <w:r>
        <w:rPr>
          <w:sz w:val="21"/>
        </w:rPr>
        <w:t>在二级或二级以上医院的相应科室从事临床工作三年以上。</w:t>
      </w:r>
    </w:p>
    <w:p>
      <w:pPr>
        <w:pStyle w:val="ListParagraph"/>
        <w:numPr>
          <w:ilvl w:val="0"/>
          <w:numId w:val="10"/>
        </w:numPr>
        <w:tabs>
          <w:tab w:pos="762" w:val="left" w:leader="none"/>
        </w:tabs>
        <w:spacing w:line="297" w:lineRule="auto" w:before="65" w:after="0"/>
        <w:ind w:left="761" w:right="222" w:hanging="534"/>
        <w:jc w:val="both"/>
        <w:rPr>
          <w:sz w:val="21"/>
        </w:rPr>
      </w:pPr>
      <w:r>
        <w:rPr>
          <w:b/>
          <w:spacing w:val="3"/>
          <w:sz w:val="21"/>
        </w:rPr>
        <w:t>社会医疗保险 </w:t>
      </w:r>
      <w:r>
        <w:rPr>
          <w:sz w:val="21"/>
        </w:rPr>
        <w:t>指城镇职工基本医疗保险、城镇职工大额医疗保险、城镇居民基本医疗保险、</w:t>
      </w:r>
      <w:r>
        <w:rPr>
          <w:spacing w:val="-4"/>
          <w:sz w:val="21"/>
        </w:rPr>
        <w:t>城镇居民大额医疗保险、新型农村合作医疗和医疗救助等社会医疗保险保障项目。大额医疗保险在各地的具体名称会有所不同，以投保所在地社会医疗保险主管部门规定的名称为准。</w:t>
      </w:r>
    </w:p>
    <w:p>
      <w:pPr>
        <w:pStyle w:val="ListParagraph"/>
        <w:numPr>
          <w:ilvl w:val="0"/>
          <w:numId w:val="10"/>
        </w:numPr>
        <w:tabs>
          <w:tab w:pos="761" w:val="left" w:leader="none"/>
          <w:tab w:pos="762" w:val="left" w:leader="none"/>
        </w:tabs>
        <w:spacing w:line="297" w:lineRule="auto" w:before="14" w:after="0"/>
        <w:ind w:left="761" w:right="117" w:hanging="534"/>
        <w:jc w:val="left"/>
        <w:rPr>
          <w:sz w:val="21"/>
        </w:rPr>
      </w:pPr>
      <w:r>
        <w:rPr>
          <w:b/>
          <w:spacing w:val="-1"/>
          <w:sz w:val="21"/>
        </w:rPr>
        <w:t>遗传性疾病 </w:t>
      </w:r>
      <w:r>
        <w:rPr>
          <w:spacing w:val="-3"/>
          <w:sz w:val="21"/>
        </w:rPr>
        <w:t>指生殖细胞或受精卵的遗传物质</w:t>
      </w:r>
      <w:r>
        <w:rPr>
          <w:sz w:val="21"/>
        </w:rPr>
        <w:t>（染色体和基因</w:t>
      </w:r>
      <w:r>
        <w:rPr>
          <w:spacing w:val="-29"/>
          <w:sz w:val="21"/>
        </w:rPr>
        <w:t>）</w:t>
      </w:r>
      <w:r>
        <w:rPr>
          <w:sz w:val="21"/>
        </w:rPr>
        <w:t>发生突变或畸变所引起的疾病， 通常具有由亲代传至后代的垂直传递的特征。</w:t>
      </w:r>
    </w:p>
    <w:p>
      <w:pPr>
        <w:pStyle w:val="ListParagraph"/>
        <w:numPr>
          <w:ilvl w:val="0"/>
          <w:numId w:val="10"/>
        </w:numPr>
        <w:tabs>
          <w:tab w:pos="762" w:val="left" w:leader="none"/>
          <w:tab w:pos="763" w:val="left" w:leader="none"/>
        </w:tabs>
        <w:spacing w:line="297" w:lineRule="auto" w:before="15" w:after="0"/>
        <w:ind w:left="761" w:right="117" w:hanging="534"/>
        <w:jc w:val="left"/>
        <w:rPr>
          <w:sz w:val="21"/>
        </w:rPr>
      </w:pPr>
      <w:r>
        <w:rPr>
          <w:b/>
          <w:spacing w:val="0"/>
          <w:sz w:val="21"/>
        </w:rPr>
        <w:t>先天性畸形、变形或染色体异常 </w:t>
      </w:r>
      <w:r>
        <w:rPr>
          <w:sz w:val="21"/>
        </w:rPr>
        <w:t>指被保险人出生时就具有的畸形、变形或染色体异常。先天</w:t>
      </w:r>
      <w:r>
        <w:rPr>
          <w:spacing w:val="-14"/>
          <w:sz w:val="21"/>
        </w:rPr>
        <w:t>性畸形、变形和染色体异常依照世界卫生组织《疾病和有关健康问题的国际统计分类</w:t>
      </w:r>
      <w:r>
        <w:rPr>
          <w:spacing w:val="-194"/>
          <w:sz w:val="21"/>
        </w:rPr>
        <w:t>》</w:t>
      </w:r>
      <w:r>
        <w:rPr>
          <w:sz w:val="21"/>
        </w:rPr>
        <w:t>（ICD-10） 确定。</w:t>
      </w:r>
    </w:p>
    <w:p>
      <w:pPr>
        <w:spacing w:after="0" w:line="297" w:lineRule="auto"/>
        <w:jc w:val="left"/>
        <w:rPr>
          <w:sz w:val="21"/>
        </w:rPr>
        <w:sectPr>
          <w:pgSz w:w="11910" w:h="16840"/>
          <w:pgMar w:header="0" w:footer="1008" w:top="1360" w:bottom="1200" w:left="1180" w:right="1180"/>
        </w:sectPr>
      </w:pPr>
    </w:p>
    <w:p>
      <w:pPr>
        <w:pStyle w:val="ListParagraph"/>
        <w:numPr>
          <w:ilvl w:val="0"/>
          <w:numId w:val="10"/>
        </w:numPr>
        <w:tabs>
          <w:tab w:pos="642" w:val="left" w:leader="none"/>
        </w:tabs>
        <w:spacing w:line="297" w:lineRule="auto" w:before="6" w:after="0"/>
        <w:ind w:left="641" w:right="182" w:hanging="534"/>
        <w:jc w:val="both"/>
        <w:rPr>
          <w:sz w:val="21"/>
        </w:rPr>
      </w:pPr>
      <w:r>
        <w:rPr>
          <w:b/>
          <w:sz w:val="21"/>
        </w:rPr>
        <w:t>毒品 </w:t>
      </w:r>
      <w:r>
        <w:rPr>
          <w:spacing w:val="-3"/>
          <w:sz w:val="21"/>
        </w:rPr>
        <w:t>指中华人民共和国刑法规定的鸦片、海洛因、甲基苯丙胺</w:t>
      </w:r>
      <w:r>
        <w:rPr>
          <w:sz w:val="21"/>
        </w:rPr>
        <w:t>（冰毒</w:t>
      </w:r>
      <w:r>
        <w:rPr>
          <w:spacing w:val="-105"/>
          <w:sz w:val="21"/>
        </w:rPr>
        <w:t>）</w:t>
      </w:r>
      <w:r>
        <w:rPr>
          <w:spacing w:val="-6"/>
          <w:sz w:val="21"/>
        </w:rPr>
        <w:t>、吗啡、大麻、可卡因</w:t>
      </w:r>
      <w:r>
        <w:rPr>
          <w:spacing w:val="-8"/>
          <w:sz w:val="21"/>
        </w:rPr>
        <w:t>以及国家规定管制的其他能够使人形成瘾癖的麻醉药品和精神药品，但不包括由医生开具并遵医嘱使用的用于治疗疾病但含有毒品成分的处方药品。</w:t>
      </w:r>
    </w:p>
    <w:p>
      <w:pPr>
        <w:pStyle w:val="ListParagraph"/>
        <w:numPr>
          <w:ilvl w:val="0"/>
          <w:numId w:val="10"/>
        </w:numPr>
        <w:tabs>
          <w:tab w:pos="642" w:val="left" w:leader="none"/>
        </w:tabs>
        <w:spacing w:line="297" w:lineRule="auto" w:before="14" w:after="0"/>
        <w:ind w:left="641" w:right="181" w:hanging="534"/>
        <w:jc w:val="both"/>
        <w:rPr>
          <w:sz w:val="21"/>
        </w:rPr>
      </w:pPr>
      <w:r>
        <w:rPr>
          <w:b/>
          <w:spacing w:val="6"/>
          <w:sz w:val="21"/>
        </w:rPr>
        <w:t>酒后驾驶 </w:t>
      </w:r>
      <w:r>
        <w:rPr>
          <w:sz w:val="21"/>
        </w:rPr>
        <w:t>指经检测或鉴定，发生事故时车辆驾驶人员每百毫升血液中的酒精含量达到或超过</w:t>
      </w:r>
      <w:r>
        <w:rPr>
          <w:spacing w:val="-5"/>
          <w:sz w:val="21"/>
        </w:rPr>
        <w:t>一定的标准，公安机关交通管理部门依据《道路交通安全法》的规定认定为饮酒后驾驶或醉酒后驾驶。</w:t>
      </w:r>
    </w:p>
    <w:p>
      <w:pPr>
        <w:pStyle w:val="ListParagraph"/>
        <w:numPr>
          <w:ilvl w:val="0"/>
          <w:numId w:val="10"/>
        </w:numPr>
        <w:tabs>
          <w:tab w:pos="641" w:val="left" w:leader="none"/>
          <w:tab w:pos="642" w:val="left" w:leader="none"/>
        </w:tabs>
        <w:spacing w:line="314" w:lineRule="auto" w:before="14" w:after="0"/>
        <w:ind w:left="641" w:right="6633" w:hanging="534"/>
        <w:jc w:val="left"/>
        <w:rPr>
          <w:sz w:val="21"/>
        </w:rPr>
      </w:pPr>
      <w:r>
        <w:rPr>
          <w:b/>
          <w:sz w:val="21"/>
        </w:rPr>
        <w:t>无合法有效驾驶证驾驶</w:t>
      </w:r>
      <w:r>
        <w:rPr>
          <w:sz w:val="21"/>
        </w:rPr>
        <w:t>指下列情形之一：</w:t>
      </w:r>
    </w:p>
    <w:p>
      <w:pPr>
        <w:pStyle w:val="ListParagraph"/>
        <w:numPr>
          <w:ilvl w:val="1"/>
          <w:numId w:val="10"/>
        </w:numPr>
        <w:tabs>
          <w:tab w:pos="1062" w:val="left" w:leader="none"/>
        </w:tabs>
        <w:spacing w:line="227" w:lineRule="exact" w:before="0" w:after="0"/>
        <w:ind w:left="1061" w:right="0" w:hanging="420"/>
        <w:jc w:val="both"/>
        <w:rPr>
          <w:sz w:val="21"/>
        </w:rPr>
      </w:pPr>
      <w:r>
        <w:rPr>
          <w:sz w:val="21"/>
        </w:rPr>
        <w:t>未依法取得驾驶证驾驶；</w:t>
      </w:r>
    </w:p>
    <w:p>
      <w:pPr>
        <w:pStyle w:val="ListParagraph"/>
        <w:numPr>
          <w:ilvl w:val="1"/>
          <w:numId w:val="10"/>
        </w:numPr>
        <w:tabs>
          <w:tab w:pos="1062" w:val="left" w:leader="none"/>
        </w:tabs>
        <w:spacing w:line="240" w:lineRule="auto" w:before="66" w:after="0"/>
        <w:ind w:left="1061" w:right="0" w:hanging="420"/>
        <w:jc w:val="both"/>
        <w:rPr>
          <w:sz w:val="21"/>
        </w:rPr>
      </w:pPr>
      <w:r>
        <w:rPr>
          <w:sz w:val="21"/>
        </w:rPr>
        <w:t>驾驶证被依法扣留期间驾驶；</w:t>
      </w:r>
    </w:p>
    <w:p>
      <w:pPr>
        <w:pStyle w:val="ListParagraph"/>
        <w:numPr>
          <w:ilvl w:val="1"/>
          <w:numId w:val="10"/>
        </w:numPr>
        <w:tabs>
          <w:tab w:pos="1062" w:val="left" w:leader="none"/>
        </w:tabs>
        <w:spacing w:line="240" w:lineRule="auto" w:before="65" w:after="0"/>
        <w:ind w:left="1061" w:right="0" w:hanging="420"/>
        <w:jc w:val="both"/>
        <w:rPr>
          <w:sz w:val="21"/>
        </w:rPr>
      </w:pPr>
      <w:r>
        <w:rPr>
          <w:sz w:val="21"/>
        </w:rPr>
        <w:t>驾驶与驾驶证准驾车型不相符合的车辆；</w:t>
      </w:r>
    </w:p>
    <w:p>
      <w:pPr>
        <w:pStyle w:val="ListParagraph"/>
        <w:numPr>
          <w:ilvl w:val="1"/>
          <w:numId w:val="10"/>
        </w:numPr>
        <w:tabs>
          <w:tab w:pos="1062" w:val="left" w:leader="none"/>
        </w:tabs>
        <w:spacing w:line="240" w:lineRule="auto" w:before="64" w:after="0"/>
        <w:ind w:left="1061" w:right="0" w:hanging="420"/>
        <w:jc w:val="both"/>
        <w:rPr>
          <w:sz w:val="21"/>
        </w:rPr>
      </w:pPr>
      <w:r>
        <w:rPr>
          <w:sz w:val="21"/>
        </w:rPr>
        <w:t>持未经审验或者超过有效期限的驾驶证驾驶；</w:t>
      </w:r>
    </w:p>
    <w:p>
      <w:pPr>
        <w:pStyle w:val="ListParagraph"/>
        <w:numPr>
          <w:ilvl w:val="1"/>
          <w:numId w:val="10"/>
        </w:numPr>
        <w:tabs>
          <w:tab w:pos="1062" w:val="left" w:leader="none"/>
        </w:tabs>
        <w:spacing w:line="240" w:lineRule="auto" w:before="66" w:after="0"/>
        <w:ind w:left="1061" w:right="0" w:hanging="420"/>
        <w:jc w:val="both"/>
        <w:rPr>
          <w:sz w:val="21"/>
        </w:rPr>
      </w:pPr>
      <w:r>
        <w:rPr>
          <w:sz w:val="21"/>
        </w:rPr>
        <w:t>持学习驾驶证学习驾车时，无教练员随车指导，或不按指定时间、路线学习驾车；</w:t>
      </w:r>
    </w:p>
    <w:p>
      <w:pPr>
        <w:pStyle w:val="ListParagraph"/>
        <w:numPr>
          <w:ilvl w:val="1"/>
          <w:numId w:val="10"/>
        </w:numPr>
        <w:tabs>
          <w:tab w:pos="1062" w:val="left" w:leader="none"/>
        </w:tabs>
        <w:spacing w:line="240" w:lineRule="auto" w:before="66" w:after="0"/>
        <w:ind w:left="1061" w:right="0" w:hanging="420"/>
        <w:jc w:val="both"/>
        <w:rPr>
          <w:sz w:val="21"/>
        </w:rPr>
      </w:pPr>
      <w:r>
        <w:rPr>
          <w:sz w:val="21"/>
        </w:rPr>
        <w:t>公安交通管理部门认定的其他无有效驾驶证驾驶的情况。</w:t>
      </w:r>
    </w:p>
    <w:p>
      <w:pPr>
        <w:pStyle w:val="Heading2"/>
        <w:numPr>
          <w:ilvl w:val="0"/>
          <w:numId w:val="10"/>
        </w:numPr>
        <w:tabs>
          <w:tab w:pos="641" w:val="left" w:leader="none"/>
          <w:tab w:pos="642" w:val="left" w:leader="none"/>
        </w:tabs>
        <w:spacing w:line="240" w:lineRule="auto" w:before="64" w:after="0"/>
        <w:ind w:left="641" w:right="0" w:hanging="534"/>
        <w:jc w:val="left"/>
      </w:pPr>
      <w:r>
        <w:rPr>
          <w:w w:val="95"/>
        </w:rPr>
        <w:t>无有效行驶证</w:t>
      </w:r>
    </w:p>
    <w:p>
      <w:pPr>
        <w:pStyle w:val="BodyText"/>
        <w:spacing w:before="85"/>
        <w:ind w:left="641"/>
        <w:jc w:val="both"/>
      </w:pPr>
      <w:r>
        <w:rPr/>
        <w:t>指下列情形之一：</w:t>
      </w:r>
    </w:p>
    <w:p>
      <w:pPr>
        <w:pStyle w:val="ListParagraph"/>
        <w:numPr>
          <w:ilvl w:val="1"/>
          <w:numId w:val="10"/>
        </w:numPr>
        <w:tabs>
          <w:tab w:pos="1062" w:val="left" w:leader="none"/>
        </w:tabs>
        <w:spacing w:line="240" w:lineRule="auto" w:before="36" w:after="0"/>
        <w:ind w:left="1061" w:right="0" w:hanging="420"/>
        <w:jc w:val="both"/>
        <w:rPr>
          <w:sz w:val="21"/>
        </w:rPr>
      </w:pPr>
      <w:r>
        <w:rPr>
          <w:sz w:val="21"/>
        </w:rPr>
        <w:t>机动车被依法注销登记的；</w:t>
      </w:r>
    </w:p>
    <w:p>
      <w:pPr>
        <w:pStyle w:val="ListParagraph"/>
        <w:numPr>
          <w:ilvl w:val="1"/>
          <w:numId w:val="10"/>
        </w:numPr>
        <w:tabs>
          <w:tab w:pos="1062" w:val="left" w:leader="none"/>
        </w:tabs>
        <w:spacing w:line="240" w:lineRule="auto" w:before="36" w:after="0"/>
        <w:ind w:left="1061" w:right="0" w:hanging="420"/>
        <w:jc w:val="both"/>
        <w:rPr>
          <w:sz w:val="21"/>
        </w:rPr>
      </w:pPr>
      <w:r>
        <w:rPr>
          <w:sz w:val="21"/>
        </w:rPr>
        <w:t>未依法按时进行或通过机动车安全技术检验。</w:t>
      </w:r>
    </w:p>
    <w:p>
      <w:pPr>
        <w:pStyle w:val="Heading2"/>
        <w:numPr>
          <w:ilvl w:val="0"/>
          <w:numId w:val="10"/>
        </w:numPr>
        <w:tabs>
          <w:tab w:pos="640" w:val="left" w:leader="none"/>
          <w:tab w:pos="642" w:val="left" w:leader="none"/>
        </w:tabs>
        <w:spacing w:line="240" w:lineRule="auto" w:before="16" w:after="0"/>
        <w:ind w:left="641" w:right="0" w:hanging="534"/>
        <w:jc w:val="left"/>
      </w:pPr>
      <w:r>
        <w:rPr>
          <w:w w:val="95"/>
        </w:rPr>
        <w:t>感染艾滋病病毒或患艾滋病</w:t>
      </w:r>
    </w:p>
    <w:p>
      <w:pPr>
        <w:pStyle w:val="BodyText"/>
        <w:spacing w:line="297" w:lineRule="auto" w:before="66"/>
        <w:ind w:left="641" w:right="120"/>
      </w:pPr>
      <w:r>
        <w:rPr/>
        <w:t>艾滋病病毒指人类免疫缺陷病毒，英文缩写为 HIV。艾滋病指人类免疫缺陷病毒引起的获得性免疫缺陷综合征，英文缩写为 AIDS。</w:t>
      </w:r>
    </w:p>
    <w:p>
      <w:pPr>
        <w:pStyle w:val="BodyText"/>
        <w:spacing w:line="297" w:lineRule="auto"/>
        <w:ind w:left="641" w:right="120"/>
      </w:pPr>
      <w:r>
        <w:rPr/>
        <w:t>在人体血液或其它样本中检测到艾滋病病毒或其抗体呈阳性，没有出现临床症状或体征的，为感染艾滋病病毒；如果同时出现了明显临床症状或体征的，为患艾滋病。</w:t>
      </w:r>
    </w:p>
    <w:p>
      <w:pPr>
        <w:pStyle w:val="ListParagraph"/>
        <w:numPr>
          <w:ilvl w:val="0"/>
          <w:numId w:val="10"/>
        </w:numPr>
        <w:tabs>
          <w:tab w:pos="641" w:val="left" w:leader="none"/>
          <w:tab w:pos="642" w:val="left" w:leader="none"/>
        </w:tabs>
        <w:spacing w:line="297" w:lineRule="auto" w:before="13" w:after="0"/>
        <w:ind w:left="641" w:right="231" w:hanging="534"/>
        <w:jc w:val="left"/>
        <w:rPr>
          <w:sz w:val="21"/>
        </w:rPr>
      </w:pPr>
      <w:r>
        <w:rPr>
          <w:b/>
          <w:spacing w:val="-1"/>
          <w:sz w:val="21"/>
        </w:rPr>
        <w:t>现金价值 </w:t>
      </w:r>
      <w:r>
        <w:rPr>
          <w:sz w:val="21"/>
        </w:rPr>
        <w:t>指保险单所具有的价值，通常体现为解除合同时，根据精算原理计算的，由本公司退还的那部分金额。</w:t>
      </w:r>
    </w:p>
    <w:p>
      <w:pPr>
        <w:pStyle w:val="ListParagraph"/>
        <w:numPr>
          <w:ilvl w:val="0"/>
          <w:numId w:val="10"/>
        </w:numPr>
        <w:tabs>
          <w:tab w:pos="641" w:val="left" w:leader="none"/>
          <w:tab w:pos="642" w:val="left" w:leader="none"/>
        </w:tabs>
        <w:spacing w:line="240" w:lineRule="auto" w:before="15" w:after="0"/>
        <w:ind w:left="641" w:right="0" w:hanging="534"/>
        <w:jc w:val="left"/>
        <w:rPr>
          <w:sz w:val="21"/>
        </w:rPr>
      </w:pPr>
      <w:r>
        <w:rPr>
          <w:b/>
          <w:spacing w:val="-1"/>
          <w:sz w:val="21"/>
        </w:rPr>
        <w:t>利息 </w:t>
      </w:r>
      <w:r>
        <w:rPr>
          <w:sz w:val="21"/>
        </w:rPr>
        <w:t>以“同期中国人民银行颁布的两年期城乡居民及单位存款利率”为利息率按复利计算。</w:t>
      </w:r>
    </w:p>
    <w:p>
      <w:pPr>
        <w:pStyle w:val="ListParagraph"/>
        <w:numPr>
          <w:ilvl w:val="0"/>
          <w:numId w:val="10"/>
        </w:numPr>
        <w:tabs>
          <w:tab w:pos="641" w:val="left" w:leader="none"/>
          <w:tab w:pos="642" w:val="left" w:leader="none"/>
        </w:tabs>
        <w:spacing w:line="297" w:lineRule="auto" w:before="66" w:after="0"/>
        <w:ind w:left="641" w:right="98" w:hanging="534"/>
        <w:jc w:val="left"/>
        <w:rPr>
          <w:b/>
          <w:sz w:val="21"/>
        </w:rPr>
      </w:pPr>
      <w:r>
        <w:rPr>
          <w:b/>
          <w:spacing w:val="3"/>
          <w:sz w:val="21"/>
        </w:rPr>
        <w:t>重大疾病 </w:t>
      </w:r>
      <w:r>
        <w:rPr>
          <w:sz w:val="21"/>
        </w:rPr>
        <w:t>被保险人发生符合以下疾病定义所述条件的疾病，应当由专科医生明确诊断。</w:t>
      </w:r>
      <w:r>
        <w:rPr>
          <w:b/>
          <w:sz w:val="21"/>
        </w:rPr>
        <w:t>以下定义中所指的恶性肿瘤、急性心肌梗塞、脑中风后遗症、急性或亚急性重症肝炎、深度昏迷、</w:t>
      </w:r>
      <w:r>
        <w:rPr>
          <w:b/>
          <w:spacing w:val="-8"/>
          <w:sz w:val="21"/>
        </w:rPr>
        <w:t>严重脑损伤、严重Ⅲ度烧伤、重型再生障碍性贫血、急性出血坏死性胰腺炎和严重溃疡性结肠</w:t>
      </w:r>
      <w:r>
        <w:rPr>
          <w:b/>
          <w:spacing w:val="-12"/>
          <w:sz w:val="21"/>
        </w:rPr>
        <w:t>炎自确诊之日起必须生存 </w:t>
      </w:r>
      <w:r>
        <w:rPr>
          <w:b/>
          <w:sz w:val="21"/>
        </w:rPr>
        <w:t>28</w:t>
      </w:r>
      <w:r>
        <w:rPr>
          <w:b/>
          <w:spacing w:val="-8"/>
          <w:sz w:val="21"/>
        </w:rPr>
        <w:t> 日以上才可申请理赔重大疾病保险金。</w:t>
      </w:r>
    </w:p>
    <w:p>
      <w:pPr>
        <w:pStyle w:val="Heading2"/>
        <w:spacing w:before="14"/>
        <w:ind w:left="641"/>
      </w:pPr>
      <w:r>
        <w:rPr/>
        <w:t>恶性肿瘤</w:t>
      </w:r>
    </w:p>
    <w:p>
      <w:pPr>
        <w:pStyle w:val="BodyText"/>
        <w:spacing w:line="297" w:lineRule="auto" w:before="65"/>
        <w:ind w:left="641" w:right="181"/>
        <w:jc w:val="both"/>
      </w:pPr>
      <w:r>
        <w:rPr>
          <w:spacing w:val="-3"/>
        </w:rPr>
        <w:t>指恶性细胞不受控制的进行性增长和扩散，浸润和破坏周围正常组织，可以经血管、淋巴管和</w:t>
      </w:r>
      <w:r>
        <w:rPr>
          <w:spacing w:val="-6"/>
        </w:rPr>
        <w:t>体腔扩散转移到身体其它部位的疾病。经病理学检查结果明确诊断，临床诊断属于世界卫生组</w:t>
      </w:r>
      <w:r>
        <w:rPr>
          <w:spacing w:val="-2"/>
        </w:rPr>
        <w:t>织《疾病和有关健康问题的国际统计分类》</w:t>
      </w:r>
      <w:r>
        <w:rPr>
          <w:spacing w:val="-1"/>
        </w:rPr>
        <w:t>（ICD-10）的恶性肿瘤范畴。</w:t>
      </w:r>
    </w:p>
    <w:p>
      <w:pPr>
        <w:pStyle w:val="Heading2"/>
        <w:ind w:left="641"/>
        <w:jc w:val="both"/>
      </w:pPr>
      <w:r>
        <w:rPr>
          <w:w w:val="95"/>
        </w:rPr>
        <w:t>下列疾病不在保障范围内：</w:t>
      </w:r>
    </w:p>
    <w:p>
      <w:pPr>
        <w:pStyle w:val="ListParagraph"/>
        <w:numPr>
          <w:ilvl w:val="1"/>
          <w:numId w:val="10"/>
        </w:numPr>
        <w:tabs>
          <w:tab w:pos="1062" w:val="left" w:leader="none"/>
        </w:tabs>
        <w:spacing w:line="240" w:lineRule="auto" w:before="66" w:after="0"/>
        <w:ind w:left="261" w:right="0" w:firstLine="380"/>
        <w:jc w:val="both"/>
        <w:rPr>
          <w:b/>
          <w:sz w:val="21"/>
        </w:rPr>
      </w:pPr>
      <w:r>
        <w:rPr>
          <w:b/>
          <w:sz w:val="21"/>
        </w:rPr>
        <w:t>原位癌；</w:t>
      </w:r>
    </w:p>
    <w:p>
      <w:pPr>
        <w:pStyle w:val="ListParagraph"/>
        <w:numPr>
          <w:ilvl w:val="1"/>
          <w:numId w:val="10"/>
        </w:numPr>
        <w:tabs>
          <w:tab w:pos="1062" w:val="left" w:leader="none"/>
        </w:tabs>
        <w:spacing w:line="240" w:lineRule="auto" w:before="64" w:after="0"/>
        <w:ind w:left="261" w:right="0" w:firstLine="380"/>
        <w:jc w:val="both"/>
        <w:rPr>
          <w:b/>
          <w:sz w:val="21"/>
        </w:rPr>
      </w:pPr>
      <w:r>
        <w:rPr>
          <w:b/>
          <w:spacing w:val="-14"/>
          <w:sz w:val="21"/>
        </w:rPr>
        <w:t>相当于 </w:t>
      </w:r>
      <w:r>
        <w:rPr>
          <w:b/>
          <w:sz w:val="21"/>
        </w:rPr>
        <w:t>Binet</w:t>
      </w:r>
      <w:r>
        <w:rPr>
          <w:b/>
          <w:spacing w:val="-20"/>
          <w:sz w:val="21"/>
        </w:rPr>
        <w:t> 分期方案 </w:t>
      </w:r>
      <w:r>
        <w:rPr>
          <w:b/>
          <w:sz w:val="21"/>
        </w:rPr>
        <w:t>A</w:t>
      </w:r>
      <w:r>
        <w:rPr>
          <w:b/>
          <w:spacing w:val="-8"/>
          <w:sz w:val="21"/>
        </w:rPr>
        <w:t> 期程度的慢性淋巴细胞白血病；</w:t>
      </w:r>
    </w:p>
    <w:p>
      <w:pPr>
        <w:pStyle w:val="ListParagraph"/>
        <w:numPr>
          <w:ilvl w:val="1"/>
          <w:numId w:val="10"/>
        </w:numPr>
        <w:tabs>
          <w:tab w:pos="1062" w:val="left" w:leader="none"/>
        </w:tabs>
        <w:spacing w:line="240" w:lineRule="auto" w:before="65" w:after="0"/>
        <w:ind w:left="261" w:right="0" w:firstLine="380"/>
        <w:jc w:val="both"/>
        <w:rPr>
          <w:b/>
          <w:sz w:val="21"/>
        </w:rPr>
      </w:pPr>
      <w:r>
        <w:rPr>
          <w:b/>
          <w:spacing w:val="-15"/>
          <w:sz w:val="21"/>
        </w:rPr>
        <w:t>相当于 </w:t>
      </w:r>
      <w:r>
        <w:rPr>
          <w:b/>
          <w:sz w:val="21"/>
        </w:rPr>
        <w:t>Ann</w:t>
      </w:r>
      <w:r>
        <w:rPr>
          <w:b/>
          <w:spacing w:val="-8"/>
          <w:sz w:val="21"/>
        </w:rPr>
        <w:t> </w:t>
      </w:r>
      <w:r>
        <w:rPr>
          <w:b/>
          <w:sz w:val="21"/>
        </w:rPr>
        <w:t>Arbor</w:t>
      </w:r>
      <w:r>
        <w:rPr>
          <w:b/>
          <w:spacing w:val="-20"/>
          <w:sz w:val="21"/>
        </w:rPr>
        <w:t> 分期方案 </w:t>
      </w:r>
      <w:r>
        <w:rPr>
          <w:b/>
          <w:sz w:val="21"/>
        </w:rPr>
        <w:t>I</w:t>
      </w:r>
      <w:r>
        <w:rPr>
          <w:b/>
          <w:spacing w:val="-8"/>
          <w:sz w:val="21"/>
        </w:rPr>
        <w:t> 期程度的何杰金氏病；</w:t>
      </w:r>
    </w:p>
    <w:p>
      <w:pPr>
        <w:pStyle w:val="ListParagraph"/>
        <w:numPr>
          <w:ilvl w:val="1"/>
          <w:numId w:val="10"/>
        </w:numPr>
        <w:tabs>
          <w:tab w:pos="1062" w:val="left" w:leader="none"/>
        </w:tabs>
        <w:spacing w:line="240" w:lineRule="auto" w:before="65" w:after="0"/>
        <w:ind w:left="261" w:right="0" w:firstLine="380"/>
        <w:jc w:val="both"/>
        <w:rPr>
          <w:b/>
          <w:sz w:val="21"/>
        </w:rPr>
      </w:pPr>
      <w:r>
        <w:rPr>
          <w:b/>
          <w:spacing w:val="0"/>
          <w:w w:val="99"/>
          <w:sz w:val="21"/>
        </w:rPr>
        <w:t>皮肤癌</w:t>
      </w:r>
      <w:r>
        <w:rPr>
          <w:b/>
          <w:w w:val="99"/>
          <w:sz w:val="21"/>
        </w:rPr>
        <w:t>（不包括恶性黑色素瘤及已发生转移的皮肤癌</w:t>
      </w:r>
      <w:r>
        <w:rPr>
          <w:b/>
          <w:spacing w:val="-105"/>
          <w:w w:val="99"/>
          <w:sz w:val="21"/>
        </w:rPr>
        <w:t>）</w:t>
      </w:r>
      <w:r>
        <w:rPr>
          <w:b/>
          <w:w w:val="99"/>
          <w:sz w:val="21"/>
        </w:rPr>
        <w:t>；</w:t>
      </w:r>
    </w:p>
    <w:p>
      <w:pPr>
        <w:pStyle w:val="ListParagraph"/>
        <w:numPr>
          <w:ilvl w:val="1"/>
          <w:numId w:val="10"/>
        </w:numPr>
        <w:tabs>
          <w:tab w:pos="1062" w:val="left" w:leader="none"/>
        </w:tabs>
        <w:spacing w:line="240" w:lineRule="auto" w:before="65" w:after="0"/>
        <w:ind w:left="261" w:right="0" w:firstLine="380"/>
        <w:jc w:val="both"/>
        <w:rPr>
          <w:b/>
          <w:sz w:val="21"/>
        </w:rPr>
      </w:pPr>
      <w:r>
        <w:rPr>
          <w:b/>
          <w:position w:val="1"/>
          <w:sz w:val="21"/>
        </w:rPr>
        <w:t>TNM</w:t>
      </w:r>
      <w:r>
        <w:rPr>
          <w:b/>
          <w:spacing w:val="-24"/>
          <w:position w:val="1"/>
          <w:sz w:val="21"/>
        </w:rPr>
        <w:t> 分期为 </w:t>
      </w:r>
      <w:r>
        <w:rPr>
          <w:b/>
          <w:position w:val="1"/>
          <w:sz w:val="21"/>
        </w:rPr>
        <w:t>T</w:t>
      </w:r>
      <w:r>
        <w:rPr>
          <w:b/>
          <w:sz w:val="11"/>
        </w:rPr>
        <w:t>1</w:t>
      </w:r>
      <w:r>
        <w:rPr>
          <w:b/>
          <w:position w:val="1"/>
          <w:sz w:val="21"/>
        </w:rPr>
        <w:t>N</w:t>
      </w:r>
      <w:r>
        <w:rPr>
          <w:b/>
          <w:sz w:val="11"/>
        </w:rPr>
        <w:t>0</w:t>
      </w:r>
      <w:r>
        <w:rPr>
          <w:b/>
          <w:position w:val="1"/>
          <w:sz w:val="21"/>
        </w:rPr>
        <w:t>M</w:t>
      </w:r>
      <w:r>
        <w:rPr>
          <w:b/>
          <w:sz w:val="11"/>
        </w:rPr>
        <w:t>0</w:t>
      </w:r>
      <w:r>
        <w:rPr>
          <w:b/>
          <w:spacing w:val="-43"/>
          <w:sz w:val="11"/>
        </w:rPr>
        <w:t> </w:t>
      </w:r>
      <w:r>
        <w:rPr>
          <w:b/>
          <w:position w:val="1"/>
          <w:sz w:val="21"/>
        </w:rPr>
        <w:t>期或更轻分期的前列腺癌；</w:t>
      </w:r>
    </w:p>
    <w:p>
      <w:pPr>
        <w:spacing w:after="0" w:line="240" w:lineRule="auto"/>
        <w:jc w:val="both"/>
        <w:rPr>
          <w:sz w:val="21"/>
        </w:rPr>
        <w:sectPr>
          <w:pgSz w:w="11910" w:h="16840"/>
          <w:pgMar w:header="0" w:footer="1008" w:top="1360" w:bottom="1200" w:left="1300" w:right="1220"/>
        </w:sectPr>
      </w:pPr>
    </w:p>
    <w:p>
      <w:pPr>
        <w:pStyle w:val="ListParagraph"/>
        <w:numPr>
          <w:ilvl w:val="1"/>
          <w:numId w:val="10"/>
        </w:numPr>
        <w:tabs>
          <w:tab w:pos="681" w:val="left" w:leader="none"/>
          <w:tab w:pos="682" w:val="left" w:leader="none"/>
        </w:tabs>
        <w:spacing w:line="297" w:lineRule="auto" w:before="6" w:after="0"/>
        <w:ind w:left="261" w:right="3916" w:firstLine="0"/>
        <w:jc w:val="left"/>
        <w:rPr>
          <w:b/>
          <w:sz w:val="21"/>
        </w:rPr>
      </w:pPr>
      <w:r>
        <w:rPr>
          <w:b/>
          <w:sz w:val="21"/>
        </w:rPr>
        <w:t>感染艾滋病病毒或患艾滋病期间所患恶性肿瘤。</w:t>
      </w:r>
      <w:r>
        <w:rPr>
          <w:b/>
          <w:w w:val="95"/>
          <w:sz w:val="21"/>
        </w:rPr>
        <w:t>急性心肌梗塞</w:t>
      </w:r>
    </w:p>
    <w:p>
      <w:pPr>
        <w:pStyle w:val="BodyText"/>
        <w:ind w:left="261"/>
      </w:pPr>
      <w:r>
        <w:rPr/>
        <w:t>指因冠状动脉阻塞导致的相应区域供血不足造成部分心肌坏死。须满足下列至少三项条件：</w:t>
      </w:r>
    </w:p>
    <w:p>
      <w:pPr>
        <w:pStyle w:val="ListParagraph"/>
        <w:numPr>
          <w:ilvl w:val="0"/>
          <w:numId w:val="11"/>
        </w:numPr>
        <w:tabs>
          <w:tab w:pos="681" w:val="left" w:leader="none"/>
          <w:tab w:pos="682" w:val="left" w:leader="none"/>
        </w:tabs>
        <w:spacing w:line="240" w:lineRule="auto" w:before="64" w:after="0"/>
        <w:ind w:left="261" w:right="0" w:firstLine="0"/>
        <w:jc w:val="left"/>
        <w:rPr>
          <w:sz w:val="21"/>
        </w:rPr>
      </w:pPr>
      <w:r>
        <w:rPr>
          <w:spacing w:val="-1"/>
          <w:sz w:val="21"/>
        </w:rPr>
        <w:t>典型临床表现，例如急性胸痛等；</w:t>
      </w:r>
    </w:p>
    <w:p>
      <w:pPr>
        <w:pStyle w:val="ListParagraph"/>
        <w:numPr>
          <w:ilvl w:val="0"/>
          <w:numId w:val="11"/>
        </w:numPr>
        <w:tabs>
          <w:tab w:pos="681" w:val="left" w:leader="none"/>
          <w:tab w:pos="682" w:val="left" w:leader="none"/>
        </w:tabs>
        <w:spacing w:line="240" w:lineRule="auto" w:before="65" w:after="0"/>
        <w:ind w:left="261" w:right="0" w:firstLine="0"/>
        <w:jc w:val="left"/>
        <w:rPr>
          <w:sz w:val="21"/>
        </w:rPr>
      </w:pPr>
      <w:r>
        <w:rPr>
          <w:sz w:val="21"/>
        </w:rPr>
        <w:t>新近的心电图改变提示急性心肌梗塞；</w:t>
      </w:r>
    </w:p>
    <w:p>
      <w:pPr>
        <w:pStyle w:val="ListParagraph"/>
        <w:numPr>
          <w:ilvl w:val="0"/>
          <w:numId w:val="11"/>
        </w:numPr>
        <w:tabs>
          <w:tab w:pos="681" w:val="left" w:leader="none"/>
          <w:tab w:pos="682" w:val="left" w:leader="none"/>
        </w:tabs>
        <w:spacing w:line="240" w:lineRule="auto" w:before="65" w:after="0"/>
        <w:ind w:left="261" w:right="0" w:firstLine="0"/>
        <w:jc w:val="left"/>
        <w:rPr>
          <w:sz w:val="21"/>
        </w:rPr>
      </w:pPr>
      <w:r>
        <w:rPr>
          <w:sz w:val="21"/>
        </w:rPr>
        <w:t>心肌酶或肌钙蛋白有诊断意义的升高，或呈符合急性心肌梗塞的动态性变化；</w:t>
      </w:r>
    </w:p>
    <w:p>
      <w:pPr>
        <w:pStyle w:val="ListParagraph"/>
        <w:numPr>
          <w:ilvl w:val="0"/>
          <w:numId w:val="11"/>
        </w:numPr>
        <w:tabs>
          <w:tab w:pos="681" w:val="left" w:leader="none"/>
          <w:tab w:pos="682" w:val="left" w:leader="none"/>
        </w:tabs>
        <w:spacing w:line="297" w:lineRule="auto" w:before="64" w:after="0"/>
        <w:ind w:left="261" w:right="1569" w:firstLine="0"/>
        <w:jc w:val="left"/>
        <w:rPr>
          <w:b/>
          <w:sz w:val="21"/>
        </w:rPr>
      </w:pPr>
      <w:r>
        <w:rPr>
          <w:spacing w:val="-21"/>
          <w:sz w:val="21"/>
        </w:rPr>
        <w:t>发病 </w:t>
      </w:r>
      <w:r>
        <w:rPr>
          <w:sz w:val="21"/>
        </w:rPr>
        <w:t>90</w:t>
      </w:r>
      <w:r>
        <w:rPr>
          <w:spacing w:val="-10"/>
          <w:sz w:val="21"/>
        </w:rPr>
        <w:t> 天后，经检查证实左心室功能降低，如左心室射血分数低于 </w:t>
      </w:r>
      <w:r>
        <w:rPr>
          <w:sz w:val="21"/>
        </w:rPr>
        <w:t>50%。</w:t>
      </w:r>
      <w:r>
        <w:rPr>
          <w:b/>
          <w:w w:val="95"/>
          <w:sz w:val="21"/>
        </w:rPr>
        <w:t>脑中风后遗症</w:t>
      </w:r>
    </w:p>
    <w:p>
      <w:pPr>
        <w:pStyle w:val="BodyText"/>
        <w:spacing w:line="297" w:lineRule="auto"/>
        <w:ind w:left="261" w:right="139"/>
      </w:pPr>
      <w:r>
        <w:rPr/>
        <w:t>指因脑血管的突发病变引起脑血管出血、栓塞或梗塞，并导致神经系统永久性的功能障碍。神经系统永久性的功能障碍，指疾病确诊 180 天后，仍遗留下列一种或一种以上障碍：</w:t>
      </w:r>
    </w:p>
    <w:p>
      <w:pPr>
        <w:pStyle w:val="ListParagraph"/>
        <w:numPr>
          <w:ilvl w:val="0"/>
          <w:numId w:val="12"/>
        </w:numPr>
        <w:tabs>
          <w:tab w:pos="681" w:val="left" w:leader="none"/>
          <w:tab w:pos="682" w:val="left" w:leader="none"/>
        </w:tabs>
        <w:spacing w:line="240" w:lineRule="auto" w:before="14" w:after="0"/>
        <w:ind w:left="261" w:right="0" w:firstLine="0"/>
        <w:jc w:val="left"/>
        <w:rPr>
          <w:sz w:val="21"/>
        </w:rPr>
      </w:pPr>
      <w:r>
        <w:rPr>
          <w:sz w:val="21"/>
        </w:rPr>
        <w:t>一肢或一肢以上肢体机能完全丧失；</w:t>
      </w:r>
    </w:p>
    <w:p>
      <w:pPr>
        <w:pStyle w:val="ListParagraph"/>
        <w:numPr>
          <w:ilvl w:val="0"/>
          <w:numId w:val="12"/>
        </w:numPr>
        <w:tabs>
          <w:tab w:pos="681" w:val="left" w:leader="none"/>
          <w:tab w:pos="682" w:val="left" w:leader="none"/>
        </w:tabs>
        <w:spacing w:line="240" w:lineRule="auto" w:before="66" w:after="0"/>
        <w:ind w:left="261" w:right="0" w:firstLine="0"/>
        <w:jc w:val="left"/>
        <w:rPr>
          <w:sz w:val="21"/>
        </w:rPr>
      </w:pPr>
      <w:r>
        <w:rPr>
          <w:sz w:val="21"/>
        </w:rPr>
        <w:t>语言能力或咀嚼吞咽能力完全丧失；</w:t>
      </w:r>
    </w:p>
    <w:p>
      <w:pPr>
        <w:pStyle w:val="ListParagraph"/>
        <w:numPr>
          <w:ilvl w:val="0"/>
          <w:numId w:val="12"/>
        </w:numPr>
        <w:tabs>
          <w:tab w:pos="681" w:val="left" w:leader="none"/>
          <w:tab w:pos="682" w:val="left" w:leader="none"/>
        </w:tabs>
        <w:spacing w:line="297" w:lineRule="auto" w:before="66" w:after="0"/>
        <w:ind w:left="261" w:right="570" w:firstLine="0"/>
        <w:jc w:val="left"/>
        <w:rPr>
          <w:b/>
          <w:sz w:val="21"/>
        </w:rPr>
      </w:pPr>
      <w:r>
        <w:rPr>
          <w:sz w:val="21"/>
        </w:rPr>
        <w:t>自主生活能力完全丧失，无法独立完成六项基本日常生活活动中的三项或三项以上。</w:t>
      </w:r>
      <w:r>
        <w:rPr>
          <w:b/>
          <w:w w:val="95"/>
          <w:sz w:val="21"/>
        </w:rPr>
        <w:t>重大器官移植术或造血干细胞移植术</w:t>
      </w:r>
    </w:p>
    <w:p>
      <w:pPr>
        <w:pStyle w:val="BodyText"/>
        <w:spacing w:line="297" w:lineRule="auto"/>
        <w:ind w:left="261" w:right="159"/>
      </w:pPr>
      <w:r>
        <w:rPr/>
        <w:t>重大器官移植术，指因相应器官功能衰竭，已经实施了肾脏、肝脏、心脏或肺脏的异体移植手术。</w:t>
      </w:r>
    </w:p>
    <w:p>
      <w:pPr>
        <w:pStyle w:val="BodyText"/>
        <w:spacing w:line="297" w:lineRule="auto" w:before="14"/>
        <w:ind w:left="261" w:right="139"/>
      </w:pPr>
      <w:r>
        <w:rPr/>
        <w:t>造血干细胞移植术，指因造血功能损害或造血系统恶性肿瘤，已经实施了造血干细胞（包括骨髓造血干细胞、外周血造血干细胞和脐血造血干细胞）的异体移植手术。</w:t>
      </w:r>
    </w:p>
    <w:p>
      <w:pPr>
        <w:pStyle w:val="Heading2"/>
      </w:pPr>
      <w:r>
        <w:rPr>
          <w:w w:val="95"/>
        </w:rPr>
        <w:t>冠状动脉搭桥术（或称冠状动脉旁路移植术）</w:t>
      </w:r>
    </w:p>
    <w:p>
      <w:pPr>
        <w:pStyle w:val="BodyText"/>
        <w:spacing w:before="64"/>
        <w:ind w:left="261"/>
      </w:pPr>
      <w:r>
        <w:rPr/>
        <w:t>指为治疗严重的冠心病，实际实施了开胸进行的冠状动脉血管旁路移植的手术。</w:t>
      </w:r>
    </w:p>
    <w:p>
      <w:pPr>
        <w:pStyle w:val="Heading2"/>
        <w:spacing w:line="297" w:lineRule="auto" w:before="66"/>
        <w:ind w:right="204"/>
      </w:pPr>
      <w:r>
        <w:rPr>
          <w:spacing w:val="-6"/>
        </w:rPr>
        <w:t>冠状动脉支架植入术、心导管球囊扩张术、激光射频技术及其它非开胸的介入手术、腔镜手术</w:t>
      </w:r>
      <w:r>
        <w:rPr>
          <w:spacing w:val="-6"/>
          <w:w w:val="95"/>
        </w:rPr>
        <w:t>不在保障范围内。</w:t>
      </w:r>
    </w:p>
    <w:p>
      <w:pPr>
        <w:spacing w:line="297" w:lineRule="auto" w:before="15"/>
        <w:ind w:left="261" w:right="27" w:firstLine="0"/>
        <w:jc w:val="left"/>
        <w:rPr>
          <w:sz w:val="21"/>
        </w:rPr>
      </w:pPr>
      <w:r>
        <w:rPr>
          <w:b/>
          <w:sz w:val="21"/>
        </w:rPr>
        <w:t>终末期肾病（或称慢性肾功能衰竭尿毒症期） </w:t>
      </w:r>
      <w:r>
        <w:rPr>
          <w:sz w:val="21"/>
        </w:rPr>
        <w:t>指双肾功能慢性不可逆性衰竭，达到尿毒症期， 经诊断后已经进行了至少 90 天的规律性透析治疗或实施了肾脏移植手术。</w:t>
      </w:r>
    </w:p>
    <w:p>
      <w:pPr>
        <w:pStyle w:val="BodyText"/>
        <w:spacing w:line="297" w:lineRule="auto"/>
        <w:ind w:left="261" w:right="251"/>
      </w:pPr>
      <w:r>
        <w:rPr>
          <w:b/>
        </w:rPr>
        <w:t>多个肢体缺失 </w:t>
      </w:r>
      <w:r>
        <w:rPr/>
        <w:t>指因疾病或意外伤害导致两个或两个以上肢体自腕关节或踝关节近端（靠近躯干端）以上完全性断离。</w:t>
      </w:r>
    </w:p>
    <w:p>
      <w:pPr>
        <w:pStyle w:val="Heading2"/>
        <w:spacing w:before="14"/>
      </w:pPr>
      <w:r>
        <w:rPr>
          <w:w w:val="95"/>
        </w:rPr>
        <w:t>急性或亚急性重症肝炎</w:t>
      </w:r>
    </w:p>
    <w:p>
      <w:pPr>
        <w:pStyle w:val="BodyText"/>
        <w:spacing w:line="297" w:lineRule="auto" w:before="65"/>
        <w:ind w:left="261" w:right="140"/>
      </w:pPr>
      <w:r>
        <w:rPr/>
        <w:t>指因肝炎病毒感染引起肝脏组织弥漫性坏死，导致急性肝功能衰竭，且经血清学或病毒学检查证实，并须满足下列全部条件：</w:t>
      </w:r>
    </w:p>
    <w:p>
      <w:pPr>
        <w:pStyle w:val="ListParagraph"/>
        <w:numPr>
          <w:ilvl w:val="0"/>
          <w:numId w:val="13"/>
        </w:numPr>
        <w:tabs>
          <w:tab w:pos="681" w:val="left" w:leader="none"/>
          <w:tab w:pos="682" w:val="left" w:leader="none"/>
        </w:tabs>
        <w:spacing w:line="240" w:lineRule="auto" w:before="13" w:after="0"/>
        <w:ind w:left="261" w:right="0" w:firstLine="0"/>
        <w:jc w:val="left"/>
        <w:rPr>
          <w:sz w:val="21"/>
        </w:rPr>
      </w:pPr>
      <w:r>
        <w:rPr>
          <w:sz w:val="21"/>
        </w:rPr>
        <w:t>重度黄疸或黄疸迅速加重；</w:t>
      </w:r>
    </w:p>
    <w:p>
      <w:pPr>
        <w:pStyle w:val="ListParagraph"/>
        <w:numPr>
          <w:ilvl w:val="0"/>
          <w:numId w:val="13"/>
        </w:numPr>
        <w:tabs>
          <w:tab w:pos="681" w:val="left" w:leader="none"/>
          <w:tab w:pos="682" w:val="left" w:leader="none"/>
        </w:tabs>
        <w:spacing w:line="240" w:lineRule="auto" w:before="65" w:after="0"/>
        <w:ind w:left="261" w:right="0" w:firstLine="0"/>
        <w:jc w:val="left"/>
        <w:rPr>
          <w:sz w:val="21"/>
        </w:rPr>
      </w:pPr>
      <w:r>
        <w:rPr>
          <w:sz w:val="21"/>
        </w:rPr>
        <w:t>肝性脑病；</w:t>
      </w:r>
    </w:p>
    <w:p>
      <w:pPr>
        <w:pStyle w:val="ListParagraph"/>
        <w:numPr>
          <w:ilvl w:val="0"/>
          <w:numId w:val="13"/>
        </w:numPr>
        <w:tabs>
          <w:tab w:pos="681" w:val="left" w:leader="none"/>
          <w:tab w:pos="682" w:val="left" w:leader="none"/>
        </w:tabs>
        <w:spacing w:line="240" w:lineRule="auto" w:before="65" w:after="0"/>
        <w:ind w:left="261" w:right="0" w:firstLine="0"/>
        <w:jc w:val="left"/>
        <w:rPr>
          <w:sz w:val="21"/>
        </w:rPr>
      </w:pPr>
      <w:r>
        <w:rPr>
          <w:sz w:val="21"/>
        </w:rPr>
        <w:t>B</w:t>
      </w:r>
      <w:r>
        <w:rPr>
          <w:spacing w:val="-9"/>
          <w:sz w:val="21"/>
        </w:rPr>
        <w:t> 超或其它影像学检查显示肝脏体积急速萎缩；</w:t>
      </w:r>
    </w:p>
    <w:p>
      <w:pPr>
        <w:pStyle w:val="ListParagraph"/>
        <w:numPr>
          <w:ilvl w:val="0"/>
          <w:numId w:val="13"/>
        </w:numPr>
        <w:tabs>
          <w:tab w:pos="681" w:val="left" w:leader="none"/>
          <w:tab w:pos="682" w:val="left" w:leader="none"/>
        </w:tabs>
        <w:spacing w:line="297" w:lineRule="auto" w:before="64" w:after="0"/>
        <w:ind w:left="261" w:right="6030" w:firstLine="0"/>
        <w:jc w:val="left"/>
        <w:rPr>
          <w:b/>
          <w:sz w:val="21"/>
        </w:rPr>
      </w:pPr>
      <w:r>
        <w:rPr>
          <w:sz w:val="21"/>
        </w:rPr>
        <w:t>肝功能指标进行性恶化。</w:t>
      </w:r>
      <w:r>
        <w:rPr>
          <w:b/>
          <w:w w:val="95"/>
          <w:sz w:val="21"/>
        </w:rPr>
        <w:t>良性脑肿瘤</w:t>
      </w:r>
    </w:p>
    <w:p>
      <w:pPr>
        <w:pStyle w:val="BodyText"/>
        <w:spacing w:line="297" w:lineRule="auto"/>
        <w:ind w:left="261" w:right="202"/>
        <w:jc w:val="both"/>
      </w:pPr>
      <w:r>
        <w:rPr>
          <w:spacing w:val="-5"/>
        </w:rPr>
        <w:t>指脑的良性肿瘤，已经引起颅内压增高，临床表现为视神经乳头水肿、精神症状、癫痫及运动感觉障碍等，并危及生命。须由头颅断层扫描</w:t>
      </w:r>
      <w:r>
        <w:rPr>
          <w:spacing w:val="-1"/>
        </w:rPr>
        <w:t>（CT</w:t>
      </w:r>
      <w:r>
        <w:rPr>
          <w:spacing w:val="-104"/>
        </w:rPr>
        <w:t>）</w:t>
      </w:r>
      <w:r>
        <w:rPr>
          <w:spacing w:val="-4"/>
        </w:rPr>
        <w:t>、核磁共振检查</w:t>
      </w:r>
      <w:r>
        <w:rPr/>
        <w:t>（MRI</w:t>
      </w:r>
      <w:r>
        <w:rPr>
          <w:spacing w:val="-9"/>
        </w:rPr>
        <w:t>）</w:t>
      </w:r>
      <w:r>
        <w:rPr>
          <w:spacing w:val="-1"/>
        </w:rPr>
        <w:t>或正电子发射断层扫描</w:t>
      </w:r>
      <w:r>
        <w:rPr/>
        <w:t>（PET）等影像学检查证实，并须满足下列至少一项条件：</w:t>
      </w:r>
    </w:p>
    <w:p>
      <w:pPr>
        <w:pStyle w:val="ListParagraph"/>
        <w:numPr>
          <w:ilvl w:val="0"/>
          <w:numId w:val="14"/>
        </w:numPr>
        <w:tabs>
          <w:tab w:pos="681" w:val="left" w:leader="none"/>
          <w:tab w:pos="682" w:val="left" w:leader="none"/>
        </w:tabs>
        <w:spacing w:line="240" w:lineRule="auto" w:before="15" w:after="0"/>
        <w:ind w:left="681" w:right="0" w:hanging="420"/>
        <w:jc w:val="left"/>
        <w:rPr>
          <w:sz w:val="21"/>
        </w:rPr>
      </w:pPr>
      <w:r>
        <w:rPr>
          <w:sz w:val="21"/>
        </w:rPr>
        <w:t>实际实施了开颅进行的脑肿瘤完全切除或部分切除的手术；</w:t>
      </w:r>
    </w:p>
    <w:p>
      <w:pPr>
        <w:pStyle w:val="ListParagraph"/>
        <w:numPr>
          <w:ilvl w:val="0"/>
          <w:numId w:val="14"/>
        </w:numPr>
        <w:tabs>
          <w:tab w:pos="681" w:val="left" w:leader="none"/>
          <w:tab w:pos="682" w:val="left" w:leader="none"/>
        </w:tabs>
        <w:spacing w:line="240" w:lineRule="auto" w:before="66" w:after="0"/>
        <w:ind w:left="681" w:right="0" w:hanging="420"/>
        <w:jc w:val="left"/>
        <w:rPr>
          <w:sz w:val="21"/>
        </w:rPr>
      </w:pPr>
      <w:r>
        <w:rPr>
          <w:sz w:val="21"/>
        </w:rPr>
        <w:t>实际实施了对脑肿瘤进行的放射治疗。</w:t>
      </w:r>
    </w:p>
    <w:p>
      <w:pPr>
        <w:spacing w:after="0" w:line="240" w:lineRule="auto"/>
        <w:jc w:val="left"/>
        <w:rPr>
          <w:sz w:val="21"/>
        </w:rPr>
        <w:sectPr>
          <w:pgSz w:w="11910" w:h="16840"/>
          <w:pgMar w:header="0" w:footer="1008" w:top="1360" w:bottom="1200" w:left="1680" w:right="1200"/>
        </w:sectPr>
      </w:pPr>
    </w:p>
    <w:p>
      <w:pPr>
        <w:pStyle w:val="Heading2"/>
        <w:spacing w:line="297" w:lineRule="auto" w:before="6"/>
        <w:ind w:right="3932"/>
      </w:pPr>
      <w:r>
        <w:rPr/>
        <w:t>脑垂体瘤、脑囊肿、脑血管性疾病不在保障范围内。</w:t>
      </w:r>
      <w:r>
        <w:rPr>
          <w:w w:val="95"/>
        </w:rPr>
        <w:t>慢性肝功能衰竭失代偿期</w:t>
      </w:r>
    </w:p>
    <w:p>
      <w:pPr>
        <w:pStyle w:val="BodyText"/>
        <w:ind w:left="261"/>
      </w:pPr>
      <w:r>
        <w:rPr/>
        <w:t>指因慢性肝脏疾病导致肝功能衰竭。须满足下列全部条件：</w:t>
      </w:r>
    </w:p>
    <w:p>
      <w:pPr>
        <w:pStyle w:val="ListParagraph"/>
        <w:numPr>
          <w:ilvl w:val="0"/>
          <w:numId w:val="15"/>
        </w:numPr>
        <w:tabs>
          <w:tab w:pos="681" w:val="left" w:leader="none"/>
          <w:tab w:pos="682" w:val="left" w:leader="none"/>
        </w:tabs>
        <w:spacing w:line="240" w:lineRule="auto" w:before="64" w:after="0"/>
        <w:ind w:left="261" w:right="0" w:firstLine="0"/>
        <w:jc w:val="left"/>
        <w:rPr>
          <w:sz w:val="21"/>
        </w:rPr>
      </w:pPr>
      <w:r>
        <w:rPr>
          <w:sz w:val="21"/>
        </w:rPr>
        <w:t>持续性黄疸；</w:t>
      </w:r>
    </w:p>
    <w:p>
      <w:pPr>
        <w:pStyle w:val="ListParagraph"/>
        <w:numPr>
          <w:ilvl w:val="0"/>
          <w:numId w:val="15"/>
        </w:numPr>
        <w:tabs>
          <w:tab w:pos="681" w:val="left" w:leader="none"/>
          <w:tab w:pos="682" w:val="left" w:leader="none"/>
        </w:tabs>
        <w:spacing w:line="240" w:lineRule="auto" w:before="65" w:after="0"/>
        <w:ind w:left="261" w:right="0" w:firstLine="0"/>
        <w:jc w:val="left"/>
        <w:rPr>
          <w:sz w:val="21"/>
        </w:rPr>
      </w:pPr>
      <w:r>
        <w:rPr>
          <w:sz w:val="21"/>
        </w:rPr>
        <w:t>腹水；</w:t>
      </w:r>
    </w:p>
    <w:p>
      <w:pPr>
        <w:pStyle w:val="ListParagraph"/>
        <w:numPr>
          <w:ilvl w:val="0"/>
          <w:numId w:val="15"/>
        </w:numPr>
        <w:tabs>
          <w:tab w:pos="681" w:val="left" w:leader="none"/>
          <w:tab w:pos="682" w:val="left" w:leader="none"/>
        </w:tabs>
        <w:spacing w:line="240" w:lineRule="auto" w:before="65" w:after="0"/>
        <w:ind w:left="261" w:right="0" w:firstLine="0"/>
        <w:jc w:val="left"/>
        <w:rPr>
          <w:sz w:val="21"/>
        </w:rPr>
      </w:pPr>
      <w:r>
        <w:rPr>
          <w:sz w:val="21"/>
        </w:rPr>
        <w:t>肝性脑病；</w:t>
      </w:r>
    </w:p>
    <w:p>
      <w:pPr>
        <w:pStyle w:val="ListParagraph"/>
        <w:numPr>
          <w:ilvl w:val="0"/>
          <w:numId w:val="15"/>
        </w:numPr>
        <w:tabs>
          <w:tab w:pos="682" w:val="left" w:leader="none"/>
        </w:tabs>
        <w:spacing w:line="297" w:lineRule="auto" w:before="64" w:after="0"/>
        <w:ind w:left="261" w:right="3720" w:firstLine="0"/>
        <w:jc w:val="both"/>
        <w:rPr>
          <w:b/>
          <w:sz w:val="21"/>
        </w:rPr>
      </w:pPr>
      <w:r>
        <w:rPr>
          <w:sz w:val="21"/>
        </w:rPr>
        <w:t>充血性脾肿大伴脾功能亢进或食管胃底静脉曲张。</w:t>
      </w:r>
      <w:r>
        <w:rPr>
          <w:b/>
          <w:sz w:val="21"/>
        </w:rPr>
        <w:t>因酗酒或药物滥用导致的肝功能衰竭不在保障范围内。</w:t>
      </w:r>
      <w:r>
        <w:rPr>
          <w:b/>
          <w:w w:val="95"/>
          <w:sz w:val="21"/>
        </w:rPr>
        <w:t>脑炎后遗症或脑膜炎后遗症</w:t>
      </w:r>
    </w:p>
    <w:p>
      <w:pPr>
        <w:pStyle w:val="BodyText"/>
        <w:spacing w:line="297" w:lineRule="auto"/>
        <w:ind w:left="261" w:right="160"/>
      </w:pPr>
      <w:r>
        <w:rPr/>
        <w:t>指因患脑炎或脑膜炎导致的神经系统永久性的功能障碍。神经系统永久性的功能障碍，指疾病确诊 180 天后，仍遗留下列一种或一种以上障碍：</w:t>
      </w:r>
    </w:p>
    <w:p>
      <w:pPr>
        <w:pStyle w:val="ListParagraph"/>
        <w:numPr>
          <w:ilvl w:val="0"/>
          <w:numId w:val="16"/>
        </w:numPr>
        <w:tabs>
          <w:tab w:pos="681" w:val="left" w:leader="none"/>
          <w:tab w:pos="682" w:val="left" w:leader="none"/>
        </w:tabs>
        <w:spacing w:line="240" w:lineRule="auto" w:before="15" w:after="0"/>
        <w:ind w:left="261" w:right="0" w:firstLine="0"/>
        <w:jc w:val="left"/>
        <w:rPr>
          <w:sz w:val="21"/>
        </w:rPr>
      </w:pPr>
      <w:r>
        <w:rPr>
          <w:sz w:val="21"/>
        </w:rPr>
        <w:t>一肢或一肢以上肢体机能完全丧失；</w:t>
      </w:r>
    </w:p>
    <w:p>
      <w:pPr>
        <w:pStyle w:val="ListParagraph"/>
        <w:numPr>
          <w:ilvl w:val="0"/>
          <w:numId w:val="16"/>
        </w:numPr>
        <w:tabs>
          <w:tab w:pos="681" w:val="left" w:leader="none"/>
          <w:tab w:pos="682" w:val="left" w:leader="none"/>
        </w:tabs>
        <w:spacing w:line="240" w:lineRule="auto" w:before="65" w:after="0"/>
        <w:ind w:left="261" w:right="0" w:firstLine="0"/>
        <w:jc w:val="left"/>
        <w:rPr>
          <w:sz w:val="21"/>
        </w:rPr>
      </w:pPr>
      <w:r>
        <w:rPr>
          <w:sz w:val="21"/>
        </w:rPr>
        <w:t>语言能力或咀嚼吞咽能力完全丧失；</w:t>
      </w:r>
    </w:p>
    <w:p>
      <w:pPr>
        <w:pStyle w:val="ListParagraph"/>
        <w:numPr>
          <w:ilvl w:val="0"/>
          <w:numId w:val="16"/>
        </w:numPr>
        <w:tabs>
          <w:tab w:pos="681" w:val="left" w:leader="none"/>
          <w:tab w:pos="682" w:val="left" w:leader="none"/>
        </w:tabs>
        <w:spacing w:line="297" w:lineRule="auto" w:before="64" w:after="0"/>
        <w:ind w:left="261" w:right="590" w:firstLine="0"/>
        <w:jc w:val="left"/>
        <w:rPr>
          <w:b/>
          <w:sz w:val="21"/>
        </w:rPr>
      </w:pPr>
      <w:r>
        <w:rPr>
          <w:sz w:val="21"/>
        </w:rPr>
        <w:t>自主生活能力完全丧失，无法独立完成六项基本日常生活活动中的三项或三项以上。</w:t>
      </w:r>
      <w:r>
        <w:rPr>
          <w:b/>
          <w:sz w:val="21"/>
        </w:rPr>
        <w:t>深度昏迷</w:t>
      </w:r>
    </w:p>
    <w:p>
      <w:pPr>
        <w:pStyle w:val="BodyText"/>
        <w:spacing w:line="297" w:lineRule="auto"/>
        <w:ind w:left="261" w:right="222"/>
        <w:jc w:val="both"/>
      </w:pPr>
      <w:r>
        <w:rPr/>
        <w:t>指因疾病或意外伤害导致意识丧失,对外界刺激和体内需求均无反应,昏迷程度按照格拉斯哥昏迷分级（Glasgow coma scale）</w:t>
      </w:r>
      <w:r>
        <w:rPr>
          <w:spacing w:val="-14"/>
        </w:rPr>
        <w:t>结果为 </w:t>
      </w:r>
      <w:r>
        <w:rPr/>
        <w:t>5</w:t>
      </w:r>
      <w:r>
        <w:rPr>
          <w:spacing w:val="-28"/>
        </w:rPr>
        <w:t> 分或 </w:t>
      </w:r>
      <w:r>
        <w:rPr/>
        <w:t>5</w:t>
      </w:r>
      <w:r>
        <w:rPr>
          <w:spacing w:val="-8"/>
        </w:rPr>
        <w:t> 分以下，且已经持续使用呼吸机及其它生命</w:t>
      </w:r>
      <w:r>
        <w:rPr>
          <w:spacing w:val="-18"/>
        </w:rPr>
        <w:t>维持系统 </w:t>
      </w:r>
      <w:r>
        <w:rPr/>
        <w:t>96</w:t>
      </w:r>
      <w:r>
        <w:rPr>
          <w:spacing w:val="-10"/>
        </w:rPr>
        <w:t> 小时以上。</w:t>
      </w:r>
    </w:p>
    <w:p>
      <w:pPr>
        <w:pStyle w:val="Heading2"/>
        <w:spacing w:line="297" w:lineRule="auto"/>
        <w:ind w:right="3931"/>
      </w:pPr>
      <w:r>
        <w:rPr/>
        <w:t>因酗酒或药物滥用导致的深度昏迷不在保障范围内。双耳失聪</w:t>
      </w:r>
    </w:p>
    <w:p>
      <w:pPr>
        <w:pStyle w:val="BodyText"/>
        <w:ind w:left="261"/>
      </w:pPr>
      <w:r>
        <w:rPr>
          <w:spacing w:val="-3"/>
        </w:rPr>
        <w:t>指因疾病或意外伤害导致双耳听力永久不可逆性丧失，在 </w:t>
      </w:r>
      <w:r>
        <w:rPr/>
        <w:t>500</w:t>
      </w:r>
      <w:r>
        <w:rPr>
          <w:spacing w:val="-16"/>
        </w:rPr>
        <w:t> 赫兹、</w:t>
      </w:r>
      <w:r>
        <w:rPr/>
        <w:t>1000</w:t>
      </w:r>
      <w:r>
        <w:rPr>
          <w:spacing w:val="-26"/>
        </w:rPr>
        <w:t> 赫兹和 </w:t>
      </w:r>
      <w:r>
        <w:rPr/>
        <w:t>2000</w:t>
      </w:r>
      <w:r>
        <w:rPr>
          <w:spacing w:val="-16"/>
        </w:rPr>
        <w:t> 赫兹语</w:t>
      </w:r>
    </w:p>
    <w:p>
      <w:pPr>
        <w:pStyle w:val="BodyText"/>
        <w:spacing w:line="297" w:lineRule="auto" w:before="65"/>
        <w:ind w:left="261" w:right="222"/>
      </w:pPr>
      <w:r>
        <w:rPr>
          <w:spacing w:val="-3"/>
        </w:rPr>
        <w:t>音频率下，平均听阈大于 </w:t>
      </w:r>
      <w:r>
        <w:rPr/>
        <w:t>90</w:t>
      </w:r>
      <w:r>
        <w:rPr>
          <w:spacing w:val="-6"/>
        </w:rPr>
        <w:t> 分贝，且经纯音听力测试、声导抗检测或听觉诱发电位检测等证实。</w:t>
      </w:r>
    </w:p>
    <w:p>
      <w:pPr>
        <w:spacing w:line="297" w:lineRule="auto" w:before="14"/>
        <w:ind w:left="261" w:right="155" w:hanging="1"/>
        <w:jc w:val="left"/>
        <w:rPr>
          <w:b/>
          <w:sz w:val="21"/>
        </w:rPr>
      </w:pPr>
      <w:r>
        <w:rPr>
          <w:b/>
          <w:sz w:val="21"/>
        </w:rPr>
        <w:t>被保险人申请理赔时年龄必须在三周岁以上，</w:t>
      </w:r>
      <w:r>
        <w:rPr>
          <w:sz w:val="21"/>
        </w:rPr>
        <w:t>并且提供理赔当时的听力丧失诊断及检查证据。</w:t>
      </w:r>
      <w:r>
        <w:rPr>
          <w:b/>
          <w:sz w:val="21"/>
        </w:rPr>
        <w:t>双目失明</w:t>
      </w:r>
    </w:p>
    <w:p>
      <w:pPr>
        <w:pStyle w:val="BodyText"/>
        <w:spacing w:line="297" w:lineRule="auto"/>
        <w:ind w:left="261" w:right="220"/>
      </w:pPr>
      <w:r>
        <w:rPr/>
        <w:t>指因疾病或意外伤害导致双眼视力永久不可逆性丧失，双眼中较好眼须满足下列至少一项条件：</w:t>
      </w:r>
    </w:p>
    <w:p>
      <w:pPr>
        <w:pStyle w:val="ListParagraph"/>
        <w:numPr>
          <w:ilvl w:val="0"/>
          <w:numId w:val="17"/>
        </w:numPr>
        <w:tabs>
          <w:tab w:pos="681" w:val="left" w:leader="none"/>
          <w:tab w:pos="682" w:val="left" w:leader="none"/>
        </w:tabs>
        <w:spacing w:line="240" w:lineRule="auto" w:before="15" w:after="0"/>
        <w:ind w:left="681" w:right="0" w:hanging="420"/>
        <w:jc w:val="left"/>
        <w:rPr>
          <w:sz w:val="21"/>
        </w:rPr>
      </w:pPr>
      <w:r>
        <w:rPr>
          <w:sz w:val="21"/>
        </w:rPr>
        <w:t>眼球缺失或摘除；</w:t>
      </w:r>
    </w:p>
    <w:p>
      <w:pPr>
        <w:pStyle w:val="ListParagraph"/>
        <w:numPr>
          <w:ilvl w:val="0"/>
          <w:numId w:val="17"/>
        </w:numPr>
        <w:tabs>
          <w:tab w:pos="681" w:val="left" w:leader="none"/>
          <w:tab w:pos="682" w:val="left" w:leader="none"/>
        </w:tabs>
        <w:spacing w:line="240" w:lineRule="auto" w:before="66" w:after="0"/>
        <w:ind w:left="681" w:right="0" w:hanging="420"/>
        <w:jc w:val="left"/>
        <w:rPr>
          <w:sz w:val="21"/>
        </w:rPr>
      </w:pPr>
      <w:r>
        <w:rPr>
          <w:spacing w:val="-8"/>
          <w:sz w:val="21"/>
        </w:rPr>
        <w:t>矫正视力低于 </w:t>
      </w:r>
      <w:r>
        <w:rPr>
          <w:sz w:val="21"/>
        </w:rPr>
        <w:t>0.02（</w:t>
      </w:r>
      <w:r>
        <w:rPr>
          <w:spacing w:val="-1"/>
          <w:sz w:val="21"/>
        </w:rPr>
        <w:t>采用国际标准视力表，如果使用其它视力表应进行换算</w:t>
      </w:r>
      <w:r>
        <w:rPr>
          <w:spacing w:val="-105"/>
          <w:sz w:val="21"/>
        </w:rPr>
        <w:t>）</w:t>
      </w:r>
      <w:r>
        <w:rPr>
          <w:sz w:val="21"/>
        </w:rPr>
        <w:t>；</w:t>
      </w:r>
    </w:p>
    <w:p>
      <w:pPr>
        <w:pStyle w:val="ListParagraph"/>
        <w:numPr>
          <w:ilvl w:val="0"/>
          <w:numId w:val="17"/>
        </w:numPr>
        <w:tabs>
          <w:tab w:pos="681" w:val="left" w:leader="none"/>
          <w:tab w:pos="682" w:val="left" w:leader="none"/>
        </w:tabs>
        <w:spacing w:line="240" w:lineRule="auto" w:before="64" w:after="0"/>
        <w:ind w:left="681" w:right="0" w:hanging="420"/>
        <w:jc w:val="left"/>
        <w:rPr>
          <w:sz w:val="21"/>
        </w:rPr>
      </w:pPr>
      <w:r>
        <w:rPr>
          <w:spacing w:val="-8"/>
          <w:sz w:val="21"/>
        </w:rPr>
        <w:t>视野半径小于 </w:t>
      </w:r>
      <w:r>
        <w:rPr>
          <w:sz w:val="21"/>
        </w:rPr>
        <w:t>5</w:t>
      </w:r>
      <w:r>
        <w:rPr>
          <w:spacing w:val="-19"/>
          <w:sz w:val="21"/>
        </w:rPr>
        <w:t> 度。</w:t>
      </w:r>
    </w:p>
    <w:p>
      <w:pPr>
        <w:pStyle w:val="BodyText"/>
        <w:spacing w:line="297" w:lineRule="auto" w:before="65"/>
        <w:ind w:left="261" w:right="116"/>
      </w:pPr>
      <w:r>
        <w:rPr>
          <w:b/>
        </w:rPr>
        <w:t>被保险人申请理赔时年龄必须在三周岁以上，</w:t>
      </w:r>
      <w:r>
        <w:rPr/>
        <w:t>并且提供理赔当时的视力丧失诊断及检查证据。</w:t>
      </w:r>
      <w:r>
        <w:rPr>
          <w:b/>
          <w:spacing w:val="-1"/>
        </w:rPr>
        <w:t>瘫痪 </w:t>
      </w:r>
      <w:r>
        <w:rPr/>
        <w:t>指因疾病或意外伤害导致两肢或两肢以上肢体机能永久完全丧失。肢体机能永久完全丧</w:t>
      </w:r>
      <w:r>
        <w:rPr>
          <w:spacing w:val="-18"/>
        </w:rPr>
        <w:t>失，指疾病确诊 </w:t>
      </w:r>
      <w:r>
        <w:rPr/>
        <w:t>180</w:t>
      </w:r>
      <w:r>
        <w:rPr>
          <w:spacing w:val="-13"/>
        </w:rPr>
        <w:t> 天后或意外伤害发生 </w:t>
      </w:r>
      <w:r>
        <w:rPr/>
        <w:t>180</w:t>
      </w:r>
      <w:r>
        <w:rPr>
          <w:spacing w:val="-12"/>
        </w:rPr>
        <w:t> 天后，每肢三大关节中的两大关节仍然完全僵硬， 或不能随意识活动。</w:t>
      </w:r>
    </w:p>
    <w:p>
      <w:pPr>
        <w:spacing w:line="297" w:lineRule="auto" w:before="15"/>
        <w:ind w:left="261" w:right="271" w:firstLine="0"/>
        <w:jc w:val="left"/>
        <w:rPr>
          <w:b/>
          <w:sz w:val="21"/>
        </w:rPr>
      </w:pPr>
      <w:r>
        <w:rPr>
          <w:b/>
          <w:sz w:val="21"/>
        </w:rPr>
        <w:t>心脏瓣膜手术 </w:t>
      </w:r>
      <w:r>
        <w:rPr>
          <w:sz w:val="21"/>
        </w:rPr>
        <w:t>指为治疗心脏瓣膜疾病，实际实施了开胸进行的心脏瓣膜置换或修复的手术。</w:t>
      </w:r>
      <w:r>
        <w:rPr>
          <w:b/>
          <w:w w:val="95"/>
          <w:sz w:val="21"/>
        </w:rPr>
        <w:t>严重阿尔茨海默病</w:t>
      </w:r>
    </w:p>
    <w:p>
      <w:pPr>
        <w:pStyle w:val="BodyText"/>
        <w:spacing w:line="297" w:lineRule="auto" w:before="14"/>
        <w:ind w:left="261" w:right="170"/>
        <w:jc w:val="both"/>
      </w:pPr>
      <w:r>
        <w:rPr/>
        <w:t>指因大脑进行性、不可逆性改变导致智能严重衰退或丧失，临床表现为明显的认知能力障碍、</w:t>
      </w:r>
      <w:r>
        <w:rPr>
          <w:spacing w:val="0"/>
        </w:rPr>
        <w:t>行为异常和社交能力减退，其日常生活必须持续受到他人监护。须由头颅断层扫描（C</w:t>
      </w:r>
      <w:r>
        <w:rPr>
          <w:spacing w:val="2"/>
        </w:rPr>
        <w:t>T</w:t>
      </w:r>
      <w:r>
        <w:rPr>
          <w:spacing w:val="-102"/>
        </w:rPr>
        <w:t>）</w:t>
      </w:r>
      <w:r>
        <w:rPr/>
        <w:t>、核</w:t>
      </w:r>
      <w:r>
        <w:rPr>
          <w:spacing w:val="-3"/>
        </w:rPr>
        <w:t>磁共振检查（MRI）</w:t>
      </w:r>
      <w:r>
        <w:rPr>
          <w:spacing w:val="-2"/>
        </w:rPr>
        <w:t>或正电子发射断层扫描</w:t>
      </w:r>
      <w:r>
        <w:rPr>
          <w:spacing w:val="-3"/>
        </w:rPr>
        <w:t>（PET）</w:t>
      </w:r>
      <w:r>
        <w:rPr>
          <w:spacing w:val="-2"/>
        </w:rPr>
        <w:t>等影像学检查证实，且自主生活能力完全丧</w:t>
      </w:r>
    </w:p>
    <w:p>
      <w:pPr>
        <w:spacing w:after="0" w:line="297" w:lineRule="auto"/>
        <w:jc w:val="both"/>
        <w:sectPr>
          <w:pgSz w:w="11910" w:h="16840"/>
          <w:pgMar w:header="0" w:footer="1008" w:top="1360" w:bottom="1200" w:left="1680" w:right="1180"/>
        </w:sectPr>
      </w:pPr>
    </w:p>
    <w:p>
      <w:pPr>
        <w:spacing w:line="297" w:lineRule="auto" w:before="6"/>
        <w:ind w:left="261" w:right="2900" w:firstLine="0"/>
        <w:jc w:val="left"/>
        <w:rPr>
          <w:b/>
          <w:sz w:val="21"/>
        </w:rPr>
      </w:pPr>
      <w:r>
        <w:rPr>
          <w:sz w:val="21"/>
        </w:rPr>
        <w:t>失，无法独立完成六项基本日常生活活动中的三项或三项以上。</w:t>
      </w:r>
      <w:r>
        <w:rPr>
          <w:b/>
          <w:w w:val="95"/>
          <w:sz w:val="21"/>
        </w:rPr>
        <w:t>神经官能症和精神疾病不在保障范围内。</w:t>
      </w:r>
    </w:p>
    <w:p>
      <w:pPr>
        <w:pStyle w:val="Heading2"/>
      </w:pPr>
      <w:r>
        <w:rPr>
          <w:w w:val="95"/>
        </w:rPr>
        <w:t>严重脑损伤</w:t>
      </w:r>
    </w:p>
    <w:p>
      <w:pPr>
        <w:pStyle w:val="BodyText"/>
        <w:spacing w:line="297" w:lineRule="auto" w:before="64"/>
        <w:ind w:left="261" w:right="221"/>
        <w:jc w:val="both"/>
      </w:pPr>
      <w:r>
        <w:rPr>
          <w:spacing w:val="-4"/>
        </w:rPr>
        <w:t>指因头部遭受机械性外力，引起脑重要部位损伤，导致神经系统永久性的功能障碍。须由头颅</w:t>
      </w:r>
      <w:r>
        <w:rPr>
          <w:spacing w:val="0"/>
        </w:rPr>
        <w:t>断层扫描（CT</w:t>
      </w:r>
      <w:r>
        <w:rPr>
          <w:spacing w:val="-104"/>
        </w:rPr>
        <w:t>）</w:t>
      </w:r>
      <w:r>
        <w:rPr/>
        <w:t>、核磁共振检查</w:t>
      </w:r>
      <w:r>
        <w:rPr>
          <w:spacing w:val="0"/>
        </w:rPr>
        <w:t>（MRI）</w:t>
      </w:r>
      <w:r>
        <w:rPr/>
        <w:t>或正电子发射断层扫描</w:t>
      </w:r>
      <w:r>
        <w:rPr>
          <w:spacing w:val="0"/>
        </w:rPr>
        <w:t>（PET）</w:t>
      </w:r>
      <w:r>
        <w:rPr/>
        <w:t>等影像学检查证实。神</w:t>
      </w:r>
      <w:r>
        <w:rPr>
          <w:spacing w:val="-4"/>
        </w:rPr>
        <w:t>经系统永久性的功能障碍，指脑损伤 </w:t>
      </w:r>
      <w:r>
        <w:rPr/>
        <w:t>180</w:t>
      </w:r>
      <w:r>
        <w:rPr>
          <w:spacing w:val="-8"/>
        </w:rPr>
        <w:t> 天后，仍遗留下列一种或一种以上障碍：</w:t>
      </w:r>
    </w:p>
    <w:p>
      <w:pPr>
        <w:pStyle w:val="ListParagraph"/>
        <w:numPr>
          <w:ilvl w:val="0"/>
          <w:numId w:val="18"/>
        </w:numPr>
        <w:tabs>
          <w:tab w:pos="681" w:val="left" w:leader="none"/>
          <w:tab w:pos="682" w:val="left" w:leader="none"/>
        </w:tabs>
        <w:spacing w:line="240" w:lineRule="auto" w:before="14" w:after="0"/>
        <w:ind w:left="261" w:right="0" w:firstLine="0"/>
        <w:jc w:val="left"/>
        <w:rPr>
          <w:sz w:val="21"/>
        </w:rPr>
      </w:pPr>
      <w:r>
        <w:rPr>
          <w:sz w:val="21"/>
        </w:rPr>
        <w:t>一肢或一肢以上肢体机能完全丧失；</w:t>
      </w:r>
    </w:p>
    <w:p>
      <w:pPr>
        <w:pStyle w:val="ListParagraph"/>
        <w:numPr>
          <w:ilvl w:val="0"/>
          <w:numId w:val="18"/>
        </w:numPr>
        <w:tabs>
          <w:tab w:pos="681" w:val="left" w:leader="none"/>
          <w:tab w:pos="682" w:val="left" w:leader="none"/>
        </w:tabs>
        <w:spacing w:line="240" w:lineRule="auto" w:before="66" w:after="0"/>
        <w:ind w:left="261" w:right="0" w:firstLine="0"/>
        <w:jc w:val="left"/>
        <w:rPr>
          <w:sz w:val="21"/>
        </w:rPr>
      </w:pPr>
      <w:r>
        <w:rPr>
          <w:sz w:val="21"/>
        </w:rPr>
        <w:t>语言能力或咀嚼吞咽能力完全丧失；</w:t>
      </w:r>
    </w:p>
    <w:p>
      <w:pPr>
        <w:pStyle w:val="ListParagraph"/>
        <w:numPr>
          <w:ilvl w:val="0"/>
          <w:numId w:val="18"/>
        </w:numPr>
        <w:tabs>
          <w:tab w:pos="681" w:val="left" w:leader="none"/>
          <w:tab w:pos="682" w:val="left" w:leader="none"/>
        </w:tabs>
        <w:spacing w:line="297" w:lineRule="auto" w:before="66" w:after="0"/>
        <w:ind w:left="261" w:right="590" w:firstLine="0"/>
        <w:jc w:val="left"/>
        <w:rPr>
          <w:b/>
          <w:sz w:val="21"/>
        </w:rPr>
      </w:pPr>
      <w:r>
        <w:rPr>
          <w:sz w:val="21"/>
        </w:rPr>
        <w:t>自主生活能力完全丧失，无法独立完成六项基本日常生活活动中的三项或三项以上。</w:t>
      </w:r>
      <w:r>
        <w:rPr>
          <w:b/>
          <w:w w:val="95"/>
          <w:sz w:val="21"/>
        </w:rPr>
        <w:t>严重帕金森病</w:t>
      </w:r>
    </w:p>
    <w:p>
      <w:pPr>
        <w:pStyle w:val="BodyText"/>
        <w:spacing w:before="14"/>
        <w:ind w:left="261"/>
      </w:pPr>
      <w:r>
        <w:rPr>
          <w:spacing w:val="-8"/>
        </w:rPr>
        <w:t>是一种中枢神经系统的退行性疾病，临床表现为震颤麻痹、共济失调等。须满足下列全部条件：</w:t>
      </w:r>
    </w:p>
    <w:p>
      <w:pPr>
        <w:pStyle w:val="ListParagraph"/>
        <w:numPr>
          <w:ilvl w:val="0"/>
          <w:numId w:val="19"/>
        </w:numPr>
        <w:tabs>
          <w:tab w:pos="681" w:val="left" w:leader="none"/>
          <w:tab w:pos="682" w:val="left" w:leader="none"/>
        </w:tabs>
        <w:spacing w:line="240" w:lineRule="auto" w:before="65" w:after="0"/>
        <w:ind w:left="261" w:right="0" w:firstLine="0"/>
        <w:jc w:val="left"/>
        <w:rPr>
          <w:sz w:val="21"/>
        </w:rPr>
      </w:pPr>
      <w:r>
        <w:rPr>
          <w:sz w:val="21"/>
        </w:rPr>
        <w:t>药物治疗无法控制病情；</w:t>
      </w:r>
    </w:p>
    <w:p>
      <w:pPr>
        <w:pStyle w:val="ListParagraph"/>
        <w:numPr>
          <w:ilvl w:val="0"/>
          <w:numId w:val="19"/>
        </w:numPr>
        <w:tabs>
          <w:tab w:pos="681" w:val="left" w:leader="none"/>
          <w:tab w:pos="682" w:val="left" w:leader="none"/>
        </w:tabs>
        <w:spacing w:line="297" w:lineRule="auto" w:before="65" w:after="0"/>
        <w:ind w:left="261" w:right="590" w:firstLine="0"/>
        <w:jc w:val="left"/>
        <w:rPr>
          <w:b/>
          <w:sz w:val="21"/>
        </w:rPr>
      </w:pPr>
      <w:r>
        <w:rPr>
          <w:sz w:val="21"/>
        </w:rPr>
        <w:t>自主生活能力完全丧失，无法独立完成六项基本日常生活活动中的三项或三项以上。</w:t>
      </w:r>
      <w:r>
        <w:rPr>
          <w:b/>
          <w:w w:val="95"/>
          <w:sz w:val="21"/>
        </w:rPr>
        <w:t>继发性帕金森综合征不在保障范围内。</w:t>
      </w:r>
    </w:p>
    <w:p>
      <w:pPr>
        <w:pStyle w:val="BodyText"/>
        <w:spacing w:line="297" w:lineRule="auto"/>
        <w:ind w:left="261" w:right="222"/>
      </w:pPr>
      <w:r>
        <w:rPr>
          <w:b/>
          <w:spacing w:val="-1"/>
        </w:rPr>
        <w:t>严重Ⅲ度烧伤 </w:t>
      </w:r>
      <w:r>
        <w:rPr>
          <w:spacing w:val="-6"/>
        </w:rPr>
        <w:t>指烧伤程度为Ⅲ度，且Ⅲ度烧伤的面积达到全身体表面积的 </w:t>
      </w:r>
      <w:r>
        <w:rPr/>
        <w:t>20%</w:t>
      </w:r>
      <w:r>
        <w:rPr>
          <w:spacing w:val="-28"/>
        </w:rPr>
        <w:t>或 </w:t>
      </w:r>
      <w:r>
        <w:rPr/>
        <w:t>20%</w:t>
      </w:r>
      <w:r>
        <w:rPr>
          <w:spacing w:val="-8"/>
        </w:rPr>
        <w:t>以上。体表面积根据《中国新九分法》计算。</w:t>
      </w:r>
    </w:p>
    <w:p>
      <w:pPr>
        <w:pStyle w:val="BodyText"/>
        <w:spacing w:line="297" w:lineRule="auto" w:before="14"/>
        <w:ind w:left="261" w:right="116"/>
        <w:jc w:val="both"/>
      </w:pPr>
      <w:r>
        <w:rPr>
          <w:b/>
          <w:spacing w:val="-1"/>
        </w:rPr>
        <w:t>严重原发性肺动脉高压 </w:t>
      </w:r>
      <w:r>
        <w:rPr>
          <w:spacing w:val="-4"/>
        </w:rPr>
        <w:t>指不明原因的肺动脉压力持续性增高，进行性发展而导致的慢性疾病， </w:t>
      </w:r>
      <w:r>
        <w:rPr>
          <w:spacing w:val="-9"/>
        </w:rPr>
        <w:t>已经造成永久不可逆性的体力活动能力受限，达到美国纽约心脏病学会心功能状态分级 </w:t>
      </w:r>
      <w:r>
        <w:rPr/>
        <w:t>IV</w:t>
      </w:r>
      <w:r>
        <w:rPr>
          <w:spacing w:val="-22"/>
        </w:rPr>
        <w:t> 级， </w:t>
      </w:r>
      <w:r>
        <w:rPr>
          <w:spacing w:val="-25"/>
        </w:rPr>
        <w:t>且静息状态下肺动脉平均压超过 </w:t>
      </w:r>
      <w:r>
        <w:rPr/>
        <w:t>30mmHg。</w:t>
      </w:r>
    </w:p>
    <w:p>
      <w:pPr>
        <w:pStyle w:val="BodyText"/>
        <w:spacing w:line="297" w:lineRule="auto" w:before="14"/>
        <w:ind w:left="261" w:right="223"/>
        <w:jc w:val="both"/>
      </w:pPr>
      <w:r>
        <w:rPr>
          <w:b/>
          <w:spacing w:val="-1"/>
        </w:rPr>
        <w:t>严重运动神经元病 </w:t>
      </w:r>
      <w:r>
        <w:rPr/>
        <w:t>是一组中枢神经系统运动神经元的进行性变性疾病，包括进行性脊肌萎缩</w:t>
      </w:r>
      <w:r>
        <w:rPr>
          <w:spacing w:val="-7"/>
        </w:rPr>
        <w:t>症、进行性延髓麻痹症、原发性侧索硬化症、肌萎缩性侧索硬化症。须满足自主生活能力完全丧失，无法独立完成六项基本日常生活活动中的三项或三项以上的条件。</w:t>
      </w:r>
    </w:p>
    <w:p>
      <w:pPr>
        <w:pStyle w:val="Heading2"/>
      </w:pPr>
      <w:r>
        <w:rPr>
          <w:w w:val="95"/>
        </w:rPr>
        <w:t>语言能力丧失</w:t>
      </w:r>
    </w:p>
    <w:p>
      <w:pPr>
        <w:pStyle w:val="BodyText"/>
        <w:spacing w:line="297" w:lineRule="auto" w:before="64"/>
        <w:ind w:left="261" w:right="234"/>
      </w:pPr>
      <w:r>
        <w:rPr>
          <w:spacing w:val="-7"/>
        </w:rPr>
        <w:t>指因疾病或意外伤害导致完全丧失语言能力，经过积极治疗至少 </w:t>
      </w:r>
      <w:r>
        <w:rPr/>
        <w:t>12</w:t>
      </w:r>
      <w:r>
        <w:rPr>
          <w:spacing w:val="-23"/>
        </w:rPr>
        <w:t> 个月</w:t>
      </w:r>
      <w:r>
        <w:rPr>
          <w:spacing w:val="-4"/>
        </w:rPr>
        <w:t>（</w:t>
      </w:r>
      <w:r>
        <w:rPr>
          <w:spacing w:val="-5"/>
        </w:rPr>
        <w:t>声带完全切除不受此时间限制</w:t>
      </w:r>
      <w:r>
        <w:rPr>
          <w:spacing w:val="-107"/>
        </w:rPr>
        <w:t>）</w:t>
      </w:r>
      <w:r>
        <w:rPr>
          <w:spacing w:val="-5"/>
        </w:rPr>
        <w:t>，仍无法通过现有医疗手段恢复。</w:t>
      </w:r>
    </w:p>
    <w:p>
      <w:pPr>
        <w:pStyle w:val="Heading2"/>
      </w:pPr>
      <w:r>
        <w:rPr>
          <w:w w:val="95"/>
        </w:rPr>
        <w:t>精神心理因素所致的语言能力丧失不在保障范围内。</w:t>
      </w:r>
    </w:p>
    <w:p>
      <w:pPr>
        <w:spacing w:line="297" w:lineRule="auto" w:before="64"/>
        <w:ind w:left="261" w:right="152" w:firstLine="0"/>
        <w:jc w:val="left"/>
        <w:rPr>
          <w:sz w:val="21"/>
        </w:rPr>
      </w:pPr>
      <w:r>
        <w:rPr>
          <w:b/>
          <w:sz w:val="21"/>
        </w:rPr>
        <w:t>被保险人申请理赔时年龄必须在三周岁以上，</w:t>
      </w:r>
      <w:r>
        <w:rPr>
          <w:sz w:val="21"/>
        </w:rPr>
        <w:t>并且提供理赔当时的语言能力丧失诊断及检查证据。</w:t>
      </w:r>
    </w:p>
    <w:p>
      <w:pPr>
        <w:pStyle w:val="Heading2"/>
      </w:pPr>
      <w:r>
        <w:rPr>
          <w:w w:val="95"/>
        </w:rPr>
        <w:t>重型再生障碍性贫血</w:t>
      </w:r>
    </w:p>
    <w:p>
      <w:pPr>
        <w:pStyle w:val="BodyText"/>
        <w:spacing w:line="297" w:lineRule="auto" w:before="64"/>
        <w:ind w:left="261" w:right="160"/>
      </w:pPr>
      <w:r>
        <w:rPr/>
        <w:t>指因骨髓造血功能慢性持续性衰竭导致的贫血、中性粒细胞减少及血小板减少。须满足下列全部条件：</w:t>
      </w:r>
    </w:p>
    <w:p>
      <w:pPr>
        <w:pStyle w:val="ListParagraph"/>
        <w:numPr>
          <w:ilvl w:val="0"/>
          <w:numId w:val="20"/>
        </w:numPr>
        <w:tabs>
          <w:tab w:pos="682" w:val="left" w:leader="none"/>
        </w:tabs>
        <w:spacing w:line="240" w:lineRule="auto" w:before="15" w:after="0"/>
        <w:ind w:left="681" w:right="0" w:hanging="420"/>
        <w:jc w:val="both"/>
        <w:rPr>
          <w:sz w:val="21"/>
        </w:rPr>
      </w:pPr>
      <w:r>
        <w:rPr>
          <w:sz w:val="21"/>
        </w:rPr>
        <w:t>骨髓穿刺检查或骨髓活检结果支持诊断；</w:t>
      </w:r>
    </w:p>
    <w:p>
      <w:pPr>
        <w:pStyle w:val="ListParagraph"/>
        <w:numPr>
          <w:ilvl w:val="0"/>
          <w:numId w:val="20"/>
        </w:numPr>
        <w:tabs>
          <w:tab w:pos="682" w:val="left" w:leader="none"/>
        </w:tabs>
        <w:spacing w:line="240" w:lineRule="auto" w:before="65" w:after="0"/>
        <w:ind w:left="681" w:right="0" w:hanging="420"/>
        <w:jc w:val="both"/>
        <w:rPr>
          <w:sz w:val="21"/>
        </w:rPr>
      </w:pPr>
      <w:r>
        <w:rPr>
          <w:sz w:val="21"/>
        </w:rPr>
        <w:t>外周血象须具备以下三项条件：</w:t>
      </w:r>
    </w:p>
    <w:p>
      <w:pPr>
        <w:pStyle w:val="BodyText"/>
        <w:spacing w:before="66"/>
        <w:ind w:left="576"/>
      </w:pPr>
      <w:r>
        <w:rPr/>
        <w:t>① 中性粒细胞绝对值≤0.5×10</w:t>
      </w:r>
      <w:r>
        <w:rPr>
          <w:position w:val="11"/>
          <w:sz w:val="11"/>
        </w:rPr>
        <w:t>9</w:t>
      </w:r>
      <w:r>
        <w:rPr/>
        <w:t>/L ；</w:t>
      </w:r>
    </w:p>
    <w:p>
      <w:pPr>
        <w:pStyle w:val="BodyText"/>
        <w:spacing w:before="65"/>
        <w:ind w:left="576"/>
      </w:pPr>
      <w:r>
        <w:rPr/>
        <w:t>② 网织红细胞＜1%；</w:t>
      </w:r>
    </w:p>
    <w:p>
      <w:pPr>
        <w:spacing w:line="297" w:lineRule="auto" w:before="65"/>
        <w:ind w:left="261" w:right="5576" w:firstLine="314"/>
        <w:jc w:val="left"/>
        <w:rPr>
          <w:b/>
          <w:sz w:val="21"/>
        </w:rPr>
      </w:pPr>
      <w:r>
        <w:rPr>
          <w:sz w:val="21"/>
        </w:rPr>
        <w:t>③ 血小板绝对值≤20×10</w:t>
      </w:r>
      <w:r>
        <w:rPr>
          <w:position w:val="11"/>
          <w:sz w:val="11"/>
        </w:rPr>
        <w:t>9</w:t>
      </w:r>
      <w:r>
        <w:rPr>
          <w:sz w:val="21"/>
        </w:rPr>
        <w:t>/L。</w:t>
      </w:r>
      <w:r>
        <w:rPr>
          <w:b/>
          <w:w w:val="95"/>
          <w:sz w:val="21"/>
        </w:rPr>
        <w:t>主动脉手术</w:t>
      </w:r>
    </w:p>
    <w:p>
      <w:pPr>
        <w:pStyle w:val="BodyText"/>
        <w:spacing w:line="297" w:lineRule="auto"/>
        <w:ind w:left="261" w:right="117" w:hanging="1"/>
      </w:pPr>
      <w:r>
        <w:rPr>
          <w:spacing w:val="-10"/>
        </w:rPr>
        <w:t>指为治疗主动脉疾病，实际实施了开胸或开腹进行的切除、置换、修补病损主动脉血管的手术。主动脉指胸主动脉和腹主动脉，不包括胸主动脉和腹主动脉的分支血管。</w:t>
      </w:r>
    </w:p>
    <w:p>
      <w:pPr>
        <w:spacing w:after="0" w:line="297" w:lineRule="auto"/>
        <w:sectPr>
          <w:pgSz w:w="11910" w:h="16840"/>
          <w:pgMar w:header="0" w:footer="1008" w:top="1360" w:bottom="1200" w:left="1680" w:right="1180"/>
        </w:sectPr>
      </w:pPr>
    </w:p>
    <w:p>
      <w:pPr>
        <w:pStyle w:val="Heading2"/>
        <w:spacing w:before="6"/>
      </w:pPr>
      <w:r>
        <w:rPr>
          <w:w w:val="95"/>
        </w:rPr>
        <w:t>动脉内血管成形术不在保障范围内。</w:t>
      </w:r>
    </w:p>
    <w:p>
      <w:pPr>
        <w:spacing w:before="65"/>
        <w:ind w:left="261" w:right="0" w:firstLine="0"/>
        <w:jc w:val="left"/>
        <w:rPr>
          <w:b/>
          <w:sz w:val="21"/>
        </w:rPr>
      </w:pPr>
      <w:r>
        <w:rPr>
          <w:b/>
          <w:sz w:val="21"/>
        </w:rPr>
        <w:t>以上 25 种重大疾病为中国保险行业协会制定的《重大疾病保险的疾病定义使用规范》中列明</w:t>
      </w:r>
    </w:p>
    <w:p>
      <w:pPr>
        <w:spacing w:line="297" w:lineRule="auto" w:before="65"/>
        <w:ind w:left="261" w:right="3937" w:firstLine="0"/>
        <w:jc w:val="left"/>
        <w:rPr>
          <w:b/>
          <w:sz w:val="21"/>
        </w:rPr>
      </w:pPr>
      <w:r>
        <w:rPr>
          <w:b/>
          <w:spacing w:val="-8"/>
          <w:sz w:val="21"/>
        </w:rPr>
        <w:t>的疾病，以下 </w:t>
      </w:r>
      <w:r>
        <w:rPr>
          <w:b/>
          <w:sz w:val="21"/>
        </w:rPr>
        <w:t>11</w:t>
      </w:r>
      <w:r>
        <w:rPr>
          <w:b/>
          <w:spacing w:val="-8"/>
          <w:sz w:val="21"/>
        </w:rPr>
        <w:t> 种重大疾病为本公司增加的疾病。</w:t>
      </w:r>
      <w:r>
        <w:rPr>
          <w:b/>
          <w:spacing w:val="-8"/>
          <w:w w:val="95"/>
          <w:sz w:val="21"/>
        </w:rPr>
        <w:t>终末期慢性呼吸功能衰竭</w:t>
      </w:r>
    </w:p>
    <w:p>
      <w:pPr>
        <w:pStyle w:val="BodyText"/>
        <w:ind w:left="261"/>
      </w:pPr>
      <w:r>
        <w:rPr/>
        <w:t>指因慢性呼吸系统疾病导致呼吸功能衰竭。诊断必须满足以下所有条件：</w:t>
      </w:r>
    </w:p>
    <w:p>
      <w:pPr>
        <w:pStyle w:val="ListParagraph"/>
        <w:numPr>
          <w:ilvl w:val="0"/>
          <w:numId w:val="21"/>
        </w:numPr>
        <w:tabs>
          <w:tab w:pos="681" w:val="left" w:leader="none"/>
          <w:tab w:pos="682" w:val="left" w:leader="none"/>
        </w:tabs>
        <w:spacing w:line="240" w:lineRule="auto" w:before="65" w:after="0"/>
        <w:ind w:left="261" w:right="0" w:firstLine="0"/>
        <w:jc w:val="left"/>
        <w:rPr>
          <w:sz w:val="21"/>
        </w:rPr>
      </w:pPr>
      <w:r>
        <w:rPr>
          <w:sz w:val="21"/>
        </w:rPr>
        <w:t>第一秒末用力呼气量（FEV1）</w:t>
      </w:r>
      <w:r>
        <w:rPr>
          <w:spacing w:val="-18"/>
          <w:sz w:val="21"/>
        </w:rPr>
        <w:t>小于 </w:t>
      </w:r>
      <w:r>
        <w:rPr>
          <w:sz w:val="21"/>
        </w:rPr>
        <w:t>1</w:t>
      </w:r>
      <w:r>
        <w:rPr>
          <w:spacing w:val="-18"/>
          <w:sz w:val="21"/>
        </w:rPr>
        <w:t> 升；</w:t>
      </w:r>
    </w:p>
    <w:p>
      <w:pPr>
        <w:pStyle w:val="ListParagraph"/>
        <w:numPr>
          <w:ilvl w:val="0"/>
          <w:numId w:val="21"/>
        </w:numPr>
        <w:tabs>
          <w:tab w:pos="681" w:val="left" w:leader="none"/>
          <w:tab w:pos="682" w:val="left" w:leader="none"/>
        </w:tabs>
        <w:spacing w:line="240" w:lineRule="auto" w:before="64" w:after="0"/>
        <w:ind w:left="261" w:right="0" w:firstLine="0"/>
        <w:jc w:val="left"/>
        <w:rPr>
          <w:sz w:val="21"/>
        </w:rPr>
      </w:pPr>
      <w:r>
        <w:rPr>
          <w:spacing w:val="-5"/>
          <w:sz w:val="21"/>
        </w:rPr>
        <w:t>气道内阻力增加，至少达到 </w:t>
      </w:r>
      <w:r>
        <w:rPr>
          <w:sz w:val="21"/>
        </w:rPr>
        <w:t>0.5 kPa/l/s；</w:t>
      </w:r>
    </w:p>
    <w:p>
      <w:pPr>
        <w:pStyle w:val="ListParagraph"/>
        <w:numPr>
          <w:ilvl w:val="0"/>
          <w:numId w:val="21"/>
        </w:numPr>
        <w:tabs>
          <w:tab w:pos="681" w:val="left" w:leader="none"/>
          <w:tab w:pos="682" w:val="left" w:leader="none"/>
        </w:tabs>
        <w:spacing w:line="240" w:lineRule="auto" w:before="66" w:after="0"/>
        <w:ind w:left="261" w:right="0" w:firstLine="0"/>
        <w:jc w:val="left"/>
        <w:rPr>
          <w:sz w:val="21"/>
        </w:rPr>
      </w:pPr>
      <w:r>
        <w:rPr>
          <w:sz w:val="21"/>
        </w:rPr>
        <w:t>残气容积占肺总量(TLC)</w:t>
      </w:r>
      <w:r>
        <w:rPr>
          <w:spacing w:val="-36"/>
          <w:sz w:val="21"/>
        </w:rPr>
        <w:t>的 </w:t>
      </w:r>
      <w:r>
        <w:rPr>
          <w:sz w:val="21"/>
        </w:rPr>
        <w:t>60%以上；</w:t>
      </w:r>
    </w:p>
    <w:p>
      <w:pPr>
        <w:pStyle w:val="ListParagraph"/>
        <w:numPr>
          <w:ilvl w:val="0"/>
          <w:numId w:val="21"/>
        </w:numPr>
        <w:tabs>
          <w:tab w:pos="681" w:val="left" w:leader="none"/>
          <w:tab w:pos="682" w:val="left" w:leader="none"/>
        </w:tabs>
        <w:spacing w:line="240" w:lineRule="auto" w:before="66" w:after="0"/>
        <w:ind w:left="261" w:right="0" w:firstLine="0"/>
        <w:jc w:val="left"/>
        <w:rPr>
          <w:sz w:val="21"/>
        </w:rPr>
      </w:pPr>
      <w:r>
        <w:rPr>
          <w:spacing w:val="-5"/>
          <w:sz w:val="21"/>
        </w:rPr>
        <w:t>胸内气体容积升高，超过 </w:t>
      </w:r>
      <w:r>
        <w:rPr>
          <w:sz w:val="21"/>
        </w:rPr>
        <w:t>170</w:t>
      </w:r>
      <w:r>
        <w:rPr>
          <w:spacing w:val="-1"/>
          <w:sz w:val="21"/>
        </w:rPr>
        <w:t> (基值的百分比)；</w:t>
      </w:r>
    </w:p>
    <w:p>
      <w:pPr>
        <w:pStyle w:val="ListParagraph"/>
        <w:numPr>
          <w:ilvl w:val="0"/>
          <w:numId w:val="21"/>
        </w:numPr>
        <w:tabs>
          <w:tab w:pos="681" w:val="left" w:leader="none"/>
          <w:tab w:pos="682" w:val="left" w:leader="none"/>
        </w:tabs>
        <w:spacing w:line="297" w:lineRule="auto" w:before="65" w:after="0"/>
        <w:ind w:left="261" w:right="5524" w:firstLine="0"/>
        <w:jc w:val="left"/>
        <w:rPr>
          <w:b/>
          <w:sz w:val="21"/>
        </w:rPr>
      </w:pPr>
      <w:r>
        <w:rPr>
          <w:position w:val="1"/>
          <w:sz w:val="21"/>
        </w:rPr>
        <w:t>PaO</w:t>
      </w:r>
      <w:r>
        <w:rPr>
          <w:sz w:val="11"/>
        </w:rPr>
        <w:t>2</w:t>
      </w:r>
      <w:r>
        <w:rPr>
          <w:position w:val="1"/>
          <w:sz w:val="21"/>
        </w:rPr>
        <w:t>&lt;60mmHg，PaCO</w:t>
      </w:r>
      <w:r>
        <w:rPr>
          <w:sz w:val="11"/>
        </w:rPr>
        <w:t>2</w:t>
      </w:r>
      <w:r>
        <w:rPr>
          <w:position w:val="1"/>
          <w:sz w:val="21"/>
        </w:rPr>
        <w:t>&gt;50mmHg。</w:t>
      </w:r>
      <w:r>
        <w:rPr>
          <w:b/>
          <w:w w:val="95"/>
          <w:sz w:val="21"/>
        </w:rPr>
        <w:t>系统性红斑狼疮性肾炎</w:t>
      </w:r>
    </w:p>
    <w:p>
      <w:pPr>
        <w:pStyle w:val="BodyText"/>
        <w:spacing w:line="297" w:lineRule="auto"/>
        <w:ind w:left="261" w:right="60"/>
      </w:pPr>
      <w:r>
        <w:rPr/>
        <w:t>系统性红斑狼疮是一种由多种因素引起，累及多系统的自身免疫性疾病，其特点是体内有大量自身抗体和免疫复合物，造成组织损伤。</w:t>
      </w:r>
    </w:p>
    <w:p>
      <w:pPr>
        <w:pStyle w:val="BodyText"/>
        <w:spacing w:before="14"/>
        <w:ind w:left="261"/>
      </w:pPr>
      <w:r>
        <w:rPr/>
        <w:t>系统性红斑狼疮性肾炎是由于系统性红斑狼疮累及肾脏所导致的一种并发症，本险种仅对符合</w:t>
      </w:r>
    </w:p>
    <w:p>
      <w:pPr>
        <w:spacing w:line="297" w:lineRule="auto" w:before="65"/>
        <w:ind w:left="261" w:right="115" w:firstLine="0"/>
        <w:jc w:val="left"/>
        <w:rPr>
          <w:b/>
          <w:sz w:val="21"/>
        </w:rPr>
      </w:pPr>
      <w:r>
        <w:rPr>
          <w:sz w:val="21"/>
        </w:rPr>
        <w:t>WHO</w:t>
      </w:r>
      <w:r>
        <w:rPr>
          <w:spacing w:val="-15"/>
          <w:sz w:val="21"/>
        </w:rPr>
        <w:t> 诊断标准定义 </w:t>
      </w:r>
      <w:r>
        <w:rPr>
          <w:sz w:val="21"/>
        </w:rPr>
        <w:t>III</w:t>
      </w:r>
      <w:r>
        <w:rPr>
          <w:spacing w:val="-28"/>
          <w:sz w:val="21"/>
        </w:rPr>
        <w:t> 型至 </w:t>
      </w:r>
      <w:r>
        <w:rPr>
          <w:sz w:val="21"/>
        </w:rPr>
        <w:t>V</w:t>
      </w:r>
      <w:r>
        <w:rPr>
          <w:spacing w:val="-8"/>
          <w:sz w:val="21"/>
        </w:rPr>
        <w:t> 型的系统性红斑狼疮性肾炎予以理赔。</w:t>
      </w:r>
      <w:r>
        <w:rPr>
          <w:b/>
          <w:sz w:val="21"/>
        </w:rPr>
        <w:t>其他类型的红斑性狼疮， </w:t>
      </w:r>
      <w:r>
        <w:rPr>
          <w:b/>
          <w:w w:val="95"/>
          <w:sz w:val="21"/>
        </w:rPr>
        <w:t>如盘状狼疮、仅累及血液及关节的狼疮不在本险种保障范围內。</w:t>
      </w:r>
    </w:p>
    <w:p>
      <w:pPr>
        <w:pStyle w:val="BodyText"/>
        <w:spacing w:before="13"/>
        <w:ind w:left="261"/>
      </w:pPr>
      <w:r>
        <w:rPr>
          <w:u w:val="single"/>
        </w:rPr>
        <w:t>世界卫生组织（WHO）系统性红斑狼疮性肾炎分型：</w:t>
      </w:r>
    </w:p>
    <w:p>
      <w:pPr>
        <w:pStyle w:val="BodyText"/>
        <w:spacing w:before="9"/>
        <w:ind w:left="0"/>
        <w:rPr>
          <w:sz w:val="7"/>
        </w:rPr>
      </w:pPr>
    </w:p>
    <w:tbl>
      <w:tblPr>
        <w:tblW w:w="0" w:type="auto"/>
        <w:jc w:val="left"/>
        <w:tblInd w:w="10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74"/>
        <w:gridCol w:w="4484"/>
      </w:tblGrid>
      <w:tr>
        <w:trPr>
          <w:trHeight w:val="340" w:hRule="atLeast"/>
        </w:trPr>
        <w:tc>
          <w:tcPr>
            <w:tcW w:w="2574" w:type="dxa"/>
          </w:tcPr>
          <w:p>
            <w:pPr>
              <w:pStyle w:val="TableParagraph"/>
              <w:ind w:left="-1"/>
              <w:rPr>
                <w:sz w:val="21"/>
              </w:rPr>
            </w:pPr>
            <w:r>
              <w:rPr>
                <w:sz w:val="21"/>
              </w:rPr>
              <w:t>I 型（微小病变型）</w:t>
            </w:r>
          </w:p>
        </w:tc>
        <w:tc>
          <w:tcPr>
            <w:tcW w:w="4484" w:type="dxa"/>
          </w:tcPr>
          <w:p>
            <w:pPr>
              <w:pStyle w:val="TableParagraph"/>
              <w:rPr>
                <w:sz w:val="21"/>
              </w:rPr>
            </w:pPr>
            <w:r>
              <w:rPr>
                <w:sz w:val="21"/>
              </w:rPr>
              <w:t>镜下阴性，尿液正常</w:t>
            </w:r>
          </w:p>
        </w:tc>
      </w:tr>
      <w:tr>
        <w:trPr>
          <w:trHeight w:val="340" w:hRule="atLeast"/>
        </w:trPr>
        <w:tc>
          <w:tcPr>
            <w:tcW w:w="2574" w:type="dxa"/>
          </w:tcPr>
          <w:p>
            <w:pPr>
              <w:pStyle w:val="TableParagraph"/>
              <w:ind w:left="-1"/>
              <w:rPr>
                <w:sz w:val="21"/>
              </w:rPr>
            </w:pPr>
            <w:r>
              <w:rPr>
                <w:sz w:val="21"/>
              </w:rPr>
              <w:t>II 型（系膜病变型）</w:t>
            </w:r>
          </w:p>
        </w:tc>
        <w:tc>
          <w:tcPr>
            <w:tcW w:w="4484" w:type="dxa"/>
          </w:tcPr>
          <w:p>
            <w:pPr>
              <w:pStyle w:val="TableParagraph"/>
              <w:rPr>
                <w:sz w:val="21"/>
              </w:rPr>
            </w:pPr>
            <w:r>
              <w:rPr>
                <w:sz w:val="21"/>
              </w:rPr>
              <w:t>中度蛋白尿，偶有尿沉渣改变</w:t>
            </w:r>
          </w:p>
        </w:tc>
      </w:tr>
      <w:tr>
        <w:trPr>
          <w:trHeight w:val="340" w:hRule="atLeast"/>
        </w:trPr>
        <w:tc>
          <w:tcPr>
            <w:tcW w:w="2574" w:type="dxa"/>
          </w:tcPr>
          <w:p>
            <w:pPr>
              <w:pStyle w:val="TableParagraph"/>
              <w:ind w:left="-1" w:right="-15"/>
              <w:rPr>
                <w:sz w:val="21"/>
              </w:rPr>
            </w:pPr>
            <w:r>
              <w:rPr>
                <w:sz w:val="21"/>
              </w:rPr>
              <w:t>III</w:t>
            </w:r>
            <w:r>
              <w:rPr>
                <w:spacing w:val="-81"/>
                <w:sz w:val="21"/>
              </w:rPr>
              <w:t> 型</w:t>
            </w:r>
            <w:r>
              <w:rPr>
                <w:sz w:val="21"/>
              </w:rPr>
              <w:t>（局灶及节段增生型）</w:t>
            </w:r>
          </w:p>
        </w:tc>
        <w:tc>
          <w:tcPr>
            <w:tcW w:w="4484" w:type="dxa"/>
          </w:tcPr>
          <w:p>
            <w:pPr>
              <w:pStyle w:val="TableParagraph"/>
              <w:rPr>
                <w:sz w:val="21"/>
              </w:rPr>
            </w:pPr>
            <w:r>
              <w:rPr>
                <w:sz w:val="21"/>
              </w:rPr>
              <w:t>蛋白尿，尿沉渣改变</w:t>
            </w:r>
          </w:p>
        </w:tc>
      </w:tr>
      <w:tr>
        <w:trPr>
          <w:trHeight w:val="340" w:hRule="atLeast"/>
        </w:trPr>
        <w:tc>
          <w:tcPr>
            <w:tcW w:w="2574" w:type="dxa"/>
          </w:tcPr>
          <w:p>
            <w:pPr>
              <w:pStyle w:val="TableParagraph"/>
              <w:ind w:left="-1"/>
              <w:rPr>
                <w:sz w:val="21"/>
              </w:rPr>
            </w:pPr>
            <w:r>
              <w:rPr>
                <w:sz w:val="21"/>
              </w:rPr>
              <w:t>IV 型（弥漫增生型）</w:t>
            </w:r>
          </w:p>
        </w:tc>
        <w:tc>
          <w:tcPr>
            <w:tcW w:w="4484" w:type="dxa"/>
          </w:tcPr>
          <w:p>
            <w:pPr>
              <w:pStyle w:val="TableParagraph"/>
              <w:rPr>
                <w:sz w:val="21"/>
              </w:rPr>
            </w:pPr>
            <w:r>
              <w:rPr>
                <w:sz w:val="21"/>
              </w:rPr>
              <w:t>急性肾炎伴有尿沉渣改变及／或肾病综合征</w:t>
            </w:r>
          </w:p>
        </w:tc>
      </w:tr>
      <w:tr>
        <w:trPr>
          <w:trHeight w:val="341" w:hRule="atLeast"/>
        </w:trPr>
        <w:tc>
          <w:tcPr>
            <w:tcW w:w="2574" w:type="dxa"/>
          </w:tcPr>
          <w:p>
            <w:pPr>
              <w:pStyle w:val="TableParagraph"/>
              <w:ind w:left="-1"/>
              <w:rPr>
                <w:sz w:val="21"/>
              </w:rPr>
            </w:pPr>
            <w:r>
              <w:rPr>
                <w:sz w:val="21"/>
              </w:rPr>
              <w:t>V 型（膜型）</w:t>
            </w:r>
          </w:p>
        </w:tc>
        <w:tc>
          <w:tcPr>
            <w:tcW w:w="4484" w:type="dxa"/>
          </w:tcPr>
          <w:p>
            <w:pPr>
              <w:pStyle w:val="TableParagraph"/>
              <w:rPr>
                <w:sz w:val="21"/>
              </w:rPr>
            </w:pPr>
            <w:r>
              <w:rPr>
                <w:sz w:val="21"/>
              </w:rPr>
              <w:t>肾病综合征或重度蛋白尿</w:t>
            </w:r>
          </w:p>
        </w:tc>
      </w:tr>
    </w:tbl>
    <w:p>
      <w:pPr>
        <w:pStyle w:val="BodyText"/>
        <w:spacing w:line="297" w:lineRule="auto" w:before="0"/>
        <w:ind w:left="261" w:right="123"/>
        <w:jc w:val="both"/>
      </w:pPr>
      <w:r>
        <w:rPr>
          <w:b/>
          <w:spacing w:val="-1"/>
        </w:rPr>
        <w:t>严重多发性硬化症 </w:t>
      </w:r>
      <w:r>
        <w:rPr/>
        <w:t>指以中枢神经系统白质多灶性脱髓鞘病变为特征的一种疾病，病变有时累</w:t>
      </w:r>
      <w:r>
        <w:rPr>
          <w:spacing w:val="-6"/>
        </w:rPr>
        <w:t>及灰质。本险种仅对多发性硬化症造成神经系统功能损害，导致被保险人自主生活能力完全丧失，无法独立完成六项基本日常生活活动中的三项或三项以上的情况予以理赔。</w:t>
      </w:r>
    </w:p>
    <w:p>
      <w:pPr>
        <w:pStyle w:val="BodyText"/>
        <w:spacing w:line="297" w:lineRule="auto"/>
        <w:ind w:left="261" w:right="123"/>
        <w:jc w:val="both"/>
      </w:pPr>
      <w:r>
        <w:rPr>
          <w:b/>
          <w:spacing w:val="-1"/>
        </w:rPr>
        <w:t>严重肌营养不良症 </w:t>
      </w:r>
      <w:r>
        <w:rPr/>
        <w:t>指一组肌肉变性病变，临床特征为与神经系统病变无关的肌肉无力和肌肉</w:t>
      </w:r>
      <w:r>
        <w:rPr>
          <w:spacing w:val="-6"/>
        </w:rPr>
        <w:t>萎缩。本险种仅对肌营养不良症导致被保险人自主生活能力完全丧失，无法独立完成六项基本日常生活活动中的三项或三项以上的情况予以理赔。</w:t>
      </w:r>
    </w:p>
    <w:p>
      <w:pPr>
        <w:spacing w:line="297" w:lineRule="auto" w:before="13"/>
        <w:ind w:left="261" w:right="66" w:firstLine="0"/>
        <w:jc w:val="left"/>
        <w:rPr>
          <w:b/>
          <w:sz w:val="21"/>
        </w:rPr>
      </w:pPr>
      <w:r>
        <w:rPr>
          <w:b/>
          <w:sz w:val="21"/>
        </w:rPr>
        <w:t>急性出血坏死性胰腺炎 </w:t>
      </w:r>
      <w:r>
        <w:rPr>
          <w:sz w:val="21"/>
        </w:rPr>
        <w:t>指被保险人因为急性出血坏死性胰腺炎已经接受了外科开腹手术治疗，以进行坏死组织清除、坏死病灶切除或胰腺切除。</w:t>
      </w:r>
      <w:r>
        <w:rPr>
          <w:b/>
          <w:sz w:val="21"/>
        </w:rPr>
        <w:t>因饮酒过量所致的急性出血坏死性胰腺</w:t>
      </w:r>
      <w:r>
        <w:rPr>
          <w:b/>
          <w:w w:val="95"/>
          <w:sz w:val="21"/>
        </w:rPr>
        <w:t>炎或经腹腔镜手术进行的治疗不在本险种保障范围内。</w:t>
      </w:r>
    </w:p>
    <w:p>
      <w:pPr>
        <w:pStyle w:val="BodyText"/>
        <w:spacing w:line="297" w:lineRule="auto" w:before="13"/>
        <w:ind w:left="261" w:right="172"/>
      </w:pPr>
      <w:r>
        <w:rPr>
          <w:b/>
        </w:rPr>
        <w:t>克隆病 </w:t>
      </w:r>
      <w:r>
        <w:rPr/>
        <w:t>指一种慢性肉芽肿性肠炎。被保险人所患的克隆病必须已经造成瘘管形成并伴有肠梗阻或引起急性腹膜炎的肠穿孔，诊断必须有结肠镜检查和组织病理学证据支持。</w:t>
      </w:r>
    </w:p>
    <w:p>
      <w:pPr>
        <w:pStyle w:val="Heading2"/>
      </w:pPr>
      <w:r>
        <w:rPr>
          <w:w w:val="95"/>
        </w:rPr>
        <w:t>严重脊髓灰质炎</w:t>
      </w:r>
    </w:p>
    <w:p>
      <w:pPr>
        <w:pStyle w:val="BodyText"/>
        <w:spacing w:line="297" w:lineRule="auto" w:before="64"/>
        <w:ind w:left="261" w:right="60"/>
      </w:pPr>
      <w:r>
        <w:rPr/>
        <w:t>指由脊髓灰质炎病毒感染所导致的运动功能障碍或呼吸功能减弱持续三个月以上，须导致一肢或一肢以上肢体机能永久完全丧失。</w:t>
      </w:r>
    </w:p>
    <w:p>
      <w:pPr>
        <w:pStyle w:val="BodyText"/>
        <w:spacing w:line="297" w:lineRule="auto"/>
        <w:ind w:left="261" w:right="123"/>
      </w:pPr>
      <w:r>
        <w:rPr>
          <w:spacing w:val="-7"/>
        </w:rPr>
        <w:t>肢体机能永久完全丧失，指疾病确诊 </w:t>
      </w:r>
      <w:r>
        <w:rPr/>
        <w:t>180</w:t>
      </w:r>
      <w:r>
        <w:rPr>
          <w:spacing w:val="-8"/>
        </w:rPr>
        <w:t> 天后，每肢三大关节中的两大关节仍然完全僵硬，或不能随意识活动。</w:t>
      </w:r>
    </w:p>
    <w:p>
      <w:pPr>
        <w:pStyle w:val="Heading2"/>
      </w:pPr>
      <w:r>
        <w:rPr>
          <w:w w:val="95"/>
        </w:rPr>
        <w:t>因输血感染艾滋病病毒</w:t>
      </w:r>
    </w:p>
    <w:p>
      <w:pPr>
        <w:spacing w:after="0"/>
        <w:sectPr>
          <w:pgSz w:w="11910" w:h="16840"/>
          <w:pgMar w:header="0" w:footer="1008" w:top="1360" w:bottom="1200" w:left="1680" w:right="1280"/>
        </w:sectPr>
      </w:pPr>
    </w:p>
    <w:p>
      <w:pPr>
        <w:pStyle w:val="BodyText"/>
        <w:spacing w:before="6"/>
        <w:ind w:left="641"/>
      </w:pPr>
      <w:r>
        <w:rPr/>
        <w:t>被保险人感染艾滋病病毒（HIV</w:t>
      </w:r>
      <w:r>
        <w:rPr>
          <w:spacing w:val="-105"/>
        </w:rPr>
        <w:t>）</w:t>
      </w:r>
      <w:r>
        <w:rPr>
          <w:spacing w:val="-1"/>
        </w:rPr>
        <w:t>，且须满足下列全部条件：</w:t>
      </w:r>
    </w:p>
    <w:p>
      <w:pPr>
        <w:pStyle w:val="ListParagraph"/>
        <w:numPr>
          <w:ilvl w:val="1"/>
          <w:numId w:val="21"/>
        </w:numPr>
        <w:tabs>
          <w:tab w:pos="1061" w:val="left" w:leader="none"/>
          <w:tab w:pos="1062" w:val="left" w:leader="none"/>
        </w:tabs>
        <w:spacing w:line="240" w:lineRule="auto" w:before="65" w:after="0"/>
        <w:ind w:left="1061" w:right="0" w:hanging="420"/>
        <w:jc w:val="left"/>
        <w:rPr>
          <w:sz w:val="21"/>
        </w:rPr>
      </w:pPr>
      <w:r>
        <w:rPr>
          <w:sz w:val="21"/>
        </w:rPr>
        <w:t>因输血而感染；</w:t>
      </w:r>
    </w:p>
    <w:p>
      <w:pPr>
        <w:pStyle w:val="ListParagraph"/>
        <w:numPr>
          <w:ilvl w:val="1"/>
          <w:numId w:val="21"/>
        </w:numPr>
        <w:tabs>
          <w:tab w:pos="1061" w:val="left" w:leader="none"/>
          <w:tab w:pos="1062" w:val="left" w:leader="none"/>
        </w:tabs>
        <w:spacing w:line="297" w:lineRule="auto" w:before="65" w:after="0"/>
        <w:ind w:left="1061" w:right="222" w:hanging="420"/>
        <w:jc w:val="left"/>
        <w:rPr>
          <w:sz w:val="21"/>
        </w:rPr>
      </w:pPr>
      <w:r>
        <w:rPr>
          <w:spacing w:val="-2"/>
          <w:sz w:val="21"/>
        </w:rPr>
        <w:t>提供输血治疗的输血中心或医院出具该项输血感染属医疗责任事故的报告，或者法院终审判决或裁定为医疗责任；</w:t>
      </w:r>
    </w:p>
    <w:p>
      <w:pPr>
        <w:pStyle w:val="ListParagraph"/>
        <w:numPr>
          <w:ilvl w:val="1"/>
          <w:numId w:val="21"/>
        </w:numPr>
        <w:tabs>
          <w:tab w:pos="1061" w:val="left" w:leader="none"/>
          <w:tab w:pos="1062" w:val="left" w:leader="none"/>
        </w:tabs>
        <w:spacing w:line="240" w:lineRule="auto" w:before="15" w:after="0"/>
        <w:ind w:left="1061" w:right="0" w:hanging="420"/>
        <w:jc w:val="left"/>
        <w:rPr>
          <w:sz w:val="21"/>
        </w:rPr>
      </w:pPr>
      <w:r>
        <w:rPr>
          <w:sz w:val="21"/>
        </w:rPr>
        <w:t>受感染的被保险人不是血友病患者。</w:t>
      </w:r>
    </w:p>
    <w:p>
      <w:pPr>
        <w:spacing w:line="297" w:lineRule="auto" w:before="65"/>
        <w:ind w:left="641" w:right="222" w:firstLine="0"/>
        <w:jc w:val="both"/>
        <w:rPr>
          <w:sz w:val="21"/>
        </w:rPr>
      </w:pPr>
      <w:r>
        <w:rPr>
          <w:b/>
          <w:sz w:val="21"/>
        </w:rPr>
        <w:t>任何因其他传播方式（包括：性传播或静脉注射毒品）导致艾滋病病毒（HIV）感染不在保障</w:t>
      </w:r>
      <w:r>
        <w:rPr>
          <w:b/>
          <w:spacing w:val="-14"/>
          <w:sz w:val="21"/>
        </w:rPr>
        <w:t>范围内。</w:t>
      </w:r>
      <w:r>
        <w:rPr>
          <w:sz w:val="21"/>
        </w:rPr>
        <w:t>本公司具有获得和使用被保险人的所有血液样本的权利以及能够对这些样本进行独立检验的权利。</w:t>
      </w:r>
    </w:p>
    <w:p>
      <w:pPr>
        <w:pStyle w:val="BodyText"/>
        <w:spacing w:line="297" w:lineRule="auto"/>
        <w:ind w:left="641" w:right="271"/>
        <w:jc w:val="both"/>
      </w:pPr>
      <w:r>
        <w:rPr>
          <w:b/>
          <w:spacing w:val="-1"/>
        </w:rPr>
        <w:t>植物人状态 </w:t>
      </w:r>
      <w:r>
        <w:rPr/>
        <w:t>是指被保险人已丧失大脑皮层功能，对外界刺激或体内需求皆无反应，人呈无意</w:t>
      </w:r>
      <w:r>
        <w:rPr>
          <w:spacing w:val="-3"/>
        </w:rPr>
        <w:t>识状态，但脑干功能仍然保留，并持续依赖外界生命支持系统至少 </w:t>
      </w:r>
      <w:r>
        <w:rPr/>
        <w:t>30</w:t>
      </w:r>
      <w:r>
        <w:rPr>
          <w:spacing w:val="-9"/>
        </w:rPr>
        <w:t> 天以上，该病须由神经科专科医生确诊并证明有永久性神经系统损害。</w:t>
      </w:r>
    </w:p>
    <w:p>
      <w:pPr>
        <w:pStyle w:val="Heading2"/>
        <w:ind w:left="641"/>
      </w:pPr>
      <w:r>
        <w:rPr>
          <w:w w:val="95"/>
        </w:rPr>
        <w:t>因职业关系导致的感染艾滋病病毒</w:t>
      </w:r>
    </w:p>
    <w:p>
      <w:pPr>
        <w:pStyle w:val="BodyText"/>
        <w:spacing w:line="297" w:lineRule="auto" w:before="65"/>
        <w:ind w:left="641" w:right="160"/>
      </w:pPr>
      <w:r>
        <w:rPr/>
        <w:t>指被保险人在其常规职业工作过程中遭遇外伤，或者职业需要处理血液或者其他体液时感染上艾滋病病毒。</w:t>
      </w:r>
    </w:p>
    <w:p>
      <w:pPr>
        <w:pStyle w:val="Heading2"/>
        <w:ind w:left="641"/>
      </w:pPr>
      <w:r>
        <w:rPr>
          <w:w w:val="95"/>
        </w:rPr>
        <w:t>必须满足下列全部条件：</w:t>
      </w:r>
    </w:p>
    <w:p>
      <w:pPr>
        <w:pStyle w:val="ListParagraph"/>
        <w:numPr>
          <w:ilvl w:val="0"/>
          <w:numId w:val="22"/>
        </w:numPr>
        <w:tabs>
          <w:tab w:pos="1061" w:val="left" w:leader="none"/>
          <w:tab w:pos="1062" w:val="left" w:leader="none"/>
        </w:tabs>
        <w:spacing w:line="240" w:lineRule="auto" w:before="65" w:after="0"/>
        <w:ind w:left="1061" w:right="0" w:hanging="420"/>
        <w:jc w:val="left"/>
        <w:rPr>
          <w:sz w:val="21"/>
        </w:rPr>
      </w:pPr>
      <w:r>
        <w:rPr>
          <w:sz w:val="21"/>
        </w:rPr>
        <w:t>感染必须是在被保险人正在从事其职业工作中发生，该职业必须属于以下列表内的职业；</w:t>
      </w:r>
    </w:p>
    <w:p>
      <w:pPr>
        <w:pStyle w:val="BodyText"/>
        <w:spacing w:before="12"/>
        <w:ind w:left="0"/>
        <w:rPr>
          <w:sz w:val="9"/>
        </w:rPr>
      </w:pPr>
    </w:p>
    <w:tbl>
      <w:tblPr>
        <w:tblW w:w="0" w:type="auto"/>
        <w:jc w:val="left"/>
        <w:tblInd w:w="13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93"/>
        <w:gridCol w:w="2520"/>
        <w:gridCol w:w="2146"/>
      </w:tblGrid>
      <w:tr>
        <w:trPr>
          <w:trHeight w:val="340" w:hRule="atLeast"/>
        </w:trPr>
        <w:tc>
          <w:tcPr>
            <w:tcW w:w="2393" w:type="dxa"/>
          </w:tcPr>
          <w:p>
            <w:pPr>
              <w:pStyle w:val="TableParagraph"/>
              <w:ind w:left="88"/>
              <w:rPr>
                <w:sz w:val="21"/>
              </w:rPr>
            </w:pPr>
            <w:r>
              <w:rPr>
                <w:sz w:val="21"/>
              </w:rPr>
              <w:t>医生和牙科医生</w:t>
            </w:r>
          </w:p>
        </w:tc>
        <w:tc>
          <w:tcPr>
            <w:tcW w:w="2520" w:type="dxa"/>
          </w:tcPr>
          <w:p>
            <w:pPr>
              <w:pStyle w:val="TableParagraph"/>
              <w:rPr>
                <w:sz w:val="21"/>
              </w:rPr>
            </w:pPr>
            <w:r>
              <w:rPr>
                <w:sz w:val="21"/>
              </w:rPr>
              <w:t>护士</w:t>
            </w:r>
          </w:p>
        </w:tc>
        <w:tc>
          <w:tcPr>
            <w:tcW w:w="2146" w:type="dxa"/>
          </w:tcPr>
          <w:p>
            <w:pPr>
              <w:pStyle w:val="TableParagraph"/>
              <w:rPr>
                <w:sz w:val="21"/>
              </w:rPr>
            </w:pPr>
            <w:r>
              <w:rPr>
                <w:sz w:val="21"/>
              </w:rPr>
              <w:t>医院化验室工作人员</w:t>
            </w:r>
          </w:p>
        </w:tc>
      </w:tr>
      <w:tr>
        <w:trPr>
          <w:trHeight w:val="340" w:hRule="atLeast"/>
        </w:trPr>
        <w:tc>
          <w:tcPr>
            <w:tcW w:w="2393" w:type="dxa"/>
          </w:tcPr>
          <w:p>
            <w:pPr>
              <w:pStyle w:val="TableParagraph"/>
              <w:ind w:left="88"/>
              <w:rPr>
                <w:sz w:val="21"/>
              </w:rPr>
            </w:pPr>
            <w:r>
              <w:rPr>
                <w:sz w:val="21"/>
              </w:rPr>
              <w:t>医院护工</w:t>
            </w:r>
          </w:p>
        </w:tc>
        <w:tc>
          <w:tcPr>
            <w:tcW w:w="2520" w:type="dxa"/>
          </w:tcPr>
          <w:p>
            <w:pPr>
              <w:pStyle w:val="TableParagraph"/>
              <w:rPr>
                <w:sz w:val="21"/>
              </w:rPr>
            </w:pPr>
            <w:r>
              <w:rPr>
                <w:sz w:val="21"/>
              </w:rPr>
              <w:t>医生助理和牙医助理</w:t>
            </w:r>
          </w:p>
        </w:tc>
        <w:tc>
          <w:tcPr>
            <w:tcW w:w="2146" w:type="dxa"/>
          </w:tcPr>
          <w:p>
            <w:pPr>
              <w:pStyle w:val="TableParagraph"/>
              <w:rPr>
                <w:sz w:val="21"/>
              </w:rPr>
            </w:pPr>
            <w:r>
              <w:rPr>
                <w:sz w:val="21"/>
              </w:rPr>
              <w:t>救护车工作人员</w:t>
            </w:r>
          </w:p>
        </w:tc>
      </w:tr>
      <w:tr>
        <w:trPr>
          <w:trHeight w:val="340" w:hRule="atLeast"/>
        </w:trPr>
        <w:tc>
          <w:tcPr>
            <w:tcW w:w="2393" w:type="dxa"/>
          </w:tcPr>
          <w:p>
            <w:pPr>
              <w:pStyle w:val="TableParagraph"/>
              <w:ind w:left="88"/>
              <w:rPr>
                <w:sz w:val="21"/>
              </w:rPr>
            </w:pPr>
            <w:r>
              <w:rPr>
                <w:sz w:val="21"/>
              </w:rPr>
              <w:t>助产士</w:t>
            </w:r>
          </w:p>
        </w:tc>
        <w:tc>
          <w:tcPr>
            <w:tcW w:w="2520" w:type="dxa"/>
          </w:tcPr>
          <w:p>
            <w:pPr>
              <w:pStyle w:val="TableParagraph"/>
              <w:rPr>
                <w:sz w:val="21"/>
              </w:rPr>
            </w:pPr>
            <w:r>
              <w:rPr>
                <w:sz w:val="21"/>
              </w:rPr>
              <w:t>消防队员</w:t>
            </w:r>
          </w:p>
        </w:tc>
        <w:tc>
          <w:tcPr>
            <w:tcW w:w="2146" w:type="dxa"/>
          </w:tcPr>
          <w:p>
            <w:pPr>
              <w:pStyle w:val="TableParagraph"/>
              <w:rPr>
                <w:sz w:val="21"/>
              </w:rPr>
            </w:pPr>
            <w:r>
              <w:rPr>
                <w:sz w:val="21"/>
              </w:rPr>
              <w:t>警察和狱警</w:t>
            </w:r>
          </w:p>
        </w:tc>
      </w:tr>
    </w:tbl>
    <w:p>
      <w:pPr>
        <w:pStyle w:val="ListParagraph"/>
        <w:numPr>
          <w:ilvl w:val="0"/>
          <w:numId w:val="22"/>
        </w:numPr>
        <w:tabs>
          <w:tab w:pos="1061" w:val="left" w:leader="none"/>
          <w:tab w:pos="1062" w:val="left" w:leader="none"/>
        </w:tabs>
        <w:spacing w:line="240" w:lineRule="auto" w:before="99" w:after="0"/>
        <w:ind w:left="1061" w:right="0" w:hanging="420"/>
        <w:jc w:val="left"/>
        <w:rPr>
          <w:sz w:val="21"/>
        </w:rPr>
      </w:pPr>
      <w:r>
        <w:rPr>
          <w:spacing w:val="-4"/>
          <w:sz w:val="21"/>
        </w:rPr>
        <w:t>血清转化必须出现在事故发生后的 </w:t>
      </w:r>
      <w:r>
        <w:rPr>
          <w:sz w:val="21"/>
        </w:rPr>
        <w:t>6</w:t>
      </w:r>
      <w:r>
        <w:rPr>
          <w:spacing w:val="-10"/>
          <w:sz w:val="21"/>
        </w:rPr>
        <w:t> 个月以内；</w:t>
      </w:r>
    </w:p>
    <w:p>
      <w:pPr>
        <w:pStyle w:val="ListParagraph"/>
        <w:numPr>
          <w:ilvl w:val="0"/>
          <w:numId w:val="22"/>
        </w:numPr>
        <w:tabs>
          <w:tab w:pos="1061" w:val="left" w:leader="none"/>
          <w:tab w:pos="1062" w:val="left" w:leader="none"/>
        </w:tabs>
        <w:spacing w:line="297" w:lineRule="auto" w:before="64" w:after="0"/>
        <w:ind w:left="1061" w:right="222" w:hanging="420"/>
        <w:jc w:val="left"/>
        <w:rPr>
          <w:sz w:val="21"/>
        </w:rPr>
      </w:pPr>
      <w:r>
        <w:rPr>
          <w:spacing w:val="-3"/>
          <w:sz w:val="21"/>
        </w:rPr>
        <w:t>必须提供被保险人在所报事故发生后的 </w:t>
      </w:r>
      <w:r>
        <w:rPr>
          <w:sz w:val="21"/>
        </w:rPr>
        <w:t>5</w:t>
      </w:r>
      <w:r>
        <w:rPr>
          <w:spacing w:val="-12"/>
          <w:sz w:val="21"/>
        </w:rPr>
        <w:t> 天以内进行的检查报告，该报告必须显示被保险</w:t>
      </w:r>
      <w:r>
        <w:rPr>
          <w:spacing w:val="-24"/>
          <w:sz w:val="21"/>
        </w:rPr>
        <w:t>人血液 </w:t>
      </w:r>
      <w:r>
        <w:rPr>
          <w:sz w:val="21"/>
        </w:rPr>
        <w:t>HIV</w:t>
      </w:r>
      <w:r>
        <w:rPr>
          <w:spacing w:val="-10"/>
          <w:sz w:val="21"/>
        </w:rPr>
        <w:t> 病毒阴性和</w:t>
      </w:r>
      <w:r>
        <w:rPr>
          <w:sz w:val="21"/>
        </w:rPr>
        <w:t>/</w:t>
      </w:r>
      <w:r>
        <w:rPr>
          <w:spacing w:val="-29"/>
          <w:sz w:val="21"/>
        </w:rPr>
        <w:t>或 </w:t>
      </w:r>
      <w:r>
        <w:rPr>
          <w:sz w:val="21"/>
        </w:rPr>
        <w:t>HIV</w:t>
      </w:r>
      <w:r>
        <w:rPr>
          <w:spacing w:val="-10"/>
          <w:sz w:val="21"/>
        </w:rPr>
        <w:t> 抗体阴性；</w:t>
      </w:r>
    </w:p>
    <w:p>
      <w:pPr>
        <w:pStyle w:val="ListParagraph"/>
        <w:numPr>
          <w:ilvl w:val="0"/>
          <w:numId w:val="22"/>
        </w:numPr>
        <w:tabs>
          <w:tab w:pos="1061" w:val="left" w:leader="none"/>
          <w:tab w:pos="1062" w:val="left" w:leader="none"/>
        </w:tabs>
        <w:spacing w:line="280" w:lineRule="auto" w:before="15" w:after="0"/>
        <w:ind w:left="641" w:right="1001" w:firstLine="0"/>
        <w:jc w:val="left"/>
        <w:rPr>
          <w:b/>
          <w:sz w:val="21"/>
        </w:rPr>
      </w:pPr>
      <w:r>
        <w:rPr>
          <w:spacing w:val="-6"/>
          <w:sz w:val="21"/>
        </w:rPr>
        <w:t>必须在事故发生后的 </w:t>
      </w:r>
      <w:r>
        <w:rPr>
          <w:rFonts w:ascii="Times New Roman" w:hAnsi="Times New Roman" w:eastAsia="Times New Roman"/>
          <w:sz w:val="21"/>
        </w:rPr>
        <w:t>12</w:t>
      </w:r>
      <w:r>
        <w:rPr>
          <w:rFonts w:ascii="Times New Roman" w:hAnsi="Times New Roman" w:eastAsia="Times New Roman"/>
          <w:spacing w:val="-2"/>
          <w:sz w:val="21"/>
        </w:rPr>
        <w:t> </w:t>
      </w:r>
      <w:r>
        <w:rPr>
          <w:spacing w:val="-4"/>
          <w:sz w:val="21"/>
        </w:rPr>
        <w:t>个月内证实被保险人体内存在 </w:t>
      </w:r>
      <w:r>
        <w:rPr>
          <w:rFonts w:ascii="Times New Roman" w:hAnsi="Times New Roman" w:eastAsia="Times New Roman"/>
          <w:sz w:val="21"/>
        </w:rPr>
        <w:t>HIV</w:t>
      </w:r>
      <w:r>
        <w:rPr>
          <w:rFonts w:ascii="Times New Roman" w:hAnsi="Times New Roman" w:eastAsia="Times New Roman"/>
          <w:spacing w:val="-2"/>
          <w:sz w:val="21"/>
        </w:rPr>
        <w:t> </w:t>
      </w:r>
      <w:r>
        <w:rPr>
          <w:spacing w:val="-11"/>
          <w:sz w:val="21"/>
        </w:rPr>
        <w:t>病毒或者 </w:t>
      </w:r>
      <w:r>
        <w:rPr>
          <w:rFonts w:ascii="Times New Roman" w:hAnsi="Times New Roman" w:eastAsia="Times New Roman"/>
          <w:sz w:val="21"/>
        </w:rPr>
        <w:t>HIV</w:t>
      </w:r>
      <w:r>
        <w:rPr>
          <w:rFonts w:ascii="Times New Roman" w:hAnsi="Times New Roman" w:eastAsia="Times New Roman"/>
          <w:spacing w:val="-2"/>
          <w:sz w:val="21"/>
        </w:rPr>
        <w:t> </w:t>
      </w:r>
      <w:r>
        <w:rPr>
          <w:sz w:val="21"/>
        </w:rPr>
        <w:t>抗体。</w:t>
      </w:r>
      <w:r>
        <w:rPr>
          <w:b/>
          <w:w w:val="95"/>
          <w:sz w:val="21"/>
        </w:rPr>
        <w:t>本条款责任免除中“感染艾滋病病毒”的规定，不适用于本条。</w:t>
      </w:r>
    </w:p>
    <w:p>
      <w:pPr>
        <w:pStyle w:val="BodyText"/>
        <w:spacing w:line="297" w:lineRule="auto" w:before="30"/>
        <w:ind w:left="641" w:right="117"/>
      </w:pPr>
      <w:r>
        <w:rPr>
          <w:b/>
          <w:spacing w:val="-1"/>
        </w:rPr>
        <w:t>严重溃疡性结肠炎 </w:t>
      </w:r>
      <w:r>
        <w:rPr>
          <w:spacing w:val="-3"/>
        </w:rPr>
        <w:t>是指伴有致命性电解质紊乱的急性暴发性溃疡性结肠炎，病变累及全结肠， </w:t>
      </w:r>
      <w:r>
        <w:rPr>
          <w:spacing w:val="-6"/>
        </w:rPr>
        <w:t>表现为严重的血便和系统性症状体征，治疗通常采取全结肠切除和回肠造瘘术。溃疡性结肠炎必须根据组织病理学特点诊断，并且被保险人已经接受了结肠切除和（或）回肠造瘘术。</w:t>
      </w:r>
    </w:p>
    <w:p>
      <w:pPr>
        <w:pStyle w:val="ListParagraph"/>
        <w:numPr>
          <w:ilvl w:val="0"/>
          <w:numId w:val="10"/>
        </w:numPr>
        <w:tabs>
          <w:tab w:pos="641" w:val="left" w:leader="none"/>
          <w:tab w:pos="642" w:val="left" w:leader="none"/>
        </w:tabs>
        <w:spacing w:line="297" w:lineRule="auto" w:before="14" w:after="0"/>
        <w:ind w:left="641" w:right="170" w:hanging="534"/>
        <w:jc w:val="left"/>
        <w:rPr>
          <w:sz w:val="21"/>
        </w:rPr>
      </w:pPr>
      <w:r>
        <w:rPr>
          <w:b/>
          <w:spacing w:val="1"/>
          <w:sz w:val="21"/>
        </w:rPr>
        <w:t>肢体机能完全丧失 </w:t>
      </w:r>
      <w:r>
        <w:rPr>
          <w:sz w:val="21"/>
        </w:rPr>
        <w:t>重大疾病定义中所指的“肢体机能完全丧失”是指肢体的三大关节中的两大关节僵硬，或不能随意识活动。肢体是指包括肩关节的整个上肢或包括髋关节的整个下肢。</w:t>
      </w:r>
    </w:p>
    <w:p>
      <w:pPr>
        <w:pStyle w:val="Heading2"/>
        <w:numPr>
          <w:ilvl w:val="0"/>
          <w:numId w:val="10"/>
        </w:numPr>
        <w:tabs>
          <w:tab w:pos="641" w:val="left" w:leader="none"/>
          <w:tab w:pos="642" w:val="left" w:leader="none"/>
        </w:tabs>
        <w:spacing w:line="240" w:lineRule="auto" w:before="15" w:after="0"/>
        <w:ind w:left="641" w:right="0" w:hanging="534"/>
        <w:jc w:val="left"/>
      </w:pPr>
      <w:r>
        <w:rPr>
          <w:w w:val="95"/>
        </w:rPr>
        <w:t>语言能力或咀嚼吞咽能力完全丧失</w:t>
      </w:r>
    </w:p>
    <w:p>
      <w:pPr>
        <w:pStyle w:val="BodyText"/>
        <w:spacing w:line="297" w:lineRule="auto" w:before="64"/>
        <w:ind w:left="641" w:right="170"/>
      </w:pPr>
      <w:r>
        <w:rPr/>
        <w:t>重大疾病定义中所指的“语言能力完全丧失”是指无法发出四种语音（包括口唇音、齿舌音、口盖音和喉头音）中的任何三种、或声带全部切除，或因大脑语言中枢受伤害而患失语症。 </w:t>
      </w:r>
      <w:r>
        <w:rPr>
          <w:spacing w:val="-5"/>
        </w:rPr>
        <w:t>重大疾病定义中所指的“咀嚼吞咽能力完全丧失”是指因牙齿以外的原因导致器质障碍或机能障碍，以致不能作咀嚼吞咽运动，除流质食物外不能摄取或吞咽的状态。</w:t>
      </w:r>
    </w:p>
    <w:p>
      <w:pPr>
        <w:pStyle w:val="Heading2"/>
        <w:numPr>
          <w:ilvl w:val="0"/>
          <w:numId w:val="10"/>
        </w:numPr>
        <w:tabs>
          <w:tab w:pos="641" w:val="left" w:leader="none"/>
          <w:tab w:pos="642" w:val="left" w:leader="none"/>
        </w:tabs>
        <w:spacing w:line="240" w:lineRule="auto" w:before="15" w:after="0"/>
        <w:ind w:left="641" w:right="0" w:hanging="534"/>
        <w:jc w:val="left"/>
      </w:pPr>
      <w:r>
        <w:rPr>
          <w:w w:val="95"/>
        </w:rPr>
        <w:t>六项基本日常生活活动</w:t>
      </w:r>
    </w:p>
    <w:p>
      <w:pPr>
        <w:pStyle w:val="BodyText"/>
        <w:spacing w:before="65"/>
        <w:ind w:left="641"/>
      </w:pPr>
      <w:r>
        <w:rPr/>
        <w:t>重大疾病定义中所指的“六项基本日常生活活动”是指：</w:t>
      </w:r>
    </w:p>
    <w:p>
      <w:pPr>
        <w:pStyle w:val="ListParagraph"/>
        <w:numPr>
          <w:ilvl w:val="1"/>
          <w:numId w:val="10"/>
        </w:numPr>
        <w:tabs>
          <w:tab w:pos="1061" w:val="left" w:leader="none"/>
          <w:tab w:pos="1062" w:val="left" w:leader="none"/>
        </w:tabs>
        <w:spacing w:line="240" w:lineRule="auto" w:before="64" w:after="0"/>
        <w:ind w:left="1061" w:right="0" w:hanging="420"/>
        <w:jc w:val="left"/>
        <w:rPr>
          <w:sz w:val="21"/>
        </w:rPr>
      </w:pPr>
      <w:r>
        <w:rPr>
          <w:sz w:val="21"/>
        </w:rPr>
        <w:t>穿衣：自己能够穿衣及脱衣；</w:t>
      </w:r>
    </w:p>
    <w:p>
      <w:pPr>
        <w:pStyle w:val="ListParagraph"/>
        <w:numPr>
          <w:ilvl w:val="1"/>
          <w:numId w:val="10"/>
        </w:numPr>
        <w:tabs>
          <w:tab w:pos="1061" w:val="left" w:leader="none"/>
          <w:tab w:pos="1062" w:val="left" w:leader="none"/>
        </w:tabs>
        <w:spacing w:line="240" w:lineRule="auto" w:before="66" w:after="0"/>
        <w:ind w:left="1061" w:right="0" w:hanging="420"/>
        <w:jc w:val="left"/>
        <w:rPr>
          <w:sz w:val="21"/>
        </w:rPr>
      </w:pPr>
      <w:r>
        <w:rPr>
          <w:sz w:val="21"/>
        </w:rPr>
        <w:t>移动：自己从一个房间到另一个房间；</w:t>
      </w:r>
    </w:p>
    <w:p>
      <w:pPr>
        <w:pStyle w:val="ListParagraph"/>
        <w:numPr>
          <w:ilvl w:val="1"/>
          <w:numId w:val="10"/>
        </w:numPr>
        <w:tabs>
          <w:tab w:pos="1061" w:val="left" w:leader="none"/>
          <w:tab w:pos="1062" w:val="left" w:leader="none"/>
        </w:tabs>
        <w:spacing w:line="240" w:lineRule="auto" w:before="66" w:after="0"/>
        <w:ind w:left="1061" w:right="0" w:hanging="420"/>
        <w:jc w:val="left"/>
        <w:rPr>
          <w:sz w:val="21"/>
        </w:rPr>
      </w:pPr>
      <w:r>
        <w:rPr>
          <w:sz w:val="21"/>
        </w:rPr>
        <w:t>行动：自己上下床或上下轮椅；</w:t>
      </w:r>
    </w:p>
    <w:p>
      <w:pPr>
        <w:spacing w:after="0" w:line="240" w:lineRule="auto"/>
        <w:jc w:val="left"/>
        <w:rPr>
          <w:sz w:val="21"/>
        </w:rPr>
        <w:sectPr>
          <w:pgSz w:w="11910" w:h="16840"/>
          <w:pgMar w:header="0" w:footer="1008" w:top="1360" w:bottom="1200" w:left="1300" w:right="1180"/>
        </w:sectPr>
      </w:pPr>
    </w:p>
    <w:p>
      <w:pPr>
        <w:pStyle w:val="ListParagraph"/>
        <w:numPr>
          <w:ilvl w:val="1"/>
          <w:numId w:val="10"/>
        </w:numPr>
        <w:tabs>
          <w:tab w:pos="1061" w:val="left" w:leader="none"/>
          <w:tab w:pos="1062" w:val="left" w:leader="none"/>
        </w:tabs>
        <w:spacing w:line="240" w:lineRule="auto" w:before="6" w:after="0"/>
        <w:ind w:left="1061" w:right="0" w:hanging="420"/>
        <w:jc w:val="left"/>
        <w:rPr>
          <w:sz w:val="21"/>
        </w:rPr>
      </w:pPr>
      <w:r>
        <w:rPr>
          <w:sz w:val="21"/>
        </w:rPr>
        <w:t>如厕：自己控制进行大小便；</w:t>
      </w:r>
    </w:p>
    <w:p>
      <w:pPr>
        <w:pStyle w:val="ListParagraph"/>
        <w:numPr>
          <w:ilvl w:val="1"/>
          <w:numId w:val="10"/>
        </w:numPr>
        <w:tabs>
          <w:tab w:pos="1061" w:val="left" w:leader="none"/>
          <w:tab w:pos="1062" w:val="left" w:leader="none"/>
        </w:tabs>
        <w:spacing w:line="240" w:lineRule="auto" w:before="65" w:after="0"/>
        <w:ind w:left="1061" w:right="0" w:hanging="420"/>
        <w:jc w:val="left"/>
        <w:rPr>
          <w:sz w:val="21"/>
        </w:rPr>
      </w:pPr>
      <w:r>
        <w:rPr>
          <w:sz w:val="21"/>
        </w:rPr>
        <w:t>进食：自己从已准备好的碗或碟中取食物放入口中；</w:t>
      </w:r>
    </w:p>
    <w:p>
      <w:pPr>
        <w:pStyle w:val="ListParagraph"/>
        <w:numPr>
          <w:ilvl w:val="1"/>
          <w:numId w:val="10"/>
        </w:numPr>
        <w:tabs>
          <w:tab w:pos="1061" w:val="left" w:leader="none"/>
          <w:tab w:pos="1062" w:val="left" w:leader="none"/>
        </w:tabs>
        <w:spacing w:line="240" w:lineRule="auto" w:before="65" w:after="0"/>
        <w:ind w:left="1061" w:right="0" w:hanging="420"/>
        <w:jc w:val="left"/>
        <w:rPr>
          <w:sz w:val="21"/>
        </w:rPr>
      </w:pPr>
      <w:r>
        <w:rPr>
          <w:sz w:val="21"/>
        </w:rPr>
        <w:t>洗澡：自己进行淋浴或盆浴。</w:t>
      </w:r>
    </w:p>
    <w:p>
      <w:pPr>
        <w:pStyle w:val="ListParagraph"/>
        <w:numPr>
          <w:ilvl w:val="0"/>
          <w:numId w:val="10"/>
        </w:numPr>
        <w:tabs>
          <w:tab w:pos="641" w:val="left" w:leader="none"/>
          <w:tab w:pos="642" w:val="left" w:leader="none"/>
        </w:tabs>
        <w:spacing w:line="297" w:lineRule="auto" w:before="64" w:after="0"/>
        <w:ind w:left="641" w:right="202" w:hanging="534"/>
        <w:jc w:val="left"/>
        <w:rPr>
          <w:sz w:val="21"/>
        </w:rPr>
      </w:pPr>
      <w:r>
        <w:rPr>
          <w:b/>
          <w:spacing w:val="5"/>
          <w:sz w:val="21"/>
        </w:rPr>
        <w:t>永久不可逆 </w:t>
      </w:r>
      <w:r>
        <w:rPr>
          <w:sz w:val="21"/>
        </w:rPr>
        <w:t>重大疾病定义中所指的“永久不可逆”是指自疾病确诊或意外伤害发生之日起， </w:t>
      </w:r>
      <w:r>
        <w:rPr>
          <w:spacing w:val="-8"/>
          <w:sz w:val="21"/>
        </w:rPr>
        <w:t>经过积极治疗 </w:t>
      </w:r>
      <w:r>
        <w:rPr>
          <w:sz w:val="21"/>
        </w:rPr>
        <w:t>180</w:t>
      </w:r>
      <w:r>
        <w:rPr>
          <w:spacing w:val="-8"/>
          <w:sz w:val="21"/>
        </w:rPr>
        <w:t> 天后，仍无法通过现有医疗手段恢复。</w:t>
      </w:r>
    </w:p>
    <w:p>
      <w:pPr>
        <w:pStyle w:val="ListParagraph"/>
        <w:numPr>
          <w:ilvl w:val="0"/>
          <w:numId w:val="10"/>
        </w:numPr>
        <w:tabs>
          <w:tab w:pos="641" w:val="left" w:leader="none"/>
          <w:tab w:pos="642" w:val="left" w:leader="none"/>
        </w:tabs>
        <w:spacing w:line="297" w:lineRule="auto" w:before="15" w:after="0"/>
        <w:ind w:left="641" w:right="98" w:hanging="534"/>
        <w:jc w:val="left"/>
        <w:rPr>
          <w:b/>
          <w:sz w:val="21"/>
        </w:rPr>
      </w:pPr>
      <w:r>
        <w:rPr>
          <w:b/>
          <w:spacing w:val="-1"/>
          <w:sz w:val="21"/>
        </w:rPr>
        <w:t>特定疾病 </w:t>
      </w:r>
      <w:r>
        <w:rPr>
          <w:spacing w:val="-4"/>
          <w:sz w:val="21"/>
        </w:rPr>
        <w:t>是指上述重大疾病定义中的恶性肿瘤、急性心肌梗塞、脑中风后遗症、严重脑损伤、终末期肾病（或称慢性肾功能衰竭尿毒症期</w:t>
      </w:r>
      <w:r>
        <w:rPr>
          <w:spacing w:val="-105"/>
          <w:sz w:val="21"/>
        </w:rPr>
        <w:t>）</w:t>
      </w:r>
      <w:r>
        <w:rPr>
          <w:sz w:val="21"/>
        </w:rPr>
        <w:t>。其中，</w:t>
      </w:r>
      <w:r>
        <w:rPr>
          <w:b/>
          <w:sz w:val="21"/>
        </w:rPr>
        <w:t>恶性肿瘤、急性心肌梗塞、脑中风后遗</w:t>
      </w:r>
      <w:r>
        <w:rPr>
          <w:b/>
          <w:spacing w:val="-4"/>
          <w:sz w:val="21"/>
        </w:rPr>
        <w:t>症、严重脑损伤自确诊之日起必须生存 </w:t>
      </w:r>
      <w:r>
        <w:rPr>
          <w:b/>
          <w:sz w:val="21"/>
        </w:rPr>
        <w:t>28</w:t>
      </w:r>
      <w:r>
        <w:rPr>
          <w:b/>
          <w:spacing w:val="-8"/>
          <w:sz w:val="21"/>
        </w:rPr>
        <w:t> 日以上才可申请理赔特定疾病医疗费用保险金。</w:t>
      </w:r>
    </w:p>
    <w:sectPr>
      <w:pgSz w:w="11910" w:h="16840"/>
      <w:pgMar w:header="0" w:footer="1008" w:top="1360" w:bottom="1200" w:left="1300" w:right="12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type id="_x0000_t202" o:spt="202" coordsize="21600,21600" path="m,l,21600r21600,l21600,xe">
          <v:stroke joinstyle="miter"/>
          <v:path gradientshapeok="t" o:connecttype="rect"/>
        </v:shapetype>
        <v:shape style="position:absolute;margin-left:258.380005pt;margin-top:780.579651pt;width:78.5pt;height:12pt;mso-position-horizontal-relative:page;mso-position-vertical-relative:page;z-index:-12904" type="#_x0000_t202" filled="false" stroked="false">
          <v:textbox inset="0,0,0,0">
            <w:txbxContent>
              <w:p>
                <w:pPr>
                  <w:spacing w:line="219" w:lineRule="exact" w:before="0"/>
                  <w:ind w:left="20" w:right="0" w:firstLine="0"/>
                  <w:jc w:val="left"/>
                  <w:rPr>
                    <w:sz w:val="18"/>
                  </w:rPr>
                </w:pPr>
                <w:r>
                  <w:rPr>
                    <w:sz w:val="18"/>
                  </w:rPr>
                  <w:t>第 </w:t>
                </w:r>
                <w:r>
                  <w:rPr/>
                  <w:fldChar w:fldCharType="begin"/>
                </w:r>
                <w:r>
                  <w:rPr>
                    <w:rFonts w:ascii="Times New Roman" w:eastAsia="Times New Roman"/>
                    <w:sz w:val="18"/>
                  </w:rPr>
                  <w:instrText> PAGE </w:instrText>
                </w:r>
                <w:r>
                  <w:rPr/>
                  <w:fldChar w:fldCharType="separate"/>
                </w:r>
                <w:r>
                  <w:rPr/>
                  <w:t>10</w:t>
                </w:r>
                <w:r>
                  <w:rPr/>
                  <w:fldChar w:fldCharType="end"/>
                </w:r>
                <w:r>
                  <w:rPr>
                    <w:rFonts w:ascii="Times New Roman" w:eastAsia="Times New Roman"/>
                    <w:sz w:val="18"/>
                  </w:rPr>
                  <w:t>  </w:t>
                </w:r>
                <w:r>
                  <w:rPr>
                    <w:sz w:val="18"/>
                  </w:rPr>
                  <w:t>页 共 </w:t>
                </w:r>
                <w:r>
                  <w:rPr>
                    <w:rFonts w:ascii="Times New Roman" w:eastAsia="Times New Roman"/>
                    <w:sz w:val="18"/>
                  </w:rPr>
                  <w:t>13  </w:t>
                </w:r>
                <w:r>
                  <w:rPr>
                    <w:sz w:val="18"/>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1">
    <w:multiLevelType w:val="hybridMultilevel"/>
    <w:lvl w:ilvl="0">
      <w:start w:val="1"/>
      <w:numFmt w:val="decimal"/>
      <w:lvlText w:val="%1)"/>
      <w:lvlJc w:val="left"/>
      <w:pPr>
        <w:ind w:left="1061" w:hanging="420"/>
        <w:jc w:val="left"/>
      </w:pPr>
      <w:rPr>
        <w:rFonts w:hint="default" w:ascii="宋体" w:hAnsi="宋体" w:eastAsia="宋体" w:cs="宋体"/>
        <w:w w:val="100"/>
        <w:sz w:val="21"/>
        <w:szCs w:val="21"/>
      </w:rPr>
    </w:lvl>
    <w:lvl w:ilvl="1">
      <w:start w:val="0"/>
      <w:numFmt w:val="bullet"/>
      <w:lvlText w:val="•"/>
      <w:lvlJc w:val="left"/>
      <w:pPr>
        <w:ind w:left="1896" w:hanging="420"/>
      </w:pPr>
      <w:rPr>
        <w:rFonts w:hint="default"/>
      </w:rPr>
    </w:lvl>
    <w:lvl w:ilvl="2">
      <w:start w:val="0"/>
      <w:numFmt w:val="bullet"/>
      <w:lvlText w:val="•"/>
      <w:lvlJc w:val="left"/>
      <w:pPr>
        <w:ind w:left="2732" w:hanging="420"/>
      </w:pPr>
      <w:rPr>
        <w:rFonts w:hint="default"/>
      </w:rPr>
    </w:lvl>
    <w:lvl w:ilvl="3">
      <w:start w:val="0"/>
      <w:numFmt w:val="bullet"/>
      <w:lvlText w:val="•"/>
      <w:lvlJc w:val="left"/>
      <w:pPr>
        <w:ind w:left="3569" w:hanging="420"/>
      </w:pPr>
      <w:rPr>
        <w:rFonts w:hint="default"/>
      </w:rPr>
    </w:lvl>
    <w:lvl w:ilvl="4">
      <w:start w:val="0"/>
      <w:numFmt w:val="bullet"/>
      <w:lvlText w:val="•"/>
      <w:lvlJc w:val="left"/>
      <w:pPr>
        <w:ind w:left="4405" w:hanging="420"/>
      </w:pPr>
      <w:rPr>
        <w:rFonts w:hint="default"/>
      </w:rPr>
    </w:lvl>
    <w:lvl w:ilvl="5">
      <w:start w:val="0"/>
      <w:numFmt w:val="bullet"/>
      <w:lvlText w:val="•"/>
      <w:lvlJc w:val="left"/>
      <w:pPr>
        <w:ind w:left="5242" w:hanging="420"/>
      </w:pPr>
      <w:rPr>
        <w:rFonts w:hint="default"/>
      </w:rPr>
    </w:lvl>
    <w:lvl w:ilvl="6">
      <w:start w:val="0"/>
      <w:numFmt w:val="bullet"/>
      <w:lvlText w:val="•"/>
      <w:lvlJc w:val="left"/>
      <w:pPr>
        <w:ind w:left="6078" w:hanging="420"/>
      </w:pPr>
      <w:rPr>
        <w:rFonts w:hint="default"/>
      </w:rPr>
    </w:lvl>
    <w:lvl w:ilvl="7">
      <w:start w:val="0"/>
      <w:numFmt w:val="bullet"/>
      <w:lvlText w:val="•"/>
      <w:lvlJc w:val="left"/>
      <w:pPr>
        <w:ind w:left="6915" w:hanging="420"/>
      </w:pPr>
      <w:rPr>
        <w:rFonts w:hint="default"/>
      </w:rPr>
    </w:lvl>
    <w:lvl w:ilvl="8">
      <w:start w:val="0"/>
      <w:numFmt w:val="bullet"/>
      <w:lvlText w:val="•"/>
      <w:lvlJc w:val="left"/>
      <w:pPr>
        <w:ind w:left="7751" w:hanging="420"/>
      </w:pPr>
      <w:rPr>
        <w:rFonts w:hint="default"/>
      </w:rPr>
    </w:lvl>
  </w:abstractNum>
  <w:abstractNum w:abstractNumId="20">
    <w:multiLevelType w:val="hybridMultilevel"/>
    <w:lvl w:ilvl="0">
      <w:start w:val="1"/>
      <w:numFmt w:val="decimal"/>
      <w:lvlText w:val="%1)"/>
      <w:lvlJc w:val="left"/>
      <w:pPr>
        <w:ind w:left="261" w:hanging="420"/>
        <w:jc w:val="left"/>
      </w:pPr>
      <w:rPr>
        <w:rFonts w:hint="default" w:ascii="宋体" w:hAnsi="宋体" w:eastAsia="宋体" w:cs="宋体"/>
        <w:spacing w:val="-54"/>
        <w:w w:val="100"/>
        <w:sz w:val="21"/>
        <w:szCs w:val="21"/>
      </w:rPr>
    </w:lvl>
    <w:lvl w:ilvl="1">
      <w:start w:val="1"/>
      <w:numFmt w:val="decimal"/>
      <w:lvlText w:val="%2)"/>
      <w:lvlJc w:val="left"/>
      <w:pPr>
        <w:ind w:left="1061" w:hanging="420"/>
        <w:jc w:val="left"/>
      </w:pPr>
      <w:rPr>
        <w:rFonts w:hint="default" w:ascii="宋体" w:hAnsi="宋体" w:eastAsia="宋体" w:cs="宋体"/>
        <w:w w:val="100"/>
        <w:sz w:val="21"/>
        <w:szCs w:val="21"/>
      </w:rPr>
    </w:lvl>
    <w:lvl w:ilvl="2">
      <w:start w:val="0"/>
      <w:numFmt w:val="bullet"/>
      <w:lvlText w:val="•"/>
      <w:lvlJc w:val="left"/>
      <w:pPr>
        <w:ind w:left="1936" w:hanging="420"/>
      </w:pPr>
      <w:rPr>
        <w:rFonts w:hint="default"/>
      </w:rPr>
    </w:lvl>
    <w:lvl w:ilvl="3">
      <w:start w:val="0"/>
      <w:numFmt w:val="bullet"/>
      <w:lvlText w:val="•"/>
      <w:lvlJc w:val="left"/>
      <w:pPr>
        <w:ind w:left="2812" w:hanging="420"/>
      </w:pPr>
      <w:rPr>
        <w:rFonts w:hint="default"/>
      </w:rPr>
    </w:lvl>
    <w:lvl w:ilvl="4">
      <w:start w:val="0"/>
      <w:numFmt w:val="bullet"/>
      <w:lvlText w:val="•"/>
      <w:lvlJc w:val="left"/>
      <w:pPr>
        <w:ind w:left="3688" w:hanging="420"/>
      </w:pPr>
      <w:rPr>
        <w:rFonts w:hint="default"/>
      </w:rPr>
    </w:lvl>
    <w:lvl w:ilvl="5">
      <w:start w:val="0"/>
      <w:numFmt w:val="bullet"/>
      <w:lvlText w:val="•"/>
      <w:lvlJc w:val="left"/>
      <w:pPr>
        <w:ind w:left="4564" w:hanging="420"/>
      </w:pPr>
      <w:rPr>
        <w:rFonts w:hint="default"/>
      </w:rPr>
    </w:lvl>
    <w:lvl w:ilvl="6">
      <w:start w:val="0"/>
      <w:numFmt w:val="bullet"/>
      <w:lvlText w:val="•"/>
      <w:lvlJc w:val="left"/>
      <w:pPr>
        <w:ind w:left="5440" w:hanging="420"/>
      </w:pPr>
      <w:rPr>
        <w:rFonts w:hint="default"/>
      </w:rPr>
    </w:lvl>
    <w:lvl w:ilvl="7">
      <w:start w:val="0"/>
      <w:numFmt w:val="bullet"/>
      <w:lvlText w:val="•"/>
      <w:lvlJc w:val="left"/>
      <w:pPr>
        <w:ind w:left="6316" w:hanging="420"/>
      </w:pPr>
      <w:rPr>
        <w:rFonts w:hint="default"/>
      </w:rPr>
    </w:lvl>
    <w:lvl w:ilvl="8">
      <w:start w:val="0"/>
      <w:numFmt w:val="bullet"/>
      <w:lvlText w:val="•"/>
      <w:lvlJc w:val="left"/>
      <w:pPr>
        <w:ind w:left="7192" w:hanging="420"/>
      </w:pPr>
      <w:rPr>
        <w:rFonts w:hint="default"/>
      </w:rPr>
    </w:lvl>
  </w:abstractNum>
  <w:abstractNum w:abstractNumId="19">
    <w:multiLevelType w:val="hybridMultilevel"/>
    <w:lvl w:ilvl="0">
      <w:start w:val="1"/>
      <w:numFmt w:val="decimal"/>
      <w:lvlText w:val="%1)"/>
      <w:lvlJc w:val="left"/>
      <w:pPr>
        <w:ind w:left="681" w:hanging="420"/>
        <w:jc w:val="left"/>
      </w:pPr>
      <w:rPr>
        <w:rFonts w:hint="default" w:ascii="宋体" w:hAnsi="宋体" w:eastAsia="宋体" w:cs="宋体"/>
        <w:spacing w:val="-1"/>
        <w:w w:val="100"/>
        <w:sz w:val="21"/>
        <w:szCs w:val="21"/>
      </w:rPr>
    </w:lvl>
    <w:lvl w:ilvl="1">
      <w:start w:val="0"/>
      <w:numFmt w:val="bullet"/>
      <w:lvlText w:val="•"/>
      <w:lvlJc w:val="left"/>
      <w:pPr>
        <w:ind w:left="1516" w:hanging="420"/>
      </w:pPr>
      <w:rPr>
        <w:rFonts w:hint="default"/>
      </w:rPr>
    </w:lvl>
    <w:lvl w:ilvl="2">
      <w:start w:val="0"/>
      <w:numFmt w:val="bullet"/>
      <w:lvlText w:val="•"/>
      <w:lvlJc w:val="left"/>
      <w:pPr>
        <w:ind w:left="2352" w:hanging="420"/>
      </w:pPr>
      <w:rPr>
        <w:rFonts w:hint="default"/>
      </w:rPr>
    </w:lvl>
    <w:lvl w:ilvl="3">
      <w:start w:val="0"/>
      <w:numFmt w:val="bullet"/>
      <w:lvlText w:val="•"/>
      <w:lvlJc w:val="left"/>
      <w:pPr>
        <w:ind w:left="3189" w:hanging="420"/>
      </w:pPr>
      <w:rPr>
        <w:rFonts w:hint="default"/>
      </w:rPr>
    </w:lvl>
    <w:lvl w:ilvl="4">
      <w:start w:val="0"/>
      <w:numFmt w:val="bullet"/>
      <w:lvlText w:val="•"/>
      <w:lvlJc w:val="left"/>
      <w:pPr>
        <w:ind w:left="4025" w:hanging="420"/>
      </w:pPr>
      <w:rPr>
        <w:rFonts w:hint="default"/>
      </w:rPr>
    </w:lvl>
    <w:lvl w:ilvl="5">
      <w:start w:val="0"/>
      <w:numFmt w:val="bullet"/>
      <w:lvlText w:val="•"/>
      <w:lvlJc w:val="left"/>
      <w:pPr>
        <w:ind w:left="4862" w:hanging="420"/>
      </w:pPr>
      <w:rPr>
        <w:rFonts w:hint="default"/>
      </w:rPr>
    </w:lvl>
    <w:lvl w:ilvl="6">
      <w:start w:val="0"/>
      <w:numFmt w:val="bullet"/>
      <w:lvlText w:val="•"/>
      <w:lvlJc w:val="left"/>
      <w:pPr>
        <w:ind w:left="5698" w:hanging="420"/>
      </w:pPr>
      <w:rPr>
        <w:rFonts w:hint="default"/>
      </w:rPr>
    </w:lvl>
    <w:lvl w:ilvl="7">
      <w:start w:val="0"/>
      <w:numFmt w:val="bullet"/>
      <w:lvlText w:val="•"/>
      <w:lvlJc w:val="left"/>
      <w:pPr>
        <w:ind w:left="6535" w:hanging="420"/>
      </w:pPr>
      <w:rPr>
        <w:rFonts w:hint="default"/>
      </w:rPr>
    </w:lvl>
    <w:lvl w:ilvl="8">
      <w:start w:val="0"/>
      <w:numFmt w:val="bullet"/>
      <w:lvlText w:val="•"/>
      <w:lvlJc w:val="left"/>
      <w:pPr>
        <w:ind w:left="7371" w:hanging="420"/>
      </w:pPr>
      <w:rPr>
        <w:rFonts w:hint="default"/>
      </w:rPr>
    </w:lvl>
  </w:abstractNum>
  <w:abstractNum w:abstractNumId="18">
    <w:multiLevelType w:val="hybridMultilevel"/>
    <w:lvl w:ilvl="0">
      <w:start w:val="1"/>
      <w:numFmt w:val="decimal"/>
      <w:lvlText w:val="%1)"/>
      <w:lvlJc w:val="left"/>
      <w:pPr>
        <w:ind w:left="261" w:hanging="420"/>
        <w:jc w:val="left"/>
      </w:pPr>
      <w:rPr>
        <w:rFonts w:hint="default" w:ascii="宋体" w:hAnsi="宋体" w:eastAsia="宋体" w:cs="宋体"/>
        <w:w w:val="100"/>
        <w:sz w:val="21"/>
        <w:szCs w:val="21"/>
      </w:rPr>
    </w:lvl>
    <w:lvl w:ilvl="1">
      <w:start w:val="0"/>
      <w:numFmt w:val="bullet"/>
      <w:lvlText w:val="•"/>
      <w:lvlJc w:val="left"/>
      <w:pPr>
        <w:ind w:left="1138" w:hanging="420"/>
      </w:pPr>
      <w:rPr>
        <w:rFonts w:hint="default"/>
      </w:rPr>
    </w:lvl>
    <w:lvl w:ilvl="2">
      <w:start w:val="0"/>
      <w:numFmt w:val="bullet"/>
      <w:lvlText w:val="•"/>
      <w:lvlJc w:val="left"/>
      <w:pPr>
        <w:ind w:left="2016" w:hanging="420"/>
      </w:pPr>
      <w:rPr>
        <w:rFonts w:hint="default"/>
      </w:rPr>
    </w:lvl>
    <w:lvl w:ilvl="3">
      <w:start w:val="0"/>
      <w:numFmt w:val="bullet"/>
      <w:lvlText w:val="•"/>
      <w:lvlJc w:val="left"/>
      <w:pPr>
        <w:ind w:left="2895" w:hanging="420"/>
      </w:pPr>
      <w:rPr>
        <w:rFonts w:hint="default"/>
      </w:rPr>
    </w:lvl>
    <w:lvl w:ilvl="4">
      <w:start w:val="0"/>
      <w:numFmt w:val="bullet"/>
      <w:lvlText w:val="•"/>
      <w:lvlJc w:val="left"/>
      <w:pPr>
        <w:ind w:left="3773" w:hanging="420"/>
      </w:pPr>
      <w:rPr>
        <w:rFonts w:hint="default"/>
      </w:rPr>
    </w:lvl>
    <w:lvl w:ilvl="5">
      <w:start w:val="0"/>
      <w:numFmt w:val="bullet"/>
      <w:lvlText w:val="•"/>
      <w:lvlJc w:val="left"/>
      <w:pPr>
        <w:ind w:left="4652" w:hanging="420"/>
      </w:pPr>
      <w:rPr>
        <w:rFonts w:hint="default"/>
      </w:rPr>
    </w:lvl>
    <w:lvl w:ilvl="6">
      <w:start w:val="0"/>
      <w:numFmt w:val="bullet"/>
      <w:lvlText w:val="•"/>
      <w:lvlJc w:val="left"/>
      <w:pPr>
        <w:ind w:left="5530" w:hanging="420"/>
      </w:pPr>
      <w:rPr>
        <w:rFonts w:hint="default"/>
      </w:rPr>
    </w:lvl>
    <w:lvl w:ilvl="7">
      <w:start w:val="0"/>
      <w:numFmt w:val="bullet"/>
      <w:lvlText w:val="•"/>
      <w:lvlJc w:val="left"/>
      <w:pPr>
        <w:ind w:left="6409" w:hanging="420"/>
      </w:pPr>
      <w:rPr>
        <w:rFonts w:hint="default"/>
      </w:rPr>
    </w:lvl>
    <w:lvl w:ilvl="8">
      <w:start w:val="0"/>
      <w:numFmt w:val="bullet"/>
      <w:lvlText w:val="•"/>
      <w:lvlJc w:val="left"/>
      <w:pPr>
        <w:ind w:left="7287" w:hanging="420"/>
      </w:pPr>
      <w:rPr>
        <w:rFonts w:hint="default"/>
      </w:rPr>
    </w:lvl>
  </w:abstractNum>
  <w:abstractNum w:abstractNumId="17">
    <w:multiLevelType w:val="hybridMultilevel"/>
    <w:lvl w:ilvl="0">
      <w:start w:val="1"/>
      <w:numFmt w:val="decimal"/>
      <w:lvlText w:val="%1)"/>
      <w:lvlJc w:val="left"/>
      <w:pPr>
        <w:ind w:left="261" w:hanging="420"/>
        <w:jc w:val="left"/>
      </w:pPr>
      <w:rPr>
        <w:rFonts w:hint="default" w:ascii="宋体" w:hAnsi="宋体" w:eastAsia="宋体" w:cs="宋体"/>
        <w:w w:val="100"/>
        <w:sz w:val="21"/>
        <w:szCs w:val="21"/>
      </w:rPr>
    </w:lvl>
    <w:lvl w:ilvl="1">
      <w:start w:val="0"/>
      <w:numFmt w:val="bullet"/>
      <w:lvlText w:val="•"/>
      <w:lvlJc w:val="left"/>
      <w:pPr>
        <w:ind w:left="1138" w:hanging="420"/>
      </w:pPr>
      <w:rPr>
        <w:rFonts w:hint="default"/>
      </w:rPr>
    </w:lvl>
    <w:lvl w:ilvl="2">
      <w:start w:val="0"/>
      <w:numFmt w:val="bullet"/>
      <w:lvlText w:val="•"/>
      <w:lvlJc w:val="left"/>
      <w:pPr>
        <w:ind w:left="2016" w:hanging="420"/>
      </w:pPr>
      <w:rPr>
        <w:rFonts w:hint="default"/>
      </w:rPr>
    </w:lvl>
    <w:lvl w:ilvl="3">
      <w:start w:val="0"/>
      <w:numFmt w:val="bullet"/>
      <w:lvlText w:val="•"/>
      <w:lvlJc w:val="left"/>
      <w:pPr>
        <w:ind w:left="2895" w:hanging="420"/>
      </w:pPr>
      <w:rPr>
        <w:rFonts w:hint="default"/>
      </w:rPr>
    </w:lvl>
    <w:lvl w:ilvl="4">
      <w:start w:val="0"/>
      <w:numFmt w:val="bullet"/>
      <w:lvlText w:val="•"/>
      <w:lvlJc w:val="left"/>
      <w:pPr>
        <w:ind w:left="3773" w:hanging="420"/>
      </w:pPr>
      <w:rPr>
        <w:rFonts w:hint="default"/>
      </w:rPr>
    </w:lvl>
    <w:lvl w:ilvl="5">
      <w:start w:val="0"/>
      <w:numFmt w:val="bullet"/>
      <w:lvlText w:val="•"/>
      <w:lvlJc w:val="left"/>
      <w:pPr>
        <w:ind w:left="4652" w:hanging="420"/>
      </w:pPr>
      <w:rPr>
        <w:rFonts w:hint="default"/>
      </w:rPr>
    </w:lvl>
    <w:lvl w:ilvl="6">
      <w:start w:val="0"/>
      <w:numFmt w:val="bullet"/>
      <w:lvlText w:val="•"/>
      <w:lvlJc w:val="left"/>
      <w:pPr>
        <w:ind w:left="5530" w:hanging="420"/>
      </w:pPr>
      <w:rPr>
        <w:rFonts w:hint="default"/>
      </w:rPr>
    </w:lvl>
    <w:lvl w:ilvl="7">
      <w:start w:val="0"/>
      <w:numFmt w:val="bullet"/>
      <w:lvlText w:val="•"/>
      <w:lvlJc w:val="left"/>
      <w:pPr>
        <w:ind w:left="6409" w:hanging="420"/>
      </w:pPr>
      <w:rPr>
        <w:rFonts w:hint="default"/>
      </w:rPr>
    </w:lvl>
    <w:lvl w:ilvl="8">
      <w:start w:val="0"/>
      <w:numFmt w:val="bullet"/>
      <w:lvlText w:val="•"/>
      <w:lvlJc w:val="left"/>
      <w:pPr>
        <w:ind w:left="7287" w:hanging="420"/>
      </w:pPr>
      <w:rPr>
        <w:rFonts w:hint="default"/>
      </w:rPr>
    </w:lvl>
  </w:abstractNum>
  <w:abstractNum w:abstractNumId="16">
    <w:multiLevelType w:val="hybridMultilevel"/>
    <w:lvl w:ilvl="0">
      <w:start w:val="1"/>
      <w:numFmt w:val="decimal"/>
      <w:lvlText w:val="%1)"/>
      <w:lvlJc w:val="left"/>
      <w:pPr>
        <w:ind w:left="681" w:hanging="420"/>
        <w:jc w:val="left"/>
      </w:pPr>
      <w:rPr>
        <w:rFonts w:hint="default" w:ascii="宋体" w:hAnsi="宋体" w:eastAsia="宋体" w:cs="宋体"/>
        <w:w w:val="100"/>
        <w:sz w:val="21"/>
        <w:szCs w:val="21"/>
      </w:rPr>
    </w:lvl>
    <w:lvl w:ilvl="1">
      <w:start w:val="0"/>
      <w:numFmt w:val="bullet"/>
      <w:lvlText w:val="•"/>
      <w:lvlJc w:val="left"/>
      <w:pPr>
        <w:ind w:left="1516" w:hanging="420"/>
      </w:pPr>
      <w:rPr>
        <w:rFonts w:hint="default"/>
      </w:rPr>
    </w:lvl>
    <w:lvl w:ilvl="2">
      <w:start w:val="0"/>
      <w:numFmt w:val="bullet"/>
      <w:lvlText w:val="•"/>
      <w:lvlJc w:val="left"/>
      <w:pPr>
        <w:ind w:left="2352" w:hanging="420"/>
      </w:pPr>
      <w:rPr>
        <w:rFonts w:hint="default"/>
      </w:rPr>
    </w:lvl>
    <w:lvl w:ilvl="3">
      <w:start w:val="0"/>
      <w:numFmt w:val="bullet"/>
      <w:lvlText w:val="•"/>
      <w:lvlJc w:val="left"/>
      <w:pPr>
        <w:ind w:left="3189" w:hanging="420"/>
      </w:pPr>
      <w:rPr>
        <w:rFonts w:hint="default"/>
      </w:rPr>
    </w:lvl>
    <w:lvl w:ilvl="4">
      <w:start w:val="0"/>
      <w:numFmt w:val="bullet"/>
      <w:lvlText w:val="•"/>
      <w:lvlJc w:val="left"/>
      <w:pPr>
        <w:ind w:left="4025" w:hanging="420"/>
      </w:pPr>
      <w:rPr>
        <w:rFonts w:hint="default"/>
      </w:rPr>
    </w:lvl>
    <w:lvl w:ilvl="5">
      <w:start w:val="0"/>
      <w:numFmt w:val="bullet"/>
      <w:lvlText w:val="•"/>
      <w:lvlJc w:val="left"/>
      <w:pPr>
        <w:ind w:left="4862" w:hanging="420"/>
      </w:pPr>
      <w:rPr>
        <w:rFonts w:hint="default"/>
      </w:rPr>
    </w:lvl>
    <w:lvl w:ilvl="6">
      <w:start w:val="0"/>
      <w:numFmt w:val="bullet"/>
      <w:lvlText w:val="•"/>
      <w:lvlJc w:val="left"/>
      <w:pPr>
        <w:ind w:left="5698" w:hanging="420"/>
      </w:pPr>
      <w:rPr>
        <w:rFonts w:hint="default"/>
      </w:rPr>
    </w:lvl>
    <w:lvl w:ilvl="7">
      <w:start w:val="0"/>
      <w:numFmt w:val="bullet"/>
      <w:lvlText w:val="•"/>
      <w:lvlJc w:val="left"/>
      <w:pPr>
        <w:ind w:left="6535" w:hanging="420"/>
      </w:pPr>
      <w:rPr>
        <w:rFonts w:hint="default"/>
      </w:rPr>
    </w:lvl>
    <w:lvl w:ilvl="8">
      <w:start w:val="0"/>
      <w:numFmt w:val="bullet"/>
      <w:lvlText w:val="•"/>
      <w:lvlJc w:val="left"/>
      <w:pPr>
        <w:ind w:left="7371" w:hanging="420"/>
      </w:pPr>
      <w:rPr>
        <w:rFonts w:hint="default"/>
      </w:rPr>
    </w:lvl>
  </w:abstractNum>
  <w:abstractNum w:abstractNumId="15">
    <w:multiLevelType w:val="hybridMultilevel"/>
    <w:lvl w:ilvl="0">
      <w:start w:val="1"/>
      <w:numFmt w:val="decimal"/>
      <w:lvlText w:val="%1)"/>
      <w:lvlJc w:val="left"/>
      <w:pPr>
        <w:ind w:left="261" w:hanging="420"/>
        <w:jc w:val="left"/>
      </w:pPr>
      <w:rPr>
        <w:rFonts w:hint="default" w:ascii="宋体" w:hAnsi="宋体" w:eastAsia="宋体" w:cs="宋体"/>
        <w:w w:val="100"/>
        <w:sz w:val="21"/>
        <w:szCs w:val="21"/>
      </w:rPr>
    </w:lvl>
    <w:lvl w:ilvl="1">
      <w:start w:val="0"/>
      <w:numFmt w:val="bullet"/>
      <w:lvlText w:val="•"/>
      <w:lvlJc w:val="left"/>
      <w:pPr>
        <w:ind w:left="1138" w:hanging="420"/>
      </w:pPr>
      <w:rPr>
        <w:rFonts w:hint="default"/>
      </w:rPr>
    </w:lvl>
    <w:lvl w:ilvl="2">
      <w:start w:val="0"/>
      <w:numFmt w:val="bullet"/>
      <w:lvlText w:val="•"/>
      <w:lvlJc w:val="left"/>
      <w:pPr>
        <w:ind w:left="2016" w:hanging="420"/>
      </w:pPr>
      <w:rPr>
        <w:rFonts w:hint="default"/>
      </w:rPr>
    </w:lvl>
    <w:lvl w:ilvl="3">
      <w:start w:val="0"/>
      <w:numFmt w:val="bullet"/>
      <w:lvlText w:val="•"/>
      <w:lvlJc w:val="left"/>
      <w:pPr>
        <w:ind w:left="2895" w:hanging="420"/>
      </w:pPr>
      <w:rPr>
        <w:rFonts w:hint="default"/>
      </w:rPr>
    </w:lvl>
    <w:lvl w:ilvl="4">
      <w:start w:val="0"/>
      <w:numFmt w:val="bullet"/>
      <w:lvlText w:val="•"/>
      <w:lvlJc w:val="left"/>
      <w:pPr>
        <w:ind w:left="3773" w:hanging="420"/>
      </w:pPr>
      <w:rPr>
        <w:rFonts w:hint="default"/>
      </w:rPr>
    </w:lvl>
    <w:lvl w:ilvl="5">
      <w:start w:val="0"/>
      <w:numFmt w:val="bullet"/>
      <w:lvlText w:val="•"/>
      <w:lvlJc w:val="left"/>
      <w:pPr>
        <w:ind w:left="4652" w:hanging="420"/>
      </w:pPr>
      <w:rPr>
        <w:rFonts w:hint="default"/>
      </w:rPr>
    </w:lvl>
    <w:lvl w:ilvl="6">
      <w:start w:val="0"/>
      <w:numFmt w:val="bullet"/>
      <w:lvlText w:val="•"/>
      <w:lvlJc w:val="left"/>
      <w:pPr>
        <w:ind w:left="5530" w:hanging="420"/>
      </w:pPr>
      <w:rPr>
        <w:rFonts w:hint="default"/>
      </w:rPr>
    </w:lvl>
    <w:lvl w:ilvl="7">
      <w:start w:val="0"/>
      <w:numFmt w:val="bullet"/>
      <w:lvlText w:val="•"/>
      <w:lvlJc w:val="left"/>
      <w:pPr>
        <w:ind w:left="6409" w:hanging="420"/>
      </w:pPr>
      <w:rPr>
        <w:rFonts w:hint="default"/>
      </w:rPr>
    </w:lvl>
    <w:lvl w:ilvl="8">
      <w:start w:val="0"/>
      <w:numFmt w:val="bullet"/>
      <w:lvlText w:val="•"/>
      <w:lvlJc w:val="left"/>
      <w:pPr>
        <w:ind w:left="7287" w:hanging="420"/>
      </w:pPr>
      <w:rPr>
        <w:rFonts w:hint="default"/>
      </w:rPr>
    </w:lvl>
  </w:abstractNum>
  <w:abstractNum w:abstractNumId="14">
    <w:multiLevelType w:val="hybridMultilevel"/>
    <w:lvl w:ilvl="0">
      <w:start w:val="1"/>
      <w:numFmt w:val="decimal"/>
      <w:lvlText w:val="%1)"/>
      <w:lvlJc w:val="left"/>
      <w:pPr>
        <w:ind w:left="261" w:hanging="420"/>
        <w:jc w:val="left"/>
      </w:pPr>
      <w:rPr>
        <w:rFonts w:hint="default" w:ascii="宋体" w:hAnsi="宋体" w:eastAsia="宋体" w:cs="宋体"/>
        <w:w w:val="100"/>
        <w:sz w:val="21"/>
        <w:szCs w:val="21"/>
      </w:rPr>
    </w:lvl>
    <w:lvl w:ilvl="1">
      <w:start w:val="0"/>
      <w:numFmt w:val="bullet"/>
      <w:lvlText w:val="•"/>
      <w:lvlJc w:val="left"/>
      <w:pPr>
        <w:ind w:left="1138" w:hanging="420"/>
      </w:pPr>
      <w:rPr>
        <w:rFonts w:hint="default"/>
      </w:rPr>
    </w:lvl>
    <w:lvl w:ilvl="2">
      <w:start w:val="0"/>
      <w:numFmt w:val="bullet"/>
      <w:lvlText w:val="•"/>
      <w:lvlJc w:val="left"/>
      <w:pPr>
        <w:ind w:left="2016" w:hanging="420"/>
      </w:pPr>
      <w:rPr>
        <w:rFonts w:hint="default"/>
      </w:rPr>
    </w:lvl>
    <w:lvl w:ilvl="3">
      <w:start w:val="0"/>
      <w:numFmt w:val="bullet"/>
      <w:lvlText w:val="•"/>
      <w:lvlJc w:val="left"/>
      <w:pPr>
        <w:ind w:left="2895" w:hanging="420"/>
      </w:pPr>
      <w:rPr>
        <w:rFonts w:hint="default"/>
      </w:rPr>
    </w:lvl>
    <w:lvl w:ilvl="4">
      <w:start w:val="0"/>
      <w:numFmt w:val="bullet"/>
      <w:lvlText w:val="•"/>
      <w:lvlJc w:val="left"/>
      <w:pPr>
        <w:ind w:left="3773" w:hanging="420"/>
      </w:pPr>
      <w:rPr>
        <w:rFonts w:hint="default"/>
      </w:rPr>
    </w:lvl>
    <w:lvl w:ilvl="5">
      <w:start w:val="0"/>
      <w:numFmt w:val="bullet"/>
      <w:lvlText w:val="•"/>
      <w:lvlJc w:val="left"/>
      <w:pPr>
        <w:ind w:left="4652" w:hanging="420"/>
      </w:pPr>
      <w:rPr>
        <w:rFonts w:hint="default"/>
      </w:rPr>
    </w:lvl>
    <w:lvl w:ilvl="6">
      <w:start w:val="0"/>
      <w:numFmt w:val="bullet"/>
      <w:lvlText w:val="•"/>
      <w:lvlJc w:val="left"/>
      <w:pPr>
        <w:ind w:left="5530" w:hanging="420"/>
      </w:pPr>
      <w:rPr>
        <w:rFonts w:hint="default"/>
      </w:rPr>
    </w:lvl>
    <w:lvl w:ilvl="7">
      <w:start w:val="0"/>
      <w:numFmt w:val="bullet"/>
      <w:lvlText w:val="•"/>
      <w:lvlJc w:val="left"/>
      <w:pPr>
        <w:ind w:left="6409" w:hanging="420"/>
      </w:pPr>
      <w:rPr>
        <w:rFonts w:hint="default"/>
      </w:rPr>
    </w:lvl>
    <w:lvl w:ilvl="8">
      <w:start w:val="0"/>
      <w:numFmt w:val="bullet"/>
      <w:lvlText w:val="•"/>
      <w:lvlJc w:val="left"/>
      <w:pPr>
        <w:ind w:left="7287" w:hanging="420"/>
      </w:pPr>
      <w:rPr>
        <w:rFonts w:hint="default"/>
      </w:rPr>
    </w:lvl>
  </w:abstractNum>
  <w:abstractNum w:abstractNumId="13">
    <w:multiLevelType w:val="hybridMultilevel"/>
    <w:lvl w:ilvl="0">
      <w:start w:val="1"/>
      <w:numFmt w:val="decimal"/>
      <w:lvlText w:val="%1)"/>
      <w:lvlJc w:val="left"/>
      <w:pPr>
        <w:ind w:left="681" w:hanging="420"/>
        <w:jc w:val="left"/>
      </w:pPr>
      <w:rPr>
        <w:rFonts w:hint="default" w:ascii="宋体" w:hAnsi="宋体" w:eastAsia="宋体" w:cs="宋体"/>
        <w:w w:val="100"/>
        <w:sz w:val="21"/>
        <w:szCs w:val="21"/>
      </w:rPr>
    </w:lvl>
    <w:lvl w:ilvl="1">
      <w:start w:val="0"/>
      <w:numFmt w:val="bullet"/>
      <w:lvlText w:val="•"/>
      <w:lvlJc w:val="left"/>
      <w:pPr>
        <w:ind w:left="1514" w:hanging="420"/>
      </w:pPr>
      <w:rPr>
        <w:rFonts w:hint="default"/>
      </w:rPr>
    </w:lvl>
    <w:lvl w:ilvl="2">
      <w:start w:val="0"/>
      <w:numFmt w:val="bullet"/>
      <w:lvlText w:val="•"/>
      <w:lvlJc w:val="left"/>
      <w:pPr>
        <w:ind w:left="2348" w:hanging="420"/>
      </w:pPr>
      <w:rPr>
        <w:rFonts w:hint="default"/>
      </w:rPr>
    </w:lvl>
    <w:lvl w:ilvl="3">
      <w:start w:val="0"/>
      <w:numFmt w:val="bullet"/>
      <w:lvlText w:val="•"/>
      <w:lvlJc w:val="left"/>
      <w:pPr>
        <w:ind w:left="3183" w:hanging="420"/>
      </w:pPr>
      <w:rPr>
        <w:rFonts w:hint="default"/>
      </w:rPr>
    </w:lvl>
    <w:lvl w:ilvl="4">
      <w:start w:val="0"/>
      <w:numFmt w:val="bullet"/>
      <w:lvlText w:val="•"/>
      <w:lvlJc w:val="left"/>
      <w:pPr>
        <w:ind w:left="4017" w:hanging="420"/>
      </w:pPr>
      <w:rPr>
        <w:rFonts w:hint="default"/>
      </w:rPr>
    </w:lvl>
    <w:lvl w:ilvl="5">
      <w:start w:val="0"/>
      <w:numFmt w:val="bullet"/>
      <w:lvlText w:val="•"/>
      <w:lvlJc w:val="left"/>
      <w:pPr>
        <w:ind w:left="4852" w:hanging="420"/>
      </w:pPr>
      <w:rPr>
        <w:rFonts w:hint="default"/>
      </w:rPr>
    </w:lvl>
    <w:lvl w:ilvl="6">
      <w:start w:val="0"/>
      <w:numFmt w:val="bullet"/>
      <w:lvlText w:val="•"/>
      <w:lvlJc w:val="left"/>
      <w:pPr>
        <w:ind w:left="5686" w:hanging="420"/>
      </w:pPr>
      <w:rPr>
        <w:rFonts w:hint="default"/>
      </w:rPr>
    </w:lvl>
    <w:lvl w:ilvl="7">
      <w:start w:val="0"/>
      <w:numFmt w:val="bullet"/>
      <w:lvlText w:val="•"/>
      <w:lvlJc w:val="left"/>
      <w:pPr>
        <w:ind w:left="6521" w:hanging="420"/>
      </w:pPr>
      <w:rPr>
        <w:rFonts w:hint="default"/>
      </w:rPr>
    </w:lvl>
    <w:lvl w:ilvl="8">
      <w:start w:val="0"/>
      <w:numFmt w:val="bullet"/>
      <w:lvlText w:val="•"/>
      <w:lvlJc w:val="left"/>
      <w:pPr>
        <w:ind w:left="7355" w:hanging="420"/>
      </w:pPr>
      <w:rPr>
        <w:rFonts w:hint="default"/>
      </w:rPr>
    </w:lvl>
  </w:abstractNum>
  <w:abstractNum w:abstractNumId="12">
    <w:multiLevelType w:val="hybridMultilevel"/>
    <w:lvl w:ilvl="0">
      <w:start w:val="1"/>
      <w:numFmt w:val="decimal"/>
      <w:lvlText w:val="%1)"/>
      <w:lvlJc w:val="left"/>
      <w:pPr>
        <w:ind w:left="261" w:hanging="420"/>
        <w:jc w:val="left"/>
      </w:pPr>
      <w:rPr>
        <w:rFonts w:hint="default" w:ascii="宋体" w:hAnsi="宋体" w:eastAsia="宋体" w:cs="宋体"/>
        <w:w w:val="100"/>
        <w:sz w:val="21"/>
        <w:szCs w:val="21"/>
      </w:rPr>
    </w:lvl>
    <w:lvl w:ilvl="1">
      <w:start w:val="0"/>
      <w:numFmt w:val="bullet"/>
      <w:lvlText w:val="•"/>
      <w:lvlJc w:val="left"/>
      <w:pPr>
        <w:ind w:left="1136" w:hanging="420"/>
      </w:pPr>
      <w:rPr>
        <w:rFonts w:hint="default"/>
      </w:rPr>
    </w:lvl>
    <w:lvl w:ilvl="2">
      <w:start w:val="0"/>
      <w:numFmt w:val="bullet"/>
      <w:lvlText w:val="•"/>
      <w:lvlJc w:val="left"/>
      <w:pPr>
        <w:ind w:left="2012" w:hanging="420"/>
      </w:pPr>
      <w:rPr>
        <w:rFonts w:hint="default"/>
      </w:rPr>
    </w:lvl>
    <w:lvl w:ilvl="3">
      <w:start w:val="0"/>
      <w:numFmt w:val="bullet"/>
      <w:lvlText w:val="•"/>
      <w:lvlJc w:val="left"/>
      <w:pPr>
        <w:ind w:left="2889" w:hanging="420"/>
      </w:pPr>
      <w:rPr>
        <w:rFonts w:hint="default"/>
      </w:rPr>
    </w:lvl>
    <w:lvl w:ilvl="4">
      <w:start w:val="0"/>
      <w:numFmt w:val="bullet"/>
      <w:lvlText w:val="•"/>
      <w:lvlJc w:val="left"/>
      <w:pPr>
        <w:ind w:left="3765" w:hanging="420"/>
      </w:pPr>
      <w:rPr>
        <w:rFonts w:hint="default"/>
      </w:rPr>
    </w:lvl>
    <w:lvl w:ilvl="5">
      <w:start w:val="0"/>
      <w:numFmt w:val="bullet"/>
      <w:lvlText w:val="•"/>
      <w:lvlJc w:val="left"/>
      <w:pPr>
        <w:ind w:left="4642" w:hanging="420"/>
      </w:pPr>
      <w:rPr>
        <w:rFonts w:hint="default"/>
      </w:rPr>
    </w:lvl>
    <w:lvl w:ilvl="6">
      <w:start w:val="0"/>
      <w:numFmt w:val="bullet"/>
      <w:lvlText w:val="•"/>
      <w:lvlJc w:val="left"/>
      <w:pPr>
        <w:ind w:left="5518" w:hanging="420"/>
      </w:pPr>
      <w:rPr>
        <w:rFonts w:hint="default"/>
      </w:rPr>
    </w:lvl>
    <w:lvl w:ilvl="7">
      <w:start w:val="0"/>
      <w:numFmt w:val="bullet"/>
      <w:lvlText w:val="•"/>
      <w:lvlJc w:val="left"/>
      <w:pPr>
        <w:ind w:left="6395" w:hanging="420"/>
      </w:pPr>
      <w:rPr>
        <w:rFonts w:hint="default"/>
      </w:rPr>
    </w:lvl>
    <w:lvl w:ilvl="8">
      <w:start w:val="0"/>
      <w:numFmt w:val="bullet"/>
      <w:lvlText w:val="•"/>
      <w:lvlJc w:val="left"/>
      <w:pPr>
        <w:ind w:left="7271" w:hanging="420"/>
      </w:pPr>
      <w:rPr>
        <w:rFonts w:hint="default"/>
      </w:rPr>
    </w:lvl>
  </w:abstractNum>
  <w:abstractNum w:abstractNumId="11">
    <w:multiLevelType w:val="hybridMultilevel"/>
    <w:lvl w:ilvl="0">
      <w:start w:val="1"/>
      <w:numFmt w:val="decimal"/>
      <w:lvlText w:val="%1)"/>
      <w:lvlJc w:val="left"/>
      <w:pPr>
        <w:ind w:left="261" w:hanging="420"/>
        <w:jc w:val="left"/>
      </w:pPr>
      <w:rPr>
        <w:rFonts w:hint="default" w:ascii="宋体" w:hAnsi="宋体" w:eastAsia="宋体" w:cs="宋体"/>
        <w:w w:val="100"/>
        <w:sz w:val="21"/>
        <w:szCs w:val="21"/>
      </w:rPr>
    </w:lvl>
    <w:lvl w:ilvl="1">
      <w:start w:val="0"/>
      <w:numFmt w:val="bullet"/>
      <w:lvlText w:val="•"/>
      <w:lvlJc w:val="left"/>
      <w:pPr>
        <w:ind w:left="1136" w:hanging="420"/>
      </w:pPr>
      <w:rPr>
        <w:rFonts w:hint="default"/>
      </w:rPr>
    </w:lvl>
    <w:lvl w:ilvl="2">
      <w:start w:val="0"/>
      <w:numFmt w:val="bullet"/>
      <w:lvlText w:val="•"/>
      <w:lvlJc w:val="left"/>
      <w:pPr>
        <w:ind w:left="2012" w:hanging="420"/>
      </w:pPr>
      <w:rPr>
        <w:rFonts w:hint="default"/>
      </w:rPr>
    </w:lvl>
    <w:lvl w:ilvl="3">
      <w:start w:val="0"/>
      <w:numFmt w:val="bullet"/>
      <w:lvlText w:val="•"/>
      <w:lvlJc w:val="left"/>
      <w:pPr>
        <w:ind w:left="2889" w:hanging="420"/>
      </w:pPr>
      <w:rPr>
        <w:rFonts w:hint="default"/>
      </w:rPr>
    </w:lvl>
    <w:lvl w:ilvl="4">
      <w:start w:val="0"/>
      <w:numFmt w:val="bullet"/>
      <w:lvlText w:val="•"/>
      <w:lvlJc w:val="left"/>
      <w:pPr>
        <w:ind w:left="3765" w:hanging="420"/>
      </w:pPr>
      <w:rPr>
        <w:rFonts w:hint="default"/>
      </w:rPr>
    </w:lvl>
    <w:lvl w:ilvl="5">
      <w:start w:val="0"/>
      <w:numFmt w:val="bullet"/>
      <w:lvlText w:val="•"/>
      <w:lvlJc w:val="left"/>
      <w:pPr>
        <w:ind w:left="4642" w:hanging="420"/>
      </w:pPr>
      <w:rPr>
        <w:rFonts w:hint="default"/>
      </w:rPr>
    </w:lvl>
    <w:lvl w:ilvl="6">
      <w:start w:val="0"/>
      <w:numFmt w:val="bullet"/>
      <w:lvlText w:val="•"/>
      <w:lvlJc w:val="left"/>
      <w:pPr>
        <w:ind w:left="5518" w:hanging="420"/>
      </w:pPr>
      <w:rPr>
        <w:rFonts w:hint="default"/>
      </w:rPr>
    </w:lvl>
    <w:lvl w:ilvl="7">
      <w:start w:val="0"/>
      <w:numFmt w:val="bullet"/>
      <w:lvlText w:val="•"/>
      <w:lvlJc w:val="left"/>
      <w:pPr>
        <w:ind w:left="6395" w:hanging="420"/>
      </w:pPr>
      <w:rPr>
        <w:rFonts w:hint="default"/>
      </w:rPr>
    </w:lvl>
    <w:lvl w:ilvl="8">
      <w:start w:val="0"/>
      <w:numFmt w:val="bullet"/>
      <w:lvlText w:val="•"/>
      <w:lvlJc w:val="left"/>
      <w:pPr>
        <w:ind w:left="7271" w:hanging="420"/>
      </w:pPr>
      <w:rPr>
        <w:rFonts w:hint="default"/>
      </w:rPr>
    </w:lvl>
  </w:abstractNum>
  <w:abstractNum w:abstractNumId="10">
    <w:multiLevelType w:val="hybridMultilevel"/>
    <w:lvl w:ilvl="0">
      <w:start w:val="1"/>
      <w:numFmt w:val="decimal"/>
      <w:lvlText w:val="%1)"/>
      <w:lvlJc w:val="left"/>
      <w:pPr>
        <w:ind w:left="261" w:hanging="420"/>
        <w:jc w:val="left"/>
      </w:pPr>
      <w:rPr>
        <w:rFonts w:hint="default" w:ascii="宋体" w:hAnsi="宋体" w:eastAsia="宋体" w:cs="宋体"/>
        <w:spacing w:val="-1"/>
        <w:w w:val="100"/>
        <w:sz w:val="21"/>
        <w:szCs w:val="21"/>
      </w:rPr>
    </w:lvl>
    <w:lvl w:ilvl="1">
      <w:start w:val="0"/>
      <w:numFmt w:val="bullet"/>
      <w:lvlText w:val="•"/>
      <w:lvlJc w:val="left"/>
      <w:pPr>
        <w:ind w:left="1136" w:hanging="420"/>
      </w:pPr>
      <w:rPr>
        <w:rFonts w:hint="default"/>
      </w:rPr>
    </w:lvl>
    <w:lvl w:ilvl="2">
      <w:start w:val="0"/>
      <w:numFmt w:val="bullet"/>
      <w:lvlText w:val="•"/>
      <w:lvlJc w:val="left"/>
      <w:pPr>
        <w:ind w:left="2012" w:hanging="420"/>
      </w:pPr>
      <w:rPr>
        <w:rFonts w:hint="default"/>
      </w:rPr>
    </w:lvl>
    <w:lvl w:ilvl="3">
      <w:start w:val="0"/>
      <w:numFmt w:val="bullet"/>
      <w:lvlText w:val="•"/>
      <w:lvlJc w:val="left"/>
      <w:pPr>
        <w:ind w:left="2889" w:hanging="420"/>
      </w:pPr>
      <w:rPr>
        <w:rFonts w:hint="default"/>
      </w:rPr>
    </w:lvl>
    <w:lvl w:ilvl="4">
      <w:start w:val="0"/>
      <w:numFmt w:val="bullet"/>
      <w:lvlText w:val="•"/>
      <w:lvlJc w:val="left"/>
      <w:pPr>
        <w:ind w:left="3765" w:hanging="420"/>
      </w:pPr>
      <w:rPr>
        <w:rFonts w:hint="default"/>
      </w:rPr>
    </w:lvl>
    <w:lvl w:ilvl="5">
      <w:start w:val="0"/>
      <w:numFmt w:val="bullet"/>
      <w:lvlText w:val="•"/>
      <w:lvlJc w:val="left"/>
      <w:pPr>
        <w:ind w:left="4642" w:hanging="420"/>
      </w:pPr>
      <w:rPr>
        <w:rFonts w:hint="default"/>
      </w:rPr>
    </w:lvl>
    <w:lvl w:ilvl="6">
      <w:start w:val="0"/>
      <w:numFmt w:val="bullet"/>
      <w:lvlText w:val="•"/>
      <w:lvlJc w:val="left"/>
      <w:pPr>
        <w:ind w:left="5518" w:hanging="420"/>
      </w:pPr>
      <w:rPr>
        <w:rFonts w:hint="default"/>
      </w:rPr>
    </w:lvl>
    <w:lvl w:ilvl="7">
      <w:start w:val="0"/>
      <w:numFmt w:val="bullet"/>
      <w:lvlText w:val="•"/>
      <w:lvlJc w:val="left"/>
      <w:pPr>
        <w:ind w:left="6395" w:hanging="420"/>
      </w:pPr>
      <w:rPr>
        <w:rFonts w:hint="default"/>
      </w:rPr>
    </w:lvl>
    <w:lvl w:ilvl="8">
      <w:start w:val="0"/>
      <w:numFmt w:val="bullet"/>
      <w:lvlText w:val="•"/>
      <w:lvlJc w:val="left"/>
      <w:pPr>
        <w:ind w:left="7271" w:hanging="420"/>
      </w:pPr>
      <w:rPr>
        <w:rFonts w:hint="default"/>
      </w:rPr>
    </w:lvl>
  </w:abstractNum>
  <w:abstractNum w:abstractNumId="9">
    <w:multiLevelType w:val="hybridMultilevel"/>
    <w:lvl w:ilvl="0">
      <w:start w:val="1"/>
      <w:numFmt w:val="decimal"/>
      <w:lvlText w:val="%1"/>
      <w:lvlJc w:val="left"/>
      <w:pPr>
        <w:ind w:left="761" w:hanging="534"/>
        <w:jc w:val="right"/>
      </w:pPr>
      <w:rPr>
        <w:rFonts w:hint="default" w:ascii="宋体" w:hAnsi="宋体" w:eastAsia="宋体" w:cs="宋体"/>
        <w:b/>
        <w:bCs/>
        <w:w w:val="99"/>
        <w:sz w:val="21"/>
        <w:szCs w:val="21"/>
      </w:rPr>
    </w:lvl>
    <w:lvl w:ilvl="1">
      <w:start w:val="1"/>
      <w:numFmt w:val="decimal"/>
      <w:lvlText w:val="%2)"/>
      <w:lvlJc w:val="left"/>
      <w:pPr>
        <w:ind w:left="1061" w:hanging="420"/>
        <w:jc w:val="left"/>
      </w:pPr>
      <w:rPr>
        <w:rFonts w:hint="default"/>
        <w:w w:val="100"/>
      </w:rPr>
    </w:lvl>
    <w:lvl w:ilvl="2">
      <w:start w:val="0"/>
      <w:numFmt w:val="bullet"/>
      <w:lvlText w:val="•"/>
      <w:lvlJc w:val="left"/>
      <w:pPr>
        <w:ind w:left="1060" w:hanging="420"/>
      </w:pPr>
      <w:rPr>
        <w:rFonts w:hint="default"/>
      </w:rPr>
    </w:lvl>
    <w:lvl w:ilvl="3">
      <w:start w:val="0"/>
      <w:numFmt w:val="bullet"/>
      <w:lvlText w:val="•"/>
      <w:lvlJc w:val="left"/>
      <w:pPr>
        <w:ind w:left="1180" w:hanging="420"/>
      </w:pPr>
      <w:rPr>
        <w:rFonts w:hint="default"/>
      </w:rPr>
    </w:lvl>
    <w:lvl w:ilvl="4">
      <w:start w:val="0"/>
      <w:numFmt w:val="bullet"/>
      <w:lvlText w:val="•"/>
      <w:lvlJc w:val="left"/>
      <w:pPr>
        <w:ind w:left="2352" w:hanging="420"/>
      </w:pPr>
      <w:rPr>
        <w:rFonts w:hint="default"/>
      </w:rPr>
    </w:lvl>
    <w:lvl w:ilvl="5">
      <w:start w:val="0"/>
      <w:numFmt w:val="bullet"/>
      <w:lvlText w:val="•"/>
      <w:lvlJc w:val="left"/>
      <w:pPr>
        <w:ind w:left="3524" w:hanging="420"/>
      </w:pPr>
      <w:rPr>
        <w:rFonts w:hint="default"/>
      </w:rPr>
    </w:lvl>
    <w:lvl w:ilvl="6">
      <w:start w:val="0"/>
      <w:numFmt w:val="bullet"/>
      <w:lvlText w:val="•"/>
      <w:lvlJc w:val="left"/>
      <w:pPr>
        <w:ind w:left="4696" w:hanging="420"/>
      </w:pPr>
      <w:rPr>
        <w:rFonts w:hint="default"/>
      </w:rPr>
    </w:lvl>
    <w:lvl w:ilvl="7">
      <w:start w:val="0"/>
      <w:numFmt w:val="bullet"/>
      <w:lvlText w:val="•"/>
      <w:lvlJc w:val="left"/>
      <w:pPr>
        <w:ind w:left="5868" w:hanging="420"/>
      </w:pPr>
      <w:rPr>
        <w:rFonts w:hint="default"/>
      </w:rPr>
    </w:lvl>
    <w:lvl w:ilvl="8">
      <w:start w:val="0"/>
      <w:numFmt w:val="bullet"/>
      <w:lvlText w:val="•"/>
      <w:lvlJc w:val="left"/>
      <w:pPr>
        <w:ind w:left="7040" w:hanging="420"/>
      </w:pPr>
      <w:rPr>
        <w:rFonts w:hint="default"/>
      </w:rPr>
    </w:lvl>
  </w:abstractNum>
  <w:abstractNum w:abstractNumId="8">
    <w:multiLevelType w:val="hybridMultilevel"/>
    <w:lvl w:ilvl="0">
      <w:start w:val="6"/>
      <w:numFmt w:val="decimal"/>
      <w:lvlText w:val="%1"/>
      <w:lvlJc w:val="left"/>
      <w:pPr>
        <w:ind w:left="728" w:hanging="535"/>
        <w:jc w:val="left"/>
      </w:pPr>
      <w:rPr>
        <w:rFonts w:hint="default"/>
      </w:rPr>
    </w:lvl>
    <w:lvl w:ilvl="1">
      <w:start w:val="1"/>
      <w:numFmt w:val="decimal"/>
      <w:lvlText w:val="%1.%2"/>
      <w:lvlJc w:val="left"/>
      <w:pPr>
        <w:ind w:left="728" w:hanging="535"/>
        <w:jc w:val="left"/>
      </w:pPr>
      <w:rPr>
        <w:rFonts w:hint="default" w:ascii="宋体" w:hAnsi="宋体" w:eastAsia="宋体" w:cs="宋体"/>
        <w:b/>
        <w:bCs/>
        <w:spacing w:val="0"/>
        <w:w w:val="99"/>
        <w:sz w:val="21"/>
        <w:szCs w:val="21"/>
      </w:rPr>
    </w:lvl>
    <w:lvl w:ilvl="2">
      <w:start w:val="1"/>
      <w:numFmt w:val="decimal"/>
      <w:lvlText w:val="%3)"/>
      <w:lvlJc w:val="left"/>
      <w:pPr>
        <w:ind w:left="1181" w:hanging="420"/>
        <w:jc w:val="left"/>
      </w:pPr>
      <w:rPr>
        <w:rFonts w:hint="default" w:ascii="宋体" w:hAnsi="宋体" w:eastAsia="宋体" w:cs="宋体"/>
        <w:spacing w:val="-27"/>
        <w:w w:val="100"/>
        <w:sz w:val="21"/>
        <w:szCs w:val="21"/>
      </w:rPr>
    </w:lvl>
    <w:lvl w:ilvl="3">
      <w:start w:val="0"/>
      <w:numFmt w:val="bullet"/>
      <w:lvlText w:val="•"/>
      <w:lvlJc w:val="left"/>
      <w:pPr>
        <w:ind w:left="3038" w:hanging="420"/>
      </w:pPr>
      <w:rPr>
        <w:rFonts w:hint="default"/>
      </w:rPr>
    </w:lvl>
    <w:lvl w:ilvl="4">
      <w:start w:val="0"/>
      <w:numFmt w:val="bullet"/>
      <w:lvlText w:val="•"/>
      <w:lvlJc w:val="left"/>
      <w:pPr>
        <w:ind w:left="3968" w:hanging="420"/>
      </w:pPr>
      <w:rPr>
        <w:rFonts w:hint="default"/>
      </w:rPr>
    </w:lvl>
    <w:lvl w:ilvl="5">
      <w:start w:val="0"/>
      <w:numFmt w:val="bullet"/>
      <w:lvlText w:val="•"/>
      <w:lvlJc w:val="left"/>
      <w:pPr>
        <w:ind w:left="4897" w:hanging="420"/>
      </w:pPr>
      <w:rPr>
        <w:rFonts w:hint="default"/>
      </w:rPr>
    </w:lvl>
    <w:lvl w:ilvl="6">
      <w:start w:val="0"/>
      <w:numFmt w:val="bullet"/>
      <w:lvlText w:val="•"/>
      <w:lvlJc w:val="left"/>
      <w:pPr>
        <w:ind w:left="5826" w:hanging="420"/>
      </w:pPr>
      <w:rPr>
        <w:rFonts w:hint="default"/>
      </w:rPr>
    </w:lvl>
    <w:lvl w:ilvl="7">
      <w:start w:val="0"/>
      <w:numFmt w:val="bullet"/>
      <w:lvlText w:val="•"/>
      <w:lvlJc w:val="left"/>
      <w:pPr>
        <w:ind w:left="6756" w:hanging="420"/>
      </w:pPr>
      <w:rPr>
        <w:rFonts w:hint="default"/>
      </w:rPr>
    </w:lvl>
    <w:lvl w:ilvl="8">
      <w:start w:val="0"/>
      <w:numFmt w:val="bullet"/>
      <w:lvlText w:val="•"/>
      <w:lvlJc w:val="left"/>
      <w:pPr>
        <w:ind w:left="7685" w:hanging="420"/>
      </w:pPr>
      <w:rPr>
        <w:rFonts w:hint="default"/>
      </w:rPr>
    </w:lvl>
  </w:abstractNum>
  <w:abstractNum w:abstractNumId="7">
    <w:multiLevelType w:val="hybridMultilevel"/>
    <w:lvl w:ilvl="0">
      <w:start w:val="1"/>
      <w:numFmt w:val="decimal"/>
      <w:lvlText w:val="%1)"/>
      <w:lvlJc w:val="left"/>
      <w:pPr>
        <w:ind w:left="1061" w:hanging="420"/>
        <w:jc w:val="left"/>
      </w:pPr>
      <w:rPr>
        <w:rFonts w:hint="default" w:ascii="宋体" w:hAnsi="宋体" w:eastAsia="宋体" w:cs="宋体"/>
        <w:w w:val="100"/>
        <w:sz w:val="21"/>
        <w:szCs w:val="21"/>
      </w:rPr>
    </w:lvl>
    <w:lvl w:ilvl="1">
      <w:start w:val="0"/>
      <w:numFmt w:val="bullet"/>
      <w:lvlText w:val="•"/>
      <w:lvlJc w:val="left"/>
      <w:pPr>
        <w:ind w:left="1890" w:hanging="420"/>
      </w:pPr>
      <w:rPr>
        <w:rFonts w:hint="default"/>
      </w:rPr>
    </w:lvl>
    <w:lvl w:ilvl="2">
      <w:start w:val="0"/>
      <w:numFmt w:val="bullet"/>
      <w:lvlText w:val="•"/>
      <w:lvlJc w:val="left"/>
      <w:pPr>
        <w:ind w:left="2720" w:hanging="420"/>
      </w:pPr>
      <w:rPr>
        <w:rFonts w:hint="default"/>
      </w:rPr>
    </w:lvl>
    <w:lvl w:ilvl="3">
      <w:start w:val="0"/>
      <w:numFmt w:val="bullet"/>
      <w:lvlText w:val="•"/>
      <w:lvlJc w:val="left"/>
      <w:pPr>
        <w:ind w:left="3551" w:hanging="420"/>
      </w:pPr>
      <w:rPr>
        <w:rFonts w:hint="default"/>
      </w:rPr>
    </w:lvl>
    <w:lvl w:ilvl="4">
      <w:start w:val="0"/>
      <w:numFmt w:val="bullet"/>
      <w:lvlText w:val="•"/>
      <w:lvlJc w:val="left"/>
      <w:pPr>
        <w:ind w:left="4381" w:hanging="420"/>
      </w:pPr>
      <w:rPr>
        <w:rFonts w:hint="default"/>
      </w:rPr>
    </w:lvl>
    <w:lvl w:ilvl="5">
      <w:start w:val="0"/>
      <w:numFmt w:val="bullet"/>
      <w:lvlText w:val="•"/>
      <w:lvlJc w:val="left"/>
      <w:pPr>
        <w:ind w:left="5212" w:hanging="420"/>
      </w:pPr>
      <w:rPr>
        <w:rFonts w:hint="default"/>
      </w:rPr>
    </w:lvl>
    <w:lvl w:ilvl="6">
      <w:start w:val="0"/>
      <w:numFmt w:val="bullet"/>
      <w:lvlText w:val="•"/>
      <w:lvlJc w:val="left"/>
      <w:pPr>
        <w:ind w:left="6042" w:hanging="420"/>
      </w:pPr>
      <w:rPr>
        <w:rFonts w:hint="default"/>
      </w:rPr>
    </w:lvl>
    <w:lvl w:ilvl="7">
      <w:start w:val="0"/>
      <w:numFmt w:val="bullet"/>
      <w:lvlText w:val="•"/>
      <w:lvlJc w:val="left"/>
      <w:pPr>
        <w:ind w:left="6873" w:hanging="420"/>
      </w:pPr>
      <w:rPr>
        <w:rFonts w:hint="default"/>
      </w:rPr>
    </w:lvl>
    <w:lvl w:ilvl="8">
      <w:start w:val="0"/>
      <w:numFmt w:val="bullet"/>
      <w:lvlText w:val="•"/>
      <w:lvlJc w:val="left"/>
      <w:pPr>
        <w:ind w:left="7703" w:hanging="420"/>
      </w:pPr>
      <w:rPr>
        <w:rFonts w:hint="default"/>
      </w:rPr>
    </w:lvl>
  </w:abstractNum>
  <w:abstractNum w:abstractNumId="6">
    <w:multiLevelType w:val="hybridMultilevel"/>
    <w:lvl w:ilvl="0">
      <w:start w:val="1"/>
      <w:numFmt w:val="decimal"/>
      <w:lvlText w:val="%1)"/>
      <w:lvlJc w:val="left"/>
      <w:pPr>
        <w:ind w:left="1061" w:hanging="420"/>
        <w:jc w:val="left"/>
      </w:pPr>
      <w:rPr>
        <w:rFonts w:hint="default" w:ascii="宋体" w:hAnsi="宋体" w:eastAsia="宋体" w:cs="宋体"/>
        <w:w w:val="100"/>
        <w:sz w:val="21"/>
        <w:szCs w:val="21"/>
      </w:rPr>
    </w:lvl>
    <w:lvl w:ilvl="1">
      <w:start w:val="0"/>
      <w:numFmt w:val="bullet"/>
      <w:lvlText w:val="•"/>
      <w:lvlJc w:val="left"/>
      <w:pPr>
        <w:ind w:left="1890" w:hanging="420"/>
      </w:pPr>
      <w:rPr>
        <w:rFonts w:hint="default"/>
      </w:rPr>
    </w:lvl>
    <w:lvl w:ilvl="2">
      <w:start w:val="0"/>
      <w:numFmt w:val="bullet"/>
      <w:lvlText w:val="•"/>
      <w:lvlJc w:val="left"/>
      <w:pPr>
        <w:ind w:left="2720" w:hanging="420"/>
      </w:pPr>
      <w:rPr>
        <w:rFonts w:hint="default"/>
      </w:rPr>
    </w:lvl>
    <w:lvl w:ilvl="3">
      <w:start w:val="0"/>
      <w:numFmt w:val="bullet"/>
      <w:lvlText w:val="•"/>
      <w:lvlJc w:val="left"/>
      <w:pPr>
        <w:ind w:left="3551" w:hanging="420"/>
      </w:pPr>
      <w:rPr>
        <w:rFonts w:hint="default"/>
      </w:rPr>
    </w:lvl>
    <w:lvl w:ilvl="4">
      <w:start w:val="0"/>
      <w:numFmt w:val="bullet"/>
      <w:lvlText w:val="•"/>
      <w:lvlJc w:val="left"/>
      <w:pPr>
        <w:ind w:left="4381" w:hanging="420"/>
      </w:pPr>
      <w:rPr>
        <w:rFonts w:hint="default"/>
      </w:rPr>
    </w:lvl>
    <w:lvl w:ilvl="5">
      <w:start w:val="0"/>
      <w:numFmt w:val="bullet"/>
      <w:lvlText w:val="•"/>
      <w:lvlJc w:val="left"/>
      <w:pPr>
        <w:ind w:left="5212" w:hanging="420"/>
      </w:pPr>
      <w:rPr>
        <w:rFonts w:hint="default"/>
      </w:rPr>
    </w:lvl>
    <w:lvl w:ilvl="6">
      <w:start w:val="0"/>
      <w:numFmt w:val="bullet"/>
      <w:lvlText w:val="•"/>
      <w:lvlJc w:val="left"/>
      <w:pPr>
        <w:ind w:left="6042" w:hanging="420"/>
      </w:pPr>
      <w:rPr>
        <w:rFonts w:hint="default"/>
      </w:rPr>
    </w:lvl>
    <w:lvl w:ilvl="7">
      <w:start w:val="0"/>
      <w:numFmt w:val="bullet"/>
      <w:lvlText w:val="•"/>
      <w:lvlJc w:val="left"/>
      <w:pPr>
        <w:ind w:left="6873" w:hanging="420"/>
      </w:pPr>
      <w:rPr>
        <w:rFonts w:hint="default"/>
      </w:rPr>
    </w:lvl>
    <w:lvl w:ilvl="8">
      <w:start w:val="0"/>
      <w:numFmt w:val="bullet"/>
      <w:lvlText w:val="•"/>
      <w:lvlJc w:val="left"/>
      <w:pPr>
        <w:ind w:left="7703" w:hanging="420"/>
      </w:pPr>
      <w:rPr>
        <w:rFonts w:hint="default"/>
      </w:rPr>
    </w:lvl>
  </w:abstractNum>
  <w:abstractNum w:abstractNumId="5">
    <w:multiLevelType w:val="hybridMultilevel"/>
    <w:lvl w:ilvl="0">
      <w:start w:val="5"/>
      <w:numFmt w:val="decimal"/>
      <w:lvlText w:val="%1"/>
      <w:lvlJc w:val="left"/>
      <w:pPr>
        <w:ind w:left="761" w:hanging="535"/>
        <w:jc w:val="left"/>
      </w:pPr>
      <w:rPr>
        <w:rFonts w:hint="default"/>
      </w:rPr>
    </w:lvl>
    <w:lvl w:ilvl="1">
      <w:start w:val="1"/>
      <w:numFmt w:val="decimal"/>
      <w:lvlText w:val="%1.%2"/>
      <w:lvlJc w:val="left"/>
      <w:pPr>
        <w:ind w:left="641" w:hanging="535"/>
        <w:jc w:val="right"/>
      </w:pPr>
      <w:rPr>
        <w:rFonts w:hint="default" w:ascii="宋体" w:hAnsi="宋体" w:eastAsia="宋体" w:cs="宋体"/>
        <w:b/>
        <w:bCs/>
        <w:w w:val="99"/>
        <w:sz w:val="21"/>
        <w:szCs w:val="21"/>
      </w:rPr>
    </w:lvl>
    <w:lvl w:ilvl="2">
      <w:start w:val="1"/>
      <w:numFmt w:val="decimal"/>
      <w:lvlText w:val="%3)"/>
      <w:lvlJc w:val="left"/>
      <w:pPr>
        <w:ind w:left="1061" w:hanging="420"/>
        <w:jc w:val="left"/>
      </w:pPr>
      <w:rPr>
        <w:rFonts w:hint="default" w:ascii="宋体" w:hAnsi="宋体" w:eastAsia="宋体" w:cs="宋体"/>
        <w:w w:val="100"/>
        <w:sz w:val="21"/>
        <w:szCs w:val="21"/>
      </w:rPr>
    </w:lvl>
    <w:lvl w:ilvl="3">
      <w:start w:val="0"/>
      <w:numFmt w:val="bullet"/>
      <w:lvlText w:val="•"/>
      <w:lvlJc w:val="left"/>
      <w:pPr>
        <w:ind w:left="2098" w:hanging="420"/>
      </w:pPr>
      <w:rPr>
        <w:rFonts w:hint="default"/>
      </w:rPr>
    </w:lvl>
    <w:lvl w:ilvl="4">
      <w:start w:val="0"/>
      <w:numFmt w:val="bullet"/>
      <w:lvlText w:val="•"/>
      <w:lvlJc w:val="left"/>
      <w:pPr>
        <w:ind w:left="3136" w:hanging="420"/>
      </w:pPr>
      <w:rPr>
        <w:rFonts w:hint="default"/>
      </w:rPr>
    </w:lvl>
    <w:lvl w:ilvl="5">
      <w:start w:val="0"/>
      <w:numFmt w:val="bullet"/>
      <w:lvlText w:val="•"/>
      <w:lvlJc w:val="left"/>
      <w:pPr>
        <w:ind w:left="4174" w:hanging="420"/>
      </w:pPr>
      <w:rPr>
        <w:rFonts w:hint="default"/>
      </w:rPr>
    </w:lvl>
    <w:lvl w:ilvl="6">
      <w:start w:val="0"/>
      <w:numFmt w:val="bullet"/>
      <w:lvlText w:val="•"/>
      <w:lvlJc w:val="left"/>
      <w:pPr>
        <w:ind w:left="5212" w:hanging="420"/>
      </w:pPr>
      <w:rPr>
        <w:rFonts w:hint="default"/>
      </w:rPr>
    </w:lvl>
    <w:lvl w:ilvl="7">
      <w:start w:val="0"/>
      <w:numFmt w:val="bullet"/>
      <w:lvlText w:val="•"/>
      <w:lvlJc w:val="left"/>
      <w:pPr>
        <w:ind w:left="6250" w:hanging="420"/>
      </w:pPr>
      <w:rPr>
        <w:rFonts w:hint="default"/>
      </w:rPr>
    </w:lvl>
    <w:lvl w:ilvl="8">
      <w:start w:val="0"/>
      <w:numFmt w:val="bullet"/>
      <w:lvlText w:val="•"/>
      <w:lvlJc w:val="left"/>
      <w:pPr>
        <w:ind w:left="7288" w:hanging="420"/>
      </w:pPr>
      <w:rPr>
        <w:rFonts w:hint="default"/>
      </w:rPr>
    </w:lvl>
  </w:abstractNum>
  <w:abstractNum w:abstractNumId="4">
    <w:multiLevelType w:val="hybridMultilevel"/>
    <w:lvl w:ilvl="0">
      <w:start w:val="4"/>
      <w:numFmt w:val="decimal"/>
      <w:lvlText w:val="%1"/>
      <w:lvlJc w:val="left"/>
      <w:pPr>
        <w:ind w:left="761" w:hanging="535"/>
        <w:jc w:val="left"/>
      </w:pPr>
      <w:rPr>
        <w:rFonts w:hint="default"/>
      </w:rPr>
    </w:lvl>
    <w:lvl w:ilvl="1">
      <w:start w:val="1"/>
      <w:numFmt w:val="decimal"/>
      <w:lvlText w:val="%1.%2"/>
      <w:lvlJc w:val="left"/>
      <w:pPr>
        <w:ind w:left="761" w:hanging="535"/>
        <w:jc w:val="left"/>
      </w:pPr>
      <w:rPr>
        <w:rFonts w:hint="default" w:ascii="宋体" w:hAnsi="宋体" w:eastAsia="宋体" w:cs="宋体"/>
        <w:b/>
        <w:bCs/>
        <w:w w:val="99"/>
        <w:sz w:val="21"/>
        <w:szCs w:val="21"/>
      </w:rPr>
    </w:lvl>
    <w:lvl w:ilvl="2">
      <w:start w:val="0"/>
      <w:numFmt w:val="bullet"/>
      <w:lvlText w:val="•"/>
      <w:lvlJc w:val="left"/>
      <w:pPr>
        <w:ind w:left="2516" w:hanging="535"/>
      </w:pPr>
      <w:rPr>
        <w:rFonts w:hint="default"/>
      </w:rPr>
    </w:lvl>
    <w:lvl w:ilvl="3">
      <w:start w:val="0"/>
      <w:numFmt w:val="bullet"/>
      <w:lvlText w:val="•"/>
      <w:lvlJc w:val="left"/>
      <w:pPr>
        <w:ind w:left="3395" w:hanging="535"/>
      </w:pPr>
      <w:rPr>
        <w:rFonts w:hint="default"/>
      </w:rPr>
    </w:lvl>
    <w:lvl w:ilvl="4">
      <w:start w:val="0"/>
      <w:numFmt w:val="bullet"/>
      <w:lvlText w:val="•"/>
      <w:lvlJc w:val="left"/>
      <w:pPr>
        <w:ind w:left="4273" w:hanging="535"/>
      </w:pPr>
      <w:rPr>
        <w:rFonts w:hint="default"/>
      </w:rPr>
    </w:lvl>
    <w:lvl w:ilvl="5">
      <w:start w:val="0"/>
      <w:numFmt w:val="bullet"/>
      <w:lvlText w:val="•"/>
      <w:lvlJc w:val="left"/>
      <w:pPr>
        <w:ind w:left="5152" w:hanging="535"/>
      </w:pPr>
      <w:rPr>
        <w:rFonts w:hint="default"/>
      </w:rPr>
    </w:lvl>
    <w:lvl w:ilvl="6">
      <w:start w:val="0"/>
      <w:numFmt w:val="bullet"/>
      <w:lvlText w:val="•"/>
      <w:lvlJc w:val="left"/>
      <w:pPr>
        <w:ind w:left="6030" w:hanging="535"/>
      </w:pPr>
      <w:rPr>
        <w:rFonts w:hint="default"/>
      </w:rPr>
    </w:lvl>
    <w:lvl w:ilvl="7">
      <w:start w:val="0"/>
      <w:numFmt w:val="bullet"/>
      <w:lvlText w:val="•"/>
      <w:lvlJc w:val="left"/>
      <w:pPr>
        <w:ind w:left="6909" w:hanging="535"/>
      </w:pPr>
      <w:rPr>
        <w:rFonts w:hint="default"/>
      </w:rPr>
    </w:lvl>
    <w:lvl w:ilvl="8">
      <w:start w:val="0"/>
      <w:numFmt w:val="bullet"/>
      <w:lvlText w:val="•"/>
      <w:lvlJc w:val="left"/>
      <w:pPr>
        <w:ind w:left="7787" w:hanging="535"/>
      </w:pPr>
      <w:rPr>
        <w:rFonts w:hint="default"/>
      </w:rPr>
    </w:lvl>
  </w:abstractNum>
  <w:abstractNum w:abstractNumId="3">
    <w:multiLevelType w:val="hybridMultilevel"/>
    <w:lvl w:ilvl="0">
      <w:start w:val="3"/>
      <w:numFmt w:val="decimal"/>
      <w:lvlText w:val="%1"/>
      <w:lvlJc w:val="left"/>
      <w:pPr>
        <w:ind w:left="761" w:hanging="535"/>
        <w:jc w:val="left"/>
      </w:pPr>
      <w:rPr>
        <w:rFonts w:hint="default"/>
      </w:rPr>
    </w:lvl>
    <w:lvl w:ilvl="1">
      <w:start w:val="1"/>
      <w:numFmt w:val="decimal"/>
      <w:lvlText w:val="%1.%2"/>
      <w:lvlJc w:val="left"/>
      <w:pPr>
        <w:ind w:left="761" w:hanging="535"/>
        <w:jc w:val="left"/>
      </w:pPr>
      <w:rPr>
        <w:rFonts w:hint="default" w:ascii="宋体" w:hAnsi="宋体" w:eastAsia="宋体" w:cs="宋体"/>
        <w:b/>
        <w:bCs/>
        <w:w w:val="99"/>
        <w:sz w:val="21"/>
        <w:szCs w:val="21"/>
      </w:rPr>
    </w:lvl>
    <w:lvl w:ilvl="2">
      <w:start w:val="1"/>
      <w:numFmt w:val="decimal"/>
      <w:lvlText w:val="%3)"/>
      <w:lvlJc w:val="left"/>
      <w:pPr>
        <w:ind w:left="1181" w:hanging="420"/>
        <w:jc w:val="left"/>
      </w:pPr>
      <w:rPr>
        <w:rFonts w:hint="default" w:ascii="宋体" w:hAnsi="宋体" w:eastAsia="宋体" w:cs="宋体"/>
        <w:w w:val="100"/>
        <w:sz w:val="21"/>
        <w:szCs w:val="21"/>
      </w:rPr>
    </w:lvl>
    <w:lvl w:ilvl="3">
      <w:start w:val="0"/>
      <w:numFmt w:val="bullet"/>
      <w:lvlText w:val="•"/>
      <w:lvlJc w:val="left"/>
      <w:pPr>
        <w:ind w:left="3038" w:hanging="420"/>
      </w:pPr>
      <w:rPr>
        <w:rFonts w:hint="default"/>
      </w:rPr>
    </w:lvl>
    <w:lvl w:ilvl="4">
      <w:start w:val="0"/>
      <w:numFmt w:val="bullet"/>
      <w:lvlText w:val="•"/>
      <w:lvlJc w:val="left"/>
      <w:pPr>
        <w:ind w:left="3968" w:hanging="420"/>
      </w:pPr>
      <w:rPr>
        <w:rFonts w:hint="default"/>
      </w:rPr>
    </w:lvl>
    <w:lvl w:ilvl="5">
      <w:start w:val="0"/>
      <w:numFmt w:val="bullet"/>
      <w:lvlText w:val="•"/>
      <w:lvlJc w:val="left"/>
      <w:pPr>
        <w:ind w:left="4897" w:hanging="420"/>
      </w:pPr>
      <w:rPr>
        <w:rFonts w:hint="default"/>
      </w:rPr>
    </w:lvl>
    <w:lvl w:ilvl="6">
      <w:start w:val="0"/>
      <w:numFmt w:val="bullet"/>
      <w:lvlText w:val="•"/>
      <w:lvlJc w:val="left"/>
      <w:pPr>
        <w:ind w:left="5826" w:hanging="420"/>
      </w:pPr>
      <w:rPr>
        <w:rFonts w:hint="default"/>
      </w:rPr>
    </w:lvl>
    <w:lvl w:ilvl="7">
      <w:start w:val="0"/>
      <w:numFmt w:val="bullet"/>
      <w:lvlText w:val="•"/>
      <w:lvlJc w:val="left"/>
      <w:pPr>
        <w:ind w:left="6756" w:hanging="420"/>
      </w:pPr>
      <w:rPr>
        <w:rFonts w:hint="default"/>
      </w:rPr>
    </w:lvl>
    <w:lvl w:ilvl="8">
      <w:start w:val="0"/>
      <w:numFmt w:val="bullet"/>
      <w:lvlText w:val="•"/>
      <w:lvlJc w:val="left"/>
      <w:pPr>
        <w:ind w:left="7685" w:hanging="420"/>
      </w:pPr>
      <w:rPr>
        <w:rFonts w:hint="default"/>
      </w:rPr>
    </w:lvl>
  </w:abstractNum>
  <w:abstractNum w:abstractNumId="2">
    <w:multiLevelType w:val="hybridMultilevel"/>
    <w:lvl w:ilvl="0">
      <w:start w:val="1"/>
      <w:numFmt w:val="decimal"/>
      <w:lvlText w:val="%1)"/>
      <w:lvlJc w:val="left"/>
      <w:pPr>
        <w:ind w:left="1181" w:hanging="420"/>
        <w:jc w:val="left"/>
      </w:pPr>
      <w:rPr>
        <w:rFonts w:hint="default" w:ascii="宋体" w:hAnsi="宋体" w:eastAsia="宋体" w:cs="宋体"/>
        <w:b/>
        <w:bCs/>
        <w:w w:val="99"/>
        <w:sz w:val="21"/>
        <w:szCs w:val="21"/>
      </w:rPr>
    </w:lvl>
    <w:lvl w:ilvl="1">
      <w:start w:val="0"/>
      <w:numFmt w:val="bullet"/>
      <w:lvlText w:val="•"/>
      <w:lvlJc w:val="left"/>
      <w:pPr>
        <w:ind w:left="2016" w:hanging="420"/>
      </w:pPr>
      <w:rPr>
        <w:rFonts w:hint="default"/>
      </w:rPr>
    </w:lvl>
    <w:lvl w:ilvl="2">
      <w:start w:val="0"/>
      <w:numFmt w:val="bullet"/>
      <w:lvlText w:val="•"/>
      <w:lvlJc w:val="left"/>
      <w:pPr>
        <w:ind w:left="2852" w:hanging="420"/>
      </w:pPr>
      <w:rPr>
        <w:rFonts w:hint="default"/>
      </w:rPr>
    </w:lvl>
    <w:lvl w:ilvl="3">
      <w:start w:val="0"/>
      <w:numFmt w:val="bullet"/>
      <w:lvlText w:val="•"/>
      <w:lvlJc w:val="left"/>
      <w:pPr>
        <w:ind w:left="3689" w:hanging="420"/>
      </w:pPr>
      <w:rPr>
        <w:rFonts w:hint="default"/>
      </w:rPr>
    </w:lvl>
    <w:lvl w:ilvl="4">
      <w:start w:val="0"/>
      <w:numFmt w:val="bullet"/>
      <w:lvlText w:val="•"/>
      <w:lvlJc w:val="left"/>
      <w:pPr>
        <w:ind w:left="4525" w:hanging="420"/>
      </w:pPr>
      <w:rPr>
        <w:rFonts w:hint="default"/>
      </w:rPr>
    </w:lvl>
    <w:lvl w:ilvl="5">
      <w:start w:val="0"/>
      <w:numFmt w:val="bullet"/>
      <w:lvlText w:val="•"/>
      <w:lvlJc w:val="left"/>
      <w:pPr>
        <w:ind w:left="5362" w:hanging="420"/>
      </w:pPr>
      <w:rPr>
        <w:rFonts w:hint="default"/>
      </w:rPr>
    </w:lvl>
    <w:lvl w:ilvl="6">
      <w:start w:val="0"/>
      <w:numFmt w:val="bullet"/>
      <w:lvlText w:val="•"/>
      <w:lvlJc w:val="left"/>
      <w:pPr>
        <w:ind w:left="6198" w:hanging="420"/>
      </w:pPr>
      <w:rPr>
        <w:rFonts w:hint="default"/>
      </w:rPr>
    </w:lvl>
    <w:lvl w:ilvl="7">
      <w:start w:val="0"/>
      <w:numFmt w:val="bullet"/>
      <w:lvlText w:val="•"/>
      <w:lvlJc w:val="left"/>
      <w:pPr>
        <w:ind w:left="7035" w:hanging="420"/>
      </w:pPr>
      <w:rPr>
        <w:rFonts w:hint="default"/>
      </w:rPr>
    </w:lvl>
    <w:lvl w:ilvl="8">
      <w:start w:val="0"/>
      <w:numFmt w:val="bullet"/>
      <w:lvlText w:val="•"/>
      <w:lvlJc w:val="left"/>
      <w:pPr>
        <w:ind w:left="7871" w:hanging="420"/>
      </w:pPr>
      <w:rPr>
        <w:rFonts w:hint="default"/>
      </w:rPr>
    </w:lvl>
  </w:abstractNum>
  <w:abstractNum w:abstractNumId="1">
    <w:multiLevelType w:val="hybridMultilevel"/>
    <w:lvl w:ilvl="0">
      <w:start w:val="1"/>
      <w:numFmt w:val="decimal"/>
      <w:lvlText w:val="%1)"/>
      <w:lvlJc w:val="left"/>
      <w:pPr>
        <w:ind w:left="1181" w:hanging="420"/>
        <w:jc w:val="left"/>
      </w:pPr>
      <w:rPr>
        <w:rFonts w:hint="default" w:ascii="宋体" w:hAnsi="宋体" w:eastAsia="宋体" w:cs="宋体"/>
        <w:spacing w:val="-104"/>
        <w:w w:val="100"/>
        <w:sz w:val="21"/>
        <w:szCs w:val="21"/>
      </w:rPr>
    </w:lvl>
    <w:lvl w:ilvl="1">
      <w:start w:val="0"/>
      <w:numFmt w:val="bullet"/>
      <w:lvlText w:val="•"/>
      <w:lvlJc w:val="left"/>
      <w:pPr>
        <w:ind w:left="2116" w:hanging="420"/>
      </w:pPr>
      <w:rPr>
        <w:rFonts w:hint="default"/>
      </w:rPr>
    </w:lvl>
    <w:lvl w:ilvl="2">
      <w:start w:val="0"/>
      <w:numFmt w:val="bullet"/>
      <w:lvlText w:val="•"/>
      <w:lvlJc w:val="left"/>
      <w:pPr>
        <w:ind w:left="3052" w:hanging="420"/>
      </w:pPr>
      <w:rPr>
        <w:rFonts w:hint="default"/>
      </w:rPr>
    </w:lvl>
    <w:lvl w:ilvl="3">
      <w:start w:val="0"/>
      <w:numFmt w:val="bullet"/>
      <w:lvlText w:val="•"/>
      <w:lvlJc w:val="left"/>
      <w:pPr>
        <w:ind w:left="3989" w:hanging="420"/>
      </w:pPr>
      <w:rPr>
        <w:rFonts w:hint="default"/>
      </w:rPr>
    </w:lvl>
    <w:lvl w:ilvl="4">
      <w:start w:val="0"/>
      <w:numFmt w:val="bullet"/>
      <w:lvlText w:val="•"/>
      <w:lvlJc w:val="left"/>
      <w:pPr>
        <w:ind w:left="4925" w:hanging="420"/>
      </w:pPr>
      <w:rPr>
        <w:rFonts w:hint="default"/>
      </w:rPr>
    </w:lvl>
    <w:lvl w:ilvl="5">
      <w:start w:val="0"/>
      <w:numFmt w:val="bullet"/>
      <w:lvlText w:val="•"/>
      <w:lvlJc w:val="left"/>
      <w:pPr>
        <w:ind w:left="5862" w:hanging="420"/>
      </w:pPr>
      <w:rPr>
        <w:rFonts w:hint="default"/>
      </w:rPr>
    </w:lvl>
    <w:lvl w:ilvl="6">
      <w:start w:val="0"/>
      <w:numFmt w:val="bullet"/>
      <w:lvlText w:val="•"/>
      <w:lvlJc w:val="left"/>
      <w:pPr>
        <w:ind w:left="6798" w:hanging="420"/>
      </w:pPr>
      <w:rPr>
        <w:rFonts w:hint="default"/>
      </w:rPr>
    </w:lvl>
    <w:lvl w:ilvl="7">
      <w:start w:val="0"/>
      <w:numFmt w:val="bullet"/>
      <w:lvlText w:val="•"/>
      <w:lvlJc w:val="left"/>
      <w:pPr>
        <w:ind w:left="7735" w:hanging="420"/>
      </w:pPr>
      <w:rPr>
        <w:rFonts w:hint="default"/>
      </w:rPr>
    </w:lvl>
    <w:lvl w:ilvl="8">
      <w:start w:val="0"/>
      <w:numFmt w:val="bullet"/>
      <w:lvlText w:val="•"/>
      <w:lvlJc w:val="left"/>
      <w:pPr>
        <w:ind w:left="8671" w:hanging="420"/>
      </w:pPr>
      <w:rPr>
        <w:rFonts w:hint="default"/>
      </w:rPr>
    </w:lvl>
  </w:abstractNum>
  <w:abstractNum w:abstractNumId="0">
    <w:multiLevelType w:val="hybridMultilevel"/>
    <w:lvl w:ilvl="0">
      <w:start w:val="2"/>
      <w:numFmt w:val="decimal"/>
      <w:lvlText w:val="%1"/>
      <w:lvlJc w:val="left"/>
      <w:pPr>
        <w:ind w:left="761" w:hanging="535"/>
        <w:jc w:val="left"/>
      </w:pPr>
      <w:rPr>
        <w:rFonts w:hint="default"/>
      </w:rPr>
    </w:lvl>
    <w:lvl w:ilvl="1">
      <w:start w:val="1"/>
      <w:numFmt w:val="decimal"/>
      <w:lvlText w:val="%1.%2"/>
      <w:lvlJc w:val="left"/>
      <w:pPr>
        <w:ind w:left="761" w:hanging="535"/>
        <w:jc w:val="left"/>
      </w:pPr>
      <w:rPr>
        <w:rFonts w:hint="default" w:ascii="宋体" w:hAnsi="宋体" w:eastAsia="宋体" w:cs="宋体"/>
        <w:b/>
        <w:bCs/>
        <w:w w:val="99"/>
        <w:sz w:val="21"/>
        <w:szCs w:val="21"/>
      </w:rPr>
    </w:lvl>
    <w:lvl w:ilvl="2">
      <w:start w:val="1"/>
      <w:numFmt w:val="decimal"/>
      <w:lvlText w:val="%3)"/>
      <w:lvlJc w:val="left"/>
      <w:pPr>
        <w:ind w:left="1181" w:hanging="420"/>
        <w:jc w:val="left"/>
      </w:pPr>
      <w:rPr>
        <w:rFonts w:hint="default"/>
        <w:b/>
        <w:bCs/>
        <w:w w:val="99"/>
      </w:rPr>
    </w:lvl>
    <w:lvl w:ilvl="3">
      <w:start w:val="0"/>
      <w:numFmt w:val="bullet"/>
      <w:lvlText w:val="•"/>
      <w:lvlJc w:val="left"/>
      <w:pPr>
        <w:ind w:left="3038" w:hanging="420"/>
      </w:pPr>
      <w:rPr>
        <w:rFonts w:hint="default"/>
      </w:rPr>
    </w:lvl>
    <w:lvl w:ilvl="4">
      <w:start w:val="0"/>
      <w:numFmt w:val="bullet"/>
      <w:lvlText w:val="•"/>
      <w:lvlJc w:val="left"/>
      <w:pPr>
        <w:ind w:left="3968" w:hanging="420"/>
      </w:pPr>
      <w:rPr>
        <w:rFonts w:hint="default"/>
      </w:rPr>
    </w:lvl>
    <w:lvl w:ilvl="5">
      <w:start w:val="0"/>
      <w:numFmt w:val="bullet"/>
      <w:lvlText w:val="•"/>
      <w:lvlJc w:val="left"/>
      <w:pPr>
        <w:ind w:left="4897" w:hanging="420"/>
      </w:pPr>
      <w:rPr>
        <w:rFonts w:hint="default"/>
      </w:rPr>
    </w:lvl>
    <w:lvl w:ilvl="6">
      <w:start w:val="0"/>
      <w:numFmt w:val="bullet"/>
      <w:lvlText w:val="•"/>
      <w:lvlJc w:val="left"/>
      <w:pPr>
        <w:ind w:left="5826" w:hanging="420"/>
      </w:pPr>
      <w:rPr>
        <w:rFonts w:hint="default"/>
      </w:rPr>
    </w:lvl>
    <w:lvl w:ilvl="7">
      <w:start w:val="0"/>
      <w:numFmt w:val="bullet"/>
      <w:lvlText w:val="•"/>
      <w:lvlJc w:val="left"/>
      <w:pPr>
        <w:ind w:left="6756" w:hanging="420"/>
      </w:pPr>
      <w:rPr>
        <w:rFonts w:hint="default"/>
      </w:rPr>
    </w:lvl>
    <w:lvl w:ilvl="8">
      <w:start w:val="0"/>
      <w:numFmt w:val="bullet"/>
      <w:lvlText w:val="•"/>
      <w:lvlJc w:val="left"/>
      <w:pPr>
        <w:ind w:left="7685" w:hanging="420"/>
      </w:pPr>
      <w:rPr>
        <w:rFonts w:hint="default"/>
      </w:rPr>
    </w:lvl>
  </w:abstract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15"/>
      <w:ind w:left="761"/>
    </w:pPr>
    <w:rPr>
      <w:rFonts w:ascii="宋体" w:hAnsi="宋体" w:eastAsia="宋体" w:cs="宋体"/>
      <w:sz w:val="21"/>
      <w:szCs w:val="21"/>
    </w:rPr>
  </w:style>
  <w:style w:styleId="Heading1" w:type="paragraph">
    <w:name w:val="Heading 1"/>
    <w:basedOn w:val="Normal"/>
    <w:uiPriority w:val="1"/>
    <w:qFormat/>
    <w:pPr>
      <w:spacing w:line="275" w:lineRule="exact"/>
      <w:ind w:left="122"/>
      <w:outlineLvl w:val="1"/>
    </w:pPr>
    <w:rPr>
      <w:rFonts w:ascii="宋体" w:hAnsi="宋体" w:eastAsia="宋体" w:cs="宋体"/>
      <w:b/>
      <w:bCs/>
      <w:sz w:val="24"/>
      <w:szCs w:val="24"/>
    </w:rPr>
  </w:style>
  <w:style w:styleId="Heading2" w:type="paragraph">
    <w:name w:val="Heading 2"/>
    <w:basedOn w:val="Normal"/>
    <w:uiPriority w:val="1"/>
    <w:qFormat/>
    <w:pPr>
      <w:spacing w:before="15"/>
      <w:ind w:left="261"/>
      <w:outlineLvl w:val="2"/>
    </w:pPr>
    <w:rPr>
      <w:rFonts w:ascii="宋体" w:hAnsi="宋体" w:eastAsia="宋体" w:cs="宋体"/>
      <w:b/>
      <w:bCs/>
      <w:sz w:val="21"/>
      <w:szCs w:val="21"/>
    </w:rPr>
  </w:style>
  <w:style w:styleId="ListParagraph" w:type="paragraph">
    <w:name w:val="List Paragraph"/>
    <w:basedOn w:val="Normal"/>
    <w:uiPriority w:val="1"/>
    <w:qFormat/>
    <w:pPr>
      <w:spacing w:before="65"/>
      <w:ind w:left="261" w:hanging="420"/>
    </w:pPr>
    <w:rPr>
      <w:rFonts w:ascii="宋体" w:hAnsi="宋体" w:eastAsia="宋体" w:cs="宋体"/>
    </w:rPr>
  </w:style>
  <w:style w:styleId="TableParagraph" w:type="paragraph">
    <w:name w:val="Table Paragraph"/>
    <w:basedOn w:val="Normal"/>
    <w:uiPriority w:val="1"/>
    <w:qFormat/>
    <w:pPr>
      <w:spacing w:line="239" w:lineRule="exact"/>
      <w:ind w:left="89"/>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caowei</dc:creator>
  <dc:title>&lt;4D6963726F736F667420576F7264202D20A1B6BFB5C0D6C8CBC9FAB8F6C8CBD6D8B4F3BCB2B2A1B1A3CFD5A1B7CCF5BFEEA3A8B6FECEACC2EBA3A92E646F63&gt;</dc:title>
  <dcterms:created xsi:type="dcterms:W3CDTF">2018-10-20T03:26:56Z</dcterms:created>
  <dcterms:modified xsi:type="dcterms:W3CDTF">2018-10-20T03:26:56Z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2014-05-28T00:00:00Z</vt:filetime>
  </property>
  <property fmtid="{D5CDD505-2E9C-101B-9397-08002B2CF9AE}" pid="3" name="Creator">
    <vt:lpwstr>PScript5.dll Version 5.2.2</vt:lpwstr>
  </property>
  <property fmtid="{D5CDD505-2E9C-101B-9397-08002B2CF9AE}" pid="4" name="LastSaved">
    <vt:filetime>2018-10-19T00:00:00Z</vt:filetime>
  </property>
</Properties>
</file>