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生命附加福祥重大疾病保险</w:t>
      </w:r>
    </w:p>
    <w:p>
      <w:pPr>
        <w:pStyle w:val="BodyText"/>
        <w:spacing w:before="8"/>
        <w:rPr>
          <w:rFonts w:ascii="微软雅黑"/>
          <w:b/>
          <w:sz w:val="25"/>
        </w:rPr>
      </w:pPr>
    </w:p>
    <w:p>
      <w:pPr>
        <w:pStyle w:val="BodyText"/>
        <w:ind w:left="2507"/>
      </w:pPr>
      <w:r>
        <w:rPr>
          <w:rFonts w:ascii="Times New Roman" w:eastAsia="Times New Roman"/>
        </w:rPr>
        <w:t>2009 </w:t>
      </w:r>
      <w:r>
        <w:rPr>
          <w:spacing w:val="-28"/>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24"/>
      </w:pPr>
      <w:r>
        <w:rPr>
          <w:w w:val="95"/>
        </w:rPr>
        <w:t>本保险条款的每一部分都关乎您的切身利益，请务必逐条仔细阅读。  以下为阅读指引和条款目录，将有助于您阅读条款。</w:t>
      </w:r>
    </w:p>
    <w:p>
      <w:pPr>
        <w:pStyle w:val="BodyText"/>
        <w:rPr>
          <w:b/>
          <w:sz w:val="20"/>
        </w:rPr>
      </w:pPr>
    </w:p>
    <w:p>
      <w:pPr>
        <w:pStyle w:val="BodyText"/>
        <w:rPr>
          <w:b/>
          <w:sz w:val="20"/>
        </w:rPr>
      </w:pPr>
    </w:p>
    <w:p>
      <w:pPr>
        <w:spacing w:before="153"/>
        <w:ind w:left="3774" w:right="1163"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6" w:right="422"/>
        <w:jc w:val="center"/>
      </w:pPr>
      <w:r>
        <w:rPr/>
        <w:br w:type="column"/>
      </w:r>
      <w:r>
        <w:rPr/>
        <w:t>生命人寿[2009] 疾病保险 072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91"/>
        <w:jc w:val="center"/>
      </w:pPr>
      <w:r>
        <w:rPr/>
        <w:t>请扫描以查询验证条款</w:t>
      </w:r>
    </w:p>
    <w:p>
      <w:pPr>
        <w:spacing w:after="0"/>
        <w:jc w:val="center"/>
        <w:sectPr>
          <w:type w:val="continuous"/>
          <w:pgSz w:w="11910" w:h="16840"/>
          <w:pgMar w:top="1540" w:bottom="960" w:left="1600" w:right="1120"/>
          <w:cols w:num="2" w:equalWidth="0">
            <w:col w:w="6550" w:space="323"/>
            <w:col w:w="2317"/>
          </w:cols>
        </w:sectPr>
      </w:pPr>
    </w:p>
    <w:p>
      <w:pPr>
        <w:pStyle w:val="BodyText"/>
        <w:spacing w:before="9"/>
      </w:pPr>
    </w:p>
    <w:p>
      <w:pPr>
        <w:pStyle w:val="Heading1"/>
        <w:spacing w:before="36"/>
        <w:ind w:right="122"/>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spacing w:before="10"/>
        <w:rPr>
          <w:sz w:val="28"/>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1255">
            <wp:simplePos x="0" y="0"/>
            <wp:positionH relativeFrom="page">
              <wp:posOffset>3902201</wp:posOffset>
            </wp:positionH>
            <wp:positionV relativeFrom="paragraph">
              <wp:posOffset>13267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5" w:val="left" w:leader="none"/>
          <w:tab w:pos="5499" w:val="left" w:leader="none"/>
          <w:tab w:pos="6125" w:val="left" w:leader="none"/>
        </w:tabs>
        <w:spacing w:line="244" w:lineRule="auto" w:before="5"/>
        <w:ind w:left="420" w:right="2216" w:firstLine="420"/>
        <w:jc w:val="left"/>
        <w:rPr>
          <w:b/>
          <w:sz w:val="21"/>
        </w:rPr>
      </w:pPr>
      <w:r>
        <w:rPr>
          <w:sz w:val="21"/>
        </w:rPr>
        <w:t>第四条</w:t>
        <w:tab/>
        <w:t>犹豫期内撤销保险合同</w:t>
        <w:tab/>
        <w:tab/>
        <w:t>第十二条</w:t>
        <w:tab/>
        <w:t>司法鉴定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第十三条</w:t>
        <w:tab/>
        <w:t>年龄确定与错误处理</w:t>
      </w:r>
    </w:p>
    <w:p>
      <w:pPr>
        <w:tabs>
          <w:tab w:pos="1264" w:val="left" w:leader="none"/>
          <w:tab w:pos="1683" w:val="left" w:leader="none"/>
          <w:tab w:pos="5075" w:val="left" w:leader="none"/>
          <w:tab w:pos="6125" w:val="left" w:leader="none"/>
        </w:tabs>
        <w:spacing w:line="244" w:lineRule="auto" w:before="5"/>
        <w:ind w:left="420" w:right="95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附加保险合同效力</w:t>
      </w:r>
    </w:p>
    <w:p>
      <w:pPr>
        <w:pStyle w:val="BodyText"/>
        <w:tabs>
          <w:tab w:pos="1681" w:val="left" w:leader="none"/>
          <w:tab w:pos="5075" w:val="left" w:leader="none"/>
          <w:tab w:pos="6125" w:val="left" w:leader="none"/>
        </w:tabs>
        <w:spacing w:line="244" w:lineRule="auto"/>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生命附加福祥重大疾病保险合同(以下简称本附加合同)依主保险合同投保人的申请，经生命人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括生命附加福祥重大疾病保险条款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重大疾病保险金给付</w:t>
      </w:r>
    </w:p>
    <w:p>
      <w:pPr>
        <w:pStyle w:val="ListParagraph"/>
        <w:numPr>
          <w:ilvl w:val="0"/>
          <w:numId w:val="1"/>
        </w:numPr>
        <w:tabs>
          <w:tab w:pos="1363" w:val="left" w:leader="none"/>
        </w:tabs>
        <w:spacing w:line="273" w:lineRule="auto" w:before="36" w:after="0"/>
        <w:ind w:left="1361" w:right="201" w:hanging="314"/>
        <w:jc w:val="both"/>
        <w:rPr>
          <w:sz w:val="21"/>
        </w:rPr>
      </w:pPr>
      <w:r>
        <w:rPr>
          <w:spacing w:val="-3"/>
          <w:sz w:val="21"/>
        </w:rPr>
        <w:t>若被保险人于本附加合同生效日起九十日内</w:t>
      </w:r>
      <w:r>
        <w:rPr>
          <w:sz w:val="21"/>
        </w:rPr>
        <w:t>（含第九十日</w:t>
      </w:r>
      <w:r>
        <w:rPr>
          <w:spacing w:val="-46"/>
          <w:sz w:val="21"/>
        </w:rPr>
        <w:t>）</w:t>
      </w:r>
      <w:r>
        <w:rPr>
          <w:sz w:val="21"/>
        </w:rPr>
        <w:t>或效力恢复之日起九十日</w:t>
      </w:r>
      <w:r>
        <w:rPr>
          <w:spacing w:val="-23"/>
          <w:sz w:val="21"/>
        </w:rPr>
        <w:t>内</w:t>
      </w:r>
      <w:r>
        <w:rPr>
          <w:sz w:val="21"/>
        </w:rPr>
        <w:t>（含第九十日</w:t>
      </w:r>
      <w:r>
        <w:rPr>
          <w:spacing w:val="-23"/>
          <w:sz w:val="21"/>
        </w:rPr>
        <w:t>），</w:t>
      </w:r>
      <w:r>
        <w:rPr>
          <w:spacing w:val="-1"/>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6" w:val="left" w:leader="none"/>
          <w:tab w:pos="1367" w:val="left" w:leader="none"/>
        </w:tabs>
        <w:spacing w:line="273" w:lineRule="auto" w:before="0" w:after="0"/>
        <w:ind w:left="1361" w:right="202" w:hanging="420"/>
        <w:jc w:val="left"/>
        <w:rPr>
          <w:sz w:val="21"/>
        </w:rPr>
      </w:pPr>
      <w:r>
        <w:rPr>
          <w:sz w:val="21"/>
        </w:rPr>
        <w:t>若被保险人于本附加合同生效日起九十日后至被保险人年满六十五周岁</w:t>
      </w:r>
      <w:r>
        <w:rPr>
          <w:position w:val="11"/>
          <w:sz w:val="11"/>
        </w:rPr>
        <w:t>1</w:t>
      </w:r>
      <w:r>
        <w:rPr>
          <w:sz w:val="21"/>
        </w:rPr>
        <w:t>后的首个保险合同周年日</w:t>
      </w:r>
      <w:r>
        <w:rPr>
          <w:position w:val="11"/>
          <w:sz w:val="11"/>
        </w:rPr>
        <w:t>2</w:t>
      </w:r>
      <w:r>
        <w:rPr>
          <w:sz w:val="21"/>
        </w:rPr>
        <w:t>零时止，或效力恢复之日起九十日后至被保险人年满六十五周岁后的</w:t>
      </w:r>
    </w:p>
    <w:p>
      <w:pPr>
        <w:pStyle w:val="BodyText"/>
        <w:spacing w:before="11"/>
        <w:rPr>
          <w:sz w:val="26"/>
        </w:rPr>
      </w:pPr>
      <w:r>
        <w:rPr/>
        <w:pict>
          <v:line style="position:absolute;mso-position-horizontal-relative:page;mso-position-vertical-relative:paragraph;z-index:1048;mso-wrap-distance-left:0;mso-wrap-distance-right:0" from="85.080002pt,19.828506pt" to="229.080002pt,19.828506pt" stroked="true" strokeweight=".54001pt" strokecolor="#000000">
            <v:stroke dashstyle="solid"/>
            <w10:wrap type="topAndBottom"/>
          </v:line>
        </w:pict>
      </w:r>
    </w:p>
    <w:p>
      <w:pPr>
        <w:pStyle w:val="ListParagraph"/>
        <w:numPr>
          <w:ilvl w:val="0"/>
          <w:numId w:val="2"/>
        </w:numPr>
        <w:tabs>
          <w:tab w:pos="282" w:val="left" w:leader="none"/>
        </w:tabs>
        <w:spacing w:line="242" w:lineRule="exact" w:before="30" w:after="0"/>
        <w:ind w:left="10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282" w:val="left" w:leader="none"/>
        </w:tabs>
        <w:spacing w:line="242" w:lineRule="exact" w:before="0" w:after="0"/>
        <w:ind w:left="101" w:right="0" w:firstLine="0"/>
        <w:jc w:val="left"/>
        <w:rPr>
          <w:rFonts w:ascii="Times New Roman" w:eastAsia="Times New Roman"/>
          <w:sz w:val="18"/>
        </w:rPr>
      </w:pPr>
      <w:r>
        <w:rPr>
          <w:spacing w:val="-4"/>
          <w:sz w:val="18"/>
        </w:rPr>
        <w:t>保险合同周年日：指保险合同生效日以后每年对应于保险合同生效日的日期。生效日为闰年二月二十九日的，以</w:t>
      </w:r>
    </w:p>
    <w:p>
      <w:pPr>
        <w:spacing w:after="0" w:line="242" w:lineRule="exact"/>
        <w:jc w:val="left"/>
        <w:rPr>
          <w:rFonts w:ascii="Times New Roman" w:eastAsia="Times New Roman"/>
          <w:sz w:val="18"/>
        </w:rPr>
        <w:sectPr>
          <w:pgSz w:w="11910" w:h="16840"/>
          <w:pgMar w:header="0" w:footer="776" w:top="1180" w:bottom="960" w:left="1600" w:right="1060"/>
        </w:sectPr>
      </w:pPr>
    </w:p>
    <w:p>
      <w:pPr>
        <w:pStyle w:val="BodyText"/>
        <w:spacing w:line="273" w:lineRule="auto" w:before="12"/>
        <w:ind w:left="1361" w:right="110"/>
        <w:jc w:val="both"/>
      </w:pPr>
      <w:r>
        <w:rPr>
          <w:spacing w:val="-8"/>
        </w:rPr>
        <w:t>首个保险合同周年日零时止，因疾病导致首次达到本附加合同定义的重大疾病之疾病</w:t>
      </w:r>
      <w:r>
        <w:rPr>
          <w:spacing w:val="-12"/>
        </w:rPr>
        <w:t>状态，或者因疾病导致被确诊首次患本附加合同定义的重大疾病或进行本附加合同定义的手术，本公司将按五倍的基本保险金额给付重大疾病保险金，本附加合同终止；</w:t>
      </w:r>
    </w:p>
    <w:p>
      <w:pPr>
        <w:pStyle w:val="BodyText"/>
        <w:spacing w:before="5"/>
        <w:rPr>
          <w:sz w:val="24"/>
        </w:rPr>
      </w:pPr>
    </w:p>
    <w:p>
      <w:pPr>
        <w:pStyle w:val="ListParagraph"/>
        <w:numPr>
          <w:ilvl w:val="0"/>
          <w:numId w:val="1"/>
        </w:numPr>
        <w:tabs>
          <w:tab w:pos="1367" w:val="left" w:leader="none"/>
        </w:tabs>
        <w:spacing w:line="273" w:lineRule="auto" w:before="1" w:after="0"/>
        <w:ind w:left="1361" w:right="203" w:hanging="420"/>
        <w:jc w:val="both"/>
        <w:rPr>
          <w:sz w:val="21"/>
        </w:rPr>
      </w:pPr>
      <w:r>
        <w:rPr>
          <w:sz w:val="21"/>
        </w:rPr>
        <w:t>若被保险人于年满六十五周岁后的首个保险合同周年日零时之前，因意外伤害事故</w:t>
      </w:r>
      <w:r>
        <w:rPr>
          <w:position w:val="11"/>
          <w:sz w:val="11"/>
        </w:rPr>
        <w:t>3 </w:t>
      </w:r>
      <w:r>
        <w:rPr>
          <w:spacing w:val="-4"/>
          <w:sz w:val="21"/>
        </w:rPr>
        <w:t>导致首次达到本附加合同定义的重大疾病之疾病状态，或者因意外伤害事故导致被确</w:t>
      </w:r>
      <w:r>
        <w:rPr>
          <w:spacing w:val="-7"/>
          <w:sz w:val="21"/>
        </w:rPr>
        <w:t>诊首次患本附加合同定义的重大疾病或进行本附加合同定义的手术，本公司将按五倍</w:t>
      </w:r>
      <w:r>
        <w:rPr>
          <w:spacing w:val="-1"/>
          <w:sz w:val="21"/>
        </w:rPr>
        <w:t>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spacing w:val="-4"/>
          <w:sz w:val="21"/>
        </w:rPr>
        <w:t>若被保险人于年满六十五周岁后的首个保险合同周年日零时起，因疾病或意外伤害事</w:t>
      </w:r>
      <w:r>
        <w:rPr>
          <w:spacing w:val="-8"/>
          <w:sz w:val="21"/>
        </w:rPr>
        <w:t>故导致首次达到本附加合同定义的重大疾病之疾病状态，或者导致被确诊首次患本附</w:t>
      </w:r>
      <w:r>
        <w:rPr>
          <w:spacing w:val="-12"/>
          <w:sz w:val="21"/>
        </w:rPr>
        <w:t>加合同定义的重大疾病或进行本附加合同定义的手术，本公司将按二倍的基本保险金</w:t>
      </w:r>
      <w:r>
        <w:rPr>
          <w:spacing w:val="-1"/>
          <w:sz w:val="21"/>
        </w:rPr>
        <w:t>额给付重大疾病保险金，本附加合同终止。</w:t>
      </w:r>
    </w:p>
    <w:p>
      <w:pPr>
        <w:pStyle w:val="BodyText"/>
        <w:spacing w:before="5"/>
        <w:rPr>
          <w:sz w:val="24"/>
        </w:rPr>
      </w:pPr>
    </w:p>
    <w:p>
      <w:pPr>
        <w:pStyle w:val="BodyText"/>
        <w:spacing w:before="1"/>
        <w:ind w:left="837"/>
      </w:pPr>
      <w:r>
        <w:rPr/>
        <w:t>二、身故保险金给付</w:t>
      </w:r>
    </w:p>
    <w:p>
      <w:pPr>
        <w:pStyle w:val="BodyText"/>
        <w:spacing w:line="273" w:lineRule="auto" w:before="37"/>
        <w:ind w:left="1257" w:right="215"/>
      </w:pPr>
      <w:r>
        <w:rPr/>
        <w:t>若被保险人因疾病或意外伤害事故导致身故，本公司将按本附加合同的已缴保险费总和给付身故保险金，本附加合同终止。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因下列情形之一，导致被保险人达到本附加合同定义的重大疾病之疾病状态、或者被确诊首</w:t>
      </w:r>
    </w:p>
    <w:p>
      <w:pPr>
        <w:spacing w:line="273" w:lineRule="auto" w:before="37"/>
        <w:ind w:left="821" w:right="500" w:hanging="301"/>
        <w:jc w:val="left"/>
        <w:rPr>
          <w:b/>
          <w:sz w:val="21"/>
        </w:rPr>
      </w:pPr>
      <w:r>
        <w:rPr>
          <w:b/>
          <w:sz w:val="21"/>
        </w:rPr>
        <w:t>次患本附加合同定义的重大疾病或进行本附加合同定义的手术，本公司不承担保险责任： 一、 投保人故意造成被保险人的死亡、伤残或疾病的；</w:t>
      </w:r>
    </w:p>
    <w:p>
      <w:pPr>
        <w:spacing w:line="273" w:lineRule="auto" w:before="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4</w:t>
      </w:r>
      <w:r>
        <w:rPr>
          <w:b/>
          <w:sz w:val="21"/>
        </w:rPr>
        <w:t>；</w:t>
      </w:r>
    </w:p>
    <w:p>
      <w:pPr>
        <w:spacing w:line="273" w:lineRule="auto" w:before="36"/>
        <w:ind w:left="821" w:right="545" w:firstLine="0"/>
        <w:jc w:val="left"/>
        <w:rPr>
          <w:b/>
          <w:sz w:val="21"/>
        </w:rPr>
      </w:pPr>
      <w:r>
        <w:rPr>
          <w:b/>
          <w:sz w:val="21"/>
        </w:rPr>
        <w:t>五、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after="0"/>
        <w:jc w:val="left"/>
        <w:rPr>
          <w:sz w:val="21"/>
        </w:rPr>
        <w:sectPr>
          <w:pgSz w:w="11910" w:h="16840"/>
          <w:pgMar w:header="0" w:footer="776" w:top="1220" w:bottom="960" w:left="1600" w:right="1060"/>
        </w:sectPr>
      </w:pPr>
    </w:p>
    <w:p>
      <w:pPr>
        <w:spacing w:line="273" w:lineRule="auto" w:before="37"/>
        <w:ind w:left="1361" w:right="0" w:hanging="540"/>
        <w:jc w:val="left"/>
        <w:rPr>
          <w:b/>
          <w:sz w:val="21"/>
        </w:rPr>
      </w:pPr>
      <w:r>
        <w:rPr>
          <w:b/>
          <w:w w:val="99"/>
          <w:sz w:val="21"/>
        </w:rPr>
        <w:t>八、</w:t>
      </w:r>
      <w:r>
        <w:rPr>
          <w:b/>
          <w:spacing w:val="11"/>
          <w:sz w:val="21"/>
        </w:rPr>
        <w:t> </w:t>
      </w:r>
      <w:r>
        <w:rPr>
          <w:b/>
          <w:w w:val="99"/>
          <w:sz w:val="21"/>
        </w:rPr>
        <w:t>被保险人感染艾滋病病毒</w:t>
      </w:r>
      <w:r>
        <w:rPr>
          <w:b/>
          <w:w w:val="99"/>
          <w:position w:val="11"/>
          <w:sz w:val="11"/>
        </w:rPr>
        <w:t>8</w:t>
      </w:r>
      <w:r>
        <w:rPr>
          <w:b/>
          <w:spacing w:val="-3"/>
          <w:w w:val="99"/>
          <w:sz w:val="21"/>
        </w:rPr>
        <w:t>或患艾滋病</w:t>
      </w:r>
      <w:r>
        <w:rPr>
          <w:b/>
          <w:spacing w:val="-198"/>
          <w:w w:val="99"/>
          <w:sz w:val="21"/>
        </w:rPr>
        <w:t>（</w:t>
      </w:r>
      <w:r>
        <w:rPr>
          <w:b/>
          <w:w w:val="99"/>
          <w:position w:val="11"/>
          <w:sz w:val="11"/>
        </w:rPr>
        <w:t>9</w:t>
      </w:r>
      <w:r>
        <w:rPr>
          <w:b/>
          <w:w w:val="99"/>
          <w:sz w:val="21"/>
        </w:rPr>
        <w:t>染艾滋病”的情形除外</w:t>
      </w:r>
      <w:r>
        <w:rPr>
          <w:b/>
          <w:spacing w:val="-106"/>
          <w:w w:val="99"/>
          <w:sz w:val="21"/>
        </w:rPr>
        <w:t>）</w:t>
      </w:r>
      <w:r>
        <w:rPr>
          <w:b/>
          <w:w w:val="99"/>
          <w:sz w:val="21"/>
        </w:rPr>
        <w:t>；</w:t>
      </w:r>
    </w:p>
    <w:p>
      <w:pPr>
        <w:spacing w:before="37"/>
        <w:ind w:left="103" w:right="0" w:firstLine="0"/>
        <w:jc w:val="left"/>
        <w:rPr>
          <w:b/>
          <w:sz w:val="21"/>
        </w:rPr>
      </w:pPr>
      <w:r>
        <w:rPr/>
        <w:br w:type="column"/>
      </w:r>
      <w:r>
        <w:rPr>
          <w:b/>
          <w:sz w:val="21"/>
        </w:rPr>
        <w:t>符合本条款第十六条第二十七项“因输血 感</w:t>
      </w:r>
    </w:p>
    <w:p>
      <w:pPr>
        <w:spacing w:after="0"/>
        <w:jc w:val="left"/>
        <w:rPr>
          <w:sz w:val="21"/>
        </w:rPr>
        <w:sectPr>
          <w:type w:val="continuous"/>
          <w:pgSz w:w="11910" w:h="16840"/>
          <w:pgMar w:top="1540" w:bottom="960" w:left="1600" w:right="1060"/>
          <w:cols w:num="2" w:equalWidth="0">
            <w:col w:w="4846" w:space="40"/>
            <w:col w:w="4364"/>
          </w:cols>
        </w:sectPr>
      </w:pPr>
    </w:p>
    <w:p>
      <w:pPr>
        <w:pStyle w:val="BodyText"/>
        <w:spacing w:before="11"/>
        <w:rPr>
          <w:b/>
          <w:sz w:val="23"/>
        </w:rPr>
      </w:pPr>
    </w:p>
    <w:p>
      <w:pPr>
        <w:pStyle w:val="BodyText"/>
        <w:spacing w:line="20" w:lineRule="exact"/>
        <w:ind w:left="95"/>
        <w:rPr>
          <w:sz w:val="2"/>
        </w:rPr>
      </w:pPr>
      <w:r>
        <w:rPr>
          <w:rFonts w:ascii="Times New Roman"/>
          <w:spacing w:val="2"/>
          <w:sz w:val="2"/>
        </w:rPr>
        <w:t> </w:t>
      </w:r>
      <w:r>
        <w:rPr>
          <w:spacing w:val="2"/>
          <w:sz w:val="2"/>
        </w:rPr>
        <w:pict>
          <v:group style="width:447.9pt;height:.550pt;mso-position-horizontal-relative:char;mso-position-vertical-relative:line" coordorigin="0,0" coordsize="8958,11">
            <v:line style="position:absolute" from="0,5" to="8958,5" stroked="true" strokeweight=".54001pt" strokecolor="#000000">
              <v:stroke dashstyle="solid"/>
            </v:line>
          </v:group>
        </w:pict>
      </w:r>
      <w:r>
        <w:rPr>
          <w:spacing w:val="2"/>
          <w:sz w:val="2"/>
        </w:rPr>
      </w:r>
    </w:p>
    <w:p>
      <w:pPr>
        <w:spacing w:line="235" w:lineRule="exact" w:before="51"/>
        <w:ind w:left="101" w:right="0" w:firstLine="0"/>
        <w:jc w:val="left"/>
        <w:rPr>
          <w:sz w:val="18"/>
        </w:rPr>
      </w:pPr>
      <w:r>
        <w:rPr>
          <w:sz w:val="18"/>
        </w:rPr>
        <w:t>后非闰年对应于生效日的日期为二月二十八日。</w:t>
      </w:r>
    </w:p>
    <w:p>
      <w:pPr>
        <w:pStyle w:val="ListParagraph"/>
        <w:numPr>
          <w:ilvl w:val="0"/>
          <w:numId w:val="2"/>
        </w:numPr>
        <w:tabs>
          <w:tab w:pos="282" w:val="left" w:leader="none"/>
        </w:tabs>
        <w:spacing w:line="234"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282" w:val="left" w:leader="none"/>
        </w:tabs>
        <w:spacing w:line="240" w:lineRule="auto" w:before="0"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spacing w:after="0" w:line="240" w:lineRule="auto"/>
        <w:jc w:val="left"/>
        <w:rPr>
          <w:sz w:val="18"/>
        </w:rPr>
        <w:sectPr>
          <w:type w:val="continuous"/>
          <w:pgSz w:w="11910" w:h="16840"/>
          <w:pgMar w:top="1540" w:bottom="960" w:left="1600" w:right="1060"/>
        </w:sectPr>
      </w:pPr>
    </w:p>
    <w:p>
      <w:pPr>
        <w:pStyle w:val="Heading1"/>
        <w:spacing w:before="32"/>
        <w:ind w:left="821"/>
      </w:pPr>
      <w:r>
        <w:rPr/>
        <w:t>九、 遗传性疾病</w:t>
      </w:r>
      <w:r>
        <w:rPr>
          <w:position w:val="11"/>
          <w:sz w:val="11"/>
        </w:rPr>
        <w:t>10</w:t>
      </w:r>
      <w:r>
        <w:rPr/>
        <w:t>，先天性畸形、变形或染色体异常</w:t>
      </w:r>
      <w:r>
        <w:rPr>
          <w:position w:val="11"/>
          <w:sz w:val="11"/>
        </w:rPr>
        <w:t>11</w:t>
      </w:r>
      <w:r>
        <w:rPr/>
        <w:t>。</w:t>
      </w:r>
    </w:p>
    <w:p>
      <w:pPr>
        <w:pStyle w:val="BodyText"/>
        <w:spacing w:before="9"/>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ind w:left="521" w:right="30"/>
      </w:pPr>
      <w:r>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02"/>
        <w:jc w:val="both"/>
      </w:pPr>
      <w:r>
        <w:rPr>
          <w:spacing w:val="-6"/>
        </w:rPr>
        <w:t>分期支付保险费的，投保人支付首期保险费后，除本附加同另有约定外，如果投保人到期未支</w:t>
      </w:r>
      <w:r>
        <w:rPr>
          <w:spacing w:val="-11"/>
        </w:rPr>
        <w:t>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30"/>
      </w:pPr>
      <w:r>
        <w:rPr/>
        <w:t>如果投保人在宽限期届满前仍未支付当期保险费，则本附加合同自宽限期届满的次日零时起效力中止。</w:t>
      </w:r>
    </w:p>
    <w:p>
      <w:pPr>
        <w:pStyle w:val="BodyText"/>
        <w:spacing w:before="4"/>
        <w:rPr>
          <w:sz w:val="24"/>
        </w:rPr>
      </w:pPr>
    </w:p>
    <w:p>
      <w:pPr>
        <w:pStyle w:val="Heading1"/>
        <w:tabs>
          <w:tab w:pos="941" w:val="left" w:leader="none"/>
        </w:tabs>
        <w:spacing w:before="1"/>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21" w:right="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spacing w:before="37"/>
        <w:ind w:left="521"/>
      </w:pPr>
      <w:r>
        <w:rPr/>
        <w:t>投保人或者被保险人可以指定一人或多人为身故保险金受益人。</w:t>
      </w:r>
    </w:p>
    <w:p>
      <w:pPr>
        <w:pStyle w:val="BodyText"/>
        <w:spacing w:line="273" w:lineRule="auto" w:before="37"/>
        <w:ind w:left="521" w:right="30"/>
      </w:pPr>
      <w:r>
        <w:rPr/>
        <w:t>身故保险金受益人为多人时，可以确定受益顺序和受益份额；如果没有确定份额，各受益人按照相等份额享有受益权。</w:t>
      </w:r>
    </w:p>
    <w:p>
      <w:pPr>
        <w:pStyle w:val="BodyText"/>
        <w:spacing w:before="8"/>
        <w:ind w:left="521"/>
        <w:jc w:val="both"/>
      </w:pPr>
      <w:r>
        <w:rPr/>
        <w:t>被保险人为无民事行为能力人或限制民事行为能力人的，可以由其监护人指定受益人。</w:t>
      </w:r>
    </w:p>
    <w:p>
      <w:pPr>
        <w:pStyle w:val="BodyText"/>
        <w:spacing w:before="10"/>
        <w:rPr>
          <w:sz w:val="16"/>
        </w:rPr>
      </w:pPr>
      <w:r>
        <w:rPr/>
        <w:pict>
          <v:line style="position:absolute;mso-position-horizontal-relative:page;mso-position-vertical-relative:paragraph;z-index:1096;mso-wrap-distance-left:0;mso-wrap-distance-right:0" from="85.080002pt,13.263525pt" to="532.980002pt,13.263525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BodyText"/>
        <w:spacing w:line="273" w:lineRule="auto" w:before="24"/>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line="273" w:lineRule="auto" w:before="37"/>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7"/>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361" w:val="left" w:leader="none"/>
        </w:tabs>
        <w:spacing w:line="624" w:lineRule="exact" w:before="66"/>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ind w:left="461"/>
      </w:pPr>
      <w:r>
        <w:rPr/>
        <w:t>一、 重大疾病保险金给付的申请</w:t>
      </w:r>
    </w:p>
    <w:p>
      <w:pPr>
        <w:pStyle w:val="BodyText"/>
        <w:spacing w:before="37"/>
        <w:ind w:left="941"/>
      </w:pPr>
      <w:r>
        <w:rPr/>
        <w:t>在申请重大疾病保险金时，申请人须提供下列证明和资料：</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2"/>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1"/>
          <w:numId w:val="2"/>
        </w:numPr>
        <w:tabs>
          <w:tab w:pos="1362" w:val="left" w:leader="none"/>
        </w:tabs>
        <w:spacing w:line="273" w:lineRule="auto" w:before="37" w:after="0"/>
        <w:ind w:left="1361" w:right="230" w:hanging="360"/>
        <w:jc w:val="left"/>
        <w:rPr>
          <w:sz w:val="21"/>
        </w:rPr>
      </w:pPr>
      <w:r>
        <w:rPr>
          <w:sz w:val="21"/>
        </w:rPr>
        <w:t>由医院</w:t>
      </w:r>
      <w:r>
        <w:rPr>
          <w:position w:val="11"/>
          <w:sz w:val="11"/>
        </w:rPr>
        <w:t>13</w:t>
      </w:r>
      <w:r>
        <w:rPr>
          <w:sz w:val="21"/>
        </w:rPr>
        <w:t>出具的可证明被保险人患重大疾病诊断证明书和诊断所患重大疾病必需的检</w:t>
      </w:r>
      <w:r>
        <w:rPr>
          <w:spacing w:val="-1"/>
          <w:sz w:val="21"/>
        </w:rPr>
        <w:t>查报告；</w:t>
      </w:r>
    </w:p>
    <w:p>
      <w:pPr>
        <w:pStyle w:val="ListParagraph"/>
        <w:numPr>
          <w:ilvl w:val="1"/>
          <w:numId w:val="2"/>
        </w:numPr>
        <w:tabs>
          <w:tab w:pos="1362" w:val="left" w:leader="none"/>
        </w:tabs>
        <w:spacing w:line="240" w:lineRule="auto" w:before="7" w:after="0"/>
        <w:ind w:left="1361" w:right="0" w:hanging="360"/>
        <w:jc w:val="left"/>
        <w:rPr>
          <w:sz w:val="21"/>
        </w:rPr>
      </w:pPr>
      <w:r>
        <w:rPr>
          <w:sz w:val="21"/>
        </w:rPr>
        <w:t>受益人所能提供的与确认保险事故的性质、原因等相关的其它证明、资料；</w:t>
      </w:r>
    </w:p>
    <w:p>
      <w:pPr>
        <w:pStyle w:val="ListParagraph"/>
        <w:numPr>
          <w:ilvl w:val="1"/>
          <w:numId w:val="2"/>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10"/>
        <w:rPr>
          <w:sz w:val="29"/>
        </w:rPr>
      </w:pPr>
    </w:p>
    <w:p>
      <w:pPr>
        <w:pStyle w:val="BodyText"/>
        <w:ind w:left="521"/>
      </w:pPr>
      <w:r>
        <w:rPr/>
        <w:t>二、身故保险金给付的申请</w:t>
      </w:r>
    </w:p>
    <w:p>
      <w:pPr>
        <w:pStyle w:val="BodyText"/>
        <w:spacing w:before="76"/>
        <w:ind w:left="941"/>
      </w:pPr>
      <w:r>
        <w:rPr/>
        <w:t>在申请身故保险金时，申请人须提供下列证明和资料：</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保险金给付申请书；</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本附加合同原件或其他保险凭证；</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受益人的身份证件；</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最近一期保险费的缴纳凭证；</w:t>
      </w:r>
    </w:p>
    <w:p>
      <w:pPr>
        <w:pStyle w:val="ListParagraph"/>
        <w:numPr>
          <w:ilvl w:val="0"/>
          <w:numId w:val="3"/>
        </w:numPr>
        <w:tabs>
          <w:tab w:pos="1361" w:val="left" w:leader="none"/>
          <w:tab w:pos="1362" w:val="left" w:leader="none"/>
        </w:tabs>
        <w:spacing w:line="273" w:lineRule="auto" w:before="36" w:after="0"/>
        <w:ind w:left="1361" w:right="203" w:hanging="420"/>
        <w:jc w:val="left"/>
        <w:rPr>
          <w:sz w:val="21"/>
        </w:rPr>
      </w:pPr>
      <w:r>
        <w:rPr>
          <w:spacing w:val="-7"/>
          <w:sz w:val="21"/>
        </w:rPr>
        <w:t>公安部门、医院或依法有资质的机构出具的被保险人死亡证明文件。若被保险人为宣</w:t>
      </w:r>
      <w:r>
        <w:rPr>
          <w:spacing w:val="-1"/>
          <w:sz w:val="21"/>
        </w:rPr>
        <w:t>告死亡，须提供人民法院出具的宣告死亡证明文件；</w:t>
      </w:r>
    </w:p>
    <w:p>
      <w:pPr>
        <w:pStyle w:val="ListParagraph"/>
        <w:numPr>
          <w:ilvl w:val="0"/>
          <w:numId w:val="3"/>
        </w:numPr>
        <w:tabs>
          <w:tab w:pos="1361" w:val="left" w:leader="none"/>
          <w:tab w:pos="1362" w:val="left" w:leader="none"/>
        </w:tabs>
        <w:spacing w:line="240" w:lineRule="auto" w:before="7" w:after="0"/>
        <w:ind w:left="1361" w:right="0" w:hanging="420"/>
        <w:jc w:val="left"/>
        <w:rPr>
          <w:sz w:val="21"/>
        </w:rPr>
      </w:pPr>
      <w:r>
        <w:rPr>
          <w:spacing w:val="-1"/>
          <w:sz w:val="21"/>
        </w:rPr>
        <w:t>被保险人的户籍注销证明；</w:t>
      </w:r>
    </w:p>
    <w:p>
      <w:pPr>
        <w:pStyle w:val="BodyText"/>
        <w:rPr>
          <w:sz w:val="20"/>
        </w:rPr>
      </w:pPr>
    </w:p>
    <w:p>
      <w:pPr>
        <w:pStyle w:val="BodyText"/>
        <w:spacing w:before="8"/>
        <w:rPr>
          <w:sz w:val="10"/>
        </w:rPr>
      </w:pPr>
      <w:r>
        <w:rPr/>
        <w:pict>
          <v:line style="position:absolute;mso-position-horizontal-relative:page;mso-position-vertical-relative:paragraph;z-index:1120;mso-wrap-distance-left:0;mso-wrap-distance-right:0" from="85.080002pt,9.213777pt" to="229.080002pt,9.213777pt" stroked="true" strokeweight=".53999pt" strokecolor="#000000">
            <v:stroke dashstyle="solid"/>
            <w10:wrap type="topAndBottom"/>
          </v:line>
        </w:pict>
      </w:r>
    </w:p>
    <w:p>
      <w:pPr>
        <w:pStyle w:val="ListParagraph"/>
        <w:numPr>
          <w:ilvl w:val="0"/>
          <w:numId w:val="2"/>
        </w:numPr>
        <w:tabs>
          <w:tab w:pos="374" w:val="left" w:leader="none"/>
        </w:tabs>
        <w:spacing w:line="237" w:lineRule="auto" w:before="33" w:after="0"/>
        <w:ind w:left="104" w:right="111"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3" w:right="201"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520" w:bottom="960" w:left="1600" w:right="1040"/>
        </w:sectPr>
      </w:pPr>
    </w:p>
    <w:p>
      <w:pPr>
        <w:pStyle w:val="ListParagraph"/>
        <w:numPr>
          <w:ilvl w:val="0"/>
          <w:numId w:val="3"/>
        </w:numPr>
        <w:tabs>
          <w:tab w:pos="1361" w:val="left" w:leader="none"/>
          <w:tab w:pos="1362" w:val="left" w:leader="none"/>
        </w:tabs>
        <w:spacing w:line="240" w:lineRule="auto" w:before="12" w:after="0"/>
        <w:ind w:left="1361" w:right="0" w:hanging="420"/>
        <w:jc w:val="left"/>
        <w:rPr>
          <w:sz w:val="21"/>
        </w:rPr>
      </w:pPr>
      <w:r>
        <w:rPr>
          <w:spacing w:val="-1"/>
          <w:sz w:val="21"/>
        </w:rPr>
        <w:t>受益人所能提供的与确认保险事故的性质、原因等相关的其他证明、资料；</w:t>
      </w:r>
    </w:p>
    <w:p>
      <w:pPr>
        <w:pStyle w:val="ListParagraph"/>
        <w:numPr>
          <w:ilvl w:val="0"/>
          <w:numId w:val="3"/>
        </w:numPr>
        <w:tabs>
          <w:tab w:pos="1361" w:val="left" w:leader="none"/>
          <w:tab w:pos="1362" w:val="left" w:leader="none"/>
        </w:tabs>
        <w:spacing w:line="240" w:lineRule="auto" w:before="37" w:after="0"/>
        <w:ind w:left="1361" w:right="0" w:hanging="420"/>
        <w:jc w:val="left"/>
        <w:rPr>
          <w:sz w:val="21"/>
        </w:rPr>
      </w:pPr>
      <w:r>
        <w:rPr>
          <w:spacing w:val="-1"/>
          <w:sz w:val="21"/>
        </w:rPr>
        <w:t>若经办人为代理人，则应另提供授权委托书、代理人身份证件等证明文件。</w:t>
      </w:r>
    </w:p>
    <w:p>
      <w:pPr>
        <w:pStyle w:val="BodyText"/>
        <w:rPr>
          <w:sz w:val="20"/>
        </w:rPr>
      </w:pPr>
    </w:p>
    <w:p>
      <w:pPr>
        <w:pStyle w:val="BodyText"/>
        <w:spacing w:line="237" w:lineRule="auto" w:before="153"/>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9"/>
        <w:ind w:left="941"/>
      </w:pPr>
      <w:r>
        <w:rPr/>
        <w:t>保险金作为被保险人遗产时，必须提供可证明合法继承权的相关权利文件。</w:t>
      </w:r>
    </w:p>
    <w:p>
      <w:pPr>
        <w:pStyle w:val="BodyText"/>
        <w:spacing w:before="12"/>
        <w:rPr>
          <w:sz w:val="29"/>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ind w:left="1002" w:right="180" w:hanging="420"/>
        <w:jc w:val="both"/>
      </w:pPr>
      <w:r>
        <w:rPr/>
        <w:t>三、受益人申请领取重大疾病保险金时，本公司有权聘请医疗专家对被保险人所患的重大疾病进行检查、核实和会诊。</w:t>
      </w:r>
    </w:p>
    <w:p>
      <w:pPr>
        <w:pStyle w:val="BodyText"/>
        <w:rPr>
          <w:sz w:val="20"/>
        </w:rPr>
      </w:pPr>
    </w:p>
    <w:p>
      <w:pPr>
        <w:pStyle w:val="BodyText"/>
        <w:spacing w:line="237" w:lineRule="auto" w:before="134"/>
        <w:ind w:left="1002" w:right="180" w:hanging="420"/>
        <w:jc w:val="both"/>
      </w:pPr>
      <w:r>
        <w:rPr/>
        <w:t>四、本公司在收到保险金给付申请书及合同约定的证明和资料后，将在五个工作日内作出核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1"/>
        <w:ind w:left="941" w:right="182"/>
      </w:pPr>
      <w:r>
        <w:rPr>
          <w:spacing w:val="-8"/>
        </w:rPr>
        <w:t>对不属于保险责任的，本公司自作出核定之日起三日内向受益人发出拒绝给付保险金通知书并说明理由。</w:t>
      </w:r>
    </w:p>
    <w:p>
      <w:pPr>
        <w:pStyle w:val="BodyText"/>
        <w:spacing w:line="237" w:lineRule="auto" w:before="62"/>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3"/>
        <w:ind w:left="941" w:right="182" w:hanging="420"/>
        <w:jc w:val="both"/>
      </w:pPr>
      <w:r>
        <w:rPr>
          <w:spacing w:val="-8"/>
        </w:rPr>
        <w:t>五、受益人向本公司请求给付身故保险金的诉讼时效期间为五年，请求给付重大疾病保险金的诉讼时效期间为两年，自其知道或者应当知道保险事故发生之日起计算。</w:t>
      </w:r>
    </w:p>
    <w:p>
      <w:pPr>
        <w:pStyle w:val="BodyText"/>
        <w:rPr>
          <w:sz w:val="20"/>
        </w:rPr>
      </w:pPr>
    </w:p>
    <w:p>
      <w:pPr>
        <w:pStyle w:val="Heading1"/>
        <w:tabs>
          <w:tab w:pos="1361" w:val="left" w:leader="none"/>
        </w:tabs>
        <w:spacing w:before="152"/>
      </w:pPr>
      <w:r>
        <w:rPr/>
        <w:t>第十二条</w:t>
        <w:tab/>
        <w:t>司法鉴定</w:t>
      </w:r>
    </w:p>
    <w:p>
      <w:pPr>
        <w:pStyle w:val="BodyText"/>
        <w:spacing w:before="37"/>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36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2" w:hanging="420"/>
        <w:jc w:val="both"/>
      </w:pPr>
      <w:r>
        <w:rPr>
          <w:spacing w:val="-4"/>
        </w:rPr>
        <w:t>一、被保险人的投保年龄以法定证件登记的周岁计算。本附加合同可接受的被保险人的投保年龄为出生满三十天以上、五十五周岁以下。</w:t>
      </w:r>
    </w:p>
    <w:p>
      <w:pPr>
        <w:pStyle w:val="BodyText"/>
        <w:spacing w:line="237" w:lineRule="auto" w:before="61"/>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 “本公司合同解除权的限制”的规定。</w:t>
      </w:r>
    </w:p>
    <w:p>
      <w:pPr>
        <w:pStyle w:val="ListParagraph"/>
        <w:numPr>
          <w:ilvl w:val="0"/>
          <w:numId w:val="4"/>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4"/>
        </w:numPr>
        <w:tabs>
          <w:tab w:pos="1362" w:val="left" w:leader="none"/>
        </w:tabs>
        <w:spacing w:line="240" w:lineRule="auto" w:before="7" w:after="0"/>
        <w:ind w:left="1361" w:right="0" w:hanging="360"/>
        <w:jc w:val="both"/>
        <w:rPr>
          <w:sz w:val="21"/>
        </w:rPr>
      </w:pPr>
      <w:r>
        <w:rPr>
          <w:spacing w:val="-4"/>
          <w:sz w:val="21"/>
        </w:rPr>
        <w:t>投保人申报的被保险人年龄不真实，致使投保人实付保险费多于应付保险费的，本公</w:t>
      </w:r>
    </w:p>
    <w:p>
      <w:pPr>
        <w:spacing w:after="0" w:line="240" w:lineRule="auto"/>
        <w:jc w:val="both"/>
        <w:rPr>
          <w:sz w:val="21"/>
        </w:rPr>
        <w:sectPr>
          <w:pgSz w:w="11910" w:h="16840"/>
          <w:pgMar w:header="0" w:footer="776" w:top="1220" w:bottom="960" w:left="1600" w:right="1060"/>
        </w:sectPr>
      </w:pPr>
    </w:p>
    <w:p>
      <w:pPr>
        <w:pStyle w:val="BodyText"/>
        <w:spacing w:before="12"/>
        <w:ind w:left="1361"/>
      </w:pPr>
      <w:r>
        <w:rPr/>
        <w:t>司会将多收的保险费无息退还给投保人。</w:t>
      </w:r>
    </w:p>
    <w:p>
      <w:pPr>
        <w:tabs>
          <w:tab w:pos="1361" w:val="left" w:leader="none"/>
        </w:tabs>
        <w:spacing w:line="620" w:lineRule="atLeast" w:before="4"/>
        <w:ind w:left="101" w:right="87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73" w:lineRule="auto" w:before="37"/>
        <w:ind w:left="521" w:right="3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第十五条</w:t>
        <w:tab/>
      </w:r>
      <w:r>
        <w:rPr>
          <w:w w:val="95"/>
        </w:rPr>
        <w:t>附加合同的效力</w:t>
      </w:r>
    </w:p>
    <w:p>
      <w:pPr>
        <w:pStyle w:val="BodyText"/>
        <w:spacing w:before="36"/>
        <w:ind w:left="622"/>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ind w:left="627"/>
      </w:pPr>
      <w:r>
        <w:rPr/>
        <w:t>二、出现下列情况时，本附加合同终止：</w:t>
      </w:r>
    </w:p>
    <w:p>
      <w:pPr>
        <w:pStyle w:val="BodyText"/>
        <w:spacing w:before="37"/>
        <w:ind w:left="1061"/>
      </w:pPr>
      <w:r>
        <w:rPr/>
        <w:t>1.主保险合同撤销、解除、期满、终止；</w:t>
      </w:r>
    </w:p>
    <w:p>
      <w:pPr>
        <w:pStyle w:val="BodyText"/>
        <w:spacing w:before="37"/>
        <w:ind w:left="1061"/>
      </w:pPr>
      <w:r>
        <w:rPr/>
        <w:t>2.本附加合同约定的本附加合同终止情形。</w:t>
      </w:r>
    </w:p>
    <w:p>
      <w:pPr>
        <w:tabs>
          <w:tab w:pos="1361" w:val="left" w:leader="none"/>
        </w:tabs>
        <w:spacing w:line="620" w:lineRule="atLeast" w:before="3"/>
        <w:ind w:left="101" w:right="1605" w:firstLine="52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30"/>
      </w:pPr>
      <w:r>
        <w:rPr/>
        <w:t>本条第一至二十五项重大疾病定义是中国保险行业协会制定的重大疾病保险的疾病定义；第二十六至三十八项为非中国保险行业协会制定的重大疾病定义。</w:t>
      </w:r>
    </w:p>
    <w:p>
      <w:pPr>
        <w:pStyle w:val="BodyText"/>
        <w:spacing w:before="5"/>
        <w:rPr>
          <w:sz w:val="24"/>
        </w:rPr>
      </w:pPr>
    </w:p>
    <w:p>
      <w:pPr>
        <w:pStyle w:val="BodyText"/>
        <w:ind w:left="521"/>
      </w:pPr>
      <w:r>
        <w:rPr/>
        <w:t>一、恶性肿瘤</w:t>
      </w:r>
    </w:p>
    <w:p>
      <w:pPr>
        <w:pStyle w:val="BodyText"/>
        <w:spacing w:line="273" w:lineRule="auto" w:before="37"/>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8"/>
        <w:ind w:left="941"/>
        <w:jc w:val="both"/>
      </w:pPr>
      <w:r>
        <w:rPr/>
        <w:t>下列疾病不在保障范围内：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原位癌；</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6"/>
        </w:numPr>
        <w:tabs>
          <w:tab w:pos="1361" w:val="left" w:leader="none"/>
        </w:tabs>
        <w:spacing w:line="240" w:lineRule="auto" w:before="37"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6"/>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7"/>
        <w:ind w:left="941" w:right="101"/>
        <w:jc w:val="both"/>
      </w:pPr>
      <w:r>
        <w:rPr/>
        <w:t>指因冠状动脉阻塞导致的相应区域供血不足造成部分心肌坏死。须满足下列至少三项条件：</w:t>
      </w:r>
    </w:p>
    <w:p>
      <w:pPr>
        <w:pStyle w:val="BodyText"/>
        <w:spacing w:before="8"/>
        <w:ind w:left="1047"/>
      </w:pPr>
      <w:r>
        <w:rPr/>
        <w:t>1．典型临床表现，例如急性胸痛等；</w:t>
      </w:r>
    </w:p>
    <w:p>
      <w:pPr>
        <w:spacing w:after="0"/>
        <w:sectPr>
          <w:pgSz w:w="11910" w:h="16840"/>
          <w:pgMar w:header="0" w:footer="776" w:top="1220" w:bottom="960" w:left="1600" w:right="1140"/>
        </w:sectPr>
      </w:pPr>
    </w:p>
    <w:p>
      <w:pPr>
        <w:pStyle w:val="BodyText"/>
        <w:spacing w:before="12"/>
        <w:ind w:left="1047"/>
      </w:pPr>
      <w:r>
        <w:rPr/>
        <w:t>2．新近的心电图改变提示急性心肌梗塞；</w:t>
      </w:r>
    </w:p>
    <w:p>
      <w:pPr>
        <w:pStyle w:val="BodyText"/>
        <w:spacing w:before="37"/>
        <w:ind w:left="1047"/>
      </w:pPr>
      <w:r>
        <w:rPr/>
        <w:t>3．心肌酶或肌钙蛋白有诊断意义的升高，或呈符合急性心肌梗塞的动态性变化；</w:t>
      </w:r>
    </w:p>
    <w:p>
      <w:pPr>
        <w:pStyle w:val="BodyText"/>
        <w:spacing w:before="37"/>
        <w:ind w:left="1047"/>
      </w:pPr>
      <w:r>
        <w:rPr/>
        <w:t>4．发病90天后，经检查证实左心室功能降低，如左心室射血分数低于50%。</w:t>
      </w:r>
    </w:p>
    <w:p>
      <w:pPr>
        <w:pStyle w:val="BodyText"/>
        <w:spacing w:before="9"/>
        <w:rPr>
          <w:sz w:val="26"/>
        </w:rPr>
      </w:pPr>
    </w:p>
    <w:p>
      <w:pPr>
        <w:pStyle w:val="BodyText"/>
        <w:ind w:left="521"/>
      </w:pPr>
      <w:r>
        <w:rPr/>
        <w:t>三、脑中风后遗症</w:t>
      </w:r>
    </w:p>
    <w:p>
      <w:pPr>
        <w:pStyle w:val="BodyText"/>
        <w:spacing w:line="273" w:lineRule="auto" w:before="37"/>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7"/>
      </w:pPr>
      <w:r>
        <w:rPr/>
        <w:t>1．一肢或一肢以上肢体机能完全丧失</w:t>
      </w:r>
      <w:r>
        <w:rPr>
          <w:position w:val="11"/>
          <w:sz w:val="11"/>
        </w:rPr>
        <w:t>14</w:t>
      </w:r>
      <w:r>
        <w:rPr/>
        <w:t>；</w:t>
      </w:r>
    </w:p>
    <w:p>
      <w:pPr>
        <w:pStyle w:val="BodyText"/>
        <w:spacing w:before="36"/>
        <w:ind w:left="1047"/>
      </w:pPr>
      <w:r>
        <w:rPr/>
        <w:t>2．语言能力或咀嚼吞咽能力完全丧失</w:t>
      </w:r>
      <w:r>
        <w:rPr>
          <w:position w:val="11"/>
          <w:sz w:val="11"/>
        </w:rPr>
        <w:t>15</w:t>
      </w:r>
      <w:r>
        <w:rPr/>
        <w:t>；</w:t>
      </w:r>
    </w:p>
    <w:p>
      <w:pPr>
        <w:pStyle w:val="BodyText"/>
        <w:spacing w:before="36"/>
        <w:ind w:left="1047"/>
      </w:pPr>
      <w:r>
        <w:rPr/>
        <w:t>3．自主生活能力完全丧失，无法独立完成六项基本日常生活活动</w:t>
      </w:r>
      <w:r>
        <w:rPr>
          <w:position w:val="11"/>
          <w:sz w:val="11"/>
        </w:rPr>
        <w:t>16</w:t>
      </w:r>
      <w:r>
        <w:rPr/>
        <w:t>中的三项或三项以上。</w:t>
      </w:r>
    </w:p>
    <w:p>
      <w:pPr>
        <w:pStyle w:val="BodyText"/>
        <w:spacing w:before="8"/>
        <w:rPr>
          <w:sz w:val="26"/>
        </w:rPr>
      </w:pPr>
    </w:p>
    <w:p>
      <w:pPr>
        <w:pStyle w:val="BodyText"/>
        <w:ind w:left="521"/>
      </w:pPr>
      <w:r>
        <w:rPr/>
        <w:t>四、重大器官移植术或造血干细胞移植术</w:t>
      </w:r>
    </w:p>
    <w:p>
      <w:pPr>
        <w:pStyle w:val="BodyText"/>
        <w:spacing w:line="273" w:lineRule="auto" w:before="37"/>
        <w:ind w:left="941" w:right="222"/>
      </w:pPr>
      <w:r>
        <w:rPr>
          <w:spacing w:val="-6"/>
        </w:rPr>
        <w:t>重大器官移植术，指因相应器官功能衰竭，已经实施了肾脏、肝脏、心脏或肺脏的异体移植手术。</w:t>
      </w:r>
    </w:p>
    <w:p>
      <w:pPr>
        <w:pStyle w:val="BodyText"/>
        <w:spacing w:line="273" w:lineRule="auto" w:before="8"/>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22"/>
      </w:pPr>
      <w:r>
        <w:rPr>
          <w:spacing w:val="-6"/>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21"/>
      </w:pPr>
      <w:r>
        <w:rPr/>
        <w:t>七、多个肢体缺失</w:t>
      </w:r>
    </w:p>
    <w:p>
      <w:pPr>
        <w:pStyle w:val="BodyText"/>
        <w:spacing w:line="273" w:lineRule="auto" w:before="36"/>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ind w:left="521"/>
      </w:pPr>
      <w:r>
        <w:rPr/>
        <w:t>八、急性或亚急性重症肝炎</w:t>
      </w:r>
    </w:p>
    <w:p>
      <w:pPr>
        <w:pStyle w:val="BodyText"/>
        <w:spacing w:line="273" w:lineRule="auto" w:before="37"/>
        <w:ind w:left="941" w:right="150"/>
      </w:pPr>
      <w:r>
        <w:rPr/>
        <w:t>指因肝炎病毒感染引起肝脏组织弥漫性坏死，导致急性肝功能衰竭，且经血清学或病毒学检查证实，并须满足下列全部条件：</w:t>
      </w:r>
    </w:p>
    <w:p>
      <w:pPr>
        <w:pStyle w:val="BodyText"/>
        <w:spacing w:before="7"/>
        <w:ind w:left="1047"/>
      </w:pPr>
      <w:r>
        <w:rPr/>
        <w:t>1．重度黄疸或黄疸迅速加重；</w:t>
      </w:r>
    </w:p>
    <w:p>
      <w:pPr>
        <w:pStyle w:val="BodyText"/>
        <w:spacing w:before="36"/>
        <w:ind w:left="1047"/>
      </w:pPr>
      <w:r>
        <w:rPr/>
        <w:t>2．肝性脑病；</w:t>
      </w:r>
    </w:p>
    <w:p>
      <w:pPr>
        <w:pStyle w:val="BodyText"/>
        <w:spacing w:before="36"/>
        <w:ind w:left="1047"/>
      </w:pPr>
      <w:r>
        <w:rPr/>
        <w:t>3．B超或其它影像学检查显示肝脏体积急速萎缩；</w:t>
      </w:r>
    </w:p>
    <w:p>
      <w:pPr>
        <w:pStyle w:val="BodyText"/>
        <w:spacing w:before="36"/>
        <w:ind w:left="1047"/>
      </w:pPr>
      <w:r>
        <w:rPr/>
        <w:t>4．肝功能指标进行性恶化。</w:t>
      </w:r>
    </w:p>
    <w:p>
      <w:pPr>
        <w:pStyle w:val="BodyText"/>
        <w:rPr>
          <w:sz w:val="20"/>
        </w:rPr>
      </w:pPr>
    </w:p>
    <w:p>
      <w:pPr>
        <w:pStyle w:val="BodyText"/>
        <w:spacing w:before="9"/>
        <w:rPr>
          <w:sz w:val="28"/>
        </w:rPr>
      </w:pPr>
      <w:r>
        <w:rPr/>
        <w:pict>
          <v:line style="position:absolute;mso-position-horizontal-relative:page;mso-position-vertical-relative:paragraph;z-index:1144;mso-wrap-distance-left:0;mso-wrap-distance-right:0" from="85.080002pt,21.022781pt" to="229.080002pt,21.022781pt" stroked="true" strokeweight=".54001pt" strokecolor="#000000">
            <v:stroke dashstyle="solid"/>
            <w10:wrap type="topAndBottom"/>
          </v:line>
        </w:pict>
      </w:r>
    </w:p>
    <w:p>
      <w:pPr>
        <w:pStyle w:val="ListParagraph"/>
        <w:numPr>
          <w:ilvl w:val="0"/>
          <w:numId w:val="2"/>
        </w:numPr>
        <w:tabs>
          <w:tab w:pos="372" w:val="left" w:leader="none"/>
        </w:tabs>
        <w:spacing w:line="237" w:lineRule="auto" w:before="32" w:after="0"/>
        <w:ind w:left="101" w:right="27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2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0" w:after="0"/>
        <w:ind w:left="101" w:right="22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20"/>
        </w:sectPr>
      </w:pPr>
    </w:p>
    <w:p>
      <w:pPr>
        <w:pStyle w:val="BodyText"/>
        <w:spacing w:before="12"/>
        <w:ind w:left="521"/>
      </w:pPr>
      <w:r>
        <w:rPr/>
        <w:t>九、良性脑肿瘤</w:t>
      </w:r>
    </w:p>
    <w:p>
      <w:pPr>
        <w:pStyle w:val="BodyText"/>
        <w:spacing w:line="273" w:lineRule="auto" w:before="37"/>
        <w:ind w:left="94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7"/>
      </w:pPr>
      <w:r>
        <w:rPr/>
        <w:t>1．实际实施了开颅进行的脑肿瘤完全切除或部分切除的手术；</w:t>
      </w:r>
    </w:p>
    <w:p>
      <w:pPr>
        <w:pStyle w:val="BodyText"/>
        <w:spacing w:before="36"/>
        <w:ind w:left="1047"/>
      </w:pPr>
      <w:r>
        <w:rPr/>
        <w:t>2．实际实施了对脑肿瘤进行的放射治疗。</w:t>
      </w:r>
    </w:p>
    <w:p>
      <w:pPr>
        <w:pStyle w:val="BodyText"/>
        <w:spacing w:before="36"/>
        <w:ind w:left="941"/>
        <w:jc w:val="both"/>
      </w:pPr>
      <w:r>
        <w:rPr/>
        <w:t>脑垂体瘤、脑囊肿、脑血管性疾病不在保障范围内。</w:t>
      </w:r>
    </w:p>
    <w:p>
      <w:pPr>
        <w:pStyle w:val="BodyText"/>
        <w:spacing w:before="8"/>
        <w:rPr>
          <w:sz w:val="26"/>
        </w:rPr>
      </w:pPr>
    </w:p>
    <w:p>
      <w:pPr>
        <w:pStyle w:val="BodyText"/>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47"/>
      </w:pPr>
      <w:r>
        <w:rPr/>
        <w:t>1．持续性黄疸；</w:t>
      </w:r>
    </w:p>
    <w:p>
      <w:pPr>
        <w:pStyle w:val="BodyText"/>
        <w:spacing w:before="36"/>
        <w:ind w:left="1047"/>
      </w:pPr>
      <w:r>
        <w:rPr/>
        <w:t>2．腹水；</w:t>
      </w:r>
    </w:p>
    <w:p>
      <w:pPr>
        <w:pStyle w:val="BodyText"/>
        <w:spacing w:before="36"/>
        <w:ind w:left="1047"/>
      </w:pPr>
      <w:r>
        <w:rPr/>
        <w:t>3．肝性脑病；</w:t>
      </w:r>
    </w:p>
    <w:p>
      <w:pPr>
        <w:pStyle w:val="BodyText"/>
        <w:spacing w:line="273" w:lineRule="auto" w:before="36"/>
        <w:ind w:left="941" w:right="3260" w:firstLine="105"/>
      </w:pPr>
      <w:r>
        <w:rPr/>
        <w:t>4．充血性脾肿大伴脾功能亢进或食管胃底静脉曲张。因酗酒或药物滥用导致的肝功能衰竭不在保障范围内。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41"/>
      </w:pPr>
      <w:r>
        <w:rPr/>
        <w:t>因酗酒或药物滥用导致的深度昏迷不在保障范围内。</w:t>
      </w:r>
    </w:p>
    <w:p>
      <w:pPr>
        <w:pStyle w:val="BodyText"/>
        <w:spacing w:before="8"/>
        <w:rPr>
          <w:sz w:val="26"/>
        </w:rPr>
      </w:pPr>
    </w:p>
    <w:p>
      <w:pPr>
        <w:pStyle w:val="BodyText"/>
        <w:spacing w:before="1"/>
        <w:ind w:left="521"/>
      </w:pPr>
      <w:r>
        <w:rPr/>
        <w:t>十三、双耳失聪——三岁始理赔</w:t>
      </w:r>
    </w:p>
    <w:p>
      <w:pPr>
        <w:pStyle w:val="BodyText"/>
        <w:spacing w:line="273" w:lineRule="auto" w:before="37"/>
        <w:ind w:left="941" w:right="182"/>
        <w:jc w:val="both"/>
      </w:pPr>
      <w:r>
        <w:rPr>
          <w:spacing w:val="-1"/>
        </w:rPr>
        <w:t>指因疾病或意外伤害导致双耳听力永久不可逆</w:t>
      </w:r>
      <w:r>
        <w:rPr>
          <w:position w:val="11"/>
          <w:sz w:val="11"/>
        </w:rPr>
        <w:t>17</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7"/>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ind w:left="521"/>
      </w:pPr>
      <w:r>
        <w:rPr/>
        <w:t>十四、双目失明——三岁始理赔</w:t>
      </w:r>
    </w:p>
    <w:p>
      <w:pPr>
        <w:pStyle w:val="BodyText"/>
        <w:spacing w:line="273" w:lineRule="auto" w:before="37"/>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6"/>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ind w:left="1047"/>
      </w:pPr>
      <w:r>
        <w:rPr/>
        <w:t>3．视野半径小于5 度。</w:t>
      </w:r>
    </w:p>
    <w:p>
      <w:pPr>
        <w:pStyle w:val="BodyText"/>
        <w:spacing w:line="273" w:lineRule="auto" w:before="36"/>
        <w:ind w:left="941" w:right="182"/>
        <w:jc w:val="both"/>
      </w:pPr>
      <w:r>
        <w:rPr>
          <w:spacing w:val="-8"/>
        </w:rPr>
        <w:t>申请理赔时，被保险人年龄须在三周岁以上，并且须提供理赔当时的视力丧失诊断及检查证据。</w:t>
      </w:r>
    </w:p>
    <w:p>
      <w:pPr>
        <w:pStyle w:val="BodyText"/>
        <w:spacing w:before="2"/>
        <w:rPr>
          <w:sz w:val="20"/>
        </w:rPr>
      </w:pPr>
      <w:r>
        <w:rPr/>
        <w:pict>
          <v:line style="position:absolute;mso-position-horizontal-relative:page;mso-position-vertical-relative:paragraph;z-index:1168;mso-wrap-distance-left:0;mso-wrap-distance-right:0" from="85.080002pt,15.484185pt" to="229.080002pt,15.48418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60"/>
        </w:sectPr>
      </w:pPr>
    </w:p>
    <w:p>
      <w:pPr>
        <w:pStyle w:val="BodyText"/>
        <w:spacing w:before="24"/>
        <w:ind w:left="521"/>
      </w:pPr>
      <w:r>
        <w:rPr/>
        <w:t>十五、瘫痪</w:t>
      </w:r>
    </w:p>
    <w:p>
      <w:pPr>
        <w:pStyle w:val="BodyText"/>
        <w:spacing w:line="273" w:lineRule="auto" w:before="37"/>
        <w:ind w:left="94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ind w:left="521"/>
      </w:pPr>
      <w:r>
        <w:rPr/>
        <w:t>十七、严重阿尔茨海默病</w:t>
      </w:r>
    </w:p>
    <w:p>
      <w:pPr>
        <w:pStyle w:val="BodyText"/>
        <w:spacing w:line="273" w:lineRule="auto" w:before="37"/>
        <w:ind w:left="941" w:right="201"/>
        <w:jc w:val="both"/>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8"/>
        <w:ind w:left="941" w:right="200"/>
        <w:jc w:val="both"/>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8"/>
        <w:ind w:left="941"/>
        <w:jc w:val="both"/>
      </w:pPr>
      <w:r>
        <w:rPr/>
        <w:t>神经官能症和精神疾病不在保障范围内。</w:t>
      </w:r>
    </w:p>
    <w:p>
      <w:pPr>
        <w:pStyle w:val="BodyText"/>
        <w:spacing w:before="8"/>
        <w:rPr>
          <w:sz w:val="26"/>
        </w:rPr>
      </w:pPr>
    </w:p>
    <w:p>
      <w:pPr>
        <w:pStyle w:val="BodyText"/>
        <w:spacing w:before="1"/>
        <w:ind w:left="521"/>
      </w:pPr>
      <w:r>
        <w:rPr/>
        <w:t>十八、严重脑损伤</w:t>
      </w:r>
    </w:p>
    <w:p>
      <w:pPr>
        <w:pStyle w:val="BodyText"/>
        <w:spacing w:line="273" w:lineRule="auto" w:before="37"/>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十九、严重帕金森病</w:t>
      </w:r>
    </w:p>
    <w:p>
      <w:pPr>
        <w:pStyle w:val="BodyText"/>
        <w:spacing w:line="273" w:lineRule="auto" w:before="37"/>
        <w:ind w:left="941" w:right="202"/>
        <w:jc w:val="both"/>
      </w:pPr>
      <w:r>
        <w:rPr>
          <w:spacing w:val="-4"/>
        </w:rPr>
        <w:t>是一种中枢神经系统的退行性疾病，临床表现为震颤麻痹、共济失调等。须满足下列全部条件：</w:t>
      </w:r>
    </w:p>
    <w:p>
      <w:pPr>
        <w:pStyle w:val="BodyText"/>
        <w:spacing w:before="8"/>
        <w:ind w:left="1047"/>
      </w:pPr>
      <w:r>
        <w:rPr/>
        <w:t>1．药物治疗无法控制病情；</w:t>
      </w:r>
    </w:p>
    <w:p>
      <w:pPr>
        <w:pStyle w:val="BodyText"/>
        <w:spacing w:line="273" w:lineRule="auto" w:before="37"/>
        <w:ind w:left="941" w:right="130" w:firstLine="105"/>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21"/>
      </w:pPr>
      <w:r>
        <w:rPr/>
        <w:t>二十、严重Ⅲ度烧伤</w:t>
      </w:r>
    </w:p>
    <w:p>
      <w:pPr>
        <w:pStyle w:val="BodyText"/>
        <w:spacing w:line="273" w:lineRule="auto" w:before="36"/>
        <w:ind w:left="941" w:right="203"/>
        <w:jc w:val="both"/>
      </w:pPr>
      <w:r>
        <w:rPr>
          <w:spacing w:val="-4"/>
        </w:rPr>
        <w:t>指烧伤程度为Ⅲ度，且Ⅲ度烧伤的面积达到全身体表面积的</w:t>
      </w:r>
      <w:r>
        <w:rPr/>
        <w:t>20％或20％</w:t>
      </w:r>
      <w:r>
        <w:rPr>
          <w:spacing w:val="-6"/>
        </w:rPr>
        <w:t>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3" w:lineRule="auto" w:before="37"/>
        <w:ind w:left="941" w:right="200"/>
        <w:jc w:val="both"/>
      </w:pPr>
      <w:r>
        <w:rPr>
          <w:spacing w:val="-5"/>
        </w:rPr>
        <w:t>指不明原因的肺动脉压力持续性增高，进行性发展而导致的慢性疾病，已经造成永久不可逆性的体力活动能力受限，达到美国纽约心脏病学会心功能状态分级四级</w:t>
      </w:r>
      <w:r>
        <w:rPr>
          <w:spacing w:val="-5"/>
          <w:position w:val="11"/>
          <w:sz w:val="11"/>
        </w:rPr>
        <w:t>18</w:t>
      </w:r>
      <w:r>
        <w:rPr>
          <w:spacing w:val="-5"/>
        </w:rPr>
        <w:t>，且静息状态下肺动脉平均压超过30mmHg。</w:t>
      </w:r>
    </w:p>
    <w:p>
      <w:pPr>
        <w:pStyle w:val="BodyText"/>
        <w:spacing w:before="5"/>
        <w:rPr>
          <w:sz w:val="24"/>
        </w:rPr>
      </w:pPr>
    </w:p>
    <w:p>
      <w:pPr>
        <w:pStyle w:val="BodyText"/>
        <w:ind w:left="521"/>
      </w:pPr>
      <w:r>
        <w:rPr/>
        <w:t>二十二、严重运动神经元病</w:t>
      </w:r>
    </w:p>
    <w:p>
      <w:pPr>
        <w:pStyle w:val="BodyText"/>
        <w:spacing w:line="273" w:lineRule="auto" w:before="36"/>
        <w:ind w:left="94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2"/>
        <w:rPr>
          <w:sz w:val="20"/>
        </w:rPr>
      </w:pPr>
      <w:r>
        <w:rPr/>
        <w:pict>
          <v:line style="position:absolute;mso-position-horizontal-relative:page;mso-position-vertical-relative:paragraph;z-index:1192;mso-wrap-distance-left:0;mso-wrap-distance-right:0" from="85.080002pt,15.474201pt" to="229.080002pt,15.474201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纽约心脏病协会分类标准心功能四级：是指不能从事任何体力活动。休息时亦有症状,体力活动后加重。</w:t>
      </w:r>
    </w:p>
    <w:p>
      <w:pPr>
        <w:spacing w:after="0" w:line="240" w:lineRule="auto"/>
        <w:jc w:val="left"/>
        <w:rPr>
          <w:sz w:val="18"/>
        </w:rPr>
        <w:sectPr>
          <w:footerReference w:type="default" r:id="rId9"/>
          <w:pgSz w:w="11910" w:h="16840"/>
          <w:pgMar w:footer="776" w:header="0" w:top="1520" w:bottom="960" w:left="1600" w:right="1040"/>
          <w:pgNumType w:start="10"/>
        </w:sectPr>
      </w:pPr>
    </w:p>
    <w:p>
      <w:pPr>
        <w:pStyle w:val="BodyText"/>
        <w:spacing w:before="24"/>
        <w:ind w:left="441"/>
      </w:pPr>
      <w:r>
        <w:rPr/>
        <w:t>二十三、语言能力丧失——三岁始理赔</w:t>
      </w:r>
    </w:p>
    <w:p>
      <w:pPr>
        <w:pStyle w:val="BodyText"/>
        <w:spacing w:line="273" w:lineRule="auto" w:before="37"/>
        <w:ind w:left="861" w:right="1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line="273" w:lineRule="auto" w:before="36"/>
        <w:ind w:left="861" w:right="102"/>
      </w:pPr>
      <w:r>
        <w:rPr>
          <w:spacing w:val="-8"/>
        </w:rPr>
        <w:t>申请理赔时，被保险人年龄须在三周岁以上，并且须提供理赔当时的听力丧失诊断及检查证据。</w:t>
      </w:r>
    </w:p>
    <w:p>
      <w:pPr>
        <w:pStyle w:val="BodyText"/>
        <w:spacing w:before="5"/>
        <w:rPr>
          <w:sz w:val="24"/>
        </w:rPr>
      </w:pPr>
    </w:p>
    <w:p>
      <w:pPr>
        <w:pStyle w:val="BodyText"/>
        <w:ind w:left="441"/>
      </w:pPr>
      <w:r>
        <w:rPr/>
        <w:t>二十四、重型再生障碍性贫血</w:t>
      </w:r>
    </w:p>
    <w:p>
      <w:pPr>
        <w:pStyle w:val="BodyText"/>
        <w:spacing w:line="273" w:lineRule="auto" w:before="37"/>
        <w:ind w:left="861" w:right="30"/>
      </w:pPr>
      <w:r>
        <w:rPr/>
        <w:t>指因骨髓造血功能慢性持续性衰竭导致的贫血、中性粒细胞减少及血小板减少。须满足下列全部条件：</w:t>
      </w:r>
    </w:p>
    <w:p>
      <w:pPr>
        <w:pStyle w:val="BodyText"/>
        <w:spacing w:before="7"/>
        <w:ind w:left="967"/>
      </w:pPr>
      <w:r>
        <w:rPr/>
        <w:t>1．骨髓穿刺检查或骨髓活检结果支持诊断；</w:t>
      </w:r>
    </w:p>
    <w:p>
      <w:pPr>
        <w:pStyle w:val="BodyText"/>
        <w:spacing w:before="36"/>
        <w:ind w:left="967"/>
      </w:pPr>
      <w:r>
        <w:rPr/>
        <w:t>2．外周血象须具备以下三项条件：</w:t>
      </w:r>
    </w:p>
    <w:p>
      <w:pPr>
        <w:pStyle w:val="BodyText"/>
        <w:spacing w:before="36"/>
        <w:ind w:left="1491"/>
      </w:pPr>
      <w:r>
        <w:rPr/>
        <w:t>① 中性粒细胞绝对值≤0.5×10</w:t>
      </w:r>
      <w:r>
        <w:rPr>
          <w:position w:val="11"/>
          <w:sz w:val="11"/>
        </w:rPr>
        <w:t>9</w:t>
      </w:r>
      <w:r>
        <w:rPr/>
        <w:t>/L ；</w:t>
      </w:r>
    </w:p>
    <w:p>
      <w:pPr>
        <w:pStyle w:val="BodyText"/>
        <w:spacing w:before="36"/>
        <w:ind w:left="1491"/>
      </w:pPr>
      <w:r>
        <w:rPr/>
        <w:t>② 网织红细胞＜1%；</w:t>
      </w:r>
    </w:p>
    <w:p>
      <w:pPr>
        <w:pStyle w:val="BodyText"/>
        <w:spacing w:before="36"/>
        <w:ind w:left="1475" w:right="4684"/>
        <w:jc w:val="center"/>
      </w:pPr>
      <w:r>
        <w:rPr/>
        <w:t>③ 血小板绝对值≤20×10</w:t>
      </w:r>
      <w:r>
        <w:rPr>
          <w:position w:val="11"/>
          <w:sz w:val="11"/>
        </w:rPr>
        <w:t>9</w:t>
      </w:r>
      <w:r>
        <w:rPr/>
        <w:t>/L。</w:t>
      </w:r>
    </w:p>
    <w:p>
      <w:pPr>
        <w:pStyle w:val="BodyText"/>
        <w:spacing w:before="8"/>
        <w:rPr>
          <w:sz w:val="26"/>
        </w:rPr>
      </w:pPr>
    </w:p>
    <w:p>
      <w:pPr>
        <w:pStyle w:val="BodyText"/>
        <w:ind w:left="441"/>
      </w:pPr>
      <w:r>
        <w:rPr/>
        <w:t>二十五、主动脉手术</w:t>
      </w:r>
    </w:p>
    <w:p>
      <w:pPr>
        <w:pStyle w:val="BodyText"/>
        <w:spacing w:line="273" w:lineRule="auto" w:before="37"/>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61"/>
      </w:pPr>
      <w:r>
        <w:rPr/>
        <w:t>动脉内血管成形术不在保障范围内。</w:t>
      </w:r>
    </w:p>
    <w:p>
      <w:pPr>
        <w:pStyle w:val="BodyText"/>
        <w:spacing w:before="9"/>
        <w:rPr>
          <w:sz w:val="26"/>
        </w:rPr>
      </w:pPr>
    </w:p>
    <w:p>
      <w:pPr>
        <w:pStyle w:val="BodyText"/>
        <w:ind w:left="441"/>
      </w:pPr>
      <w:r>
        <w:rPr/>
        <w:t>二十六、多发性硬化</w:t>
      </w:r>
    </w:p>
    <w:p>
      <w:pPr>
        <w:pStyle w:val="BodyText"/>
        <w:spacing w:line="273" w:lineRule="auto" w:before="37"/>
        <w:ind w:left="861" w:right="100" w:firstLine="2"/>
        <w:jc w:val="both"/>
      </w:pPr>
      <w:r>
        <w:rPr/>
        <w:t>指被保险人因脑及脊髓内的脱髓鞘病变而出现的时间超过至少6个月以上的神经系统多部</w:t>
      </w:r>
      <w:r>
        <w:rPr>
          <w:spacing w:val="-8"/>
        </w:rPr>
        <w:t>位的病变。该病必须经本公司认可的医院的神经科专科医师确诊，并且有神经系统一次以</w:t>
      </w:r>
      <w:r>
        <w:rPr>
          <w:spacing w:val="-11"/>
        </w:rPr>
        <w:t>上的发作，而出现有永久性损害的证据，即出现累及视神经、脑干、脊髓，出现有共济失调或感觉障碍四种损害中的任何两种或两种以上的情形。</w:t>
      </w:r>
    </w:p>
    <w:p>
      <w:pPr>
        <w:pStyle w:val="BodyText"/>
        <w:spacing w:before="5"/>
        <w:rPr>
          <w:sz w:val="24"/>
        </w:rPr>
      </w:pPr>
    </w:p>
    <w:p>
      <w:pPr>
        <w:pStyle w:val="BodyText"/>
        <w:ind w:left="441"/>
      </w:pPr>
      <w:r>
        <w:rPr/>
        <w:t>二十七、因输血感染艾滋病</w:t>
      </w:r>
    </w:p>
    <w:p>
      <w:pPr>
        <w:pStyle w:val="BodyText"/>
        <w:spacing w:line="273" w:lineRule="auto" w:before="36"/>
        <w:ind w:left="861" w:right="103"/>
      </w:pPr>
      <w:r>
        <w:rPr>
          <w:spacing w:val="-7"/>
        </w:rPr>
        <w:t>保单生效后，在认可的正规医疗机构接受输血服务而被输入感染的血液或血制品。血清出</w:t>
      </w:r>
      <w:r>
        <w:rPr>
          <w:spacing w:val="-1"/>
        </w:rPr>
        <w:t>现HIV</w:t>
      </w:r>
      <w:r>
        <w:rPr/>
        <w:t>感染必须发生在接受输血后6个月内。</w:t>
      </w:r>
    </w:p>
    <w:p>
      <w:pPr>
        <w:pStyle w:val="BodyText"/>
        <w:spacing w:before="7"/>
        <w:ind w:left="861"/>
      </w:pPr>
      <w:r>
        <w:rPr/>
        <w:t>本条款除外责任中关于“艾滋病”的约定，不适用于本项。</w:t>
      </w:r>
    </w:p>
    <w:p>
      <w:pPr>
        <w:pStyle w:val="BodyText"/>
        <w:spacing w:before="8"/>
        <w:rPr>
          <w:sz w:val="26"/>
        </w:rPr>
      </w:pPr>
    </w:p>
    <w:p>
      <w:pPr>
        <w:pStyle w:val="BodyText"/>
        <w:spacing w:before="1"/>
        <w:ind w:left="441"/>
      </w:pPr>
      <w:r>
        <w:rPr/>
        <w:t>二十八、终末期肺病</w:t>
      </w:r>
    </w:p>
    <w:p>
      <w:pPr>
        <w:pStyle w:val="BodyText"/>
        <w:spacing w:line="273" w:lineRule="auto" w:before="37"/>
        <w:ind w:left="861" w:right="101" w:firstLine="1"/>
      </w:pPr>
      <w:r>
        <w:rPr/>
        <w:t>指被保险人必须经本公司认可的医院的呼吸科专科医师确诊患有终末期肺病而出现慢性呼吸功能衰竭，其诊断标准包括以下各项：</w:t>
      </w:r>
    </w:p>
    <w:p>
      <w:pPr>
        <w:pStyle w:val="BodyText"/>
        <w:spacing w:before="7"/>
        <w:ind w:left="967"/>
      </w:pPr>
      <w:r>
        <w:rPr/>
        <w:t>1．肺功能测试其FEV1持续低于1升；</w:t>
      </w:r>
    </w:p>
    <w:p>
      <w:pPr>
        <w:pStyle w:val="BodyText"/>
        <w:spacing w:before="36"/>
        <w:ind w:left="967"/>
      </w:pPr>
      <w:r>
        <w:rPr/>
        <w:t>2．病人血氧不足必须持续地进行输氧治疗；</w:t>
      </w:r>
    </w:p>
    <w:p>
      <w:pPr>
        <w:pStyle w:val="BodyText"/>
        <w:spacing w:before="36"/>
        <w:ind w:left="967"/>
      </w:pPr>
      <w:r>
        <w:rPr/>
        <w:t>3．动脉血气分析氧分压等于或低于55mmHg；</w:t>
      </w:r>
    </w:p>
    <w:p>
      <w:pPr>
        <w:pStyle w:val="BodyText"/>
        <w:spacing w:before="36"/>
        <w:ind w:left="967"/>
      </w:pPr>
      <w:r>
        <w:rPr/>
        <w:t>4．休息时出现呼吸困难。</w:t>
      </w:r>
    </w:p>
    <w:p>
      <w:pPr>
        <w:pStyle w:val="BodyText"/>
        <w:spacing w:before="8"/>
        <w:rPr>
          <w:sz w:val="26"/>
        </w:rPr>
      </w:pPr>
    </w:p>
    <w:p>
      <w:pPr>
        <w:pStyle w:val="BodyText"/>
        <w:ind w:left="442"/>
      </w:pPr>
      <w:r>
        <w:rPr/>
        <w:t>二十九、心肌病</w:t>
      </w:r>
    </w:p>
    <w:p>
      <w:pPr>
        <w:pStyle w:val="BodyText"/>
        <w:spacing w:line="273" w:lineRule="auto" w:before="37"/>
        <w:ind w:left="861" w:right="101" w:firstLine="1"/>
        <w:jc w:val="both"/>
      </w:pPr>
      <w:r>
        <w:rPr/>
        <w:t>指被保险人经本公司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spacing w:before="7"/>
        <w:ind w:left="862"/>
        <w:jc w:val="both"/>
      </w:pPr>
      <w:r>
        <w:rPr/>
        <w:t>继发于酒精滥用性的心肌病不在此保障范围之内。</w:t>
      </w:r>
    </w:p>
    <w:p>
      <w:pPr>
        <w:spacing w:after="0"/>
        <w:jc w:val="both"/>
        <w:sectPr>
          <w:pgSz w:w="11910" w:h="16840"/>
          <w:pgMar w:header="0" w:footer="776" w:top="1520" w:bottom="960" w:left="1680" w:right="1140"/>
        </w:sectPr>
      </w:pPr>
    </w:p>
    <w:p>
      <w:pPr>
        <w:pStyle w:val="BodyText"/>
        <w:spacing w:before="24"/>
        <w:ind w:left="521"/>
      </w:pPr>
      <w:r>
        <w:rPr/>
        <w:t>三十、脑外科手术</w:t>
      </w:r>
    </w:p>
    <w:p>
      <w:pPr>
        <w:pStyle w:val="BodyText"/>
        <w:spacing w:line="273" w:lineRule="auto" w:before="37"/>
        <w:ind w:left="941" w:right="150"/>
      </w:pPr>
      <w:r>
        <w:rPr/>
        <w:t>指经公司认可的医院的神经外科专家确诊被保险人必须且确已在全麻下实施了开颅手术。任何原因所实行的颅骨钻孔术及所有由意外而导致的脑外科手术不在本保障范围之内。</w:t>
      </w:r>
    </w:p>
    <w:p>
      <w:pPr>
        <w:pStyle w:val="BodyText"/>
        <w:spacing w:before="5"/>
        <w:rPr>
          <w:sz w:val="24"/>
        </w:rPr>
      </w:pPr>
    </w:p>
    <w:p>
      <w:pPr>
        <w:pStyle w:val="BodyText"/>
        <w:ind w:left="521"/>
      </w:pPr>
      <w:r>
        <w:rPr/>
        <w:t>三十一、系统性红斑狼疮</w:t>
      </w:r>
    </w:p>
    <w:p>
      <w:pPr>
        <w:pStyle w:val="BodyText"/>
        <w:spacing w:line="273" w:lineRule="auto" w:before="36"/>
        <w:ind w:left="941" w:right="154"/>
      </w:pPr>
      <w:r>
        <w:rPr/>
        <w:t>以产生多种自身抗体，并由免疫反应介导的炎症为特征的自体免疫性疾病。系统性红斑狼疮的诊断必须由本公司认可医院合格的免疫学专科医师依据作出。</w:t>
      </w:r>
    </w:p>
    <w:p>
      <w:pPr>
        <w:pStyle w:val="BodyText"/>
        <w:spacing w:line="273" w:lineRule="auto" w:before="7"/>
        <w:ind w:left="941" w:right="118"/>
      </w:pPr>
      <w:r>
        <w:rPr>
          <w:spacing w:val="-3"/>
        </w:rPr>
        <w:t>本保单所保障的系统性红斑狼疮仅限于累及肾脏的状况, 且经肾脏活检确认，符合世界卫</w:t>
      </w:r>
      <w:r>
        <w:rPr>
          <w:spacing w:val="-2"/>
        </w:rPr>
        <w:t>生组织关于狼疮性肾炎</w:t>
      </w:r>
      <w:r>
        <w:rPr/>
        <w:t>III</w:t>
      </w:r>
      <w:r>
        <w:rPr>
          <w:spacing w:val="5"/>
        </w:rPr>
        <w:t> 型至</w:t>
      </w:r>
      <w:r>
        <w:rPr/>
        <w:t>V 型的诊断标准, 并伴有持续性蛋白尿</w:t>
      </w:r>
      <w:r>
        <w:rPr>
          <w:spacing w:val="2"/>
        </w:rPr>
        <w:t>（尿蛋白 ++ 以上</w:t>
      </w:r>
      <w:r>
        <w:rPr>
          <w:spacing w:val="-105"/>
        </w:rPr>
        <w:t>）</w:t>
      </w:r>
      <w:r>
        <w:rPr>
          <w:spacing w:val="-9"/>
        </w:rPr>
        <w:t>。系统性红斑狼疮的诊断依据国际普遍认可的美国风湿病学会所修订的最新诊断标准。世界卫生组织关于狼疮性肾炎的分型标准：</w:t>
      </w:r>
    </w:p>
    <w:p>
      <w:pPr>
        <w:pStyle w:val="BodyText"/>
        <w:spacing w:line="273" w:lineRule="auto" w:before="7"/>
        <w:ind w:left="1361" w:right="5086"/>
      </w:pPr>
      <w:r>
        <w:rPr/>
        <w:t>第一型 微小病变型狼疮性肾炎第二型 系膜增生型狼疮性肾炎</w:t>
      </w:r>
    </w:p>
    <w:p>
      <w:pPr>
        <w:pStyle w:val="BodyText"/>
        <w:spacing w:line="273" w:lineRule="auto" w:before="7"/>
        <w:ind w:left="1361" w:right="4666"/>
      </w:pPr>
      <w:r>
        <w:rPr/>
        <w:t>第三型 局灶节段增生型狼疮性肾炎第四型 弥漫增生型狼疮性肾炎</w:t>
      </w:r>
    </w:p>
    <w:p>
      <w:pPr>
        <w:pStyle w:val="BodyText"/>
        <w:spacing w:before="7"/>
        <w:ind w:left="1361"/>
      </w:pPr>
      <w:r>
        <w:rPr/>
        <w:t>第五型 膜型狼疮性肾炎</w:t>
      </w:r>
    </w:p>
    <w:p>
      <w:pPr>
        <w:pStyle w:val="BodyText"/>
        <w:spacing w:before="8"/>
        <w:rPr>
          <w:sz w:val="26"/>
        </w:rPr>
      </w:pPr>
    </w:p>
    <w:p>
      <w:pPr>
        <w:pStyle w:val="BodyText"/>
        <w:ind w:left="521"/>
      </w:pPr>
      <w:r>
        <w:rPr/>
        <w:t>三十二、严重类风湿性关节炎（仅适用于被保险人年满十八周岁以上）</w:t>
      </w:r>
    </w:p>
    <w:p>
      <w:pPr>
        <w:pStyle w:val="BodyText"/>
        <w:spacing w:line="273" w:lineRule="auto" w:before="37"/>
        <w:ind w:left="941" w:right="150"/>
      </w:pPr>
      <w:r>
        <w:rPr/>
        <w:t>广泛的关节损坏，临床上存在三个或三个以上下列关节的畸形：手、腕、肘、颈椎、膝、踝、蹠-趾关节。并且由本公司认可医院的专科医师确认被保险人在无他人协助下无法独立完成以下至少三项日常生活活动。上述畸形及功能异常须持续至少达180天。</w:t>
      </w:r>
    </w:p>
    <w:p>
      <w:pPr>
        <w:pStyle w:val="BodyText"/>
        <w:spacing w:before="8"/>
        <w:ind w:left="1047"/>
      </w:pPr>
      <w:r>
        <w:rPr/>
        <w:t>1．穿衣 自己能够穿衣及脱衣；</w:t>
      </w:r>
    </w:p>
    <w:p>
      <w:pPr>
        <w:pStyle w:val="BodyText"/>
        <w:spacing w:before="37"/>
        <w:ind w:left="1047"/>
      </w:pPr>
      <w:r>
        <w:rPr/>
        <w:t>2．移动 自己从一个房间到另一个房间；</w:t>
      </w:r>
    </w:p>
    <w:p>
      <w:pPr>
        <w:pStyle w:val="BodyText"/>
        <w:spacing w:before="37"/>
        <w:ind w:left="1047"/>
      </w:pPr>
      <w:r>
        <w:rPr/>
        <w:t>3．行动 自己上下床或上下轮椅；</w:t>
      </w:r>
    </w:p>
    <w:p>
      <w:pPr>
        <w:pStyle w:val="BodyText"/>
        <w:spacing w:before="37"/>
        <w:ind w:left="1047"/>
      </w:pPr>
      <w:r>
        <w:rPr/>
        <w:t>4．如厕 自己控制进行大小便；</w:t>
      </w:r>
    </w:p>
    <w:p>
      <w:pPr>
        <w:pStyle w:val="BodyText"/>
        <w:spacing w:before="37"/>
        <w:ind w:left="1047"/>
      </w:pPr>
      <w:r>
        <w:rPr/>
        <w:t>5．进食 自己从已准备好的碗/碟中摄取食物放入口中；</w:t>
      </w:r>
    </w:p>
    <w:p>
      <w:pPr>
        <w:pStyle w:val="BodyText"/>
        <w:spacing w:before="37"/>
        <w:ind w:left="1047"/>
      </w:pPr>
      <w:r>
        <w:rPr/>
        <w:t>6．洗澡 自己进行淋浴或盆浴。</w:t>
      </w:r>
    </w:p>
    <w:p>
      <w:pPr>
        <w:pStyle w:val="BodyText"/>
        <w:spacing w:before="8"/>
        <w:rPr>
          <w:sz w:val="26"/>
        </w:rPr>
      </w:pPr>
    </w:p>
    <w:p>
      <w:pPr>
        <w:pStyle w:val="BodyText"/>
        <w:ind w:left="521"/>
      </w:pPr>
      <w:r>
        <w:rPr/>
        <w:t>三十三、胰岛素依赖型糖尿病</w:t>
      </w:r>
    </w:p>
    <w:p>
      <w:pPr>
        <w:pStyle w:val="BodyText"/>
        <w:spacing w:line="273" w:lineRule="auto" w:before="36"/>
        <w:ind w:left="941" w:right="222"/>
        <w:jc w:val="both"/>
      </w:pPr>
      <w:r>
        <w:rPr>
          <w:spacing w:val="-3"/>
        </w:rPr>
        <w:t>胰岛素依赖型糖尿病的诊断必须由认可医院的合格内分泌专科医师作出。理赔时被保险人</w:t>
      </w:r>
      <w:r>
        <w:rPr>
          <w:spacing w:val="-6"/>
        </w:rPr>
        <w:t>须已持续性地依赖外源性胰岛素治疗至少 </w:t>
      </w:r>
      <w:r>
        <w:rPr/>
        <w:t>6</w:t>
      </w:r>
      <w:r>
        <w:rPr>
          <w:spacing w:val="-11"/>
        </w:rPr>
        <w:t> 个月。可以用其他方法</w:t>
      </w:r>
      <w:r>
        <w:rPr/>
        <w:t>（非胰岛素注射</w:t>
      </w:r>
      <w:r>
        <w:rPr>
          <w:spacing w:val="-25"/>
        </w:rPr>
        <w:t>）</w:t>
      </w:r>
      <w:r>
        <w:rPr/>
        <w:t>治疗的糖尿病不在本保障范围之内。</w:t>
      </w:r>
    </w:p>
    <w:p>
      <w:pPr>
        <w:pStyle w:val="BodyText"/>
        <w:spacing w:before="5"/>
        <w:rPr>
          <w:sz w:val="24"/>
        </w:rPr>
      </w:pPr>
    </w:p>
    <w:p>
      <w:pPr>
        <w:pStyle w:val="BodyText"/>
        <w:ind w:left="627"/>
      </w:pPr>
      <w:r>
        <w:rPr/>
        <w:t>三十四、严重脊髓灰质炎</w:t>
      </w:r>
    </w:p>
    <w:p>
      <w:pPr>
        <w:pStyle w:val="BodyText"/>
        <w:spacing w:line="273" w:lineRule="auto" w:before="37"/>
        <w:ind w:left="941" w:right="117" w:firstLine="60"/>
      </w:pPr>
      <w:r>
        <w:rPr/>
        <w:t>因感染脊髓灰质炎病毒而导致的瘫痪性疾病，表现为运动功能受损或呼吸无力。须经认</w:t>
      </w:r>
      <w:r>
        <w:rPr>
          <w:spacing w:val="-8"/>
        </w:rPr>
        <w:t>可医院的神经科医师确诊。必须有至少 </w:t>
      </w:r>
      <w:r>
        <w:rPr/>
        <w:t>3</w:t>
      </w:r>
      <w:r>
        <w:rPr>
          <w:spacing w:val="-14"/>
        </w:rPr>
        <w:t> 个月的医疗纪录。如无瘫痪性表现，则不能理赔。</w:t>
      </w:r>
      <w:r>
        <w:rPr>
          <w:spacing w:val="-1"/>
        </w:rPr>
        <w:t>其他原因导致的瘫痪须除外。</w:t>
      </w:r>
    </w:p>
    <w:p>
      <w:pPr>
        <w:pStyle w:val="BodyText"/>
        <w:spacing w:before="5"/>
        <w:rPr>
          <w:sz w:val="24"/>
        </w:rPr>
      </w:pPr>
    </w:p>
    <w:p>
      <w:pPr>
        <w:pStyle w:val="BodyText"/>
        <w:ind w:left="521"/>
      </w:pPr>
      <w:r>
        <w:rPr/>
        <w:t>三十五、川崎病伴心脏损害</w:t>
      </w:r>
    </w:p>
    <w:p>
      <w:pPr>
        <w:pStyle w:val="BodyText"/>
        <w:spacing w:line="256" w:lineRule="auto" w:before="36"/>
        <w:ind w:left="941" w:right="218"/>
        <w:jc w:val="both"/>
      </w:pPr>
      <w:r>
        <w:rPr/>
        <w:t>是一种表现为发热、结膜炎、颈部淋巴结肿大、皮疹及手</w:t>
      </w:r>
      <w:r>
        <w:rPr>
          <w:rFonts w:ascii="Times New Roman" w:eastAsia="Times New Roman"/>
        </w:rPr>
        <w:t>/</w:t>
      </w:r>
      <w:r>
        <w:rPr/>
        <w:t>脚肿胀的血管炎。本保障包含因急性发作性冠状动脉炎持续 </w:t>
      </w:r>
      <w:r>
        <w:rPr>
          <w:rFonts w:ascii="Times New Roman" w:eastAsia="Times New Roman"/>
        </w:rPr>
        <w:t>6 </w:t>
      </w:r>
      <w:r>
        <w:rPr/>
        <w:t>个月导致冠脉血管瘤 </w:t>
      </w:r>
      <w:r>
        <w:rPr>
          <w:rFonts w:ascii="Times New Roman" w:eastAsia="Times New Roman"/>
        </w:rPr>
        <w:t>(Nakano II </w:t>
      </w:r>
      <w:r>
        <w:rPr/>
        <w:t>级</w:t>
      </w:r>
      <w:r>
        <w:rPr>
          <w:position w:val="11"/>
          <w:sz w:val="11"/>
        </w:rPr>
        <w:t>19</w:t>
      </w:r>
      <w:r>
        <w:rPr>
          <w:rFonts w:ascii="Times New Roman" w:eastAsia="Times New Roman"/>
        </w:rPr>
        <w:t>) </w:t>
      </w:r>
      <w:r>
        <w:rPr/>
        <w:t>的出现。理赔时必</w:t>
      </w:r>
      <w:r>
        <w:rPr>
          <w:w w:val="95"/>
        </w:rPr>
        <w:t>须提供超声心动图和血管造影的诊断证明。</w:t>
      </w:r>
    </w:p>
    <w:p>
      <w:pPr>
        <w:pStyle w:val="BodyText"/>
        <w:rPr>
          <w:sz w:val="20"/>
        </w:rPr>
      </w:pPr>
    </w:p>
    <w:p>
      <w:pPr>
        <w:pStyle w:val="BodyText"/>
        <w:spacing w:before="6"/>
        <w:rPr>
          <w:sz w:val="15"/>
        </w:rPr>
      </w:pPr>
      <w:r>
        <w:rPr/>
        <w:pict>
          <v:line style="position:absolute;mso-position-horizontal-relative:page;mso-position-vertical-relative:paragraph;z-index:1216;mso-wrap-distance-left:0;mso-wrap-distance-right:0" from="85.080002pt,12.365661pt" to="229.080002pt,12.365661pt" stroked="true" strokeweight=".53998pt" strokecolor="#000000">
            <v:stroke dashstyle="solid"/>
            <w10:wrap type="topAndBottom"/>
          </v:line>
        </w:pict>
      </w:r>
    </w:p>
    <w:p>
      <w:pPr>
        <w:pStyle w:val="BodyText"/>
        <w:spacing w:before="9"/>
        <w:rPr>
          <w:sz w:val="8"/>
        </w:rPr>
      </w:pPr>
    </w:p>
    <w:p>
      <w:pPr>
        <w:pStyle w:val="ListParagraph"/>
        <w:numPr>
          <w:ilvl w:val="0"/>
          <w:numId w:val="2"/>
        </w:numPr>
        <w:tabs>
          <w:tab w:pos="372" w:val="left" w:leader="none"/>
        </w:tabs>
        <w:spacing w:line="240" w:lineRule="auto" w:before="45" w:after="0"/>
        <w:ind w:left="371" w:right="0" w:hanging="270"/>
        <w:jc w:val="left"/>
        <w:rPr>
          <w:sz w:val="18"/>
        </w:rPr>
      </w:pPr>
      <w:r>
        <w:rPr>
          <w:sz w:val="18"/>
        </w:rPr>
        <w:t>NakanoII</w:t>
      </w:r>
      <w:r>
        <w:rPr>
          <w:spacing w:val="-9"/>
          <w:sz w:val="18"/>
        </w:rPr>
        <w:t> 级：可为单发、多发或广泛性，最大内经为 </w:t>
      </w:r>
      <w:r>
        <w:rPr>
          <w:sz w:val="18"/>
        </w:rPr>
        <w:t>4-8mm。</w:t>
      </w:r>
    </w:p>
    <w:p>
      <w:pPr>
        <w:spacing w:after="0" w:line="240" w:lineRule="auto"/>
        <w:jc w:val="left"/>
        <w:rPr>
          <w:sz w:val="18"/>
        </w:rPr>
        <w:sectPr>
          <w:pgSz w:w="11910" w:h="16840"/>
          <w:pgMar w:header="0" w:footer="776" w:top="1520" w:bottom="960" w:left="1600" w:right="1020"/>
        </w:sectPr>
      </w:pPr>
    </w:p>
    <w:p>
      <w:pPr>
        <w:pStyle w:val="BodyText"/>
        <w:spacing w:before="12"/>
        <w:ind w:left="521"/>
      </w:pPr>
      <w:r>
        <w:rPr/>
        <w:t>三十六、严重的骨质疏松</w:t>
      </w:r>
    </w:p>
    <w:p>
      <w:pPr>
        <w:pStyle w:val="BodyText"/>
        <w:spacing w:line="273" w:lineRule="auto" w:before="37"/>
        <w:ind w:left="941" w:right="150"/>
      </w:pPr>
      <w:r>
        <w:rPr/>
        <w:t>严重的骨质疏松，并因此而直接导致脊椎、骨盆、桡骨、尺骨、肱骨、胫骨、股骨骨折。骨质疏松的诊断必须由本公司认可医院合格的专科医师做出，并符合世界卫生组织关于骨质疏松的诊断标准</w:t>
      </w:r>
      <w:r>
        <w:rPr>
          <w:position w:val="11"/>
          <w:sz w:val="11"/>
        </w:rPr>
        <w:t>20</w:t>
      </w:r>
      <w:r>
        <w:rPr/>
        <w:t>。</w:t>
      </w:r>
    </w:p>
    <w:p>
      <w:pPr>
        <w:pStyle w:val="BodyText"/>
        <w:spacing w:before="2"/>
        <w:rPr>
          <w:sz w:val="24"/>
        </w:rPr>
      </w:pPr>
    </w:p>
    <w:p>
      <w:pPr>
        <w:pStyle w:val="BodyText"/>
        <w:ind w:left="610" w:right="6539"/>
        <w:jc w:val="center"/>
      </w:pPr>
      <w:r>
        <w:rPr/>
        <w:t>三十七、肌营养不良症</w:t>
      </w:r>
    </w:p>
    <w:p>
      <w:pPr>
        <w:pStyle w:val="BodyText"/>
        <w:spacing w:before="37"/>
        <w:ind w:left="1047"/>
      </w:pPr>
      <w:r>
        <w:rPr/>
        <w:t>肌营养不良症需要神经专科医生确诊，并且须满足下列全部条件：</w:t>
      </w:r>
    </w:p>
    <w:p>
      <w:pPr>
        <w:pStyle w:val="BodyText"/>
        <w:spacing w:before="37"/>
        <w:ind w:left="1047"/>
      </w:pPr>
      <w:r>
        <w:rPr/>
        <w:t>1．临床表现包括：无感觉神经紊乱，正常脑脊液及轻微腱反射的减退；</w:t>
      </w:r>
    </w:p>
    <w:p>
      <w:pPr>
        <w:pStyle w:val="BodyText"/>
        <w:spacing w:before="37"/>
        <w:ind w:left="1047"/>
      </w:pPr>
      <w:r>
        <w:rPr/>
        <w:t>2．典型的肌电图；</w:t>
      </w:r>
    </w:p>
    <w:p>
      <w:pPr>
        <w:pStyle w:val="BodyText"/>
        <w:spacing w:before="37"/>
        <w:ind w:left="1047"/>
      </w:pPr>
      <w:r>
        <w:rPr/>
        <w:t>3．临床的异常表现已被活检确诊。</w:t>
      </w:r>
    </w:p>
    <w:p>
      <w:pPr>
        <w:pStyle w:val="BodyText"/>
        <w:spacing w:before="8"/>
        <w:rPr>
          <w:sz w:val="26"/>
        </w:rPr>
      </w:pPr>
    </w:p>
    <w:p>
      <w:pPr>
        <w:pStyle w:val="BodyText"/>
        <w:spacing w:before="1"/>
        <w:ind w:left="610" w:right="6539"/>
        <w:jc w:val="center"/>
      </w:pPr>
      <w:r>
        <w:rPr/>
        <w:t>三十八、儿童严重哮喘</w:t>
      </w:r>
    </w:p>
    <w:p>
      <w:pPr>
        <w:pStyle w:val="BodyText"/>
        <w:spacing w:before="37"/>
        <w:ind w:left="1046"/>
      </w:pPr>
      <w:r>
        <w:rPr/>
        <w:t>严重的哮喘须满足下列标准中的至少 3 项：</w:t>
      </w:r>
    </w:p>
    <w:p>
      <w:pPr>
        <w:pStyle w:val="BodyText"/>
        <w:spacing w:before="37"/>
        <w:ind w:left="1046"/>
      </w:pPr>
      <w:r>
        <w:rPr/>
        <w:t>1．在儿科专科医师的建议下为控制哮喘，持续每日应用口服皮脂类固醇至少 6 个月；</w:t>
      </w:r>
    </w:p>
    <w:p>
      <w:pPr>
        <w:pStyle w:val="BodyText"/>
        <w:spacing w:before="37"/>
        <w:ind w:left="1046"/>
      </w:pPr>
      <w:r>
        <w:rPr/>
        <w:t>2．经儿科专科医师确认出现哈里逊(氏)沟胸部畸形；</w:t>
      </w:r>
    </w:p>
    <w:p>
      <w:pPr>
        <w:pStyle w:val="BodyText"/>
        <w:spacing w:before="37"/>
        <w:ind w:left="1046"/>
      </w:pPr>
      <w:r>
        <w:rPr/>
        <w:t>3．经儿科专科医师确认，患儿身体发育由于患哮喘而受到严重影响；</w:t>
      </w:r>
    </w:p>
    <w:p>
      <w:pPr>
        <w:pStyle w:val="BodyText"/>
        <w:spacing w:before="37"/>
        <w:ind w:left="1046"/>
      </w:pPr>
      <w:r>
        <w:rPr>
          <w:spacing w:val="-13"/>
        </w:rPr>
        <w:t>4</w:t>
      </w:r>
      <w:r>
        <w:rPr>
          <w:spacing w:val="-15"/>
        </w:rPr>
        <w:t>．在过去 </w:t>
      </w:r>
      <w:r>
        <w:rPr/>
        <w:t>2</w:t>
      </w:r>
      <w:r>
        <w:rPr>
          <w:spacing w:val="-13"/>
        </w:rPr>
        <w:t> 年中为控制哮喘的急性发作，平均 </w:t>
      </w:r>
      <w:r>
        <w:rPr/>
        <w:t>1</w:t>
      </w:r>
      <w:r>
        <w:rPr>
          <w:spacing w:val="-20"/>
        </w:rPr>
        <w:t> 年中至少 </w:t>
      </w:r>
      <w:r>
        <w:rPr/>
        <w:t>3</w:t>
      </w:r>
      <w:r>
        <w:rPr>
          <w:spacing w:val="-10"/>
        </w:rPr>
        <w:t> 次住院治疗。住院治疗是指</w:t>
      </w:r>
    </w:p>
    <w:p>
      <w:pPr>
        <w:pStyle w:val="BodyText"/>
        <w:spacing w:before="37"/>
        <w:ind w:left="1361"/>
      </w:pPr>
      <w:r>
        <w:rPr/>
        <w:t>在儿科专科医师的建议下，由于哮喘而持续住院治疗至少 2 个夜晚；</w:t>
      </w:r>
    </w:p>
    <w:p>
      <w:pPr>
        <w:pStyle w:val="BodyText"/>
        <w:spacing w:line="273" w:lineRule="auto" w:before="37"/>
        <w:ind w:left="1361" w:right="117" w:hanging="314"/>
      </w:pPr>
      <w:r>
        <w:rPr/>
        <w:t>5．</w:t>
      </w:r>
      <w:r>
        <w:rPr>
          <w:spacing w:val="-9"/>
        </w:rPr>
        <w:t>呼气峰流量持续严重受限。</w:t>
      </w:r>
      <w:r>
        <w:rPr/>
        <w:t>（呼气峰流量严重受限指所记录的最高呼气流量小于 80% 同年龄、性别、体格并正在接受专科儿科医师治疗的哮喘儿童的预期呼气流量</w:t>
      </w:r>
      <w:r>
        <w:rPr>
          <w:spacing w:val="-105"/>
        </w:rPr>
        <w:t>）</w:t>
      </w:r>
      <w:r>
        <w:rPr/>
        <w:t>。测</w:t>
      </w:r>
      <w:r>
        <w:rPr>
          <w:spacing w:val="0"/>
        </w:rPr>
        <w:t>试记录应由儿科专科医师在至少在</w:t>
      </w:r>
      <w:r>
        <w:rPr/>
        <w:t>12</w:t>
      </w:r>
      <w:r>
        <w:rPr>
          <w:spacing w:val="-8"/>
        </w:rPr>
        <w:t> 个月中间隔不少于</w:t>
      </w:r>
      <w:r>
        <w:rPr/>
        <w:t>1</w:t>
      </w:r>
      <w:r>
        <w:rPr>
          <w:spacing w:val="-13"/>
        </w:rPr>
        <w:t> 个月的</w:t>
      </w:r>
      <w:r>
        <w:rPr/>
        <w:t>4</w:t>
      </w:r>
      <w:r>
        <w:rPr>
          <w:spacing w:val="-1"/>
        </w:rPr>
        <w:t> 个不同时间取得。儿科专科医师应确认在获取该记录的时间段内，患儿接受了最佳的哮喘药物治疗。</w:t>
      </w:r>
    </w:p>
    <w:p>
      <w:pPr>
        <w:pStyle w:val="BodyText"/>
        <w:spacing w:before="5"/>
        <w:rPr>
          <w:sz w:val="24"/>
        </w:rPr>
      </w:pPr>
    </w:p>
    <w:p>
      <w:pPr>
        <w:pStyle w:val="Heading1"/>
        <w:ind w:left="0" w:right="222"/>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r>
        <w:rPr/>
        <w:pict>
          <v:line style="position:absolute;mso-position-horizontal-relative:page;mso-position-vertical-relative:paragraph;z-index:1240;mso-wrap-distance-left:0;mso-wrap-distance-right:0" from="85.080002pt,12.380437pt" to="229.080002pt,12.380437pt" stroked="true" strokeweight=".54001pt" strokecolor="#000000">
            <v:stroke dashstyle="solid"/>
            <w10:wrap type="topAndBottom"/>
          </v:line>
        </w:pict>
      </w:r>
    </w:p>
    <w:p>
      <w:pPr>
        <w:pStyle w:val="ListParagraph"/>
        <w:numPr>
          <w:ilvl w:val="0"/>
          <w:numId w:val="2"/>
        </w:numPr>
        <w:tabs>
          <w:tab w:pos="372" w:val="left" w:leader="none"/>
        </w:tabs>
        <w:spacing w:line="240" w:lineRule="auto" w:before="71" w:after="0"/>
        <w:ind w:left="371" w:right="0" w:hanging="270"/>
        <w:jc w:val="left"/>
        <w:rPr>
          <w:sz w:val="18"/>
        </w:rPr>
      </w:pPr>
      <w:r>
        <w:rPr>
          <w:sz w:val="18"/>
        </w:rPr>
        <w:t>世界卫生组织关于骨质疏松的定义：骨密度检测， T 值小于 -2.5。</w:t>
      </w:r>
    </w:p>
    <w:sectPr>
      <w:pgSz w:w="11910" w:h="16840"/>
      <w:pgMar w:header="0" w:footer="776" w:top="1220" w:bottom="9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420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417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15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0" w:hanging="315"/>
      </w:pPr>
      <w:rPr>
        <w:rFonts w:hint="default"/>
      </w:rPr>
    </w:lvl>
    <w:lvl w:ilvl="2">
      <w:start w:val="0"/>
      <w:numFmt w:val="bullet"/>
      <w:lvlText w:val="•"/>
      <w:lvlJc w:val="left"/>
      <w:pPr>
        <w:ind w:left="2920" w:hanging="315"/>
      </w:pPr>
      <w:rPr>
        <w:rFonts w:hint="default"/>
      </w:rPr>
    </w:lvl>
    <w:lvl w:ilvl="3">
      <w:start w:val="0"/>
      <w:numFmt w:val="bullet"/>
      <w:lvlText w:val="•"/>
      <w:lvlJc w:val="left"/>
      <w:pPr>
        <w:ind w:left="3701" w:hanging="315"/>
      </w:pPr>
      <w:rPr>
        <w:rFonts w:hint="default"/>
      </w:rPr>
    </w:lvl>
    <w:lvl w:ilvl="4">
      <w:start w:val="0"/>
      <w:numFmt w:val="bullet"/>
      <w:lvlText w:val="•"/>
      <w:lvlJc w:val="left"/>
      <w:pPr>
        <w:ind w:left="4481" w:hanging="315"/>
      </w:pPr>
      <w:rPr>
        <w:rFonts w:hint="default"/>
      </w:rPr>
    </w:lvl>
    <w:lvl w:ilvl="5">
      <w:start w:val="0"/>
      <w:numFmt w:val="bullet"/>
      <w:lvlText w:val="•"/>
      <w:lvlJc w:val="left"/>
      <w:pPr>
        <w:ind w:left="5262" w:hanging="315"/>
      </w:pPr>
      <w:rPr>
        <w:rFonts w:hint="default"/>
      </w:rPr>
    </w:lvl>
    <w:lvl w:ilvl="6">
      <w:start w:val="0"/>
      <w:numFmt w:val="bullet"/>
      <w:lvlText w:val="•"/>
      <w:lvlJc w:val="left"/>
      <w:pPr>
        <w:ind w:left="6042" w:hanging="315"/>
      </w:pPr>
      <w:rPr>
        <w:rFonts w:hint="default"/>
      </w:rPr>
    </w:lvl>
    <w:lvl w:ilvl="7">
      <w:start w:val="0"/>
      <w:numFmt w:val="bullet"/>
      <w:lvlText w:val="•"/>
      <w:lvlJc w:val="left"/>
      <w:pPr>
        <w:ind w:left="6823" w:hanging="315"/>
      </w:pPr>
      <w:rPr>
        <w:rFonts w:hint="default"/>
      </w:rPr>
    </w:lvl>
    <w:lvl w:ilvl="8">
      <w:start w:val="0"/>
      <w:numFmt w:val="bullet"/>
      <w:lvlText w:val="•"/>
      <w:lvlJc w:val="left"/>
      <w:pPr>
        <w:ind w:left="7603" w:hanging="315"/>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0" w:hanging="316"/>
      </w:pPr>
      <w:rPr>
        <w:rFonts w:hint="default"/>
      </w:rPr>
    </w:lvl>
    <w:lvl w:ilvl="2">
      <w:start w:val="0"/>
      <w:numFmt w:val="bullet"/>
      <w:lvlText w:val="•"/>
      <w:lvlJc w:val="left"/>
      <w:pPr>
        <w:ind w:left="2920" w:hanging="316"/>
      </w:pPr>
      <w:rPr>
        <w:rFonts w:hint="default"/>
      </w:rPr>
    </w:lvl>
    <w:lvl w:ilvl="3">
      <w:start w:val="0"/>
      <w:numFmt w:val="bullet"/>
      <w:lvlText w:val="•"/>
      <w:lvlJc w:val="left"/>
      <w:pPr>
        <w:ind w:left="3701" w:hanging="316"/>
      </w:pPr>
      <w:rPr>
        <w:rFonts w:hint="default"/>
      </w:rPr>
    </w:lvl>
    <w:lvl w:ilvl="4">
      <w:start w:val="0"/>
      <w:numFmt w:val="bullet"/>
      <w:lvlText w:val="•"/>
      <w:lvlJc w:val="left"/>
      <w:pPr>
        <w:ind w:left="4481" w:hanging="316"/>
      </w:pPr>
      <w:rPr>
        <w:rFonts w:hint="default"/>
      </w:rPr>
    </w:lvl>
    <w:lvl w:ilvl="5">
      <w:start w:val="0"/>
      <w:numFmt w:val="bullet"/>
      <w:lvlText w:val="•"/>
      <w:lvlJc w:val="left"/>
      <w:pPr>
        <w:ind w:left="5262" w:hanging="316"/>
      </w:pPr>
      <w:rPr>
        <w:rFonts w:hint="default"/>
      </w:rPr>
    </w:lvl>
    <w:lvl w:ilvl="6">
      <w:start w:val="0"/>
      <w:numFmt w:val="bullet"/>
      <w:lvlText w:val="•"/>
      <w:lvlJc w:val="left"/>
      <w:pPr>
        <w:ind w:left="6042" w:hanging="316"/>
      </w:pPr>
      <w:rPr>
        <w:rFonts w:hint="default"/>
      </w:rPr>
    </w:lvl>
    <w:lvl w:ilvl="7">
      <w:start w:val="0"/>
      <w:numFmt w:val="bullet"/>
      <w:lvlText w:val="•"/>
      <w:lvlJc w:val="left"/>
      <w:pPr>
        <w:ind w:left="6823" w:hanging="316"/>
      </w:pPr>
      <w:rPr>
        <w:rFonts w:hint="default"/>
      </w:rPr>
    </w:lvl>
    <w:lvl w:ilvl="8">
      <w:start w:val="0"/>
      <w:numFmt w:val="bullet"/>
      <w:lvlText w:val="•"/>
      <w:lvlJc w:val="left"/>
      <w:pPr>
        <w:ind w:left="7603"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421"/>
        <w:jc w:val="left"/>
      </w:pPr>
      <w:rPr>
        <w:rFonts w:hint="default" w:ascii="宋体" w:hAnsi="宋体" w:eastAsia="宋体" w:cs="宋体"/>
        <w:spacing w:val="-2"/>
        <w:w w:val="100"/>
        <w:sz w:val="21"/>
        <w:szCs w:val="21"/>
      </w:rPr>
    </w:lvl>
    <w:lvl w:ilvl="1">
      <w:start w:val="0"/>
      <w:numFmt w:val="bullet"/>
      <w:lvlText w:val="•"/>
      <w:lvlJc w:val="left"/>
      <w:pPr>
        <w:ind w:left="2150" w:hanging="421"/>
      </w:pPr>
      <w:rPr>
        <w:rFonts w:hint="default"/>
      </w:rPr>
    </w:lvl>
    <w:lvl w:ilvl="2">
      <w:start w:val="0"/>
      <w:numFmt w:val="bullet"/>
      <w:lvlText w:val="•"/>
      <w:lvlJc w:val="left"/>
      <w:pPr>
        <w:ind w:left="2940" w:hanging="421"/>
      </w:pPr>
      <w:rPr>
        <w:rFonts w:hint="default"/>
      </w:rPr>
    </w:lvl>
    <w:lvl w:ilvl="3">
      <w:start w:val="0"/>
      <w:numFmt w:val="bullet"/>
      <w:lvlText w:val="•"/>
      <w:lvlJc w:val="left"/>
      <w:pPr>
        <w:ind w:left="3731" w:hanging="421"/>
      </w:pPr>
      <w:rPr>
        <w:rFonts w:hint="default"/>
      </w:rPr>
    </w:lvl>
    <w:lvl w:ilvl="4">
      <w:start w:val="0"/>
      <w:numFmt w:val="bullet"/>
      <w:lvlText w:val="•"/>
      <w:lvlJc w:val="left"/>
      <w:pPr>
        <w:ind w:left="4521" w:hanging="421"/>
      </w:pPr>
      <w:rPr>
        <w:rFonts w:hint="default"/>
      </w:rPr>
    </w:lvl>
    <w:lvl w:ilvl="5">
      <w:start w:val="0"/>
      <w:numFmt w:val="bullet"/>
      <w:lvlText w:val="•"/>
      <w:lvlJc w:val="left"/>
      <w:pPr>
        <w:ind w:left="5312" w:hanging="421"/>
      </w:pPr>
      <w:rPr>
        <w:rFonts w:hint="default"/>
      </w:rPr>
    </w:lvl>
    <w:lvl w:ilvl="6">
      <w:start w:val="0"/>
      <w:numFmt w:val="bullet"/>
      <w:lvlText w:val="•"/>
      <w:lvlJc w:val="left"/>
      <w:pPr>
        <w:ind w:left="6102" w:hanging="421"/>
      </w:pPr>
      <w:rPr>
        <w:rFonts w:hint="default"/>
      </w:rPr>
    </w:lvl>
    <w:lvl w:ilvl="7">
      <w:start w:val="0"/>
      <w:numFmt w:val="bullet"/>
      <w:lvlText w:val="•"/>
      <w:lvlJc w:val="left"/>
      <w:pPr>
        <w:ind w:left="6893" w:hanging="421"/>
      </w:pPr>
      <w:rPr>
        <w:rFonts w:hint="default"/>
      </w:rPr>
    </w:lvl>
    <w:lvl w:ilvl="8">
      <w:start w:val="0"/>
      <w:numFmt w:val="bullet"/>
      <w:lvlText w:val="•"/>
      <w:lvlJc w:val="left"/>
      <w:pPr>
        <w:ind w:left="7683" w:hanging="421"/>
      </w:pPr>
      <w:rPr>
        <w:rFonts w:hint="default"/>
      </w:rPr>
    </w:lvl>
  </w:abstractNum>
  <w:abstractNum w:abstractNumId="1">
    <w:multiLevelType w:val="hybridMultilevel"/>
    <w:lvl w:ilvl="0">
      <w:start w:val="1"/>
      <w:numFmt w:val="decimal"/>
      <w:lvlText w:val="%1"/>
      <w:lvlJc w:val="left"/>
      <w:pPr>
        <w:ind w:left="101" w:hanging="180"/>
        <w:jc w:val="left"/>
      </w:pPr>
      <w:rPr>
        <w:rFonts w:hint="default"/>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0">
    <w:multiLevelType w:val="hybridMultilevel"/>
    <w:lvl w:ilvl="0">
      <w:start w:val="1"/>
      <w:numFmt w:val="decimal"/>
      <w:lvlText w:val="%1."/>
      <w:lvlJc w:val="left"/>
      <w:pPr>
        <w:ind w:left="1361" w:hanging="316"/>
        <w:jc w:val="right"/>
      </w:pPr>
      <w:rPr>
        <w:rFonts w:hint="default" w:ascii="宋体" w:hAnsi="宋体" w:eastAsia="宋体" w:cs="宋体"/>
        <w:spacing w:val="-46"/>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3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&lt;4D6963726F736F667420576F7264202D20C9FAC3FCB8BDBCD3B8A3CFE9D6D8B4F3BCB2B2A1B1A3CFD52DCCF5BFEE2D32303039C4EA39D4C2BAACB6FECEACC2EB2E646F63&gt;</dc:title>
  <dcterms:created xsi:type="dcterms:W3CDTF">2018-10-20T03:31:26Z</dcterms:created>
  <dcterms:modified xsi:type="dcterms:W3CDTF">2018-10-20T03:31:26Z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