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ind w:left="111"/>
        <w:rPr>
          <w:rFonts w:ascii="Times New Roman"/>
          <w:sz w:val="2"/>
        </w:rPr>
      </w:pPr>
      <w:r>
        <w:rPr>
          <w:rFonts w:ascii="Times New Roman"/>
          <w:sz w:val="2"/>
        </w:rPr>
        <w:pict>
          <v:group style="width:490.4pt;height:.75pt;mso-position-horizontal-relative:char;mso-position-vertical-relative:line" coordorigin="0,0" coordsize="9808,15">
            <v:rect style="position:absolute;left:0;top:0;width:24;height:15" filled="true" fillcolor="#000000" stroked="false">
              <v:fill type="solid"/>
            </v:rect>
            <v:line style="position:absolute" from="24,7" to="1099,7" stroked="true" strokeweight=".71997pt" strokecolor="#000000">
              <v:stroke dashstyle="solid"/>
            </v:line>
            <v:line style="position:absolute" from="1099,7" to="2174,7" stroked="true" strokeweight=".71997pt" strokecolor="#000000">
              <v:stroke dashstyle="solid"/>
            </v:line>
            <v:line style="position:absolute" from="2174,7" to="3250,7" stroked="true" strokeweight=".71997pt" strokecolor="#000000">
              <v:stroke dashstyle="solid"/>
            </v:line>
            <v:line style="position:absolute" from="3250,7" to="4325,7" stroked="true" strokeweight=".71997pt" strokecolor="#000000">
              <v:stroke dashstyle="solid"/>
            </v:line>
            <v:line style="position:absolute" from="4325,7" to="5400,7" stroked="true" strokeweight=".71997pt" strokecolor="#000000">
              <v:stroke dashstyle="solid"/>
            </v:line>
            <v:line style="position:absolute" from="5400,7" to="6475,7" stroked="true" strokeweight=".72pt" strokecolor="#000000">
              <v:stroke dashstyle="solid"/>
            </v:line>
            <v:line style="position:absolute" from="6475,7" to="7550,7" stroked="true" strokeweight=".71997pt" strokecolor="#000000">
              <v:stroke dashstyle="solid"/>
            </v:line>
            <v:line style="position:absolute" from="7550,7" to="8626,7" stroked="true" strokeweight=".71997pt" strokecolor="#000000">
              <v:stroke dashstyle="solid"/>
            </v:line>
            <v:line style="position:absolute" from="8626,7" to="9701,7" stroked="true" strokeweight=".71997pt" strokecolor="#000000">
              <v:stroke dashstyle="solid"/>
            </v:line>
            <v:rect style="position:absolute;left:9700;top:0;width:107;height:15" filled="true" fillcolor="#000000" stroked="false">
              <v:fill type="solid"/>
            </v:rect>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tabs>
          <w:tab w:pos="1898" w:val="left" w:leader="none"/>
        </w:tabs>
        <w:spacing w:before="35"/>
        <w:ind w:right="133"/>
        <w:jc w:val="right"/>
        <w:rPr>
          <w:rFonts w:ascii="仿宋" w:eastAsia="仿宋" w:hint="eastAsia"/>
        </w:rPr>
      </w:pPr>
      <w:r>
        <w:rPr>
          <w:rFonts w:ascii="仿宋" w:eastAsia="仿宋" w:hint="eastAsia"/>
        </w:rPr>
        <w:t>前海</w:t>
      </w:r>
      <w:r>
        <w:rPr>
          <w:rFonts w:ascii="仿宋" w:eastAsia="仿宋" w:hint="eastAsia"/>
          <w:spacing w:val="12"/>
        </w:rPr>
        <w:t>人</w:t>
      </w:r>
      <w:r>
        <w:rPr>
          <w:rFonts w:ascii="仿宋" w:eastAsia="仿宋" w:hint="eastAsia"/>
        </w:rPr>
        <w:t>寿[2012]疾</w:t>
        <w:tab/>
        <w:t>保险</w:t>
      </w:r>
      <w:r>
        <w:rPr>
          <w:rFonts w:ascii="仿宋" w:eastAsia="仿宋" w:hint="eastAsia"/>
          <w:spacing w:val="-54"/>
        </w:rPr>
        <w:t> </w:t>
      </w:r>
      <w:r>
        <w:rPr>
          <w:rFonts w:ascii="仿宋" w:eastAsia="仿宋" w:hint="eastAsia"/>
        </w:rPr>
        <w:t>010</w:t>
      </w:r>
      <w:r>
        <w:rPr>
          <w:rFonts w:ascii="仿宋" w:eastAsia="仿宋" w:hint="eastAsia"/>
          <w:spacing w:val="-54"/>
        </w:rPr>
        <w:t> </w:t>
      </w:r>
      <w:r>
        <w:rPr>
          <w:rFonts w:ascii="仿宋" w:eastAsia="仿宋" w:hint="eastAsia"/>
        </w:rPr>
        <w:t>号</w:t>
      </w:r>
    </w:p>
    <w:p>
      <w:pPr>
        <w:pStyle w:val="BodyText"/>
        <w:spacing w:before="8"/>
        <w:rPr>
          <w:rFonts w:ascii="仿宋"/>
          <w:sz w:val="14"/>
        </w:rPr>
      </w:pPr>
    </w:p>
    <w:p>
      <w:pPr>
        <w:pStyle w:val="BodyText"/>
        <w:ind w:left="7878"/>
        <w:rPr>
          <w:rFonts w:ascii="仿宋"/>
          <w:sz w:val="20"/>
        </w:rPr>
      </w:pPr>
      <w:r>
        <w:rPr>
          <w:rFonts w:ascii="仿宋"/>
          <w:sz w:val="20"/>
        </w:rPr>
        <w:drawing>
          <wp:inline distT="0" distB="0" distL="0" distR="0">
            <wp:extent cx="728475" cy="72542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8475" cy="725424"/>
                    </a:xfrm>
                    <a:prstGeom prst="rect">
                      <a:avLst/>
                    </a:prstGeom>
                  </pic:spPr>
                </pic:pic>
              </a:graphicData>
            </a:graphic>
          </wp:inline>
        </w:drawing>
      </w:r>
      <w:r>
        <w:rPr>
          <w:rFonts w:ascii="仿宋"/>
          <w:sz w:val="20"/>
        </w:rPr>
      </w:r>
    </w:p>
    <w:p>
      <w:pPr>
        <w:spacing w:after="0"/>
        <w:rPr>
          <w:rFonts w:ascii="仿宋"/>
          <w:sz w:val="20"/>
        </w:rPr>
        <w:sectPr>
          <w:headerReference w:type="default" r:id="rId5"/>
          <w:footerReference w:type="default" r:id="rId6"/>
          <w:type w:val="continuous"/>
          <w:pgSz w:w="11910" w:h="16840"/>
          <w:pgMar w:header="575" w:footer="666" w:top="760" w:bottom="860" w:left="940" w:right="940"/>
          <w:pgNumType w:start="1"/>
        </w:sectPr>
      </w:pPr>
    </w:p>
    <w:p>
      <w:pPr>
        <w:pStyle w:val="Heading1"/>
        <w:spacing w:before="313"/>
        <w:jc w:val="right"/>
      </w:pPr>
      <w:r>
        <w:rPr/>
        <w:t>阅  读  指 引</w:t>
      </w:r>
    </w:p>
    <w:p>
      <w:pPr>
        <w:pStyle w:val="BodyText"/>
        <w:spacing w:before="32"/>
        <w:ind w:left="1325"/>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760" w:bottom="860" w:left="940" w:right="940"/>
          <w:cols w:num="2" w:equalWidth="0">
            <w:col w:w="5897" w:space="40"/>
            <w:col w:w="4093"/>
          </w:cols>
        </w:sectPr>
      </w:pPr>
    </w:p>
    <w:p>
      <w:pPr>
        <w:pStyle w:val="BodyText"/>
        <w:spacing w:before="103"/>
        <w:ind w:left="138"/>
        <w:rPr>
          <w:rFonts w:ascii="仿宋" w:hAnsi="仿宋" w:eastAsia="仿宋" w:hint="eastAsia"/>
        </w:rPr>
      </w:pPr>
      <w:r>
        <w:rPr>
          <w:rFonts w:ascii="仿宋" w:hAnsi="仿宋" w:eastAsia="仿宋" w:hint="eastAsia"/>
        </w:rPr>
        <w:t>本阅读指引有助于投保人理解条款，对“前海团体重大疾病保险条款”内容的解释以条款为准。</w:t>
      </w:r>
    </w:p>
    <w:p>
      <w:pPr>
        <w:pStyle w:val="BodyText"/>
        <w:rPr>
          <w:rFonts w:ascii="仿宋"/>
          <w:sz w:val="20"/>
        </w:rPr>
      </w:pPr>
    </w:p>
    <w:p>
      <w:pPr>
        <w:pStyle w:val="BodyText"/>
        <w:spacing w:before="12"/>
        <w:rPr>
          <w:rFonts w:ascii="仿宋"/>
          <w:sz w:val="26"/>
        </w:rPr>
      </w:pPr>
    </w:p>
    <w:p>
      <w:pPr>
        <w:pStyle w:val="Heading3"/>
        <w:spacing w:before="50"/>
        <w:ind w:left="138"/>
      </w:pPr>
      <w:r>
        <w:rPr>
          <w:rFonts w:ascii="Arial" w:hAnsi="Arial" w:eastAsia="Arial"/>
          <w:w w:val="105"/>
          <w:position w:val="-11"/>
          <w:sz w:val="52"/>
        </w:rPr>
        <w:t></w:t>
      </w:r>
      <w:r>
        <w:rPr>
          <w:w w:val="105"/>
        </w:rPr>
        <w:t>投保人拥有的重要权益</w:t>
      </w:r>
    </w:p>
    <w:p>
      <w:pPr>
        <w:pStyle w:val="ListParagraph"/>
        <w:numPr>
          <w:ilvl w:val="0"/>
          <w:numId w:val="1"/>
        </w:numPr>
        <w:tabs>
          <w:tab w:pos="1132" w:val="left" w:leader="none"/>
          <w:tab w:pos="1133" w:val="left" w:leader="none"/>
          <w:tab w:pos="9848" w:val="right" w:leader="dot"/>
        </w:tabs>
        <w:spacing w:line="240" w:lineRule="auto" w:before="22" w:after="0"/>
        <w:ind w:left="1132" w:right="0" w:hanging="422"/>
        <w:jc w:val="left"/>
        <w:rPr>
          <w:sz w:val="21"/>
        </w:rPr>
      </w:pPr>
      <w:r>
        <w:rPr>
          <w:rFonts w:ascii="仿宋" w:eastAsia="仿宋" w:hint="eastAsia"/>
          <w:sz w:val="21"/>
        </w:rPr>
        <w:t>被保险人可以享受本主</w:t>
      </w:r>
      <w:r>
        <w:rPr>
          <w:rFonts w:ascii="仿宋" w:eastAsia="仿宋" w:hint="eastAsia"/>
          <w:spacing w:val="-5"/>
          <w:sz w:val="21"/>
        </w:rPr>
        <w:t>险</w:t>
      </w:r>
      <w:r>
        <w:rPr>
          <w:rFonts w:ascii="仿宋" w:eastAsia="仿宋" w:hint="eastAsia"/>
          <w:sz w:val="21"/>
        </w:rPr>
        <w:t>合同提供</w:t>
      </w:r>
      <w:r>
        <w:rPr>
          <w:rFonts w:ascii="仿宋" w:eastAsia="仿宋" w:hint="eastAsia"/>
          <w:spacing w:val="6"/>
          <w:sz w:val="21"/>
        </w:rPr>
        <w:t>的</w:t>
      </w:r>
      <w:r>
        <w:rPr>
          <w:rFonts w:ascii="仿宋" w:eastAsia="仿宋" w:hint="eastAsia"/>
          <w:sz w:val="21"/>
        </w:rPr>
        <w:t>保障</w:t>
        <w:tab/>
      </w:r>
      <w:r>
        <w:rPr>
          <w:sz w:val="21"/>
        </w:rPr>
        <w:t>2.2</w:t>
      </w:r>
    </w:p>
    <w:p>
      <w:pPr>
        <w:pStyle w:val="ListParagraph"/>
        <w:numPr>
          <w:ilvl w:val="0"/>
          <w:numId w:val="1"/>
        </w:numPr>
        <w:tabs>
          <w:tab w:pos="1132" w:val="left" w:leader="none"/>
          <w:tab w:pos="1133" w:val="left" w:leader="none"/>
          <w:tab w:pos="9848" w:val="right" w:leader="dot"/>
        </w:tabs>
        <w:spacing w:line="240" w:lineRule="auto" w:before="22" w:after="0"/>
        <w:ind w:left="1132" w:right="0" w:hanging="422"/>
        <w:jc w:val="left"/>
        <w:rPr>
          <w:sz w:val="21"/>
        </w:rPr>
      </w:pPr>
      <w:r>
        <w:rPr>
          <w:rFonts w:ascii="仿宋" w:eastAsia="仿宋" w:hint="eastAsia"/>
          <w:sz w:val="21"/>
        </w:rPr>
        <w:t>投保人有退保的权利</w:t>
        <w:tab/>
      </w:r>
      <w:r>
        <w:rPr>
          <w:sz w:val="21"/>
        </w:rPr>
        <w:t>5.1</w:t>
      </w:r>
    </w:p>
    <w:p>
      <w:pPr>
        <w:pStyle w:val="Heading3"/>
        <w:spacing w:before="337"/>
        <w:ind w:left="138"/>
      </w:pPr>
      <w:r>
        <w:rPr>
          <w:rFonts w:ascii="Arial" w:hAnsi="Arial" w:eastAsia="Arial"/>
          <w:position w:val="-11"/>
          <w:sz w:val="52"/>
        </w:rPr>
        <w:t></w:t>
      </w:r>
      <w:r>
        <w:rPr/>
        <w:t>投保人应当特别注意的事项</w:t>
      </w:r>
    </w:p>
    <w:p>
      <w:pPr>
        <w:pStyle w:val="ListParagraph"/>
        <w:numPr>
          <w:ilvl w:val="0"/>
          <w:numId w:val="1"/>
        </w:numPr>
        <w:tabs>
          <w:tab w:pos="1084" w:val="left" w:leader="none"/>
          <w:tab w:pos="1085" w:val="left" w:leader="none"/>
        </w:tabs>
        <w:spacing w:line="240" w:lineRule="auto" w:before="22" w:after="0"/>
        <w:ind w:left="1084" w:right="0" w:hanging="420"/>
        <w:jc w:val="left"/>
        <w:rPr>
          <w:rFonts w:ascii="仿宋" w:eastAsia="仿宋" w:hint="eastAsia"/>
          <w:sz w:val="21"/>
        </w:rPr>
      </w:pPr>
      <w:r>
        <w:rPr>
          <w:rFonts w:ascii="仿宋" w:eastAsia="仿宋" w:hint="eastAsia"/>
          <w:spacing w:val="-3"/>
          <w:sz w:val="21"/>
        </w:rPr>
        <w:t>在某些情况下，我们不承担保险责任，详见条款正文中背景突出显示的内容</w:t>
      </w:r>
    </w:p>
    <w:p>
      <w:pPr>
        <w:pStyle w:val="BodyText"/>
        <w:spacing w:before="22"/>
        <w:ind w:right="220"/>
        <w:jc w:val="right"/>
      </w:pPr>
      <w:r>
        <w:rPr/>
        <w:t>…………………………………………………………………</w:t>
      </w:r>
      <w:r>
        <w:rPr>
          <w:rFonts w:ascii="仿宋" w:hAnsi="仿宋" w:eastAsia="仿宋" w:hint="eastAsia"/>
        </w:rPr>
        <w:t>2.2、</w:t>
      </w:r>
      <w:r>
        <w:rPr/>
        <w:t>2.3、3.2、6.1、6.4、6.5、7</w:t>
      </w:r>
    </w:p>
    <w:p>
      <w:pPr>
        <w:pStyle w:val="ListParagraph"/>
        <w:numPr>
          <w:ilvl w:val="0"/>
          <w:numId w:val="1"/>
        </w:numPr>
        <w:tabs>
          <w:tab w:pos="1084" w:val="left" w:leader="none"/>
          <w:tab w:pos="1085" w:val="left" w:leader="none"/>
          <w:tab w:pos="9488" w:val="left" w:leader="dot"/>
        </w:tabs>
        <w:spacing w:line="240" w:lineRule="auto" w:before="37" w:after="0"/>
        <w:ind w:left="1084" w:right="0" w:hanging="420"/>
        <w:jc w:val="left"/>
        <w:rPr>
          <w:sz w:val="21"/>
        </w:rPr>
      </w:pPr>
      <w:r>
        <w:rPr>
          <w:rFonts w:ascii="仿宋" w:eastAsia="仿宋" w:hint="eastAsia"/>
          <w:sz w:val="21"/>
        </w:rPr>
        <w:t>投保人有及时向我们通</w:t>
      </w:r>
      <w:r>
        <w:rPr>
          <w:rFonts w:ascii="仿宋" w:eastAsia="仿宋" w:hint="eastAsia"/>
          <w:spacing w:val="-5"/>
          <w:sz w:val="21"/>
        </w:rPr>
        <w:t>知</w:t>
      </w:r>
      <w:r>
        <w:rPr>
          <w:rFonts w:ascii="仿宋" w:eastAsia="仿宋" w:hint="eastAsia"/>
          <w:sz w:val="21"/>
        </w:rPr>
        <w:t>保险事故</w:t>
      </w:r>
      <w:r>
        <w:rPr>
          <w:rFonts w:ascii="仿宋" w:eastAsia="仿宋" w:hint="eastAsia"/>
          <w:spacing w:val="6"/>
          <w:sz w:val="21"/>
        </w:rPr>
        <w:t>的</w:t>
      </w:r>
      <w:r>
        <w:rPr>
          <w:rFonts w:ascii="仿宋" w:eastAsia="仿宋" w:hint="eastAsia"/>
          <w:sz w:val="21"/>
        </w:rPr>
        <w:t>责任</w:t>
        <w:tab/>
      </w:r>
      <w:r>
        <w:rPr>
          <w:sz w:val="21"/>
        </w:rPr>
        <w:t>3.2</w:t>
      </w:r>
    </w:p>
    <w:p>
      <w:pPr>
        <w:pStyle w:val="ListParagraph"/>
        <w:numPr>
          <w:ilvl w:val="0"/>
          <w:numId w:val="1"/>
        </w:numPr>
        <w:tabs>
          <w:tab w:pos="1084" w:val="left" w:leader="none"/>
          <w:tab w:pos="1085" w:val="left" w:leader="none"/>
          <w:tab w:pos="9488" w:val="left" w:leader="dot"/>
        </w:tabs>
        <w:spacing w:line="240" w:lineRule="auto" w:before="22" w:after="0"/>
        <w:ind w:left="1084" w:right="0" w:hanging="420"/>
        <w:jc w:val="left"/>
        <w:rPr>
          <w:sz w:val="21"/>
        </w:rPr>
      </w:pPr>
      <w:r>
        <w:rPr>
          <w:rFonts w:ascii="仿宋" w:eastAsia="仿宋" w:hint="eastAsia"/>
          <w:sz w:val="21"/>
        </w:rPr>
        <w:t>退保会给投保人造成一</w:t>
      </w:r>
      <w:r>
        <w:rPr>
          <w:rFonts w:ascii="仿宋" w:eastAsia="仿宋" w:hint="eastAsia"/>
          <w:spacing w:val="-5"/>
          <w:sz w:val="21"/>
        </w:rPr>
        <w:t>定</w:t>
      </w:r>
      <w:r>
        <w:rPr>
          <w:rFonts w:ascii="仿宋" w:eastAsia="仿宋" w:hint="eastAsia"/>
          <w:sz w:val="21"/>
        </w:rPr>
        <w:t>的损失，</w:t>
      </w:r>
      <w:r>
        <w:rPr>
          <w:rFonts w:ascii="仿宋" w:eastAsia="仿宋" w:hint="eastAsia"/>
          <w:spacing w:val="6"/>
          <w:sz w:val="21"/>
        </w:rPr>
        <w:t>请</w:t>
      </w:r>
      <w:r>
        <w:rPr>
          <w:rFonts w:ascii="仿宋" w:eastAsia="仿宋" w:hint="eastAsia"/>
          <w:sz w:val="21"/>
        </w:rPr>
        <w:t>投保人慎</w:t>
      </w:r>
      <w:r>
        <w:rPr>
          <w:rFonts w:ascii="仿宋" w:eastAsia="仿宋" w:hint="eastAsia"/>
          <w:spacing w:val="-3"/>
          <w:sz w:val="21"/>
        </w:rPr>
        <w:t>重</w:t>
      </w:r>
      <w:r>
        <w:rPr>
          <w:rFonts w:ascii="仿宋" w:eastAsia="仿宋" w:hint="eastAsia"/>
          <w:sz w:val="21"/>
        </w:rPr>
        <w:t>决策</w:t>
        <w:tab/>
      </w:r>
      <w:r>
        <w:rPr>
          <w:sz w:val="21"/>
        </w:rPr>
        <w:t>5.1</w:t>
      </w:r>
    </w:p>
    <w:p>
      <w:pPr>
        <w:pStyle w:val="ListParagraph"/>
        <w:numPr>
          <w:ilvl w:val="0"/>
          <w:numId w:val="1"/>
        </w:numPr>
        <w:tabs>
          <w:tab w:pos="1084" w:val="left" w:leader="none"/>
          <w:tab w:pos="1085" w:val="left" w:leader="none"/>
        </w:tabs>
        <w:spacing w:line="240" w:lineRule="auto" w:before="22" w:after="0"/>
        <w:ind w:left="1084" w:right="0" w:hanging="420"/>
        <w:jc w:val="left"/>
        <w:rPr>
          <w:sz w:val="21"/>
        </w:rPr>
      </w:pPr>
      <w:r>
        <w:rPr>
          <w:rFonts w:ascii="仿宋" w:hAnsi="仿宋" w:eastAsia="仿宋" w:hint="eastAsia"/>
          <w:spacing w:val="-3"/>
          <w:sz w:val="21"/>
        </w:rPr>
        <w:t>投保人有如实告知、被保险人变动、职业或工种变更通知的义务</w:t>
      </w:r>
      <w:r>
        <w:rPr>
          <w:sz w:val="21"/>
        </w:rPr>
        <w:t>…………………6.1、6.3、6.4</w:t>
      </w:r>
    </w:p>
    <w:p>
      <w:pPr>
        <w:pStyle w:val="ListParagraph"/>
        <w:numPr>
          <w:ilvl w:val="0"/>
          <w:numId w:val="1"/>
        </w:numPr>
        <w:tabs>
          <w:tab w:pos="1084" w:val="left" w:leader="none"/>
          <w:tab w:pos="1085" w:val="left" w:leader="none"/>
          <w:tab w:pos="9697" w:val="left" w:leader="dot"/>
        </w:tabs>
        <w:spacing w:line="240" w:lineRule="auto" w:before="22" w:after="0"/>
        <w:ind w:left="1084" w:right="0" w:hanging="420"/>
        <w:jc w:val="left"/>
        <w:rPr>
          <w:sz w:val="21"/>
        </w:rPr>
      </w:pPr>
      <w:r>
        <w:rPr>
          <w:rFonts w:ascii="仿宋" w:eastAsia="仿宋" w:hint="eastAsia"/>
          <w:sz w:val="21"/>
        </w:rPr>
        <w:t>我们对一些重要术语进</w:t>
      </w:r>
      <w:r>
        <w:rPr>
          <w:rFonts w:ascii="仿宋" w:eastAsia="仿宋" w:hint="eastAsia"/>
          <w:spacing w:val="-5"/>
          <w:sz w:val="21"/>
        </w:rPr>
        <w:t>行</w:t>
      </w:r>
      <w:r>
        <w:rPr>
          <w:rFonts w:ascii="仿宋" w:eastAsia="仿宋" w:hint="eastAsia"/>
          <w:sz w:val="21"/>
        </w:rPr>
        <w:t>了解释，</w:t>
      </w:r>
      <w:r>
        <w:rPr>
          <w:rFonts w:ascii="仿宋" w:eastAsia="仿宋" w:hint="eastAsia"/>
          <w:spacing w:val="6"/>
          <w:sz w:val="21"/>
        </w:rPr>
        <w:t>并</w:t>
      </w:r>
      <w:r>
        <w:rPr>
          <w:rFonts w:ascii="仿宋" w:eastAsia="仿宋" w:hint="eastAsia"/>
          <w:sz w:val="21"/>
        </w:rPr>
        <w:t>作了显著</w:t>
      </w:r>
      <w:r>
        <w:rPr>
          <w:rFonts w:ascii="仿宋" w:eastAsia="仿宋" w:hint="eastAsia"/>
          <w:spacing w:val="-3"/>
          <w:sz w:val="21"/>
        </w:rPr>
        <w:t>标</w:t>
      </w:r>
      <w:r>
        <w:rPr>
          <w:rFonts w:ascii="仿宋" w:eastAsia="仿宋" w:hint="eastAsia"/>
          <w:sz w:val="21"/>
        </w:rPr>
        <w:t>识，请投</w:t>
      </w:r>
      <w:r>
        <w:rPr>
          <w:rFonts w:ascii="仿宋" w:eastAsia="仿宋" w:hint="eastAsia"/>
          <w:spacing w:val="-10"/>
          <w:sz w:val="21"/>
        </w:rPr>
        <w:t>保</w:t>
      </w:r>
      <w:r>
        <w:rPr>
          <w:rFonts w:ascii="仿宋" w:eastAsia="仿宋" w:hint="eastAsia"/>
          <w:sz w:val="21"/>
        </w:rPr>
        <w:t>人注意</w:t>
        <w:tab/>
      </w:r>
      <w:r>
        <w:rPr>
          <w:sz w:val="21"/>
        </w:rPr>
        <w:t>7</w:t>
      </w:r>
    </w:p>
    <w:p>
      <w:pPr>
        <w:pStyle w:val="BodyText"/>
        <w:rPr>
          <w:sz w:val="23"/>
        </w:rPr>
      </w:pPr>
    </w:p>
    <w:p>
      <w:pPr>
        <w:pStyle w:val="Heading3"/>
        <w:ind w:left="138"/>
      </w:pPr>
      <w:r>
        <w:rPr>
          <w:rFonts w:ascii="Arial" w:hAnsi="Arial" w:eastAsia="Arial"/>
          <w:position w:val="-11"/>
          <w:sz w:val="52"/>
        </w:rPr>
        <w:t></w:t>
      </w:r>
      <w:r>
        <w:rPr/>
        <w:t>条款是保险合同的重要内容，为充分保障投保人的权益，请投保人仔细阅读本条款。</w:t>
      </w:r>
    </w:p>
    <w:p>
      <w:pPr>
        <w:spacing w:before="324"/>
        <w:ind w:left="0" w:right="134" w:firstLine="0"/>
        <w:jc w:val="right"/>
        <w:rPr>
          <w:b/>
          <w:sz w:val="21"/>
        </w:rPr>
      </w:pPr>
      <w:r>
        <w:rPr>
          <w:b/>
          <w:w w:val="95"/>
          <w:sz w:val="21"/>
        </w:rPr>
        <w:t>[本页内容结束]</w:t>
      </w:r>
    </w:p>
    <w:p>
      <w:pPr>
        <w:spacing w:after="0"/>
        <w:jc w:val="right"/>
        <w:rPr>
          <w:sz w:val="21"/>
        </w:rPr>
        <w:sectPr>
          <w:type w:val="continuous"/>
          <w:pgSz w:w="11910" w:h="16840"/>
          <w:pgMar w:top="760" w:bottom="860" w:left="940" w:right="940"/>
        </w:sectPr>
      </w:pPr>
    </w:p>
    <w:p>
      <w:pPr>
        <w:pStyle w:val="BodyText"/>
        <w:spacing w:before="10"/>
        <w:rPr>
          <w:b/>
          <w:sz w:val="26"/>
        </w:rPr>
      </w:pPr>
    </w:p>
    <w:p>
      <w:pPr>
        <w:spacing w:line="405" w:lineRule="exact" w:before="0"/>
        <w:ind w:left="4335" w:right="4335" w:firstLine="0"/>
        <w:jc w:val="center"/>
        <w:rPr>
          <w:rFonts w:ascii="微软雅黑" w:eastAsia="微软雅黑" w:hint="eastAsia"/>
          <w:b/>
          <w:sz w:val="24"/>
        </w:rPr>
      </w:pPr>
      <w:r>
        <w:rPr>
          <w:rFonts w:ascii="微软雅黑" w:eastAsia="微软雅黑" w:hint="eastAsia"/>
          <w:b/>
          <w:sz w:val="24"/>
        </w:rPr>
        <w:t>【条款目录】</w:t>
      </w:r>
    </w:p>
    <w:p>
      <w:pPr>
        <w:pStyle w:val="BodyText"/>
        <w:spacing w:after="1"/>
        <w:rPr>
          <w:rFonts w:ascii="微软雅黑"/>
          <w:b/>
          <w:sz w:val="28"/>
        </w:rPr>
      </w:pPr>
    </w:p>
    <w:tbl>
      <w:tblPr>
        <w:tblW w:w="0" w:type="auto"/>
        <w:jc w:val="left"/>
        <w:tblInd w:w="1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3001"/>
        <w:gridCol w:w="684"/>
        <w:gridCol w:w="3252"/>
      </w:tblGrid>
      <w:tr>
        <w:trPr>
          <w:trHeight w:val="590" w:hRule="atLeast"/>
        </w:trPr>
        <w:tc>
          <w:tcPr>
            <w:tcW w:w="3679" w:type="dxa"/>
            <w:gridSpan w:val="2"/>
          </w:tcPr>
          <w:p>
            <w:pPr>
              <w:pStyle w:val="TableParagraph"/>
              <w:spacing w:before="8"/>
              <w:rPr>
                <w:rFonts w:ascii="微软雅黑"/>
                <w:b/>
                <w:sz w:val="17"/>
              </w:rPr>
            </w:pPr>
          </w:p>
          <w:p>
            <w:pPr>
              <w:pStyle w:val="TableParagraph"/>
              <w:spacing w:line="269" w:lineRule="exact"/>
              <w:ind w:left="100"/>
              <w:rPr>
                <w:rFonts w:ascii="仿宋" w:eastAsia="仿宋" w:hint="eastAsia"/>
                <w:b/>
                <w:sz w:val="21"/>
              </w:rPr>
            </w:pPr>
            <w:r>
              <w:rPr>
                <w:b/>
                <w:w w:val="95"/>
                <w:sz w:val="21"/>
              </w:rPr>
              <w:t>1.</w:t>
            </w:r>
            <w:r>
              <w:rPr>
                <w:rFonts w:ascii="仿宋" w:eastAsia="仿宋" w:hint="eastAsia"/>
                <w:b/>
                <w:w w:val="95"/>
                <w:sz w:val="21"/>
              </w:rPr>
              <w:t>投保人与我们的合同</w:t>
            </w:r>
          </w:p>
        </w:tc>
        <w:tc>
          <w:tcPr>
            <w:tcW w:w="684" w:type="dxa"/>
          </w:tcPr>
          <w:p>
            <w:pPr>
              <w:pStyle w:val="TableParagraph"/>
              <w:spacing w:before="2"/>
              <w:rPr>
                <w:rFonts w:ascii="微软雅黑"/>
                <w:b/>
                <w:sz w:val="16"/>
              </w:rPr>
            </w:pPr>
          </w:p>
          <w:p>
            <w:pPr>
              <w:pStyle w:val="TableParagraph"/>
              <w:ind w:right="50"/>
              <w:jc w:val="right"/>
              <w:rPr>
                <w:sz w:val="21"/>
              </w:rPr>
            </w:pPr>
            <w:r>
              <w:rPr>
                <w:sz w:val="21"/>
              </w:rPr>
              <w:t>6.5</w:t>
            </w:r>
          </w:p>
        </w:tc>
        <w:tc>
          <w:tcPr>
            <w:tcW w:w="3252" w:type="dxa"/>
          </w:tcPr>
          <w:p>
            <w:pPr>
              <w:pStyle w:val="TableParagraph"/>
              <w:spacing w:before="2"/>
              <w:rPr>
                <w:rFonts w:ascii="微软雅黑"/>
                <w:b/>
                <w:sz w:val="16"/>
              </w:rPr>
            </w:pPr>
          </w:p>
          <w:p>
            <w:pPr>
              <w:pStyle w:val="TableParagraph"/>
              <w:ind w:left="52"/>
              <w:rPr>
                <w:rFonts w:ascii="仿宋" w:eastAsia="仿宋" w:hint="eastAsia"/>
                <w:sz w:val="21"/>
              </w:rPr>
            </w:pPr>
            <w:r>
              <w:rPr>
                <w:rFonts w:ascii="仿宋" w:eastAsia="仿宋" w:hint="eastAsia"/>
                <w:sz w:val="21"/>
              </w:rPr>
              <w:t>年龄确定与错误处理</w:t>
            </w:r>
          </w:p>
        </w:tc>
      </w:tr>
      <w:tr>
        <w:trPr>
          <w:trHeight w:val="274" w:hRule="atLeast"/>
        </w:trPr>
        <w:tc>
          <w:tcPr>
            <w:tcW w:w="3679" w:type="dxa"/>
            <w:gridSpan w:val="2"/>
          </w:tcPr>
          <w:p>
            <w:pPr>
              <w:pStyle w:val="TableParagraph"/>
              <w:spacing w:line="254" w:lineRule="exact"/>
              <w:ind w:left="310"/>
              <w:rPr>
                <w:rFonts w:ascii="仿宋" w:eastAsia="仿宋" w:hint="eastAsia"/>
                <w:sz w:val="21"/>
              </w:rPr>
            </w:pPr>
            <w:r>
              <w:rPr>
                <w:sz w:val="21"/>
              </w:rPr>
              <w:t>1.1</w:t>
            </w:r>
            <w:r>
              <w:rPr>
                <w:spacing w:val="-54"/>
                <w:sz w:val="21"/>
              </w:rPr>
              <w:t> </w:t>
            </w:r>
            <w:r>
              <w:rPr>
                <w:rFonts w:ascii="仿宋" w:eastAsia="仿宋" w:hint="eastAsia"/>
                <w:sz w:val="21"/>
              </w:rPr>
              <w:t>合同构成</w:t>
            </w:r>
          </w:p>
        </w:tc>
        <w:tc>
          <w:tcPr>
            <w:tcW w:w="684" w:type="dxa"/>
          </w:tcPr>
          <w:p>
            <w:pPr>
              <w:pStyle w:val="TableParagraph"/>
              <w:spacing w:line="224" w:lineRule="exact"/>
              <w:ind w:right="50"/>
              <w:jc w:val="right"/>
              <w:rPr>
                <w:sz w:val="21"/>
              </w:rPr>
            </w:pPr>
            <w:r>
              <w:rPr>
                <w:sz w:val="21"/>
              </w:rPr>
              <w:t>6.6</w:t>
            </w:r>
          </w:p>
        </w:tc>
        <w:tc>
          <w:tcPr>
            <w:tcW w:w="3252" w:type="dxa"/>
          </w:tcPr>
          <w:p>
            <w:pPr>
              <w:pStyle w:val="TableParagraph"/>
              <w:spacing w:line="224" w:lineRule="exact"/>
              <w:ind w:left="52"/>
              <w:rPr>
                <w:rFonts w:ascii="仿宋" w:eastAsia="仿宋" w:hint="eastAsia"/>
                <w:sz w:val="21"/>
              </w:rPr>
            </w:pPr>
            <w:r>
              <w:rPr>
                <w:rFonts w:ascii="仿宋" w:eastAsia="仿宋" w:hint="eastAsia"/>
                <w:sz w:val="21"/>
              </w:rPr>
              <w:t>合同内容变更</w:t>
            </w:r>
          </w:p>
        </w:tc>
      </w:tr>
      <w:tr>
        <w:trPr>
          <w:trHeight w:val="259" w:hRule="atLeast"/>
        </w:trPr>
        <w:tc>
          <w:tcPr>
            <w:tcW w:w="3679" w:type="dxa"/>
            <w:gridSpan w:val="2"/>
          </w:tcPr>
          <w:p>
            <w:pPr>
              <w:pStyle w:val="TableParagraph"/>
              <w:spacing w:line="240" w:lineRule="exact"/>
              <w:ind w:left="310"/>
              <w:rPr>
                <w:rFonts w:ascii="仿宋" w:eastAsia="仿宋" w:hint="eastAsia"/>
                <w:sz w:val="21"/>
              </w:rPr>
            </w:pPr>
            <w:r>
              <w:rPr>
                <w:sz w:val="21"/>
              </w:rPr>
              <w:t>1.2</w:t>
            </w:r>
            <w:r>
              <w:rPr>
                <w:spacing w:val="-54"/>
                <w:sz w:val="21"/>
              </w:rPr>
              <w:t> </w:t>
            </w:r>
            <w:r>
              <w:rPr>
                <w:rFonts w:ascii="仿宋" w:eastAsia="仿宋" w:hint="eastAsia"/>
                <w:sz w:val="21"/>
              </w:rPr>
              <w:t>合同成立与生效</w:t>
            </w:r>
          </w:p>
        </w:tc>
        <w:tc>
          <w:tcPr>
            <w:tcW w:w="684" w:type="dxa"/>
          </w:tcPr>
          <w:p>
            <w:pPr>
              <w:pStyle w:val="TableParagraph"/>
              <w:spacing w:line="209" w:lineRule="exact"/>
              <w:ind w:right="50"/>
              <w:jc w:val="right"/>
              <w:rPr>
                <w:sz w:val="21"/>
              </w:rPr>
            </w:pPr>
            <w:r>
              <w:rPr>
                <w:sz w:val="21"/>
              </w:rPr>
              <w:t>6.7</w:t>
            </w:r>
          </w:p>
        </w:tc>
        <w:tc>
          <w:tcPr>
            <w:tcW w:w="3252" w:type="dxa"/>
          </w:tcPr>
          <w:p>
            <w:pPr>
              <w:pStyle w:val="TableParagraph"/>
              <w:spacing w:line="209" w:lineRule="exact"/>
              <w:ind w:left="52"/>
              <w:rPr>
                <w:rFonts w:ascii="仿宋" w:eastAsia="仿宋" w:hint="eastAsia"/>
                <w:sz w:val="21"/>
              </w:rPr>
            </w:pPr>
            <w:r>
              <w:rPr>
                <w:rFonts w:ascii="仿宋" w:eastAsia="仿宋" w:hint="eastAsia"/>
                <w:sz w:val="21"/>
              </w:rPr>
              <w:t>联系方式变更</w:t>
            </w:r>
          </w:p>
        </w:tc>
      </w:tr>
      <w:tr>
        <w:trPr>
          <w:trHeight w:val="286" w:hRule="atLeast"/>
        </w:trPr>
        <w:tc>
          <w:tcPr>
            <w:tcW w:w="3679" w:type="dxa"/>
            <w:gridSpan w:val="2"/>
          </w:tcPr>
          <w:p>
            <w:pPr>
              <w:pStyle w:val="TableParagraph"/>
              <w:spacing w:line="262" w:lineRule="exact"/>
              <w:ind w:left="310"/>
              <w:rPr>
                <w:rFonts w:ascii="仿宋" w:eastAsia="仿宋" w:hint="eastAsia"/>
                <w:sz w:val="21"/>
              </w:rPr>
            </w:pPr>
            <w:r>
              <w:rPr>
                <w:sz w:val="21"/>
              </w:rPr>
              <w:t>1.3</w:t>
            </w:r>
            <w:r>
              <w:rPr>
                <w:spacing w:val="-54"/>
                <w:sz w:val="21"/>
              </w:rPr>
              <w:t> </w:t>
            </w:r>
            <w:r>
              <w:rPr>
                <w:rFonts w:ascii="仿宋" w:eastAsia="仿宋" w:hint="eastAsia"/>
                <w:sz w:val="21"/>
              </w:rPr>
              <w:t>投保范围</w:t>
            </w:r>
          </w:p>
        </w:tc>
        <w:tc>
          <w:tcPr>
            <w:tcW w:w="684" w:type="dxa"/>
          </w:tcPr>
          <w:p>
            <w:pPr>
              <w:pStyle w:val="TableParagraph"/>
              <w:spacing w:line="209" w:lineRule="exact"/>
              <w:ind w:right="50"/>
              <w:jc w:val="right"/>
              <w:rPr>
                <w:sz w:val="21"/>
              </w:rPr>
            </w:pPr>
            <w:r>
              <w:rPr>
                <w:sz w:val="21"/>
              </w:rPr>
              <w:t>6.8</w:t>
            </w:r>
          </w:p>
        </w:tc>
        <w:tc>
          <w:tcPr>
            <w:tcW w:w="3252" w:type="dxa"/>
          </w:tcPr>
          <w:p>
            <w:pPr>
              <w:pStyle w:val="TableParagraph"/>
              <w:spacing w:line="209" w:lineRule="exact"/>
              <w:ind w:left="52"/>
              <w:rPr>
                <w:rFonts w:ascii="仿宋" w:eastAsia="仿宋" w:hint="eastAsia"/>
                <w:sz w:val="21"/>
              </w:rPr>
            </w:pPr>
            <w:r>
              <w:rPr>
                <w:rFonts w:ascii="仿宋" w:eastAsia="仿宋" w:hint="eastAsia"/>
                <w:sz w:val="21"/>
              </w:rPr>
              <w:t>争议处理</w:t>
            </w:r>
          </w:p>
        </w:tc>
      </w:tr>
      <w:tr>
        <w:trPr>
          <w:trHeight w:val="234" w:hRule="atLeast"/>
        </w:trPr>
        <w:tc>
          <w:tcPr>
            <w:tcW w:w="3679" w:type="dxa"/>
            <w:gridSpan w:val="2"/>
          </w:tcPr>
          <w:p>
            <w:pPr>
              <w:pStyle w:val="TableParagraph"/>
              <w:spacing w:line="215" w:lineRule="exact"/>
              <w:ind w:left="310"/>
              <w:rPr>
                <w:rFonts w:ascii="仿宋" w:eastAsia="仿宋" w:hint="eastAsia"/>
                <w:sz w:val="21"/>
              </w:rPr>
            </w:pPr>
            <w:r>
              <w:rPr>
                <w:sz w:val="21"/>
              </w:rPr>
              <w:t>1.4</w:t>
            </w:r>
            <w:r>
              <w:rPr>
                <w:spacing w:val="-54"/>
                <w:sz w:val="21"/>
              </w:rPr>
              <w:t> </w:t>
            </w:r>
            <w:r>
              <w:rPr>
                <w:rFonts w:ascii="仿宋" w:eastAsia="仿宋" w:hint="eastAsia"/>
                <w:sz w:val="21"/>
              </w:rPr>
              <w:t>保险期间与续保</w:t>
            </w:r>
          </w:p>
        </w:tc>
        <w:tc>
          <w:tcPr>
            <w:tcW w:w="684" w:type="dxa"/>
          </w:tcPr>
          <w:p>
            <w:pPr>
              <w:pStyle w:val="TableParagraph"/>
              <w:rPr>
                <w:rFonts w:ascii="Times New Roman"/>
                <w:sz w:val="16"/>
              </w:rPr>
            </w:pPr>
          </w:p>
        </w:tc>
        <w:tc>
          <w:tcPr>
            <w:tcW w:w="3252" w:type="dxa"/>
          </w:tcPr>
          <w:p>
            <w:pPr>
              <w:pStyle w:val="TableParagraph"/>
              <w:rPr>
                <w:rFonts w:ascii="Times New Roman"/>
                <w:sz w:val="16"/>
              </w:rPr>
            </w:pPr>
          </w:p>
        </w:tc>
      </w:tr>
      <w:tr>
        <w:trPr>
          <w:trHeight w:val="1973" w:hRule="atLeast"/>
        </w:trPr>
        <w:tc>
          <w:tcPr>
            <w:tcW w:w="3679" w:type="dxa"/>
            <w:gridSpan w:val="2"/>
          </w:tcPr>
          <w:p>
            <w:pPr>
              <w:pStyle w:val="TableParagraph"/>
              <w:spacing w:before="9"/>
              <w:rPr>
                <w:rFonts w:ascii="微软雅黑"/>
                <w:b/>
                <w:sz w:val="15"/>
              </w:rPr>
            </w:pPr>
          </w:p>
          <w:p>
            <w:pPr>
              <w:pStyle w:val="TableParagraph"/>
              <w:ind w:left="100"/>
              <w:rPr>
                <w:rFonts w:ascii="仿宋" w:eastAsia="仿宋" w:hint="eastAsia"/>
                <w:b/>
                <w:sz w:val="21"/>
              </w:rPr>
            </w:pPr>
            <w:r>
              <w:rPr>
                <w:b/>
                <w:w w:val="95"/>
                <w:sz w:val="21"/>
              </w:rPr>
              <w:t>2.</w:t>
            </w:r>
            <w:r>
              <w:rPr>
                <w:rFonts w:ascii="仿宋" w:eastAsia="仿宋" w:hint="eastAsia"/>
                <w:b/>
                <w:w w:val="95"/>
                <w:sz w:val="21"/>
              </w:rPr>
              <w:t>我们提供的保障</w:t>
            </w:r>
          </w:p>
          <w:p>
            <w:pPr>
              <w:pStyle w:val="TableParagraph"/>
              <w:numPr>
                <w:ilvl w:val="1"/>
                <w:numId w:val="2"/>
              </w:numPr>
              <w:tabs>
                <w:tab w:pos="731" w:val="left" w:leader="none"/>
              </w:tabs>
              <w:spacing w:line="267" w:lineRule="exact" w:before="13" w:after="0"/>
              <w:ind w:left="730" w:right="0" w:hanging="420"/>
              <w:jc w:val="left"/>
              <w:rPr>
                <w:rFonts w:ascii="仿宋" w:eastAsia="仿宋" w:hint="eastAsia"/>
                <w:sz w:val="21"/>
              </w:rPr>
            </w:pPr>
            <w:r>
              <w:rPr>
                <w:rFonts w:ascii="仿宋" w:eastAsia="仿宋" w:hint="eastAsia"/>
                <w:spacing w:val="-1"/>
                <w:sz w:val="21"/>
              </w:rPr>
              <w:t>保险金额</w:t>
            </w:r>
          </w:p>
          <w:p>
            <w:pPr>
              <w:pStyle w:val="TableParagraph"/>
              <w:numPr>
                <w:ilvl w:val="1"/>
                <w:numId w:val="2"/>
              </w:numPr>
              <w:tabs>
                <w:tab w:pos="730" w:val="left" w:leader="none"/>
              </w:tabs>
              <w:spacing w:line="260" w:lineRule="exact" w:before="0" w:after="0"/>
              <w:ind w:left="730" w:right="0" w:hanging="420"/>
              <w:jc w:val="left"/>
              <w:rPr>
                <w:rFonts w:ascii="仿宋" w:eastAsia="仿宋" w:hint="eastAsia"/>
                <w:sz w:val="21"/>
              </w:rPr>
            </w:pPr>
            <w:r>
              <w:rPr>
                <w:rFonts w:ascii="仿宋" w:eastAsia="仿宋" w:hint="eastAsia"/>
                <w:sz w:val="21"/>
              </w:rPr>
              <w:t>保险责任</w:t>
            </w:r>
          </w:p>
          <w:p>
            <w:pPr>
              <w:pStyle w:val="TableParagraph"/>
              <w:numPr>
                <w:ilvl w:val="1"/>
                <w:numId w:val="2"/>
              </w:numPr>
              <w:tabs>
                <w:tab w:pos="730" w:val="left" w:leader="none"/>
              </w:tabs>
              <w:spacing w:line="268" w:lineRule="exact" w:before="0" w:after="0"/>
              <w:ind w:left="730" w:right="0" w:hanging="420"/>
              <w:jc w:val="left"/>
              <w:rPr>
                <w:rFonts w:ascii="仿宋" w:eastAsia="仿宋" w:hint="eastAsia"/>
                <w:sz w:val="21"/>
              </w:rPr>
            </w:pPr>
            <w:r>
              <w:rPr>
                <w:rFonts w:ascii="仿宋" w:eastAsia="仿宋" w:hint="eastAsia"/>
                <w:sz w:val="21"/>
              </w:rPr>
              <w:t>责任免除</w:t>
            </w:r>
          </w:p>
          <w:p>
            <w:pPr>
              <w:pStyle w:val="TableParagraph"/>
              <w:spacing w:before="7"/>
              <w:rPr>
                <w:rFonts w:ascii="微软雅黑"/>
                <w:b/>
                <w:sz w:val="15"/>
              </w:rPr>
            </w:pPr>
          </w:p>
          <w:p>
            <w:pPr>
              <w:pStyle w:val="TableParagraph"/>
              <w:spacing w:before="1"/>
              <w:ind w:left="100"/>
              <w:rPr>
                <w:rFonts w:ascii="仿宋" w:eastAsia="仿宋" w:hint="eastAsia"/>
                <w:b/>
                <w:sz w:val="21"/>
              </w:rPr>
            </w:pPr>
            <w:r>
              <w:rPr>
                <w:b/>
                <w:w w:val="95"/>
                <w:sz w:val="21"/>
              </w:rPr>
              <w:t>3.</w:t>
            </w:r>
            <w:r>
              <w:rPr>
                <w:rFonts w:ascii="仿宋" w:eastAsia="仿宋" w:hint="eastAsia"/>
                <w:b/>
                <w:w w:val="95"/>
                <w:sz w:val="21"/>
              </w:rPr>
              <w:t>如何申请领取保险金</w:t>
            </w:r>
          </w:p>
        </w:tc>
        <w:tc>
          <w:tcPr>
            <w:tcW w:w="3936" w:type="dxa"/>
            <w:gridSpan w:val="2"/>
          </w:tcPr>
          <w:p>
            <w:pPr>
              <w:pStyle w:val="TableParagraph"/>
              <w:spacing w:before="8"/>
              <w:ind w:left="106"/>
              <w:rPr>
                <w:rFonts w:ascii="仿宋" w:eastAsia="仿宋" w:hint="eastAsia"/>
                <w:b/>
                <w:sz w:val="21"/>
              </w:rPr>
            </w:pPr>
            <w:r>
              <w:rPr>
                <w:b/>
                <w:w w:val="95"/>
                <w:sz w:val="21"/>
              </w:rPr>
              <w:t>7.</w:t>
            </w:r>
            <w:r>
              <w:rPr>
                <w:rFonts w:ascii="仿宋" w:eastAsia="仿宋" w:hint="eastAsia"/>
                <w:b/>
                <w:w w:val="95"/>
                <w:sz w:val="21"/>
              </w:rPr>
              <w:t>释义</w:t>
            </w:r>
          </w:p>
          <w:p>
            <w:pPr>
              <w:pStyle w:val="TableParagraph"/>
              <w:numPr>
                <w:ilvl w:val="1"/>
                <w:numId w:val="3"/>
              </w:numPr>
              <w:tabs>
                <w:tab w:pos="737" w:val="left" w:leader="none"/>
              </w:tabs>
              <w:spacing w:line="268" w:lineRule="exact" w:before="14" w:after="0"/>
              <w:ind w:left="736" w:right="0" w:hanging="420"/>
              <w:jc w:val="left"/>
              <w:rPr>
                <w:rFonts w:ascii="仿宋" w:eastAsia="仿宋" w:hint="eastAsia"/>
                <w:sz w:val="21"/>
              </w:rPr>
            </w:pPr>
            <w:r>
              <w:rPr>
                <w:rFonts w:ascii="仿宋" w:eastAsia="仿宋" w:hint="eastAsia"/>
                <w:spacing w:val="-1"/>
                <w:sz w:val="21"/>
              </w:rPr>
              <w:t>被保险人</w:t>
            </w:r>
          </w:p>
          <w:p>
            <w:pPr>
              <w:pStyle w:val="TableParagraph"/>
              <w:numPr>
                <w:ilvl w:val="1"/>
                <w:numId w:val="3"/>
              </w:numPr>
              <w:tabs>
                <w:tab w:pos="684" w:val="left" w:leader="none"/>
              </w:tabs>
              <w:spacing w:line="260" w:lineRule="exact" w:before="0" w:after="0"/>
              <w:ind w:left="683" w:right="0" w:hanging="367"/>
              <w:jc w:val="left"/>
              <w:rPr>
                <w:rFonts w:ascii="仿宋" w:eastAsia="仿宋" w:hint="eastAsia"/>
                <w:sz w:val="21"/>
              </w:rPr>
            </w:pPr>
            <w:r>
              <w:rPr>
                <w:rFonts w:ascii="仿宋" w:eastAsia="仿宋" w:hint="eastAsia"/>
                <w:sz w:val="21"/>
              </w:rPr>
              <w:t>周岁</w:t>
            </w:r>
          </w:p>
          <w:p>
            <w:pPr>
              <w:pStyle w:val="TableParagraph"/>
              <w:numPr>
                <w:ilvl w:val="1"/>
                <w:numId w:val="3"/>
              </w:numPr>
              <w:tabs>
                <w:tab w:pos="737" w:val="left" w:leader="none"/>
              </w:tabs>
              <w:spacing w:line="260" w:lineRule="exact" w:before="0" w:after="0"/>
              <w:ind w:left="736" w:right="0" w:hanging="420"/>
              <w:jc w:val="left"/>
              <w:rPr>
                <w:rFonts w:ascii="仿宋" w:eastAsia="仿宋" w:hint="eastAsia"/>
                <w:sz w:val="21"/>
              </w:rPr>
            </w:pPr>
            <w:r>
              <w:rPr>
                <w:rFonts w:ascii="仿宋" w:eastAsia="仿宋" w:hint="eastAsia"/>
                <w:spacing w:val="-1"/>
                <w:sz w:val="21"/>
              </w:rPr>
              <w:t>团体</w:t>
            </w:r>
          </w:p>
          <w:p>
            <w:pPr>
              <w:pStyle w:val="TableParagraph"/>
              <w:numPr>
                <w:ilvl w:val="1"/>
                <w:numId w:val="3"/>
              </w:numPr>
              <w:tabs>
                <w:tab w:pos="737" w:val="left" w:leader="none"/>
              </w:tabs>
              <w:spacing w:line="260" w:lineRule="exact" w:before="0" w:after="0"/>
              <w:ind w:left="736" w:right="0" w:hanging="420"/>
              <w:jc w:val="left"/>
              <w:rPr>
                <w:rFonts w:ascii="仿宋" w:eastAsia="仿宋" w:hint="eastAsia"/>
                <w:sz w:val="21"/>
              </w:rPr>
            </w:pPr>
            <w:r>
              <w:rPr>
                <w:rFonts w:ascii="仿宋" w:eastAsia="仿宋" w:hint="eastAsia"/>
                <w:spacing w:val="-1"/>
                <w:sz w:val="21"/>
              </w:rPr>
              <w:t>成员</w:t>
            </w:r>
          </w:p>
          <w:p>
            <w:pPr>
              <w:pStyle w:val="TableParagraph"/>
              <w:numPr>
                <w:ilvl w:val="1"/>
                <w:numId w:val="3"/>
              </w:numPr>
              <w:tabs>
                <w:tab w:pos="737" w:val="left" w:leader="none"/>
              </w:tabs>
              <w:spacing w:line="260" w:lineRule="exact" w:before="0" w:after="0"/>
              <w:ind w:left="736" w:right="0" w:hanging="420"/>
              <w:jc w:val="left"/>
              <w:rPr>
                <w:rFonts w:ascii="仿宋" w:eastAsia="仿宋" w:hint="eastAsia"/>
                <w:sz w:val="21"/>
              </w:rPr>
            </w:pPr>
            <w:r>
              <w:rPr>
                <w:rFonts w:ascii="仿宋" w:eastAsia="仿宋" w:hint="eastAsia"/>
                <w:spacing w:val="-1"/>
                <w:sz w:val="21"/>
              </w:rPr>
              <w:t>子女</w:t>
            </w:r>
          </w:p>
          <w:p>
            <w:pPr>
              <w:pStyle w:val="TableParagraph"/>
              <w:numPr>
                <w:ilvl w:val="1"/>
                <w:numId w:val="3"/>
              </w:numPr>
              <w:tabs>
                <w:tab w:pos="737" w:val="left" w:leader="none"/>
              </w:tabs>
              <w:spacing w:line="267" w:lineRule="exact" w:before="0" w:after="0"/>
              <w:ind w:left="736" w:right="0" w:hanging="420"/>
              <w:jc w:val="left"/>
              <w:rPr>
                <w:rFonts w:ascii="仿宋" w:eastAsia="仿宋" w:hint="eastAsia"/>
                <w:sz w:val="21"/>
              </w:rPr>
            </w:pPr>
            <w:r>
              <w:rPr>
                <w:rFonts w:ascii="仿宋" w:eastAsia="仿宋" w:hint="eastAsia"/>
                <w:spacing w:val="-1"/>
                <w:sz w:val="21"/>
              </w:rPr>
              <w:t>重大疾病</w:t>
            </w:r>
          </w:p>
        </w:tc>
      </w:tr>
      <w:tr>
        <w:trPr>
          <w:trHeight w:val="209" w:hRule="atLeast"/>
        </w:trPr>
        <w:tc>
          <w:tcPr>
            <w:tcW w:w="678" w:type="dxa"/>
          </w:tcPr>
          <w:p>
            <w:pPr>
              <w:pStyle w:val="TableParagraph"/>
              <w:spacing w:line="189" w:lineRule="exact"/>
              <w:ind w:right="52"/>
              <w:jc w:val="right"/>
              <w:rPr>
                <w:sz w:val="21"/>
              </w:rPr>
            </w:pPr>
            <w:r>
              <w:rPr>
                <w:sz w:val="21"/>
              </w:rPr>
              <w:t>3.1</w:t>
            </w:r>
          </w:p>
        </w:tc>
        <w:tc>
          <w:tcPr>
            <w:tcW w:w="3001" w:type="dxa"/>
          </w:tcPr>
          <w:p>
            <w:pPr>
              <w:pStyle w:val="TableParagraph"/>
              <w:spacing w:line="189" w:lineRule="exact"/>
              <w:ind w:left="51"/>
              <w:rPr>
                <w:rFonts w:ascii="仿宋" w:eastAsia="仿宋" w:hint="eastAsia"/>
                <w:sz w:val="21"/>
              </w:rPr>
            </w:pPr>
            <w:r>
              <w:rPr>
                <w:rFonts w:ascii="仿宋" w:eastAsia="仿宋" w:hint="eastAsia"/>
                <w:sz w:val="21"/>
              </w:rPr>
              <w:t>受益人</w:t>
            </w:r>
          </w:p>
        </w:tc>
        <w:tc>
          <w:tcPr>
            <w:tcW w:w="3936" w:type="dxa"/>
            <w:gridSpan w:val="2"/>
          </w:tcPr>
          <w:p>
            <w:pPr>
              <w:pStyle w:val="TableParagraph"/>
              <w:spacing w:line="158" w:lineRule="exact"/>
              <w:ind w:left="316"/>
              <w:rPr>
                <w:rFonts w:ascii="仿宋" w:eastAsia="仿宋" w:hint="eastAsia"/>
                <w:sz w:val="21"/>
              </w:rPr>
            </w:pPr>
            <w:r>
              <w:rPr>
                <w:sz w:val="21"/>
              </w:rPr>
              <w:t>7.7 </w:t>
            </w:r>
            <w:r>
              <w:rPr>
                <w:rFonts w:ascii="仿宋" w:eastAsia="仿宋" w:hint="eastAsia"/>
                <w:sz w:val="21"/>
              </w:rPr>
              <w:t>专科医生</w:t>
            </w:r>
          </w:p>
        </w:tc>
      </w:tr>
      <w:tr>
        <w:trPr>
          <w:trHeight w:val="259" w:hRule="atLeast"/>
        </w:trPr>
        <w:tc>
          <w:tcPr>
            <w:tcW w:w="678" w:type="dxa"/>
          </w:tcPr>
          <w:p>
            <w:pPr>
              <w:pStyle w:val="TableParagraph"/>
              <w:spacing w:line="240" w:lineRule="exact"/>
              <w:ind w:right="52"/>
              <w:jc w:val="right"/>
              <w:rPr>
                <w:sz w:val="21"/>
              </w:rPr>
            </w:pPr>
            <w:r>
              <w:rPr>
                <w:sz w:val="21"/>
              </w:rPr>
              <w:t>3.2</w:t>
            </w:r>
          </w:p>
        </w:tc>
        <w:tc>
          <w:tcPr>
            <w:tcW w:w="3001" w:type="dxa"/>
          </w:tcPr>
          <w:p>
            <w:pPr>
              <w:pStyle w:val="TableParagraph"/>
              <w:spacing w:line="240" w:lineRule="exact"/>
              <w:ind w:left="51"/>
              <w:rPr>
                <w:rFonts w:ascii="仿宋" w:eastAsia="仿宋" w:hint="eastAsia"/>
                <w:sz w:val="21"/>
              </w:rPr>
            </w:pPr>
            <w:r>
              <w:rPr>
                <w:rFonts w:ascii="仿宋" w:eastAsia="仿宋" w:hint="eastAsia"/>
                <w:sz w:val="21"/>
              </w:rPr>
              <w:t>保险事故通知</w:t>
            </w:r>
          </w:p>
        </w:tc>
        <w:tc>
          <w:tcPr>
            <w:tcW w:w="3936" w:type="dxa"/>
            <w:gridSpan w:val="2"/>
          </w:tcPr>
          <w:p>
            <w:pPr>
              <w:pStyle w:val="TableParagraph"/>
              <w:spacing w:line="209" w:lineRule="exact"/>
              <w:ind w:left="316"/>
              <w:rPr>
                <w:rFonts w:ascii="仿宋" w:eastAsia="仿宋" w:hint="eastAsia"/>
                <w:sz w:val="21"/>
              </w:rPr>
            </w:pPr>
            <w:r>
              <w:rPr>
                <w:sz w:val="21"/>
              </w:rPr>
              <w:t>7.8 </w:t>
            </w:r>
            <w:r>
              <w:rPr>
                <w:rFonts w:ascii="仿宋" w:eastAsia="仿宋" w:hint="eastAsia"/>
                <w:sz w:val="21"/>
              </w:rPr>
              <w:t>肢体机能完全丧失</w:t>
            </w:r>
          </w:p>
        </w:tc>
      </w:tr>
      <w:tr>
        <w:trPr>
          <w:trHeight w:val="260" w:hRule="atLeast"/>
        </w:trPr>
        <w:tc>
          <w:tcPr>
            <w:tcW w:w="678" w:type="dxa"/>
          </w:tcPr>
          <w:p>
            <w:pPr>
              <w:pStyle w:val="TableParagraph"/>
              <w:spacing w:line="240" w:lineRule="exact"/>
              <w:ind w:right="52"/>
              <w:jc w:val="right"/>
              <w:rPr>
                <w:sz w:val="21"/>
              </w:rPr>
            </w:pPr>
            <w:r>
              <w:rPr>
                <w:sz w:val="21"/>
              </w:rPr>
              <w:t>3.3</w:t>
            </w:r>
          </w:p>
        </w:tc>
        <w:tc>
          <w:tcPr>
            <w:tcW w:w="3001" w:type="dxa"/>
          </w:tcPr>
          <w:p>
            <w:pPr>
              <w:pStyle w:val="TableParagraph"/>
              <w:spacing w:line="240" w:lineRule="exact"/>
              <w:ind w:left="52"/>
              <w:rPr>
                <w:rFonts w:ascii="仿宋" w:eastAsia="仿宋" w:hint="eastAsia"/>
                <w:sz w:val="21"/>
              </w:rPr>
            </w:pPr>
            <w:r>
              <w:rPr>
                <w:rFonts w:ascii="仿宋" w:eastAsia="仿宋" w:hint="eastAsia"/>
                <w:sz w:val="21"/>
              </w:rPr>
              <w:t>保险金申请</w:t>
            </w:r>
          </w:p>
        </w:tc>
        <w:tc>
          <w:tcPr>
            <w:tcW w:w="3936" w:type="dxa"/>
            <w:gridSpan w:val="2"/>
          </w:tcPr>
          <w:p>
            <w:pPr>
              <w:pStyle w:val="TableParagraph"/>
              <w:spacing w:line="209" w:lineRule="exact"/>
              <w:ind w:left="316"/>
              <w:rPr>
                <w:rFonts w:ascii="仿宋" w:eastAsia="仿宋" w:hint="eastAsia"/>
                <w:sz w:val="21"/>
              </w:rPr>
            </w:pPr>
            <w:r>
              <w:rPr>
                <w:sz w:val="21"/>
              </w:rPr>
              <w:t>7.9 </w:t>
            </w:r>
            <w:r>
              <w:rPr>
                <w:rFonts w:ascii="仿宋" w:eastAsia="仿宋" w:hint="eastAsia"/>
                <w:sz w:val="21"/>
              </w:rPr>
              <w:t>语言能力或咀嚼吞咽能力完全丧失</w:t>
            </w:r>
          </w:p>
        </w:tc>
      </w:tr>
      <w:tr>
        <w:trPr>
          <w:trHeight w:val="259" w:hRule="atLeast"/>
        </w:trPr>
        <w:tc>
          <w:tcPr>
            <w:tcW w:w="678" w:type="dxa"/>
          </w:tcPr>
          <w:p>
            <w:pPr>
              <w:pStyle w:val="TableParagraph"/>
              <w:spacing w:line="240" w:lineRule="exact"/>
              <w:ind w:right="52"/>
              <w:jc w:val="right"/>
              <w:rPr>
                <w:sz w:val="21"/>
              </w:rPr>
            </w:pPr>
            <w:r>
              <w:rPr>
                <w:sz w:val="21"/>
              </w:rPr>
              <w:t>3.4</w:t>
            </w:r>
          </w:p>
        </w:tc>
        <w:tc>
          <w:tcPr>
            <w:tcW w:w="3001" w:type="dxa"/>
          </w:tcPr>
          <w:p>
            <w:pPr>
              <w:pStyle w:val="TableParagraph"/>
              <w:spacing w:line="240" w:lineRule="exact"/>
              <w:ind w:left="52"/>
              <w:rPr>
                <w:rFonts w:ascii="仿宋" w:eastAsia="仿宋" w:hint="eastAsia"/>
                <w:sz w:val="21"/>
              </w:rPr>
            </w:pPr>
            <w:r>
              <w:rPr>
                <w:rFonts w:ascii="仿宋" w:eastAsia="仿宋" w:hint="eastAsia"/>
                <w:sz w:val="21"/>
              </w:rPr>
              <w:t>保险金的给付</w:t>
            </w:r>
          </w:p>
        </w:tc>
        <w:tc>
          <w:tcPr>
            <w:tcW w:w="3936" w:type="dxa"/>
            <w:gridSpan w:val="2"/>
          </w:tcPr>
          <w:p>
            <w:pPr>
              <w:pStyle w:val="TableParagraph"/>
              <w:spacing w:line="209" w:lineRule="exact"/>
              <w:ind w:left="316"/>
              <w:rPr>
                <w:rFonts w:ascii="仿宋" w:eastAsia="仿宋" w:hint="eastAsia"/>
                <w:sz w:val="21"/>
              </w:rPr>
            </w:pPr>
            <w:r>
              <w:rPr>
                <w:sz w:val="21"/>
              </w:rPr>
              <w:t>7.10</w:t>
            </w:r>
            <w:r>
              <w:rPr>
                <w:spacing w:val="-54"/>
                <w:sz w:val="21"/>
              </w:rPr>
              <w:t> </w:t>
            </w:r>
            <w:r>
              <w:rPr>
                <w:rFonts w:ascii="仿宋" w:eastAsia="仿宋" w:hint="eastAsia"/>
                <w:sz w:val="21"/>
              </w:rPr>
              <w:t>六项基本日常生活活动</w:t>
            </w:r>
          </w:p>
        </w:tc>
      </w:tr>
      <w:tr>
        <w:trPr>
          <w:trHeight w:val="468" w:hRule="atLeast"/>
        </w:trPr>
        <w:tc>
          <w:tcPr>
            <w:tcW w:w="678" w:type="dxa"/>
          </w:tcPr>
          <w:p>
            <w:pPr>
              <w:pStyle w:val="TableParagraph"/>
              <w:spacing w:line="261" w:lineRule="exact"/>
              <w:ind w:right="52"/>
              <w:jc w:val="right"/>
              <w:rPr>
                <w:sz w:val="21"/>
              </w:rPr>
            </w:pPr>
            <w:r>
              <w:rPr>
                <w:sz w:val="21"/>
              </w:rPr>
              <w:t>3.5</w:t>
            </w:r>
          </w:p>
        </w:tc>
        <w:tc>
          <w:tcPr>
            <w:tcW w:w="3001" w:type="dxa"/>
          </w:tcPr>
          <w:p>
            <w:pPr>
              <w:pStyle w:val="TableParagraph"/>
              <w:spacing w:line="261" w:lineRule="exact"/>
              <w:ind w:left="51"/>
              <w:rPr>
                <w:rFonts w:ascii="仿宋" w:eastAsia="仿宋" w:hint="eastAsia"/>
                <w:sz w:val="21"/>
              </w:rPr>
            </w:pPr>
            <w:r>
              <w:rPr>
                <w:rFonts w:ascii="仿宋" w:eastAsia="仿宋" w:hint="eastAsia"/>
                <w:sz w:val="21"/>
              </w:rPr>
              <w:t>诉讼时效</w:t>
            </w:r>
          </w:p>
        </w:tc>
        <w:tc>
          <w:tcPr>
            <w:tcW w:w="3936" w:type="dxa"/>
            <w:gridSpan w:val="2"/>
          </w:tcPr>
          <w:p>
            <w:pPr>
              <w:pStyle w:val="TableParagraph"/>
              <w:numPr>
                <w:ilvl w:val="1"/>
                <w:numId w:val="4"/>
              </w:numPr>
              <w:tabs>
                <w:tab w:pos="789" w:val="left" w:leader="none"/>
              </w:tabs>
              <w:spacing w:line="202" w:lineRule="exact" w:before="0" w:after="0"/>
              <w:ind w:left="788" w:right="0" w:hanging="472"/>
              <w:jc w:val="left"/>
              <w:rPr>
                <w:rFonts w:ascii="仿宋" w:eastAsia="仿宋" w:hint="eastAsia"/>
                <w:sz w:val="21"/>
              </w:rPr>
            </w:pPr>
            <w:r>
              <w:rPr>
                <w:rFonts w:ascii="仿宋" w:eastAsia="仿宋" w:hint="eastAsia"/>
                <w:sz w:val="21"/>
              </w:rPr>
              <w:t>永久不可逆</w:t>
            </w:r>
          </w:p>
          <w:p>
            <w:pPr>
              <w:pStyle w:val="TableParagraph"/>
              <w:numPr>
                <w:ilvl w:val="1"/>
                <w:numId w:val="4"/>
              </w:numPr>
              <w:tabs>
                <w:tab w:pos="789" w:val="left" w:leader="none"/>
              </w:tabs>
              <w:spacing w:line="247" w:lineRule="exact" w:before="0" w:after="0"/>
              <w:ind w:left="788" w:right="0" w:hanging="472"/>
              <w:jc w:val="left"/>
              <w:rPr>
                <w:rFonts w:ascii="仿宋" w:eastAsia="仿宋" w:hint="eastAsia"/>
                <w:sz w:val="21"/>
              </w:rPr>
            </w:pPr>
            <w:r>
              <w:rPr>
                <w:rFonts w:ascii="仿宋" w:eastAsia="仿宋" w:hint="eastAsia"/>
                <w:sz w:val="21"/>
              </w:rPr>
              <w:t>连续投保</w:t>
            </w:r>
          </w:p>
        </w:tc>
      </w:tr>
    </w:tbl>
    <w:p>
      <w:pPr>
        <w:spacing w:after="0" w:line="247" w:lineRule="exact"/>
        <w:jc w:val="left"/>
        <w:rPr>
          <w:rFonts w:ascii="仿宋" w:eastAsia="仿宋" w:hint="eastAsia"/>
          <w:sz w:val="21"/>
        </w:rPr>
        <w:sectPr>
          <w:headerReference w:type="default" r:id="rId8"/>
          <w:pgSz w:w="11910" w:h="16840"/>
          <w:pgMar w:header="594" w:footer="666" w:top="820" w:bottom="860" w:left="880" w:right="880"/>
        </w:sectPr>
      </w:pPr>
    </w:p>
    <w:p>
      <w:pPr>
        <w:pStyle w:val="Heading3"/>
        <w:spacing w:before="60"/>
        <w:ind w:left="1666"/>
        <w:rPr>
          <w:rFonts w:ascii="仿宋" w:eastAsia="仿宋" w:hint="eastAsia"/>
        </w:rPr>
      </w:pPr>
      <w:r>
        <w:rPr>
          <w:w w:val="95"/>
        </w:rPr>
        <w:t>4</w:t>
      </w:r>
      <w:r>
        <w:rPr>
          <w:rFonts w:ascii="仿宋" w:eastAsia="仿宋" w:hint="eastAsia"/>
          <w:w w:val="95"/>
        </w:rPr>
        <w:t>.如何支付保险费</w:t>
      </w:r>
    </w:p>
    <w:p>
      <w:pPr>
        <w:pStyle w:val="BodyText"/>
        <w:spacing w:before="14"/>
        <w:ind w:left="1876"/>
        <w:rPr>
          <w:rFonts w:ascii="仿宋" w:eastAsia="仿宋" w:hint="eastAsia"/>
        </w:rPr>
      </w:pPr>
      <w:r>
        <w:rPr/>
        <w:t>4.1 </w:t>
      </w:r>
      <w:r>
        <w:rPr>
          <w:rFonts w:ascii="仿宋" w:eastAsia="仿宋" w:hint="eastAsia"/>
        </w:rPr>
        <w:t>保险费的支付</w:t>
      </w:r>
    </w:p>
    <w:p>
      <w:pPr>
        <w:pStyle w:val="BodyText"/>
        <w:spacing w:before="6"/>
        <w:rPr>
          <w:rFonts w:ascii="仿宋"/>
          <w:sz w:val="20"/>
        </w:rPr>
      </w:pPr>
    </w:p>
    <w:p>
      <w:pPr>
        <w:pStyle w:val="Heading3"/>
        <w:ind w:left="1666"/>
        <w:rPr>
          <w:rFonts w:ascii="仿宋" w:eastAsia="仿宋" w:hint="eastAsia"/>
        </w:rPr>
      </w:pPr>
      <w:r>
        <w:rPr>
          <w:w w:val="95"/>
        </w:rPr>
        <w:t>5</w:t>
      </w:r>
      <w:r>
        <w:rPr>
          <w:rFonts w:ascii="仿宋" w:eastAsia="仿宋" w:hint="eastAsia"/>
          <w:w w:val="95"/>
        </w:rPr>
        <w:t>.如何解除保险合同</w:t>
      </w:r>
    </w:p>
    <w:p>
      <w:pPr>
        <w:pStyle w:val="BodyText"/>
        <w:spacing w:before="13"/>
        <w:ind w:left="1876"/>
        <w:rPr>
          <w:rFonts w:ascii="仿宋" w:eastAsia="仿宋" w:hint="eastAsia"/>
        </w:rPr>
      </w:pPr>
      <w:r>
        <w:rPr/>
        <w:t>5.1</w:t>
      </w:r>
      <w:r>
        <w:rPr>
          <w:spacing w:val="-54"/>
        </w:rPr>
        <w:t> </w:t>
      </w:r>
      <w:r>
        <w:rPr>
          <w:rFonts w:ascii="仿宋" w:eastAsia="仿宋" w:hint="eastAsia"/>
        </w:rPr>
        <w:t>投保人解除合同的手续</w:t>
      </w:r>
    </w:p>
    <w:p>
      <w:pPr>
        <w:pStyle w:val="BodyText"/>
        <w:spacing w:before="4"/>
        <w:rPr>
          <w:rFonts w:ascii="仿宋"/>
          <w:sz w:val="24"/>
        </w:rPr>
      </w:pPr>
    </w:p>
    <w:p>
      <w:pPr>
        <w:pStyle w:val="Heading3"/>
        <w:ind w:left="1666"/>
        <w:rPr>
          <w:rFonts w:ascii="仿宋" w:eastAsia="仿宋" w:hint="eastAsia"/>
        </w:rPr>
      </w:pPr>
      <w:r>
        <w:rPr>
          <w:w w:val="95"/>
        </w:rPr>
        <w:t>6.</w:t>
      </w:r>
      <w:r>
        <w:rPr>
          <w:rFonts w:ascii="仿宋" w:eastAsia="仿宋" w:hint="eastAsia"/>
          <w:w w:val="95"/>
        </w:rPr>
        <w:t>其他需要关注的事项</w:t>
      </w:r>
    </w:p>
    <w:p>
      <w:pPr>
        <w:pStyle w:val="ListParagraph"/>
        <w:numPr>
          <w:ilvl w:val="1"/>
          <w:numId w:val="5"/>
        </w:numPr>
        <w:tabs>
          <w:tab w:pos="2297" w:val="left" w:leader="none"/>
        </w:tabs>
        <w:spacing w:line="268" w:lineRule="exact" w:before="14" w:after="0"/>
        <w:ind w:left="2296" w:right="0" w:hanging="420"/>
        <w:jc w:val="left"/>
        <w:rPr>
          <w:rFonts w:ascii="仿宋" w:eastAsia="仿宋" w:hint="eastAsia"/>
          <w:sz w:val="21"/>
        </w:rPr>
      </w:pPr>
      <w:r>
        <w:rPr>
          <w:rFonts w:ascii="仿宋" w:eastAsia="仿宋" w:hint="eastAsia"/>
          <w:spacing w:val="-1"/>
          <w:sz w:val="21"/>
        </w:rPr>
        <w:t>明确说明与如实告知</w:t>
      </w:r>
    </w:p>
    <w:p>
      <w:pPr>
        <w:pStyle w:val="ListParagraph"/>
        <w:numPr>
          <w:ilvl w:val="1"/>
          <w:numId w:val="5"/>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本公司合同解除权的限制</w:t>
      </w:r>
    </w:p>
    <w:p>
      <w:pPr>
        <w:pStyle w:val="ListParagraph"/>
        <w:numPr>
          <w:ilvl w:val="1"/>
          <w:numId w:val="5"/>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被保险人变动</w:t>
      </w:r>
    </w:p>
    <w:p>
      <w:pPr>
        <w:pStyle w:val="ListParagraph"/>
        <w:numPr>
          <w:ilvl w:val="1"/>
          <w:numId w:val="5"/>
        </w:numPr>
        <w:tabs>
          <w:tab w:pos="2297" w:val="left" w:leader="none"/>
        </w:tabs>
        <w:spacing w:line="267" w:lineRule="exact" w:before="0" w:after="0"/>
        <w:ind w:left="2296" w:right="0" w:hanging="420"/>
        <w:jc w:val="left"/>
        <w:rPr>
          <w:rFonts w:ascii="仿宋" w:eastAsia="仿宋" w:hint="eastAsia"/>
          <w:sz w:val="21"/>
        </w:rPr>
      </w:pPr>
      <w:r>
        <w:rPr>
          <w:rFonts w:ascii="仿宋" w:eastAsia="仿宋" w:hint="eastAsia"/>
          <w:sz w:val="21"/>
        </w:rPr>
        <w:t>职业或者工种的确定与变更</w:t>
      </w:r>
    </w:p>
    <w:p>
      <w:pPr>
        <w:pStyle w:val="ListParagraph"/>
        <w:numPr>
          <w:ilvl w:val="1"/>
          <w:numId w:val="6"/>
        </w:numPr>
        <w:tabs>
          <w:tab w:pos="1178" w:val="left" w:leader="none"/>
        </w:tabs>
        <w:spacing w:line="253" w:lineRule="exact" w:before="0" w:after="0"/>
        <w:ind w:left="1177" w:right="0" w:hanging="472"/>
        <w:jc w:val="left"/>
        <w:rPr>
          <w:rFonts w:ascii="仿宋" w:eastAsia="仿宋" w:hint="eastAsia"/>
          <w:sz w:val="21"/>
        </w:rPr>
      </w:pPr>
      <w:r>
        <w:rPr>
          <w:rFonts w:ascii="仿宋" w:eastAsia="仿宋" w:hint="eastAsia"/>
          <w:sz w:val="21"/>
        </w:rPr>
        <w:br w:type="column"/>
        <w:t>意外伤害</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pict>
          <v:group style="position:absolute;margin-left:121.260002pt;margin-top:-266.796173pt;width:418.9pt;height:424.8pt;mso-position-horizontal-relative:page;mso-position-vertical-relative:paragraph;z-index:-29080" coordorigin="2425,-5336" coordsize="8378,8496">
            <v:line style="position:absolute" from="2440,-5331" to="10802,-5331" stroked="true" strokeweight=".48004pt" strokecolor="#000000">
              <v:stroke dashstyle="solid"/>
            </v:line>
            <v:shape style="position:absolute;left:2425;top:-5327;width:8378;height:8487" coordorigin="2425,-5326" coordsize="8378,8487" path="m2425,3155l6120,3155m6125,-5326l6125,3160m6130,3155l10802,3155e" filled="false" stroked="true" strokeweight=".48001pt" strokecolor="#000000">
              <v:path arrowok="t"/>
              <v:stroke dashstyle="solid"/>
            </v:shape>
            <w10:wrap type="none"/>
          </v:group>
        </w:pict>
      </w:r>
      <w:r>
        <w:rPr>
          <w:rFonts w:ascii="仿宋" w:eastAsia="仿宋" w:hint="eastAsia"/>
          <w:sz w:val="21"/>
        </w:rPr>
        <w:t>医院</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毒品</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酒后驾驶</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无合法有效驾驶证驾驶</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无有效行驶证</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机动车</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感染艾滋病病毒或患艾滋病</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遗传性疾病</w:t>
      </w:r>
    </w:p>
    <w:p>
      <w:pPr>
        <w:pStyle w:val="ListParagraph"/>
        <w:numPr>
          <w:ilvl w:val="1"/>
          <w:numId w:val="6"/>
        </w:numPr>
        <w:tabs>
          <w:tab w:pos="1178" w:val="left" w:leader="none"/>
        </w:tabs>
        <w:spacing w:line="260" w:lineRule="exact" w:before="0" w:after="0"/>
        <w:ind w:left="1177" w:right="0" w:hanging="472"/>
        <w:jc w:val="left"/>
        <w:rPr>
          <w:rFonts w:ascii="仿宋" w:eastAsia="仿宋" w:hint="eastAsia"/>
          <w:sz w:val="21"/>
        </w:rPr>
      </w:pPr>
      <w:r>
        <w:rPr>
          <w:rFonts w:ascii="仿宋" w:eastAsia="仿宋" w:hint="eastAsia"/>
          <w:sz w:val="21"/>
        </w:rPr>
        <w:t>先天性畸形、变形或染色体异常</w:t>
      </w:r>
    </w:p>
    <w:p>
      <w:pPr>
        <w:pStyle w:val="ListParagraph"/>
        <w:numPr>
          <w:ilvl w:val="1"/>
          <w:numId w:val="6"/>
        </w:numPr>
        <w:tabs>
          <w:tab w:pos="1178" w:val="left" w:leader="none"/>
        </w:tabs>
        <w:spacing w:line="268" w:lineRule="exact" w:before="0" w:after="0"/>
        <w:ind w:left="1177" w:right="0" w:hanging="472"/>
        <w:jc w:val="left"/>
        <w:rPr>
          <w:rFonts w:ascii="仿宋" w:eastAsia="仿宋" w:hint="eastAsia"/>
          <w:sz w:val="21"/>
        </w:rPr>
      </w:pPr>
      <w:r>
        <w:rPr>
          <w:rFonts w:ascii="仿宋" w:eastAsia="仿宋" w:hint="eastAsia"/>
          <w:sz w:val="21"/>
        </w:rPr>
        <w:t>净保险费</w:t>
      </w:r>
    </w:p>
    <w:p>
      <w:pPr>
        <w:spacing w:after="0" w:line="268" w:lineRule="exact"/>
        <w:jc w:val="left"/>
        <w:rPr>
          <w:rFonts w:ascii="仿宋" w:eastAsia="仿宋" w:hint="eastAsia"/>
          <w:sz w:val="21"/>
        </w:rPr>
        <w:sectPr>
          <w:type w:val="continuous"/>
          <w:pgSz w:w="11910" w:h="16840"/>
          <w:pgMar w:top="760" w:bottom="860" w:left="880" w:right="880"/>
          <w:cols w:num="2" w:equalWidth="0">
            <w:col w:w="4817" w:space="40"/>
            <w:col w:w="5293"/>
          </w:cols>
        </w:sectPr>
      </w:pPr>
    </w:p>
    <w:p>
      <w:pPr>
        <w:pStyle w:val="BodyText"/>
        <w:rPr>
          <w:rFonts w:ascii="仿宋"/>
          <w:sz w:val="20"/>
        </w:rPr>
      </w:pPr>
    </w:p>
    <w:p>
      <w:pPr>
        <w:pStyle w:val="BodyText"/>
        <w:rPr>
          <w:rFonts w:ascii="仿宋"/>
          <w:sz w:val="20"/>
        </w:rPr>
      </w:pPr>
    </w:p>
    <w:p>
      <w:pPr>
        <w:pStyle w:val="BodyText"/>
        <w:spacing w:before="13"/>
        <w:rPr>
          <w:rFonts w:ascii="仿宋"/>
          <w:sz w:val="15"/>
        </w:rPr>
      </w:pPr>
    </w:p>
    <w:p>
      <w:pPr>
        <w:pStyle w:val="Heading3"/>
        <w:spacing w:before="35"/>
        <w:ind w:left="0" w:right="195"/>
        <w:jc w:val="right"/>
      </w:pPr>
      <w:r>
        <w:rPr>
          <w:w w:val="95"/>
        </w:rPr>
        <w:t>[本页内容结束]</w:t>
      </w:r>
    </w:p>
    <w:p>
      <w:pPr>
        <w:spacing w:after="0"/>
        <w:jc w:val="right"/>
        <w:sectPr>
          <w:type w:val="continuous"/>
          <w:pgSz w:w="11910" w:h="16840"/>
          <w:pgMar w:top="760" w:bottom="860" w:left="880" w:right="880"/>
        </w:sectPr>
      </w:pPr>
    </w:p>
    <w:p>
      <w:pPr>
        <w:pStyle w:val="BodyText"/>
        <w:spacing w:before="10"/>
        <w:rPr>
          <w:b/>
          <w:sz w:val="22"/>
        </w:rPr>
      </w:pPr>
    </w:p>
    <w:p>
      <w:pPr>
        <w:spacing w:line="507" w:lineRule="exact" w:before="0"/>
        <w:ind w:left="3170" w:right="0" w:firstLine="0"/>
        <w:jc w:val="left"/>
        <w:rPr>
          <w:rFonts w:ascii="微软雅黑" w:eastAsia="微软雅黑" w:hint="eastAsia"/>
          <w:b/>
          <w:sz w:val="32"/>
        </w:rPr>
      </w:pPr>
      <w:r>
        <w:rPr>
          <w:rFonts w:ascii="微软雅黑" w:eastAsia="微软雅黑" w:hint="eastAsia"/>
          <w:b/>
          <w:sz w:val="32"/>
        </w:rPr>
        <w:t>前海团体重大疾病保险条款</w:t>
      </w:r>
    </w:p>
    <w:p>
      <w:pPr>
        <w:pStyle w:val="BodyText"/>
        <w:spacing w:line="544" w:lineRule="auto" w:before="103"/>
        <w:ind w:left="219" w:right="2191" w:firstLine="1854"/>
      </w:pPr>
      <w:r>
        <w:rPr/>
        <w:t>（前海人寿〔2012</w:t>
      </w:r>
      <w:r>
        <w:rPr>
          <w:spacing w:val="-19"/>
        </w:rPr>
        <w:t>〕第 </w:t>
      </w:r>
      <w:r>
        <w:rPr/>
        <w:t>51</w:t>
      </w:r>
      <w:r>
        <w:rPr>
          <w:spacing w:val="-27"/>
        </w:rPr>
        <w:t> 号</w:t>
      </w:r>
      <w:r>
        <w:rPr/>
        <w:t>，2012</w:t>
      </w:r>
      <w:r>
        <w:rPr>
          <w:spacing w:val="-36"/>
        </w:rPr>
        <w:t> 年 </w:t>
      </w:r>
      <w:r>
        <w:rPr/>
        <w:t>6</w:t>
      </w:r>
      <w:r>
        <w:rPr>
          <w:spacing w:val="-8"/>
        </w:rPr>
        <w:t> 月呈报中国保监会备案</w:t>
      </w:r>
      <w:r>
        <w:rPr/>
        <w:t>） 在本条款中，“我们”、“本公司”均指前海人寿保险股份有限公司。</w:t>
      </w:r>
    </w:p>
    <w:p>
      <w:pPr>
        <w:pStyle w:val="BodyText"/>
        <w:spacing w:before="7"/>
        <w:rPr>
          <w:sz w:val="19"/>
        </w:rPr>
      </w:pPr>
    </w:p>
    <w:p>
      <w:pPr>
        <w:pStyle w:val="Heading2"/>
        <w:numPr>
          <w:ilvl w:val="0"/>
          <w:numId w:val="7"/>
        </w:numPr>
        <w:tabs>
          <w:tab w:pos="1070" w:val="left" w:leader="none"/>
          <w:tab w:pos="1071" w:val="left" w:leader="none"/>
        </w:tabs>
        <w:spacing w:line="240" w:lineRule="auto" w:before="0" w:after="0"/>
        <w:ind w:left="1070" w:right="0" w:hanging="850"/>
        <w:jc w:val="left"/>
        <w:rPr>
          <w:rFonts w:ascii="宋体" w:eastAsia="宋体" w:hint="eastAsia"/>
          <w:sz w:val="36"/>
        </w:rPr>
      </w:pPr>
      <w:r>
        <w:rPr/>
        <w:pict>
          <v:group style="position:absolute;margin-left:48.599998pt;margin-top:30.363752pt;width:504pt;height:1pt;mso-position-horizontal-relative:page;mso-position-vertical-relative:paragraph;z-index:1072;mso-wrap-distance-left:0;mso-wrap-distance-right:0" coordorigin="972,607" coordsize="10080,20">
            <v:line style="position:absolute" from="972,617" to="3751,617" stroked="true" strokeweight=".95996pt" strokecolor="#000000">
              <v:stroke dashstyle="solid"/>
            </v:line>
            <v:line style="position:absolute" from="3751,617" to="11052,617" stroked="true" strokeweight=".96pt" strokecolor="#000000">
              <v:stroke dashstyle="solid"/>
            </v:line>
            <w10:wrap type="topAndBottom"/>
          </v:group>
        </w:pict>
      </w:r>
      <w:r>
        <w:rPr>
          <w:rFonts w:ascii="宋体" w:eastAsia="宋体" w:hint="eastAsia"/>
        </w:rPr>
        <w:t>投保人与我们的合同</w:t>
      </w:r>
    </w:p>
    <w:p>
      <w:pPr>
        <w:pStyle w:val="BodyText"/>
        <w:spacing w:before="10"/>
        <w:rPr>
          <w:b/>
          <w:sz w:val="9"/>
        </w:rPr>
      </w:pPr>
    </w:p>
    <w:p>
      <w:pPr>
        <w:pStyle w:val="ListParagraph"/>
        <w:numPr>
          <w:ilvl w:val="1"/>
          <w:numId w:val="7"/>
        </w:numPr>
        <w:tabs>
          <w:tab w:pos="1070" w:val="left" w:leader="none"/>
          <w:tab w:pos="1071" w:val="left" w:leader="none"/>
          <w:tab w:pos="2979" w:val="left" w:leader="none"/>
        </w:tabs>
        <w:spacing w:line="273" w:lineRule="auto" w:before="35" w:after="0"/>
        <w:ind w:left="2980" w:right="218" w:hanging="2760"/>
        <w:jc w:val="left"/>
        <w:rPr>
          <w:sz w:val="21"/>
        </w:rPr>
      </w:pPr>
      <w:r>
        <w:rPr>
          <w:b/>
          <w:sz w:val="21"/>
        </w:rPr>
        <w:t>合同构成</w:t>
        <w:tab/>
      </w:r>
      <w:r>
        <w:rPr>
          <w:sz w:val="21"/>
        </w:rPr>
        <w:t>本保险条款、保险单或其他保险凭证、投保书、</w:t>
      </w:r>
      <w:r>
        <w:rPr>
          <w:rFonts w:ascii="黑体" w:hAnsi="黑体" w:eastAsia="黑体" w:hint="eastAsia"/>
          <w:b/>
          <w:sz w:val="21"/>
        </w:rPr>
        <w:t>被保险人</w:t>
      </w:r>
      <w:r>
        <w:rPr>
          <w:sz w:val="21"/>
        </w:rPr>
        <w:t>（见</w:t>
      </w:r>
      <w:r>
        <w:rPr>
          <w:spacing w:val="-42"/>
          <w:sz w:val="21"/>
        </w:rPr>
        <w:t> </w:t>
      </w:r>
      <w:r>
        <w:rPr>
          <w:sz w:val="21"/>
        </w:rPr>
        <w:t>7.1）名册、与保险合同有关的投保文件</w:t>
      </w:r>
      <w:r>
        <w:rPr>
          <w:spacing w:val="-10"/>
          <w:sz w:val="21"/>
        </w:rPr>
        <w:t>、</w:t>
      </w:r>
      <w:r>
        <w:rPr>
          <w:sz w:val="21"/>
        </w:rPr>
        <w:t>合法有效的声明</w:t>
      </w:r>
      <w:r>
        <w:rPr>
          <w:spacing w:val="-10"/>
          <w:sz w:val="21"/>
        </w:rPr>
        <w:t>、</w:t>
      </w:r>
      <w:r>
        <w:rPr>
          <w:sz w:val="21"/>
        </w:rPr>
        <w:t>批注</w:t>
      </w:r>
      <w:r>
        <w:rPr>
          <w:spacing w:val="-9"/>
          <w:sz w:val="21"/>
        </w:rPr>
        <w:t>、</w:t>
      </w:r>
      <w:r>
        <w:rPr>
          <w:sz w:val="21"/>
        </w:rPr>
        <w:t>批单</w:t>
      </w:r>
      <w:r>
        <w:rPr>
          <w:spacing w:val="-9"/>
          <w:sz w:val="21"/>
        </w:rPr>
        <w:t>、</w:t>
      </w:r>
      <w:r>
        <w:rPr>
          <w:sz w:val="21"/>
        </w:rPr>
        <w:t>其他书面协议都是投保人与我们之间订立的保险合同的构成部分。                        “前海团体重大疾病保险合同”以下简称为“本主险合同”。</w:t>
      </w:r>
    </w:p>
    <w:p>
      <w:pPr>
        <w:pStyle w:val="BodyText"/>
        <w:spacing w:before="12"/>
        <w:rPr>
          <w:sz w:val="17"/>
        </w:rPr>
      </w:pPr>
    </w:p>
    <w:p>
      <w:pPr>
        <w:pStyle w:val="ListParagraph"/>
        <w:numPr>
          <w:ilvl w:val="1"/>
          <w:numId w:val="7"/>
        </w:numPr>
        <w:tabs>
          <w:tab w:pos="1070" w:val="left" w:leader="none"/>
          <w:tab w:pos="1072" w:val="left" w:leader="none"/>
          <w:tab w:pos="2979" w:val="left" w:leader="none"/>
        </w:tabs>
        <w:spacing w:line="240" w:lineRule="auto" w:before="0" w:after="0"/>
        <w:ind w:left="1071" w:right="0" w:hanging="851"/>
        <w:jc w:val="left"/>
        <w:rPr>
          <w:sz w:val="21"/>
        </w:rPr>
      </w:pPr>
      <w:r>
        <w:rPr>
          <w:b/>
          <w:sz w:val="21"/>
        </w:rPr>
        <w:t>合同成立与生效</w:t>
        <w:tab/>
      </w:r>
      <w:r>
        <w:rPr>
          <w:sz w:val="21"/>
        </w:rPr>
        <w:t>投保人提出保险申请、我们同意承保，本主险合同成立。</w:t>
      </w:r>
    </w:p>
    <w:p>
      <w:pPr>
        <w:pStyle w:val="BodyText"/>
        <w:spacing w:line="273" w:lineRule="auto" w:before="36"/>
        <w:ind w:left="2980" w:right="218"/>
        <w:jc w:val="both"/>
      </w:pPr>
      <w:r>
        <w:rPr>
          <w:spacing w:val="-2"/>
        </w:rPr>
        <w:t>我们收取投保人支付的保险费后向投保人及时签发保险单，本主险合同的生效日以保险单所载的日期为准。</w:t>
      </w:r>
    </w:p>
    <w:p>
      <w:pPr>
        <w:pStyle w:val="BodyText"/>
        <w:spacing w:before="11"/>
        <w:rPr>
          <w:sz w:val="17"/>
        </w:rPr>
      </w:pPr>
    </w:p>
    <w:p>
      <w:pPr>
        <w:pStyle w:val="ListParagraph"/>
        <w:numPr>
          <w:ilvl w:val="1"/>
          <w:numId w:val="7"/>
        </w:numPr>
        <w:tabs>
          <w:tab w:pos="1070" w:val="left" w:leader="none"/>
          <w:tab w:pos="1071" w:val="left" w:leader="none"/>
          <w:tab w:pos="2979" w:val="left" w:leader="none"/>
        </w:tabs>
        <w:spacing w:line="240" w:lineRule="auto" w:before="0" w:after="0"/>
        <w:ind w:left="2980" w:right="0" w:hanging="2760"/>
        <w:jc w:val="left"/>
        <w:rPr>
          <w:sz w:val="21"/>
        </w:rPr>
      </w:pPr>
      <w:r>
        <w:rPr>
          <w:b/>
          <w:position w:val="1"/>
          <w:sz w:val="21"/>
        </w:rPr>
        <w:t>投保范围</w:t>
        <w:tab/>
      </w:r>
      <w:r>
        <w:rPr>
          <w:sz w:val="21"/>
        </w:rPr>
        <w:t>本主险合同接受的投保年龄为</w:t>
      </w:r>
      <w:r>
        <w:rPr>
          <w:spacing w:val="-54"/>
          <w:sz w:val="21"/>
        </w:rPr>
        <w:t> </w:t>
      </w:r>
      <w:r>
        <w:rPr>
          <w:sz w:val="21"/>
        </w:rPr>
        <w:t>0</w:t>
      </w:r>
      <w:r>
        <w:rPr>
          <w:spacing w:val="-54"/>
          <w:sz w:val="21"/>
        </w:rPr>
        <w:t> </w:t>
      </w:r>
      <w:r>
        <w:rPr>
          <w:rFonts w:ascii="黑体" w:eastAsia="黑体" w:hint="eastAsia"/>
          <w:b/>
          <w:sz w:val="21"/>
        </w:rPr>
        <w:t>周岁</w:t>
      </w:r>
      <w:r>
        <w:rPr>
          <w:sz w:val="21"/>
        </w:rPr>
        <w:t>（见</w:t>
      </w:r>
      <w:r>
        <w:rPr>
          <w:spacing w:val="-54"/>
          <w:sz w:val="21"/>
        </w:rPr>
        <w:t> </w:t>
      </w:r>
      <w:r>
        <w:rPr>
          <w:sz w:val="21"/>
        </w:rPr>
        <w:t>7.2）至</w:t>
      </w:r>
      <w:r>
        <w:rPr>
          <w:spacing w:val="-54"/>
          <w:sz w:val="21"/>
        </w:rPr>
        <w:t> </w:t>
      </w:r>
      <w:r>
        <w:rPr>
          <w:sz w:val="21"/>
        </w:rPr>
        <w:t>65</w:t>
      </w:r>
      <w:r>
        <w:rPr>
          <w:spacing w:val="-53"/>
          <w:sz w:val="21"/>
        </w:rPr>
        <w:t> </w:t>
      </w:r>
      <w:r>
        <w:rPr>
          <w:sz w:val="21"/>
        </w:rPr>
        <w:t>周岁。</w:t>
      </w:r>
    </w:p>
    <w:p>
      <w:pPr>
        <w:pStyle w:val="BodyText"/>
        <w:spacing w:line="261" w:lineRule="auto" w:before="25"/>
        <w:ind w:left="2979" w:right="218"/>
        <w:jc w:val="both"/>
      </w:pPr>
      <w:r>
        <w:rPr>
          <w:rFonts w:ascii="黑体" w:eastAsia="黑体" w:hint="eastAsia"/>
          <w:b/>
        </w:rPr>
        <w:t>团体</w:t>
      </w:r>
      <w:r>
        <w:rPr/>
        <w:t>（</w:t>
      </w:r>
      <w:r>
        <w:rPr>
          <w:spacing w:val="-16"/>
        </w:rPr>
        <w:t>见 </w:t>
      </w:r>
      <w:r>
        <w:rPr/>
        <w:t>7.3）作为投保人可为其身体健康的</w:t>
      </w:r>
      <w:r>
        <w:rPr>
          <w:rFonts w:ascii="黑体" w:eastAsia="黑体" w:hint="eastAsia"/>
          <w:b/>
        </w:rPr>
        <w:t>成员</w:t>
      </w:r>
      <w:r>
        <w:rPr/>
        <w:t>（</w:t>
      </w:r>
      <w:r>
        <w:rPr>
          <w:spacing w:val="-17"/>
        </w:rPr>
        <w:t>见 </w:t>
      </w:r>
      <w:r>
        <w:rPr/>
        <w:t>7.4）向本公司投保本</w:t>
      </w:r>
      <w:r>
        <w:rPr>
          <w:spacing w:val="-6"/>
        </w:rPr>
        <w:t>保险。团体投保时，参保人数及参保成员占团体中符合参保条件成员总数的比例须符合国务院保险监督管理机构的相关规定。</w:t>
      </w:r>
    </w:p>
    <w:p>
      <w:pPr>
        <w:pStyle w:val="BodyText"/>
        <w:spacing w:line="273" w:lineRule="auto"/>
        <w:ind w:left="2979" w:right="213"/>
        <w:jc w:val="both"/>
      </w:pPr>
      <w:r>
        <w:rPr/>
        <w:t>经本公司同意，被保险人的配偶和</w:t>
      </w:r>
      <w:r>
        <w:rPr>
          <w:rFonts w:ascii="黑体" w:eastAsia="黑体" w:hint="eastAsia"/>
          <w:b/>
        </w:rPr>
        <w:t>子女</w:t>
      </w:r>
      <w:r>
        <w:rPr/>
        <w:t>（见7.5）可作为附属被保险人，由投保人统一向本公司投保本保险。</w:t>
      </w:r>
    </w:p>
    <w:p>
      <w:pPr>
        <w:pStyle w:val="BodyText"/>
        <w:spacing w:before="2"/>
        <w:rPr>
          <w:sz w:val="18"/>
        </w:rPr>
      </w:pPr>
    </w:p>
    <w:p>
      <w:pPr>
        <w:pStyle w:val="ListParagraph"/>
        <w:numPr>
          <w:ilvl w:val="1"/>
          <w:numId w:val="7"/>
        </w:numPr>
        <w:tabs>
          <w:tab w:pos="1070" w:val="left" w:leader="none"/>
          <w:tab w:pos="1071" w:val="left" w:leader="none"/>
          <w:tab w:pos="2979" w:val="left" w:leader="none"/>
        </w:tabs>
        <w:spacing w:line="273" w:lineRule="auto" w:before="0" w:after="0"/>
        <w:ind w:left="2979" w:right="215" w:hanging="2760"/>
        <w:jc w:val="left"/>
        <w:rPr>
          <w:sz w:val="21"/>
        </w:rPr>
      </w:pPr>
      <w:r>
        <w:rPr>
          <w:b/>
          <w:sz w:val="21"/>
        </w:rPr>
        <w:t>保险期间与续保</w:t>
        <w:tab/>
      </w:r>
      <w:r>
        <w:rPr>
          <w:spacing w:val="5"/>
          <w:sz w:val="21"/>
        </w:rPr>
        <w:t>本主</w:t>
      </w:r>
      <w:r>
        <w:rPr>
          <w:spacing w:val="2"/>
          <w:sz w:val="21"/>
        </w:rPr>
        <w:t>险</w:t>
      </w:r>
      <w:r>
        <w:rPr>
          <w:spacing w:val="5"/>
          <w:sz w:val="21"/>
        </w:rPr>
        <w:t>合</w:t>
      </w:r>
      <w:r>
        <w:rPr>
          <w:spacing w:val="2"/>
          <w:sz w:val="21"/>
        </w:rPr>
        <w:t>同</w:t>
      </w:r>
      <w:r>
        <w:rPr>
          <w:spacing w:val="5"/>
          <w:sz w:val="21"/>
        </w:rPr>
        <w:t>的保</w:t>
      </w:r>
      <w:r>
        <w:rPr>
          <w:spacing w:val="2"/>
          <w:sz w:val="21"/>
        </w:rPr>
        <w:t>险</w:t>
      </w:r>
      <w:r>
        <w:rPr>
          <w:spacing w:val="5"/>
          <w:sz w:val="21"/>
        </w:rPr>
        <w:t>期</w:t>
      </w:r>
      <w:r>
        <w:rPr>
          <w:spacing w:val="2"/>
          <w:sz w:val="21"/>
        </w:rPr>
        <w:t>间</w:t>
      </w:r>
      <w:r>
        <w:rPr>
          <w:spacing w:val="5"/>
          <w:sz w:val="21"/>
        </w:rPr>
        <w:t>由投</w:t>
      </w:r>
      <w:r>
        <w:rPr>
          <w:spacing w:val="2"/>
          <w:sz w:val="21"/>
        </w:rPr>
        <w:t>保</w:t>
      </w:r>
      <w:r>
        <w:rPr>
          <w:spacing w:val="5"/>
          <w:sz w:val="21"/>
        </w:rPr>
        <w:t>人</w:t>
      </w:r>
      <w:r>
        <w:rPr>
          <w:spacing w:val="2"/>
          <w:sz w:val="21"/>
        </w:rPr>
        <w:t>与</w:t>
      </w:r>
      <w:r>
        <w:rPr>
          <w:spacing w:val="5"/>
          <w:sz w:val="21"/>
        </w:rPr>
        <w:t>我们</w:t>
      </w:r>
      <w:r>
        <w:rPr>
          <w:spacing w:val="2"/>
          <w:sz w:val="21"/>
        </w:rPr>
        <w:t>约</w:t>
      </w:r>
      <w:r>
        <w:rPr>
          <w:spacing w:val="5"/>
          <w:sz w:val="21"/>
        </w:rPr>
        <w:t>定</w:t>
      </w:r>
      <w:r>
        <w:rPr>
          <w:spacing w:val="2"/>
          <w:sz w:val="21"/>
        </w:rPr>
        <w:t>并</w:t>
      </w:r>
      <w:r>
        <w:rPr>
          <w:spacing w:val="5"/>
          <w:sz w:val="21"/>
        </w:rPr>
        <w:t>在保</w:t>
      </w:r>
      <w:r>
        <w:rPr>
          <w:spacing w:val="2"/>
          <w:sz w:val="21"/>
        </w:rPr>
        <w:t>险</w:t>
      </w:r>
      <w:r>
        <w:rPr>
          <w:spacing w:val="5"/>
          <w:sz w:val="21"/>
        </w:rPr>
        <w:t>单</w:t>
      </w:r>
      <w:r>
        <w:rPr>
          <w:spacing w:val="2"/>
          <w:sz w:val="21"/>
        </w:rPr>
        <w:t>或</w:t>
      </w:r>
      <w:r>
        <w:rPr>
          <w:spacing w:val="5"/>
          <w:sz w:val="21"/>
        </w:rPr>
        <w:t>其他</w:t>
      </w:r>
      <w:r>
        <w:rPr>
          <w:spacing w:val="2"/>
          <w:sz w:val="21"/>
        </w:rPr>
        <w:t>保</w:t>
      </w:r>
      <w:r>
        <w:rPr>
          <w:spacing w:val="5"/>
          <w:sz w:val="21"/>
        </w:rPr>
        <w:t>险</w:t>
      </w:r>
      <w:r>
        <w:rPr>
          <w:spacing w:val="2"/>
          <w:sz w:val="21"/>
        </w:rPr>
        <w:t>凭</w:t>
      </w:r>
      <w:r>
        <w:rPr>
          <w:spacing w:val="5"/>
          <w:sz w:val="21"/>
        </w:rPr>
        <w:t>证</w:t>
      </w:r>
      <w:r>
        <w:rPr>
          <w:spacing w:val="2"/>
          <w:sz w:val="21"/>
        </w:rPr>
        <w:t>上</w:t>
      </w:r>
      <w:r>
        <w:rPr>
          <w:sz w:val="21"/>
        </w:rPr>
        <w:t>载 明。</w:t>
      </w:r>
    </w:p>
    <w:p>
      <w:pPr>
        <w:pStyle w:val="BodyText"/>
        <w:spacing w:line="273" w:lineRule="auto" w:before="7"/>
        <w:ind w:left="2979" w:right="218"/>
        <w:jc w:val="both"/>
      </w:pPr>
      <w:r>
        <w:rPr>
          <w:spacing w:val="-2"/>
        </w:rPr>
        <w:t>被保险人的个人保险期间由投保人与本公司约定，自该被保险人的个人保险期</w:t>
      </w:r>
      <w:r>
        <w:rPr>
          <w:spacing w:val="-5"/>
        </w:rPr>
        <w:t>间起始日的零时开始，到其个人保险期间终止日的二十四时止。被保险人的个人保险期间不可超出本主险合同的保险期间。</w:t>
      </w:r>
    </w:p>
    <w:p>
      <w:pPr>
        <w:pStyle w:val="BodyText"/>
        <w:spacing w:line="273" w:lineRule="auto" w:before="7"/>
        <w:ind w:left="2979" w:right="218"/>
        <w:jc w:val="both"/>
      </w:pPr>
      <w:r>
        <w:rPr>
          <w:spacing w:val="-2"/>
        </w:rPr>
        <w:t>本主险合同保险期间届满时投保人可向本公司申请续保本保险，本公司审核同</w:t>
      </w:r>
      <w:r>
        <w:rPr>
          <w:spacing w:val="-5"/>
        </w:rPr>
        <w:t>意后为投保人办理续保手续，续保时本公司有权重新厘定费率并收取相应保险费。</w:t>
      </w:r>
    </w:p>
    <w:p>
      <w:pPr>
        <w:pStyle w:val="BodyText"/>
        <w:rPr>
          <w:sz w:val="20"/>
        </w:rPr>
      </w:pPr>
    </w:p>
    <w:p>
      <w:pPr>
        <w:pStyle w:val="BodyText"/>
        <w:spacing w:before="8"/>
        <w:rPr>
          <w:sz w:val="15"/>
        </w:rPr>
      </w:pPr>
    </w:p>
    <w:p>
      <w:pPr>
        <w:pStyle w:val="Heading2"/>
        <w:numPr>
          <w:ilvl w:val="0"/>
          <w:numId w:val="7"/>
        </w:numPr>
        <w:tabs>
          <w:tab w:pos="1070" w:val="left" w:leader="none"/>
          <w:tab w:pos="1071" w:val="left" w:leader="none"/>
        </w:tabs>
        <w:spacing w:line="240" w:lineRule="auto" w:before="0" w:after="0"/>
        <w:ind w:left="1070" w:right="0" w:hanging="850"/>
        <w:jc w:val="left"/>
        <w:rPr>
          <w:rFonts w:ascii="宋体" w:eastAsia="宋体" w:hint="eastAsia"/>
          <w:sz w:val="40"/>
        </w:rPr>
      </w:pPr>
      <w:r>
        <w:rPr/>
        <w:pict>
          <v:group style="position:absolute;margin-left:48.599998pt;margin-top:31.699665pt;width:504pt;height:1pt;mso-position-horizontal-relative:page;mso-position-vertical-relative:paragraph;z-index:1096;mso-wrap-distance-left:0;mso-wrap-distance-right:0" coordorigin="972,634" coordsize="10080,20">
            <v:line style="position:absolute" from="972,644" to="3751,644" stroked="true" strokeweight=".96001pt" strokecolor="#000000">
              <v:stroke dashstyle="solid"/>
            </v:line>
            <v:line style="position:absolute" from="3751,644" to="11052,644" stroked="true" strokeweight=".96pt" strokecolor="#000000">
              <v:stroke dashstyle="solid"/>
            </v:line>
            <w10:wrap type="topAndBottom"/>
          </v:group>
        </w:pict>
      </w:r>
      <w:r>
        <w:rPr>
          <w:rFonts w:ascii="宋体" w:eastAsia="宋体" w:hint="eastAsia"/>
        </w:rPr>
        <w:t>我们提供的保障</w:t>
      </w:r>
    </w:p>
    <w:p>
      <w:pPr>
        <w:pStyle w:val="BodyText"/>
        <w:spacing w:before="10"/>
        <w:rPr>
          <w:b/>
          <w:sz w:val="9"/>
        </w:rPr>
      </w:pPr>
    </w:p>
    <w:p>
      <w:pPr>
        <w:pStyle w:val="ListParagraph"/>
        <w:numPr>
          <w:ilvl w:val="1"/>
          <w:numId w:val="7"/>
        </w:numPr>
        <w:tabs>
          <w:tab w:pos="1070" w:val="left" w:leader="none"/>
          <w:tab w:pos="1071" w:val="left" w:leader="none"/>
          <w:tab w:pos="2979" w:val="left" w:leader="none"/>
        </w:tabs>
        <w:spacing w:line="273" w:lineRule="auto" w:before="35" w:after="0"/>
        <w:ind w:left="2980" w:right="215" w:hanging="2760"/>
        <w:jc w:val="left"/>
        <w:rPr>
          <w:sz w:val="21"/>
        </w:rPr>
      </w:pPr>
      <w:r>
        <w:rPr>
          <w:b/>
          <w:sz w:val="21"/>
        </w:rPr>
        <w:t>保险金额</w:t>
        <w:tab/>
      </w:r>
      <w:r>
        <w:rPr>
          <w:spacing w:val="5"/>
          <w:sz w:val="21"/>
        </w:rPr>
        <w:t>本主</w:t>
      </w:r>
      <w:r>
        <w:rPr>
          <w:spacing w:val="2"/>
          <w:sz w:val="21"/>
        </w:rPr>
        <w:t>险</w:t>
      </w:r>
      <w:r>
        <w:rPr>
          <w:spacing w:val="5"/>
          <w:sz w:val="21"/>
        </w:rPr>
        <w:t>合</w:t>
      </w:r>
      <w:r>
        <w:rPr>
          <w:spacing w:val="2"/>
          <w:sz w:val="21"/>
        </w:rPr>
        <w:t>同</w:t>
      </w:r>
      <w:r>
        <w:rPr>
          <w:spacing w:val="5"/>
          <w:sz w:val="21"/>
        </w:rPr>
        <w:t>的保</w:t>
      </w:r>
      <w:r>
        <w:rPr>
          <w:spacing w:val="2"/>
          <w:sz w:val="21"/>
        </w:rPr>
        <w:t>险</w:t>
      </w:r>
      <w:r>
        <w:rPr>
          <w:spacing w:val="5"/>
          <w:sz w:val="21"/>
        </w:rPr>
        <w:t>金</w:t>
      </w:r>
      <w:r>
        <w:rPr>
          <w:spacing w:val="2"/>
          <w:sz w:val="21"/>
        </w:rPr>
        <w:t>额</w:t>
      </w:r>
      <w:r>
        <w:rPr>
          <w:spacing w:val="5"/>
          <w:sz w:val="21"/>
        </w:rPr>
        <w:t>由投</w:t>
      </w:r>
      <w:r>
        <w:rPr>
          <w:spacing w:val="2"/>
          <w:sz w:val="21"/>
        </w:rPr>
        <w:t>保</w:t>
      </w:r>
      <w:r>
        <w:rPr>
          <w:spacing w:val="5"/>
          <w:sz w:val="21"/>
        </w:rPr>
        <w:t>人</w:t>
      </w:r>
      <w:r>
        <w:rPr>
          <w:spacing w:val="2"/>
          <w:sz w:val="21"/>
        </w:rPr>
        <w:t>在</w:t>
      </w:r>
      <w:r>
        <w:rPr>
          <w:spacing w:val="5"/>
          <w:sz w:val="21"/>
        </w:rPr>
        <w:t>投保</w:t>
      </w:r>
      <w:r>
        <w:rPr>
          <w:spacing w:val="2"/>
          <w:sz w:val="21"/>
        </w:rPr>
        <w:t>时</w:t>
      </w:r>
      <w:r>
        <w:rPr>
          <w:spacing w:val="5"/>
          <w:sz w:val="21"/>
        </w:rPr>
        <w:t>与</w:t>
      </w:r>
      <w:r>
        <w:rPr>
          <w:spacing w:val="2"/>
          <w:sz w:val="21"/>
        </w:rPr>
        <w:t>本</w:t>
      </w:r>
      <w:r>
        <w:rPr>
          <w:spacing w:val="5"/>
          <w:sz w:val="21"/>
        </w:rPr>
        <w:t>公司</w:t>
      </w:r>
      <w:r>
        <w:rPr>
          <w:spacing w:val="2"/>
          <w:sz w:val="21"/>
        </w:rPr>
        <w:t>约</w:t>
      </w:r>
      <w:r>
        <w:rPr>
          <w:spacing w:val="5"/>
          <w:sz w:val="21"/>
        </w:rPr>
        <w:t>定</w:t>
      </w:r>
      <w:r>
        <w:rPr>
          <w:spacing w:val="2"/>
          <w:sz w:val="21"/>
        </w:rPr>
        <w:t>并</w:t>
      </w:r>
      <w:r>
        <w:rPr>
          <w:spacing w:val="5"/>
          <w:sz w:val="21"/>
        </w:rPr>
        <w:t>在保</w:t>
      </w:r>
      <w:r>
        <w:rPr>
          <w:spacing w:val="2"/>
          <w:sz w:val="21"/>
        </w:rPr>
        <w:t>险</w:t>
      </w:r>
      <w:r>
        <w:rPr>
          <w:spacing w:val="5"/>
          <w:sz w:val="21"/>
        </w:rPr>
        <w:t>单</w:t>
      </w:r>
      <w:r>
        <w:rPr>
          <w:spacing w:val="2"/>
          <w:sz w:val="21"/>
        </w:rPr>
        <w:t>或</w:t>
      </w:r>
      <w:r>
        <w:rPr>
          <w:spacing w:val="5"/>
          <w:sz w:val="21"/>
        </w:rPr>
        <w:t>其</w:t>
      </w:r>
      <w:r>
        <w:rPr>
          <w:spacing w:val="2"/>
          <w:sz w:val="21"/>
        </w:rPr>
        <w:t>他</w:t>
      </w:r>
      <w:r>
        <w:rPr>
          <w:sz w:val="21"/>
        </w:rPr>
        <w:t>保 险凭证上载明。</w:t>
      </w:r>
    </w:p>
    <w:p>
      <w:pPr>
        <w:pStyle w:val="BodyText"/>
        <w:spacing w:before="12"/>
        <w:rPr>
          <w:sz w:val="17"/>
        </w:rPr>
      </w:pPr>
    </w:p>
    <w:p>
      <w:pPr>
        <w:pStyle w:val="ListParagraph"/>
        <w:numPr>
          <w:ilvl w:val="1"/>
          <w:numId w:val="7"/>
        </w:numPr>
        <w:tabs>
          <w:tab w:pos="1070" w:val="left" w:leader="none"/>
          <w:tab w:pos="1071" w:val="left" w:leader="none"/>
          <w:tab w:pos="2979" w:val="left" w:leader="none"/>
        </w:tabs>
        <w:spacing w:line="240" w:lineRule="auto" w:before="0" w:after="0"/>
        <w:ind w:left="2980" w:right="0" w:hanging="2760"/>
        <w:jc w:val="left"/>
        <w:rPr>
          <w:sz w:val="21"/>
        </w:rPr>
      </w:pPr>
      <w:r>
        <w:rPr>
          <w:b/>
          <w:sz w:val="21"/>
        </w:rPr>
        <w:t>保险责任</w:t>
        <w:tab/>
      </w:r>
      <w:r>
        <w:rPr>
          <w:sz w:val="21"/>
        </w:rPr>
        <w:t>在本主险合同有效期内，本公司承担下列保险责任：</w:t>
      </w:r>
    </w:p>
    <w:p>
      <w:pPr>
        <w:pStyle w:val="BodyText"/>
        <w:tabs>
          <w:tab w:pos="2979" w:val="left" w:leader="none"/>
        </w:tabs>
        <w:spacing w:line="249" w:lineRule="auto" w:before="142"/>
        <w:ind w:left="2980" w:right="218" w:hanging="1910"/>
      </w:pPr>
      <w:r>
        <w:rPr>
          <w:rFonts w:ascii="Microsoft JhengHei" w:eastAsia="Microsoft JhengHei" w:hint="eastAsia"/>
          <w:b/>
          <w:position w:val="1"/>
          <w:sz w:val="24"/>
        </w:rPr>
        <w:t>等待期</w:t>
        <w:tab/>
      </w:r>
      <w:r>
        <w:rPr>
          <w:shd w:fill="D9D9D9" w:color="auto" w:val="clear"/>
        </w:rPr>
        <w:t>投保人为被保险人首次投保本保险或非连续投保本保险时</w:t>
      </w:r>
      <w:r>
        <w:rPr>
          <w:spacing w:val="-36"/>
          <w:shd w:fill="D9D9D9" w:color="auto" w:val="clear"/>
        </w:rPr>
        <w:t>，</w:t>
      </w:r>
      <w:r>
        <w:rPr>
          <w:shd w:fill="D9D9D9" w:color="auto" w:val="clear"/>
        </w:rPr>
        <w:t>从本主险合同生效</w:t>
      </w:r>
      <w:r>
        <w:rPr>
          <w:spacing w:val="-210"/>
          <w:shd w:fill="D9D9D9" w:color="auto" w:val="clear"/>
        </w:rPr>
        <w:t>日</w:t>
      </w:r>
      <w:r>
        <w:rPr>
          <w:shd w:fill="D9D9D9" w:color="auto" w:val="clear"/>
        </w:rPr>
        <w:t>起</w:t>
      </w:r>
      <w:r>
        <w:rPr>
          <w:spacing w:val="-64"/>
          <w:shd w:fill="D9D9D9" w:color="auto" w:val="clear"/>
        </w:rPr>
        <w:t> </w:t>
      </w:r>
      <w:r>
        <w:rPr>
          <w:shd w:fill="D9D9D9" w:color="auto" w:val="clear"/>
        </w:rPr>
        <w:t>30</w:t>
      </w:r>
      <w:r>
        <w:rPr>
          <w:spacing w:val="-64"/>
          <w:shd w:fill="D9D9D9" w:color="auto" w:val="clear"/>
        </w:rPr>
        <w:t> </w:t>
      </w:r>
      <w:r>
        <w:rPr>
          <w:shd w:fill="D9D9D9" w:color="auto" w:val="clear"/>
        </w:rPr>
        <w:t>日内，被保险人因疾病发生下列情形之一的：</w:t>
      </w:r>
    </w:p>
    <w:p>
      <w:pPr>
        <w:spacing w:before="29"/>
        <w:ind w:left="2980" w:right="0" w:firstLine="0"/>
        <w:jc w:val="left"/>
        <w:rPr>
          <w:sz w:val="21"/>
        </w:rPr>
      </w:pPr>
      <w:r>
        <w:rPr>
          <w:sz w:val="21"/>
          <w:shd w:fill="D9D9D9" w:color="auto" w:val="clear"/>
        </w:rPr>
        <w:t>（一）“</w:t>
      </w:r>
      <w:r>
        <w:rPr>
          <w:rFonts w:ascii="黑体" w:hAnsi="黑体" w:eastAsia="黑体" w:hint="eastAsia"/>
          <w:b/>
          <w:sz w:val="21"/>
          <w:shd w:fill="D9D9D9" w:color="auto" w:val="clear"/>
        </w:rPr>
        <w:t>重大疾病</w:t>
      </w:r>
      <w:r>
        <w:rPr>
          <w:sz w:val="21"/>
          <w:shd w:fill="D9D9D9" w:color="auto" w:val="clear"/>
        </w:rPr>
        <w:t>”（见 7.6）；</w:t>
      </w:r>
    </w:p>
    <w:p>
      <w:pPr>
        <w:pStyle w:val="BodyText"/>
        <w:spacing w:before="37"/>
        <w:ind w:left="2980"/>
      </w:pPr>
      <w:r>
        <w:rPr>
          <w:shd w:fill="D9D9D9" w:color="auto" w:val="clear"/>
        </w:rPr>
        <w:t>（二）因导致“重大疾病”的相关疾病就诊。</w:t>
      </w:r>
    </w:p>
    <w:p>
      <w:pPr>
        <w:pStyle w:val="BodyText"/>
        <w:spacing w:before="37"/>
        <w:ind w:left="2980"/>
      </w:pPr>
      <w:r>
        <w:rPr>
          <w:shd w:fill="D9D9D9" w:color="auto" w:val="clear"/>
        </w:rPr>
        <w:t>我们不承担保险责任，对投保人返还该被保险人对应的保险费，对该被保险人</w:t>
      </w:r>
    </w:p>
    <w:p>
      <w:pPr>
        <w:spacing w:after="0"/>
        <w:sectPr>
          <w:pgSz w:w="11910" w:h="16840"/>
          <w:pgMar w:header="594" w:footer="666" w:top="820" w:bottom="860" w:left="860" w:right="740"/>
        </w:sectPr>
      </w:pPr>
    </w:p>
    <w:p>
      <w:pPr>
        <w:pStyle w:val="BodyText"/>
        <w:rPr>
          <w:sz w:val="20"/>
        </w:rPr>
      </w:pPr>
    </w:p>
    <w:p>
      <w:pPr>
        <w:pStyle w:val="BodyText"/>
        <w:spacing w:before="5"/>
        <w:rPr>
          <w:sz w:val="22"/>
        </w:rPr>
      </w:pPr>
    </w:p>
    <w:p>
      <w:pPr>
        <w:pStyle w:val="BodyText"/>
        <w:spacing w:before="35"/>
        <w:ind w:left="2980"/>
      </w:pPr>
      <w:r>
        <w:rPr>
          <w:shd w:fill="D9D9D9" w:color="auto" w:val="clear"/>
        </w:rPr>
        <w:t>保险责任终止。这 30 日的时间称为等待期；</w:t>
      </w:r>
      <w:r>
        <w:rPr/>
        <w:t>投保人为被保险人</w:t>
      </w:r>
      <w:r>
        <w:rPr>
          <w:rFonts w:ascii="黑体" w:eastAsia="黑体" w:hint="eastAsia"/>
          <w:b/>
        </w:rPr>
        <w:t>连续投保</w:t>
      </w:r>
      <w:r>
        <w:rPr/>
        <w:t>（见</w:t>
      </w:r>
    </w:p>
    <w:p>
      <w:pPr>
        <w:pStyle w:val="BodyText"/>
        <w:spacing w:line="273" w:lineRule="auto" w:before="37"/>
        <w:ind w:left="2979" w:right="219"/>
      </w:pPr>
      <w:r>
        <w:rPr>
          <w:spacing w:val="-7"/>
        </w:rPr>
        <w:t>7.12）</w:t>
      </w:r>
      <w:r>
        <w:rPr/>
        <w:t>本保险的或被保险人因遭受</w:t>
      </w:r>
      <w:r>
        <w:rPr>
          <w:rFonts w:ascii="黑体" w:eastAsia="黑体" w:hint="eastAsia"/>
          <w:b/>
          <w:spacing w:val="-8"/>
        </w:rPr>
        <w:t>意外伤害</w:t>
      </w:r>
      <w:r>
        <w:rPr>
          <w:spacing w:val="-3"/>
        </w:rPr>
        <w:t>（</w:t>
      </w:r>
      <w:r>
        <w:rPr>
          <w:spacing w:val="-26"/>
        </w:rPr>
        <w:t>见 </w:t>
      </w:r>
      <w:r>
        <w:rPr>
          <w:spacing w:val="-7"/>
        </w:rPr>
        <w:t>7.13）</w:t>
      </w:r>
      <w:r>
        <w:rPr/>
        <w:t>发生上述两项情形之一的，无等待期。</w:t>
      </w:r>
    </w:p>
    <w:p>
      <w:pPr>
        <w:tabs>
          <w:tab w:pos="2979" w:val="left" w:leader="none"/>
        </w:tabs>
        <w:spacing w:before="114"/>
        <w:ind w:left="1070" w:right="0" w:firstLine="0"/>
        <w:jc w:val="left"/>
        <w:rPr>
          <w:sz w:val="21"/>
        </w:rPr>
      </w:pPr>
      <w:r>
        <w:rPr>
          <w:rFonts w:ascii="Microsoft JhengHei" w:eastAsia="Microsoft JhengHei" w:hint="eastAsia"/>
          <w:b/>
          <w:position w:val="4"/>
          <w:sz w:val="24"/>
        </w:rPr>
        <w:t>重大疾病保险金</w:t>
        <w:tab/>
      </w:r>
      <w:r>
        <w:rPr>
          <w:sz w:val="21"/>
        </w:rPr>
        <w:t>除等待期期间依前款约定外，本公司承担下列保险责任：</w:t>
      </w:r>
    </w:p>
    <w:p>
      <w:pPr>
        <w:pStyle w:val="BodyText"/>
        <w:spacing w:line="273" w:lineRule="auto" w:before="65"/>
        <w:ind w:left="2980" w:right="113"/>
      </w:pPr>
      <w:r>
        <w:rPr/>
        <w:t>被保险人于其个人保险期间内经</w:t>
      </w:r>
      <w:r>
        <w:rPr>
          <w:rFonts w:ascii="黑体" w:hAnsi="黑体" w:eastAsia="黑体" w:hint="eastAsia"/>
          <w:b/>
          <w:spacing w:val="-24"/>
        </w:rPr>
        <w:t>医院</w:t>
      </w:r>
      <w:r>
        <w:rPr/>
        <w:t>（</w:t>
      </w:r>
      <w:r>
        <w:rPr>
          <w:spacing w:val="-26"/>
        </w:rPr>
        <w:t>见 </w:t>
      </w:r>
      <w:r>
        <w:rPr>
          <w:spacing w:val="-11"/>
        </w:rPr>
        <w:t>7.14）确诊初次发生“重大疾病”的， 本公司按其保险金额给付“重大疾病保险金”，对该被保险人保险责任终止。</w:t>
      </w:r>
    </w:p>
    <w:p>
      <w:pPr>
        <w:pStyle w:val="BodyText"/>
        <w:spacing w:before="12"/>
        <w:rPr>
          <w:sz w:val="28"/>
        </w:rPr>
      </w:pPr>
    </w:p>
    <w:p>
      <w:pPr>
        <w:pStyle w:val="BodyText"/>
        <w:spacing w:line="273" w:lineRule="auto" w:before="1"/>
        <w:ind w:left="2980" w:right="163"/>
      </w:pPr>
      <w:r>
        <w:rPr/>
        <w:t>被保险人在投保前发生等待期中所述两项情形之一的，本公司不承担给付保险金的责任。</w:t>
      </w:r>
    </w:p>
    <w:p>
      <w:pPr>
        <w:pStyle w:val="BodyText"/>
        <w:spacing w:before="12"/>
        <w:rPr>
          <w:sz w:val="17"/>
        </w:rPr>
      </w:pPr>
    </w:p>
    <w:p>
      <w:pPr>
        <w:pStyle w:val="ListParagraph"/>
        <w:numPr>
          <w:ilvl w:val="1"/>
          <w:numId w:val="7"/>
        </w:numPr>
        <w:tabs>
          <w:tab w:pos="1070" w:val="left" w:leader="none"/>
          <w:tab w:pos="1071" w:val="left" w:leader="none"/>
          <w:tab w:pos="2979" w:val="left" w:leader="none"/>
        </w:tabs>
        <w:spacing w:line="273" w:lineRule="auto" w:before="0" w:after="0"/>
        <w:ind w:left="2980" w:right="218" w:hanging="2760"/>
        <w:jc w:val="left"/>
        <w:rPr>
          <w:sz w:val="21"/>
        </w:rPr>
      </w:pPr>
      <w:r>
        <w:rPr>
          <w:b/>
          <w:sz w:val="21"/>
        </w:rPr>
        <w:t>责任免除</w:t>
        <w:tab/>
      </w:r>
      <w:r>
        <w:rPr>
          <w:sz w:val="21"/>
        </w:rPr>
        <w:t>因下列情形之一</w:t>
      </w:r>
      <w:r>
        <w:rPr>
          <w:spacing w:val="-12"/>
          <w:sz w:val="21"/>
        </w:rPr>
        <w:t>，</w:t>
      </w:r>
      <w:r>
        <w:rPr>
          <w:sz w:val="21"/>
        </w:rPr>
        <w:t>导致被保险人发生疾病</w:t>
      </w:r>
      <w:r>
        <w:rPr>
          <w:spacing w:val="-12"/>
          <w:sz w:val="21"/>
        </w:rPr>
        <w:t>、</w:t>
      </w:r>
      <w:r>
        <w:rPr>
          <w:sz w:val="21"/>
        </w:rPr>
        <w:t>达到疾病状态或进行手术的</w:t>
      </w:r>
      <w:r>
        <w:rPr>
          <w:spacing w:val="-12"/>
          <w:sz w:val="21"/>
        </w:rPr>
        <w:t>，</w:t>
      </w:r>
      <w:r>
        <w:rPr>
          <w:sz w:val="21"/>
        </w:rPr>
        <w:t>本公司不承担给付保险金的责任：</w:t>
      </w:r>
    </w:p>
    <w:p>
      <w:pPr>
        <w:pStyle w:val="BodyText"/>
        <w:spacing w:before="7"/>
        <w:ind w:left="2980"/>
      </w:pPr>
      <w:r>
        <w:rPr>
          <w:shd w:fill="D9D9D9" w:color="auto" w:val="clear"/>
        </w:rPr>
        <w:t>（1）投保人对被保险人的故意杀害、故意伤害；</w:t>
      </w:r>
    </w:p>
    <w:p>
      <w:pPr>
        <w:pStyle w:val="BodyText"/>
        <w:spacing w:before="36"/>
        <w:ind w:left="2980"/>
      </w:pPr>
      <w:r>
        <w:rPr>
          <w:shd w:fill="D9D9D9" w:color="auto" w:val="clear"/>
        </w:rPr>
        <w:t>（2）被保险人故意自伤、故意犯罪或者抗拒依法采取的刑事强制措施；</w:t>
      </w:r>
    </w:p>
    <w:p>
      <w:pPr>
        <w:pStyle w:val="BodyText"/>
        <w:spacing w:before="36"/>
        <w:ind w:left="2980"/>
      </w:pPr>
      <w:r>
        <w:rPr>
          <w:shd w:fill="D9D9D9" w:color="auto" w:val="clear"/>
        </w:rPr>
        <w:t>（3）</w:t>
      </w:r>
      <w:r>
        <w:rPr>
          <w:spacing w:val="-1"/>
          <w:shd w:fill="D9D9D9" w:color="auto" w:val="clear"/>
        </w:rPr>
        <w:t>被保险人主动吸食或注射</w:t>
      </w:r>
      <w:r>
        <w:rPr>
          <w:rFonts w:ascii="黑体" w:eastAsia="黑体" w:hint="eastAsia"/>
          <w:b/>
          <w:w w:val="99"/>
          <w:shd w:fill="D9D9D9" w:color="auto" w:val="clear"/>
        </w:rPr>
        <w:t>毒品</w:t>
      </w:r>
      <w:r>
        <w:rPr>
          <w:spacing w:val="-1"/>
          <w:shd w:fill="D9D9D9" w:color="auto" w:val="clear"/>
        </w:rPr>
        <w:t>（见</w:t>
      </w:r>
      <w:r>
        <w:rPr>
          <w:shd w:fill="D9D9D9" w:color="auto" w:val="clear"/>
        </w:rPr>
        <w:t>7</w:t>
      </w:r>
      <w:r>
        <w:rPr>
          <w:spacing w:val="-1"/>
          <w:shd w:fill="D9D9D9" w:color="auto" w:val="clear"/>
        </w:rPr>
        <w:t>.</w:t>
      </w:r>
      <w:r>
        <w:rPr>
          <w:shd w:fill="D9D9D9" w:color="auto" w:val="clear"/>
        </w:rPr>
        <w:t>1</w:t>
      </w:r>
      <w:r>
        <w:rPr>
          <w:spacing w:val="-1"/>
          <w:shd w:fill="D9D9D9" w:color="auto" w:val="clear"/>
        </w:rPr>
        <w:t>5</w:t>
      </w:r>
      <w:r>
        <w:rPr>
          <w:spacing w:val="-105"/>
          <w:shd w:fill="D9D9D9" w:color="auto" w:val="clear"/>
        </w:rPr>
        <w:t>）</w:t>
      </w:r>
      <w:r>
        <w:rPr>
          <w:shd w:fill="D9D9D9" w:color="auto" w:val="clear"/>
        </w:rPr>
        <w:t>；</w:t>
      </w:r>
    </w:p>
    <w:p>
      <w:pPr>
        <w:spacing w:line="273" w:lineRule="auto" w:before="36"/>
        <w:ind w:left="3505" w:right="218" w:hanging="526"/>
        <w:jc w:val="left"/>
        <w:rPr>
          <w:sz w:val="21"/>
        </w:rPr>
      </w:pPr>
      <w:r>
        <w:rPr>
          <w:spacing w:val="0"/>
          <w:sz w:val="21"/>
          <w:shd w:fill="D9D9D9" w:color="auto" w:val="clear"/>
        </w:rPr>
        <w:t>（</w:t>
      </w:r>
      <w:r>
        <w:rPr>
          <w:spacing w:val="2"/>
          <w:sz w:val="21"/>
          <w:shd w:fill="D9D9D9" w:color="auto" w:val="clear"/>
        </w:rPr>
        <w:t>4</w:t>
      </w:r>
      <w:r>
        <w:rPr>
          <w:spacing w:val="1"/>
          <w:sz w:val="21"/>
          <w:shd w:fill="D9D9D9" w:color="auto" w:val="clear"/>
        </w:rPr>
        <w:t>）</w:t>
      </w:r>
      <w:r>
        <w:rPr>
          <w:sz w:val="21"/>
          <w:shd w:fill="D9D9D9" w:color="auto" w:val="clear"/>
        </w:rPr>
        <w:t>被保险人</w:t>
      </w:r>
      <w:r>
        <w:rPr>
          <w:rFonts w:ascii="黑体" w:eastAsia="黑体" w:hint="eastAsia"/>
          <w:b/>
          <w:spacing w:val="1"/>
          <w:w w:val="99"/>
          <w:sz w:val="21"/>
          <w:shd w:fill="D9D9D9" w:color="auto" w:val="clear"/>
        </w:rPr>
        <w:t>酒后驾驶</w:t>
      </w:r>
      <w:r>
        <w:rPr>
          <w:sz w:val="21"/>
          <w:shd w:fill="D9D9D9" w:color="auto" w:val="clear"/>
        </w:rPr>
        <w:t>（见7.1</w:t>
      </w:r>
      <w:r>
        <w:rPr>
          <w:spacing w:val="0"/>
          <w:sz w:val="21"/>
          <w:shd w:fill="D9D9D9" w:color="auto" w:val="clear"/>
        </w:rPr>
        <w:t>6</w:t>
      </w:r>
      <w:r>
        <w:rPr>
          <w:spacing w:val="-104"/>
          <w:sz w:val="21"/>
          <w:shd w:fill="D9D9D9" w:color="auto" w:val="clear"/>
        </w:rPr>
        <w:t>）</w:t>
      </w:r>
      <w:r>
        <w:rPr>
          <w:spacing w:val="0"/>
          <w:sz w:val="21"/>
          <w:shd w:fill="D9D9D9" w:color="auto" w:val="clear"/>
        </w:rPr>
        <w:t>、</w:t>
      </w:r>
      <w:r>
        <w:rPr>
          <w:rFonts w:ascii="黑体" w:eastAsia="黑体" w:hint="eastAsia"/>
          <w:b/>
          <w:w w:val="99"/>
          <w:sz w:val="21"/>
          <w:shd w:fill="D9D9D9" w:color="auto" w:val="clear"/>
        </w:rPr>
        <w:t>无合法有效驾驶证驾驶</w:t>
      </w:r>
      <w:r>
        <w:rPr>
          <w:sz w:val="21"/>
          <w:shd w:fill="D9D9D9" w:color="auto" w:val="clear"/>
        </w:rPr>
        <w:t>（见7.1</w:t>
      </w:r>
      <w:r>
        <w:rPr>
          <w:spacing w:val="0"/>
          <w:sz w:val="21"/>
          <w:shd w:fill="D9D9D9" w:color="auto" w:val="clear"/>
        </w:rPr>
        <w:t>7</w:t>
      </w:r>
      <w:r>
        <w:rPr>
          <w:spacing w:val="-104"/>
          <w:sz w:val="21"/>
          <w:shd w:fill="D9D9D9" w:color="auto" w:val="clear"/>
        </w:rPr>
        <w:t>）</w:t>
      </w:r>
      <w:r>
        <w:rPr>
          <w:spacing w:val="0"/>
          <w:sz w:val="21"/>
          <w:shd w:fill="D9D9D9" w:color="auto" w:val="clear"/>
        </w:rPr>
        <w:t>，或驾</w:t>
      </w:r>
      <w:r>
        <w:rPr>
          <w:spacing w:val="-197"/>
          <w:sz w:val="21"/>
          <w:shd w:fill="D9D9D9" w:color="auto" w:val="clear"/>
        </w:rPr>
        <w:t>驶</w:t>
      </w:r>
      <w:r>
        <w:rPr>
          <w:rFonts w:ascii="黑体" w:eastAsia="黑体" w:hint="eastAsia"/>
          <w:b/>
          <w:w w:val="99"/>
          <w:sz w:val="21"/>
          <w:shd w:fill="D9D9D9" w:color="auto" w:val="clear"/>
        </w:rPr>
        <w:t>无有效行驶证</w:t>
      </w:r>
      <w:r>
        <w:rPr>
          <w:sz w:val="21"/>
          <w:shd w:fill="D9D9D9" w:color="auto" w:val="clear"/>
        </w:rPr>
        <w:t>（见</w:t>
      </w:r>
      <w:r>
        <w:rPr>
          <w:spacing w:val="-1"/>
          <w:sz w:val="21"/>
          <w:shd w:fill="D9D9D9" w:color="auto" w:val="clear"/>
        </w:rPr>
        <w:t>7</w:t>
      </w:r>
      <w:r>
        <w:rPr>
          <w:sz w:val="21"/>
          <w:shd w:fill="D9D9D9" w:color="auto" w:val="clear"/>
        </w:rPr>
        <w:t>.</w:t>
      </w:r>
      <w:r>
        <w:rPr>
          <w:spacing w:val="-1"/>
          <w:sz w:val="21"/>
          <w:shd w:fill="D9D9D9" w:color="auto" w:val="clear"/>
        </w:rPr>
        <w:t>1</w:t>
      </w:r>
      <w:r>
        <w:rPr>
          <w:sz w:val="21"/>
          <w:shd w:fill="D9D9D9" w:color="auto" w:val="clear"/>
        </w:rPr>
        <w:t>8）</w:t>
      </w:r>
      <w:r>
        <w:rPr>
          <w:spacing w:val="-2"/>
          <w:sz w:val="21"/>
          <w:shd w:fill="D9D9D9" w:color="auto" w:val="clear"/>
        </w:rPr>
        <w:t>的</w:t>
      </w:r>
      <w:r>
        <w:rPr>
          <w:rFonts w:ascii="黑体" w:eastAsia="黑体" w:hint="eastAsia"/>
          <w:b/>
          <w:spacing w:val="0"/>
          <w:w w:val="99"/>
          <w:sz w:val="21"/>
          <w:shd w:fill="D9D9D9" w:color="auto" w:val="clear"/>
        </w:rPr>
        <w:t>机动车</w:t>
      </w:r>
      <w:r>
        <w:rPr>
          <w:spacing w:val="-1"/>
          <w:sz w:val="21"/>
          <w:shd w:fill="D9D9D9" w:color="auto" w:val="clear"/>
        </w:rPr>
        <w:t>（见</w:t>
      </w:r>
      <w:r>
        <w:rPr>
          <w:sz w:val="21"/>
          <w:shd w:fill="D9D9D9" w:color="auto" w:val="clear"/>
        </w:rPr>
        <w:t>7</w:t>
      </w:r>
      <w:r>
        <w:rPr>
          <w:spacing w:val="-1"/>
          <w:sz w:val="21"/>
          <w:shd w:fill="D9D9D9" w:color="auto" w:val="clear"/>
        </w:rPr>
        <w:t>.</w:t>
      </w:r>
      <w:r>
        <w:rPr>
          <w:sz w:val="21"/>
          <w:shd w:fill="D9D9D9" w:color="auto" w:val="clear"/>
        </w:rPr>
        <w:t>1</w:t>
      </w:r>
      <w:r>
        <w:rPr>
          <w:spacing w:val="-1"/>
          <w:sz w:val="21"/>
          <w:shd w:fill="D9D9D9" w:color="auto" w:val="clear"/>
        </w:rPr>
        <w:t>9</w:t>
      </w:r>
      <w:r>
        <w:rPr>
          <w:spacing w:val="-105"/>
          <w:sz w:val="21"/>
          <w:shd w:fill="D9D9D9" w:color="auto" w:val="clear"/>
        </w:rPr>
        <w:t>）</w:t>
      </w:r>
      <w:r>
        <w:rPr>
          <w:sz w:val="21"/>
          <w:shd w:fill="D9D9D9" w:color="auto" w:val="clear"/>
        </w:rPr>
        <w:t>；</w:t>
      </w:r>
    </w:p>
    <w:p>
      <w:pPr>
        <w:spacing w:before="7"/>
        <w:ind w:left="2980" w:right="0" w:firstLine="0"/>
        <w:jc w:val="left"/>
        <w:rPr>
          <w:sz w:val="21"/>
        </w:rPr>
      </w:pPr>
      <w:r>
        <w:rPr>
          <w:sz w:val="21"/>
          <w:shd w:fill="D9D9D9" w:color="auto" w:val="clear"/>
        </w:rPr>
        <w:t>（5）</w:t>
      </w:r>
      <w:r>
        <w:rPr>
          <w:spacing w:val="-1"/>
          <w:sz w:val="21"/>
          <w:shd w:fill="D9D9D9" w:color="auto" w:val="clear"/>
        </w:rPr>
        <w:t>被保险人</w:t>
      </w:r>
      <w:r>
        <w:rPr>
          <w:rFonts w:ascii="黑体" w:eastAsia="黑体" w:hint="eastAsia"/>
          <w:b/>
          <w:w w:val="99"/>
          <w:sz w:val="21"/>
          <w:shd w:fill="D9D9D9" w:color="auto" w:val="clear"/>
        </w:rPr>
        <w:t>感染艾滋病病毒或患艾滋病</w:t>
      </w:r>
      <w:r>
        <w:rPr>
          <w:sz w:val="21"/>
          <w:shd w:fill="D9D9D9" w:color="auto" w:val="clear"/>
        </w:rPr>
        <w:t>（见</w:t>
      </w:r>
      <w:r>
        <w:rPr>
          <w:spacing w:val="-1"/>
          <w:sz w:val="21"/>
          <w:shd w:fill="D9D9D9" w:color="auto" w:val="clear"/>
        </w:rPr>
        <w:t>7</w:t>
      </w:r>
      <w:r>
        <w:rPr>
          <w:sz w:val="21"/>
          <w:shd w:fill="D9D9D9" w:color="auto" w:val="clear"/>
        </w:rPr>
        <w:t>.</w:t>
      </w:r>
      <w:r>
        <w:rPr>
          <w:spacing w:val="-1"/>
          <w:sz w:val="21"/>
          <w:shd w:fill="D9D9D9" w:color="auto" w:val="clear"/>
        </w:rPr>
        <w:t>2</w:t>
      </w:r>
      <w:r>
        <w:rPr>
          <w:sz w:val="21"/>
          <w:shd w:fill="D9D9D9" w:color="auto" w:val="clear"/>
        </w:rPr>
        <w:t>0</w:t>
      </w:r>
      <w:r>
        <w:rPr>
          <w:spacing w:val="-105"/>
          <w:sz w:val="21"/>
          <w:shd w:fill="D9D9D9" w:color="auto" w:val="clear"/>
        </w:rPr>
        <w:t>）</w:t>
      </w:r>
      <w:r>
        <w:rPr>
          <w:sz w:val="21"/>
          <w:shd w:fill="D9D9D9" w:color="auto" w:val="clear"/>
        </w:rPr>
        <w:t>；</w:t>
      </w:r>
    </w:p>
    <w:p>
      <w:pPr>
        <w:pStyle w:val="BodyText"/>
        <w:spacing w:before="37"/>
        <w:ind w:left="2980"/>
      </w:pPr>
      <w:r>
        <w:rPr>
          <w:shd w:fill="D9D9D9" w:color="auto" w:val="clear"/>
        </w:rPr>
        <w:t>（6）战争、军事冲突、暴乱或武装叛乱；</w:t>
      </w:r>
    </w:p>
    <w:p>
      <w:pPr>
        <w:pStyle w:val="BodyText"/>
        <w:spacing w:before="37"/>
        <w:ind w:left="2980"/>
      </w:pPr>
      <w:r>
        <w:rPr>
          <w:shd w:fill="D9D9D9" w:color="auto" w:val="clear"/>
        </w:rPr>
        <w:t>（7）核爆炸、核辐射或核污染；</w:t>
      </w:r>
    </w:p>
    <w:p>
      <w:pPr>
        <w:spacing w:line="273" w:lineRule="auto" w:before="37"/>
        <w:ind w:left="2980" w:right="213" w:firstLine="0"/>
        <w:jc w:val="left"/>
        <w:rPr>
          <w:sz w:val="21"/>
        </w:rPr>
      </w:pPr>
      <w:r>
        <w:rPr>
          <w:sz w:val="21"/>
          <w:shd w:fill="D9D9D9" w:color="auto" w:val="clear"/>
        </w:rPr>
        <w:t>（8</w:t>
      </w:r>
      <w:r>
        <w:rPr>
          <w:spacing w:val="-2"/>
          <w:sz w:val="21"/>
          <w:shd w:fill="D9D9D9" w:color="auto" w:val="clear"/>
        </w:rPr>
        <w:t>）</w:t>
      </w:r>
      <w:r>
        <w:rPr>
          <w:rFonts w:ascii="黑体" w:eastAsia="黑体" w:hint="eastAsia"/>
          <w:b/>
          <w:spacing w:val="0"/>
          <w:w w:val="99"/>
          <w:sz w:val="21"/>
          <w:shd w:fill="D9D9D9" w:color="auto" w:val="clear"/>
        </w:rPr>
        <w:t>遗传性疾病</w:t>
      </w:r>
      <w:r>
        <w:rPr>
          <w:sz w:val="21"/>
          <w:shd w:fill="D9D9D9" w:color="auto" w:val="clear"/>
        </w:rPr>
        <w:t>（见</w:t>
      </w:r>
      <w:r>
        <w:rPr>
          <w:spacing w:val="-1"/>
          <w:sz w:val="21"/>
          <w:shd w:fill="D9D9D9" w:color="auto" w:val="clear"/>
        </w:rPr>
        <w:t>7</w:t>
      </w:r>
      <w:r>
        <w:rPr>
          <w:sz w:val="21"/>
          <w:shd w:fill="D9D9D9" w:color="auto" w:val="clear"/>
        </w:rPr>
        <w:t>.</w:t>
      </w:r>
      <w:r>
        <w:rPr>
          <w:spacing w:val="-1"/>
          <w:sz w:val="21"/>
          <w:shd w:fill="D9D9D9" w:color="auto" w:val="clear"/>
        </w:rPr>
        <w:t>2</w:t>
      </w:r>
      <w:r>
        <w:rPr>
          <w:sz w:val="21"/>
          <w:shd w:fill="D9D9D9" w:color="auto" w:val="clear"/>
        </w:rPr>
        <w:t>1</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先天性畸形、变形或染色体异常</w:t>
      </w:r>
      <w:r>
        <w:rPr>
          <w:sz w:val="21"/>
          <w:shd w:fill="D9D9D9" w:color="auto" w:val="clear"/>
        </w:rPr>
        <w:t>（</w:t>
      </w:r>
      <w:r>
        <w:rPr>
          <w:spacing w:val="-2"/>
          <w:sz w:val="21"/>
          <w:shd w:fill="D9D9D9" w:color="auto" w:val="clear"/>
        </w:rPr>
        <w:t>见</w:t>
      </w:r>
      <w:r>
        <w:rPr>
          <w:sz w:val="21"/>
          <w:shd w:fill="D9D9D9" w:color="auto" w:val="clear"/>
        </w:rPr>
        <w:t>7</w:t>
      </w:r>
      <w:r>
        <w:rPr>
          <w:spacing w:val="-1"/>
          <w:sz w:val="21"/>
          <w:shd w:fill="D9D9D9" w:color="auto" w:val="clear"/>
        </w:rPr>
        <w:t>.</w:t>
      </w:r>
      <w:r>
        <w:rPr>
          <w:sz w:val="21"/>
          <w:shd w:fill="D9D9D9" w:color="auto" w:val="clear"/>
        </w:rPr>
        <w:t>2</w:t>
      </w:r>
      <w:r>
        <w:rPr>
          <w:spacing w:val="-1"/>
          <w:sz w:val="21"/>
          <w:shd w:fill="D9D9D9" w:color="auto" w:val="clear"/>
        </w:rPr>
        <w:t>2</w:t>
      </w:r>
      <w:r>
        <w:rPr>
          <w:spacing w:val="-106"/>
          <w:sz w:val="21"/>
          <w:shd w:fill="D9D9D9" w:color="auto" w:val="clear"/>
        </w:rPr>
        <w:t>）</w:t>
      </w:r>
      <w:r>
        <w:rPr>
          <w:sz w:val="21"/>
          <w:shd w:fill="D9D9D9" w:color="auto" w:val="clear"/>
        </w:rPr>
        <w:t>。</w:t>
      </w:r>
      <w:r>
        <w:rPr>
          <w:spacing w:val="1"/>
          <w:sz w:val="21"/>
          <w:shd w:fill="D9D9D9" w:color="auto" w:val="clear"/>
        </w:rPr>
        <w:t> </w:t>
      </w:r>
      <w:r>
        <w:rPr>
          <w:sz w:val="21"/>
          <w:shd w:fill="D9D9D9" w:color="auto" w:val="clear"/>
        </w:rPr>
        <w:t>发生上述第（1）项情形导致被保险人初次发生重大疾病的，本公司对该被保</w:t>
      </w:r>
    </w:p>
    <w:p>
      <w:pPr>
        <w:pStyle w:val="BodyText"/>
        <w:spacing w:line="273" w:lineRule="auto" w:before="7"/>
        <w:ind w:left="2980" w:right="112"/>
      </w:pPr>
      <w:r>
        <w:rPr>
          <w:spacing w:val="-3"/>
          <w:shd w:fill="D9D9D9" w:color="auto" w:val="clear"/>
        </w:rPr>
        <w:t>险人保险责任终止，并向该被保险人退还其对应的未满期</w:t>
      </w:r>
      <w:r>
        <w:rPr>
          <w:rFonts w:ascii="黑体" w:eastAsia="黑体" w:hint="eastAsia"/>
          <w:b/>
          <w:spacing w:val="-4"/>
          <w:w w:val="99"/>
          <w:shd w:fill="D9D9D9" w:color="auto" w:val="clear"/>
        </w:rPr>
        <w:t>净保险费</w:t>
      </w:r>
      <w:r>
        <w:rPr>
          <w:spacing w:val="-3"/>
          <w:shd w:fill="D9D9D9" w:color="auto" w:val="clear"/>
        </w:rPr>
        <w:t>（</w:t>
      </w:r>
      <w:r>
        <w:rPr>
          <w:shd w:fill="D9D9D9" w:color="auto" w:val="clear"/>
        </w:rPr>
        <w:t>见7</w:t>
      </w:r>
      <w:r>
        <w:rPr>
          <w:spacing w:val="-1"/>
          <w:shd w:fill="D9D9D9" w:color="auto" w:val="clear"/>
        </w:rPr>
        <w:t>.</w:t>
      </w:r>
      <w:r>
        <w:rPr>
          <w:shd w:fill="D9D9D9" w:color="auto" w:val="clear"/>
        </w:rPr>
        <w:t>2</w:t>
      </w:r>
      <w:r>
        <w:rPr>
          <w:spacing w:val="-1"/>
          <w:shd w:fill="D9D9D9" w:color="auto" w:val="clear"/>
        </w:rPr>
        <w:t>3</w:t>
      </w:r>
      <w:r>
        <w:rPr>
          <w:spacing w:val="-105"/>
          <w:shd w:fill="D9D9D9" w:color="auto" w:val="clear"/>
        </w:rPr>
        <w:t>）</w:t>
      </w:r>
      <w:r>
        <w:rPr>
          <w:shd w:fill="D9D9D9" w:color="auto" w:val="clear"/>
        </w:rPr>
        <w:t>。</w:t>
      </w:r>
      <w:r>
        <w:rPr>
          <w:spacing w:val="-2"/>
          <w:shd w:fill="D9D9D9" w:color="auto" w:val="clear"/>
        </w:rPr>
        <w:t>发生上述其他情形导致被保险人初次发生重大疾病的，本公司对该被保险人保险责任终止，并向投保人退还该被保险人对应的未满期净保险费。</w:t>
      </w:r>
    </w:p>
    <w:p>
      <w:pPr>
        <w:pStyle w:val="BodyText"/>
        <w:rPr>
          <w:sz w:val="20"/>
        </w:rPr>
      </w:pPr>
    </w:p>
    <w:p>
      <w:pPr>
        <w:pStyle w:val="BodyText"/>
        <w:spacing w:before="8"/>
        <w:rPr>
          <w:sz w:val="15"/>
        </w:rPr>
      </w:pPr>
    </w:p>
    <w:p>
      <w:pPr>
        <w:pStyle w:val="Heading2"/>
        <w:numPr>
          <w:ilvl w:val="0"/>
          <w:numId w:val="7"/>
        </w:numPr>
        <w:tabs>
          <w:tab w:pos="1070" w:val="left" w:leader="none"/>
          <w:tab w:pos="1071" w:val="left" w:leader="none"/>
        </w:tabs>
        <w:spacing w:line="240" w:lineRule="auto" w:before="0" w:after="0"/>
        <w:ind w:left="1070" w:right="0" w:hanging="850"/>
        <w:jc w:val="left"/>
        <w:rPr>
          <w:rFonts w:ascii="宋体" w:eastAsia="宋体" w:hint="eastAsia"/>
          <w:sz w:val="40"/>
        </w:rPr>
      </w:pPr>
      <w:r>
        <w:rPr/>
        <w:pict>
          <v:group style="position:absolute;margin-left:48.599998pt;margin-top:31.699688pt;width:504pt;height:1pt;mso-position-horizontal-relative:page;mso-position-vertical-relative:paragraph;z-index:1120;mso-wrap-distance-left:0;mso-wrap-distance-right:0" coordorigin="972,634" coordsize="10080,20">
            <v:line style="position:absolute" from="972,644" to="3751,644" stroked="true" strokeweight=".95999pt" strokecolor="#000000">
              <v:stroke dashstyle="solid"/>
            </v:line>
            <v:line style="position:absolute" from="3751,644" to="11052,644" stroked="true" strokeweight=".96pt" strokecolor="#000000">
              <v:stroke dashstyle="solid"/>
            </v:line>
            <w10:wrap type="topAndBottom"/>
          </v:group>
        </w:pict>
      </w:r>
      <w:r>
        <w:rPr>
          <w:rFonts w:ascii="宋体" w:eastAsia="宋体" w:hint="eastAsia"/>
        </w:rPr>
        <w:t>如何申请领取保险金</w:t>
      </w:r>
    </w:p>
    <w:p>
      <w:pPr>
        <w:pStyle w:val="BodyText"/>
        <w:spacing w:before="5"/>
        <w:rPr>
          <w:b/>
          <w:sz w:val="17"/>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68"/>
        <w:gridCol w:w="7296"/>
      </w:tblGrid>
      <w:tr>
        <w:trPr>
          <w:trHeight w:val="371" w:hRule="atLeast"/>
        </w:trPr>
        <w:tc>
          <w:tcPr>
            <w:tcW w:w="634" w:type="dxa"/>
          </w:tcPr>
          <w:p>
            <w:pPr>
              <w:pStyle w:val="TableParagraph"/>
              <w:spacing w:line="210" w:lineRule="exact"/>
              <w:ind w:left="50"/>
              <w:rPr>
                <w:b/>
                <w:sz w:val="21"/>
              </w:rPr>
            </w:pPr>
            <w:r>
              <w:rPr>
                <w:b/>
                <w:sz w:val="21"/>
              </w:rPr>
              <w:t>3.1</w:t>
            </w:r>
          </w:p>
        </w:tc>
        <w:tc>
          <w:tcPr>
            <w:tcW w:w="2068" w:type="dxa"/>
          </w:tcPr>
          <w:p>
            <w:pPr>
              <w:pStyle w:val="TableParagraph"/>
              <w:spacing w:line="210" w:lineRule="exact"/>
              <w:ind w:left="266"/>
              <w:rPr>
                <w:b/>
                <w:sz w:val="21"/>
              </w:rPr>
            </w:pPr>
            <w:r>
              <w:rPr>
                <w:b/>
                <w:w w:val="95"/>
                <w:sz w:val="21"/>
              </w:rPr>
              <w:t>受益人</w:t>
            </w:r>
          </w:p>
        </w:tc>
        <w:tc>
          <w:tcPr>
            <w:tcW w:w="7296" w:type="dxa"/>
          </w:tcPr>
          <w:p>
            <w:pPr>
              <w:pStyle w:val="TableParagraph"/>
              <w:spacing w:line="210" w:lineRule="exact"/>
              <w:ind w:left="108"/>
              <w:rPr>
                <w:sz w:val="21"/>
              </w:rPr>
            </w:pPr>
            <w:r>
              <w:rPr>
                <w:sz w:val="21"/>
              </w:rPr>
              <w:t>重大疾病保险金受益人为被保险人本人。</w:t>
            </w:r>
          </w:p>
        </w:tc>
      </w:tr>
      <w:tr>
        <w:trPr>
          <w:trHeight w:val="436" w:hRule="atLeast"/>
        </w:trPr>
        <w:tc>
          <w:tcPr>
            <w:tcW w:w="634" w:type="dxa"/>
          </w:tcPr>
          <w:p>
            <w:pPr>
              <w:pStyle w:val="TableParagraph"/>
              <w:spacing w:before="103"/>
              <w:ind w:left="50"/>
              <w:rPr>
                <w:b/>
                <w:sz w:val="21"/>
              </w:rPr>
            </w:pPr>
            <w:r>
              <w:rPr>
                <w:b/>
                <w:sz w:val="21"/>
              </w:rPr>
              <w:t>3.2</w:t>
            </w:r>
          </w:p>
        </w:tc>
        <w:tc>
          <w:tcPr>
            <w:tcW w:w="2068" w:type="dxa"/>
          </w:tcPr>
          <w:p>
            <w:pPr>
              <w:pStyle w:val="TableParagraph"/>
              <w:spacing w:before="103"/>
              <w:ind w:left="267"/>
              <w:rPr>
                <w:b/>
                <w:sz w:val="21"/>
              </w:rPr>
            </w:pPr>
            <w:r>
              <w:rPr>
                <w:b/>
                <w:w w:val="95"/>
                <w:sz w:val="21"/>
              </w:rPr>
              <w:t>保险事故通知</w:t>
            </w:r>
          </w:p>
        </w:tc>
        <w:tc>
          <w:tcPr>
            <w:tcW w:w="7296" w:type="dxa"/>
          </w:tcPr>
          <w:p>
            <w:pPr>
              <w:pStyle w:val="TableParagraph"/>
              <w:spacing w:before="103"/>
              <w:ind w:left="108"/>
              <w:rPr>
                <w:sz w:val="21"/>
              </w:rPr>
            </w:pPr>
            <w:r>
              <w:rPr>
                <w:sz w:val="21"/>
              </w:rPr>
              <w:t>请投保人或受益人在知道保险事故发生后</w:t>
            </w:r>
            <w:r>
              <w:rPr>
                <w:rFonts w:ascii="Times New Roman" w:eastAsia="Times New Roman"/>
                <w:sz w:val="21"/>
              </w:rPr>
              <w:t>10</w:t>
            </w:r>
            <w:r>
              <w:rPr>
                <w:sz w:val="21"/>
              </w:rPr>
              <w:t>日内通知本公司。</w:t>
            </w:r>
          </w:p>
        </w:tc>
      </w:tr>
      <w:tr>
        <w:trPr>
          <w:trHeight w:val="304" w:hRule="atLeast"/>
        </w:trPr>
        <w:tc>
          <w:tcPr>
            <w:tcW w:w="634" w:type="dxa"/>
          </w:tcPr>
          <w:p>
            <w:pPr>
              <w:pStyle w:val="TableParagraph"/>
              <w:rPr>
                <w:rFonts w:ascii="Times New Roman"/>
                <w:sz w:val="20"/>
              </w:rPr>
            </w:pPr>
          </w:p>
        </w:tc>
        <w:tc>
          <w:tcPr>
            <w:tcW w:w="2068" w:type="dxa"/>
          </w:tcPr>
          <w:p>
            <w:pPr>
              <w:pStyle w:val="TableParagraph"/>
              <w:rPr>
                <w:rFonts w:ascii="Times New Roman"/>
                <w:sz w:val="20"/>
              </w:rPr>
            </w:pPr>
          </w:p>
        </w:tc>
        <w:tc>
          <w:tcPr>
            <w:tcW w:w="7296" w:type="dxa"/>
          </w:tcPr>
          <w:p>
            <w:pPr>
              <w:pStyle w:val="TableParagraph"/>
              <w:spacing w:line="253" w:lineRule="exact"/>
              <w:ind w:left="108"/>
              <w:rPr>
                <w:sz w:val="21"/>
              </w:rPr>
            </w:pPr>
            <w:r>
              <w:rPr>
                <w:sz w:val="21"/>
                <w:shd w:fill="D9D9D9" w:color="auto" w:val="clear"/>
              </w:rPr>
              <w:t>如果投保人或受益人故意或者因重大过失未及时通知，致使保险事故的性质、</w:t>
            </w:r>
          </w:p>
        </w:tc>
      </w:tr>
      <w:tr>
        <w:trPr>
          <w:trHeight w:val="312" w:hRule="atLeast"/>
        </w:trPr>
        <w:tc>
          <w:tcPr>
            <w:tcW w:w="634" w:type="dxa"/>
          </w:tcPr>
          <w:p>
            <w:pPr>
              <w:pStyle w:val="TableParagraph"/>
              <w:rPr>
                <w:rFonts w:ascii="Times New Roman"/>
                <w:sz w:val="20"/>
              </w:rPr>
            </w:pPr>
          </w:p>
        </w:tc>
        <w:tc>
          <w:tcPr>
            <w:tcW w:w="2068" w:type="dxa"/>
          </w:tcPr>
          <w:p>
            <w:pPr>
              <w:pStyle w:val="TableParagraph"/>
              <w:rPr>
                <w:rFonts w:ascii="Times New Roman"/>
                <w:sz w:val="20"/>
              </w:rPr>
            </w:pPr>
          </w:p>
        </w:tc>
        <w:tc>
          <w:tcPr>
            <w:tcW w:w="7296" w:type="dxa"/>
          </w:tcPr>
          <w:p>
            <w:pPr>
              <w:pStyle w:val="TableParagraph"/>
              <w:spacing w:line="261" w:lineRule="exact"/>
              <w:ind w:left="108"/>
              <w:rPr>
                <w:sz w:val="21"/>
              </w:rPr>
            </w:pPr>
            <w:r>
              <w:rPr>
                <w:sz w:val="21"/>
                <w:shd w:fill="D9D9D9" w:color="auto" w:val="clear"/>
              </w:rPr>
              <w:t>原因、伤害程度等难以确定的，本公司对无法确定的部分，不承担给付保险金</w:t>
            </w:r>
          </w:p>
        </w:tc>
      </w:tr>
      <w:tr>
        <w:trPr>
          <w:trHeight w:val="311" w:hRule="atLeast"/>
        </w:trPr>
        <w:tc>
          <w:tcPr>
            <w:tcW w:w="634" w:type="dxa"/>
          </w:tcPr>
          <w:p>
            <w:pPr>
              <w:pStyle w:val="TableParagraph"/>
              <w:rPr>
                <w:rFonts w:ascii="Times New Roman"/>
                <w:sz w:val="20"/>
              </w:rPr>
            </w:pPr>
          </w:p>
        </w:tc>
        <w:tc>
          <w:tcPr>
            <w:tcW w:w="2068" w:type="dxa"/>
          </w:tcPr>
          <w:p>
            <w:pPr>
              <w:pStyle w:val="TableParagraph"/>
              <w:rPr>
                <w:rFonts w:ascii="Times New Roman"/>
                <w:sz w:val="20"/>
              </w:rPr>
            </w:pPr>
          </w:p>
        </w:tc>
        <w:tc>
          <w:tcPr>
            <w:tcW w:w="7296" w:type="dxa"/>
          </w:tcPr>
          <w:p>
            <w:pPr>
              <w:pStyle w:val="TableParagraph"/>
              <w:spacing w:line="261" w:lineRule="exact"/>
              <w:ind w:left="108"/>
              <w:rPr>
                <w:sz w:val="21"/>
              </w:rPr>
            </w:pPr>
            <w:r>
              <w:rPr>
                <w:sz w:val="21"/>
                <w:shd w:fill="D9D9D9" w:color="auto" w:val="clear"/>
              </w:rPr>
              <w:t>的责任</w:t>
            </w:r>
            <w:r>
              <w:rPr>
                <w:sz w:val="21"/>
              </w:rPr>
              <w:t>，但本公司通过其他途径已经及时知道或者应当及时知道保险事故发</w:t>
            </w:r>
          </w:p>
        </w:tc>
      </w:tr>
      <w:tr>
        <w:trPr>
          <w:trHeight w:val="311" w:hRule="atLeast"/>
        </w:trPr>
        <w:tc>
          <w:tcPr>
            <w:tcW w:w="634" w:type="dxa"/>
          </w:tcPr>
          <w:p>
            <w:pPr>
              <w:pStyle w:val="TableParagraph"/>
              <w:rPr>
                <w:rFonts w:ascii="Times New Roman"/>
                <w:sz w:val="20"/>
              </w:rPr>
            </w:pPr>
          </w:p>
        </w:tc>
        <w:tc>
          <w:tcPr>
            <w:tcW w:w="2068" w:type="dxa"/>
          </w:tcPr>
          <w:p>
            <w:pPr>
              <w:pStyle w:val="TableParagraph"/>
              <w:rPr>
                <w:rFonts w:ascii="Times New Roman"/>
                <w:sz w:val="20"/>
              </w:rPr>
            </w:pPr>
          </w:p>
        </w:tc>
        <w:tc>
          <w:tcPr>
            <w:tcW w:w="7296" w:type="dxa"/>
          </w:tcPr>
          <w:p>
            <w:pPr>
              <w:pStyle w:val="TableParagraph"/>
              <w:spacing w:line="261" w:lineRule="exact"/>
              <w:ind w:left="108"/>
              <w:rPr>
                <w:sz w:val="21"/>
              </w:rPr>
            </w:pPr>
            <w:r>
              <w:rPr>
                <w:sz w:val="21"/>
              </w:rPr>
              <w:t>生，或者投保人或受益人虽未及时通知但不影响本公司确定保险事故的性质、</w:t>
            </w:r>
          </w:p>
        </w:tc>
      </w:tr>
      <w:tr>
        <w:trPr>
          <w:trHeight w:val="425" w:hRule="atLeast"/>
        </w:trPr>
        <w:tc>
          <w:tcPr>
            <w:tcW w:w="634" w:type="dxa"/>
          </w:tcPr>
          <w:p>
            <w:pPr>
              <w:pStyle w:val="TableParagraph"/>
              <w:rPr>
                <w:rFonts w:ascii="Times New Roman"/>
                <w:sz w:val="20"/>
              </w:rPr>
            </w:pPr>
          </w:p>
        </w:tc>
        <w:tc>
          <w:tcPr>
            <w:tcW w:w="2068" w:type="dxa"/>
          </w:tcPr>
          <w:p>
            <w:pPr>
              <w:pStyle w:val="TableParagraph"/>
              <w:rPr>
                <w:rFonts w:ascii="Times New Roman"/>
                <w:sz w:val="20"/>
              </w:rPr>
            </w:pPr>
          </w:p>
        </w:tc>
        <w:tc>
          <w:tcPr>
            <w:tcW w:w="7296" w:type="dxa"/>
          </w:tcPr>
          <w:p>
            <w:pPr>
              <w:pStyle w:val="TableParagraph"/>
              <w:spacing w:line="261" w:lineRule="exact"/>
              <w:ind w:left="108"/>
              <w:rPr>
                <w:sz w:val="21"/>
              </w:rPr>
            </w:pPr>
            <w:r>
              <w:rPr>
                <w:sz w:val="21"/>
              </w:rPr>
              <w:t>原因、伤害程度的除外。</w:t>
            </w:r>
          </w:p>
        </w:tc>
      </w:tr>
      <w:tr>
        <w:trPr>
          <w:trHeight w:val="530" w:hRule="atLeast"/>
        </w:trPr>
        <w:tc>
          <w:tcPr>
            <w:tcW w:w="634" w:type="dxa"/>
          </w:tcPr>
          <w:p>
            <w:pPr>
              <w:pStyle w:val="TableParagraph"/>
              <w:spacing w:before="99"/>
              <w:ind w:left="50"/>
              <w:rPr>
                <w:b/>
                <w:sz w:val="21"/>
              </w:rPr>
            </w:pPr>
            <w:r>
              <w:rPr>
                <w:b/>
                <w:sz w:val="21"/>
              </w:rPr>
              <w:t>3.3</w:t>
            </w:r>
          </w:p>
        </w:tc>
        <w:tc>
          <w:tcPr>
            <w:tcW w:w="2068" w:type="dxa"/>
          </w:tcPr>
          <w:p>
            <w:pPr>
              <w:pStyle w:val="TableParagraph"/>
              <w:spacing w:before="99"/>
              <w:ind w:left="266"/>
              <w:rPr>
                <w:b/>
                <w:sz w:val="21"/>
              </w:rPr>
            </w:pPr>
            <w:r>
              <w:rPr>
                <w:b/>
                <w:w w:val="95"/>
                <w:sz w:val="21"/>
              </w:rPr>
              <w:t>保险金申请</w:t>
            </w:r>
          </w:p>
        </w:tc>
        <w:tc>
          <w:tcPr>
            <w:tcW w:w="7296" w:type="dxa"/>
          </w:tcPr>
          <w:p>
            <w:pPr>
              <w:pStyle w:val="TableParagraph"/>
              <w:spacing w:before="99"/>
              <w:ind w:left="108"/>
              <w:rPr>
                <w:sz w:val="21"/>
              </w:rPr>
            </w:pPr>
            <w:r>
              <w:rPr>
                <w:sz w:val="21"/>
              </w:rPr>
              <w:t>在申请保险金时，请按照下列方式办理：</w:t>
            </w:r>
          </w:p>
        </w:tc>
      </w:tr>
      <w:tr>
        <w:trPr>
          <w:trHeight w:val="1058" w:hRule="atLeast"/>
        </w:trPr>
        <w:tc>
          <w:tcPr>
            <w:tcW w:w="634" w:type="dxa"/>
          </w:tcPr>
          <w:p>
            <w:pPr>
              <w:pStyle w:val="TableParagraph"/>
              <w:rPr>
                <w:rFonts w:ascii="Times New Roman"/>
                <w:sz w:val="20"/>
              </w:rPr>
            </w:pPr>
          </w:p>
        </w:tc>
        <w:tc>
          <w:tcPr>
            <w:tcW w:w="2068" w:type="dxa"/>
          </w:tcPr>
          <w:p>
            <w:pPr>
              <w:pStyle w:val="TableParagraph"/>
              <w:spacing w:line="182" w:lineRule="auto" w:before="91"/>
              <w:ind w:left="266" w:right="103"/>
              <w:rPr>
                <w:rFonts w:ascii="Microsoft JhengHei" w:eastAsia="Microsoft JhengHei" w:hint="eastAsia"/>
                <w:b/>
                <w:sz w:val="24"/>
              </w:rPr>
            </w:pPr>
            <w:r>
              <w:rPr>
                <w:rFonts w:ascii="Microsoft JhengHei" w:eastAsia="Microsoft JhengHei" w:hint="eastAsia"/>
                <w:b/>
                <w:sz w:val="24"/>
              </w:rPr>
              <w:t>重大疾病保险金申请</w:t>
            </w:r>
          </w:p>
        </w:tc>
        <w:tc>
          <w:tcPr>
            <w:tcW w:w="7296" w:type="dxa"/>
          </w:tcPr>
          <w:p>
            <w:pPr>
              <w:pStyle w:val="TableParagraph"/>
              <w:spacing w:before="108"/>
              <w:ind w:left="108"/>
              <w:rPr>
                <w:sz w:val="21"/>
              </w:rPr>
            </w:pPr>
            <w:r>
              <w:rPr>
                <w:sz w:val="21"/>
              </w:rPr>
              <w:t>由重大疾病保险金受益人填写保险金给付申请书，并提供下列证明和资料：</w:t>
            </w:r>
          </w:p>
          <w:p>
            <w:pPr>
              <w:pStyle w:val="TableParagraph"/>
              <w:spacing w:before="37"/>
              <w:ind w:left="108"/>
              <w:rPr>
                <w:sz w:val="21"/>
              </w:rPr>
            </w:pPr>
            <w:r>
              <w:rPr>
                <w:sz w:val="21"/>
              </w:rPr>
              <w:t>（</w:t>
            </w:r>
            <w:r>
              <w:rPr>
                <w:rFonts w:ascii="Times New Roman" w:eastAsia="Times New Roman"/>
                <w:sz w:val="21"/>
              </w:rPr>
              <w:t>1</w:t>
            </w:r>
            <w:r>
              <w:rPr>
                <w:sz w:val="21"/>
              </w:rPr>
              <w:t>）投保人提供的被保险人参保证明或其他保险凭证；</w:t>
            </w:r>
          </w:p>
          <w:p>
            <w:pPr>
              <w:pStyle w:val="TableParagraph"/>
              <w:spacing w:before="21"/>
              <w:ind w:left="108"/>
              <w:rPr>
                <w:sz w:val="21"/>
              </w:rPr>
            </w:pPr>
            <w:r>
              <w:rPr>
                <w:sz w:val="21"/>
              </w:rPr>
              <w:t>（2）受益人的有效身份证件；</w:t>
            </w:r>
          </w:p>
        </w:tc>
      </w:tr>
      <w:tr>
        <w:trPr>
          <w:trHeight w:val="260" w:hRule="atLeast"/>
        </w:trPr>
        <w:tc>
          <w:tcPr>
            <w:tcW w:w="634" w:type="dxa"/>
          </w:tcPr>
          <w:p>
            <w:pPr>
              <w:pStyle w:val="TableParagraph"/>
              <w:rPr>
                <w:rFonts w:ascii="Times New Roman"/>
                <w:sz w:val="18"/>
              </w:rPr>
            </w:pPr>
          </w:p>
        </w:tc>
        <w:tc>
          <w:tcPr>
            <w:tcW w:w="2068" w:type="dxa"/>
          </w:tcPr>
          <w:p>
            <w:pPr>
              <w:pStyle w:val="TableParagraph"/>
              <w:rPr>
                <w:rFonts w:ascii="Times New Roman"/>
                <w:sz w:val="18"/>
              </w:rPr>
            </w:pPr>
          </w:p>
        </w:tc>
        <w:tc>
          <w:tcPr>
            <w:tcW w:w="7296" w:type="dxa"/>
          </w:tcPr>
          <w:p>
            <w:pPr>
              <w:pStyle w:val="TableParagraph"/>
              <w:spacing w:line="241" w:lineRule="exact"/>
              <w:ind w:left="108"/>
              <w:rPr>
                <w:sz w:val="21"/>
              </w:rPr>
            </w:pPr>
            <w:r>
              <w:rPr>
                <w:sz w:val="21"/>
              </w:rPr>
              <w:t>（3）医院出具的诊断证明、病历及检查报告，或本公司认可的其他证明或资</w:t>
            </w:r>
          </w:p>
        </w:tc>
      </w:tr>
    </w:tbl>
    <w:p>
      <w:pPr>
        <w:spacing w:after="0" w:line="241" w:lineRule="exact"/>
        <w:rPr>
          <w:sz w:val="21"/>
        </w:rPr>
        <w:sectPr>
          <w:headerReference w:type="default" r:id="rId9"/>
          <w:pgSz w:w="11910" w:h="16840"/>
          <w:pgMar w:header="594" w:footer="666" w:top="820" w:bottom="860" w:left="860" w:right="740"/>
        </w:sectPr>
      </w:pPr>
    </w:p>
    <w:p>
      <w:pPr>
        <w:pStyle w:val="BodyText"/>
        <w:rPr>
          <w:b/>
          <w:sz w:val="20"/>
        </w:rPr>
      </w:pPr>
    </w:p>
    <w:p>
      <w:pPr>
        <w:pStyle w:val="BodyText"/>
        <w:spacing w:before="5"/>
        <w:rPr>
          <w:b/>
          <w:sz w:val="22"/>
        </w:rPr>
      </w:pPr>
    </w:p>
    <w:p>
      <w:pPr>
        <w:pStyle w:val="BodyText"/>
        <w:spacing w:before="35"/>
        <w:ind w:left="3505"/>
      </w:pPr>
      <w:r>
        <w:rPr/>
        <w:t>料；</w:t>
      </w:r>
    </w:p>
    <w:p>
      <w:pPr>
        <w:pStyle w:val="BodyText"/>
        <w:spacing w:line="273" w:lineRule="auto" w:before="37"/>
        <w:ind w:left="3505" w:right="213" w:hanging="526"/>
      </w:pPr>
      <w:r>
        <w:rPr/>
        <w:t>（4）所能提供的与确认保险事故的性质、原因、伤害程度等有关的其他证明和资料。</w:t>
      </w:r>
    </w:p>
    <w:p>
      <w:pPr>
        <w:pStyle w:val="BodyText"/>
        <w:spacing w:before="5"/>
        <w:rPr>
          <w:sz w:val="24"/>
        </w:rPr>
      </w:pPr>
    </w:p>
    <w:p>
      <w:pPr>
        <w:pStyle w:val="BodyText"/>
        <w:spacing w:line="273" w:lineRule="auto" w:before="1"/>
        <w:ind w:left="2979" w:right="218"/>
        <w:jc w:val="both"/>
      </w:pPr>
      <w:r>
        <w:rPr>
          <w:spacing w:val="-3"/>
        </w:rPr>
        <w:t>受益人申请保险金时，如提供的以上证明和资料不完整，本公司将及时一次性通知受益人补充提供有关证明和资料。</w:t>
      </w:r>
    </w:p>
    <w:p>
      <w:pPr>
        <w:pStyle w:val="BodyText"/>
        <w:spacing w:before="5"/>
        <w:rPr>
          <w:sz w:val="24"/>
        </w:rPr>
      </w:pPr>
    </w:p>
    <w:p>
      <w:pPr>
        <w:pStyle w:val="ListParagraph"/>
        <w:numPr>
          <w:ilvl w:val="1"/>
          <w:numId w:val="8"/>
        </w:numPr>
        <w:tabs>
          <w:tab w:pos="1070" w:val="left" w:leader="none"/>
          <w:tab w:pos="1072" w:val="left" w:leader="none"/>
          <w:tab w:pos="2979" w:val="left" w:leader="none"/>
        </w:tabs>
        <w:spacing w:line="256" w:lineRule="auto" w:before="1" w:after="0"/>
        <w:ind w:left="2979" w:right="213" w:hanging="2760"/>
        <w:jc w:val="left"/>
        <w:rPr>
          <w:sz w:val="21"/>
        </w:rPr>
      </w:pPr>
      <w:r>
        <w:rPr>
          <w:b/>
          <w:sz w:val="21"/>
        </w:rPr>
        <w:t>保险金的给付</w:t>
        <w:tab/>
      </w:r>
      <w:r>
        <w:rPr>
          <w:sz w:val="21"/>
        </w:rPr>
        <w:t>本公司在收到保险金给付申请书及上述有关证明和资料后，将在</w:t>
      </w:r>
      <w:r>
        <w:rPr>
          <w:rFonts w:ascii="Times New Roman" w:eastAsia="Times New Roman"/>
          <w:sz w:val="21"/>
        </w:rPr>
        <w:t>5</w:t>
      </w:r>
      <w:r>
        <w:rPr>
          <w:sz w:val="21"/>
        </w:rPr>
        <w:t>日内作出核 </w:t>
      </w:r>
      <w:r>
        <w:rPr>
          <w:spacing w:val="-1"/>
          <w:sz w:val="21"/>
        </w:rPr>
        <w:t>定</w:t>
      </w:r>
      <w:r>
        <w:rPr>
          <w:sz w:val="21"/>
        </w:rPr>
        <w:t>；情形复杂的，在</w:t>
      </w:r>
      <w:r>
        <w:rPr>
          <w:rFonts w:ascii="Times New Roman" w:eastAsia="Times New Roman"/>
          <w:sz w:val="21"/>
        </w:rPr>
        <w:t>30</w:t>
      </w:r>
      <w:r>
        <w:rPr>
          <w:sz w:val="21"/>
        </w:rPr>
        <w:t>日内作出核定。另有约定的按约定内容执行。</w:t>
      </w:r>
    </w:p>
    <w:p>
      <w:pPr>
        <w:pStyle w:val="BodyText"/>
        <w:spacing w:line="268" w:lineRule="auto" w:before="5"/>
        <w:ind w:left="2979" w:right="182"/>
        <w:jc w:val="both"/>
      </w:pPr>
      <w:r>
        <w:rPr/>
        <w:t>对属于保险责任的，本公司在与受益人达成给付保险金的协议后</w:t>
      </w:r>
      <w:r>
        <w:rPr>
          <w:rFonts w:ascii="Times New Roman" w:eastAsia="Times New Roman"/>
        </w:rPr>
        <w:t>10</w:t>
      </w:r>
      <w:r>
        <w:rPr/>
        <w:t>日内，履行给付保险金义务。若我们在收齐相关证明和资料后30日内仍未作出核定，除支付保险金外，我们将从第31日起按超过天数赔偿受益人因此受到的利息损失。利息按照我们公示的利率按单利计算，且保证该利率不低于中国人民银行公布的同期金融机构人民币活期存款基准利率。</w:t>
      </w:r>
    </w:p>
    <w:p>
      <w:pPr>
        <w:pStyle w:val="BodyText"/>
        <w:spacing w:line="256" w:lineRule="auto" w:before="12"/>
        <w:ind w:left="2979" w:right="213"/>
        <w:jc w:val="both"/>
      </w:pPr>
      <w:r>
        <w:rPr/>
        <w:t>对不属于保险责任的，本公司自作出核定之日起</w:t>
      </w:r>
      <w:r>
        <w:rPr>
          <w:rFonts w:ascii="Times New Roman" w:eastAsia="Times New Roman"/>
        </w:rPr>
        <w:t>3</w:t>
      </w:r>
      <w:r>
        <w:rPr/>
        <w:t>日内向受益人发出拒绝给付保险金通知书并说明理由。</w:t>
      </w:r>
    </w:p>
    <w:p>
      <w:pPr>
        <w:pStyle w:val="BodyText"/>
        <w:spacing w:line="264" w:lineRule="auto" w:before="22"/>
        <w:ind w:left="2979" w:right="218"/>
        <w:jc w:val="both"/>
      </w:pPr>
      <w:r>
        <w:rPr/>
        <w:t>本公司在收到保险金给付申请书及有关证明和资料之日起</w:t>
      </w:r>
      <w:r>
        <w:rPr>
          <w:rFonts w:ascii="Times New Roman" w:eastAsia="Times New Roman"/>
        </w:rPr>
        <w:t>60</w:t>
      </w:r>
      <w:r>
        <w:rPr>
          <w:spacing w:val="-6"/>
        </w:rPr>
        <w:t>日内，对给付保险</w:t>
      </w:r>
      <w:r>
        <w:rPr>
          <w:spacing w:val="-9"/>
        </w:rPr>
        <w:t>金的数额不能确定的，根据已有证明和资料可以确定的数额先予支付；本公司最终确定给付保险金的数额后，将支付相应的差额。</w:t>
      </w:r>
    </w:p>
    <w:p>
      <w:pPr>
        <w:pStyle w:val="BodyText"/>
        <w:spacing w:before="6"/>
        <w:rPr>
          <w:sz w:val="18"/>
        </w:rPr>
      </w:pPr>
    </w:p>
    <w:p>
      <w:pPr>
        <w:pStyle w:val="ListParagraph"/>
        <w:numPr>
          <w:ilvl w:val="1"/>
          <w:numId w:val="8"/>
        </w:numPr>
        <w:tabs>
          <w:tab w:pos="1070" w:val="left" w:leader="none"/>
          <w:tab w:pos="1071" w:val="left" w:leader="none"/>
          <w:tab w:pos="2979" w:val="left" w:leader="none"/>
        </w:tabs>
        <w:spacing w:line="256" w:lineRule="auto" w:before="1" w:after="0"/>
        <w:ind w:left="2980" w:right="213" w:hanging="2761"/>
        <w:jc w:val="left"/>
        <w:rPr>
          <w:sz w:val="21"/>
        </w:rPr>
      </w:pPr>
      <w:r>
        <w:rPr>
          <w:b/>
          <w:sz w:val="21"/>
        </w:rPr>
        <w:t>诉讼时效</w:t>
        <w:tab/>
      </w:r>
      <w:r>
        <w:rPr>
          <w:sz w:val="21"/>
        </w:rPr>
        <w:t>受益人向本公司请求给付保险金的诉讼时效期间为</w:t>
      </w:r>
      <w:r>
        <w:rPr>
          <w:rFonts w:ascii="Times New Roman" w:eastAsia="Times New Roman"/>
          <w:sz w:val="21"/>
        </w:rPr>
        <w:t>2</w:t>
      </w:r>
      <w:r>
        <w:rPr>
          <w:sz w:val="21"/>
        </w:rPr>
        <w:t>年，自其知道或者应当知 道保险事故发生之日起计算。</w:t>
      </w:r>
    </w:p>
    <w:p>
      <w:pPr>
        <w:pStyle w:val="BodyText"/>
        <w:rPr>
          <w:sz w:val="20"/>
        </w:rPr>
      </w:pPr>
    </w:p>
    <w:p>
      <w:pPr>
        <w:pStyle w:val="BodyText"/>
        <w:spacing w:before="10"/>
        <w:rPr>
          <w:sz w:val="16"/>
        </w:rPr>
      </w:pPr>
    </w:p>
    <w:p>
      <w:pPr>
        <w:pStyle w:val="Heading2"/>
        <w:numPr>
          <w:ilvl w:val="0"/>
          <w:numId w:val="8"/>
        </w:numPr>
        <w:tabs>
          <w:tab w:pos="1070" w:val="left" w:leader="none"/>
          <w:tab w:pos="1071" w:val="left" w:leader="none"/>
        </w:tabs>
        <w:spacing w:line="240" w:lineRule="auto" w:before="0" w:after="0"/>
        <w:ind w:left="1070" w:right="0" w:hanging="850"/>
        <w:jc w:val="left"/>
        <w:rPr>
          <w:rFonts w:ascii="宋体" w:eastAsia="宋体" w:hint="eastAsia"/>
          <w:sz w:val="40"/>
        </w:rPr>
      </w:pPr>
      <w:r>
        <w:rPr/>
        <w:pict>
          <v:group style="position:absolute;margin-left:48.599998pt;margin-top:31.699669pt;width:504pt;height:1pt;mso-position-horizontal-relative:page;mso-position-vertical-relative:paragraph;z-index:1144;mso-wrap-distance-left:0;mso-wrap-distance-right:0" coordorigin="972,634" coordsize="10080,20">
            <v:line style="position:absolute" from="972,644" to="3751,644" stroked="true" strokeweight=".95999pt" strokecolor="#000000">
              <v:stroke dashstyle="solid"/>
            </v:line>
            <v:line style="position:absolute" from="3751,644" to="11052,644" stroked="true" strokeweight=".96pt" strokecolor="#000000">
              <v:stroke dashstyle="solid"/>
            </v:line>
            <w10:wrap type="topAndBottom"/>
          </v:group>
        </w:pict>
      </w:r>
      <w:r>
        <w:rPr>
          <w:rFonts w:ascii="宋体" w:eastAsia="宋体" w:hint="eastAsia"/>
        </w:rPr>
        <w:t>如何支付保险费</w:t>
      </w:r>
    </w:p>
    <w:p>
      <w:pPr>
        <w:pStyle w:val="BodyText"/>
        <w:spacing w:before="11"/>
        <w:rPr>
          <w:b/>
          <w:sz w:val="9"/>
        </w:rPr>
      </w:pPr>
    </w:p>
    <w:p>
      <w:pPr>
        <w:tabs>
          <w:tab w:pos="1070" w:val="left" w:leader="none"/>
          <w:tab w:pos="2979" w:val="left" w:leader="none"/>
        </w:tabs>
        <w:spacing w:line="271" w:lineRule="auto" w:before="36"/>
        <w:ind w:left="2980" w:right="218" w:hanging="2761"/>
        <w:jc w:val="left"/>
        <w:rPr>
          <w:sz w:val="21"/>
        </w:rPr>
      </w:pPr>
      <w:r>
        <w:rPr>
          <w:b/>
          <w:position w:val="5"/>
          <w:sz w:val="21"/>
        </w:rPr>
        <w:t>4.1</w:t>
        <w:tab/>
        <w:t>保险费的支付</w:t>
        <w:tab/>
      </w:r>
      <w:r>
        <w:rPr>
          <w:sz w:val="21"/>
        </w:rPr>
        <w:t>本主险合同的保险费需要投保人在投保时一次交清</w:t>
      </w:r>
      <w:r>
        <w:rPr>
          <w:spacing w:val="-36"/>
          <w:sz w:val="21"/>
        </w:rPr>
        <w:t>。</w:t>
      </w:r>
      <w:r>
        <w:rPr>
          <w:sz w:val="21"/>
        </w:rPr>
        <w:t>另有约定的按约定内容执行。</w:t>
      </w:r>
    </w:p>
    <w:p>
      <w:pPr>
        <w:pStyle w:val="BodyText"/>
        <w:rPr>
          <w:sz w:val="20"/>
        </w:rPr>
      </w:pPr>
    </w:p>
    <w:p>
      <w:pPr>
        <w:pStyle w:val="BodyText"/>
        <w:spacing w:before="11"/>
        <w:rPr>
          <w:sz w:val="15"/>
        </w:rPr>
      </w:pPr>
    </w:p>
    <w:p>
      <w:pPr>
        <w:pStyle w:val="Heading2"/>
        <w:numPr>
          <w:ilvl w:val="0"/>
          <w:numId w:val="8"/>
        </w:numPr>
        <w:tabs>
          <w:tab w:pos="1070" w:val="left" w:leader="none"/>
          <w:tab w:pos="1071" w:val="left" w:leader="none"/>
        </w:tabs>
        <w:spacing w:line="240" w:lineRule="auto" w:before="0" w:after="0"/>
        <w:ind w:left="1070" w:right="0" w:hanging="850"/>
        <w:jc w:val="left"/>
        <w:rPr>
          <w:rFonts w:ascii="宋体" w:eastAsia="宋体" w:hint="eastAsia"/>
          <w:sz w:val="40"/>
        </w:rPr>
      </w:pPr>
      <w:r>
        <w:rPr/>
        <w:pict>
          <v:group style="position:absolute;margin-left:48.599998pt;margin-top:31.69965pt;width:504pt;height:1pt;mso-position-horizontal-relative:page;mso-position-vertical-relative:paragraph;z-index:1168;mso-wrap-distance-left:0;mso-wrap-distance-right:0" coordorigin="972,634" coordsize="10080,20">
            <v:line style="position:absolute" from="972,644" to="3751,644" stroked="true" strokeweight=".96002pt" strokecolor="#000000">
              <v:stroke dashstyle="solid"/>
            </v:line>
            <v:line style="position:absolute" from="3751,644" to="11052,644" stroked="true" strokeweight=".96pt" strokecolor="#000000">
              <v:stroke dashstyle="solid"/>
            </v:line>
            <w10:wrap type="topAndBottom"/>
          </v:group>
        </w:pict>
      </w:r>
      <w:r>
        <w:rPr>
          <w:rFonts w:ascii="宋体" w:eastAsia="宋体" w:hint="eastAsia"/>
        </w:rPr>
        <w:t>如何解除保险合同</w:t>
      </w:r>
    </w:p>
    <w:p>
      <w:pPr>
        <w:pStyle w:val="BodyText"/>
        <w:spacing w:before="10"/>
        <w:rPr>
          <w:b/>
          <w:sz w:val="9"/>
        </w:rPr>
      </w:pPr>
    </w:p>
    <w:p>
      <w:pPr>
        <w:spacing w:after="0"/>
        <w:rPr>
          <w:sz w:val="9"/>
        </w:rPr>
        <w:sectPr>
          <w:pgSz w:w="11910" w:h="16840"/>
          <w:pgMar w:header="594" w:footer="666" w:top="820" w:bottom="860" w:left="860" w:right="740"/>
        </w:sectPr>
      </w:pPr>
    </w:p>
    <w:p>
      <w:pPr>
        <w:pStyle w:val="Heading3"/>
        <w:tabs>
          <w:tab w:pos="1070" w:val="left" w:leader="none"/>
        </w:tabs>
        <w:spacing w:line="273" w:lineRule="auto" w:before="35"/>
        <w:ind w:left="1070" w:hanging="851"/>
      </w:pPr>
      <w:r>
        <w:rPr/>
        <w:t>5.1</w:t>
        <w:tab/>
        <w:t>投保人解除合同的 手续</w:t>
      </w:r>
    </w:p>
    <w:p>
      <w:pPr>
        <w:pStyle w:val="BodyText"/>
        <w:spacing w:line="273" w:lineRule="auto" w:before="35"/>
        <w:ind w:left="173" w:right="163"/>
      </w:pPr>
      <w:r>
        <w:rPr/>
        <w:br w:type="column"/>
      </w:r>
      <w:r>
        <w:rPr/>
        <w:t>如投保人申请解除本主险合同，须填写解除合同申请书并向本公司提供下列资料：</w:t>
      </w:r>
    </w:p>
    <w:p>
      <w:pPr>
        <w:pStyle w:val="BodyText"/>
        <w:spacing w:before="7"/>
        <w:ind w:left="173"/>
      </w:pPr>
      <w:r>
        <w:rPr/>
        <w:t>（1）保险合同；</w:t>
      </w:r>
    </w:p>
    <w:p>
      <w:pPr>
        <w:pStyle w:val="BodyText"/>
        <w:spacing w:line="273" w:lineRule="auto" w:before="37"/>
        <w:ind w:left="699" w:right="213" w:hanging="526"/>
      </w:pPr>
      <w:r>
        <w:rPr/>
        <w:t>（2）投保人出具的加盖投保人法人公章（如果投保人不是法人，则为投保人单位公章）的投保人授权书；</w:t>
      </w:r>
    </w:p>
    <w:p>
      <w:pPr>
        <w:pStyle w:val="BodyText"/>
        <w:spacing w:before="8"/>
        <w:ind w:left="173"/>
      </w:pPr>
      <w:r>
        <w:rPr/>
        <w:t>（3）经办人的有效身份证件或有效身份证明。</w:t>
      </w:r>
    </w:p>
    <w:p>
      <w:pPr>
        <w:pStyle w:val="BodyText"/>
        <w:spacing w:line="273" w:lineRule="auto" w:before="37"/>
        <w:ind w:left="173" w:right="163"/>
      </w:pPr>
      <w:r>
        <w:rPr/>
        <w:t>自本公司收到解除合同申请书时起，本主险合同终止。本公司自收到解除合同申请书之日起</w:t>
      </w:r>
      <w:r>
        <w:rPr>
          <w:rFonts w:ascii="Times New Roman" w:eastAsia="Times New Roman"/>
        </w:rPr>
        <w:t>30</w:t>
      </w:r>
      <w:r>
        <w:rPr/>
        <w:t>日内向投保人退还本主险合同的未满期净保险费。</w:t>
      </w:r>
    </w:p>
    <w:p>
      <w:pPr>
        <w:spacing w:after="0" w:line="273" w:lineRule="auto"/>
        <w:sectPr>
          <w:type w:val="continuous"/>
          <w:pgSz w:w="11910" w:h="16840"/>
          <w:pgMar w:top="760" w:bottom="860" w:left="860" w:right="740"/>
          <w:cols w:num="2" w:equalWidth="0">
            <w:col w:w="2767" w:space="40"/>
            <w:col w:w="7503"/>
          </w:cols>
        </w:sectPr>
      </w:pPr>
    </w:p>
    <w:p>
      <w:pPr>
        <w:pStyle w:val="BodyText"/>
        <w:rPr>
          <w:sz w:val="20"/>
        </w:rPr>
      </w:pPr>
    </w:p>
    <w:p>
      <w:pPr>
        <w:pStyle w:val="BodyText"/>
        <w:spacing w:before="10"/>
        <w:rPr>
          <w:sz w:val="15"/>
        </w:rPr>
      </w:pPr>
    </w:p>
    <w:p>
      <w:pPr>
        <w:pStyle w:val="Heading2"/>
        <w:numPr>
          <w:ilvl w:val="0"/>
          <w:numId w:val="8"/>
        </w:numPr>
        <w:tabs>
          <w:tab w:pos="1070" w:val="left" w:leader="none"/>
          <w:tab w:pos="1071" w:val="left" w:leader="none"/>
        </w:tabs>
        <w:spacing w:line="502" w:lineRule="exact" w:before="0" w:after="0"/>
        <w:ind w:left="1070" w:right="0" w:hanging="850"/>
        <w:jc w:val="left"/>
        <w:rPr>
          <w:rFonts w:ascii="宋体" w:eastAsia="宋体" w:hint="eastAsia"/>
          <w:sz w:val="40"/>
        </w:rPr>
      </w:pPr>
      <w:r>
        <w:rPr/>
        <w:pict>
          <v:group style="position:absolute;margin-left:48.599998pt;margin-top:30.644453pt;width:504pt;height:1pt;mso-position-horizontal-relative:page;mso-position-vertical-relative:paragraph;z-index:1192;mso-wrap-distance-left:0;mso-wrap-distance-right:0" coordorigin="972,613" coordsize="10080,20">
            <v:line style="position:absolute" from="972,622" to="3751,622" stroked="true" strokeweight=".95999pt" strokecolor="#000000">
              <v:stroke dashstyle="solid"/>
            </v:line>
            <v:line style="position:absolute" from="3751,622" to="11052,622" stroked="true" strokeweight=".96pt" strokecolor="#000000">
              <v:stroke dashstyle="solid"/>
            </v:line>
            <w10:wrap type="topAndBottom"/>
          </v:group>
        </w:pict>
      </w:r>
      <w:r>
        <w:rPr>
          <w:rFonts w:ascii="宋体" w:eastAsia="宋体" w:hint="eastAsia"/>
        </w:rPr>
        <w:t>其他需要关注的事项</w:t>
      </w:r>
    </w:p>
    <w:p>
      <w:pPr>
        <w:spacing w:after="0" w:line="502" w:lineRule="exact"/>
        <w:jc w:val="left"/>
        <w:rPr>
          <w:rFonts w:ascii="宋体" w:eastAsia="宋体" w:hint="eastAsia"/>
          <w:sz w:val="40"/>
        </w:rPr>
        <w:sectPr>
          <w:type w:val="continuous"/>
          <w:pgSz w:w="11910" w:h="16840"/>
          <w:pgMar w:top="760" w:bottom="860" w:left="860" w:right="740"/>
        </w:sectPr>
      </w:pPr>
    </w:p>
    <w:p>
      <w:pPr>
        <w:pStyle w:val="BodyText"/>
        <w:rPr>
          <w:b/>
          <w:sz w:val="20"/>
        </w:rPr>
      </w:pPr>
    </w:p>
    <w:p>
      <w:pPr>
        <w:pStyle w:val="BodyText"/>
        <w:spacing w:before="5"/>
        <w:rPr>
          <w:b/>
          <w:sz w:val="22"/>
        </w:rPr>
      </w:pPr>
    </w:p>
    <w:p>
      <w:pPr>
        <w:spacing w:after="0"/>
        <w:rPr>
          <w:sz w:val="22"/>
        </w:rPr>
        <w:sectPr>
          <w:pgSz w:w="11910" w:h="16840"/>
          <w:pgMar w:header="594" w:footer="666" w:top="820" w:bottom="860" w:left="940" w:right="740"/>
        </w:sectPr>
      </w:pPr>
    </w:p>
    <w:p>
      <w:pPr>
        <w:pStyle w:val="Heading3"/>
        <w:numPr>
          <w:ilvl w:val="1"/>
          <w:numId w:val="9"/>
        </w:numPr>
        <w:tabs>
          <w:tab w:pos="991" w:val="left" w:leader="none"/>
          <w:tab w:pos="992" w:val="left" w:leader="none"/>
        </w:tabs>
        <w:spacing w:line="273" w:lineRule="auto" w:before="35" w:after="0"/>
        <w:ind w:left="990" w:right="0" w:hanging="850"/>
        <w:jc w:val="left"/>
      </w:pPr>
      <w:r>
        <w:rPr/>
        <w:t>明确说明与如实告知</w:t>
      </w:r>
    </w:p>
    <w:p>
      <w:pPr>
        <w:pStyle w:val="BodyText"/>
        <w:spacing w:line="273" w:lineRule="auto" w:before="35"/>
        <w:ind w:left="140" w:right="113"/>
      </w:pPr>
      <w:r>
        <w:rPr/>
        <w:br w:type="column"/>
      </w:r>
      <w:r>
        <w:rPr>
          <w:spacing w:val="-3"/>
        </w:rPr>
        <w:t>订立本主险合同时，本公司会向投保人说明本主险合同的内容。对本主险合同</w:t>
      </w:r>
      <w:r>
        <w:rPr>
          <w:spacing w:val="-6"/>
        </w:rPr>
        <w:t>中免除本公司责任的条款，本公司在订立合同时会在投保单、保险单或者其他</w:t>
      </w:r>
      <w:r>
        <w:rPr>
          <w:spacing w:val="-8"/>
        </w:rPr>
        <w:t>保险凭证上作出足以引起投保人注意的提示，并对该条款的内容以书面或者口</w:t>
      </w:r>
      <w:r>
        <w:rPr>
          <w:spacing w:val="-16"/>
        </w:rPr>
        <w:t>头形式向投保人作出明确说明，未作提示或者明确说明的，该条款不产生效力。本公司就投保人和被保险人的有关情况提出询问，投保人应当如实告知。</w:t>
      </w:r>
    </w:p>
    <w:p>
      <w:pPr>
        <w:pStyle w:val="BodyText"/>
        <w:spacing w:line="273" w:lineRule="auto" w:before="7"/>
        <w:ind w:left="140" w:right="218"/>
        <w:jc w:val="both"/>
      </w:pPr>
      <w:r>
        <w:rPr>
          <w:spacing w:val="-2"/>
          <w:shd w:fill="D9D9D9" w:color="auto" w:val="clear"/>
        </w:rPr>
        <w:t>如果投保人故意或者因重大过失未履行前款规定的如实告知义务，足以影响本</w:t>
      </w:r>
      <w:r>
        <w:rPr>
          <w:spacing w:val="-4"/>
          <w:shd w:fill="D9D9D9" w:color="auto" w:val="clear"/>
        </w:rPr>
        <w:t>公司决定是否同意承保或者提高保险费率的，本公司有权解除本主险合同或取消该被保险人的保险资格。</w:t>
      </w:r>
    </w:p>
    <w:p>
      <w:pPr>
        <w:pStyle w:val="BodyText"/>
        <w:spacing w:line="273" w:lineRule="auto" w:before="7"/>
        <w:ind w:left="140" w:right="218"/>
        <w:jc w:val="both"/>
      </w:pPr>
      <w:r>
        <w:rPr>
          <w:spacing w:val="-3"/>
          <w:shd w:fill="D9D9D9" w:color="auto" w:val="clear"/>
        </w:rPr>
        <w:t>如果投保人故意不履行如实告知义务，对于解除本主险合同或取消该被保险人</w:t>
      </w:r>
      <w:r>
        <w:rPr>
          <w:spacing w:val="-5"/>
          <w:shd w:fill="D9D9D9" w:color="auto" w:val="clear"/>
        </w:rPr>
        <w:t>的保险资格前发生的保险事故，本公司不承担给付保险金的责任</w:t>
      </w:r>
      <w:r>
        <w:rPr>
          <w:spacing w:val="-36"/>
          <w:shd w:fill="D9D9D9" w:color="auto" w:val="clear"/>
        </w:rPr>
        <w:t>，并不退还保险费。</w:t>
      </w:r>
    </w:p>
    <w:p>
      <w:pPr>
        <w:pStyle w:val="BodyText"/>
        <w:spacing w:line="273" w:lineRule="auto" w:before="7"/>
        <w:ind w:left="140" w:right="215"/>
        <w:jc w:val="both"/>
      </w:pPr>
      <w:r>
        <w:rPr>
          <w:spacing w:val="1"/>
          <w:shd w:fill="D9D9D9" w:color="auto" w:val="clear"/>
        </w:rPr>
        <w:t>如果投保人因重大过失未履行如实告知义务，对保险事故的发生有严重影响</w:t>
      </w:r>
      <w:r>
        <w:rPr>
          <w:spacing w:val="-5"/>
          <w:shd w:fill="D9D9D9" w:color="auto" w:val="clear"/>
        </w:rPr>
        <w:t>的，对于解除本主险合同或取消该被保险人的保险资格前发生的保险事故，本公司不承担给付保险金的责任，但应当退还保险费。</w:t>
      </w:r>
    </w:p>
    <w:p>
      <w:pPr>
        <w:pStyle w:val="BodyText"/>
        <w:spacing w:line="273" w:lineRule="auto" w:before="7"/>
        <w:ind w:left="140" w:right="218"/>
        <w:jc w:val="both"/>
      </w:pPr>
      <w:r>
        <w:rPr>
          <w:spacing w:val="-2"/>
        </w:rPr>
        <w:t>本公司在合同订立时已经知道投保人未如实告知的情况的，本公司不得解除本</w:t>
      </w:r>
      <w:r>
        <w:rPr>
          <w:spacing w:val="-4"/>
        </w:rPr>
        <w:t>主险合同或取消该被保险人的保险资格；发生保险事故的，本公司承担给付保险金的责任。</w:t>
      </w:r>
    </w:p>
    <w:p>
      <w:pPr>
        <w:spacing w:after="0" w:line="273" w:lineRule="auto"/>
        <w:jc w:val="both"/>
        <w:sectPr>
          <w:type w:val="continuous"/>
          <w:pgSz w:w="11910" w:h="16840"/>
          <w:pgMar w:top="760" w:bottom="860" w:left="940" w:right="740"/>
          <w:cols w:num="2" w:equalWidth="0">
            <w:col w:w="2684" w:space="76"/>
            <w:col w:w="7470"/>
          </w:cols>
        </w:sectPr>
      </w:pPr>
    </w:p>
    <w:p>
      <w:pPr>
        <w:pStyle w:val="BodyText"/>
        <w:spacing w:before="2"/>
        <w:rPr>
          <w:sz w:val="15"/>
        </w:rPr>
      </w:pPr>
    </w:p>
    <w:p>
      <w:pPr>
        <w:spacing w:after="0"/>
        <w:rPr>
          <w:sz w:val="15"/>
        </w:rPr>
        <w:sectPr>
          <w:type w:val="continuous"/>
          <w:pgSz w:w="11910" w:h="16840"/>
          <w:pgMar w:top="760" w:bottom="860" w:left="940" w:right="740"/>
        </w:sectPr>
      </w:pPr>
    </w:p>
    <w:p>
      <w:pPr>
        <w:pStyle w:val="Heading3"/>
        <w:numPr>
          <w:ilvl w:val="1"/>
          <w:numId w:val="9"/>
        </w:numPr>
        <w:tabs>
          <w:tab w:pos="990" w:val="left" w:leader="none"/>
          <w:tab w:pos="991" w:val="left" w:leader="none"/>
        </w:tabs>
        <w:spacing w:line="273" w:lineRule="auto" w:before="36" w:after="0"/>
        <w:ind w:left="990" w:right="0" w:hanging="851"/>
        <w:jc w:val="left"/>
      </w:pPr>
      <w:r>
        <w:rPr/>
        <w:t>本公司合同解除权的限制</w:t>
      </w:r>
    </w:p>
    <w:p>
      <w:pPr>
        <w:pStyle w:val="BodyText"/>
        <w:spacing w:line="273" w:lineRule="auto" w:before="36"/>
        <w:ind w:left="139" w:right="163"/>
      </w:pPr>
      <w:r>
        <w:rPr/>
        <w:br w:type="column"/>
      </w:r>
      <w:r>
        <w:rPr/>
        <w:t>前款规定的合同解除权，自我们知道有解除事由之日起，超过 30 日不行使而消灭。</w:t>
      </w:r>
    </w:p>
    <w:p>
      <w:pPr>
        <w:spacing w:after="0" w:line="273" w:lineRule="auto"/>
        <w:sectPr>
          <w:type w:val="continuous"/>
          <w:pgSz w:w="11910" w:h="16840"/>
          <w:pgMar w:top="760" w:bottom="860" w:left="940" w:right="740"/>
          <w:cols w:num="2" w:equalWidth="0">
            <w:col w:w="2687" w:space="73"/>
            <w:col w:w="7470"/>
          </w:cols>
        </w:sectPr>
      </w:pPr>
    </w:p>
    <w:p>
      <w:pPr>
        <w:pStyle w:val="BodyText"/>
        <w:spacing w:before="3"/>
        <w:rPr>
          <w:sz w:val="15"/>
        </w:rPr>
      </w:pPr>
    </w:p>
    <w:p>
      <w:pPr>
        <w:pStyle w:val="ListParagraph"/>
        <w:numPr>
          <w:ilvl w:val="1"/>
          <w:numId w:val="9"/>
        </w:numPr>
        <w:tabs>
          <w:tab w:pos="990" w:val="left" w:leader="none"/>
          <w:tab w:pos="991" w:val="left" w:leader="none"/>
          <w:tab w:pos="2899" w:val="left" w:leader="none"/>
        </w:tabs>
        <w:spacing w:line="240" w:lineRule="auto" w:before="35" w:after="0"/>
        <w:ind w:left="990" w:right="0" w:hanging="851"/>
        <w:jc w:val="left"/>
        <w:rPr>
          <w:sz w:val="21"/>
        </w:rPr>
      </w:pPr>
      <w:r>
        <w:rPr>
          <w:b/>
          <w:sz w:val="21"/>
        </w:rPr>
        <w:t>被保险人变动</w:t>
        <w:tab/>
      </w:r>
      <w:r>
        <w:rPr>
          <w:sz w:val="21"/>
        </w:rPr>
        <w:t>（1）投保人需增加被保险人的，应书面通知本公司，本公司审核同意并收取</w:t>
      </w:r>
    </w:p>
    <w:p>
      <w:pPr>
        <w:pStyle w:val="BodyText"/>
        <w:spacing w:line="273" w:lineRule="auto" w:before="37"/>
        <w:ind w:left="3425" w:right="216"/>
        <w:jc w:val="both"/>
      </w:pPr>
      <w:r>
        <w:rPr/>
        <w:t>相应保险费后，开始承担保险责任。对该新增被保险人的保险期间在保险单或其他保险凭证上载明，其等待期自该被保险人的保险期间起始之日开始计算。</w:t>
      </w:r>
    </w:p>
    <w:p>
      <w:pPr>
        <w:pStyle w:val="BodyText"/>
        <w:spacing w:line="268" w:lineRule="auto" w:before="8"/>
        <w:ind w:left="3425" w:right="213" w:hanging="526"/>
        <w:jc w:val="both"/>
      </w:pPr>
      <w:r>
        <w:rPr/>
        <w:t>（2）投保人需要减少被保险人的，应书面通知本公司。本公司对该被保险人的保险责任自投保人书面通知到达本公司之日的二十四时起终止；投保人在通知书中载明的变动被保险人日期如果晚于通知书送达本公司的日期，对该被保险人的保险责任自通知书中载明的变动被保险人日期的零时起终止，本公司自收到解除合同申请书之日起</w:t>
      </w:r>
      <w:r>
        <w:rPr>
          <w:rFonts w:ascii="Times New Roman" w:eastAsia="Times New Roman"/>
        </w:rPr>
        <w:t>30</w:t>
      </w:r>
      <w:r>
        <w:rPr/>
        <w:t>日内向投保人退还该被保险人对应的未满期净保险费。</w:t>
      </w:r>
    </w:p>
    <w:p>
      <w:pPr>
        <w:pStyle w:val="BodyText"/>
        <w:spacing w:line="273" w:lineRule="auto" w:before="12"/>
        <w:ind w:left="3425" w:right="213" w:hanging="526"/>
        <w:jc w:val="both"/>
      </w:pPr>
      <w:r>
        <w:rPr/>
        <w:t>（3）团体的参保人数或参保成员占团体中符合参保条件的成员总数的比例不符合国务院保险监督管理机构的相关规定时，本公司有权解除本主险合同，并向投保人退还未满期净保险费。</w:t>
      </w:r>
    </w:p>
    <w:p>
      <w:pPr>
        <w:pStyle w:val="BodyText"/>
        <w:spacing w:before="9"/>
        <w:rPr>
          <w:sz w:val="14"/>
        </w:rPr>
      </w:pPr>
    </w:p>
    <w:p>
      <w:pPr>
        <w:spacing w:after="0"/>
        <w:rPr>
          <w:sz w:val="14"/>
        </w:rPr>
        <w:sectPr>
          <w:type w:val="continuous"/>
          <w:pgSz w:w="11910" w:h="16840"/>
          <w:pgMar w:top="760" w:bottom="860" w:left="940" w:right="740"/>
        </w:sectPr>
      </w:pPr>
    </w:p>
    <w:p>
      <w:pPr>
        <w:pStyle w:val="Heading3"/>
        <w:numPr>
          <w:ilvl w:val="1"/>
          <w:numId w:val="9"/>
        </w:numPr>
        <w:tabs>
          <w:tab w:pos="990" w:val="left" w:leader="none"/>
          <w:tab w:pos="991" w:val="left" w:leader="none"/>
        </w:tabs>
        <w:spacing w:line="273" w:lineRule="auto" w:before="42" w:after="0"/>
        <w:ind w:left="990" w:right="0" w:hanging="851"/>
        <w:jc w:val="left"/>
      </w:pPr>
      <w:r>
        <w:rPr/>
        <w:t>职业或者工种的确定与变更</w:t>
      </w:r>
    </w:p>
    <w:p>
      <w:pPr>
        <w:pStyle w:val="BodyText"/>
        <w:spacing w:line="256" w:lineRule="auto" w:before="42"/>
        <w:ind w:left="139" w:right="219"/>
        <w:jc w:val="both"/>
      </w:pPr>
      <w:r>
        <w:rPr/>
        <w:br w:type="column"/>
      </w:r>
      <w:r>
        <w:rPr>
          <w:spacing w:val="-2"/>
        </w:rPr>
        <w:t>投保人变更行业或被保险人变更职业或工种时，投保人应于</w:t>
      </w:r>
      <w:r>
        <w:rPr>
          <w:rFonts w:ascii="Times New Roman" w:eastAsia="Times New Roman"/>
        </w:rPr>
        <w:t>10</w:t>
      </w:r>
      <w:r>
        <w:rPr/>
        <w:t>日内书面通知本公司。</w:t>
      </w:r>
    </w:p>
    <w:p>
      <w:pPr>
        <w:pStyle w:val="BodyText"/>
        <w:spacing w:line="273" w:lineRule="auto" w:before="22"/>
        <w:ind w:left="139" w:right="218"/>
        <w:jc w:val="both"/>
      </w:pPr>
      <w:r>
        <w:rPr>
          <w:spacing w:val="-2"/>
        </w:rPr>
        <w:t>投保人变更后的行业或被保险人变更后的职业或工种，依照本公司职业分类其</w:t>
      </w:r>
      <w:r>
        <w:rPr>
          <w:spacing w:val="-5"/>
        </w:rPr>
        <w:t>危险程度降低时，本公司自接到通知之日起，根据其危险程度变更后的应收保</w:t>
      </w:r>
      <w:r>
        <w:rPr>
          <w:spacing w:val="-7"/>
        </w:rPr>
        <w:t>险费与实收保险费的差额退还相应的未满期净保险费；其危险程度增加时，本</w:t>
      </w:r>
      <w:r>
        <w:rPr>
          <w:spacing w:val="-10"/>
        </w:rPr>
        <w:t>公司自接到通知之日起，根据其危险程度变更后的应收保险费与实收保险费的</w:t>
      </w:r>
      <w:r>
        <w:rPr>
          <w:spacing w:val="-12"/>
        </w:rPr>
        <w:t>差额收取相应的未满期保险费。投保人变更后的行业或被保险人变更后的职业</w:t>
      </w:r>
      <w:r>
        <w:rPr>
          <w:spacing w:val="-13"/>
        </w:rPr>
        <w:t>或者工种依照本公司职业分类不在本公司承保范围内的，本公司对投保人或对该被保险人的保险责任自接到通知之日起终止，并退还未满期净保险费。</w:t>
      </w:r>
    </w:p>
    <w:p>
      <w:pPr>
        <w:pStyle w:val="BodyText"/>
        <w:spacing w:before="7"/>
        <w:ind w:left="139"/>
        <w:jc w:val="both"/>
      </w:pPr>
      <w:r>
        <w:rPr/>
        <w:t>投保人变更后的行业或被保险人变更后的职业或工种，依照本公司职业分类其</w:t>
      </w:r>
    </w:p>
    <w:p>
      <w:pPr>
        <w:spacing w:after="0"/>
        <w:jc w:val="both"/>
        <w:sectPr>
          <w:type w:val="continuous"/>
          <w:pgSz w:w="11910" w:h="16840"/>
          <w:pgMar w:top="760" w:bottom="860" w:left="940" w:right="740"/>
          <w:cols w:num="2" w:equalWidth="0">
            <w:col w:w="2687" w:space="73"/>
            <w:col w:w="7470"/>
          </w:cols>
        </w:sectPr>
      </w:pPr>
    </w:p>
    <w:p>
      <w:pPr>
        <w:pStyle w:val="BodyText"/>
        <w:rPr>
          <w:sz w:val="20"/>
        </w:rPr>
      </w:pPr>
    </w:p>
    <w:p>
      <w:pPr>
        <w:pStyle w:val="BodyText"/>
        <w:spacing w:before="5"/>
        <w:rPr>
          <w:sz w:val="22"/>
        </w:rPr>
      </w:pPr>
    </w:p>
    <w:p>
      <w:pPr>
        <w:pStyle w:val="BodyText"/>
        <w:spacing w:line="273" w:lineRule="auto" w:before="35"/>
        <w:ind w:left="2980" w:right="213"/>
        <w:jc w:val="both"/>
      </w:pPr>
      <w:r>
        <w:rPr>
          <w:spacing w:val="-2"/>
        </w:rPr>
        <w:t>危险程度增加而未依上述约定通知本公司，且发生保险事故的，本公司按实收保险费与应收保险费的相对比例计算给付保险金,</w:t>
      </w:r>
      <w:r>
        <w:rPr>
          <w:spacing w:val="-2"/>
          <w:shd w:fill="D9D9D9" w:color="auto" w:val="clear"/>
        </w:rPr>
        <w:t>但投保人变更后的行业或被</w:t>
      </w:r>
      <w:r>
        <w:rPr>
          <w:spacing w:val="-4"/>
          <w:shd w:fill="D9D9D9" w:color="auto" w:val="clear"/>
        </w:rPr>
        <w:t>保险人变更后的职业或者工种不在本公司承保范围内的，本公司对发生保险事故的被保险人不承担给付保险金的责任，并不退还其保险费。</w:t>
      </w:r>
    </w:p>
    <w:p>
      <w:pPr>
        <w:pStyle w:val="BodyText"/>
        <w:spacing w:before="9"/>
      </w:pPr>
    </w:p>
    <w:p>
      <w:pPr>
        <w:spacing w:after="0"/>
        <w:sectPr>
          <w:pgSz w:w="11910" w:h="16840"/>
          <w:pgMar w:header="594" w:footer="666" w:top="820" w:bottom="860" w:left="860" w:right="740"/>
        </w:sectPr>
      </w:pPr>
    </w:p>
    <w:p>
      <w:pPr>
        <w:pStyle w:val="Heading3"/>
        <w:numPr>
          <w:ilvl w:val="1"/>
          <w:numId w:val="9"/>
        </w:numPr>
        <w:tabs>
          <w:tab w:pos="1070" w:val="left" w:leader="none"/>
          <w:tab w:pos="1071" w:val="left" w:leader="none"/>
        </w:tabs>
        <w:spacing w:line="273" w:lineRule="auto" w:before="35" w:after="0"/>
        <w:ind w:left="1070" w:right="0" w:hanging="851"/>
        <w:jc w:val="left"/>
      </w:pPr>
      <w:r>
        <w:rPr/>
        <w:t>年龄确定与错误处理</w:t>
      </w:r>
    </w:p>
    <w:p>
      <w:pPr>
        <w:pStyle w:val="BodyText"/>
        <w:spacing w:before="35"/>
        <w:ind w:left="173"/>
      </w:pPr>
      <w:r>
        <w:rPr/>
        <w:br w:type="column"/>
      </w:r>
      <w:r>
        <w:rPr/>
        <w:t>被保险人的年龄以周岁计算。</w:t>
      </w:r>
    </w:p>
    <w:p>
      <w:pPr>
        <w:pStyle w:val="BodyText"/>
        <w:spacing w:line="273" w:lineRule="auto" w:before="36"/>
        <w:ind w:left="173" w:right="163"/>
      </w:pPr>
      <w:r>
        <w:rPr/>
        <w:t>投保人在申请投保时，应将与有效身份证件相符的被保险人的出生日期在投保单或被保险人名册上填明，如果发生错误按照下列方式办理：</w:t>
      </w:r>
    </w:p>
    <w:p>
      <w:pPr>
        <w:pStyle w:val="BodyText"/>
        <w:spacing w:line="268" w:lineRule="auto" w:before="7"/>
        <w:ind w:left="699" w:right="213" w:hanging="526"/>
        <w:jc w:val="both"/>
      </w:pPr>
      <w:r>
        <w:rPr/>
        <w:t>（</w:t>
      </w:r>
      <w:r>
        <w:rPr>
          <w:rFonts w:ascii="Times New Roman" w:hAnsi="Times New Roman" w:eastAsia="Times New Roman"/>
        </w:rPr>
        <w:t>1</w:t>
      </w:r>
      <w:r>
        <w:rPr/>
        <w:t>）</w:t>
      </w:r>
      <w:r>
        <w:rPr>
          <w:shd w:fill="D9D9D9" w:color="auto" w:val="clear"/>
        </w:rPr>
        <w:t>投保人申报的被保险人年龄不真实，并且其真实年龄不符合本主险合同约定投保年龄限制的，本公司有权解除合同或取消该被保险人的保险资格，并向投保人退还该被保险人对应的未满期净保险费。</w:t>
      </w:r>
      <w:r>
        <w:rPr/>
        <w:t>本公司行使合</w:t>
      </w:r>
      <w:r>
        <w:rPr>
          <w:spacing w:val="-202"/>
        </w:rPr>
        <w:t>同</w:t>
      </w:r>
      <w:r>
        <w:rPr/>
        <w:t>解除权适用</w:t>
      </w:r>
      <w:r>
        <w:rPr>
          <w:rFonts w:ascii="Microsoft Sans Serif" w:hAnsi="Microsoft Sans Serif" w:eastAsia="Microsoft Sans Serif"/>
          <w:w w:val="300"/>
        </w:rPr>
        <w:t>“</w:t>
      </w:r>
      <w:r>
        <w:rPr/>
        <w:t>6.2</w:t>
      </w:r>
      <w:r>
        <w:rPr>
          <w:spacing w:val="-1"/>
        </w:rPr>
        <w:t>本公司合同解除权的限制</w:t>
      </w:r>
      <w:r>
        <w:rPr>
          <w:rFonts w:ascii="Microsoft Sans Serif" w:hAnsi="Microsoft Sans Serif" w:eastAsia="Microsoft Sans Serif"/>
          <w:w w:val="300"/>
        </w:rPr>
        <w:t>”</w:t>
      </w:r>
      <w:r>
        <w:rPr/>
        <w:t>的规定。</w:t>
      </w:r>
    </w:p>
    <w:p>
      <w:pPr>
        <w:pStyle w:val="BodyText"/>
        <w:spacing w:line="264" w:lineRule="auto"/>
        <w:ind w:left="699" w:right="112" w:hanging="526"/>
        <w:jc w:val="both"/>
      </w:pPr>
      <w:r>
        <w:rPr/>
        <w:t>（</w:t>
      </w:r>
      <w:r>
        <w:rPr>
          <w:rFonts w:ascii="Times New Roman" w:eastAsia="Times New Roman"/>
        </w:rPr>
        <w:t>2</w:t>
      </w:r>
      <w:r>
        <w:rPr/>
        <w:t>）投保人申报的被保险人年龄不真实，致使投保人实付保险费少于应付保险费的，本公司有权更正并要求投保人补交保险费。若该被保险人已经</w:t>
      </w:r>
      <w:r>
        <w:rPr>
          <w:spacing w:val="-6"/>
        </w:rPr>
        <w:t>发生保险事故，在给付保险金时按实付保险费和应付保险费的比例给付。</w:t>
      </w:r>
    </w:p>
    <w:p>
      <w:pPr>
        <w:pStyle w:val="BodyText"/>
        <w:spacing w:line="256" w:lineRule="auto" w:before="28"/>
        <w:ind w:left="699" w:right="213" w:hanging="526"/>
        <w:jc w:val="both"/>
      </w:pPr>
      <w:r>
        <w:rPr/>
        <w:t>（</w:t>
      </w:r>
      <w:r>
        <w:rPr>
          <w:rFonts w:ascii="Times New Roman" w:eastAsia="Times New Roman"/>
        </w:rPr>
        <w:t>3</w:t>
      </w:r>
      <w:r>
        <w:rPr/>
        <w:t>）投保人申报的被保险人年龄不真实，致使投保人实付保险费多于应付保险费的，本公司会将多收的保险费退还给投保人。</w:t>
      </w:r>
    </w:p>
    <w:p>
      <w:pPr>
        <w:spacing w:after="0" w:line="256" w:lineRule="auto"/>
        <w:jc w:val="both"/>
        <w:sectPr>
          <w:type w:val="continuous"/>
          <w:pgSz w:w="11910" w:h="16840"/>
          <w:pgMar w:top="760" w:bottom="860" w:left="860" w:right="740"/>
          <w:cols w:num="2" w:equalWidth="0">
            <w:col w:w="2767" w:space="40"/>
            <w:col w:w="7503"/>
          </w:cols>
        </w:sectPr>
      </w:pPr>
    </w:p>
    <w:p>
      <w:pPr>
        <w:pStyle w:val="BodyText"/>
        <w:spacing w:before="4"/>
        <w:rPr>
          <w:sz w:val="16"/>
        </w:rPr>
      </w:pPr>
    </w:p>
    <w:p>
      <w:pPr>
        <w:pStyle w:val="ListParagraph"/>
        <w:numPr>
          <w:ilvl w:val="1"/>
          <w:numId w:val="9"/>
        </w:numPr>
        <w:tabs>
          <w:tab w:pos="1071" w:val="left" w:leader="none"/>
        </w:tabs>
        <w:spacing w:line="273" w:lineRule="auto" w:before="35" w:after="0"/>
        <w:ind w:left="2979" w:right="218" w:hanging="2760"/>
        <w:jc w:val="both"/>
        <w:rPr>
          <w:sz w:val="21"/>
        </w:rPr>
      </w:pPr>
      <w:r>
        <w:rPr>
          <w:b/>
          <w:sz w:val="21"/>
        </w:rPr>
        <w:t>合同内容变更     </w:t>
      </w:r>
      <w:r>
        <w:rPr>
          <w:spacing w:val="-3"/>
          <w:sz w:val="21"/>
        </w:rPr>
        <w:t>在本主险合同有效期内，经投保人和本公司协商一致，可以变更本主险合同的</w:t>
      </w:r>
      <w:r>
        <w:rPr>
          <w:spacing w:val="-6"/>
          <w:sz w:val="21"/>
        </w:rPr>
        <w:t>有关内容。变更本主险合同的，应当由本公司在原保险单或者其他保险凭证上批注或者附贴批单，或者由投保人和本公司订立书面的变更协议。</w:t>
      </w:r>
    </w:p>
    <w:p>
      <w:pPr>
        <w:pStyle w:val="BodyText"/>
        <w:spacing w:before="11"/>
        <w:rPr>
          <w:sz w:val="17"/>
        </w:rPr>
      </w:pPr>
    </w:p>
    <w:p>
      <w:pPr>
        <w:pStyle w:val="ListParagraph"/>
        <w:numPr>
          <w:ilvl w:val="1"/>
          <w:numId w:val="9"/>
        </w:numPr>
        <w:tabs>
          <w:tab w:pos="1071" w:val="left" w:leader="none"/>
        </w:tabs>
        <w:spacing w:line="273" w:lineRule="auto" w:before="0" w:after="0"/>
        <w:ind w:left="2979" w:right="218" w:hanging="2760"/>
        <w:jc w:val="both"/>
        <w:rPr>
          <w:sz w:val="21"/>
        </w:rPr>
      </w:pPr>
      <w:r>
        <w:rPr>
          <w:b/>
          <w:sz w:val="21"/>
        </w:rPr>
        <w:t>联系方式变更     </w:t>
      </w:r>
      <w:r>
        <w:rPr>
          <w:spacing w:val="-3"/>
          <w:sz w:val="21"/>
        </w:rPr>
        <w:t>为了保障投保人的合法权益，投保人的住所、通讯地址或电话等联系方式变更</w:t>
      </w:r>
      <w:r>
        <w:rPr>
          <w:spacing w:val="-6"/>
          <w:sz w:val="21"/>
        </w:rPr>
        <w:t>时，请及时以书面形式或双方认可的其他形式通知我们。若投保人未以书面形</w:t>
      </w:r>
      <w:r>
        <w:rPr>
          <w:spacing w:val="-8"/>
          <w:sz w:val="21"/>
        </w:rPr>
        <w:t>式或双方认可的其他形式通知我们，我们按本主险合同载明的最后住所或通讯地址所发送的有关通知，均视为已送达给投保人。</w:t>
      </w:r>
    </w:p>
    <w:p>
      <w:pPr>
        <w:pStyle w:val="BodyText"/>
        <w:spacing w:before="11"/>
        <w:rPr>
          <w:sz w:val="17"/>
        </w:rPr>
      </w:pPr>
    </w:p>
    <w:p>
      <w:pPr>
        <w:pStyle w:val="ListParagraph"/>
        <w:numPr>
          <w:ilvl w:val="1"/>
          <w:numId w:val="9"/>
        </w:numPr>
        <w:tabs>
          <w:tab w:pos="1071" w:val="left" w:leader="none"/>
        </w:tabs>
        <w:spacing w:line="273" w:lineRule="auto" w:before="0" w:after="0"/>
        <w:ind w:left="2979" w:right="218" w:hanging="2760"/>
        <w:jc w:val="both"/>
        <w:rPr>
          <w:sz w:val="21"/>
        </w:rPr>
      </w:pPr>
      <w:r>
        <w:rPr>
          <w:b/>
          <w:sz w:val="21"/>
        </w:rPr>
        <w:t>争议处理         </w:t>
      </w:r>
      <w:r>
        <w:rPr>
          <w:spacing w:val="-3"/>
          <w:sz w:val="21"/>
        </w:rPr>
        <w:t>本主险合同履行过程中，双方发生争议不能协商解决的，可以达成仲裁协议通过仲裁解决，也可依法直接向法院提起诉讼。</w:t>
      </w:r>
    </w:p>
    <w:p>
      <w:pPr>
        <w:pStyle w:val="BodyText"/>
        <w:rPr>
          <w:sz w:val="20"/>
        </w:rPr>
      </w:pPr>
    </w:p>
    <w:p>
      <w:pPr>
        <w:pStyle w:val="BodyText"/>
        <w:spacing w:before="8"/>
        <w:rPr>
          <w:sz w:val="15"/>
        </w:rPr>
      </w:pPr>
    </w:p>
    <w:p>
      <w:pPr>
        <w:pStyle w:val="Heading2"/>
        <w:numPr>
          <w:ilvl w:val="0"/>
          <w:numId w:val="9"/>
        </w:numPr>
        <w:tabs>
          <w:tab w:pos="1070" w:val="left" w:leader="none"/>
          <w:tab w:pos="1071" w:val="left" w:leader="none"/>
        </w:tabs>
        <w:spacing w:line="240" w:lineRule="auto" w:before="1" w:after="0"/>
        <w:ind w:left="1070" w:right="0" w:hanging="850"/>
        <w:jc w:val="left"/>
        <w:rPr>
          <w:rFonts w:ascii="宋体" w:eastAsia="宋体" w:hint="eastAsia"/>
          <w:sz w:val="40"/>
        </w:rPr>
      </w:pPr>
      <w:r>
        <w:rPr/>
        <w:pict>
          <v:group style="position:absolute;margin-left:48.599998pt;margin-top:31.749659pt;width:504pt;height:1pt;mso-position-horizontal-relative:page;mso-position-vertical-relative:paragraph;z-index:1216;mso-wrap-distance-left:0;mso-wrap-distance-right:0" coordorigin="972,635" coordsize="10080,20">
            <v:line style="position:absolute" from="972,645" to="3751,645" stroked="true" strokeweight=".96002pt" strokecolor="#000000">
              <v:stroke dashstyle="solid"/>
            </v:line>
            <v:line style="position:absolute" from="3751,645" to="11052,645" stroked="true" strokeweight=".96pt" strokecolor="#000000">
              <v:stroke dashstyle="solid"/>
            </v:line>
            <w10:wrap type="topAndBottom"/>
          </v:group>
        </w:pict>
      </w:r>
      <w:r>
        <w:rPr>
          <w:rFonts w:ascii="宋体" w:eastAsia="宋体" w:hint="eastAsia"/>
        </w:rPr>
        <w:t>释义</w:t>
      </w:r>
    </w:p>
    <w:p>
      <w:pPr>
        <w:pStyle w:val="BodyText"/>
        <w:spacing w:before="10"/>
        <w:rPr>
          <w:b/>
          <w:sz w:val="9"/>
        </w:rPr>
      </w:pPr>
    </w:p>
    <w:p>
      <w:pPr>
        <w:pStyle w:val="ListParagraph"/>
        <w:numPr>
          <w:ilvl w:val="1"/>
          <w:numId w:val="9"/>
        </w:numPr>
        <w:tabs>
          <w:tab w:pos="1070" w:val="left" w:leader="none"/>
          <w:tab w:pos="1071" w:val="left" w:leader="none"/>
          <w:tab w:pos="2979" w:val="left" w:leader="none"/>
        </w:tabs>
        <w:spacing w:line="240" w:lineRule="auto" w:before="35" w:after="0"/>
        <w:ind w:left="2979" w:right="0" w:hanging="2759"/>
        <w:jc w:val="left"/>
        <w:rPr>
          <w:sz w:val="21"/>
        </w:rPr>
      </w:pPr>
      <w:r>
        <w:rPr>
          <w:b/>
          <w:sz w:val="21"/>
        </w:rPr>
        <w:t>被保险人</w:t>
        <w:tab/>
      </w:r>
      <w:r>
        <w:rPr>
          <w:sz w:val="21"/>
        </w:rPr>
        <w:t>指本主险合同所附被保险人名册中所载人员。</w:t>
      </w:r>
    </w:p>
    <w:p>
      <w:pPr>
        <w:pStyle w:val="BodyText"/>
        <w:spacing w:before="1"/>
        <w:rPr>
          <w:sz w:val="20"/>
        </w:rPr>
      </w:pPr>
    </w:p>
    <w:p>
      <w:pPr>
        <w:pStyle w:val="ListParagraph"/>
        <w:numPr>
          <w:ilvl w:val="1"/>
          <w:numId w:val="9"/>
        </w:numPr>
        <w:tabs>
          <w:tab w:pos="1070" w:val="left" w:leader="none"/>
          <w:tab w:pos="1071" w:val="left" w:leader="none"/>
          <w:tab w:pos="2979" w:val="left" w:leader="none"/>
        </w:tabs>
        <w:spacing w:line="273" w:lineRule="auto" w:before="0" w:after="0"/>
        <w:ind w:left="2979" w:right="218" w:hanging="2760"/>
        <w:jc w:val="left"/>
        <w:rPr>
          <w:sz w:val="21"/>
        </w:rPr>
      </w:pPr>
      <w:r>
        <w:rPr>
          <w:b/>
          <w:sz w:val="21"/>
        </w:rPr>
        <w:t>周岁</w:t>
        <w:tab/>
      </w:r>
      <w:r>
        <w:rPr>
          <w:sz w:val="21"/>
        </w:rPr>
        <w:t>指按有效身份证件中记载的出生日期计算的年龄</w:t>
      </w:r>
      <w:r>
        <w:rPr>
          <w:spacing w:val="-18"/>
          <w:sz w:val="21"/>
        </w:rPr>
        <w:t>，</w:t>
      </w:r>
      <w:r>
        <w:rPr>
          <w:sz w:val="21"/>
        </w:rPr>
        <w:t>自出生之日起为零周岁</w:t>
      </w:r>
      <w:r>
        <w:rPr>
          <w:spacing w:val="-18"/>
          <w:sz w:val="21"/>
        </w:rPr>
        <w:t>，</w:t>
      </w:r>
      <w:r>
        <w:rPr>
          <w:sz w:val="21"/>
        </w:rPr>
        <w:t>每经过一年增加一岁，不足一年的不计。</w:t>
      </w:r>
    </w:p>
    <w:p>
      <w:pPr>
        <w:pStyle w:val="BodyText"/>
        <w:spacing w:before="11"/>
        <w:rPr>
          <w:sz w:val="17"/>
        </w:rPr>
      </w:pPr>
    </w:p>
    <w:p>
      <w:pPr>
        <w:pStyle w:val="ListParagraph"/>
        <w:numPr>
          <w:ilvl w:val="1"/>
          <w:numId w:val="9"/>
        </w:numPr>
        <w:tabs>
          <w:tab w:pos="1070" w:val="left" w:leader="none"/>
          <w:tab w:pos="1071" w:val="left" w:leader="none"/>
          <w:tab w:pos="2979" w:val="left" w:leader="none"/>
        </w:tabs>
        <w:spacing w:line="273" w:lineRule="auto" w:before="0" w:after="0"/>
        <w:ind w:left="2979" w:right="218" w:hanging="2760"/>
        <w:jc w:val="left"/>
        <w:rPr>
          <w:sz w:val="21"/>
        </w:rPr>
      </w:pPr>
      <w:r>
        <w:rPr>
          <w:b/>
          <w:sz w:val="21"/>
        </w:rPr>
        <w:t>团体</w:t>
        <w:tab/>
      </w:r>
      <w:r>
        <w:rPr>
          <w:sz w:val="21"/>
        </w:rPr>
        <w:t>指中华人民共和国境内的机关</w:t>
      </w:r>
      <w:r>
        <w:rPr>
          <w:spacing w:val="-18"/>
          <w:sz w:val="21"/>
        </w:rPr>
        <w:t>、</w:t>
      </w:r>
      <w:r>
        <w:rPr>
          <w:sz w:val="21"/>
        </w:rPr>
        <w:t>企事业单位</w:t>
      </w:r>
      <w:r>
        <w:rPr>
          <w:spacing w:val="-18"/>
          <w:sz w:val="21"/>
        </w:rPr>
        <w:t>、</w:t>
      </w:r>
      <w:r>
        <w:rPr>
          <w:sz w:val="21"/>
        </w:rPr>
        <w:t>社会团体及其他非因购买保险而组织的合法团体。</w:t>
      </w:r>
    </w:p>
    <w:p>
      <w:pPr>
        <w:pStyle w:val="BodyText"/>
        <w:spacing w:before="11"/>
        <w:rPr>
          <w:sz w:val="17"/>
        </w:rPr>
      </w:pPr>
    </w:p>
    <w:p>
      <w:pPr>
        <w:pStyle w:val="ListParagraph"/>
        <w:numPr>
          <w:ilvl w:val="1"/>
          <w:numId w:val="9"/>
        </w:numPr>
        <w:tabs>
          <w:tab w:pos="1070" w:val="left" w:leader="none"/>
          <w:tab w:pos="1071" w:val="left" w:leader="none"/>
          <w:tab w:pos="2979" w:val="left" w:leader="none"/>
        </w:tabs>
        <w:spacing w:line="273" w:lineRule="auto" w:before="0" w:after="0"/>
        <w:ind w:left="2979" w:right="218" w:hanging="2760"/>
        <w:jc w:val="left"/>
        <w:rPr>
          <w:sz w:val="21"/>
        </w:rPr>
      </w:pPr>
      <w:r>
        <w:rPr>
          <w:b/>
          <w:sz w:val="21"/>
        </w:rPr>
        <w:t>成员</w:t>
        <w:tab/>
      </w:r>
      <w:r>
        <w:rPr>
          <w:sz w:val="21"/>
        </w:rPr>
        <w:t>团体为机关或企事业单位的</w:t>
      </w:r>
      <w:r>
        <w:rPr>
          <w:spacing w:val="-18"/>
          <w:sz w:val="21"/>
        </w:rPr>
        <w:t>，</w:t>
      </w:r>
      <w:r>
        <w:rPr>
          <w:sz w:val="21"/>
        </w:rPr>
        <w:t>成员指该团体中正常工作的在职员工</w:t>
      </w:r>
      <w:r>
        <w:rPr>
          <w:spacing w:val="-18"/>
          <w:sz w:val="21"/>
        </w:rPr>
        <w:t>；</w:t>
      </w:r>
      <w:r>
        <w:rPr>
          <w:sz w:val="21"/>
        </w:rPr>
        <w:t>团体为社会团体的，成员指该团体的会员以及工作人员。</w:t>
      </w:r>
    </w:p>
    <w:p>
      <w:pPr>
        <w:pStyle w:val="BodyText"/>
        <w:spacing w:before="12"/>
        <w:rPr>
          <w:sz w:val="17"/>
        </w:rPr>
      </w:pPr>
    </w:p>
    <w:p>
      <w:pPr>
        <w:pStyle w:val="ListParagraph"/>
        <w:numPr>
          <w:ilvl w:val="1"/>
          <w:numId w:val="9"/>
        </w:numPr>
        <w:tabs>
          <w:tab w:pos="1070" w:val="left" w:leader="none"/>
          <w:tab w:pos="1071" w:val="left" w:leader="none"/>
          <w:tab w:pos="2979" w:val="left" w:leader="none"/>
        </w:tabs>
        <w:spacing w:line="256" w:lineRule="auto" w:before="0" w:after="0"/>
        <w:ind w:left="2979" w:right="112" w:hanging="2760"/>
        <w:jc w:val="left"/>
        <w:rPr>
          <w:sz w:val="21"/>
        </w:rPr>
      </w:pPr>
      <w:r>
        <w:rPr>
          <w:b/>
          <w:sz w:val="21"/>
        </w:rPr>
        <w:t>子女</w:t>
        <w:tab/>
      </w:r>
      <w:r>
        <w:rPr>
          <w:spacing w:val="-1"/>
          <w:sz w:val="21"/>
        </w:rPr>
        <w:t>指投</w:t>
      </w:r>
      <w:r>
        <w:rPr>
          <w:sz w:val="21"/>
        </w:rPr>
        <w:t>保时被保险人的出生</w:t>
      </w:r>
      <w:r>
        <w:rPr>
          <w:rFonts w:ascii="Times New Roman" w:eastAsia="Times New Roman"/>
          <w:sz w:val="21"/>
        </w:rPr>
        <w:t>28</w:t>
      </w:r>
      <w:r>
        <w:rPr>
          <w:sz w:val="21"/>
        </w:rPr>
        <w:t>日以</w:t>
      </w:r>
      <w:r>
        <w:rPr>
          <w:spacing w:val="-14"/>
          <w:sz w:val="21"/>
        </w:rPr>
        <w:t>上</w:t>
      </w:r>
      <w:r>
        <w:rPr>
          <w:sz w:val="21"/>
        </w:rPr>
        <w:t>（并且已健康出院的</w:t>
      </w:r>
      <w:r>
        <w:rPr>
          <w:spacing w:val="-12"/>
          <w:sz w:val="21"/>
        </w:rPr>
        <w:t>），</w:t>
      </w:r>
      <w:r>
        <w:rPr>
          <w:sz w:val="21"/>
        </w:rPr>
        <w:t>未满</w:t>
      </w:r>
      <w:r>
        <w:rPr>
          <w:rFonts w:ascii="Times New Roman" w:eastAsia="Times New Roman"/>
          <w:sz w:val="21"/>
        </w:rPr>
        <w:t>23</w:t>
      </w:r>
      <w:r>
        <w:rPr>
          <w:sz w:val="21"/>
        </w:rPr>
        <w:t>周岁且未婚的子</w:t>
      </w:r>
      <w:r>
        <w:rPr>
          <w:spacing w:val="-88"/>
          <w:sz w:val="21"/>
        </w:rPr>
        <w:t>女</w:t>
      </w:r>
      <w:r>
        <w:rPr>
          <w:sz w:val="21"/>
        </w:rPr>
        <w:t>（包括婚生子女</w:t>
      </w:r>
      <w:r>
        <w:rPr>
          <w:spacing w:val="-88"/>
          <w:sz w:val="21"/>
        </w:rPr>
        <w:t>、</w:t>
      </w:r>
      <w:r>
        <w:rPr>
          <w:sz w:val="21"/>
        </w:rPr>
        <w:t>非婚生子女</w:t>
      </w:r>
      <w:r>
        <w:rPr>
          <w:spacing w:val="-88"/>
          <w:sz w:val="21"/>
        </w:rPr>
        <w:t>、</w:t>
      </w:r>
      <w:r>
        <w:rPr>
          <w:sz w:val="21"/>
        </w:rPr>
        <w:t>合法收养的子女和有抚养关系的继子女</w:t>
      </w:r>
      <w:r>
        <w:rPr>
          <w:spacing w:val="-88"/>
          <w:sz w:val="21"/>
        </w:rPr>
        <w:t>）</w:t>
      </w:r>
      <w:r>
        <w:rPr>
          <w:sz w:val="21"/>
        </w:rPr>
        <w:t>。</w:t>
      </w:r>
    </w:p>
    <w:p>
      <w:pPr>
        <w:spacing w:after="0" w:line="256" w:lineRule="auto"/>
        <w:jc w:val="left"/>
        <w:rPr>
          <w:sz w:val="21"/>
        </w:rPr>
        <w:sectPr>
          <w:type w:val="continuous"/>
          <w:pgSz w:w="11910" w:h="16840"/>
          <w:pgMar w:top="760" w:bottom="860" w:left="860" w:right="740"/>
        </w:sectPr>
      </w:pPr>
    </w:p>
    <w:p>
      <w:pPr>
        <w:pStyle w:val="BodyText"/>
        <w:rPr>
          <w:sz w:val="20"/>
        </w:rPr>
      </w:pPr>
    </w:p>
    <w:p>
      <w:pPr>
        <w:pStyle w:val="BodyText"/>
        <w:rPr>
          <w:sz w:val="20"/>
        </w:rPr>
      </w:pPr>
    </w:p>
    <w:p>
      <w:pPr>
        <w:pStyle w:val="BodyText"/>
        <w:spacing w:before="9"/>
        <w:rPr>
          <w:sz w:val="19"/>
        </w:rPr>
      </w:pPr>
    </w:p>
    <w:p>
      <w:pPr>
        <w:pStyle w:val="ListParagraph"/>
        <w:numPr>
          <w:ilvl w:val="1"/>
          <w:numId w:val="9"/>
        </w:numPr>
        <w:tabs>
          <w:tab w:pos="990" w:val="left" w:leader="none"/>
          <w:tab w:pos="991" w:val="left" w:leader="none"/>
          <w:tab w:pos="2899" w:val="left" w:leader="none"/>
        </w:tabs>
        <w:spacing w:line="240" w:lineRule="auto" w:before="35" w:after="0"/>
        <w:ind w:left="990" w:right="0" w:hanging="850"/>
        <w:jc w:val="left"/>
        <w:rPr>
          <w:sz w:val="21"/>
        </w:rPr>
      </w:pPr>
      <w:r>
        <w:rPr>
          <w:b/>
          <w:position w:val="-2"/>
          <w:sz w:val="21"/>
        </w:rPr>
        <w:t>重大疾病</w:t>
        <w:tab/>
      </w:r>
      <w:r>
        <w:rPr>
          <w:w w:val="95"/>
          <w:sz w:val="21"/>
        </w:rPr>
        <w:t>指符合下列定义的疾病</w:t>
      </w:r>
      <w:r>
        <w:rPr>
          <w:spacing w:val="-63"/>
          <w:w w:val="95"/>
          <w:sz w:val="21"/>
        </w:rPr>
        <w:t>、</w:t>
      </w:r>
      <w:r>
        <w:rPr>
          <w:w w:val="95"/>
          <w:sz w:val="21"/>
        </w:rPr>
        <w:t>损伤或手术</w:t>
      </w:r>
      <w:r>
        <w:rPr>
          <w:spacing w:val="-63"/>
          <w:w w:val="95"/>
          <w:sz w:val="21"/>
        </w:rPr>
        <w:t>。</w:t>
      </w:r>
      <w:r>
        <w:rPr>
          <w:w w:val="95"/>
          <w:sz w:val="21"/>
        </w:rPr>
        <w:t>该疾病</w:t>
      </w:r>
      <w:r>
        <w:rPr>
          <w:spacing w:val="-63"/>
          <w:w w:val="95"/>
          <w:sz w:val="21"/>
        </w:rPr>
        <w:t>、</w:t>
      </w:r>
      <w:r>
        <w:rPr>
          <w:w w:val="95"/>
          <w:sz w:val="21"/>
        </w:rPr>
        <w:t>损伤或手术应当由</w:t>
      </w:r>
      <w:r>
        <w:rPr>
          <w:rFonts w:ascii="黑体" w:eastAsia="黑体" w:hint="eastAsia"/>
          <w:b/>
          <w:w w:val="95"/>
          <w:sz w:val="21"/>
        </w:rPr>
        <w:t>专科医</w:t>
      </w:r>
      <w:r>
        <w:rPr>
          <w:rFonts w:ascii="黑体" w:eastAsia="黑体" w:hint="eastAsia"/>
          <w:b/>
          <w:spacing w:val="-42"/>
          <w:w w:val="95"/>
          <w:sz w:val="21"/>
        </w:rPr>
        <w:t>Th</w:t>
      </w:r>
      <w:r>
        <w:rPr>
          <w:spacing w:val="-42"/>
          <w:w w:val="95"/>
          <w:sz w:val="21"/>
        </w:rPr>
        <w:t>（</w:t>
      </w:r>
      <w:r>
        <w:rPr>
          <w:w w:val="95"/>
          <w:sz w:val="21"/>
        </w:rPr>
        <w:t>见</w:t>
      </w:r>
    </w:p>
    <w:p>
      <w:pPr>
        <w:pStyle w:val="ListParagraph"/>
        <w:numPr>
          <w:ilvl w:val="1"/>
          <w:numId w:val="9"/>
        </w:numPr>
        <w:tabs>
          <w:tab w:pos="3217" w:val="left" w:leader="none"/>
        </w:tabs>
        <w:spacing w:line="240" w:lineRule="auto" w:before="6" w:after="0"/>
        <w:ind w:left="3216" w:right="0" w:hanging="316"/>
        <w:jc w:val="left"/>
        <w:rPr>
          <w:sz w:val="19"/>
        </w:rPr>
      </w:pPr>
      <w:r>
        <w:rPr>
          <w:spacing w:val="-1"/>
          <w:sz w:val="21"/>
        </w:rPr>
        <w:t>）明确诊断。</w:t>
      </w:r>
    </w:p>
    <w:p>
      <w:pPr>
        <w:pStyle w:val="BodyText"/>
        <w:spacing w:before="1"/>
        <w:rPr>
          <w:sz w:val="20"/>
        </w:rPr>
      </w:pPr>
    </w:p>
    <w:p>
      <w:pPr>
        <w:pStyle w:val="BodyText"/>
        <w:ind w:left="2900"/>
      </w:pPr>
      <w:r>
        <w:rPr/>
        <w:t>以下重大疾病是中国保险行业协会与中国医师协会制定了规范定义的疾病。</w:t>
      </w:r>
    </w:p>
    <w:p>
      <w:pPr>
        <w:pStyle w:val="BodyText"/>
        <w:spacing w:before="12"/>
        <w:rPr>
          <w:sz w:val="15"/>
        </w:rPr>
      </w:pPr>
    </w:p>
    <w:p>
      <w:pPr>
        <w:pStyle w:val="BodyText"/>
        <w:tabs>
          <w:tab w:pos="2899" w:val="left" w:leader="none"/>
        </w:tabs>
        <w:spacing w:line="223" w:lineRule="auto"/>
        <w:ind w:left="2900" w:right="218" w:hanging="1910"/>
      </w:pPr>
      <w:r>
        <w:rPr>
          <w:rFonts w:ascii="Microsoft JhengHei" w:eastAsia="Microsoft JhengHei" w:hint="eastAsia"/>
          <w:b/>
          <w:position w:val="-2"/>
          <w:sz w:val="24"/>
        </w:rPr>
        <w:t>恶性肿瘤</w:t>
        <w:tab/>
      </w:r>
      <w:r>
        <w:rPr/>
        <w:t>指恶性细胞不受控制的进行性增长和扩散</w:t>
      </w:r>
      <w:r>
        <w:rPr>
          <w:spacing w:val="-18"/>
        </w:rPr>
        <w:t>，</w:t>
      </w:r>
      <w:r>
        <w:rPr/>
        <w:t>浸润和破坏周围正常组织</w:t>
      </w:r>
      <w:r>
        <w:rPr>
          <w:spacing w:val="-18"/>
        </w:rPr>
        <w:t>，</w:t>
      </w:r>
      <w:r>
        <w:rPr/>
        <w:t>可以经血管</w:t>
      </w:r>
      <w:r>
        <w:rPr>
          <w:spacing w:val="-18"/>
        </w:rPr>
        <w:t>、</w:t>
      </w:r>
      <w:r>
        <w:rPr/>
        <w:t>淋巴管和体腔扩散转移到身体其他部位的疾病</w:t>
      </w:r>
      <w:r>
        <w:rPr>
          <w:spacing w:val="-18"/>
        </w:rPr>
        <w:t>。</w:t>
      </w:r>
      <w:r>
        <w:rPr/>
        <w:t>经病理学检查结果明确</w:t>
      </w:r>
    </w:p>
    <w:p>
      <w:pPr>
        <w:pStyle w:val="BodyText"/>
        <w:spacing w:before="36"/>
        <w:ind w:left="2900"/>
      </w:pPr>
      <w:r>
        <w:rPr/>
        <w:t>诊断，临床诊断属于世界卫生组织《疾病和有关健康问题的国际统计分类</w:t>
      </w:r>
    </w:p>
    <w:p>
      <w:pPr>
        <w:pStyle w:val="BodyText"/>
        <w:spacing w:line="273" w:lineRule="auto" w:before="36"/>
        <w:ind w:left="2900" w:right="4381"/>
      </w:pPr>
      <w:r>
        <w:rPr/>
        <w:t>（ICD-10）》的恶性肿瘤范畴。</w:t>
      </w:r>
      <w:r>
        <w:rPr>
          <w:shd w:fill="D9D9D9" w:color="auto" w:val="clear"/>
        </w:rPr>
        <w:t>下列疾病不在保障范围内：</w:t>
      </w:r>
    </w:p>
    <w:p>
      <w:pPr>
        <w:pStyle w:val="BodyText"/>
        <w:spacing w:before="7"/>
        <w:ind w:left="2900"/>
      </w:pPr>
      <w:r>
        <w:rPr>
          <w:shd w:fill="D9D9D9" w:color="auto" w:val="clear"/>
        </w:rPr>
        <w:t>（1）原位癌；</w:t>
      </w:r>
    </w:p>
    <w:p>
      <w:pPr>
        <w:pStyle w:val="BodyText"/>
        <w:spacing w:before="37"/>
        <w:ind w:left="2900"/>
      </w:pPr>
      <w:r>
        <w:rPr>
          <w:shd w:fill="D9D9D9" w:color="auto" w:val="clear"/>
        </w:rPr>
        <w:t>（2）相当于Binet分期方案A期程度的慢性淋巴细胞白血病；</w:t>
      </w:r>
    </w:p>
    <w:p>
      <w:pPr>
        <w:pStyle w:val="BodyText"/>
        <w:spacing w:before="37"/>
        <w:ind w:left="2900"/>
      </w:pPr>
      <w:r>
        <w:rPr>
          <w:shd w:fill="D9D9D9" w:color="auto" w:val="clear"/>
        </w:rPr>
        <w:t>（3）相当于Ann Arbor分期方案I期程度的何杰金氏病；</w:t>
      </w:r>
    </w:p>
    <w:p>
      <w:pPr>
        <w:pStyle w:val="BodyText"/>
        <w:spacing w:before="37"/>
        <w:ind w:left="2900"/>
      </w:pPr>
      <w:r>
        <w:rPr>
          <w:shd w:fill="D9D9D9" w:color="auto" w:val="clear"/>
        </w:rPr>
        <w:t>（4）皮肤癌（不包括恶性黑色素瘤及已发生转移的皮肤癌）；</w:t>
      </w:r>
    </w:p>
    <w:p>
      <w:pPr>
        <w:pStyle w:val="BodyText"/>
        <w:spacing w:before="36"/>
        <w:ind w:left="2900"/>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2900"/>
      </w:pPr>
      <w:r>
        <w:rPr>
          <w:shd w:fill="D9D9D9" w:color="auto" w:val="clear"/>
        </w:rPr>
        <w:t>（6）感染艾滋病病毒或患艾滋病期间所患恶性肿瘤。</w:t>
      </w:r>
    </w:p>
    <w:p>
      <w:pPr>
        <w:pStyle w:val="BodyText"/>
        <w:tabs>
          <w:tab w:pos="2899" w:val="left" w:leader="none"/>
        </w:tabs>
        <w:spacing w:line="249" w:lineRule="auto" w:before="174"/>
        <w:ind w:left="2900" w:right="218" w:hanging="1910"/>
      </w:pPr>
      <w:r>
        <w:rPr>
          <w:rFonts w:ascii="Microsoft JhengHei" w:eastAsia="Microsoft JhengHei" w:hint="eastAsia"/>
          <w:b/>
          <w:position w:val="1"/>
          <w:sz w:val="24"/>
        </w:rPr>
        <w:t>急性心ft梗塞</w:t>
        <w:tab/>
      </w:r>
      <w:r>
        <w:rPr/>
        <w:t>指因冠状动脉阻塞导致的相应区域供血不足造成部分心肌坏死</w:t>
      </w:r>
      <w:r>
        <w:rPr>
          <w:spacing w:val="-36"/>
        </w:rPr>
        <w:t>。</w:t>
      </w:r>
      <w:r>
        <w:rPr/>
        <w:t>须满足下列至少三项条件：</w:t>
      </w:r>
    </w:p>
    <w:p>
      <w:pPr>
        <w:pStyle w:val="BodyText"/>
        <w:spacing w:before="78"/>
        <w:ind w:left="2900"/>
      </w:pPr>
      <w:r>
        <w:rPr/>
        <w:t>（</w:t>
      </w:r>
      <w:r>
        <w:rPr>
          <w:rFonts w:ascii="Times New Roman" w:eastAsia="Times New Roman"/>
        </w:rPr>
        <w:t>1</w:t>
      </w:r>
      <w:r>
        <w:rPr/>
        <w:t>）典型临床表现，例如急性胸痛等；</w:t>
      </w:r>
    </w:p>
    <w:p>
      <w:pPr>
        <w:pStyle w:val="BodyText"/>
        <w:spacing w:before="71"/>
        <w:ind w:left="2900"/>
      </w:pPr>
      <w:r>
        <w:rPr/>
        <w:t>（</w:t>
      </w:r>
      <w:r>
        <w:rPr>
          <w:rFonts w:ascii="Times New Roman" w:eastAsia="Times New Roman"/>
        </w:rPr>
        <w:t>2</w:t>
      </w:r>
      <w:r>
        <w:rPr/>
        <w:t>）新近的心电图改变提示急性心肌梗塞；</w:t>
      </w:r>
    </w:p>
    <w:p>
      <w:pPr>
        <w:pStyle w:val="BodyText"/>
        <w:spacing w:line="259" w:lineRule="auto" w:before="71"/>
        <w:ind w:left="3425" w:right="213" w:hanging="526"/>
      </w:pPr>
      <w:r>
        <w:rPr/>
        <w:t>（</w:t>
      </w:r>
      <w:r>
        <w:rPr>
          <w:rFonts w:ascii="Times New Roman" w:eastAsia="Times New Roman"/>
        </w:rPr>
        <w:t>3</w:t>
      </w:r>
      <w:r>
        <w:rPr/>
        <w:t>）心肌酶或肌钙蛋白有诊断意义的升高，或呈符合急性心肌梗塞的动态性变化；</w:t>
      </w:r>
    </w:p>
    <w:p>
      <w:pPr>
        <w:pStyle w:val="BodyText"/>
        <w:spacing w:before="49"/>
        <w:ind w:left="2900"/>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tabs>
          <w:tab w:pos="2899" w:val="left" w:leader="none"/>
        </w:tabs>
        <w:spacing w:line="230" w:lineRule="auto" w:before="172"/>
        <w:ind w:left="2900" w:right="216" w:hanging="1910"/>
      </w:pPr>
      <w:r>
        <w:rPr>
          <w:rFonts w:ascii="Microsoft JhengHei" w:eastAsia="Microsoft JhengHei" w:hint="eastAsia"/>
          <w:b/>
          <w:position w:val="-1"/>
          <w:sz w:val="24"/>
        </w:rPr>
        <w:t>脑中风后遗症</w:t>
        <w:tab/>
      </w:r>
      <w:r>
        <w:rPr/>
        <w:t>指因脑血管的突发病变引起脑血管出血</w:t>
      </w:r>
      <w:r>
        <w:rPr>
          <w:spacing w:val="-18"/>
        </w:rPr>
        <w:t>、</w:t>
      </w:r>
      <w:r>
        <w:rPr/>
        <w:t>栓塞或梗塞</w:t>
      </w:r>
      <w:r>
        <w:rPr>
          <w:spacing w:val="-18"/>
        </w:rPr>
        <w:t>，</w:t>
      </w:r>
      <w:r>
        <w:rPr/>
        <w:t>并导致神经系统永久性的功能障碍。神经系统永久性的功能障碍，指疾病确诊180天后，仍遗留下列</w:t>
      </w:r>
    </w:p>
    <w:p>
      <w:pPr>
        <w:pStyle w:val="BodyText"/>
        <w:spacing w:before="36"/>
        <w:ind w:left="2900"/>
      </w:pPr>
      <w:r>
        <w:rPr/>
        <w:t>一种或一种以上障碍：</w:t>
      </w:r>
    </w:p>
    <w:p>
      <w:pPr>
        <w:spacing w:before="36"/>
        <w:ind w:left="2900" w:right="0" w:firstLine="0"/>
        <w:jc w:val="left"/>
        <w:rPr>
          <w:sz w:val="21"/>
        </w:rPr>
      </w:pPr>
      <w:r>
        <w:rPr>
          <w:w w:val="95"/>
          <w:sz w:val="21"/>
        </w:rPr>
        <w:t>（1）一肢或一肢以上</w:t>
      </w:r>
      <w:r>
        <w:rPr>
          <w:rFonts w:ascii="黑体" w:eastAsia="黑体" w:hint="eastAsia"/>
          <w:b/>
          <w:w w:val="95"/>
          <w:sz w:val="21"/>
        </w:rPr>
        <w:t>肢体机能完全丧失</w:t>
      </w:r>
      <w:r>
        <w:rPr>
          <w:w w:val="95"/>
          <w:sz w:val="21"/>
        </w:rPr>
        <w:t>(见7.8)；</w:t>
      </w:r>
    </w:p>
    <w:p>
      <w:pPr>
        <w:spacing w:before="36"/>
        <w:ind w:left="2900" w:right="0" w:firstLine="0"/>
        <w:jc w:val="left"/>
        <w:rPr>
          <w:sz w:val="21"/>
        </w:rPr>
      </w:pPr>
      <w:r>
        <w:rPr>
          <w:w w:val="95"/>
          <w:sz w:val="21"/>
        </w:rPr>
        <w:t>（2）</w:t>
      </w:r>
      <w:r>
        <w:rPr>
          <w:rFonts w:ascii="黑体" w:eastAsia="黑体" w:hint="eastAsia"/>
          <w:b/>
          <w:w w:val="95"/>
          <w:sz w:val="21"/>
        </w:rPr>
        <w:t>语言能力或咀嚼吞咽能力完全丧失</w:t>
      </w:r>
      <w:r>
        <w:rPr>
          <w:w w:val="95"/>
          <w:sz w:val="21"/>
        </w:rPr>
        <w:t>（见7.9）；</w:t>
      </w:r>
    </w:p>
    <w:p>
      <w:pPr>
        <w:spacing w:line="273" w:lineRule="auto" w:before="36"/>
        <w:ind w:left="3425" w:right="217" w:hanging="526"/>
        <w:jc w:val="left"/>
        <w:rPr>
          <w:sz w:val="21"/>
        </w:rPr>
      </w:pPr>
      <w:r>
        <w:rPr>
          <w:sz w:val="21"/>
        </w:rPr>
        <w:t>（3）自主生活能力完全丧失，无法独立完成</w:t>
      </w:r>
      <w:r>
        <w:rPr>
          <w:rFonts w:ascii="黑体" w:eastAsia="黑体" w:hint="eastAsia"/>
          <w:b/>
          <w:sz w:val="21"/>
        </w:rPr>
        <w:t>六项基本日常Th活活动</w:t>
      </w:r>
      <w:r>
        <w:rPr>
          <w:sz w:val="21"/>
        </w:rPr>
        <w:t>（7.10） 中的三项或三项以上。</w:t>
      </w:r>
    </w:p>
    <w:p>
      <w:pPr>
        <w:pStyle w:val="BodyText"/>
        <w:spacing w:before="2"/>
        <w:rPr>
          <w:sz w:val="15"/>
        </w:rPr>
      </w:pPr>
    </w:p>
    <w:p>
      <w:pPr>
        <w:spacing w:after="0"/>
        <w:rPr>
          <w:sz w:val="15"/>
        </w:rPr>
        <w:sectPr>
          <w:pgSz w:w="11910" w:h="16840"/>
          <w:pgMar w:header="594" w:footer="666" w:top="820" w:bottom="860" w:left="940" w:right="740"/>
        </w:sectPr>
      </w:pPr>
    </w:p>
    <w:p>
      <w:pPr>
        <w:pStyle w:val="Heading2"/>
        <w:spacing w:line="182" w:lineRule="auto" w:before="48"/>
        <w:jc w:val="both"/>
      </w:pPr>
      <w:r>
        <w:rPr/>
        <w:t>重大器官移植术或造血干细胞移植术</w:t>
      </w:r>
    </w:p>
    <w:p>
      <w:pPr>
        <w:pStyle w:val="BodyText"/>
        <w:spacing w:line="273" w:lineRule="auto" w:before="36"/>
        <w:ind w:left="173" w:right="219"/>
        <w:jc w:val="both"/>
      </w:pPr>
      <w:r>
        <w:rPr/>
        <w:br w:type="column"/>
      </w:r>
      <w:r>
        <w:rPr>
          <w:spacing w:val="-5"/>
        </w:rPr>
        <w:t>重大器官移植术，指因相应器官功能衰竭，已经实施了肾脏、肝脏、心脏或肺脏的异体移植手术。</w:t>
      </w:r>
    </w:p>
    <w:p>
      <w:pPr>
        <w:pStyle w:val="BodyText"/>
        <w:spacing w:line="273" w:lineRule="auto" w:before="8"/>
        <w:ind w:left="173" w:right="218"/>
        <w:jc w:val="both"/>
      </w:pPr>
      <w:r>
        <w:rPr>
          <w:spacing w:val="-3"/>
        </w:rPr>
        <w:t>造血干细胞移植术，指因造血功能损害或造血系统恶性肿瘤，已经实施了造血</w:t>
      </w:r>
      <w:r>
        <w:rPr>
          <w:spacing w:val="-6"/>
        </w:rPr>
        <w:t>干细胞</w:t>
      </w:r>
      <w:r>
        <w:rPr/>
        <w:t>（</w:t>
      </w:r>
      <w:r>
        <w:rPr>
          <w:spacing w:val="-2"/>
        </w:rPr>
        <w:t>包括骨髓造血干细胞、外周血造血干细胞和脐血造血干细胞</w:t>
      </w:r>
      <w:r>
        <w:rPr>
          <w:spacing w:val="-12"/>
        </w:rPr>
        <w:t>）</w:t>
      </w:r>
      <w:r>
        <w:rPr/>
        <w:t>的异体移植手术。</w:t>
      </w:r>
    </w:p>
    <w:p>
      <w:pPr>
        <w:spacing w:after="0" w:line="273" w:lineRule="auto"/>
        <w:jc w:val="both"/>
        <w:sectPr>
          <w:type w:val="continuous"/>
          <w:pgSz w:w="11910" w:h="16840"/>
          <w:pgMar w:top="760" w:bottom="860" w:left="940" w:right="740"/>
          <w:cols w:num="2" w:equalWidth="0">
            <w:col w:w="2687" w:space="40"/>
            <w:col w:w="7503"/>
          </w:cols>
        </w:sectPr>
      </w:pPr>
    </w:p>
    <w:p>
      <w:pPr>
        <w:pStyle w:val="BodyText"/>
        <w:spacing w:before="3"/>
        <w:rPr>
          <w:sz w:val="15"/>
        </w:rPr>
      </w:pPr>
    </w:p>
    <w:p>
      <w:pPr>
        <w:spacing w:after="0"/>
        <w:rPr>
          <w:sz w:val="15"/>
        </w:rPr>
        <w:sectPr>
          <w:type w:val="continuous"/>
          <w:pgSz w:w="11910" w:h="16840"/>
          <w:pgMar w:top="760" w:bottom="860" w:left="940" w:right="740"/>
        </w:sectPr>
      </w:pPr>
    </w:p>
    <w:p>
      <w:pPr>
        <w:pStyle w:val="Heading2"/>
        <w:spacing w:line="316" w:lineRule="exact"/>
      </w:pPr>
      <w:r>
        <w:rPr/>
        <w:t>冠状动脉搭桥术</w:t>
      </w:r>
    </w:p>
    <w:p>
      <w:pPr>
        <w:spacing w:line="182" w:lineRule="auto" w:before="50"/>
        <w:ind w:left="990" w:right="0" w:firstLine="0"/>
        <w:jc w:val="left"/>
        <w:rPr>
          <w:rFonts w:ascii="Microsoft JhengHei" w:eastAsia="Microsoft JhengHei" w:hint="eastAsia"/>
          <w:b/>
          <w:sz w:val="24"/>
        </w:rPr>
      </w:pPr>
      <w:r>
        <w:rPr>
          <w:rFonts w:ascii="Microsoft JhengHei" w:eastAsia="Microsoft JhengHei" w:hint="eastAsia"/>
          <w:b/>
          <w:sz w:val="24"/>
        </w:rPr>
        <w:t>（或称冠状动脉旁路移植术）</w:t>
      </w:r>
    </w:p>
    <w:p>
      <w:pPr>
        <w:pStyle w:val="BodyText"/>
        <w:spacing w:line="273" w:lineRule="auto" w:before="35"/>
        <w:ind w:left="173" w:right="215"/>
      </w:pPr>
      <w:r>
        <w:rPr/>
        <w:br w:type="column"/>
      </w:r>
      <w:r>
        <w:rPr/>
        <w:t>指为治疗严重的冠心病，实际实施了开胸进行的冠状动脉血管旁路移植的手术。</w:t>
      </w:r>
    </w:p>
    <w:p>
      <w:pPr>
        <w:pStyle w:val="BodyText"/>
        <w:spacing w:line="273" w:lineRule="auto" w:before="7"/>
        <w:ind w:left="173" w:right="218"/>
      </w:pPr>
      <w:r>
        <w:rPr>
          <w:spacing w:val="-3"/>
          <w:shd w:fill="D9D9D9" w:color="auto" w:val="clear"/>
        </w:rPr>
        <w:t>冠状动脉支架植入术、心导管球囊扩张术、激光射频技术及其他非开胸的介入</w:t>
      </w:r>
      <w:r>
        <w:rPr>
          <w:spacing w:val="-210"/>
          <w:shd w:fill="D9D9D9" w:color="auto" w:val="clear"/>
        </w:rPr>
        <w:t>手</w:t>
      </w:r>
      <w:r>
        <w:rPr>
          <w:shd w:fill="D9D9D9" w:color="auto" w:val="clear"/>
        </w:rPr>
        <w:t>术、腔镜手术不在保障范围内。</w:t>
      </w:r>
    </w:p>
    <w:p>
      <w:pPr>
        <w:spacing w:after="0" w:line="273" w:lineRule="auto"/>
        <w:sectPr>
          <w:type w:val="continuous"/>
          <w:pgSz w:w="11910" w:h="16840"/>
          <w:pgMar w:top="760" w:bottom="860" w:left="940" w:right="740"/>
          <w:cols w:num="2" w:equalWidth="0">
            <w:col w:w="2687" w:space="40"/>
            <w:col w:w="7503"/>
          </w:cols>
        </w:sectPr>
      </w:pPr>
    </w:p>
    <w:p>
      <w:pPr>
        <w:pStyle w:val="BodyText"/>
        <w:spacing w:before="2"/>
        <w:rPr>
          <w:sz w:val="15"/>
        </w:rPr>
      </w:pPr>
    </w:p>
    <w:p>
      <w:pPr>
        <w:pStyle w:val="BodyText"/>
        <w:tabs>
          <w:tab w:pos="2899" w:val="left" w:leader="none"/>
        </w:tabs>
        <w:spacing w:line="362" w:lineRule="exact"/>
        <w:ind w:left="990"/>
      </w:pPr>
      <w:r>
        <w:rPr>
          <w:rFonts w:ascii="Microsoft JhengHei" w:eastAsia="Microsoft JhengHei" w:hint="eastAsia"/>
          <w:b/>
          <w:position w:val="-1"/>
          <w:sz w:val="24"/>
        </w:rPr>
        <w:t>终末期肾病（或</w:t>
        <w:tab/>
      </w:r>
      <w:r>
        <w:rPr/>
        <w:t>指双肾功能慢性不可逆性衰竭</w:t>
      </w:r>
      <w:r>
        <w:rPr>
          <w:spacing w:val="-18"/>
        </w:rPr>
        <w:t>，</w:t>
      </w:r>
      <w:r>
        <w:rPr/>
        <w:t>达到尿毒症期</w:t>
      </w:r>
      <w:r>
        <w:rPr>
          <w:spacing w:val="-18"/>
        </w:rPr>
        <w:t>，</w:t>
      </w:r>
      <w:r>
        <w:rPr/>
        <w:t>经诊断后已经进行了至少90天</w:t>
      </w:r>
    </w:p>
    <w:p>
      <w:pPr>
        <w:spacing w:after="0" w:line="362" w:lineRule="exact"/>
        <w:sectPr>
          <w:type w:val="continuous"/>
          <w:pgSz w:w="11910" w:h="16840"/>
          <w:pgMar w:top="760" w:bottom="860" w:left="940" w:right="740"/>
        </w:sectPr>
      </w:pPr>
    </w:p>
    <w:p>
      <w:pPr>
        <w:pStyle w:val="BodyText"/>
        <w:rPr>
          <w:sz w:val="20"/>
        </w:rPr>
      </w:pPr>
    </w:p>
    <w:p>
      <w:pPr>
        <w:pStyle w:val="BodyText"/>
      </w:pPr>
    </w:p>
    <w:p>
      <w:pPr>
        <w:spacing w:after="0"/>
        <w:sectPr>
          <w:pgSz w:w="11910" w:h="16840"/>
          <w:pgMar w:header="594" w:footer="666" w:top="820" w:bottom="860" w:left="940" w:right="740"/>
        </w:sectPr>
      </w:pPr>
    </w:p>
    <w:p>
      <w:pPr>
        <w:pStyle w:val="Heading2"/>
        <w:spacing w:line="182" w:lineRule="auto" w:before="36"/>
      </w:pPr>
      <w:r>
        <w:rPr/>
        <w:t>称慢性肾功能衰竭尿毒症期）</w:t>
      </w:r>
    </w:p>
    <w:p>
      <w:pPr>
        <w:pStyle w:val="BodyText"/>
        <w:spacing w:before="53"/>
        <w:ind w:left="173"/>
      </w:pPr>
      <w:r>
        <w:rPr/>
        <w:br w:type="column"/>
      </w:r>
      <w:r>
        <w:rPr/>
        <w:t>的规律性透析治疗或实施了肾脏移植手术。</w:t>
      </w:r>
    </w:p>
    <w:p>
      <w:pPr>
        <w:spacing w:after="0"/>
        <w:sectPr>
          <w:type w:val="continuous"/>
          <w:pgSz w:w="11910" w:h="16840"/>
          <w:pgMar w:top="760" w:bottom="860" w:left="940" w:right="740"/>
          <w:cols w:num="2" w:equalWidth="0">
            <w:col w:w="2687" w:space="40"/>
            <w:col w:w="7503"/>
          </w:cols>
        </w:sectPr>
      </w:pPr>
    </w:p>
    <w:p>
      <w:pPr>
        <w:pStyle w:val="BodyText"/>
        <w:spacing w:before="1"/>
        <w:rPr>
          <w:sz w:val="18"/>
        </w:rPr>
      </w:pPr>
    </w:p>
    <w:p>
      <w:pPr>
        <w:pStyle w:val="BodyText"/>
        <w:tabs>
          <w:tab w:pos="2899" w:val="left" w:leader="none"/>
        </w:tabs>
        <w:spacing w:line="359" w:lineRule="exact"/>
        <w:ind w:left="990"/>
      </w:pPr>
      <w:r>
        <w:rPr>
          <w:rFonts w:ascii="Microsoft JhengHei" w:eastAsia="Microsoft JhengHei" w:hint="eastAsia"/>
          <w:b/>
          <w:position w:val="-2"/>
          <w:sz w:val="24"/>
        </w:rPr>
        <w:t>多个肢体缺失</w:t>
        <w:tab/>
      </w:r>
      <w:r>
        <w:rPr/>
        <w:t>指因疾病或意外伤害导致两个或两个以上肢体自腕关节或踝关节近</w:t>
      </w:r>
      <w:r>
        <w:rPr>
          <w:spacing w:val="-36"/>
        </w:rPr>
        <w:t>端</w:t>
      </w:r>
      <w:r>
        <w:rPr/>
        <w:t>（靠近躯</w:t>
      </w:r>
    </w:p>
    <w:p>
      <w:pPr>
        <w:pStyle w:val="BodyText"/>
        <w:spacing w:line="263" w:lineRule="exact"/>
        <w:ind w:left="2900"/>
      </w:pPr>
      <w:r>
        <w:rPr/>
        <w:t>干端）以上完全性断离。</w:t>
      </w:r>
    </w:p>
    <w:p>
      <w:pPr>
        <w:pStyle w:val="BodyText"/>
        <w:spacing w:before="6"/>
        <w:rPr>
          <w:sz w:val="18"/>
        </w:rPr>
      </w:pPr>
    </w:p>
    <w:p>
      <w:pPr>
        <w:spacing w:after="0"/>
        <w:rPr>
          <w:sz w:val="18"/>
        </w:rPr>
        <w:sectPr>
          <w:type w:val="continuous"/>
          <w:pgSz w:w="11910" w:h="16840"/>
          <w:pgMar w:top="760" w:bottom="860" w:left="940" w:right="740"/>
        </w:sectPr>
      </w:pPr>
    </w:p>
    <w:p>
      <w:pPr>
        <w:pStyle w:val="Heading2"/>
        <w:spacing w:line="182" w:lineRule="auto" w:before="36"/>
      </w:pPr>
      <w:r>
        <w:rPr/>
        <w:t>急性或亚急性重症肝炎</w:t>
      </w:r>
    </w:p>
    <w:p>
      <w:pPr>
        <w:pStyle w:val="BodyText"/>
        <w:spacing w:line="273" w:lineRule="auto" w:before="53"/>
        <w:ind w:left="173" w:right="163"/>
      </w:pPr>
      <w:r>
        <w:rPr/>
        <w:br w:type="column"/>
      </w:r>
      <w:r>
        <w:rPr/>
        <w:t>指因肝炎病毒感染引起肝脏组织弥漫性坏死，导致急性肝功能衰竭，且经血清学或病毒学检查证实，并须满足下列全部条件：</w:t>
      </w:r>
    </w:p>
    <w:p>
      <w:pPr>
        <w:pStyle w:val="BodyText"/>
        <w:spacing w:before="56"/>
        <w:ind w:left="173"/>
      </w:pPr>
      <w:r>
        <w:rPr/>
        <w:t>（1）重度黄疸或黄疸迅速加重；</w:t>
      </w:r>
    </w:p>
    <w:p>
      <w:pPr>
        <w:pStyle w:val="BodyText"/>
        <w:spacing w:before="87"/>
        <w:ind w:left="173"/>
      </w:pPr>
      <w:r>
        <w:rPr/>
        <w:t>（2）肝性脑病；</w:t>
      </w:r>
    </w:p>
    <w:p>
      <w:pPr>
        <w:pStyle w:val="BodyText"/>
        <w:spacing w:before="88"/>
        <w:ind w:left="173"/>
      </w:pPr>
      <w:r>
        <w:rPr/>
        <w:t>（3）B超或其他影像学检查显示肝脏体积急速萎缩；</w:t>
      </w:r>
    </w:p>
    <w:p>
      <w:pPr>
        <w:pStyle w:val="BodyText"/>
        <w:spacing w:before="65"/>
        <w:ind w:left="173"/>
      </w:pPr>
      <w:r>
        <w:rPr/>
        <w:t>（4）肝功能指标进行性恶化。</w:t>
      </w:r>
    </w:p>
    <w:p>
      <w:pPr>
        <w:spacing w:after="0"/>
        <w:sectPr>
          <w:type w:val="continuous"/>
          <w:pgSz w:w="11910" w:h="16840"/>
          <w:pgMar w:top="760" w:bottom="860" w:left="940" w:right="740"/>
          <w:cols w:num="2" w:equalWidth="0">
            <w:col w:w="2687" w:space="40"/>
            <w:col w:w="7503"/>
          </w:cols>
        </w:sectPr>
      </w:pPr>
    </w:p>
    <w:p>
      <w:pPr>
        <w:pStyle w:val="BodyText"/>
        <w:spacing w:before="5"/>
        <w:rPr>
          <w:sz w:val="18"/>
        </w:rPr>
      </w:pPr>
    </w:p>
    <w:p>
      <w:pPr>
        <w:pStyle w:val="BodyText"/>
        <w:tabs>
          <w:tab w:pos="2899" w:val="left" w:leader="none"/>
        </w:tabs>
        <w:spacing w:line="349" w:lineRule="exact"/>
        <w:ind w:left="990"/>
      </w:pPr>
      <w:r>
        <w:rPr>
          <w:rFonts w:ascii="Microsoft JhengHei" w:eastAsia="Microsoft JhengHei" w:hint="eastAsia"/>
          <w:b/>
          <w:position w:val="1"/>
          <w:sz w:val="24"/>
        </w:rPr>
        <w:t>良性脑肿瘤</w:t>
        <w:tab/>
      </w:r>
      <w:r>
        <w:rPr/>
        <w:t>指脑的良性肿瘤</w:t>
      </w:r>
      <w:r>
        <w:rPr>
          <w:spacing w:val="-12"/>
        </w:rPr>
        <w:t>，</w:t>
      </w:r>
      <w:r>
        <w:rPr/>
        <w:t>已经引起颅内压增高</w:t>
      </w:r>
      <w:r>
        <w:rPr>
          <w:spacing w:val="-12"/>
        </w:rPr>
        <w:t>，</w:t>
      </w:r>
      <w:r>
        <w:rPr/>
        <w:t>临床表现为视神经乳头水肿</w:t>
      </w:r>
      <w:r>
        <w:rPr>
          <w:spacing w:val="-12"/>
        </w:rPr>
        <w:t>、</w:t>
      </w:r>
      <w:r>
        <w:rPr/>
        <w:t>精神症</w:t>
      </w:r>
    </w:p>
    <w:p>
      <w:pPr>
        <w:pStyle w:val="BodyText"/>
        <w:spacing w:line="256" w:lineRule="auto" w:before="15"/>
        <w:ind w:left="2900" w:right="217"/>
        <w:jc w:val="both"/>
      </w:pPr>
      <w:r>
        <w:rPr>
          <w:spacing w:val="-7"/>
        </w:rPr>
        <w:t>状、癫痫及运动感觉障碍等，并危及生命。须由头颅断层扫描</w:t>
      </w:r>
      <w:r>
        <w:rPr>
          <w:spacing w:val="-5"/>
        </w:rPr>
        <w:t>（</w:t>
      </w:r>
      <w:r>
        <w:rPr>
          <w:rFonts w:ascii="Times New Roman" w:eastAsia="Times New Roman"/>
          <w:spacing w:val="-5"/>
        </w:rPr>
        <w:t>CT</w:t>
      </w:r>
      <w:r>
        <w:rPr>
          <w:spacing w:val="-5"/>
        </w:rPr>
        <w:t>）、核磁共振检查（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）等影像学检查证实，并须满足下列至少一项条件：</w:t>
      </w:r>
    </w:p>
    <w:p>
      <w:pPr>
        <w:pStyle w:val="BodyText"/>
        <w:spacing w:before="71"/>
        <w:ind w:left="2900"/>
        <w:jc w:val="both"/>
      </w:pPr>
      <w:r>
        <w:rPr/>
        <w:t>（1）实际实施了开颅进行的脑肿瘤完全切除或部分切除的手术；</w:t>
      </w:r>
    </w:p>
    <w:p>
      <w:pPr>
        <w:pStyle w:val="BodyText"/>
        <w:spacing w:before="88"/>
        <w:ind w:left="2900"/>
        <w:jc w:val="both"/>
      </w:pPr>
      <w:r>
        <w:rPr/>
        <w:t>（2）实际实施了对脑肿瘤进行的放射治疗。</w:t>
      </w:r>
    </w:p>
    <w:p>
      <w:pPr>
        <w:pStyle w:val="BodyText"/>
        <w:spacing w:before="65"/>
        <w:ind w:left="2900"/>
        <w:jc w:val="both"/>
      </w:pPr>
      <w:r>
        <w:rPr>
          <w:shd w:fill="D9D9D9" w:color="auto" w:val="clear"/>
        </w:rPr>
        <w:t>脑垂体瘤、脑囊肿、脑血管性疾病不在保障范围内。</w:t>
      </w:r>
    </w:p>
    <w:p>
      <w:pPr>
        <w:pStyle w:val="BodyText"/>
        <w:spacing w:before="6"/>
        <w:rPr>
          <w:sz w:val="17"/>
        </w:rPr>
      </w:pPr>
    </w:p>
    <w:p>
      <w:pPr>
        <w:spacing w:after="0"/>
        <w:rPr>
          <w:sz w:val="17"/>
        </w:rPr>
        <w:sectPr>
          <w:type w:val="continuous"/>
          <w:pgSz w:w="11910" w:h="16840"/>
          <w:pgMar w:top="760" w:bottom="860" w:left="940" w:right="740"/>
        </w:sectPr>
      </w:pPr>
    </w:p>
    <w:p>
      <w:pPr>
        <w:pStyle w:val="Heading2"/>
        <w:spacing w:line="182" w:lineRule="auto" w:before="48"/>
      </w:pPr>
      <w:r>
        <w:rPr/>
        <w:t>慢性肝功能衰竭失代偿期</w:t>
      </w:r>
    </w:p>
    <w:p>
      <w:pPr>
        <w:pStyle w:val="BodyText"/>
        <w:spacing w:before="35"/>
        <w:ind w:left="173"/>
      </w:pPr>
      <w:r>
        <w:rPr/>
        <w:br w:type="column"/>
      </w:r>
      <w:r>
        <w:rPr/>
        <w:t>指因慢性肝脏疾病导致肝功能衰竭。须满足下列全部条件：</w:t>
      </w:r>
    </w:p>
    <w:p>
      <w:pPr>
        <w:pStyle w:val="BodyText"/>
        <w:spacing w:before="37"/>
        <w:ind w:left="173"/>
      </w:pPr>
      <w:r>
        <w:rPr/>
        <w:t>（1）持续性黄疸；</w:t>
      </w:r>
    </w:p>
    <w:p>
      <w:pPr>
        <w:pStyle w:val="BodyText"/>
        <w:spacing w:before="37"/>
        <w:ind w:left="173"/>
      </w:pPr>
      <w:r>
        <w:rPr/>
        <w:t>（2）腹水；</w:t>
      </w:r>
    </w:p>
    <w:p>
      <w:pPr>
        <w:pStyle w:val="BodyText"/>
        <w:spacing w:before="37"/>
        <w:ind w:left="173"/>
      </w:pPr>
      <w:r>
        <w:rPr/>
        <w:t>（3）肝性脑病；</w:t>
      </w:r>
    </w:p>
    <w:p>
      <w:pPr>
        <w:pStyle w:val="BodyText"/>
        <w:spacing w:line="273" w:lineRule="auto" w:before="37"/>
        <w:ind w:left="173" w:right="2178"/>
      </w:pPr>
      <w:r>
        <w:rPr/>
        <w:t>（4）充血性脾肿大伴脾功能亢进或食管胃底静脉曲张。</w:t>
      </w:r>
      <w:r>
        <w:rPr>
          <w:shd w:fill="D9D9D9" w:color="auto" w:val="clear"/>
        </w:rPr>
        <w:t>因酗酒或药物滥用导致的肝功能衰竭不在保障范围内。</w:t>
      </w:r>
    </w:p>
    <w:p>
      <w:pPr>
        <w:spacing w:after="0" w:line="273" w:lineRule="auto"/>
        <w:sectPr>
          <w:type w:val="continuous"/>
          <w:pgSz w:w="11910" w:h="16840"/>
          <w:pgMar w:top="760" w:bottom="860" w:left="940" w:right="740"/>
          <w:cols w:num="2" w:equalWidth="0">
            <w:col w:w="2687" w:space="40"/>
            <w:col w:w="7503"/>
          </w:cols>
        </w:sectPr>
      </w:pPr>
    </w:p>
    <w:p>
      <w:pPr>
        <w:pStyle w:val="BodyText"/>
        <w:spacing w:before="2"/>
        <w:rPr>
          <w:sz w:val="15"/>
        </w:rPr>
      </w:pPr>
    </w:p>
    <w:p>
      <w:pPr>
        <w:spacing w:after="0"/>
        <w:rPr>
          <w:sz w:val="15"/>
        </w:rPr>
        <w:sectPr>
          <w:type w:val="continuous"/>
          <w:pgSz w:w="11910" w:h="16840"/>
          <w:pgMar w:top="760" w:bottom="860" w:left="940" w:right="740"/>
        </w:sectPr>
      </w:pPr>
    </w:p>
    <w:p>
      <w:pPr>
        <w:pStyle w:val="Heading2"/>
        <w:spacing w:line="182" w:lineRule="auto" w:before="49"/>
      </w:pPr>
      <w:r>
        <w:rPr/>
        <w:t>脑炎后遗症或脑膜炎后遗症</w:t>
      </w:r>
    </w:p>
    <w:p>
      <w:pPr>
        <w:pStyle w:val="BodyText"/>
        <w:spacing w:line="273" w:lineRule="auto" w:before="36"/>
        <w:ind w:left="173" w:right="163"/>
      </w:pPr>
      <w:r>
        <w:rPr/>
        <w:br w:type="column"/>
      </w:r>
      <w:r>
        <w:rPr/>
        <w:t>指因患脑炎或脑膜炎导致的神经系统永久性的功能障碍。神经系统永久性的功能障碍，指疾病确诊180天后，仍遗留下列一种或一种以上障碍：</w:t>
      </w:r>
    </w:p>
    <w:p>
      <w:pPr>
        <w:pStyle w:val="BodyText"/>
        <w:spacing w:before="7"/>
        <w:ind w:left="173"/>
      </w:pPr>
      <w:r>
        <w:rPr/>
        <w:t>（1）一肢或一肢以上肢体机能完全丧失；</w:t>
      </w:r>
    </w:p>
    <w:p>
      <w:pPr>
        <w:pStyle w:val="BodyText"/>
        <w:spacing w:before="36"/>
        <w:ind w:left="173"/>
      </w:pPr>
      <w:r>
        <w:rPr/>
        <w:t>（2）语言能力或咀嚼吞咽能力完全丧失；</w:t>
      </w:r>
    </w:p>
    <w:p>
      <w:pPr>
        <w:pStyle w:val="BodyText"/>
        <w:spacing w:line="273" w:lineRule="auto" w:before="36"/>
        <w:ind w:left="699" w:right="213" w:hanging="526"/>
      </w:pPr>
      <w:r>
        <w:rPr/>
        <w:t>（3）自主生活能力完全丧失，无法独立完成六项基本日常生活活动中的三项或三项以上。</w:t>
      </w:r>
    </w:p>
    <w:p>
      <w:pPr>
        <w:spacing w:after="0" w:line="273" w:lineRule="auto"/>
        <w:sectPr>
          <w:type w:val="continuous"/>
          <w:pgSz w:w="11910" w:h="16840"/>
          <w:pgMar w:top="760" w:bottom="860" w:left="940" w:right="740"/>
          <w:cols w:num="2" w:equalWidth="0">
            <w:col w:w="2687" w:space="40"/>
            <w:col w:w="7503"/>
          </w:cols>
        </w:sectPr>
      </w:pPr>
    </w:p>
    <w:p>
      <w:pPr>
        <w:pStyle w:val="BodyText"/>
        <w:spacing w:before="2"/>
        <w:rPr>
          <w:sz w:val="15"/>
        </w:rPr>
      </w:pPr>
    </w:p>
    <w:p>
      <w:pPr>
        <w:pStyle w:val="BodyText"/>
        <w:tabs>
          <w:tab w:pos="2899" w:val="left" w:leader="none"/>
        </w:tabs>
        <w:spacing w:line="355" w:lineRule="exact"/>
        <w:ind w:left="990"/>
      </w:pPr>
      <w:r>
        <w:rPr>
          <w:rFonts w:ascii="Microsoft JhengHei" w:eastAsia="Microsoft JhengHei" w:hint="eastAsia"/>
          <w:b/>
          <w:position w:val="-1"/>
          <w:sz w:val="24"/>
        </w:rPr>
        <w:t>深度昏迷</w:t>
        <w:tab/>
      </w:r>
      <w:r>
        <w:rPr/>
        <w:t>指因疾病或意外伤害导致意识丧失</w:t>
      </w:r>
      <w:r>
        <w:rPr>
          <w:spacing w:val="-18"/>
        </w:rPr>
        <w:t>，</w:t>
      </w:r>
      <w:r>
        <w:rPr/>
        <w:t>对外界刺激和体内需求均无反应</w:t>
      </w:r>
      <w:r>
        <w:rPr>
          <w:spacing w:val="-18"/>
        </w:rPr>
        <w:t>，</w:t>
      </w:r>
      <w:r>
        <w:rPr/>
        <w:t>昏迷程</w:t>
      </w:r>
    </w:p>
    <w:p>
      <w:pPr>
        <w:pStyle w:val="BodyText"/>
        <w:spacing w:line="273" w:lineRule="auto"/>
        <w:ind w:left="2900" w:right="164"/>
      </w:pPr>
      <w:r>
        <w:rPr/>
        <w:t>度按照格拉斯哥昏迷分级（Glasgow coma scale）结果为5分或5分以下，且已经持续使用呼吸机及其他生命维持系统96小时以上。</w:t>
      </w:r>
    </w:p>
    <w:p>
      <w:pPr>
        <w:pStyle w:val="BodyText"/>
        <w:spacing w:before="15"/>
        <w:ind w:left="2900"/>
      </w:pPr>
      <w:r>
        <w:rPr>
          <w:shd w:fill="D9D9D9" w:color="auto" w:val="clear"/>
        </w:rPr>
        <w:t>因酗酒或药物滥用导致的深度昏迷不在保障范围内。</w:t>
      </w:r>
    </w:p>
    <w:p>
      <w:pPr>
        <w:tabs>
          <w:tab w:pos="2899" w:val="left" w:leader="none"/>
        </w:tabs>
        <w:spacing w:line="411" w:lineRule="exact" w:before="174"/>
        <w:ind w:left="990" w:right="0" w:firstLine="0"/>
        <w:jc w:val="left"/>
        <w:rPr>
          <w:sz w:val="21"/>
        </w:rPr>
      </w:pPr>
      <w:r>
        <w:rPr>
          <w:rFonts w:ascii="Microsoft JhengHei" w:eastAsia="Microsoft JhengHei" w:hint="eastAsia"/>
          <w:b/>
          <w:position w:val="-1"/>
          <w:sz w:val="24"/>
        </w:rPr>
        <w:t>双耳失聪</w:t>
        <w:tab/>
      </w:r>
      <w:r>
        <w:rPr>
          <w:w w:val="95"/>
          <w:sz w:val="21"/>
        </w:rPr>
        <w:t>指因疾病或意外伤害导致双耳听力</w:t>
      </w:r>
      <w:r>
        <w:rPr>
          <w:rFonts w:ascii="黑体" w:eastAsia="黑体" w:hint="eastAsia"/>
          <w:b/>
          <w:w w:val="95"/>
          <w:sz w:val="21"/>
        </w:rPr>
        <w:t>永久不可</w:t>
      </w:r>
      <w:r>
        <w:rPr>
          <w:rFonts w:ascii="黑体" w:eastAsia="黑体" w:hint="eastAsia"/>
          <w:b/>
          <w:spacing w:val="-14"/>
          <w:w w:val="95"/>
          <w:sz w:val="21"/>
        </w:rPr>
        <w:t>逆</w:t>
      </w:r>
      <w:r>
        <w:rPr>
          <w:w w:val="95"/>
          <w:sz w:val="21"/>
        </w:rPr>
        <w:t>（见</w:t>
      </w:r>
      <w:r>
        <w:rPr>
          <w:spacing w:val="-3"/>
          <w:w w:val="95"/>
          <w:sz w:val="21"/>
        </w:rPr>
        <w:t>7.11）</w:t>
      </w:r>
      <w:r>
        <w:rPr>
          <w:w w:val="95"/>
          <w:sz w:val="21"/>
        </w:rPr>
        <w:t>性丧失</w:t>
      </w:r>
      <w:r>
        <w:rPr>
          <w:spacing w:val="-14"/>
          <w:w w:val="95"/>
          <w:sz w:val="21"/>
        </w:rPr>
        <w:t>，</w:t>
      </w:r>
      <w:r>
        <w:rPr>
          <w:w w:val="95"/>
          <w:sz w:val="21"/>
        </w:rPr>
        <w:t>在500赫兹、</w:t>
      </w:r>
    </w:p>
    <w:p>
      <w:pPr>
        <w:pStyle w:val="BodyText"/>
        <w:spacing w:line="273" w:lineRule="auto"/>
        <w:ind w:left="2900" w:right="183"/>
      </w:pPr>
      <w:r>
        <w:rPr/>
        <w:t>1000赫兹和2000赫兹语音频率下，平均听阈大于90分贝，且经纯音听力测试、声导抗检测或听觉诱发电位检测等证实。</w:t>
      </w:r>
    </w:p>
    <w:p>
      <w:pPr>
        <w:pStyle w:val="BodyText"/>
        <w:spacing w:before="14"/>
        <w:ind w:left="2900"/>
      </w:pPr>
      <w:r>
        <w:rPr>
          <w:shd w:fill="D9D9D9" w:color="auto" w:val="clear"/>
        </w:rPr>
        <w:t>在0至3周岁保单周年日期间，被保险人双耳失聪不在保障范围内。</w:t>
      </w:r>
    </w:p>
    <w:p>
      <w:pPr>
        <w:spacing w:after="0"/>
        <w:sectPr>
          <w:type w:val="continuous"/>
          <w:pgSz w:w="11910" w:h="16840"/>
          <w:pgMar w:top="760" w:bottom="860" w:left="940" w:right="740"/>
        </w:sectPr>
      </w:pPr>
    </w:p>
    <w:p>
      <w:pPr>
        <w:pStyle w:val="BodyText"/>
        <w:rPr>
          <w:sz w:val="20"/>
        </w:rPr>
      </w:pPr>
    </w:p>
    <w:p>
      <w:pPr>
        <w:pStyle w:val="BodyText"/>
        <w:spacing w:before="5"/>
        <w:rPr>
          <w:sz w:val="22"/>
        </w:rPr>
      </w:pPr>
    </w:p>
    <w:p>
      <w:pPr>
        <w:pStyle w:val="BodyText"/>
        <w:tabs>
          <w:tab w:pos="2899" w:val="left" w:leader="none"/>
        </w:tabs>
        <w:spacing w:line="354" w:lineRule="exact"/>
        <w:ind w:left="990"/>
      </w:pPr>
      <w:r>
        <w:rPr>
          <w:rFonts w:ascii="Microsoft JhengHei" w:eastAsia="Microsoft JhengHei" w:hint="eastAsia"/>
          <w:b/>
          <w:position w:val="-1"/>
          <w:sz w:val="24"/>
        </w:rPr>
        <w:t>双目失明</w:t>
        <w:tab/>
      </w:r>
      <w:r>
        <w:rPr/>
        <w:t>指因疾病或意外伤害导致双眼视力永久不可逆性丧失</w:t>
      </w:r>
      <w:r>
        <w:rPr>
          <w:spacing w:val="-36"/>
        </w:rPr>
        <w:t>，</w:t>
      </w:r>
      <w:r>
        <w:rPr/>
        <w:t>双眼中较好眼须满足下</w:t>
      </w:r>
    </w:p>
    <w:p>
      <w:pPr>
        <w:pStyle w:val="BodyText"/>
        <w:spacing w:line="268" w:lineRule="exact"/>
        <w:ind w:left="2900"/>
      </w:pPr>
      <w:r>
        <w:rPr/>
        <w:t>列至少一项条件：</w:t>
      </w:r>
    </w:p>
    <w:p>
      <w:pPr>
        <w:pStyle w:val="BodyText"/>
        <w:spacing w:before="37"/>
        <w:ind w:left="2900"/>
      </w:pPr>
      <w:r>
        <w:rPr/>
        <w:t>（1）眼球缺失或摘除；</w:t>
      </w:r>
    </w:p>
    <w:p>
      <w:pPr>
        <w:pStyle w:val="BodyText"/>
        <w:spacing w:line="273" w:lineRule="auto" w:before="37"/>
        <w:ind w:left="3425" w:right="216" w:hanging="526"/>
      </w:pPr>
      <w:r>
        <w:rPr/>
        <w:t>（2）矫正视力低于0.02（采用国际标准视力表，如果使用其他视力表应进行换算）；</w:t>
      </w:r>
    </w:p>
    <w:p>
      <w:pPr>
        <w:pStyle w:val="BodyText"/>
        <w:spacing w:before="7"/>
        <w:ind w:left="2900"/>
      </w:pPr>
      <w:r>
        <w:rPr/>
        <w:t>（3）视野半径小于5度。</w:t>
      </w:r>
    </w:p>
    <w:p>
      <w:pPr>
        <w:pStyle w:val="BodyText"/>
        <w:spacing w:before="12"/>
        <w:rPr>
          <w:sz w:val="15"/>
        </w:rPr>
      </w:pPr>
    </w:p>
    <w:p>
      <w:pPr>
        <w:pStyle w:val="BodyText"/>
        <w:tabs>
          <w:tab w:pos="2899" w:val="left" w:leader="none"/>
        </w:tabs>
        <w:spacing w:line="223" w:lineRule="auto"/>
        <w:ind w:left="2900" w:right="218" w:hanging="1910"/>
      </w:pPr>
      <w:r>
        <w:rPr>
          <w:rFonts w:ascii="Microsoft JhengHei" w:eastAsia="Microsoft JhengHei" w:hint="eastAsia"/>
          <w:b/>
          <w:position w:val="-2"/>
          <w:sz w:val="24"/>
        </w:rPr>
        <w:t>瘫痪</w:t>
        <w:tab/>
      </w:r>
      <w:r>
        <w:rPr/>
        <w:t>指因疾病或意外伤害导致两肢或两肢以上肢体机能永久完全丧失</w:t>
      </w:r>
      <w:r>
        <w:rPr>
          <w:spacing w:val="-36"/>
        </w:rPr>
        <w:t>。</w:t>
      </w:r>
      <w:r>
        <w:rPr/>
        <w:t>肢体机能永</w:t>
      </w:r>
      <w:r>
        <w:rPr>
          <w:spacing w:val="-1"/>
        </w:rPr>
        <w:t>久完</w:t>
      </w:r>
      <w:r>
        <w:rPr/>
        <w:t>全丧失</w:t>
      </w:r>
      <w:r>
        <w:rPr>
          <w:spacing w:val="-18"/>
        </w:rPr>
        <w:t>，</w:t>
      </w:r>
      <w:r>
        <w:rPr/>
        <w:t>指疾病确诊180天后或意外伤害发生180天后</w:t>
      </w:r>
      <w:r>
        <w:rPr>
          <w:spacing w:val="-20"/>
        </w:rPr>
        <w:t>，</w:t>
      </w:r>
      <w:r>
        <w:rPr/>
        <w:t>每肢三大关节中的</w:t>
      </w:r>
    </w:p>
    <w:p>
      <w:pPr>
        <w:pStyle w:val="BodyText"/>
        <w:spacing w:before="36"/>
        <w:ind w:left="2900"/>
      </w:pPr>
      <w:r>
        <w:rPr/>
        <w:t>两大关节仍然完全僵硬，或不能随意识活动。</w:t>
      </w:r>
    </w:p>
    <w:p>
      <w:pPr>
        <w:pStyle w:val="BodyText"/>
        <w:spacing w:before="11"/>
        <w:rPr>
          <w:sz w:val="13"/>
        </w:rPr>
      </w:pPr>
    </w:p>
    <w:p>
      <w:pPr>
        <w:pStyle w:val="BodyText"/>
        <w:tabs>
          <w:tab w:pos="2899" w:val="left" w:leader="none"/>
        </w:tabs>
        <w:spacing w:before="1"/>
        <w:ind w:left="990"/>
      </w:pPr>
      <w:r>
        <w:rPr>
          <w:rFonts w:ascii="Microsoft JhengHei" w:eastAsia="Microsoft JhengHei" w:hint="eastAsia"/>
          <w:b/>
          <w:position w:val="-2"/>
          <w:sz w:val="24"/>
        </w:rPr>
        <w:t>心脏瓣膜手术</w:t>
        <w:tab/>
      </w:r>
      <w:r>
        <w:rPr/>
        <w:t>指为治疗心脏瓣膜疾病，实际实施了开胸进行的心脏瓣膜置换或修复的手术。</w:t>
      </w:r>
    </w:p>
    <w:p>
      <w:pPr>
        <w:pStyle w:val="BodyText"/>
        <w:spacing w:before="10"/>
        <w:rPr>
          <w:sz w:val="17"/>
        </w:rPr>
      </w:pPr>
    </w:p>
    <w:p>
      <w:pPr>
        <w:spacing w:after="0"/>
        <w:rPr>
          <w:sz w:val="17"/>
        </w:rPr>
        <w:sectPr>
          <w:pgSz w:w="11910" w:h="16840"/>
          <w:pgMar w:header="594" w:footer="666" w:top="820" w:bottom="860" w:left="940" w:right="740"/>
        </w:sectPr>
      </w:pPr>
    </w:p>
    <w:p>
      <w:pPr>
        <w:pStyle w:val="Heading2"/>
        <w:spacing w:line="182" w:lineRule="auto" w:before="49"/>
      </w:pPr>
      <w:r>
        <w:rPr/>
        <w:t>严重阿尔茨海默病</w:t>
      </w:r>
    </w:p>
    <w:p>
      <w:pPr>
        <w:pStyle w:val="BodyText"/>
        <w:spacing w:line="273" w:lineRule="auto" w:before="36"/>
        <w:ind w:left="173" w:right="113"/>
      </w:pPr>
      <w:r>
        <w:rPr/>
        <w:br w:type="column"/>
      </w:r>
      <w:r>
        <w:rPr>
          <w:spacing w:val="-4"/>
        </w:rPr>
        <w:t>指因大脑进行性、不可逆性改变导致智能严重衰退或丧失，临床表现为明显的</w:t>
      </w:r>
      <w:r>
        <w:rPr>
          <w:spacing w:val="-14"/>
        </w:rPr>
        <w:t>认知能力障碍、行为异常和社交能力减退，其日常生活必须持续受到他人监护。</w:t>
      </w:r>
      <w:r>
        <w:rPr>
          <w:spacing w:val="-16"/>
        </w:rPr>
        <w:t>须由头颅断层扫描</w:t>
      </w:r>
      <w:r>
        <w:rPr>
          <w:spacing w:val="-7"/>
        </w:rPr>
        <w:t>（CT）</w:t>
      </w:r>
      <w:r>
        <w:rPr>
          <w:spacing w:val="-8"/>
        </w:rPr>
        <w:t>、核磁共振检查</w:t>
      </w:r>
      <w:r>
        <w:rPr>
          <w:spacing w:val="-6"/>
        </w:rPr>
        <w:t>（MRI）</w:t>
      </w:r>
      <w:r>
        <w:rPr>
          <w:spacing w:val="-3"/>
        </w:rPr>
        <w:t>或正电子发射断层扫描</w:t>
      </w:r>
      <w:r>
        <w:rPr/>
        <w:t>（PET） </w:t>
      </w:r>
      <w:r>
        <w:rPr>
          <w:spacing w:val="-3"/>
        </w:rPr>
        <w:t>等影像学检查证实，且自主生活能力完全丧失，无法独立完成六项基本日常生活活动中的三项或三项以上。</w:t>
      </w:r>
    </w:p>
    <w:p>
      <w:pPr>
        <w:pStyle w:val="BodyText"/>
        <w:spacing w:before="7"/>
        <w:ind w:left="173"/>
      </w:pPr>
      <w:r>
        <w:rPr>
          <w:shd w:fill="D9D9D9" w:color="auto" w:val="clear"/>
        </w:rPr>
        <w:t>神经官能症和精神疾病不在保障范围内。</w:t>
      </w:r>
    </w:p>
    <w:p>
      <w:pPr>
        <w:spacing w:after="0"/>
        <w:sectPr>
          <w:type w:val="continuous"/>
          <w:pgSz w:w="11910" w:h="16840"/>
          <w:pgMar w:top="760" w:bottom="860" w:left="940" w:right="740"/>
          <w:cols w:num="2" w:equalWidth="0">
            <w:col w:w="2687" w:space="40"/>
            <w:col w:w="7503"/>
          </w:cols>
        </w:sectPr>
      </w:pPr>
    </w:p>
    <w:p>
      <w:pPr>
        <w:pStyle w:val="BodyText"/>
        <w:spacing w:before="5"/>
        <w:rPr>
          <w:sz w:val="17"/>
        </w:rPr>
      </w:pPr>
    </w:p>
    <w:p>
      <w:pPr>
        <w:pStyle w:val="BodyText"/>
        <w:tabs>
          <w:tab w:pos="2899" w:val="left" w:leader="none"/>
        </w:tabs>
        <w:spacing w:line="355" w:lineRule="exact"/>
        <w:ind w:left="990"/>
      </w:pPr>
      <w:r>
        <w:rPr>
          <w:rFonts w:ascii="Microsoft JhengHei" w:eastAsia="Microsoft JhengHei" w:hint="eastAsia"/>
          <w:b/>
          <w:position w:val="-1"/>
          <w:sz w:val="24"/>
        </w:rPr>
        <w:t>严重脑损伤</w:t>
        <w:tab/>
      </w:r>
      <w:r>
        <w:rPr/>
        <w:t>指因头部遭受机械性外力</w:t>
      </w:r>
      <w:r>
        <w:rPr>
          <w:spacing w:val="-18"/>
        </w:rPr>
        <w:t>，</w:t>
      </w:r>
      <w:r>
        <w:rPr/>
        <w:t>引起脑重要部位损伤</w:t>
      </w:r>
      <w:r>
        <w:rPr>
          <w:spacing w:val="-18"/>
        </w:rPr>
        <w:t>，</w:t>
      </w:r>
      <w:r>
        <w:rPr/>
        <w:t>导致神经系统永久性的功能</w:t>
      </w:r>
    </w:p>
    <w:p>
      <w:pPr>
        <w:pStyle w:val="BodyText"/>
        <w:spacing w:line="273" w:lineRule="auto"/>
        <w:ind w:left="2900" w:right="112"/>
      </w:pPr>
      <w:r>
        <w:rPr/>
        <w:t>障碍。须由头颅断层扫描（CT）、核磁共振检查（MRI）或正电子发射断层扫 </w:t>
      </w:r>
      <w:r>
        <w:rPr>
          <w:spacing w:val="-35"/>
        </w:rPr>
        <w:t>描</w:t>
      </w:r>
      <w:r>
        <w:rPr>
          <w:spacing w:val="-7"/>
        </w:rPr>
        <w:t>（PET）</w:t>
      </w:r>
      <w:r>
        <w:rPr>
          <w:spacing w:val="-6"/>
        </w:rPr>
        <w:t>等影像学检查证实。神经系统永久性的功能障碍，指脑损伤</w:t>
      </w:r>
      <w:r>
        <w:rPr/>
        <w:t>180天后， 仍遗留下列一种或一种以上障碍：</w:t>
      </w:r>
    </w:p>
    <w:p>
      <w:pPr>
        <w:pStyle w:val="BodyText"/>
        <w:spacing w:before="15"/>
        <w:ind w:left="2900"/>
      </w:pPr>
      <w:r>
        <w:rPr/>
        <w:t>（1）一肢或一肢以上肢体机能完全丧失；</w:t>
      </w:r>
    </w:p>
    <w:p>
      <w:pPr>
        <w:pStyle w:val="BodyText"/>
        <w:spacing w:before="37"/>
        <w:ind w:left="2900"/>
      </w:pPr>
      <w:r>
        <w:rPr/>
        <w:t>（2）语言能力或咀嚼吞咽能力完全丧失；</w:t>
      </w:r>
    </w:p>
    <w:p>
      <w:pPr>
        <w:pStyle w:val="BodyText"/>
        <w:spacing w:line="273" w:lineRule="auto" w:before="37"/>
        <w:ind w:left="3425" w:right="213" w:hanging="526"/>
      </w:pPr>
      <w:r>
        <w:rPr/>
        <w:t>（3）自主生活能力完全丧失，无法独立完成六项基本日常生活活动中的三项或三项以上。</w:t>
      </w:r>
    </w:p>
    <w:p>
      <w:pPr>
        <w:pStyle w:val="BodyText"/>
        <w:tabs>
          <w:tab w:pos="2899" w:val="left" w:leader="none"/>
        </w:tabs>
        <w:spacing w:line="230" w:lineRule="auto" w:before="159"/>
        <w:ind w:left="2900" w:right="218" w:hanging="1910"/>
      </w:pPr>
      <w:r>
        <w:rPr>
          <w:rFonts w:ascii="Microsoft JhengHei" w:eastAsia="Microsoft JhengHei" w:hint="eastAsia"/>
          <w:b/>
          <w:position w:val="-1"/>
          <w:sz w:val="24"/>
        </w:rPr>
        <w:t>严重帕金森病</w:t>
        <w:tab/>
      </w:r>
      <w:r>
        <w:rPr/>
        <w:t>是一种中枢神经系统的退行性疾病</w:t>
      </w:r>
      <w:r>
        <w:rPr>
          <w:spacing w:val="-12"/>
        </w:rPr>
        <w:t>，</w:t>
      </w:r>
      <w:r>
        <w:rPr/>
        <w:t>临床表现为震颤麻痹</w:t>
      </w:r>
      <w:r>
        <w:rPr>
          <w:spacing w:val="-12"/>
        </w:rPr>
        <w:t>、</w:t>
      </w:r>
      <w:r>
        <w:rPr/>
        <w:t>共济失调等</w:t>
      </w:r>
      <w:r>
        <w:rPr>
          <w:spacing w:val="-12"/>
        </w:rPr>
        <w:t>。</w:t>
      </w:r>
      <w:r>
        <w:rPr/>
        <w:t>须满足下列全部条件：</w:t>
      </w:r>
    </w:p>
    <w:p>
      <w:pPr>
        <w:pStyle w:val="BodyText"/>
        <w:spacing w:before="37"/>
        <w:ind w:left="2900"/>
      </w:pPr>
      <w:r>
        <w:rPr/>
        <w:t>（1）药物治疗无法控制病情；</w:t>
      </w:r>
    </w:p>
    <w:p>
      <w:pPr>
        <w:pStyle w:val="BodyText"/>
        <w:spacing w:line="273" w:lineRule="auto" w:before="37"/>
        <w:ind w:left="3425" w:right="213" w:hanging="526"/>
      </w:pPr>
      <w:r>
        <w:rPr/>
        <w:t>（2）自主生活能力完全丧失，无法独立完成六项基本日常生活活动中的三项或三项以上。</w:t>
      </w:r>
    </w:p>
    <w:p>
      <w:pPr>
        <w:pStyle w:val="BodyText"/>
        <w:spacing w:before="7"/>
        <w:ind w:left="2900"/>
      </w:pPr>
      <w:r>
        <w:rPr>
          <w:shd w:fill="D9D9D9" w:color="auto" w:val="clear"/>
        </w:rPr>
        <w:t>继发性帕金森综合征不在保障范围内。</w:t>
      </w:r>
    </w:p>
    <w:p>
      <w:pPr>
        <w:pStyle w:val="BodyText"/>
        <w:rPr>
          <w:sz w:val="16"/>
        </w:rPr>
      </w:pPr>
    </w:p>
    <w:p>
      <w:pPr>
        <w:pStyle w:val="BodyText"/>
        <w:tabs>
          <w:tab w:pos="2899" w:val="left" w:leader="none"/>
        </w:tabs>
        <w:spacing w:line="223" w:lineRule="auto" w:before="1"/>
        <w:ind w:left="2900" w:right="218" w:hanging="1910"/>
      </w:pPr>
      <w:r>
        <w:rPr>
          <w:rFonts w:ascii="Microsoft JhengHei" w:hAnsi="Microsoft JhengHei" w:eastAsia="Microsoft JhengHei" w:hint="eastAsia"/>
          <w:b/>
          <w:position w:val="-2"/>
          <w:sz w:val="24"/>
        </w:rPr>
        <w:t>严重Ⅲ度烧伤</w:t>
        <w:tab/>
      </w:r>
      <w:r>
        <w:rPr/>
        <w:t>指烧伤程度为Ⅲ度</w:t>
      </w:r>
      <w:r>
        <w:rPr>
          <w:spacing w:val="-18"/>
        </w:rPr>
        <w:t>，</w:t>
      </w:r>
      <w:r>
        <w:rPr/>
        <w:t>且Ⅲ度烧伤的面积达到全身体表面积的20%或20%以上</w:t>
      </w:r>
      <w:r>
        <w:rPr>
          <w:spacing w:val="-18"/>
        </w:rPr>
        <w:t>。</w:t>
      </w:r>
      <w:r>
        <w:rPr/>
        <w:t>体表面积根据《中国新九分法》计算。</w:t>
      </w:r>
    </w:p>
    <w:p>
      <w:pPr>
        <w:pStyle w:val="BodyText"/>
        <w:spacing w:before="6"/>
        <w:rPr>
          <w:sz w:val="17"/>
        </w:rPr>
      </w:pPr>
    </w:p>
    <w:p>
      <w:pPr>
        <w:spacing w:after="0"/>
        <w:rPr>
          <w:sz w:val="17"/>
        </w:rPr>
        <w:sectPr>
          <w:type w:val="continuous"/>
          <w:pgSz w:w="11910" w:h="16840"/>
          <w:pgMar w:top="760" w:bottom="860" w:left="940" w:right="740"/>
        </w:sectPr>
      </w:pPr>
    </w:p>
    <w:p>
      <w:pPr>
        <w:pStyle w:val="Heading2"/>
        <w:spacing w:line="182" w:lineRule="auto" w:before="48"/>
      </w:pPr>
      <w:r>
        <w:rPr/>
        <w:t>严重原发性肺动脉高压</w:t>
      </w:r>
    </w:p>
    <w:p>
      <w:pPr>
        <w:pStyle w:val="BodyText"/>
        <w:spacing w:line="273" w:lineRule="auto" w:before="35"/>
        <w:ind w:left="173" w:right="218"/>
        <w:jc w:val="both"/>
      </w:pPr>
      <w:r>
        <w:rPr/>
        <w:br w:type="column"/>
      </w:r>
      <w:r>
        <w:rPr>
          <w:spacing w:val="-3"/>
        </w:rPr>
        <w:t>指不明原因的肺动脉压力持续性增高，进行性发展而导致的慢性疾病，已经造</w:t>
      </w:r>
      <w:r>
        <w:rPr>
          <w:spacing w:val="-5"/>
        </w:rPr>
        <w:t>成永久不可逆性的体力活动能力受限，达到美国纽约心脏病学会心功能状态分</w:t>
      </w:r>
      <w:r>
        <w:rPr>
          <w:spacing w:val="-1"/>
        </w:rPr>
        <w:t>级IV</w:t>
      </w:r>
      <w:r>
        <w:rPr/>
        <w:t>级，且静息状态下肺动脉平均压超过30mmHg。</w:t>
      </w:r>
    </w:p>
    <w:p>
      <w:pPr>
        <w:spacing w:after="0" w:line="273" w:lineRule="auto"/>
        <w:jc w:val="both"/>
        <w:sectPr>
          <w:type w:val="continuous"/>
          <w:pgSz w:w="11910" w:h="16840"/>
          <w:pgMar w:top="760" w:bottom="860" w:left="940" w:right="740"/>
          <w:cols w:num="2" w:equalWidth="0">
            <w:col w:w="2687" w:space="40"/>
            <w:col w:w="7503"/>
          </w:cols>
        </w:sectPr>
      </w:pPr>
    </w:p>
    <w:p>
      <w:pPr>
        <w:pStyle w:val="BodyText"/>
        <w:spacing w:before="10"/>
        <w:rPr>
          <w:sz w:val="24"/>
        </w:rPr>
      </w:pPr>
    </w:p>
    <w:p>
      <w:pPr>
        <w:spacing w:after="0"/>
        <w:rPr>
          <w:sz w:val="24"/>
        </w:rPr>
        <w:sectPr>
          <w:type w:val="continuous"/>
          <w:pgSz w:w="11910" w:h="16840"/>
          <w:pgMar w:top="760" w:bottom="860" w:left="940" w:right="740"/>
        </w:sectPr>
      </w:pPr>
    </w:p>
    <w:p>
      <w:pPr>
        <w:pStyle w:val="Heading2"/>
        <w:spacing w:line="182" w:lineRule="auto" w:before="48"/>
      </w:pPr>
      <w:r>
        <w:rPr/>
        <w:t>严重运动神经元病</w:t>
      </w:r>
    </w:p>
    <w:p>
      <w:pPr>
        <w:pStyle w:val="BodyText"/>
        <w:spacing w:line="273" w:lineRule="auto" w:before="36"/>
        <w:ind w:left="173" w:right="182"/>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w:t>
      </w:r>
    </w:p>
    <w:p>
      <w:pPr>
        <w:spacing w:after="0" w:line="273" w:lineRule="auto"/>
        <w:jc w:val="both"/>
        <w:sectPr>
          <w:type w:val="continuous"/>
          <w:pgSz w:w="11910" w:h="16840"/>
          <w:pgMar w:top="760" w:bottom="860" w:left="940" w:right="740"/>
          <w:cols w:num="2" w:equalWidth="0">
            <w:col w:w="2687" w:space="40"/>
            <w:col w:w="7503"/>
          </w:cols>
        </w:sectPr>
      </w:pPr>
    </w:p>
    <w:p>
      <w:pPr>
        <w:pStyle w:val="BodyText"/>
        <w:rPr>
          <w:sz w:val="20"/>
        </w:rPr>
      </w:pPr>
    </w:p>
    <w:p>
      <w:pPr>
        <w:pStyle w:val="BodyText"/>
        <w:spacing w:before="5"/>
        <w:rPr>
          <w:sz w:val="22"/>
        </w:rPr>
      </w:pPr>
    </w:p>
    <w:p>
      <w:pPr>
        <w:pStyle w:val="BodyText"/>
        <w:spacing w:before="35"/>
        <w:ind w:left="2900"/>
      </w:pPr>
      <w:r>
        <w:rPr/>
        <w:t>条件。</w:t>
      </w:r>
    </w:p>
    <w:p>
      <w:pPr>
        <w:pStyle w:val="BodyText"/>
        <w:spacing w:before="5"/>
        <w:rPr>
          <w:sz w:val="19"/>
        </w:rPr>
      </w:pPr>
    </w:p>
    <w:p>
      <w:pPr>
        <w:pStyle w:val="BodyText"/>
        <w:tabs>
          <w:tab w:pos="2899" w:val="left" w:leader="none"/>
        </w:tabs>
        <w:spacing w:line="230" w:lineRule="auto"/>
        <w:ind w:left="2900" w:right="117" w:hanging="1910"/>
      </w:pPr>
      <w:r>
        <w:rPr>
          <w:rFonts w:ascii="Microsoft JhengHei" w:eastAsia="Microsoft JhengHei" w:hint="eastAsia"/>
          <w:b/>
          <w:position w:val="-1"/>
          <w:sz w:val="24"/>
        </w:rPr>
        <w:t>语言能力丧失</w:t>
        <w:tab/>
      </w:r>
      <w:r>
        <w:rPr>
          <w:spacing w:val="-1"/>
        </w:rPr>
        <w:t>指因</w:t>
      </w:r>
      <w:r>
        <w:rPr/>
        <w:t>疾病或意外伤害导致完全丧失语言能力</w:t>
      </w:r>
      <w:r>
        <w:rPr>
          <w:spacing w:val="-18"/>
        </w:rPr>
        <w:t>，</w:t>
      </w:r>
      <w:r>
        <w:rPr/>
        <w:t>经过积极治疗至少12个</w:t>
      </w:r>
      <w:r>
        <w:rPr>
          <w:spacing w:val="-18"/>
        </w:rPr>
        <w:t>月</w:t>
      </w:r>
      <w:r>
        <w:rPr/>
        <w:t>（声带完全切除不受此时间限制），仍无法通过现有医疗手段恢复。</w:t>
      </w:r>
    </w:p>
    <w:p>
      <w:pPr>
        <w:pStyle w:val="BodyText"/>
        <w:spacing w:before="36"/>
        <w:ind w:left="2900"/>
      </w:pPr>
      <w:r>
        <w:rPr>
          <w:shd w:fill="D9D9D9" w:color="auto" w:val="clear"/>
        </w:rPr>
        <w:t>精神心理因素所致的语言能力丧失不在保障范围内。</w:t>
      </w:r>
    </w:p>
    <w:p>
      <w:pPr>
        <w:pStyle w:val="BodyText"/>
        <w:spacing w:before="36"/>
        <w:ind w:left="2900"/>
      </w:pPr>
      <w:r>
        <w:rPr>
          <w:shd w:fill="D9D9D9" w:color="auto" w:val="clear"/>
        </w:rPr>
        <w:t>在0至3周岁保单周年日期间，被保险人语言能力丧失不在保障范围内</w:t>
      </w:r>
      <w:r>
        <w:rPr/>
        <w:t>。</w:t>
      </w:r>
    </w:p>
    <w:p>
      <w:pPr>
        <w:pStyle w:val="BodyText"/>
        <w:spacing w:before="5"/>
        <w:rPr>
          <w:sz w:val="17"/>
        </w:rPr>
      </w:pPr>
    </w:p>
    <w:p>
      <w:pPr>
        <w:spacing w:after="0"/>
        <w:rPr>
          <w:sz w:val="17"/>
        </w:rPr>
        <w:sectPr>
          <w:pgSz w:w="11910" w:h="16840"/>
          <w:pgMar w:header="594" w:footer="666" w:top="820" w:bottom="860" w:left="940" w:right="840"/>
        </w:sectPr>
      </w:pPr>
    </w:p>
    <w:p>
      <w:pPr>
        <w:pStyle w:val="Heading2"/>
        <w:spacing w:line="182" w:lineRule="auto" w:before="49"/>
      </w:pPr>
      <w:r>
        <w:rPr/>
        <w:t>重型再生障碍性贫血</w:t>
      </w:r>
    </w:p>
    <w:p>
      <w:pPr>
        <w:pStyle w:val="BodyText"/>
        <w:spacing w:line="273" w:lineRule="auto" w:before="36"/>
        <w:ind w:left="173" w:right="115"/>
      </w:pPr>
      <w:r>
        <w:rPr/>
        <w:br w:type="column"/>
      </w:r>
      <w:r>
        <w:rPr/>
        <w:t>指因骨髓造血功能慢性持续性衰竭导致的贫血、中性粒细胞减少及血小板减少。须满足下列全部条件：</w:t>
      </w:r>
    </w:p>
    <w:p>
      <w:pPr>
        <w:pStyle w:val="BodyText"/>
        <w:spacing w:before="8"/>
        <w:ind w:left="173"/>
      </w:pPr>
      <w:r>
        <w:rPr/>
        <w:t>（1）骨髓穿刺检查或骨髓活检结果支持诊断；</w:t>
      </w:r>
    </w:p>
    <w:p>
      <w:pPr>
        <w:pStyle w:val="BodyText"/>
        <w:spacing w:before="37"/>
        <w:ind w:left="173"/>
      </w:pPr>
      <w:r>
        <w:rPr/>
        <w:t>（2）外周血象须具备以下三项条件：</w:t>
      </w:r>
    </w:p>
    <w:p>
      <w:pPr>
        <w:pStyle w:val="BodyText"/>
        <w:tabs>
          <w:tab w:pos="699" w:val="left" w:leader="none"/>
        </w:tabs>
        <w:spacing w:before="37"/>
        <w:ind w:left="279"/>
      </w:pPr>
      <w:r>
        <w:rPr/>
        <w:t>①</w:t>
        <w:tab/>
      </w:r>
      <w:r>
        <w:rPr>
          <w:spacing w:val="-1"/>
        </w:rPr>
        <w:t>中性粒细胞绝对值</w:t>
      </w:r>
      <w:r>
        <w:rPr/>
        <w:t>≤0.5×10</w:t>
      </w:r>
      <w:r>
        <w:rPr>
          <w:position w:val="11"/>
          <w:sz w:val="11"/>
        </w:rPr>
        <w:t>9</w:t>
      </w:r>
      <w:r>
        <w:rPr/>
        <w:t>/L；</w:t>
      </w:r>
    </w:p>
    <w:p>
      <w:pPr>
        <w:pStyle w:val="BodyText"/>
        <w:tabs>
          <w:tab w:pos="699" w:val="left" w:leader="none"/>
        </w:tabs>
        <w:spacing w:before="37"/>
        <w:ind w:left="279"/>
      </w:pPr>
      <w:r>
        <w:rPr/>
        <w:t>②</w:t>
        <w:tab/>
      </w:r>
      <w:r>
        <w:rPr>
          <w:spacing w:val="-1"/>
        </w:rPr>
        <w:t>网织红细胞</w:t>
      </w:r>
      <w:r>
        <w:rPr/>
        <w:t>＜1%；</w:t>
      </w:r>
    </w:p>
    <w:p>
      <w:pPr>
        <w:pStyle w:val="BodyText"/>
        <w:tabs>
          <w:tab w:pos="699" w:val="left" w:leader="none"/>
        </w:tabs>
        <w:spacing w:before="37"/>
        <w:ind w:left="279"/>
      </w:pPr>
      <w:r>
        <w:rPr/>
        <w:t>③</w:t>
        <w:tab/>
      </w:r>
      <w:r>
        <w:rPr>
          <w:spacing w:val="-1"/>
        </w:rPr>
        <w:t>血小板绝对值</w:t>
      </w:r>
      <w:r>
        <w:rPr/>
        <w:t>≤20×10</w:t>
      </w:r>
      <w:r>
        <w:rPr>
          <w:position w:val="11"/>
          <w:sz w:val="11"/>
        </w:rPr>
        <w:t>9</w:t>
      </w:r>
      <w:r>
        <w:rPr/>
        <w:t>/L。</w:t>
      </w:r>
    </w:p>
    <w:p>
      <w:pPr>
        <w:spacing w:after="0"/>
        <w:sectPr>
          <w:type w:val="continuous"/>
          <w:pgSz w:w="11910" w:h="16840"/>
          <w:pgMar w:top="760" w:bottom="860" w:left="940" w:right="840"/>
          <w:cols w:num="2" w:equalWidth="0">
            <w:col w:w="2687" w:space="40"/>
            <w:col w:w="7403"/>
          </w:cols>
        </w:sectPr>
      </w:pPr>
    </w:p>
    <w:p>
      <w:pPr>
        <w:pStyle w:val="BodyText"/>
        <w:spacing w:before="6"/>
        <w:rPr>
          <w:sz w:val="17"/>
        </w:rPr>
      </w:pPr>
    </w:p>
    <w:p>
      <w:pPr>
        <w:pStyle w:val="BodyText"/>
        <w:tabs>
          <w:tab w:pos="2899" w:val="left" w:leader="none"/>
        </w:tabs>
        <w:spacing w:line="355" w:lineRule="exact"/>
        <w:ind w:left="990"/>
      </w:pPr>
      <w:r>
        <w:rPr>
          <w:rFonts w:ascii="Microsoft JhengHei" w:eastAsia="Microsoft JhengHei" w:hint="eastAsia"/>
          <w:b/>
          <w:position w:val="-1"/>
          <w:sz w:val="24"/>
        </w:rPr>
        <w:t>主动脉手术</w:t>
        <w:tab/>
      </w:r>
      <w:r>
        <w:rPr/>
        <w:t>指为治疗主动脉疾病</w:t>
      </w:r>
      <w:r>
        <w:rPr>
          <w:spacing w:val="-12"/>
        </w:rPr>
        <w:t>，</w:t>
      </w:r>
      <w:r>
        <w:rPr/>
        <w:t>实际实施了开胸或开腹进行的切除</w:t>
      </w:r>
      <w:r>
        <w:rPr>
          <w:spacing w:val="-12"/>
        </w:rPr>
        <w:t>、</w:t>
      </w:r>
      <w:r>
        <w:rPr/>
        <w:t>置换</w:t>
      </w:r>
      <w:r>
        <w:rPr>
          <w:spacing w:val="-12"/>
        </w:rPr>
        <w:t>、</w:t>
      </w:r>
      <w:r>
        <w:rPr/>
        <w:t>修补病损主</w:t>
      </w:r>
    </w:p>
    <w:p>
      <w:pPr>
        <w:pStyle w:val="BodyText"/>
        <w:spacing w:line="273" w:lineRule="auto"/>
        <w:ind w:left="2900" w:right="63"/>
      </w:pPr>
      <w:r>
        <w:rPr/>
        <w:t>动脉血管的手术。主动脉指胸主动脉和腹主动脉，不包括胸主动脉和腹主动脉的分支血管。</w:t>
      </w:r>
    </w:p>
    <w:p>
      <w:pPr>
        <w:pStyle w:val="BodyText"/>
        <w:spacing w:before="15"/>
        <w:ind w:left="2900"/>
      </w:pPr>
      <w:r>
        <w:rPr>
          <w:shd w:fill="D9D9D9" w:color="auto" w:val="clear"/>
        </w:rPr>
        <w:t>动脉内血管成形术不在保障范围内。</w:t>
      </w:r>
    </w:p>
    <w:p>
      <w:pPr>
        <w:pStyle w:val="BodyText"/>
        <w:spacing w:before="2"/>
        <w:rPr>
          <w:sz w:val="20"/>
        </w:rPr>
      </w:pPr>
    </w:p>
    <w:p>
      <w:pPr>
        <w:pStyle w:val="BodyText"/>
        <w:spacing w:line="273" w:lineRule="auto"/>
        <w:ind w:left="2900" w:right="115"/>
      </w:pPr>
      <w:r>
        <w:rPr/>
        <w:t>以下重大疾病是本公司在中国保险行业协会与中国医师协会制定了规范定义的疾病范围之外增加的疾病。</w:t>
      </w:r>
    </w:p>
    <w:p>
      <w:pPr>
        <w:pStyle w:val="BodyText"/>
        <w:spacing w:before="2"/>
        <w:rPr>
          <w:sz w:val="15"/>
        </w:rPr>
      </w:pPr>
    </w:p>
    <w:p>
      <w:pPr>
        <w:spacing w:after="0"/>
        <w:rPr>
          <w:sz w:val="15"/>
        </w:rPr>
        <w:sectPr>
          <w:type w:val="continuous"/>
          <w:pgSz w:w="11910" w:h="16840"/>
          <w:pgMar w:top="760" w:bottom="860" w:left="940" w:right="840"/>
        </w:sectPr>
      </w:pPr>
    </w:p>
    <w:p>
      <w:pPr>
        <w:pStyle w:val="Heading2"/>
        <w:spacing w:line="182" w:lineRule="auto" w:before="49"/>
      </w:pPr>
      <w:r>
        <w:rPr/>
        <w:t>严重的多发性硬化</w:t>
      </w:r>
    </w:p>
    <w:p>
      <w:pPr>
        <w:pStyle w:val="BodyText"/>
        <w:spacing w:line="273" w:lineRule="auto" w:before="36"/>
        <w:ind w:left="173" w:right="115"/>
        <w:jc w:val="both"/>
      </w:pPr>
      <w:r>
        <w:rPr/>
        <w:br w:type="column"/>
      </w:r>
      <w:r>
        <w:rPr>
          <w:spacing w:val="-3"/>
        </w:rPr>
        <w:t>指中枢神经系统多灶性脱髓鞘疾病。多发性硬化症须由神经专科医生提供明确诊断，诊断依据须包括MRI和脑脊液检查的典型改变，且疾病造成的神经系统</w:t>
      </w:r>
      <w:r>
        <w:rPr>
          <w:spacing w:val="-5"/>
        </w:rPr>
        <w:t>损害导致被保人自主生活能力完全丧失，无法独立完成六项基本日常生活活动</w:t>
      </w:r>
      <w:r>
        <w:rPr>
          <w:spacing w:val="-1"/>
        </w:rPr>
        <w:t>中的三项或三项以上持续达</w:t>
      </w:r>
      <w:r>
        <w:rPr/>
        <w:t>180天以上。</w:t>
      </w:r>
    </w:p>
    <w:p>
      <w:pPr>
        <w:spacing w:after="0" w:line="273" w:lineRule="auto"/>
        <w:jc w:val="both"/>
        <w:sectPr>
          <w:type w:val="continuous"/>
          <w:pgSz w:w="11910" w:h="16840"/>
          <w:pgMar w:top="760" w:bottom="860" w:left="940" w:right="840"/>
          <w:cols w:num="2" w:equalWidth="0">
            <w:col w:w="2687" w:space="40"/>
            <w:col w:w="7403"/>
          </w:cols>
        </w:sectPr>
      </w:pPr>
    </w:p>
    <w:p>
      <w:pPr>
        <w:pStyle w:val="BodyText"/>
        <w:spacing w:before="4"/>
        <w:rPr>
          <w:sz w:val="15"/>
        </w:rPr>
      </w:pPr>
    </w:p>
    <w:p>
      <w:pPr>
        <w:spacing w:after="0"/>
        <w:rPr>
          <w:sz w:val="15"/>
        </w:rPr>
        <w:sectPr>
          <w:type w:val="continuous"/>
          <w:pgSz w:w="11910" w:h="16840"/>
          <w:pgMar w:top="760" w:bottom="860" w:left="940" w:right="840"/>
        </w:sectPr>
      </w:pPr>
    </w:p>
    <w:p>
      <w:pPr>
        <w:pStyle w:val="Heading2"/>
        <w:spacing w:line="182" w:lineRule="auto" w:before="48"/>
      </w:pPr>
      <w:r>
        <w:rPr>
          <w:spacing w:val="-1"/>
        </w:rPr>
        <w:t>严重的 </w:t>
      </w:r>
      <w:r>
        <w:rPr>
          <w:w w:val="95"/>
        </w:rPr>
        <w:t>1 </w:t>
      </w:r>
      <w:r>
        <w:rPr/>
        <w:t>型糖尿病</w:t>
      </w:r>
    </w:p>
    <w:p>
      <w:pPr>
        <w:pStyle w:val="BodyText"/>
        <w:spacing w:line="273" w:lineRule="auto" w:before="35"/>
        <w:ind w:left="177" w:right="61"/>
      </w:pPr>
      <w:r>
        <w:rPr/>
        <w:br w:type="column"/>
      </w:r>
      <w:r>
        <w:rPr/>
        <w:t>严重的1型糖尿病为由于胰岛素分泌绝对不足引起的慢性血糖升高，且已经持续性地依赖外源性胰岛素维持180天以上。须经血胰岛素测定、血C肽测定或尿</w:t>
      </w:r>
    </w:p>
    <w:p>
      <w:pPr>
        <w:pStyle w:val="BodyText"/>
        <w:spacing w:line="273" w:lineRule="auto" w:before="7"/>
        <w:ind w:left="177" w:right="113"/>
      </w:pPr>
      <w:r>
        <w:rPr/>
        <w:t>C肽测定，结果异常，并由内分泌科专科医生明确诊断。并须在本主险合同有效期内，满足下述至少1个条件：</w:t>
      </w:r>
    </w:p>
    <w:p>
      <w:pPr>
        <w:pStyle w:val="BodyText"/>
        <w:spacing w:before="7"/>
        <w:ind w:left="177"/>
      </w:pPr>
      <w:r>
        <w:rPr/>
        <w:t>（1）已出现增殖性视网膜病变；</w:t>
      </w:r>
    </w:p>
    <w:p>
      <w:pPr>
        <w:pStyle w:val="BodyText"/>
        <w:spacing w:before="36"/>
        <w:ind w:left="177"/>
      </w:pPr>
      <w:r>
        <w:rPr/>
        <w:t>（2）须植入心脏起搏器治疗心脏病；</w:t>
      </w:r>
    </w:p>
    <w:p>
      <w:pPr>
        <w:pStyle w:val="BodyText"/>
        <w:spacing w:before="36"/>
        <w:ind w:left="177"/>
      </w:pPr>
      <w:r>
        <w:rPr/>
        <w:t>（3）因坏疽需切除至少一个脚趾。</w:t>
      </w:r>
    </w:p>
    <w:p>
      <w:pPr>
        <w:spacing w:after="0"/>
        <w:sectPr>
          <w:type w:val="continuous"/>
          <w:pgSz w:w="11910" w:h="16840"/>
          <w:pgMar w:top="760" w:bottom="860" w:left="940" w:right="840"/>
          <w:cols w:num="2" w:equalWidth="0">
            <w:col w:w="2683" w:space="40"/>
            <w:col w:w="7407"/>
          </w:cols>
        </w:sectPr>
      </w:pPr>
    </w:p>
    <w:p>
      <w:pPr>
        <w:pStyle w:val="BodyText"/>
        <w:spacing w:before="5"/>
        <w:rPr>
          <w:sz w:val="17"/>
        </w:rPr>
      </w:pPr>
    </w:p>
    <w:p>
      <w:pPr>
        <w:spacing w:after="0"/>
        <w:rPr>
          <w:sz w:val="17"/>
        </w:rPr>
        <w:sectPr>
          <w:type w:val="continuous"/>
          <w:pgSz w:w="11910" w:h="16840"/>
          <w:pgMar w:top="760" w:bottom="860" w:left="940" w:right="840"/>
        </w:sectPr>
      </w:pPr>
    </w:p>
    <w:p>
      <w:pPr>
        <w:pStyle w:val="Heading2"/>
        <w:spacing w:line="316" w:lineRule="exact"/>
      </w:pPr>
      <w:r>
        <w:rPr/>
        <w:t>侵蚀性葡萄胎 </w:t>
      </w:r>
    </w:p>
    <w:p>
      <w:pPr>
        <w:spacing w:line="182" w:lineRule="auto" w:before="49"/>
        <w:ind w:left="990" w:right="44" w:firstLine="0"/>
        <w:jc w:val="left"/>
        <w:rPr>
          <w:rFonts w:ascii="Microsoft JhengHei" w:eastAsia="Microsoft JhengHei" w:hint="eastAsia"/>
          <w:b/>
          <w:sz w:val="24"/>
        </w:rPr>
      </w:pPr>
      <w:r>
        <w:rPr>
          <w:rFonts w:ascii="Microsoft JhengHei" w:eastAsia="Microsoft JhengHei" w:hint="eastAsia"/>
          <w:b/>
          <w:sz w:val="24"/>
        </w:rPr>
        <w:t>（或称恶性葡萄胎）</w:t>
      </w:r>
    </w:p>
    <w:p>
      <w:pPr>
        <w:pStyle w:val="BodyText"/>
        <w:spacing w:line="273" w:lineRule="auto" w:before="36"/>
        <w:ind w:left="126" w:right="115"/>
      </w:pPr>
      <w:r>
        <w:rPr/>
        <w:br w:type="column"/>
      </w:r>
      <w:r>
        <w:rPr/>
        <w:t>该类疾病是指异常增生的绒毛组织浸润性生长浸入子宫肌层或转移至其他器官或组织的葡萄胎，并已经进行化疗或手术治疗的。</w:t>
      </w:r>
    </w:p>
    <w:p>
      <w:pPr>
        <w:spacing w:after="0" w:line="273" w:lineRule="auto"/>
        <w:sectPr>
          <w:type w:val="continuous"/>
          <w:pgSz w:w="11910" w:h="16840"/>
          <w:pgMar w:top="760" w:bottom="860" w:left="940" w:right="840"/>
          <w:cols w:num="2" w:equalWidth="0">
            <w:col w:w="2734" w:space="40"/>
            <w:col w:w="7356"/>
          </w:cols>
        </w:sectPr>
      </w:pPr>
    </w:p>
    <w:p>
      <w:pPr>
        <w:pStyle w:val="BodyText"/>
        <w:spacing w:before="1"/>
        <w:rPr>
          <w:sz w:val="18"/>
        </w:rPr>
      </w:pPr>
    </w:p>
    <w:p>
      <w:pPr>
        <w:spacing w:after="0"/>
        <w:rPr>
          <w:sz w:val="18"/>
        </w:rPr>
        <w:sectPr>
          <w:type w:val="continuous"/>
          <w:pgSz w:w="11910" w:h="16840"/>
          <w:pgMar w:top="760" w:bottom="860" w:left="940" w:right="840"/>
        </w:sectPr>
      </w:pPr>
    </w:p>
    <w:p>
      <w:pPr>
        <w:pStyle w:val="Heading2"/>
        <w:spacing w:line="182" w:lineRule="auto" w:before="48"/>
        <w:jc w:val="both"/>
      </w:pPr>
      <w:r>
        <w:rPr/>
        <w:t>系统性红斑狼疮并发重度的肾功能损害</w:t>
      </w:r>
    </w:p>
    <w:p>
      <w:pPr>
        <w:pStyle w:val="BodyText"/>
        <w:spacing w:before="36"/>
        <w:ind w:left="173"/>
      </w:pPr>
      <w:r>
        <w:rPr/>
        <w:br w:type="column"/>
      </w:r>
      <w:r>
        <w:rPr/>
        <w:t>该类疾病保障仅限于女性。</w:t>
      </w:r>
    </w:p>
    <w:p>
      <w:pPr>
        <w:pStyle w:val="BodyText"/>
        <w:spacing w:line="273" w:lineRule="auto" w:before="37"/>
        <w:ind w:left="173" w:right="63"/>
      </w:pPr>
      <w:r>
        <w:rPr/>
        <w:t>该类疾病是指一种自身免疫性结缔组织病，于体内有大量致病性自身抗体和免疫复合物，造成组织损伤。</w:t>
      </w:r>
    </w:p>
    <w:p>
      <w:pPr>
        <w:pStyle w:val="BodyText"/>
        <w:spacing w:before="7"/>
        <w:ind w:left="173"/>
      </w:pPr>
      <w:r>
        <w:rPr/>
        <w:t>系统性红斑狼疮的诊断必须经专科医生明确诊断，并须同时满足下列条件：</w:t>
      </w:r>
    </w:p>
    <w:p>
      <w:pPr>
        <w:pStyle w:val="BodyText"/>
        <w:spacing w:before="36"/>
        <w:ind w:left="173"/>
      </w:pPr>
      <w:r>
        <w:rPr/>
        <w:t>（1）临床表现至少具备下列条件中的4个：</w:t>
      </w:r>
    </w:p>
    <w:p>
      <w:pPr>
        <w:pStyle w:val="BodyText"/>
        <w:tabs>
          <w:tab w:pos="699" w:val="left" w:leader="none"/>
        </w:tabs>
        <w:spacing w:before="36"/>
        <w:ind w:left="279"/>
      </w:pPr>
      <w:r>
        <w:rPr/>
        <w:t>①</w:t>
        <w:tab/>
      </w:r>
      <w:r>
        <w:rPr>
          <w:spacing w:val="-1"/>
        </w:rPr>
        <w:t>蝶形红斑或盘形红斑；</w:t>
      </w:r>
    </w:p>
    <w:p>
      <w:pPr>
        <w:spacing w:after="0"/>
        <w:sectPr>
          <w:type w:val="continuous"/>
          <w:pgSz w:w="11910" w:h="16840"/>
          <w:pgMar w:top="760" w:bottom="860" w:left="940" w:right="840"/>
          <w:cols w:num="2" w:equalWidth="0">
            <w:col w:w="2687" w:space="40"/>
            <w:col w:w="7403"/>
          </w:cols>
        </w:sectPr>
      </w:pPr>
    </w:p>
    <w:p>
      <w:pPr>
        <w:pStyle w:val="BodyText"/>
        <w:rPr>
          <w:sz w:val="20"/>
        </w:rPr>
      </w:pPr>
    </w:p>
    <w:p>
      <w:pPr>
        <w:pStyle w:val="BodyText"/>
        <w:spacing w:before="5"/>
        <w:rPr>
          <w:sz w:val="22"/>
        </w:rPr>
      </w:pPr>
    </w:p>
    <w:p>
      <w:pPr>
        <w:pStyle w:val="BodyText"/>
        <w:tabs>
          <w:tab w:pos="3425" w:val="left" w:leader="none"/>
        </w:tabs>
        <w:spacing w:before="35"/>
        <w:ind w:left="3005"/>
      </w:pPr>
      <w:r>
        <w:rPr/>
        <w:t>②</w:t>
        <w:tab/>
      </w:r>
      <w:r>
        <w:rPr>
          <w:spacing w:val="-1"/>
        </w:rPr>
        <w:t>光敏感；</w:t>
      </w:r>
    </w:p>
    <w:p>
      <w:pPr>
        <w:pStyle w:val="BodyText"/>
        <w:tabs>
          <w:tab w:pos="3425" w:val="left" w:leader="none"/>
        </w:tabs>
        <w:spacing w:before="37"/>
        <w:ind w:left="3005"/>
      </w:pPr>
      <w:r>
        <w:rPr/>
        <w:t>③</w:t>
        <w:tab/>
      </w:r>
      <w:r>
        <w:rPr>
          <w:spacing w:val="-1"/>
        </w:rPr>
        <w:t>口鼻腔黏膜溃疡；</w:t>
      </w:r>
    </w:p>
    <w:p>
      <w:pPr>
        <w:pStyle w:val="BodyText"/>
        <w:tabs>
          <w:tab w:pos="3425" w:val="left" w:leader="none"/>
        </w:tabs>
        <w:spacing w:before="37"/>
        <w:ind w:left="3005"/>
      </w:pPr>
      <w:r>
        <w:rPr/>
        <w:t>④</w:t>
        <w:tab/>
      </w:r>
      <w:r>
        <w:rPr>
          <w:spacing w:val="-1"/>
        </w:rPr>
        <w:t>非畸形性关节炎或多关节痛；</w:t>
      </w:r>
    </w:p>
    <w:p>
      <w:pPr>
        <w:pStyle w:val="BodyText"/>
        <w:tabs>
          <w:tab w:pos="3425" w:val="left" w:leader="none"/>
        </w:tabs>
        <w:spacing w:before="37"/>
        <w:ind w:left="3005"/>
      </w:pPr>
      <w:r>
        <w:rPr/>
        <w:t>⑤</w:t>
        <w:tab/>
      </w:r>
      <w:r>
        <w:rPr>
          <w:spacing w:val="-1"/>
        </w:rPr>
        <w:t>胸膜炎或心包炎；</w:t>
      </w:r>
    </w:p>
    <w:p>
      <w:pPr>
        <w:pStyle w:val="BodyText"/>
        <w:tabs>
          <w:tab w:pos="3425" w:val="left" w:leader="none"/>
        </w:tabs>
        <w:spacing w:before="37"/>
        <w:ind w:left="3005"/>
      </w:pPr>
      <w:r>
        <w:rPr/>
        <w:t>⑥</w:t>
        <w:tab/>
      </w:r>
      <w:r>
        <w:rPr>
          <w:spacing w:val="-1"/>
        </w:rPr>
        <w:t>神经系统损伤</w:t>
      </w:r>
      <w:r>
        <w:rPr/>
        <w:t>（癫痫或精神症状</w:t>
      </w:r>
      <w:r>
        <w:rPr>
          <w:spacing w:val="-105"/>
        </w:rPr>
        <w:t>）</w:t>
      </w:r>
      <w:r>
        <w:rPr/>
        <w:t>；</w:t>
      </w:r>
    </w:p>
    <w:p>
      <w:pPr>
        <w:pStyle w:val="BodyText"/>
        <w:tabs>
          <w:tab w:pos="3426" w:val="left" w:leader="none"/>
        </w:tabs>
        <w:spacing w:line="273" w:lineRule="auto" w:before="37"/>
        <w:ind w:left="3425" w:right="216" w:hanging="420"/>
      </w:pPr>
      <w:r>
        <w:rPr/>
        <w:t>⑦</w:t>
        <w:tab/>
        <w:tab/>
        <w:t>血象异常（</w:t>
      </w:r>
      <w:r>
        <w:rPr>
          <w:spacing w:val="-7"/>
        </w:rPr>
        <w:t>白细胞小于 </w:t>
      </w:r>
      <w:r>
        <w:rPr/>
        <w:t>4000/μl</w:t>
      </w:r>
      <w:r>
        <w:rPr>
          <w:spacing w:val="-10"/>
        </w:rPr>
        <w:t> 或血小板小于 </w:t>
      </w:r>
      <w:r>
        <w:rPr/>
        <w:t>100000/μl</w:t>
      </w:r>
      <w:r>
        <w:rPr>
          <w:spacing w:val="-7"/>
        </w:rPr>
        <w:t> 或溶血性贫血</w:t>
      </w:r>
      <w:r>
        <w:rPr>
          <w:spacing w:val="-105"/>
        </w:rPr>
        <w:t>）</w:t>
      </w:r>
      <w:r>
        <w:rPr/>
        <w:t>。</w:t>
      </w:r>
    </w:p>
    <w:p>
      <w:pPr>
        <w:pStyle w:val="BodyText"/>
        <w:spacing w:before="8"/>
        <w:ind w:left="2900"/>
      </w:pPr>
      <w:r>
        <w:rPr/>
        <w:t>（2）检测结果至少具备下列条件中的2个：</w:t>
      </w:r>
    </w:p>
    <w:p>
      <w:pPr>
        <w:pStyle w:val="BodyText"/>
        <w:tabs>
          <w:tab w:pos="3425" w:val="left" w:leader="none"/>
        </w:tabs>
        <w:spacing w:before="37"/>
        <w:ind w:left="3005"/>
      </w:pPr>
      <w:r>
        <w:rPr/>
        <w:t>①</w:t>
        <w:tab/>
      </w:r>
      <w:r>
        <w:rPr>
          <w:spacing w:val="50"/>
        </w:rPr>
        <w:t>抗</w:t>
      </w:r>
      <w:r>
        <w:rPr/>
        <w:t>dsDNA</w:t>
      </w:r>
      <w:r>
        <w:rPr>
          <w:spacing w:val="-10"/>
        </w:rPr>
        <w:t> 抗体阳性；</w:t>
      </w:r>
    </w:p>
    <w:p>
      <w:pPr>
        <w:pStyle w:val="BodyText"/>
        <w:tabs>
          <w:tab w:pos="3425" w:val="left" w:leader="none"/>
        </w:tabs>
        <w:spacing w:before="37"/>
        <w:ind w:left="3005"/>
      </w:pPr>
      <w:r>
        <w:rPr/>
        <w:t>②</w:t>
        <w:tab/>
      </w:r>
      <w:r>
        <w:rPr>
          <w:spacing w:val="50"/>
        </w:rPr>
        <w:t>抗</w:t>
      </w:r>
      <w:r>
        <w:rPr/>
        <w:t>Sm</w:t>
      </w:r>
      <w:r>
        <w:rPr>
          <w:spacing w:val="-10"/>
        </w:rPr>
        <w:t> 抗体阳性；</w:t>
      </w:r>
    </w:p>
    <w:p>
      <w:pPr>
        <w:pStyle w:val="BodyText"/>
        <w:tabs>
          <w:tab w:pos="3425" w:val="left" w:leader="none"/>
        </w:tabs>
        <w:spacing w:before="37"/>
        <w:ind w:left="3005"/>
      </w:pPr>
      <w:r>
        <w:rPr/>
        <w:t>③</w:t>
        <w:tab/>
      </w:r>
      <w:r>
        <w:rPr>
          <w:spacing w:val="-1"/>
        </w:rPr>
        <w:t>抗核抗体阳性；</w:t>
      </w:r>
    </w:p>
    <w:p>
      <w:pPr>
        <w:pStyle w:val="BodyText"/>
        <w:tabs>
          <w:tab w:pos="3425" w:val="left" w:leader="none"/>
        </w:tabs>
        <w:spacing w:before="37"/>
        <w:ind w:left="3005"/>
      </w:pPr>
      <w:r>
        <w:rPr/>
        <w:t>④</w:t>
        <w:tab/>
      </w:r>
      <w:r>
        <w:rPr>
          <w:spacing w:val="-1"/>
        </w:rPr>
        <w:t>皮肤狼疮带试验</w:t>
      </w:r>
      <w:r>
        <w:rPr/>
        <w:t>（非病损部位）或肾活检阳性；</w:t>
      </w:r>
    </w:p>
    <w:p>
      <w:pPr>
        <w:pStyle w:val="BodyText"/>
        <w:tabs>
          <w:tab w:pos="3425" w:val="left" w:leader="none"/>
        </w:tabs>
        <w:spacing w:before="37"/>
        <w:ind w:left="3005"/>
      </w:pPr>
      <w:r>
        <w:rPr/>
        <w:t>⑤</w:t>
        <w:tab/>
      </w:r>
      <w:r>
        <w:rPr>
          <w:spacing w:val="-1"/>
        </w:rPr>
        <w:t>C3</w:t>
      </w:r>
      <w:r>
        <w:rPr/>
        <w:t>低于正常值。</w:t>
      </w:r>
    </w:p>
    <w:p>
      <w:pPr>
        <w:pStyle w:val="BodyText"/>
        <w:spacing w:before="37"/>
        <w:ind w:left="2900"/>
      </w:pPr>
      <w:r>
        <w:rPr/>
        <w:t>（3）狼疮肾炎致使肾功能减弱，内生肌酐清除率低于每分钟30ml。</w:t>
      </w:r>
    </w:p>
    <w:p>
      <w:pPr>
        <w:pStyle w:val="BodyText"/>
        <w:spacing w:before="6"/>
        <w:rPr>
          <w:sz w:val="17"/>
        </w:rPr>
      </w:pPr>
    </w:p>
    <w:p>
      <w:pPr>
        <w:spacing w:after="0"/>
        <w:rPr>
          <w:sz w:val="17"/>
        </w:rPr>
        <w:sectPr>
          <w:pgSz w:w="11910" w:h="16840"/>
          <w:pgMar w:header="594" w:footer="666" w:top="820" w:bottom="860" w:left="940" w:right="740"/>
        </w:sectPr>
      </w:pPr>
    </w:p>
    <w:p>
      <w:pPr>
        <w:pStyle w:val="Heading2"/>
        <w:spacing w:line="182" w:lineRule="auto" w:before="48"/>
      </w:pPr>
      <w:r>
        <w:rPr/>
        <w:t>严重的原发性心</w:t>
      </w:r>
      <w:r>
        <w:rPr>
          <w:w w:val="105"/>
        </w:rPr>
        <w:t>ft病</w:t>
      </w:r>
    </w:p>
    <w:p>
      <w:pPr>
        <w:pStyle w:val="BodyText"/>
        <w:spacing w:line="273" w:lineRule="auto" w:before="35"/>
        <w:ind w:left="173" w:right="215"/>
        <w:jc w:val="both"/>
      </w:pPr>
      <w:r>
        <w:rPr/>
        <w:br w:type="column"/>
      </w:r>
      <w:r>
        <w:rPr>
          <w:spacing w:val="-3"/>
        </w:rPr>
        <w:t>指不明原因引起的一类心肌病变，包括原发性扩张型心肌病、原发性肥厚型心</w:t>
      </w:r>
      <w:r>
        <w:rPr>
          <w:spacing w:val="-6"/>
        </w:rPr>
        <w:t>肌病及原发性限制型心肌病三种，病变必须已造成事实上心室功能障碍而出现</w:t>
      </w:r>
      <w:r>
        <w:rPr>
          <w:spacing w:val="2"/>
        </w:rPr>
        <w:t>明显的心功能衰竭</w:t>
      </w:r>
      <w:r>
        <w:rPr>
          <w:spacing w:val="5"/>
        </w:rPr>
        <w:t>（</w:t>
      </w:r>
      <w:r>
        <w:rPr>
          <w:spacing w:val="1"/>
        </w:rPr>
        <w:t>指按照美国纽约心脏协会心功能分类标准心功能达四级</w:t>
      </w:r>
    </w:p>
    <w:p>
      <w:pPr>
        <w:pStyle w:val="BodyText"/>
        <w:spacing w:before="7"/>
        <w:ind w:left="173"/>
      </w:pPr>
      <w:r>
        <w:rPr/>
        <w:t>*），且有相关住院医疗记录显示四级心功能衰竭状态持续至少180天。</w:t>
      </w:r>
    </w:p>
    <w:p>
      <w:pPr>
        <w:pStyle w:val="BodyText"/>
        <w:spacing w:line="273" w:lineRule="auto" w:before="37"/>
        <w:ind w:left="173" w:right="218"/>
        <w:jc w:val="both"/>
      </w:pPr>
      <w:r>
        <w:rPr>
          <w:spacing w:val="-3"/>
        </w:rPr>
        <w:t>本病须经专科医生明确诊断。</w:t>
      </w:r>
      <w:r>
        <w:rPr>
          <w:shd w:fill="D9D9D9" w:color="auto" w:val="clear"/>
        </w:rPr>
        <w:t>继发于全身性疾病或其他器官系统疾病造成的心肌病变不在保障范围内。</w:t>
      </w:r>
    </w:p>
    <w:p>
      <w:pPr>
        <w:pStyle w:val="BodyText"/>
        <w:spacing w:line="273" w:lineRule="auto" w:before="7"/>
        <w:ind w:left="173" w:right="213"/>
        <w:jc w:val="both"/>
      </w:pPr>
      <w:r>
        <w:rPr/>
        <w:t>*美国纽约心脏协会分类标准心功能四级是指有医院的医疗记录显示病人不能进行任何活动，休息时仍有心悸、呼吸困难等心力衰竭表现。</w:t>
      </w:r>
    </w:p>
    <w:p>
      <w:pPr>
        <w:spacing w:after="0" w:line="273" w:lineRule="auto"/>
        <w:jc w:val="both"/>
        <w:sectPr>
          <w:type w:val="continuous"/>
          <w:pgSz w:w="11910" w:h="16840"/>
          <w:pgMar w:top="760" w:bottom="860" w:left="940" w:right="740"/>
          <w:cols w:num="2" w:equalWidth="0">
            <w:col w:w="2687" w:space="40"/>
            <w:col w:w="7503"/>
          </w:cols>
        </w:sectPr>
      </w:pPr>
    </w:p>
    <w:p>
      <w:pPr>
        <w:pStyle w:val="BodyText"/>
        <w:spacing w:before="2"/>
        <w:rPr>
          <w:sz w:val="15"/>
        </w:rPr>
      </w:pPr>
    </w:p>
    <w:p>
      <w:pPr>
        <w:pStyle w:val="ListParagraph"/>
        <w:numPr>
          <w:ilvl w:val="1"/>
          <w:numId w:val="10"/>
        </w:numPr>
        <w:tabs>
          <w:tab w:pos="990" w:val="left" w:leader="none"/>
          <w:tab w:pos="991" w:val="left" w:leader="none"/>
          <w:tab w:pos="2899" w:val="left" w:leader="none"/>
        </w:tabs>
        <w:spacing w:line="240" w:lineRule="auto" w:before="35" w:after="0"/>
        <w:ind w:left="2900" w:right="0" w:hanging="2760"/>
        <w:jc w:val="left"/>
        <w:rPr>
          <w:sz w:val="21"/>
        </w:rPr>
      </w:pPr>
      <w:r>
        <w:rPr>
          <w:b/>
          <w:position w:val="-2"/>
          <w:sz w:val="21"/>
        </w:rPr>
        <w:t>专科医生</w:t>
        <w:tab/>
      </w:r>
      <w:r>
        <w:rPr>
          <w:sz w:val="21"/>
        </w:rPr>
        <w:t>专科医生应当同时满足以下四项资格条件：</w:t>
      </w:r>
    </w:p>
    <w:p>
      <w:pPr>
        <w:pStyle w:val="BodyText"/>
        <w:spacing w:before="6"/>
        <w:ind w:left="2900"/>
      </w:pPr>
      <w:r>
        <w:rPr/>
        <w:t>（1）具有有效的中华人民共和国《医师资格证书》；</w:t>
      </w:r>
    </w:p>
    <w:p>
      <w:pPr>
        <w:pStyle w:val="BodyText"/>
        <w:spacing w:line="273" w:lineRule="auto" w:before="36"/>
        <w:ind w:left="3425" w:right="213" w:hanging="526"/>
      </w:pPr>
      <w:r>
        <w:rPr/>
        <w:t>（2）具有有效的中华人民共和国《医师执业证书》，并按期到相关部门登记注册；</w:t>
      </w:r>
    </w:p>
    <w:p>
      <w:pPr>
        <w:pStyle w:val="BodyText"/>
        <w:spacing w:line="273" w:lineRule="auto" w:before="7"/>
        <w:ind w:left="3425" w:right="213" w:hanging="526"/>
      </w:pPr>
      <w:r>
        <w:rPr/>
        <w:t>（3）具有有效的中华人民共和国主治医师或主治医师以上职称的《医师职称证书》；</w:t>
      </w:r>
    </w:p>
    <w:p>
      <w:pPr>
        <w:pStyle w:val="BodyText"/>
        <w:spacing w:before="7"/>
        <w:ind w:left="2900"/>
      </w:pPr>
      <w:r>
        <w:rPr/>
        <w:t>（4）在二级或二级以上医院的相应科室从事临床工作三年以上。</w:t>
      </w:r>
    </w:p>
    <w:p>
      <w:pPr>
        <w:pStyle w:val="BodyText"/>
        <w:spacing w:before="1"/>
        <w:rPr>
          <w:sz w:val="20"/>
        </w:rPr>
      </w:pPr>
    </w:p>
    <w:p>
      <w:pPr>
        <w:pStyle w:val="ListParagraph"/>
        <w:numPr>
          <w:ilvl w:val="1"/>
          <w:numId w:val="10"/>
        </w:numPr>
        <w:tabs>
          <w:tab w:pos="990" w:val="left" w:leader="none"/>
          <w:tab w:pos="991" w:val="left" w:leader="none"/>
          <w:tab w:pos="2899" w:val="left" w:leader="none"/>
        </w:tabs>
        <w:spacing w:line="247" w:lineRule="auto" w:before="0" w:after="0"/>
        <w:ind w:left="2900" w:right="215" w:hanging="2760"/>
        <w:jc w:val="left"/>
        <w:rPr>
          <w:sz w:val="21"/>
        </w:rPr>
      </w:pPr>
      <w:r>
        <w:rPr>
          <w:b/>
          <w:position w:val="-2"/>
          <w:sz w:val="21"/>
        </w:rPr>
        <w:t>肢体机能完全丧失</w:t>
        <w:tab/>
      </w:r>
      <w:r>
        <w:rPr>
          <w:spacing w:val="5"/>
          <w:sz w:val="21"/>
        </w:rPr>
        <w:t>肢体</w:t>
      </w:r>
      <w:r>
        <w:rPr>
          <w:spacing w:val="2"/>
          <w:sz w:val="21"/>
        </w:rPr>
        <w:t>机</w:t>
      </w:r>
      <w:r>
        <w:rPr>
          <w:spacing w:val="5"/>
          <w:sz w:val="21"/>
        </w:rPr>
        <w:t>能</w:t>
      </w:r>
      <w:r>
        <w:rPr>
          <w:spacing w:val="2"/>
          <w:sz w:val="21"/>
        </w:rPr>
        <w:t>完</w:t>
      </w:r>
      <w:r>
        <w:rPr>
          <w:spacing w:val="5"/>
          <w:sz w:val="21"/>
        </w:rPr>
        <w:t>全丧</w:t>
      </w:r>
      <w:r>
        <w:rPr>
          <w:spacing w:val="2"/>
          <w:sz w:val="21"/>
        </w:rPr>
        <w:t>失</w:t>
      </w:r>
      <w:r>
        <w:rPr>
          <w:spacing w:val="5"/>
          <w:sz w:val="21"/>
        </w:rPr>
        <w:t>是</w:t>
      </w:r>
      <w:r>
        <w:rPr>
          <w:spacing w:val="2"/>
          <w:sz w:val="21"/>
        </w:rPr>
        <w:t>指</w:t>
      </w:r>
      <w:r>
        <w:rPr>
          <w:spacing w:val="5"/>
          <w:sz w:val="21"/>
        </w:rPr>
        <w:t>肢体</w:t>
      </w:r>
      <w:r>
        <w:rPr>
          <w:spacing w:val="2"/>
          <w:sz w:val="21"/>
        </w:rPr>
        <w:t>的</w:t>
      </w:r>
      <w:r>
        <w:rPr>
          <w:spacing w:val="5"/>
          <w:sz w:val="21"/>
        </w:rPr>
        <w:t>三</w:t>
      </w:r>
      <w:r>
        <w:rPr>
          <w:spacing w:val="2"/>
          <w:sz w:val="21"/>
        </w:rPr>
        <w:t>大</w:t>
      </w:r>
      <w:r>
        <w:rPr>
          <w:spacing w:val="5"/>
          <w:sz w:val="21"/>
        </w:rPr>
        <w:t>关节</w:t>
      </w:r>
      <w:r>
        <w:rPr>
          <w:spacing w:val="2"/>
          <w:sz w:val="21"/>
        </w:rPr>
        <w:t>中</w:t>
      </w:r>
      <w:r>
        <w:rPr>
          <w:spacing w:val="5"/>
          <w:sz w:val="21"/>
        </w:rPr>
        <w:t>的</w:t>
      </w:r>
      <w:r>
        <w:rPr>
          <w:spacing w:val="2"/>
          <w:sz w:val="21"/>
        </w:rPr>
        <w:t>两</w:t>
      </w:r>
      <w:r>
        <w:rPr>
          <w:spacing w:val="5"/>
          <w:sz w:val="21"/>
        </w:rPr>
        <w:t>大关</w:t>
      </w:r>
      <w:r>
        <w:rPr>
          <w:spacing w:val="2"/>
          <w:sz w:val="21"/>
        </w:rPr>
        <w:t>节</w:t>
      </w:r>
      <w:r>
        <w:rPr>
          <w:spacing w:val="5"/>
          <w:sz w:val="21"/>
        </w:rPr>
        <w:t>僵</w:t>
      </w:r>
      <w:r>
        <w:rPr>
          <w:spacing w:val="2"/>
          <w:sz w:val="21"/>
        </w:rPr>
        <w:t>硬</w:t>
      </w:r>
      <w:r>
        <w:rPr>
          <w:spacing w:val="5"/>
          <w:sz w:val="21"/>
        </w:rPr>
        <w:t>，或</w:t>
      </w:r>
      <w:r>
        <w:rPr>
          <w:spacing w:val="2"/>
          <w:sz w:val="21"/>
        </w:rPr>
        <w:t>不</w:t>
      </w:r>
      <w:r>
        <w:rPr>
          <w:spacing w:val="5"/>
          <w:sz w:val="21"/>
        </w:rPr>
        <w:t>能</w:t>
      </w:r>
      <w:r>
        <w:rPr>
          <w:spacing w:val="2"/>
          <w:sz w:val="21"/>
        </w:rPr>
        <w:t>随</w:t>
      </w:r>
      <w:r>
        <w:rPr>
          <w:spacing w:val="5"/>
          <w:sz w:val="21"/>
        </w:rPr>
        <w:t>意</w:t>
      </w:r>
      <w:r>
        <w:rPr>
          <w:spacing w:val="2"/>
          <w:sz w:val="21"/>
        </w:rPr>
        <w:t>识</w:t>
      </w:r>
      <w:r>
        <w:rPr>
          <w:sz w:val="21"/>
        </w:rPr>
        <w:t>活 动。肢体是指包括肩关节的整个上肢或包括髋关节的整个下肢。</w:t>
      </w:r>
    </w:p>
    <w:p>
      <w:pPr>
        <w:pStyle w:val="BodyText"/>
        <w:rPr>
          <w:sz w:val="17"/>
        </w:rPr>
      </w:pPr>
    </w:p>
    <w:p>
      <w:pPr>
        <w:spacing w:after="0"/>
        <w:rPr>
          <w:sz w:val="17"/>
        </w:rPr>
        <w:sectPr>
          <w:type w:val="continuous"/>
          <w:pgSz w:w="11910" w:h="16840"/>
          <w:pgMar w:top="760" w:bottom="860" w:left="940" w:right="740"/>
        </w:sectPr>
      </w:pPr>
    </w:p>
    <w:p>
      <w:pPr>
        <w:pStyle w:val="Heading3"/>
        <w:numPr>
          <w:ilvl w:val="1"/>
          <w:numId w:val="10"/>
        </w:numPr>
        <w:tabs>
          <w:tab w:pos="990" w:val="left" w:leader="none"/>
          <w:tab w:pos="991" w:val="left" w:leader="none"/>
        </w:tabs>
        <w:spacing w:line="273" w:lineRule="auto" w:before="67" w:after="0"/>
        <w:ind w:left="990" w:right="0" w:hanging="850"/>
        <w:jc w:val="left"/>
      </w:pPr>
      <w:r>
        <w:rPr/>
        <w:t>语言能力或咀嚼吞</w:t>
      </w:r>
      <w:r>
        <w:rPr>
          <w:w w:val="95"/>
        </w:rPr>
        <w:t>咽能力完全丧失</w:t>
      </w:r>
    </w:p>
    <w:p>
      <w:pPr>
        <w:pStyle w:val="BodyText"/>
        <w:spacing w:line="273" w:lineRule="auto" w:before="35"/>
        <w:ind w:left="140" w:right="112"/>
      </w:pPr>
      <w:r>
        <w:rPr/>
        <w:br w:type="column"/>
      </w:r>
      <w:r>
        <w:rPr>
          <w:spacing w:val="-1"/>
        </w:rPr>
        <w:t>语言能力完全丧失是指无法发出四种语音</w:t>
      </w:r>
      <w:r>
        <w:rPr/>
        <w:t>（</w:t>
      </w:r>
      <w:r>
        <w:rPr>
          <w:spacing w:val="-3"/>
        </w:rPr>
        <w:t>包括口唇音、齿舌音、口盖音和喉头音</w:t>
      </w:r>
      <w:r>
        <w:rPr>
          <w:spacing w:val="-47"/>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spacing w:after="0" w:line="273" w:lineRule="auto"/>
        <w:sectPr>
          <w:type w:val="continuous"/>
          <w:pgSz w:w="11910" w:h="16840"/>
          <w:pgMar w:top="760" w:bottom="860" w:left="940" w:right="740"/>
          <w:cols w:num="2" w:equalWidth="0">
            <w:col w:w="2687" w:space="73"/>
            <w:col w:w="7470"/>
          </w:cols>
        </w:sectPr>
      </w:pPr>
    </w:p>
    <w:p>
      <w:pPr>
        <w:pStyle w:val="BodyText"/>
        <w:spacing w:before="2"/>
        <w:rPr>
          <w:sz w:val="15"/>
        </w:rPr>
      </w:pPr>
    </w:p>
    <w:p>
      <w:pPr>
        <w:spacing w:after="0"/>
        <w:rPr>
          <w:sz w:val="15"/>
        </w:rPr>
        <w:sectPr>
          <w:type w:val="continuous"/>
          <w:pgSz w:w="11910" w:h="16840"/>
          <w:pgMar w:top="760" w:bottom="860" w:left="940" w:right="740"/>
        </w:sectPr>
      </w:pPr>
    </w:p>
    <w:p>
      <w:pPr>
        <w:pStyle w:val="Heading3"/>
        <w:numPr>
          <w:ilvl w:val="1"/>
          <w:numId w:val="10"/>
        </w:numPr>
        <w:tabs>
          <w:tab w:pos="990" w:val="left" w:leader="none"/>
          <w:tab w:pos="991" w:val="left" w:leader="none"/>
        </w:tabs>
        <w:spacing w:line="240" w:lineRule="auto" w:before="66" w:after="0"/>
        <w:ind w:left="2900" w:right="0" w:hanging="2760"/>
        <w:jc w:val="left"/>
      </w:pPr>
      <w:r>
        <w:rPr/>
        <w:t>六项基本日常生活</w:t>
      </w:r>
    </w:p>
    <w:p>
      <w:pPr>
        <w:spacing w:before="36"/>
        <w:ind w:left="972" w:right="1252" w:firstLine="0"/>
        <w:jc w:val="center"/>
        <w:rPr>
          <w:b/>
          <w:sz w:val="21"/>
        </w:rPr>
      </w:pPr>
      <w:r>
        <w:rPr>
          <w:b/>
          <w:sz w:val="21"/>
        </w:rPr>
        <w:t>活动</w:t>
      </w:r>
    </w:p>
    <w:p>
      <w:pPr>
        <w:pStyle w:val="BodyText"/>
        <w:spacing w:before="35"/>
        <w:ind w:left="140"/>
      </w:pPr>
      <w:r>
        <w:rPr/>
        <w:br w:type="column"/>
      </w:r>
      <w:r>
        <w:rPr/>
        <w:t>六项基本日常生活活动是指：</w:t>
      </w:r>
    </w:p>
    <w:p>
      <w:pPr>
        <w:pStyle w:val="BodyText"/>
        <w:spacing w:before="36"/>
        <w:ind w:left="140"/>
      </w:pPr>
      <w:r>
        <w:rPr/>
        <w:t>（1）穿衣：自己能够穿衣及脱衣；</w:t>
      </w:r>
    </w:p>
    <w:p>
      <w:pPr>
        <w:pStyle w:val="BodyText"/>
        <w:spacing w:before="36"/>
        <w:ind w:left="140"/>
      </w:pPr>
      <w:r>
        <w:rPr/>
        <w:t>（2）移动：自己从一个房间到另一个房间；</w:t>
      </w:r>
    </w:p>
    <w:p>
      <w:pPr>
        <w:pStyle w:val="BodyText"/>
        <w:spacing w:before="36"/>
        <w:ind w:left="140"/>
      </w:pPr>
      <w:r>
        <w:rPr/>
        <w:t>（3）行动：自己上下床或上下轮椅；</w:t>
      </w:r>
    </w:p>
    <w:p>
      <w:pPr>
        <w:pStyle w:val="BodyText"/>
        <w:spacing w:before="36"/>
        <w:ind w:left="140"/>
      </w:pPr>
      <w:r>
        <w:rPr/>
        <w:t>（4）如厕：自己控制进行大小便；</w:t>
      </w:r>
    </w:p>
    <w:p>
      <w:pPr>
        <w:pStyle w:val="BodyText"/>
        <w:spacing w:before="36"/>
        <w:ind w:left="140"/>
      </w:pPr>
      <w:r>
        <w:rPr/>
        <w:t>（5）进食：自己从已准备好的碗或碟中取食物放入口中；</w:t>
      </w:r>
    </w:p>
    <w:p>
      <w:pPr>
        <w:spacing w:after="0"/>
        <w:sectPr>
          <w:type w:val="continuous"/>
          <w:pgSz w:w="11910" w:h="16840"/>
          <w:pgMar w:top="760" w:bottom="860" w:left="940" w:right="740"/>
          <w:cols w:num="2" w:equalWidth="0">
            <w:col w:w="2687" w:space="73"/>
            <w:col w:w="7470"/>
          </w:cols>
        </w:sect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15"/>
        <w:gridCol w:w="7265"/>
      </w:tblGrid>
      <w:tr>
        <w:trPr>
          <w:trHeight w:val="374" w:hRule="atLeast"/>
        </w:trPr>
        <w:tc>
          <w:tcPr>
            <w:tcW w:w="2702" w:type="dxa"/>
            <w:gridSpan w:val="2"/>
          </w:tcPr>
          <w:p>
            <w:pPr>
              <w:pStyle w:val="TableParagraph"/>
              <w:rPr>
                <w:rFonts w:ascii="Times New Roman"/>
                <w:sz w:val="20"/>
              </w:rPr>
            </w:pPr>
          </w:p>
        </w:tc>
        <w:tc>
          <w:tcPr>
            <w:tcW w:w="7265" w:type="dxa"/>
          </w:tcPr>
          <w:p>
            <w:pPr>
              <w:pStyle w:val="TableParagraph"/>
              <w:spacing w:line="210" w:lineRule="exact"/>
              <w:ind w:left="108"/>
              <w:rPr>
                <w:sz w:val="21"/>
              </w:rPr>
            </w:pPr>
            <w:r>
              <w:rPr>
                <w:sz w:val="21"/>
              </w:rPr>
              <w:t>（6）洗澡：自己进行淋浴或盆浴。</w:t>
            </w:r>
          </w:p>
        </w:tc>
      </w:tr>
      <w:tr>
        <w:trPr>
          <w:trHeight w:val="865" w:hRule="atLeast"/>
        </w:trPr>
        <w:tc>
          <w:tcPr>
            <w:tcW w:w="687" w:type="dxa"/>
          </w:tcPr>
          <w:p>
            <w:pPr>
              <w:pStyle w:val="TableParagraph"/>
              <w:spacing w:before="130"/>
              <w:ind w:left="50"/>
              <w:rPr>
                <w:b/>
                <w:sz w:val="21"/>
              </w:rPr>
            </w:pPr>
            <w:r>
              <w:rPr>
                <w:b/>
                <w:sz w:val="21"/>
              </w:rPr>
              <w:t>7.11</w:t>
            </w:r>
          </w:p>
        </w:tc>
        <w:tc>
          <w:tcPr>
            <w:tcW w:w="2015" w:type="dxa"/>
          </w:tcPr>
          <w:p>
            <w:pPr>
              <w:pStyle w:val="TableParagraph"/>
              <w:spacing w:before="130"/>
              <w:ind w:left="213"/>
              <w:rPr>
                <w:b/>
                <w:sz w:val="21"/>
              </w:rPr>
            </w:pPr>
            <w:r>
              <w:rPr>
                <w:b/>
                <w:w w:val="95"/>
                <w:sz w:val="21"/>
              </w:rPr>
              <w:t>永久不可逆</w:t>
            </w:r>
          </w:p>
        </w:tc>
        <w:tc>
          <w:tcPr>
            <w:tcW w:w="7265" w:type="dxa"/>
          </w:tcPr>
          <w:p>
            <w:pPr>
              <w:pStyle w:val="TableParagraph"/>
              <w:spacing w:line="273" w:lineRule="auto" w:before="99"/>
              <w:ind w:left="108" w:right="48"/>
              <w:rPr>
                <w:sz w:val="21"/>
              </w:rPr>
            </w:pPr>
            <w:r>
              <w:rPr>
                <w:sz w:val="21"/>
              </w:rPr>
              <w:t>永久不可逆是指自疾病确诊或意外伤害发生之日起，经过积极治疗180天后， 仍无法通过现有医疗手段恢复。</w:t>
            </w:r>
          </w:p>
        </w:tc>
      </w:tr>
      <w:tr>
        <w:trPr>
          <w:trHeight w:val="441" w:hRule="atLeast"/>
        </w:trPr>
        <w:tc>
          <w:tcPr>
            <w:tcW w:w="687" w:type="dxa"/>
          </w:tcPr>
          <w:p>
            <w:pPr>
              <w:pStyle w:val="TableParagraph"/>
              <w:spacing w:before="115"/>
              <w:ind w:left="50"/>
              <w:rPr>
                <w:b/>
                <w:sz w:val="21"/>
              </w:rPr>
            </w:pPr>
            <w:r>
              <w:rPr>
                <w:b/>
                <w:sz w:val="21"/>
              </w:rPr>
              <w:t>7.12</w:t>
            </w:r>
          </w:p>
        </w:tc>
        <w:tc>
          <w:tcPr>
            <w:tcW w:w="2015" w:type="dxa"/>
          </w:tcPr>
          <w:p>
            <w:pPr>
              <w:pStyle w:val="TableParagraph"/>
              <w:spacing w:before="115"/>
              <w:ind w:left="213"/>
              <w:rPr>
                <w:b/>
                <w:sz w:val="21"/>
              </w:rPr>
            </w:pPr>
            <w:r>
              <w:rPr>
                <w:b/>
                <w:sz w:val="21"/>
              </w:rPr>
              <w:t>连续投保</w:t>
            </w:r>
          </w:p>
        </w:tc>
        <w:tc>
          <w:tcPr>
            <w:tcW w:w="7265" w:type="dxa"/>
          </w:tcPr>
          <w:p>
            <w:pPr>
              <w:pStyle w:val="TableParagraph"/>
              <w:spacing w:before="114"/>
              <w:ind w:left="108"/>
              <w:rPr>
                <w:sz w:val="21"/>
              </w:rPr>
            </w:pPr>
            <w:r>
              <w:rPr>
                <w:sz w:val="21"/>
              </w:rPr>
              <w:t>指投保人为被保险人续保同一险种，且续保保单的生效日为原保单到期日的次</w:t>
            </w:r>
          </w:p>
        </w:tc>
      </w:tr>
      <w:tr>
        <w:trPr>
          <w:trHeight w:val="439"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日。</w:t>
            </w:r>
          </w:p>
        </w:tc>
      </w:tr>
      <w:tr>
        <w:trPr>
          <w:trHeight w:val="553" w:hRule="atLeast"/>
        </w:trPr>
        <w:tc>
          <w:tcPr>
            <w:tcW w:w="687" w:type="dxa"/>
          </w:tcPr>
          <w:p>
            <w:pPr>
              <w:pStyle w:val="TableParagraph"/>
              <w:spacing w:before="114"/>
              <w:ind w:left="50"/>
              <w:rPr>
                <w:b/>
                <w:sz w:val="21"/>
              </w:rPr>
            </w:pPr>
            <w:r>
              <w:rPr>
                <w:b/>
                <w:sz w:val="21"/>
              </w:rPr>
              <w:t>7.13</w:t>
            </w:r>
          </w:p>
        </w:tc>
        <w:tc>
          <w:tcPr>
            <w:tcW w:w="2015" w:type="dxa"/>
          </w:tcPr>
          <w:p>
            <w:pPr>
              <w:pStyle w:val="TableParagraph"/>
              <w:spacing w:before="114"/>
              <w:ind w:left="214"/>
              <w:rPr>
                <w:b/>
                <w:sz w:val="21"/>
              </w:rPr>
            </w:pPr>
            <w:r>
              <w:rPr>
                <w:b/>
                <w:sz w:val="21"/>
              </w:rPr>
              <w:t>意外伤害</w:t>
            </w:r>
          </w:p>
        </w:tc>
        <w:tc>
          <w:tcPr>
            <w:tcW w:w="7265" w:type="dxa"/>
          </w:tcPr>
          <w:p>
            <w:pPr>
              <w:pStyle w:val="TableParagraph"/>
              <w:spacing w:before="114"/>
              <w:ind w:left="108"/>
              <w:rPr>
                <w:sz w:val="21"/>
              </w:rPr>
            </w:pPr>
            <w:r>
              <w:rPr>
                <w:sz w:val="21"/>
              </w:rPr>
              <w:t>指外来的、突发的、非本意的、非疾病的使身体受到伤害的客观事件。</w:t>
            </w:r>
          </w:p>
        </w:tc>
      </w:tr>
      <w:tr>
        <w:trPr>
          <w:trHeight w:val="851" w:hRule="atLeast"/>
        </w:trPr>
        <w:tc>
          <w:tcPr>
            <w:tcW w:w="687" w:type="dxa"/>
          </w:tcPr>
          <w:p>
            <w:pPr>
              <w:pStyle w:val="TableParagraph"/>
              <w:spacing w:before="131"/>
              <w:ind w:left="50"/>
              <w:rPr>
                <w:b/>
                <w:sz w:val="21"/>
              </w:rPr>
            </w:pPr>
            <w:r>
              <w:rPr>
                <w:b/>
                <w:sz w:val="21"/>
              </w:rPr>
              <w:t>7.14</w:t>
            </w:r>
          </w:p>
        </w:tc>
        <w:tc>
          <w:tcPr>
            <w:tcW w:w="2015" w:type="dxa"/>
          </w:tcPr>
          <w:p>
            <w:pPr>
              <w:pStyle w:val="TableParagraph"/>
              <w:spacing w:before="131"/>
              <w:ind w:left="213"/>
              <w:rPr>
                <w:b/>
                <w:sz w:val="21"/>
              </w:rPr>
            </w:pPr>
            <w:r>
              <w:rPr>
                <w:b/>
                <w:sz w:val="21"/>
              </w:rPr>
              <w:t>医院</w:t>
            </w:r>
          </w:p>
        </w:tc>
        <w:tc>
          <w:tcPr>
            <w:tcW w:w="7265" w:type="dxa"/>
          </w:tcPr>
          <w:p>
            <w:pPr>
              <w:pStyle w:val="TableParagraph"/>
              <w:spacing w:line="273" w:lineRule="auto" w:before="100"/>
              <w:ind w:left="108" w:right="8"/>
              <w:rPr>
                <w:sz w:val="21"/>
              </w:rPr>
            </w:pPr>
            <w:r>
              <w:rPr>
                <w:sz w:val="21"/>
              </w:rPr>
              <w:t>指本公司与投保人约定的定点医院，未约定定点医院的，则指中华人民共和国境内（港、澳、台地区除外）合法经营的二级以上（含二级）公立医院。</w:t>
            </w:r>
          </w:p>
        </w:tc>
      </w:tr>
      <w:tr>
        <w:trPr>
          <w:trHeight w:val="425" w:hRule="atLeast"/>
        </w:trPr>
        <w:tc>
          <w:tcPr>
            <w:tcW w:w="687" w:type="dxa"/>
          </w:tcPr>
          <w:p>
            <w:pPr>
              <w:pStyle w:val="TableParagraph"/>
              <w:spacing w:before="99"/>
              <w:ind w:left="50"/>
              <w:rPr>
                <w:b/>
                <w:sz w:val="21"/>
              </w:rPr>
            </w:pPr>
            <w:r>
              <w:rPr>
                <w:b/>
                <w:sz w:val="21"/>
              </w:rPr>
              <w:t>7.15</w:t>
            </w:r>
          </w:p>
        </w:tc>
        <w:tc>
          <w:tcPr>
            <w:tcW w:w="2015" w:type="dxa"/>
          </w:tcPr>
          <w:p>
            <w:pPr>
              <w:pStyle w:val="TableParagraph"/>
              <w:spacing w:before="99"/>
              <w:ind w:left="213"/>
              <w:rPr>
                <w:b/>
                <w:sz w:val="21"/>
              </w:rPr>
            </w:pPr>
            <w:r>
              <w:rPr>
                <w:b/>
                <w:w w:val="95"/>
                <w:sz w:val="21"/>
              </w:rPr>
              <w:t>毒品</w:t>
            </w:r>
          </w:p>
        </w:tc>
        <w:tc>
          <w:tcPr>
            <w:tcW w:w="7265" w:type="dxa"/>
          </w:tcPr>
          <w:p>
            <w:pPr>
              <w:pStyle w:val="TableParagraph"/>
              <w:spacing w:before="99"/>
              <w:ind w:left="108"/>
              <w:rPr>
                <w:sz w:val="21"/>
              </w:rPr>
            </w:pPr>
            <w:r>
              <w:rPr>
                <w:sz w:val="21"/>
              </w:rPr>
              <w:t>指中华人民共和国刑法规定的鸦片、海洛因、甲基苯丙胺（冰毒</w:t>
            </w:r>
            <w:r>
              <w:rPr>
                <w:spacing w:val="-104"/>
                <w:sz w:val="21"/>
              </w:rPr>
              <w:t>）</w:t>
            </w:r>
            <w:r>
              <w:rPr>
                <w:sz w:val="21"/>
              </w:rPr>
              <w:t>、吗啡、大</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麻、可卡因以及国家规定管制的其他能够使人形成瘾癖的麻醉药品和精神药</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品，但不包括由医生开具并遵医嘱使用的用于治疗疾病但含有毒品成分的处方</w:t>
            </w:r>
          </w:p>
        </w:tc>
      </w:tr>
      <w:tr>
        <w:trPr>
          <w:trHeight w:val="425"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药品。</w:t>
            </w:r>
          </w:p>
        </w:tc>
      </w:tr>
      <w:tr>
        <w:trPr>
          <w:trHeight w:val="425" w:hRule="atLeast"/>
        </w:trPr>
        <w:tc>
          <w:tcPr>
            <w:tcW w:w="687" w:type="dxa"/>
          </w:tcPr>
          <w:p>
            <w:pPr>
              <w:pStyle w:val="TableParagraph"/>
              <w:spacing w:before="99"/>
              <w:ind w:left="50"/>
              <w:rPr>
                <w:b/>
                <w:sz w:val="21"/>
              </w:rPr>
            </w:pPr>
            <w:r>
              <w:rPr>
                <w:b/>
                <w:sz w:val="21"/>
              </w:rPr>
              <w:t>7.16</w:t>
            </w:r>
          </w:p>
        </w:tc>
        <w:tc>
          <w:tcPr>
            <w:tcW w:w="2015" w:type="dxa"/>
          </w:tcPr>
          <w:p>
            <w:pPr>
              <w:pStyle w:val="TableParagraph"/>
              <w:spacing w:before="99"/>
              <w:ind w:left="214"/>
              <w:rPr>
                <w:b/>
                <w:sz w:val="21"/>
              </w:rPr>
            </w:pPr>
            <w:r>
              <w:rPr>
                <w:b/>
                <w:sz w:val="21"/>
              </w:rPr>
              <w:t>酒后驾驶</w:t>
            </w:r>
          </w:p>
        </w:tc>
        <w:tc>
          <w:tcPr>
            <w:tcW w:w="7265" w:type="dxa"/>
          </w:tcPr>
          <w:p>
            <w:pPr>
              <w:pStyle w:val="TableParagraph"/>
              <w:spacing w:before="99"/>
              <w:ind w:left="108"/>
              <w:rPr>
                <w:sz w:val="21"/>
              </w:rPr>
            </w:pPr>
            <w:r>
              <w:rPr>
                <w:sz w:val="21"/>
              </w:rPr>
              <w:t>指经检测或鉴定，发生事故时车辆驾驶人员每百毫升血液中的酒精含量达到或</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超过一定的标准，公安机关交通管理部门依据《道路交通安全法》的规定认定</w:t>
            </w:r>
          </w:p>
        </w:tc>
      </w:tr>
      <w:tr>
        <w:trPr>
          <w:trHeight w:val="425"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为饮酒后驾驶或醉酒后驾驶。</w:t>
            </w:r>
          </w:p>
        </w:tc>
      </w:tr>
      <w:tr>
        <w:trPr>
          <w:trHeight w:val="425" w:hRule="atLeast"/>
        </w:trPr>
        <w:tc>
          <w:tcPr>
            <w:tcW w:w="687" w:type="dxa"/>
          </w:tcPr>
          <w:p>
            <w:pPr>
              <w:pStyle w:val="TableParagraph"/>
              <w:spacing w:before="99"/>
              <w:ind w:left="50"/>
              <w:rPr>
                <w:b/>
                <w:sz w:val="21"/>
              </w:rPr>
            </w:pPr>
            <w:r>
              <w:rPr>
                <w:b/>
                <w:sz w:val="21"/>
              </w:rPr>
              <w:t>7.17</w:t>
            </w:r>
          </w:p>
        </w:tc>
        <w:tc>
          <w:tcPr>
            <w:tcW w:w="2015" w:type="dxa"/>
          </w:tcPr>
          <w:p>
            <w:pPr>
              <w:pStyle w:val="TableParagraph"/>
              <w:spacing w:before="99"/>
              <w:ind w:left="213"/>
              <w:rPr>
                <w:b/>
                <w:sz w:val="21"/>
              </w:rPr>
            </w:pPr>
            <w:r>
              <w:rPr>
                <w:b/>
                <w:sz w:val="21"/>
              </w:rPr>
              <w:t>无合法有效驾驶证</w:t>
            </w:r>
          </w:p>
        </w:tc>
        <w:tc>
          <w:tcPr>
            <w:tcW w:w="7265" w:type="dxa"/>
          </w:tcPr>
          <w:p>
            <w:pPr>
              <w:pStyle w:val="TableParagraph"/>
              <w:spacing w:before="99"/>
              <w:ind w:left="108"/>
              <w:rPr>
                <w:sz w:val="21"/>
              </w:rPr>
            </w:pPr>
            <w:r>
              <w:rPr>
                <w:sz w:val="21"/>
              </w:rPr>
              <w:t>指下列情形之一：</w:t>
            </w:r>
          </w:p>
        </w:tc>
      </w:tr>
      <w:tr>
        <w:trPr>
          <w:trHeight w:val="311" w:hRule="atLeast"/>
        </w:trPr>
        <w:tc>
          <w:tcPr>
            <w:tcW w:w="687" w:type="dxa"/>
          </w:tcPr>
          <w:p>
            <w:pPr>
              <w:pStyle w:val="TableParagraph"/>
              <w:rPr>
                <w:rFonts w:ascii="Times New Roman"/>
                <w:sz w:val="20"/>
              </w:rPr>
            </w:pPr>
          </w:p>
        </w:tc>
        <w:tc>
          <w:tcPr>
            <w:tcW w:w="2015" w:type="dxa"/>
          </w:tcPr>
          <w:p>
            <w:pPr>
              <w:pStyle w:val="TableParagraph"/>
              <w:spacing w:line="261" w:lineRule="exact"/>
              <w:ind w:left="213"/>
              <w:rPr>
                <w:b/>
                <w:sz w:val="21"/>
              </w:rPr>
            </w:pPr>
            <w:r>
              <w:rPr>
                <w:b/>
                <w:sz w:val="21"/>
              </w:rPr>
              <w:t>驾驶</w:t>
            </w:r>
          </w:p>
        </w:tc>
        <w:tc>
          <w:tcPr>
            <w:tcW w:w="7265" w:type="dxa"/>
          </w:tcPr>
          <w:p>
            <w:pPr>
              <w:pStyle w:val="TableParagraph"/>
              <w:spacing w:line="261" w:lineRule="exact"/>
              <w:ind w:left="108"/>
              <w:rPr>
                <w:sz w:val="21"/>
              </w:rPr>
            </w:pPr>
            <w:r>
              <w:rPr>
                <w:sz w:val="21"/>
              </w:rPr>
              <w:t>（1）没有取得驾驶资格；</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（2）驾驶与驾驶证准驾车型不相符合的车辆；</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（3）持审验不合格的驾驶证驾驶；</w:t>
            </w:r>
          </w:p>
        </w:tc>
      </w:tr>
      <w:tr>
        <w:trPr>
          <w:trHeight w:val="260" w:hRule="atLeast"/>
        </w:trPr>
        <w:tc>
          <w:tcPr>
            <w:tcW w:w="687" w:type="dxa"/>
          </w:tcPr>
          <w:p>
            <w:pPr>
              <w:pStyle w:val="TableParagraph"/>
              <w:rPr>
                <w:rFonts w:ascii="Times New Roman"/>
                <w:sz w:val="18"/>
              </w:rPr>
            </w:pPr>
          </w:p>
        </w:tc>
        <w:tc>
          <w:tcPr>
            <w:tcW w:w="2015" w:type="dxa"/>
          </w:tcPr>
          <w:p>
            <w:pPr>
              <w:pStyle w:val="TableParagraph"/>
              <w:rPr>
                <w:rFonts w:ascii="Times New Roman"/>
                <w:sz w:val="18"/>
              </w:rPr>
            </w:pPr>
          </w:p>
        </w:tc>
        <w:tc>
          <w:tcPr>
            <w:tcW w:w="7265" w:type="dxa"/>
          </w:tcPr>
          <w:p>
            <w:pPr>
              <w:pStyle w:val="TableParagraph"/>
              <w:spacing w:line="241" w:lineRule="exact"/>
              <w:ind w:left="108"/>
              <w:rPr>
                <w:sz w:val="21"/>
              </w:rPr>
            </w:pPr>
            <w:r>
              <w:rPr>
                <w:sz w:val="21"/>
              </w:rPr>
              <w:t>（4）持学习驾驶证学习驾车时，无教练员随车指导，或不按指定时间、路线</w:t>
            </w:r>
          </w:p>
        </w:tc>
      </w:tr>
      <w:tr>
        <w:trPr>
          <w:trHeight w:val="476"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before="37"/>
              <w:ind w:left="633"/>
              <w:rPr>
                <w:sz w:val="21"/>
              </w:rPr>
            </w:pPr>
            <w:r>
              <w:rPr>
                <w:sz w:val="21"/>
              </w:rPr>
              <w:t>学习驾车。</w:t>
            </w:r>
          </w:p>
        </w:tc>
      </w:tr>
      <w:tr>
        <w:trPr>
          <w:trHeight w:val="425" w:hRule="atLeast"/>
        </w:trPr>
        <w:tc>
          <w:tcPr>
            <w:tcW w:w="687" w:type="dxa"/>
          </w:tcPr>
          <w:p>
            <w:pPr>
              <w:pStyle w:val="TableParagraph"/>
              <w:spacing w:before="99"/>
              <w:ind w:left="50"/>
              <w:rPr>
                <w:b/>
                <w:sz w:val="21"/>
              </w:rPr>
            </w:pPr>
            <w:r>
              <w:rPr>
                <w:b/>
                <w:sz w:val="21"/>
              </w:rPr>
              <w:t>7.18</w:t>
            </w:r>
          </w:p>
        </w:tc>
        <w:tc>
          <w:tcPr>
            <w:tcW w:w="2015" w:type="dxa"/>
          </w:tcPr>
          <w:p>
            <w:pPr>
              <w:pStyle w:val="TableParagraph"/>
              <w:spacing w:before="99"/>
              <w:ind w:left="214"/>
              <w:rPr>
                <w:b/>
                <w:sz w:val="21"/>
              </w:rPr>
            </w:pPr>
            <w:r>
              <w:rPr>
                <w:b/>
                <w:w w:val="95"/>
                <w:sz w:val="21"/>
              </w:rPr>
              <w:t>无有效行驶证</w:t>
            </w:r>
          </w:p>
        </w:tc>
        <w:tc>
          <w:tcPr>
            <w:tcW w:w="7265" w:type="dxa"/>
          </w:tcPr>
          <w:p>
            <w:pPr>
              <w:pStyle w:val="TableParagraph"/>
              <w:spacing w:before="99"/>
              <w:ind w:left="108"/>
              <w:rPr>
                <w:sz w:val="21"/>
              </w:rPr>
            </w:pPr>
            <w:r>
              <w:rPr>
                <w:sz w:val="21"/>
              </w:rPr>
              <w:t>指下列情形之一：</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（1）未取得行驶证；</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（2）机动车被依法注销登记的；</w:t>
            </w:r>
          </w:p>
        </w:tc>
      </w:tr>
      <w:tr>
        <w:trPr>
          <w:trHeight w:val="425"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（3）未依法按时进行或通过机动车安全技术检验。</w:t>
            </w:r>
          </w:p>
        </w:tc>
      </w:tr>
      <w:tr>
        <w:trPr>
          <w:trHeight w:val="425" w:hRule="atLeast"/>
        </w:trPr>
        <w:tc>
          <w:tcPr>
            <w:tcW w:w="687" w:type="dxa"/>
          </w:tcPr>
          <w:p>
            <w:pPr>
              <w:pStyle w:val="TableParagraph"/>
              <w:spacing w:before="99"/>
              <w:ind w:left="50"/>
              <w:rPr>
                <w:b/>
                <w:sz w:val="21"/>
              </w:rPr>
            </w:pPr>
            <w:r>
              <w:rPr>
                <w:b/>
                <w:sz w:val="21"/>
              </w:rPr>
              <w:t>7.19</w:t>
            </w:r>
          </w:p>
        </w:tc>
        <w:tc>
          <w:tcPr>
            <w:tcW w:w="2015" w:type="dxa"/>
          </w:tcPr>
          <w:p>
            <w:pPr>
              <w:pStyle w:val="TableParagraph"/>
              <w:spacing w:before="99"/>
              <w:ind w:left="214"/>
              <w:rPr>
                <w:b/>
                <w:sz w:val="21"/>
              </w:rPr>
            </w:pPr>
            <w:r>
              <w:rPr>
                <w:b/>
                <w:w w:val="95"/>
                <w:sz w:val="21"/>
              </w:rPr>
              <w:t>机动车</w:t>
            </w:r>
          </w:p>
        </w:tc>
        <w:tc>
          <w:tcPr>
            <w:tcW w:w="7265" w:type="dxa"/>
          </w:tcPr>
          <w:p>
            <w:pPr>
              <w:pStyle w:val="TableParagraph"/>
              <w:spacing w:before="99"/>
              <w:ind w:left="108"/>
              <w:rPr>
                <w:sz w:val="21"/>
              </w:rPr>
            </w:pPr>
            <w:r>
              <w:rPr>
                <w:sz w:val="21"/>
              </w:rPr>
              <w:t>指以动力装置驱动或者牵引，上道路行驶的供人员乘用或者用于运送物品以及</w:t>
            </w:r>
          </w:p>
        </w:tc>
      </w:tr>
      <w:tr>
        <w:trPr>
          <w:trHeight w:val="425"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进行工程专项作业的轮式车辆。</w:t>
            </w:r>
          </w:p>
        </w:tc>
      </w:tr>
      <w:tr>
        <w:trPr>
          <w:trHeight w:val="425" w:hRule="atLeast"/>
        </w:trPr>
        <w:tc>
          <w:tcPr>
            <w:tcW w:w="687" w:type="dxa"/>
          </w:tcPr>
          <w:p>
            <w:pPr>
              <w:pStyle w:val="TableParagraph"/>
              <w:spacing w:before="100"/>
              <w:ind w:left="50"/>
              <w:rPr>
                <w:b/>
                <w:sz w:val="21"/>
              </w:rPr>
            </w:pPr>
            <w:r>
              <w:rPr>
                <w:b/>
                <w:sz w:val="21"/>
              </w:rPr>
              <w:t>7.20</w:t>
            </w:r>
          </w:p>
        </w:tc>
        <w:tc>
          <w:tcPr>
            <w:tcW w:w="2015" w:type="dxa"/>
          </w:tcPr>
          <w:p>
            <w:pPr>
              <w:pStyle w:val="TableParagraph"/>
              <w:spacing w:before="100"/>
              <w:ind w:left="213"/>
              <w:rPr>
                <w:b/>
                <w:sz w:val="21"/>
              </w:rPr>
            </w:pPr>
            <w:r>
              <w:rPr>
                <w:b/>
                <w:sz w:val="21"/>
              </w:rPr>
              <w:t>感染艾滋病病毒或</w:t>
            </w:r>
          </w:p>
        </w:tc>
        <w:tc>
          <w:tcPr>
            <w:tcW w:w="7265" w:type="dxa"/>
          </w:tcPr>
          <w:p>
            <w:pPr>
              <w:pStyle w:val="TableParagraph"/>
              <w:spacing w:before="100"/>
              <w:ind w:left="108"/>
              <w:rPr>
                <w:sz w:val="21"/>
              </w:rPr>
            </w:pPr>
            <w:r>
              <w:rPr>
                <w:sz w:val="21"/>
              </w:rPr>
              <w:t>艾滋病病毒指人类免疫缺陷病毒，英文缩写为HIV。艾滋病指人类免疫缺陷病</w:t>
            </w:r>
          </w:p>
        </w:tc>
      </w:tr>
      <w:tr>
        <w:trPr>
          <w:trHeight w:val="311" w:hRule="atLeast"/>
        </w:trPr>
        <w:tc>
          <w:tcPr>
            <w:tcW w:w="687" w:type="dxa"/>
          </w:tcPr>
          <w:p>
            <w:pPr>
              <w:pStyle w:val="TableParagraph"/>
              <w:rPr>
                <w:rFonts w:ascii="Times New Roman"/>
                <w:sz w:val="20"/>
              </w:rPr>
            </w:pPr>
          </w:p>
        </w:tc>
        <w:tc>
          <w:tcPr>
            <w:tcW w:w="2015" w:type="dxa"/>
          </w:tcPr>
          <w:p>
            <w:pPr>
              <w:pStyle w:val="TableParagraph"/>
              <w:spacing w:line="261" w:lineRule="exact"/>
              <w:ind w:left="213"/>
              <w:rPr>
                <w:b/>
                <w:sz w:val="21"/>
              </w:rPr>
            </w:pPr>
            <w:r>
              <w:rPr>
                <w:b/>
                <w:sz w:val="21"/>
              </w:rPr>
              <w:t>患艾滋病</w:t>
            </w:r>
          </w:p>
        </w:tc>
        <w:tc>
          <w:tcPr>
            <w:tcW w:w="7265" w:type="dxa"/>
          </w:tcPr>
          <w:p>
            <w:pPr>
              <w:pStyle w:val="TableParagraph"/>
              <w:spacing w:line="261" w:lineRule="exact"/>
              <w:ind w:left="108"/>
              <w:rPr>
                <w:sz w:val="21"/>
              </w:rPr>
            </w:pPr>
            <w:r>
              <w:rPr>
                <w:sz w:val="21"/>
              </w:rPr>
              <w:t>毒引起的获得性免疫缺陷综合征，英文缩写为AIDS。</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在人体血液或其他样本中检测到艾滋病病毒或其抗体呈阳性，没有出现临床症</w:t>
            </w:r>
          </w:p>
        </w:tc>
      </w:tr>
      <w:tr>
        <w:trPr>
          <w:trHeight w:val="311"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状或体征的，为感染艾滋病病毒；如果同时出现了明显临床症状或体征的，为</w:t>
            </w:r>
          </w:p>
        </w:tc>
      </w:tr>
      <w:tr>
        <w:trPr>
          <w:trHeight w:val="425"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患艾滋病。</w:t>
            </w:r>
          </w:p>
        </w:tc>
      </w:tr>
      <w:tr>
        <w:trPr>
          <w:trHeight w:val="425" w:hRule="atLeast"/>
        </w:trPr>
        <w:tc>
          <w:tcPr>
            <w:tcW w:w="687" w:type="dxa"/>
          </w:tcPr>
          <w:p>
            <w:pPr>
              <w:pStyle w:val="TableParagraph"/>
              <w:spacing w:before="99"/>
              <w:ind w:left="50"/>
              <w:rPr>
                <w:b/>
                <w:sz w:val="21"/>
              </w:rPr>
            </w:pPr>
            <w:r>
              <w:rPr>
                <w:b/>
                <w:sz w:val="21"/>
              </w:rPr>
              <w:t>7.21</w:t>
            </w:r>
          </w:p>
        </w:tc>
        <w:tc>
          <w:tcPr>
            <w:tcW w:w="2015" w:type="dxa"/>
          </w:tcPr>
          <w:p>
            <w:pPr>
              <w:pStyle w:val="TableParagraph"/>
              <w:spacing w:before="99"/>
              <w:ind w:left="213"/>
              <w:rPr>
                <w:b/>
                <w:sz w:val="21"/>
              </w:rPr>
            </w:pPr>
            <w:r>
              <w:rPr>
                <w:b/>
                <w:w w:val="95"/>
                <w:sz w:val="21"/>
              </w:rPr>
              <w:t>遗传性疾病</w:t>
            </w:r>
          </w:p>
        </w:tc>
        <w:tc>
          <w:tcPr>
            <w:tcW w:w="7265" w:type="dxa"/>
          </w:tcPr>
          <w:p>
            <w:pPr>
              <w:pStyle w:val="TableParagraph"/>
              <w:spacing w:before="99"/>
              <w:ind w:left="108"/>
              <w:rPr>
                <w:sz w:val="21"/>
              </w:rPr>
            </w:pPr>
            <w:r>
              <w:rPr>
                <w:sz w:val="21"/>
              </w:rPr>
              <w:t>指生殖细胞或受精卵的遗传物质（染色体和基因）发生突变（或畸变）所引起</w:t>
            </w:r>
          </w:p>
        </w:tc>
      </w:tr>
      <w:tr>
        <w:trPr>
          <w:trHeight w:val="425" w:hRule="atLeast"/>
        </w:trPr>
        <w:tc>
          <w:tcPr>
            <w:tcW w:w="687" w:type="dxa"/>
          </w:tcPr>
          <w:p>
            <w:pPr>
              <w:pStyle w:val="TableParagraph"/>
              <w:rPr>
                <w:rFonts w:ascii="Times New Roman"/>
                <w:sz w:val="20"/>
              </w:rPr>
            </w:pPr>
          </w:p>
        </w:tc>
        <w:tc>
          <w:tcPr>
            <w:tcW w:w="2015" w:type="dxa"/>
          </w:tcPr>
          <w:p>
            <w:pPr>
              <w:pStyle w:val="TableParagraph"/>
              <w:rPr>
                <w:rFonts w:ascii="Times New Roman"/>
                <w:sz w:val="20"/>
              </w:rPr>
            </w:pPr>
          </w:p>
        </w:tc>
        <w:tc>
          <w:tcPr>
            <w:tcW w:w="7265" w:type="dxa"/>
          </w:tcPr>
          <w:p>
            <w:pPr>
              <w:pStyle w:val="TableParagraph"/>
              <w:spacing w:line="261" w:lineRule="exact"/>
              <w:ind w:left="108"/>
              <w:rPr>
                <w:sz w:val="21"/>
              </w:rPr>
            </w:pPr>
            <w:r>
              <w:rPr>
                <w:sz w:val="21"/>
              </w:rPr>
              <w:t>的疾病，通常具有由亲代传至后代的垂直传递的特征。</w:t>
            </w:r>
          </w:p>
        </w:tc>
      </w:tr>
      <w:tr>
        <w:trPr>
          <w:trHeight w:val="374" w:hRule="atLeast"/>
        </w:trPr>
        <w:tc>
          <w:tcPr>
            <w:tcW w:w="687" w:type="dxa"/>
          </w:tcPr>
          <w:p>
            <w:pPr>
              <w:pStyle w:val="TableParagraph"/>
              <w:spacing w:line="255" w:lineRule="exact" w:before="99"/>
              <w:ind w:left="50"/>
              <w:rPr>
                <w:b/>
                <w:sz w:val="21"/>
              </w:rPr>
            </w:pPr>
            <w:r>
              <w:rPr>
                <w:b/>
                <w:sz w:val="21"/>
              </w:rPr>
              <w:t>7.22</w:t>
            </w:r>
          </w:p>
        </w:tc>
        <w:tc>
          <w:tcPr>
            <w:tcW w:w="2015" w:type="dxa"/>
          </w:tcPr>
          <w:p>
            <w:pPr>
              <w:pStyle w:val="TableParagraph"/>
              <w:spacing w:line="255" w:lineRule="exact" w:before="99"/>
              <w:ind w:left="213"/>
              <w:rPr>
                <w:b/>
                <w:sz w:val="21"/>
              </w:rPr>
            </w:pPr>
            <w:r>
              <w:rPr>
                <w:b/>
                <w:sz w:val="21"/>
              </w:rPr>
              <w:t>先天性畸形、变形</w:t>
            </w:r>
          </w:p>
        </w:tc>
        <w:tc>
          <w:tcPr>
            <w:tcW w:w="7265" w:type="dxa"/>
          </w:tcPr>
          <w:p>
            <w:pPr>
              <w:pStyle w:val="TableParagraph"/>
              <w:spacing w:line="255" w:lineRule="exact" w:before="99"/>
              <w:ind w:left="108"/>
              <w:rPr>
                <w:sz w:val="21"/>
              </w:rPr>
            </w:pPr>
            <w:r>
              <w:rPr>
                <w:sz w:val="21"/>
              </w:rPr>
              <w:t>指被保险人出生时就具有的畸形、变形或染色体异常。先天性畸形、变形和染</w:t>
            </w:r>
          </w:p>
        </w:tc>
      </w:tr>
    </w:tbl>
    <w:p>
      <w:pPr>
        <w:spacing w:after="0" w:line="255" w:lineRule="exact"/>
        <w:rPr>
          <w:sz w:val="21"/>
        </w:rPr>
        <w:sectPr>
          <w:pgSz w:w="11910" w:h="16840"/>
          <w:pgMar w:header="594" w:footer="666" w:top="820" w:bottom="860" w:left="920" w:right="800"/>
        </w:sectPr>
      </w:pPr>
    </w:p>
    <w:p>
      <w:pPr>
        <w:pStyle w:val="BodyText"/>
        <w:rPr>
          <w:rFonts w:ascii="Times New Roman"/>
          <w:sz w:val="20"/>
        </w:rPr>
      </w:pPr>
    </w:p>
    <w:p>
      <w:pPr>
        <w:pStyle w:val="BodyText"/>
        <w:spacing w:before="2"/>
        <w:rPr>
          <w:rFonts w:ascii="Times New Roman"/>
          <w:sz w:val="28"/>
        </w:rPr>
      </w:pPr>
    </w:p>
    <w:p>
      <w:pPr>
        <w:pStyle w:val="BodyText"/>
        <w:tabs>
          <w:tab w:pos="2899" w:val="left" w:leader="none"/>
        </w:tabs>
        <w:spacing w:line="273" w:lineRule="auto" w:before="36"/>
        <w:ind w:left="2899" w:right="113" w:hanging="1910"/>
      </w:pPr>
      <w:r>
        <w:rPr>
          <w:b/>
        </w:rPr>
        <w:t>或染色体异常</w:t>
        <w:tab/>
      </w:r>
      <w:r>
        <w:rPr>
          <w:spacing w:val="-1"/>
        </w:rPr>
        <w:t>色体异常依</w:t>
      </w:r>
      <w:r>
        <w:rPr/>
        <w:t>照世界卫生组</w:t>
      </w:r>
      <w:r>
        <w:rPr>
          <w:spacing w:val="-47"/>
        </w:rPr>
        <w:t>织</w:t>
      </w:r>
      <w:r>
        <w:rPr/>
        <w:t>《疾病和有关健康问题的国际统计分类</w:t>
      </w:r>
      <w:r>
        <w:rPr>
          <w:spacing w:val="-94"/>
        </w:rPr>
        <w:t>》</w:t>
      </w:r>
      <w:r>
        <w:rPr/>
        <w:t>（ICD-10）确定。</w:t>
      </w:r>
    </w:p>
    <w:p>
      <w:pPr>
        <w:pStyle w:val="BodyText"/>
        <w:spacing w:before="12"/>
        <w:rPr>
          <w:sz w:val="17"/>
        </w:rPr>
      </w:pPr>
    </w:p>
    <w:p>
      <w:pPr>
        <w:tabs>
          <w:tab w:pos="991" w:val="left" w:leader="none"/>
          <w:tab w:pos="2899" w:val="left" w:leader="none"/>
        </w:tabs>
        <w:spacing w:before="0"/>
        <w:ind w:left="139" w:right="0" w:firstLine="0"/>
        <w:jc w:val="left"/>
        <w:rPr>
          <w:sz w:val="21"/>
        </w:rPr>
      </w:pPr>
      <w:r>
        <w:rPr>
          <w:b/>
          <w:sz w:val="21"/>
        </w:rPr>
        <w:t>7.23</w:t>
        <w:tab/>
        <w:t>净保险费</w:t>
        <w:tab/>
      </w:r>
      <w:r>
        <w:rPr>
          <w:sz w:val="21"/>
        </w:rPr>
        <w:t>指不包含公司营业费用</w:t>
      </w:r>
      <w:r>
        <w:rPr>
          <w:spacing w:val="-12"/>
          <w:sz w:val="21"/>
        </w:rPr>
        <w:t>、</w:t>
      </w:r>
      <w:r>
        <w:rPr>
          <w:sz w:val="21"/>
        </w:rPr>
        <w:t>佣金等其他费用的保险费</w:t>
      </w:r>
      <w:r>
        <w:rPr>
          <w:spacing w:val="-12"/>
          <w:sz w:val="21"/>
        </w:rPr>
        <w:t>。</w:t>
      </w:r>
      <w:r>
        <w:rPr>
          <w:sz w:val="21"/>
        </w:rPr>
        <w:t>其计算公式</w:t>
      </w:r>
      <w:r>
        <w:rPr>
          <w:spacing w:val="-12"/>
          <w:sz w:val="21"/>
        </w:rPr>
        <w:t>为</w:t>
      </w:r>
      <w:r>
        <w:rPr>
          <w:sz w:val="21"/>
        </w:rPr>
        <w:t>“保险费×</w:t>
      </w:r>
    </w:p>
    <w:p>
      <w:pPr>
        <w:pStyle w:val="BodyText"/>
        <w:spacing w:before="37"/>
        <w:ind w:left="2899"/>
      </w:pPr>
      <w:r>
        <w:rPr>
          <w:spacing w:val="-1"/>
        </w:rPr>
        <w:t>（</w:t>
      </w:r>
      <w:r>
        <w:rPr/>
        <w:t>1</w:t>
      </w:r>
      <w:r>
        <w:rPr>
          <w:spacing w:val="-1"/>
        </w:rPr>
        <w:t>-</w:t>
      </w:r>
      <w:r>
        <w:rPr/>
        <w:t>2</w:t>
      </w:r>
      <w:r>
        <w:rPr>
          <w:spacing w:val="-1"/>
        </w:rPr>
        <w:t>5</w:t>
      </w:r>
      <w:r>
        <w:rPr/>
        <w:t>%</w:t>
      </w:r>
      <w:r>
        <w:rPr>
          <w:spacing w:val="-106"/>
        </w:rPr>
        <w:t>）</w:t>
      </w:r>
      <w:r>
        <w:rPr>
          <w:spacing w:val="-53"/>
        </w:rPr>
        <w:t>”。</w:t>
      </w:r>
    </w:p>
    <w:p>
      <w:pPr>
        <w:pStyle w:val="BodyText"/>
        <w:rPr>
          <w:sz w:val="20"/>
        </w:rPr>
      </w:pPr>
    </w:p>
    <w:p>
      <w:pPr>
        <w:pStyle w:val="BodyText"/>
        <w:spacing w:before="3"/>
        <w:rPr>
          <w:sz w:val="20"/>
        </w:rPr>
      </w:pPr>
    </w:p>
    <w:p>
      <w:pPr>
        <w:pStyle w:val="Heading3"/>
        <w:ind w:left="0" w:right="335"/>
        <w:jc w:val="right"/>
      </w:pPr>
      <w:r>
        <w:rPr>
          <w:w w:val="95"/>
        </w:rPr>
        <w:t>[本页内容结束]</w:t>
      </w:r>
    </w:p>
    <w:sectPr>
      <w:pgSz w:w="11910" w:h="16840"/>
      <w:pgMar w:header="594" w:footer="666" w:top="820" w:bottom="860" w:left="9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Sans Serif">
    <w:altName w:val="Microsoft Sans Serif"/>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61969pt;width:13pt;height:12.05pt;mso-position-horizontal-relative:page;mso-position-vertical-relative:page;z-index:-29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39999pt;margin-top:28.765326pt;width:110.15pt;height:11pt;mso-position-horizontal-relative:page;mso-position-vertical-relative:page;z-index:-2910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9.363403pt;margin-top:28.765326pt;width:91.8pt;height:11pt;mso-position-horizontal-relative:page;mso-position-vertical-relative:page;z-index:-2908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w w:val="95"/>
                    <w:sz w:val="18"/>
                  </w:rPr>
                  <w:t>前海团体重大疾病保险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032" from="49.560001pt,41.399986pt" to="545.760001pt,41.399986pt" stroked="true" strokeweight=".72003pt" strokecolor="#000000">
          <v:stroke dashstyle="solid"/>
          <w10:wrap type="none"/>
        </v:line>
      </w:pict>
    </w:r>
    <w:r>
      <w:rPr/>
      <w:pict>
        <v:shape style="position:absolute;margin-left:50.060001pt;margin-top:28.705324pt;width:110pt;height:11pt;mso-position-horizontal-relative:page;mso-position-vertical-relative:page;z-index:-2900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6.059998pt;margin-top:28.705324pt;width:92pt;height:11pt;mso-position-horizontal-relative:page;mso-position-vertical-relative:page;z-index:-2898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前海团体重大疾病保险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60" from="52.5pt,41.399986pt" to="542.820pt,41.399986pt" stroked="true" strokeweight=".72003pt" strokecolor="#000000">
          <v:stroke dashstyle="solid"/>
          <w10:wrap type="none"/>
        </v:line>
      </w:pict>
    </w:r>
    <w:r>
      <w:rPr/>
      <w:pict>
        <v:shape style="position:absolute;margin-left:53pt;margin-top:28.705324pt;width:110pt;height:11pt;mso-position-horizontal-relative:page;mso-position-vertical-relative:page;z-index:-2893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9pt;margin-top:28.705324pt;width:92pt;height:11pt;mso-position-horizontal-relative:page;mso-position-vertical-relative:page;z-index:-2891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前海团体重大疾病保险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7"/>
      <w:numFmt w:val="decimal"/>
      <w:lvlText w:val="%1"/>
      <w:lvlJc w:val="left"/>
      <w:pPr>
        <w:ind w:left="2900" w:hanging="851"/>
        <w:jc w:val="left"/>
      </w:pPr>
      <w:rPr>
        <w:rFonts w:hint="default"/>
      </w:rPr>
    </w:lvl>
    <w:lvl w:ilvl="1">
      <w:start w:val="7"/>
      <w:numFmt w:val="decimal"/>
      <w:lvlText w:val="%1.%2"/>
      <w:lvlJc w:val="left"/>
      <w:pPr>
        <w:ind w:left="2900" w:hanging="851"/>
        <w:jc w:val="left"/>
      </w:pPr>
      <w:rPr>
        <w:rFonts w:hint="default" w:ascii="宋体" w:hAnsi="宋体" w:eastAsia="宋体" w:cs="宋体"/>
        <w:b/>
        <w:bCs/>
        <w:w w:val="99"/>
        <w:position w:val="-2"/>
        <w:sz w:val="21"/>
        <w:szCs w:val="21"/>
      </w:rPr>
    </w:lvl>
    <w:lvl w:ilvl="2">
      <w:start w:val="0"/>
      <w:numFmt w:val="bullet"/>
      <w:lvlText w:val="•"/>
      <w:lvlJc w:val="left"/>
      <w:pPr>
        <w:ind w:left="4364" w:hanging="851"/>
      </w:pPr>
      <w:rPr>
        <w:rFonts w:hint="default"/>
      </w:rPr>
    </w:lvl>
    <w:lvl w:ilvl="3">
      <w:start w:val="0"/>
      <w:numFmt w:val="bullet"/>
      <w:lvlText w:val="•"/>
      <w:lvlJc w:val="left"/>
      <w:pPr>
        <w:ind w:left="5097" w:hanging="851"/>
      </w:pPr>
      <w:rPr>
        <w:rFonts w:hint="default"/>
      </w:rPr>
    </w:lvl>
    <w:lvl w:ilvl="4">
      <w:start w:val="0"/>
      <w:numFmt w:val="bullet"/>
      <w:lvlText w:val="•"/>
      <w:lvlJc w:val="left"/>
      <w:pPr>
        <w:ind w:left="5829" w:hanging="851"/>
      </w:pPr>
      <w:rPr>
        <w:rFonts w:hint="default"/>
      </w:rPr>
    </w:lvl>
    <w:lvl w:ilvl="5">
      <w:start w:val="0"/>
      <w:numFmt w:val="bullet"/>
      <w:lvlText w:val="•"/>
      <w:lvlJc w:val="left"/>
      <w:pPr>
        <w:ind w:left="6562" w:hanging="851"/>
      </w:pPr>
      <w:rPr>
        <w:rFonts w:hint="default"/>
      </w:rPr>
    </w:lvl>
    <w:lvl w:ilvl="6">
      <w:start w:val="0"/>
      <w:numFmt w:val="bullet"/>
      <w:lvlText w:val="•"/>
      <w:lvlJc w:val="left"/>
      <w:pPr>
        <w:ind w:left="7294" w:hanging="851"/>
      </w:pPr>
      <w:rPr>
        <w:rFonts w:hint="default"/>
      </w:rPr>
    </w:lvl>
    <w:lvl w:ilvl="7">
      <w:start w:val="0"/>
      <w:numFmt w:val="bullet"/>
      <w:lvlText w:val="•"/>
      <w:lvlJc w:val="left"/>
      <w:pPr>
        <w:ind w:left="8027" w:hanging="851"/>
      </w:pPr>
      <w:rPr>
        <w:rFonts w:hint="default"/>
      </w:rPr>
    </w:lvl>
    <w:lvl w:ilvl="8">
      <w:start w:val="0"/>
      <w:numFmt w:val="bullet"/>
      <w:lvlText w:val="•"/>
      <w:lvlJc w:val="left"/>
      <w:pPr>
        <w:ind w:left="8759" w:hanging="851"/>
      </w:pPr>
      <w:rPr>
        <w:rFonts w:hint="default"/>
      </w:rPr>
    </w:lvl>
  </w:abstractNum>
  <w:abstractNum w:abstractNumId="8">
    <w:multiLevelType w:val="hybridMultilevel"/>
    <w:lvl w:ilvl="0">
      <w:start w:val="6"/>
      <w:numFmt w:val="decimal"/>
      <w:lvlText w:val="%1"/>
      <w:lvlJc w:val="left"/>
      <w:pPr>
        <w:ind w:left="990" w:hanging="852"/>
        <w:jc w:val="right"/>
      </w:pPr>
      <w:rPr>
        <w:rFonts w:hint="default"/>
      </w:rPr>
    </w:lvl>
    <w:lvl w:ilvl="1">
      <w:start w:val="1"/>
      <w:numFmt w:val="decimal"/>
      <w:lvlText w:val="%1.%2"/>
      <w:lvlJc w:val="left"/>
      <w:pPr>
        <w:ind w:left="2979" w:hanging="851"/>
        <w:jc w:val="right"/>
      </w:pPr>
      <w:rPr>
        <w:rFonts w:hint="default"/>
        <w:b/>
        <w:bCs/>
        <w:w w:val="99"/>
      </w:rPr>
    </w:lvl>
    <w:lvl w:ilvl="2">
      <w:start w:val="0"/>
      <w:numFmt w:val="bullet"/>
      <w:lvlText w:val="•"/>
      <w:lvlJc w:val="left"/>
      <w:pPr>
        <w:ind w:left="2947" w:hanging="851"/>
      </w:pPr>
      <w:rPr>
        <w:rFonts w:hint="default"/>
      </w:rPr>
    </w:lvl>
    <w:lvl w:ilvl="3">
      <w:start w:val="0"/>
      <w:numFmt w:val="bullet"/>
      <w:lvlText w:val="•"/>
      <w:lvlJc w:val="left"/>
      <w:pPr>
        <w:ind w:left="2914" w:hanging="851"/>
      </w:pPr>
      <w:rPr>
        <w:rFonts w:hint="default"/>
      </w:rPr>
    </w:lvl>
    <w:lvl w:ilvl="4">
      <w:start w:val="0"/>
      <w:numFmt w:val="bullet"/>
      <w:lvlText w:val="•"/>
      <w:lvlJc w:val="left"/>
      <w:pPr>
        <w:ind w:left="2881" w:hanging="851"/>
      </w:pPr>
      <w:rPr>
        <w:rFonts w:hint="default"/>
      </w:rPr>
    </w:lvl>
    <w:lvl w:ilvl="5">
      <w:start w:val="0"/>
      <w:numFmt w:val="bullet"/>
      <w:lvlText w:val="•"/>
      <w:lvlJc w:val="left"/>
      <w:pPr>
        <w:ind w:left="2848" w:hanging="851"/>
      </w:pPr>
      <w:rPr>
        <w:rFonts w:hint="default"/>
      </w:rPr>
    </w:lvl>
    <w:lvl w:ilvl="6">
      <w:start w:val="0"/>
      <w:numFmt w:val="bullet"/>
      <w:lvlText w:val="•"/>
      <w:lvlJc w:val="left"/>
      <w:pPr>
        <w:ind w:left="2815" w:hanging="851"/>
      </w:pPr>
      <w:rPr>
        <w:rFonts w:hint="default"/>
      </w:rPr>
    </w:lvl>
    <w:lvl w:ilvl="7">
      <w:start w:val="0"/>
      <w:numFmt w:val="bullet"/>
      <w:lvlText w:val="•"/>
      <w:lvlJc w:val="left"/>
      <w:pPr>
        <w:ind w:left="2782" w:hanging="851"/>
      </w:pPr>
      <w:rPr>
        <w:rFonts w:hint="default"/>
      </w:rPr>
    </w:lvl>
    <w:lvl w:ilvl="8">
      <w:start w:val="0"/>
      <w:numFmt w:val="bullet"/>
      <w:lvlText w:val="•"/>
      <w:lvlJc w:val="left"/>
      <w:pPr>
        <w:ind w:left="2749" w:hanging="851"/>
      </w:pPr>
      <w:rPr>
        <w:rFonts w:hint="default"/>
      </w:rPr>
    </w:lvl>
  </w:abstractNum>
  <w:abstractNum w:abstractNumId="7">
    <w:multiLevelType w:val="hybridMultilevel"/>
    <w:lvl w:ilvl="0">
      <w:start w:val="3"/>
      <w:numFmt w:val="decimal"/>
      <w:lvlText w:val="%1"/>
      <w:lvlJc w:val="left"/>
      <w:pPr>
        <w:ind w:left="2979" w:hanging="852"/>
        <w:jc w:val="left"/>
      </w:pPr>
      <w:rPr>
        <w:rFonts w:hint="default"/>
      </w:rPr>
    </w:lvl>
    <w:lvl w:ilvl="1">
      <w:start w:val="4"/>
      <w:numFmt w:val="decimal"/>
      <w:lvlText w:val="%1.%2"/>
      <w:lvlJc w:val="left"/>
      <w:pPr>
        <w:ind w:left="2979" w:hanging="852"/>
        <w:jc w:val="left"/>
      </w:pPr>
      <w:rPr>
        <w:rFonts w:hint="default" w:ascii="宋体" w:hAnsi="宋体" w:eastAsia="宋体" w:cs="宋体"/>
        <w:b/>
        <w:bCs/>
        <w:w w:val="99"/>
        <w:sz w:val="21"/>
        <w:szCs w:val="21"/>
      </w:rPr>
    </w:lvl>
    <w:lvl w:ilvl="2">
      <w:start w:val="0"/>
      <w:numFmt w:val="bullet"/>
      <w:lvlText w:val="•"/>
      <w:lvlJc w:val="left"/>
      <w:pPr>
        <w:ind w:left="4444" w:hanging="852"/>
      </w:pPr>
      <w:rPr>
        <w:rFonts w:hint="default"/>
      </w:rPr>
    </w:lvl>
    <w:lvl w:ilvl="3">
      <w:start w:val="0"/>
      <w:numFmt w:val="bullet"/>
      <w:lvlText w:val="•"/>
      <w:lvlJc w:val="left"/>
      <w:pPr>
        <w:ind w:left="5177" w:hanging="852"/>
      </w:pPr>
      <w:rPr>
        <w:rFonts w:hint="default"/>
      </w:rPr>
    </w:lvl>
    <w:lvl w:ilvl="4">
      <w:start w:val="0"/>
      <w:numFmt w:val="bullet"/>
      <w:lvlText w:val="•"/>
      <w:lvlJc w:val="left"/>
      <w:pPr>
        <w:ind w:left="5909" w:hanging="852"/>
      </w:pPr>
      <w:rPr>
        <w:rFonts w:hint="default"/>
      </w:rPr>
    </w:lvl>
    <w:lvl w:ilvl="5">
      <w:start w:val="0"/>
      <w:numFmt w:val="bullet"/>
      <w:lvlText w:val="•"/>
      <w:lvlJc w:val="left"/>
      <w:pPr>
        <w:ind w:left="6642" w:hanging="852"/>
      </w:pPr>
      <w:rPr>
        <w:rFonts w:hint="default"/>
      </w:rPr>
    </w:lvl>
    <w:lvl w:ilvl="6">
      <w:start w:val="0"/>
      <w:numFmt w:val="bullet"/>
      <w:lvlText w:val="•"/>
      <w:lvlJc w:val="left"/>
      <w:pPr>
        <w:ind w:left="7374" w:hanging="852"/>
      </w:pPr>
      <w:rPr>
        <w:rFonts w:hint="default"/>
      </w:rPr>
    </w:lvl>
    <w:lvl w:ilvl="7">
      <w:start w:val="0"/>
      <w:numFmt w:val="bullet"/>
      <w:lvlText w:val="•"/>
      <w:lvlJc w:val="left"/>
      <w:pPr>
        <w:ind w:left="8107" w:hanging="852"/>
      </w:pPr>
      <w:rPr>
        <w:rFonts w:hint="default"/>
      </w:rPr>
    </w:lvl>
    <w:lvl w:ilvl="8">
      <w:start w:val="0"/>
      <w:numFmt w:val="bullet"/>
      <w:lvlText w:val="•"/>
      <w:lvlJc w:val="left"/>
      <w:pPr>
        <w:ind w:left="8839" w:hanging="852"/>
      </w:pPr>
      <w:rPr>
        <w:rFonts w:hint="default"/>
      </w:rPr>
    </w:lvl>
  </w:abstractNum>
  <w:abstractNum w:abstractNumId="6">
    <w:multiLevelType w:val="hybridMultilevel"/>
    <w:lvl w:ilvl="0">
      <w:start w:val="1"/>
      <w:numFmt w:val="decimal"/>
      <w:lvlText w:val="%1"/>
      <w:lvlJc w:val="left"/>
      <w:pPr>
        <w:ind w:left="1070" w:hanging="851"/>
        <w:jc w:val="left"/>
      </w:pPr>
      <w:rPr>
        <w:rFonts w:hint="default"/>
        <w:b/>
        <w:bCs/>
        <w:w w:val="99"/>
        <w:position w:val="-3"/>
      </w:rPr>
    </w:lvl>
    <w:lvl w:ilvl="1">
      <w:start w:val="1"/>
      <w:numFmt w:val="decimal"/>
      <w:lvlText w:val="%1.%2"/>
      <w:lvlJc w:val="left"/>
      <w:pPr>
        <w:ind w:left="2980" w:hanging="851"/>
        <w:jc w:val="left"/>
      </w:pPr>
      <w:rPr>
        <w:rFonts w:hint="default" w:ascii="宋体" w:hAnsi="宋体" w:eastAsia="宋体" w:cs="宋体"/>
        <w:b/>
        <w:bCs/>
        <w:spacing w:val="0"/>
        <w:w w:val="99"/>
        <w:sz w:val="21"/>
        <w:szCs w:val="21"/>
      </w:rPr>
    </w:lvl>
    <w:lvl w:ilvl="2">
      <w:start w:val="0"/>
      <w:numFmt w:val="bullet"/>
      <w:lvlText w:val="•"/>
      <w:lvlJc w:val="left"/>
      <w:pPr>
        <w:ind w:left="3793" w:hanging="851"/>
      </w:pPr>
      <w:rPr>
        <w:rFonts w:hint="default"/>
      </w:rPr>
    </w:lvl>
    <w:lvl w:ilvl="3">
      <w:start w:val="0"/>
      <w:numFmt w:val="bullet"/>
      <w:lvlText w:val="•"/>
      <w:lvlJc w:val="left"/>
      <w:pPr>
        <w:ind w:left="4607" w:hanging="851"/>
      </w:pPr>
      <w:rPr>
        <w:rFonts w:hint="default"/>
      </w:rPr>
    </w:lvl>
    <w:lvl w:ilvl="4">
      <w:start w:val="0"/>
      <w:numFmt w:val="bullet"/>
      <w:lvlText w:val="•"/>
      <w:lvlJc w:val="left"/>
      <w:pPr>
        <w:ind w:left="5421" w:hanging="851"/>
      </w:pPr>
      <w:rPr>
        <w:rFonts w:hint="default"/>
      </w:rPr>
    </w:lvl>
    <w:lvl w:ilvl="5">
      <w:start w:val="0"/>
      <w:numFmt w:val="bullet"/>
      <w:lvlText w:val="•"/>
      <w:lvlJc w:val="left"/>
      <w:pPr>
        <w:ind w:left="6235" w:hanging="851"/>
      </w:pPr>
      <w:rPr>
        <w:rFonts w:hint="default"/>
      </w:rPr>
    </w:lvl>
    <w:lvl w:ilvl="6">
      <w:start w:val="0"/>
      <w:numFmt w:val="bullet"/>
      <w:lvlText w:val="•"/>
      <w:lvlJc w:val="left"/>
      <w:pPr>
        <w:ind w:left="7049" w:hanging="851"/>
      </w:pPr>
      <w:rPr>
        <w:rFonts w:hint="default"/>
      </w:rPr>
    </w:lvl>
    <w:lvl w:ilvl="7">
      <w:start w:val="0"/>
      <w:numFmt w:val="bullet"/>
      <w:lvlText w:val="•"/>
      <w:lvlJc w:val="left"/>
      <w:pPr>
        <w:ind w:left="7862" w:hanging="851"/>
      </w:pPr>
      <w:rPr>
        <w:rFonts w:hint="default"/>
      </w:rPr>
    </w:lvl>
    <w:lvl w:ilvl="8">
      <w:start w:val="0"/>
      <w:numFmt w:val="bullet"/>
      <w:lvlText w:val="•"/>
      <w:lvlJc w:val="left"/>
      <w:pPr>
        <w:ind w:left="8676" w:hanging="851"/>
      </w:pPr>
      <w:rPr>
        <w:rFonts w:hint="default"/>
      </w:rPr>
    </w:lvl>
  </w:abstractNum>
  <w:abstractNum w:abstractNumId="5">
    <w:multiLevelType w:val="hybridMultilevel"/>
    <w:lvl w:ilvl="0">
      <w:start w:val="7"/>
      <w:numFmt w:val="decimal"/>
      <w:lvlText w:val="%1"/>
      <w:lvlJc w:val="left"/>
      <w:pPr>
        <w:ind w:left="1177" w:hanging="473"/>
        <w:jc w:val="left"/>
      </w:pPr>
      <w:rPr>
        <w:rFonts w:hint="default"/>
      </w:rPr>
    </w:lvl>
    <w:lvl w:ilvl="1">
      <w:start w:val="13"/>
      <w:numFmt w:val="decimal"/>
      <w:lvlText w:val="%1.%2"/>
      <w:lvlJc w:val="left"/>
      <w:pPr>
        <w:ind w:left="1177" w:hanging="473"/>
        <w:jc w:val="left"/>
      </w:pPr>
      <w:rPr>
        <w:rFonts w:hint="default" w:ascii="宋体" w:hAnsi="宋体" w:eastAsia="宋体" w:cs="宋体"/>
        <w:spacing w:val="-1"/>
        <w:w w:val="100"/>
        <w:sz w:val="21"/>
        <w:szCs w:val="21"/>
      </w:rPr>
    </w:lvl>
    <w:lvl w:ilvl="2">
      <w:start w:val="0"/>
      <w:numFmt w:val="bullet"/>
      <w:lvlText w:val="•"/>
      <w:lvlJc w:val="left"/>
      <w:pPr>
        <w:ind w:left="2001" w:hanging="473"/>
      </w:pPr>
      <w:rPr>
        <w:rFonts w:hint="default"/>
      </w:rPr>
    </w:lvl>
    <w:lvl w:ilvl="3">
      <w:start w:val="0"/>
      <w:numFmt w:val="bullet"/>
      <w:lvlText w:val="•"/>
      <w:lvlJc w:val="left"/>
      <w:pPr>
        <w:ind w:left="2412" w:hanging="473"/>
      </w:pPr>
      <w:rPr>
        <w:rFonts w:hint="default"/>
      </w:rPr>
    </w:lvl>
    <w:lvl w:ilvl="4">
      <w:start w:val="0"/>
      <w:numFmt w:val="bullet"/>
      <w:lvlText w:val="•"/>
      <w:lvlJc w:val="left"/>
      <w:pPr>
        <w:ind w:left="2823" w:hanging="473"/>
      </w:pPr>
      <w:rPr>
        <w:rFonts w:hint="default"/>
      </w:rPr>
    </w:lvl>
    <w:lvl w:ilvl="5">
      <w:start w:val="0"/>
      <w:numFmt w:val="bullet"/>
      <w:lvlText w:val="•"/>
      <w:lvlJc w:val="left"/>
      <w:pPr>
        <w:ind w:left="3234" w:hanging="473"/>
      </w:pPr>
      <w:rPr>
        <w:rFonts w:hint="default"/>
      </w:rPr>
    </w:lvl>
    <w:lvl w:ilvl="6">
      <w:start w:val="0"/>
      <w:numFmt w:val="bullet"/>
      <w:lvlText w:val="•"/>
      <w:lvlJc w:val="left"/>
      <w:pPr>
        <w:ind w:left="3644" w:hanging="473"/>
      </w:pPr>
      <w:rPr>
        <w:rFonts w:hint="default"/>
      </w:rPr>
    </w:lvl>
    <w:lvl w:ilvl="7">
      <w:start w:val="0"/>
      <w:numFmt w:val="bullet"/>
      <w:lvlText w:val="•"/>
      <w:lvlJc w:val="left"/>
      <w:pPr>
        <w:ind w:left="4055" w:hanging="473"/>
      </w:pPr>
      <w:rPr>
        <w:rFonts w:hint="default"/>
      </w:rPr>
    </w:lvl>
    <w:lvl w:ilvl="8">
      <w:start w:val="0"/>
      <w:numFmt w:val="bullet"/>
      <w:lvlText w:val="•"/>
      <w:lvlJc w:val="left"/>
      <w:pPr>
        <w:ind w:left="4466" w:hanging="473"/>
      </w:pPr>
      <w:rPr>
        <w:rFonts w:hint="default"/>
      </w:rPr>
    </w:lvl>
  </w:abstractNum>
  <w:abstractNum w:abstractNumId="4">
    <w:multiLevelType w:val="hybridMultilevel"/>
    <w:lvl w:ilvl="0">
      <w:start w:val="6"/>
      <w:numFmt w:val="decimal"/>
      <w:lvlText w:val="%1"/>
      <w:lvlJc w:val="left"/>
      <w:pPr>
        <w:ind w:left="2296" w:hanging="421"/>
        <w:jc w:val="left"/>
      </w:pPr>
      <w:rPr>
        <w:rFonts w:hint="default"/>
      </w:rPr>
    </w:lvl>
    <w:lvl w:ilvl="1">
      <w:start w:val="1"/>
      <w:numFmt w:val="decimal"/>
      <w:lvlText w:val="%1.%2"/>
      <w:lvlJc w:val="left"/>
      <w:pPr>
        <w:ind w:left="2296" w:hanging="421"/>
        <w:jc w:val="left"/>
      </w:pPr>
      <w:rPr>
        <w:rFonts w:hint="default" w:ascii="宋体" w:hAnsi="宋体" w:eastAsia="宋体" w:cs="宋体"/>
        <w:spacing w:val="-1"/>
        <w:w w:val="100"/>
        <w:sz w:val="21"/>
        <w:szCs w:val="21"/>
      </w:rPr>
    </w:lvl>
    <w:lvl w:ilvl="2">
      <w:start w:val="0"/>
      <w:numFmt w:val="bullet"/>
      <w:lvlText w:val="•"/>
      <w:lvlJc w:val="left"/>
      <w:pPr>
        <w:ind w:left="2803" w:hanging="421"/>
      </w:pPr>
      <w:rPr>
        <w:rFonts w:hint="default"/>
      </w:rPr>
    </w:lvl>
    <w:lvl w:ilvl="3">
      <w:start w:val="0"/>
      <w:numFmt w:val="bullet"/>
      <w:lvlText w:val="•"/>
      <w:lvlJc w:val="left"/>
      <w:pPr>
        <w:ind w:left="3054" w:hanging="421"/>
      </w:pPr>
      <w:rPr>
        <w:rFonts w:hint="default"/>
      </w:rPr>
    </w:lvl>
    <w:lvl w:ilvl="4">
      <w:start w:val="0"/>
      <w:numFmt w:val="bullet"/>
      <w:lvlText w:val="•"/>
      <w:lvlJc w:val="left"/>
      <w:pPr>
        <w:ind w:left="3306" w:hanging="421"/>
      </w:pPr>
      <w:rPr>
        <w:rFonts w:hint="default"/>
      </w:rPr>
    </w:lvl>
    <w:lvl w:ilvl="5">
      <w:start w:val="0"/>
      <w:numFmt w:val="bullet"/>
      <w:lvlText w:val="•"/>
      <w:lvlJc w:val="left"/>
      <w:pPr>
        <w:ind w:left="3558" w:hanging="421"/>
      </w:pPr>
      <w:rPr>
        <w:rFonts w:hint="default"/>
      </w:rPr>
    </w:lvl>
    <w:lvl w:ilvl="6">
      <w:start w:val="0"/>
      <w:numFmt w:val="bullet"/>
      <w:lvlText w:val="•"/>
      <w:lvlJc w:val="left"/>
      <w:pPr>
        <w:ind w:left="3809" w:hanging="421"/>
      </w:pPr>
      <w:rPr>
        <w:rFonts w:hint="default"/>
      </w:rPr>
    </w:lvl>
    <w:lvl w:ilvl="7">
      <w:start w:val="0"/>
      <w:numFmt w:val="bullet"/>
      <w:lvlText w:val="•"/>
      <w:lvlJc w:val="left"/>
      <w:pPr>
        <w:ind w:left="4061" w:hanging="421"/>
      </w:pPr>
      <w:rPr>
        <w:rFonts w:hint="default"/>
      </w:rPr>
    </w:lvl>
    <w:lvl w:ilvl="8">
      <w:start w:val="0"/>
      <w:numFmt w:val="bullet"/>
      <w:lvlText w:val="•"/>
      <w:lvlJc w:val="left"/>
      <w:pPr>
        <w:ind w:left="4313" w:hanging="421"/>
      </w:pPr>
      <w:rPr>
        <w:rFonts w:hint="default"/>
      </w:rPr>
    </w:lvl>
  </w:abstractNum>
  <w:abstractNum w:abstractNumId="3">
    <w:multiLevelType w:val="hybridMultilevel"/>
    <w:lvl w:ilvl="0">
      <w:start w:val="7"/>
      <w:numFmt w:val="decimal"/>
      <w:lvlText w:val="%1"/>
      <w:lvlJc w:val="left"/>
      <w:pPr>
        <w:ind w:left="788" w:hanging="473"/>
        <w:jc w:val="left"/>
      </w:pPr>
      <w:rPr>
        <w:rFonts w:hint="default"/>
      </w:rPr>
    </w:lvl>
    <w:lvl w:ilvl="1">
      <w:start w:val="11"/>
      <w:numFmt w:val="decimal"/>
      <w:lvlText w:val="%1.%2"/>
      <w:lvlJc w:val="left"/>
      <w:pPr>
        <w:ind w:left="788" w:hanging="473"/>
        <w:jc w:val="left"/>
      </w:pPr>
      <w:rPr>
        <w:rFonts w:hint="default" w:ascii="宋体" w:hAnsi="宋体" w:eastAsia="宋体" w:cs="宋体"/>
        <w:spacing w:val="-1"/>
        <w:w w:val="100"/>
        <w:sz w:val="21"/>
        <w:szCs w:val="21"/>
      </w:rPr>
    </w:lvl>
    <w:lvl w:ilvl="2">
      <w:start w:val="0"/>
      <w:numFmt w:val="bullet"/>
      <w:lvlText w:val="•"/>
      <w:lvlJc w:val="left"/>
      <w:pPr>
        <w:ind w:left="1411" w:hanging="473"/>
      </w:pPr>
      <w:rPr>
        <w:rFonts w:hint="default"/>
      </w:rPr>
    </w:lvl>
    <w:lvl w:ilvl="3">
      <w:start w:val="0"/>
      <w:numFmt w:val="bullet"/>
      <w:lvlText w:val="•"/>
      <w:lvlJc w:val="left"/>
      <w:pPr>
        <w:ind w:left="1726" w:hanging="473"/>
      </w:pPr>
      <w:rPr>
        <w:rFonts w:hint="default"/>
      </w:rPr>
    </w:lvl>
    <w:lvl w:ilvl="4">
      <w:start w:val="0"/>
      <w:numFmt w:val="bullet"/>
      <w:lvlText w:val="•"/>
      <w:lvlJc w:val="left"/>
      <w:pPr>
        <w:ind w:left="2042" w:hanging="473"/>
      </w:pPr>
      <w:rPr>
        <w:rFonts w:hint="default"/>
      </w:rPr>
    </w:lvl>
    <w:lvl w:ilvl="5">
      <w:start w:val="0"/>
      <w:numFmt w:val="bullet"/>
      <w:lvlText w:val="•"/>
      <w:lvlJc w:val="left"/>
      <w:pPr>
        <w:ind w:left="2358" w:hanging="473"/>
      </w:pPr>
      <w:rPr>
        <w:rFonts w:hint="default"/>
      </w:rPr>
    </w:lvl>
    <w:lvl w:ilvl="6">
      <w:start w:val="0"/>
      <w:numFmt w:val="bullet"/>
      <w:lvlText w:val="•"/>
      <w:lvlJc w:val="left"/>
      <w:pPr>
        <w:ind w:left="2673" w:hanging="473"/>
      </w:pPr>
      <w:rPr>
        <w:rFonts w:hint="default"/>
      </w:rPr>
    </w:lvl>
    <w:lvl w:ilvl="7">
      <w:start w:val="0"/>
      <w:numFmt w:val="bullet"/>
      <w:lvlText w:val="•"/>
      <w:lvlJc w:val="left"/>
      <w:pPr>
        <w:ind w:left="2989" w:hanging="473"/>
      </w:pPr>
      <w:rPr>
        <w:rFonts w:hint="default"/>
      </w:rPr>
    </w:lvl>
    <w:lvl w:ilvl="8">
      <w:start w:val="0"/>
      <w:numFmt w:val="bullet"/>
      <w:lvlText w:val="•"/>
      <w:lvlJc w:val="left"/>
      <w:pPr>
        <w:ind w:left="3304" w:hanging="473"/>
      </w:pPr>
      <w:rPr>
        <w:rFonts w:hint="default"/>
      </w:rPr>
    </w:lvl>
  </w:abstractNum>
  <w:abstractNum w:abstractNumId="2">
    <w:multiLevelType w:val="hybridMultilevel"/>
    <w:lvl w:ilvl="0">
      <w:start w:val="7"/>
      <w:numFmt w:val="decimal"/>
      <w:lvlText w:val="%1"/>
      <w:lvlJc w:val="left"/>
      <w:pPr>
        <w:ind w:left="736" w:hanging="421"/>
        <w:jc w:val="left"/>
      </w:pPr>
      <w:rPr>
        <w:rFonts w:hint="default"/>
      </w:rPr>
    </w:lvl>
    <w:lvl w:ilvl="1">
      <w:start w:val="1"/>
      <w:numFmt w:val="decimal"/>
      <w:lvlText w:val="%1.%2"/>
      <w:lvlJc w:val="left"/>
      <w:pPr>
        <w:ind w:left="736" w:hanging="421"/>
        <w:jc w:val="left"/>
      </w:pPr>
      <w:rPr>
        <w:rFonts w:hint="default" w:ascii="宋体" w:hAnsi="宋体" w:eastAsia="宋体" w:cs="宋体"/>
        <w:spacing w:val="-1"/>
        <w:w w:val="100"/>
        <w:sz w:val="21"/>
        <w:szCs w:val="21"/>
      </w:rPr>
    </w:lvl>
    <w:lvl w:ilvl="2">
      <w:start w:val="0"/>
      <w:numFmt w:val="bullet"/>
      <w:lvlText w:val="•"/>
      <w:lvlJc w:val="left"/>
      <w:pPr>
        <w:ind w:left="1379" w:hanging="421"/>
      </w:pPr>
      <w:rPr>
        <w:rFonts w:hint="default"/>
      </w:rPr>
    </w:lvl>
    <w:lvl w:ilvl="3">
      <w:start w:val="0"/>
      <w:numFmt w:val="bullet"/>
      <w:lvlText w:val="•"/>
      <w:lvlJc w:val="left"/>
      <w:pPr>
        <w:ind w:left="1698" w:hanging="421"/>
      </w:pPr>
      <w:rPr>
        <w:rFonts w:hint="default"/>
      </w:rPr>
    </w:lvl>
    <w:lvl w:ilvl="4">
      <w:start w:val="0"/>
      <w:numFmt w:val="bullet"/>
      <w:lvlText w:val="•"/>
      <w:lvlJc w:val="left"/>
      <w:pPr>
        <w:ind w:left="2018" w:hanging="421"/>
      </w:pPr>
      <w:rPr>
        <w:rFonts w:hint="default"/>
      </w:rPr>
    </w:lvl>
    <w:lvl w:ilvl="5">
      <w:start w:val="0"/>
      <w:numFmt w:val="bullet"/>
      <w:lvlText w:val="•"/>
      <w:lvlJc w:val="left"/>
      <w:pPr>
        <w:ind w:left="2338" w:hanging="421"/>
      </w:pPr>
      <w:rPr>
        <w:rFonts w:hint="default"/>
      </w:rPr>
    </w:lvl>
    <w:lvl w:ilvl="6">
      <w:start w:val="0"/>
      <w:numFmt w:val="bullet"/>
      <w:lvlText w:val="•"/>
      <w:lvlJc w:val="left"/>
      <w:pPr>
        <w:ind w:left="2657" w:hanging="421"/>
      </w:pPr>
      <w:rPr>
        <w:rFonts w:hint="default"/>
      </w:rPr>
    </w:lvl>
    <w:lvl w:ilvl="7">
      <w:start w:val="0"/>
      <w:numFmt w:val="bullet"/>
      <w:lvlText w:val="•"/>
      <w:lvlJc w:val="left"/>
      <w:pPr>
        <w:ind w:left="2977" w:hanging="421"/>
      </w:pPr>
      <w:rPr>
        <w:rFonts w:hint="default"/>
      </w:rPr>
    </w:lvl>
    <w:lvl w:ilvl="8">
      <w:start w:val="0"/>
      <w:numFmt w:val="bullet"/>
      <w:lvlText w:val="•"/>
      <w:lvlJc w:val="left"/>
      <w:pPr>
        <w:ind w:left="3296" w:hanging="421"/>
      </w:pPr>
      <w:rPr>
        <w:rFonts w:hint="default"/>
      </w:rPr>
    </w:lvl>
  </w:abstractNum>
  <w:abstractNum w:abstractNumId="1">
    <w:multiLevelType w:val="hybridMultilevel"/>
    <w:lvl w:ilvl="0">
      <w:start w:val="2"/>
      <w:numFmt w:val="decimal"/>
      <w:lvlText w:val="%1"/>
      <w:lvlJc w:val="left"/>
      <w:pPr>
        <w:ind w:left="730" w:hanging="421"/>
        <w:jc w:val="left"/>
      </w:pPr>
      <w:rPr>
        <w:rFonts w:hint="default"/>
      </w:rPr>
    </w:lvl>
    <w:lvl w:ilvl="1">
      <w:start w:val="1"/>
      <w:numFmt w:val="decimal"/>
      <w:lvlText w:val="%1.%2"/>
      <w:lvlJc w:val="left"/>
      <w:pPr>
        <w:ind w:left="730" w:hanging="421"/>
        <w:jc w:val="left"/>
      </w:pPr>
      <w:rPr>
        <w:rFonts w:hint="default" w:ascii="宋体" w:hAnsi="宋体" w:eastAsia="宋体" w:cs="宋体"/>
        <w:spacing w:val="-1"/>
        <w:w w:val="100"/>
        <w:sz w:val="21"/>
        <w:szCs w:val="21"/>
      </w:rPr>
    </w:lvl>
    <w:lvl w:ilvl="2">
      <w:start w:val="0"/>
      <w:numFmt w:val="bullet"/>
      <w:lvlText w:val="•"/>
      <w:lvlJc w:val="left"/>
      <w:pPr>
        <w:ind w:left="1327" w:hanging="421"/>
      </w:pPr>
      <w:rPr>
        <w:rFonts w:hint="default"/>
      </w:rPr>
    </w:lvl>
    <w:lvl w:ilvl="3">
      <w:start w:val="0"/>
      <w:numFmt w:val="bullet"/>
      <w:lvlText w:val="•"/>
      <w:lvlJc w:val="left"/>
      <w:pPr>
        <w:ind w:left="1621" w:hanging="421"/>
      </w:pPr>
      <w:rPr>
        <w:rFonts w:hint="default"/>
      </w:rPr>
    </w:lvl>
    <w:lvl w:ilvl="4">
      <w:start w:val="0"/>
      <w:numFmt w:val="bullet"/>
      <w:lvlText w:val="•"/>
      <w:lvlJc w:val="left"/>
      <w:pPr>
        <w:ind w:left="1915" w:hanging="421"/>
      </w:pPr>
      <w:rPr>
        <w:rFonts w:hint="default"/>
      </w:rPr>
    </w:lvl>
    <w:lvl w:ilvl="5">
      <w:start w:val="0"/>
      <w:numFmt w:val="bullet"/>
      <w:lvlText w:val="•"/>
      <w:lvlJc w:val="left"/>
      <w:pPr>
        <w:ind w:left="2209" w:hanging="421"/>
      </w:pPr>
      <w:rPr>
        <w:rFonts w:hint="default"/>
      </w:rPr>
    </w:lvl>
    <w:lvl w:ilvl="6">
      <w:start w:val="0"/>
      <w:numFmt w:val="bullet"/>
      <w:lvlText w:val="•"/>
      <w:lvlJc w:val="left"/>
      <w:pPr>
        <w:ind w:left="2503" w:hanging="421"/>
      </w:pPr>
      <w:rPr>
        <w:rFonts w:hint="default"/>
      </w:rPr>
    </w:lvl>
    <w:lvl w:ilvl="7">
      <w:start w:val="0"/>
      <w:numFmt w:val="bullet"/>
      <w:lvlText w:val="•"/>
      <w:lvlJc w:val="left"/>
      <w:pPr>
        <w:ind w:left="2797" w:hanging="421"/>
      </w:pPr>
      <w:rPr>
        <w:rFonts w:hint="default"/>
      </w:rPr>
    </w:lvl>
    <w:lvl w:ilvl="8">
      <w:start w:val="0"/>
      <w:numFmt w:val="bullet"/>
      <w:lvlText w:val="•"/>
      <w:lvlJc w:val="left"/>
      <w:pPr>
        <w:ind w:left="3091" w:hanging="421"/>
      </w:pPr>
      <w:rPr>
        <w:rFonts w:hint="default"/>
      </w:rPr>
    </w:lvl>
  </w:abstractNum>
  <w:abstractNum w:abstractNumId="0">
    <w:multiLevelType w:val="hybridMultilevel"/>
    <w:lvl w:ilvl="0">
      <w:start w:val="0"/>
      <w:numFmt w:val="bullet"/>
      <w:lvlText w:val=""/>
      <w:lvlJc w:val="left"/>
      <w:pPr>
        <w:ind w:left="1132" w:hanging="423"/>
      </w:pPr>
      <w:rPr>
        <w:rFonts w:hint="default" w:ascii="Wingdings" w:hAnsi="Wingdings" w:eastAsia="Wingdings" w:cs="Wingdings"/>
        <w:w w:val="99"/>
        <w:sz w:val="21"/>
        <w:szCs w:val="21"/>
      </w:rPr>
    </w:lvl>
    <w:lvl w:ilvl="1">
      <w:start w:val="0"/>
      <w:numFmt w:val="bullet"/>
      <w:lvlText w:val="•"/>
      <w:lvlJc w:val="left"/>
      <w:pPr>
        <w:ind w:left="2028" w:hanging="423"/>
      </w:pPr>
      <w:rPr>
        <w:rFonts w:hint="default"/>
      </w:rPr>
    </w:lvl>
    <w:lvl w:ilvl="2">
      <w:start w:val="0"/>
      <w:numFmt w:val="bullet"/>
      <w:lvlText w:val="•"/>
      <w:lvlJc w:val="left"/>
      <w:pPr>
        <w:ind w:left="2916" w:hanging="423"/>
      </w:pPr>
      <w:rPr>
        <w:rFonts w:hint="default"/>
      </w:rPr>
    </w:lvl>
    <w:lvl w:ilvl="3">
      <w:start w:val="0"/>
      <w:numFmt w:val="bullet"/>
      <w:lvlText w:val="•"/>
      <w:lvlJc w:val="left"/>
      <w:pPr>
        <w:ind w:left="3805" w:hanging="423"/>
      </w:pPr>
      <w:rPr>
        <w:rFonts w:hint="default"/>
      </w:rPr>
    </w:lvl>
    <w:lvl w:ilvl="4">
      <w:start w:val="0"/>
      <w:numFmt w:val="bullet"/>
      <w:lvlText w:val="•"/>
      <w:lvlJc w:val="left"/>
      <w:pPr>
        <w:ind w:left="4693" w:hanging="423"/>
      </w:pPr>
      <w:rPr>
        <w:rFonts w:hint="default"/>
      </w:rPr>
    </w:lvl>
    <w:lvl w:ilvl="5">
      <w:start w:val="0"/>
      <w:numFmt w:val="bullet"/>
      <w:lvlText w:val="•"/>
      <w:lvlJc w:val="left"/>
      <w:pPr>
        <w:ind w:left="5582" w:hanging="423"/>
      </w:pPr>
      <w:rPr>
        <w:rFonts w:hint="default"/>
      </w:rPr>
    </w:lvl>
    <w:lvl w:ilvl="6">
      <w:start w:val="0"/>
      <w:numFmt w:val="bullet"/>
      <w:lvlText w:val="•"/>
      <w:lvlJc w:val="left"/>
      <w:pPr>
        <w:ind w:left="6470" w:hanging="423"/>
      </w:pPr>
      <w:rPr>
        <w:rFonts w:hint="default"/>
      </w:rPr>
    </w:lvl>
    <w:lvl w:ilvl="7">
      <w:start w:val="0"/>
      <w:numFmt w:val="bullet"/>
      <w:lvlText w:val="•"/>
      <w:lvlJc w:val="left"/>
      <w:pPr>
        <w:ind w:left="7359" w:hanging="423"/>
      </w:pPr>
      <w:rPr>
        <w:rFonts w:hint="default"/>
      </w:rPr>
    </w:lvl>
    <w:lvl w:ilvl="8">
      <w:start w:val="0"/>
      <w:numFmt w:val="bullet"/>
      <w:lvlText w:val="•"/>
      <w:lvlJc w:val="left"/>
      <w:pPr>
        <w:ind w:left="8247"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990"/>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990"/>
      <w:outlineLvl w:val="3"/>
    </w:pPr>
    <w:rPr>
      <w:rFonts w:ascii="宋体" w:hAnsi="宋体" w:eastAsia="宋体" w:cs="宋体"/>
      <w:b/>
      <w:bCs/>
      <w:sz w:val="21"/>
      <w:szCs w:val="21"/>
    </w:rPr>
  </w:style>
  <w:style w:styleId="ListParagraph" w:type="paragraph">
    <w:name w:val="List Paragraph"/>
    <w:basedOn w:val="Normal"/>
    <w:uiPriority w:val="1"/>
    <w:qFormat/>
    <w:pPr>
      <w:ind w:left="1177" w:hanging="27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2018-10-20T03:36:27Z</dcterms:created>
  <dcterms:modified xsi:type="dcterms:W3CDTF">2018-10-20T03:36:27Z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5.2.2</vt:lpwstr>
  </property>
  <property fmtid="{D5CDD505-2E9C-101B-9397-08002B2CF9AE}" pid="4" name="LastSaved">
    <vt:filetime>2018-10-19T00:00:00Z</vt:filetime>
  </property>
</Properties>
</file>