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1611464" cy="4617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11464" cy="461772"/>
                    </a:xfrm>
                    <a:prstGeom prst="rect">
                      <a:avLst/>
                    </a:prstGeom>
                  </pic:spPr>
                </pic:pic>
              </a:graphicData>
            </a:graphic>
          </wp:inline>
        </w:drawing>
      </w:r>
      <w:r>
        <w:rPr>
          <w:rFonts w:ascii="Times New Roman"/>
          <w:sz w:val="20"/>
        </w:rPr>
      </w:r>
    </w:p>
    <w:p>
      <w:pPr>
        <w:pStyle w:val="BodyText"/>
        <w:spacing w:before="8"/>
        <w:rPr>
          <w:rFonts w:ascii="Times New Roman"/>
          <w:sz w:val="22"/>
        </w:rPr>
      </w:pPr>
      <w:r>
        <w:rPr/>
        <w:drawing>
          <wp:anchor distT="0" distB="0" distL="0" distR="0" allowOverlap="1" layoutInCell="1" locked="0" behindDoc="0" simplePos="0" relativeHeight="0">
            <wp:simplePos x="0" y="0"/>
            <wp:positionH relativeFrom="page">
              <wp:posOffset>2700654</wp:posOffset>
            </wp:positionH>
            <wp:positionV relativeFrom="paragraph">
              <wp:posOffset>191007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2357" w:right="120" w:firstLine="0"/>
        <w:jc w:val="center"/>
        <w:rPr>
          <w:b/>
          <w:sz w:val="30"/>
        </w:rPr>
      </w:pPr>
      <w:r>
        <w:rPr>
          <w:b/>
          <w:sz w:val="30"/>
        </w:rPr>
        <w:t>太平附加康颐 </w:t>
      </w:r>
      <w:r>
        <w:rPr>
          <w:rFonts w:ascii="Times New Roman" w:eastAsia="Times New Roman"/>
          <w:b/>
          <w:sz w:val="30"/>
        </w:rPr>
        <w:t>B </w:t>
      </w:r>
      <w:r>
        <w:rPr>
          <w:b/>
          <w:sz w:val="30"/>
        </w:rPr>
        <w:t>款提前给付重大疾病保险条款</w:t>
      </w:r>
    </w:p>
    <w:p>
      <w:pPr>
        <w:pStyle w:val="BodyText"/>
        <w:spacing w:before="49"/>
        <w:ind w:left="2357" w:right="118"/>
        <w:jc w:val="center"/>
      </w:pPr>
      <w:r>
        <w:rPr/>
        <w:t>（</w:t>
      </w:r>
      <w:r>
        <w:rPr>
          <w:rFonts w:ascii="Times New Roman" w:eastAsia="Times New Roman"/>
        </w:rPr>
        <w:t>2013</w:t>
      </w:r>
      <w:r>
        <w:rPr/>
        <w:t>年</w:t>
      </w:r>
      <w:r>
        <w:rPr>
          <w:rFonts w:ascii="Times New Roman" w:eastAsia="Times New Roman"/>
        </w:rPr>
        <w:t>4</w:t>
      </w:r>
      <w:r>
        <w:rPr/>
        <w:t>月呈报中国保险监督管理委员会备案）</w:t>
      </w:r>
    </w:p>
    <w:p>
      <w:pPr>
        <w:pStyle w:val="BodyText"/>
        <w:rPr>
          <w:sz w:val="22"/>
        </w:rPr>
      </w:pPr>
    </w:p>
    <w:p>
      <w:pPr>
        <w:pStyle w:val="BodyText"/>
        <w:spacing w:before="8"/>
        <w:rPr>
          <w:sz w:val="24"/>
        </w:rPr>
      </w:pPr>
    </w:p>
    <w:p>
      <w:pPr>
        <w:spacing w:before="1"/>
        <w:ind w:left="2356" w:right="120" w:firstLine="0"/>
        <w:jc w:val="center"/>
        <w:rPr>
          <w:b/>
          <w:sz w:val="28"/>
        </w:rPr>
      </w:pPr>
      <w:r>
        <w:rPr>
          <w:b/>
          <w:sz w:val="28"/>
        </w:rPr>
        <w:t>特别提示</w:t>
      </w:r>
    </w:p>
    <w:p>
      <w:pPr>
        <w:pStyle w:val="BodyText"/>
        <w:rPr>
          <w:b/>
          <w:sz w:val="28"/>
        </w:rPr>
      </w:pPr>
    </w:p>
    <w:p>
      <w:pPr>
        <w:pStyle w:val="BodyText"/>
        <w:spacing w:before="1"/>
        <w:rPr>
          <w:b/>
          <w:sz w:val="30"/>
        </w:rPr>
      </w:pPr>
    </w:p>
    <w:p>
      <w:pPr>
        <w:spacing w:before="1"/>
        <w:ind w:left="978" w:right="0" w:firstLine="0"/>
        <w:jc w:val="left"/>
        <w:rPr>
          <w:sz w:val="24"/>
        </w:rPr>
      </w:pPr>
      <w:r>
        <w:rPr>
          <w:sz w:val="24"/>
        </w:rPr>
        <w:t>感谢您选择了太平人寿保险有限公司。</w:t>
      </w:r>
    </w:p>
    <w:p>
      <w:pPr>
        <w:spacing w:line="549" w:lineRule="auto" w:before="46"/>
        <w:ind w:left="980" w:right="0"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25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90"/>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90"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90" w:type="dxa"/>
                      </w:tcPr>
                      <w:p>
                        <w:pPr>
                          <w:pStyle w:val="TableParagraph"/>
                          <w:spacing w:line="276" w:lineRule="auto" w:before="185"/>
                          <w:ind w:left="142" w:right="204"/>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90"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spacing w:before="61"/>
        <w:ind w:left="-27" w:right="0" w:firstLine="0"/>
        <w:jc w:val="left"/>
        <w:rPr>
          <w:sz w:val="18"/>
        </w:rPr>
      </w:pPr>
      <w:r>
        <w:rPr/>
        <w:br w:type="column"/>
      </w:r>
      <w:r>
        <w:rPr>
          <w:sz w:val="18"/>
        </w:rPr>
        <w:t>太平人寿[2013]疾病保险 007 号</w:t>
      </w:r>
    </w:p>
    <w:p>
      <w:pPr>
        <w:pStyle w:val="BodyText"/>
        <w:spacing w:before="7"/>
        <w:rPr>
          <w:sz w:val="5"/>
        </w:rPr>
      </w:pPr>
    </w:p>
    <w:p>
      <w:pPr>
        <w:pStyle w:val="BodyText"/>
        <w:ind w:left="549"/>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0"/>
        <w:ind w:left="227" w:right="0" w:firstLine="0"/>
        <w:jc w:val="left"/>
        <w:rPr>
          <w:sz w:val="18"/>
        </w:rPr>
      </w:pPr>
      <w:r>
        <w:rPr>
          <w:sz w:val="18"/>
        </w:rPr>
        <w:t>请扫描以查询验证条款</w:t>
      </w:r>
    </w:p>
    <w:p>
      <w:pPr>
        <w:spacing w:after="0"/>
        <w:jc w:val="left"/>
        <w:rPr>
          <w:sz w:val="18"/>
        </w:rPr>
        <w:sectPr>
          <w:type w:val="continuous"/>
          <w:pgSz w:w="11910" w:h="16160"/>
          <w:pgMar w:top="540" w:bottom="280" w:left="580" w:right="20"/>
          <w:cols w:num="2" w:equalWidth="0">
            <w:col w:w="8666" w:space="40"/>
            <w:col w:w="260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before="26"/>
        <w:ind w:left="980" w:right="0" w:firstLine="0"/>
        <w:jc w:val="left"/>
        <w:rPr>
          <w:b/>
          <w:sz w:val="24"/>
        </w:rPr>
      </w:pPr>
      <w:r>
        <w:rPr>
          <w:b/>
          <w:w w:val="95"/>
          <w:sz w:val="24"/>
        </w:rPr>
        <w:t>您应当特别注意的事项：</w:t>
      </w:r>
    </w:p>
    <w:p>
      <w:pPr>
        <w:pStyle w:val="ListParagraph"/>
        <w:numPr>
          <w:ilvl w:val="0"/>
          <w:numId w:val="1"/>
        </w:numPr>
        <w:tabs>
          <w:tab w:pos="1817" w:val="left" w:leader="none"/>
          <w:tab w:pos="1818" w:val="left" w:leader="none"/>
        </w:tabs>
        <w:spacing w:line="240" w:lineRule="auto" w:before="46" w:after="0"/>
        <w:ind w:left="181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17" w:val="left" w:leader="none"/>
          <w:tab w:pos="1818" w:val="left" w:leader="none"/>
        </w:tabs>
        <w:spacing w:line="240" w:lineRule="auto" w:before="7" w:after="0"/>
        <w:ind w:left="181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17" w:val="left" w:leader="none"/>
          <w:tab w:pos="1818" w:val="left" w:leader="none"/>
        </w:tabs>
        <w:spacing w:line="240" w:lineRule="auto" w:before="7" w:after="0"/>
        <w:ind w:left="181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第十五条</w:t>
      </w:r>
    </w:p>
    <w:p>
      <w:pPr>
        <w:pStyle w:val="BodyText"/>
        <w:rPr>
          <w:b/>
          <w:sz w:val="26"/>
        </w:rPr>
      </w:pPr>
    </w:p>
    <w:p>
      <w:pPr>
        <w:pStyle w:val="BodyText"/>
        <w:spacing w:before="8"/>
        <w:rPr>
          <w:b/>
          <w:sz w:val="29"/>
        </w:rPr>
      </w:pPr>
    </w:p>
    <w:p>
      <w:pPr>
        <w:spacing w:line="276" w:lineRule="auto" w:before="0"/>
        <w:ind w:left="978" w:right="7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69"/>
          <w:w w:val="95"/>
          <w:position w:val="-8"/>
          <w:sz w:val="24"/>
        </w:rPr>
        <w:t>．</w:t>
      </w:r>
      <w:r>
        <w:rPr>
          <w:b/>
          <w:spacing w:val="-168"/>
          <w:w w:val="95"/>
          <w:sz w:val="24"/>
        </w:rPr>
        <w:t>细</w:t>
      </w:r>
      <w:r>
        <w:rPr>
          <w:spacing w:val="-72"/>
          <w:w w:val="95"/>
          <w:position w:val="-8"/>
          <w:sz w:val="24"/>
        </w:rPr>
        <w:t>．</w:t>
      </w:r>
      <w:r>
        <w:rPr>
          <w:b/>
          <w:spacing w:val="-168"/>
          <w:w w:val="95"/>
          <w:sz w:val="24"/>
        </w:rPr>
        <w:t>阅</w:t>
      </w:r>
      <w:r>
        <w:rPr>
          <w:spacing w:val="-70"/>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43"/>
        <w:ind w:left="4753" w:right="5152"/>
        <w:jc w:val="center"/>
      </w:pPr>
      <w:r>
        <w:rPr/>
        <w:t>第</w:t>
      </w:r>
      <w:r>
        <w:rPr>
          <w:rFonts w:ascii="Times New Roman" w:eastAsia="Times New Roman"/>
        </w:rPr>
        <w:t>1</w:t>
      </w:r>
      <w:r>
        <w:rPr/>
        <w:t>页，共</w:t>
      </w:r>
      <w:r>
        <w:rPr>
          <w:rFonts w:ascii="Times New Roman" w:eastAsia="Times New Roman"/>
        </w:rPr>
        <w:t>14</w:t>
      </w:r>
      <w:r>
        <w:rPr/>
        <w:t>页</w:t>
      </w:r>
    </w:p>
    <w:p>
      <w:pPr>
        <w:spacing w:after="0"/>
        <w:jc w:val="center"/>
        <w:sectPr>
          <w:type w:val="continuous"/>
          <w:pgSz w:w="11910" w:h="16160"/>
          <w:pgMar w:top="540" w:bottom="280" w:left="580" w:right="2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6">
            <w:r>
              <w:rPr/>
              <w:t>第十三条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7">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8">
            <w:r>
              <w:rPr/>
              <w:t>第十四条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9">
            <w:r>
              <w:rPr/>
              <w:t>第十五条</w:t>
              <w:tab/>
              <w:t>您解除合同的手续及风险</w:t>
              <w:tab/>
            </w:r>
            <w:r>
              <w:rPr>
                <w:rFonts w:ascii="Times New Roman" w:eastAsia="Times New Roman"/>
              </w:rPr>
              <w:t>6</w:t>
            </w:r>
          </w:hyperlink>
        </w:p>
        <w:p>
          <w:pPr>
            <w:pStyle w:val="TOC1"/>
            <w:tabs>
              <w:tab w:pos="1377" w:val="left" w:leader="none"/>
              <w:tab w:pos="10015" w:val="right" w:leader="dot"/>
            </w:tabs>
            <w:spacing w:before="41"/>
            <w:rPr>
              <w:rFonts w:ascii="Times New Roman" w:eastAsia="Times New Roman"/>
            </w:rPr>
          </w:pPr>
          <w:hyperlink w:history="true" w:anchor="_bookmark20">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1">
            <w:r>
              <w:rPr/>
              <w:t>第十六条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2">
            <w:r>
              <w:rPr/>
              <w:t>第十七条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7" w:firstLine="420"/>
      </w:pPr>
      <w:r>
        <w:rPr>
          <w:spacing w:val="-4"/>
        </w:rPr>
        <w:t>本附加合同依您的申请，可附加于我们提供的主合同《太平康颐金生 </w:t>
      </w:r>
      <w:r>
        <w:rPr>
          <w:rFonts w:ascii="Times New Roman" w:hAnsi="Times New Roman" w:eastAsia="Times New Roman"/>
        </w:rPr>
        <w:t>B </w:t>
      </w:r>
      <w:r>
        <w:rPr>
          <w:spacing w:val="-3"/>
        </w:rPr>
        <w:t>款终身寿险</w:t>
      </w:r>
      <w:r>
        <w:rPr/>
        <w:t>（</w:t>
      </w:r>
      <w:r>
        <w:rPr>
          <w:spacing w:val="-3"/>
        </w:rPr>
        <w:t>分红型</w:t>
      </w:r>
      <w:r>
        <w:rPr>
          <w:spacing w:val="-106"/>
        </w:rPr>
        <w:t>）》</w:t>
      </w:r>
      <w:r>
        <w:rPr>
          <w:spacing w:val="-3"/>
        </w:rPr>
        <w:t>（以下简</w:t>
      </w:r>
      <w:r>
        <w:rPr>
          <w:spacing w:val="-20"/>
          <w:w w:val="100"/>
        </w:rPr>
        <w:t>称“主合同”</w:t>
      </w:r>
      <w:r>
        <w:rPr>
          <w:spacing w:val="-3"/>
          <w:w w:val="100"/>
        </w:rPr>
        <w:t>）之上，经我们审核同意，并在保险单或批注中列明后生效。</w:t>
      </w:r>
    </w:p>
    <w:p>
      <w:pPr>
        <w:pStyle w:val="BodyText"/>
        <w:spacing w:line="273" w:lineRule="auto" w:before="22"/>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8"/>
        <w:ind w:left="538"/>
      </w:pPr>
      <w:r>
        <w:rPr/>
        <w:t>本附加合同构成主合同的一部分，不可分割，必须与主合同同时投保。</w:t>
      </w:r>
    </w:p>
    <w:p>
      <w:pPr>
        <w:pStyle w:val="BodyText"/>
        <w:spacing w:before="9"/>
        <w:rPr>
          <w:sz w:val="26"/>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天至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50" w:firstLine="420"/>
      </w:pPr>
      <w:r>
        <w:rPr/>
        <w:t>自本附加合同生效日零时起</w:t>
      </w:r>
      <w:r>
        <w:rPr>
          <w:rFonts w:ascii="Times New Roman" w:eastAsia="Times New Roman"/>
        </w:rPr>
        <w:t>90</w:t>
      </w:r>
      <w:r>
        <w:rPr/>
        <w:t>天为等待期。如果本附加合同曾一次或多次恢复效力，则自每次合同效力恢复之日零时起</w:t>
      </w:r>
      <w:r>
        <w:rPr>
          <w:rFonts w:ascii="Times New Roman" w:eastAsia="Times New Roman"/>
        </w:rPr>
        <w:t>90</w:t>
      </w:r>
      <w:r>
        <w:rPr/>
        <w:t>天均为等待期。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before="36"/>
        <w:ind w:left="538"/>
      </w:pPr>
      <w:r>
        <w:rPr/>
        <w:t>在本附加合同保险期间内且本附加合同有效，我们按照下列约定承担给付重大疾病保险金的责任：</w:t>
      </w:r>
    </w:p>
    <w:p>
      <w:pPr>
        <w:pStyle w:val="ListParagraph"/>
        <w:numPr>
          <w:ilvl w:val="0"/>
          <w:numId w:val="2"/>
        </w:numPr>
        <w:tabs>
          <w:tab w:pos="805" w:val="left" w:leader="none"/>
        </w:tabs>
        <w:spacing w:line="240" w:lineRule="auto" w:before="36" w:after="0"/>
        <w:ind w:left="117" w:right="0" w:firstLine="421"/>
        <w:jc w:val="left"/>
        <w:rPr>
          <w:sz w:val="21"/>
        </w:rPr>
      </w:pPr>
      <w:r>
        <w:rPr>
          <w:sz w:val="21"/>
        </w:rPr>
        <w:t>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0"/>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0"/>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z w:val="21"/>
          <w:vertAlign w:val="baseline"/>
        </w:rPr>
        <w:t>确诊初次</w:t>
      </w:r>
    </w:p>
    <w:p>
      <w:pPr>
        <w:pStyle w:val="BodyText"/>
        <w:spacing w:before="2"/>
        <w:rPr>
          <w:sz w:val="14"/>
        </w:rPr>
      </w:pPr>
      <w:r>
        <w:rPr/>
        <w:pict>
          <v:line style="position:absolute;mso-position-horizontal-relative:page;mso-position-vertical-relative:paragraph;z-index:1072;mso-wrap-distance-left:0;mso-wrap-distance-right:0" from="53.880001pt,11.504889pt" to="197.930001pt,11.504889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7"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ind w:left="117"/>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6</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7</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1" w:lineRule="exact"/>
        <w:ind w:left="117"/>
      </w:pPr>
      <w:r>
        <w:rPr/>
        <w:t>酒、戒毒或相类似的医疗机构。同时该医院必须具有符合有关医院管理规定设臵标准的医疗设备，并且提供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0" w:top="1520" w:bottom="860" w:left="960" w:right="800"/>
        </w:sectPr>
      </w:pPr>
    </w:p>
    <w:p>
      <w:pPr>
        <w:spacing w:line="273" w:lineRule="auto" w:before="7"/>
        <w:ind w:left="117" w:right="217" w:firstLine="0"/>
        <w:jc w:val="left"/>
        <w:rPr>
          <w:sz w:val="21"/>
        </w:rPr>
      </w:pPr>
      <w:r>
        <w:rPr>
          <w:sz w:val="21"/>
        </w:rPr>
        <w:t>患上一种或多种本附加合同第十七条所定义的重大疾病，我们按本附加合同基本保险金额给付重大疾病保险金，同时本附加合同终止。主合同同时终止，我们将给付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sz w:val="21"/>
        </w:rPr>
      </w:pPr>
      <w:r>
        <w:rPr>
          <w:sz w:val="21"/>
        </w:rPr>
        <w:t>被保险人因意外伤害事故以外的原因经医院确诊初次患上一种或多种本附加合同第十七条所定义的</w:t>
      </w:r>
      <w:r>
        <w:rPr>
          <w:spacing w:val="-3"/>
          <w:sz w:val="21"/>
        </w:rPr>
        <w:t>重大疾病，并且首次发病时间在等待期内，我们按主合同及本附加合同的已交保险费给付重大疾病保险金， 同时主合同及本附加合同终止。</w:t>
      </w:r>
    </w:p>
    <w:p>
      <w:pPr>
        <w:pStyle w:val="BodyText"/>
        <w:spacing w:before="12"/>
        <w:rPr>
          <w:sz w:val="25"/>
        </w:rPr>
      </w:pPr>
    </w:p>
    <w:p>
      <w:pPr>
        <w:pStyle w:val="BodyText"/>
        <w:spacing w:line="273" w:lineRule="auto" w:before="1"/>
        <w:ind w:left="117" w:right="219" w:firstLine="420"/>
      </w:pPr>
      <w:r>
        <w:rPr/>
        <w:t>我们只给付主合同及本附加合同保险责任中约定的身故保险金和重大疾病保险金的其中一项保险金，且以一次为限。</w:t>
      </w:r>
    </w:p>
    <w:p>
      <w:pPr>
        <w:pStyle w:val="BodyText"/>
        <w:spacing w:line="273" w:lineRule="auto" w:before="8"/>
        <w:ind w:left="117" w:right="108" w:firstLine="420"/>
      </w:pPr>
      <w:r>
        <w:rPr>
          <w:spacing w:val="-6"/>
        </w:rPr>
        <w:t>因本附加合同的终止导致主合同终止的，关于主合同终了红利的处理参见主合同条款第八条“红利分配” </w:t>
      </w:r>
      <w:r>
        <w:rPr>
          <w:spacing w:val="-15"/>
        </w:rPr>
        <w:t>第二项“终了红利”。</w:t>
      </w:r>
    </w:p>
    <w:p>
      <w:pPr>
        <w:pStyle w:val="BodyText"/>
        <w:spacing w:before="6"/>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22"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3"/>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BodyText"/>
        <w:spacing w:before="2"/>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2"/>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before="1"/>
        <w:rPr>
          <w:rFonts w:ascii="黑体"/>
          <w:sz w:val="27"/>
        </w:rPr>
      </w:pPr>
      <w:r>
        <w:rPr/>
        <w:pict>
          <v:line style="position:absolute;mso-position-horizontal-relative:page;mso-position-vertical-relative:paragraph;z-index:1096;mso-wrap-distance-left:0;mso-wrap-distance-right:0" from="53.880001pt,19.937346pt" to="197.930001pt,19.937346pt" stroked="true" strokeweight=".47998pt" strokecolor="#000000">
            <v:stroke dashstyle="solid"/>
            <w10:wrap type="topAndBottom"/>
          </v:line>
        </w:pict>
      </w:r>
    </w:p>
    <w:p>
      <w:pPr>
        <w:spacing w:line="218" w:lineRule="auto" w:before="1"/>
        <w:ind w:left="117" w:right="217" w:firstLine="0"/>
        <w:jc w:val="left"/>
        <w:rPr>
          <w:sz w:val="21"/>
        </w:rPr>
      </w:pPr>
      <w:r>
        <w:rPr>
          <w:rFonts w:ascii="Times New Roman" w:eastAsia="Times New Roman"/>
          <w:position w:val="10"/>
          <w:sz w:val="14"/>
        </w:rPr>
        <w:t>8</w:t>
      </w:r>
      <w:r>
        <w:rPr>
          <w:rFonts w:ascii="Microsoft JhengHei" w:eastAsia="Microsoft JhengHei" w:hint="eastAsia"/>
          <w:b/>
          <w:spacing w:val="-8"/>
          <w:sz w:val="21"/>
        </w:rPr>
        <w:t>主合同累积红利保险金额对应的现金价值：</w:t>
      </w:r>
      <w:r>
        <w:rPr>
          <w:spacing w:val="-11"/>
          <w:sz w:val="21"/>
        </w:rPr>
        <w:t>是指根据精算原理计算的主合同《太平康颐金生 </w:t>
      </w:r>
      <w:r>
        <w:rPr>
          <w:rFonts w:ascii="Times New Roman" w:eastAsia="Times New Roman"/>
          <w:sz w:val="21"/>
        </w:rPr>
        <w:t>B </w:t>
      </w:r>
      <w:r>
        <w:rPr>
          <w:spacing w:val="-23"/>
          <w:sz w:val="21"/>
        </w:rPr>
        <w:t>款终身寿险</w:t>
      </w:r>
      <w:r>
        <w:rPr>
          <w:sz w:val="21"/>
        </w:rPr>
        <w:t>（分红型</w:t>
      </w:r>
      <w:r>
        <w:rPr>
          <w:spacing w:val="-108"/>
          <w:sz w:val="21"/>
        </w:rPr>
        <w:t>）</w:t>
      </w:r>
      <w:r>
        <w:rPr>
          <w:spacing w:val="-3"/>
          <w:sz w:val="21"/>
        </w:rPr>
        <w:t>》累积红利保险金额所具有的价值。</w:t>
      </w:r>
    </w:p>
    <w:p>
      <w:pPr>
        <w:pStyle w:val="BodyText"/>
        <w:spacing w:line="284" w:lineRule="exact"/>
        <w:ind w:left="117"/>
      </w:pPr>
      <w:r>
        <w:rPr>
          <w:rFonts w:ascii="Times New Roman" w:eastAsia="Times New Roman"/>
          <w:position w:val="10"/>
          <w:sz w:val="14"/>
        </w:rPr>
        <w:t>9</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left="117" w:right="246"/>
      </w:pPr>
      <w:r>
        <w:rPr/>
        <w:t>定管制的其他能够使人形成瘾癖的麻醉药品和精神药品，但不包括由医生开具并遵医嘱使用的用于治疗疾病但含有毒品成分的处方药品。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3" w:lineRule="auto" w:before="8"/>
        <w:ind w:left="117"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ind w:left="117"/>
      </w:pPr>
      <w:r>
        <w:rPr>
          <w:rFonts w:ascii="Times New Roman" w:eastAsia="Times New Roman"/>
          <w:w w:val="99"/>
          <w:position w:val="10"/>
          <w:sz w:val="14"/>
        </w:rPr>
        <w:t>12</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212"/>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w:t>
      </w:r>
    </w:p>
    <w:p>
      <w:pPr>
        <w:pStyle w:val="BodyText"/>
        <w:spacing w:line="238" w:lineRule="exact" w:before="5"/>
        <w:ind w:left="117"/>
      </w:pPr>
      <w:r>
        <w:rPr/>
        <w:t>滋病。</w:t>
      </w:r>
    </w:p>
    <w:p>
      <w:pPr>
        <w:pStyle w:val="BodyText"/>
        <w:spacing w:line="318" w:lineRule="exact"/>
        <w:ind w:left="117"/>
      </w:pPr>
      <w:r>
        <w:rPr>
          <w:rFonts w:ascii="Times New Roman" w:eastAsia="Times New Roman"/>
          <w:position w:val="10"/>
          <w:sz w:val="14"/>
        </w:rPr>
        <w:t>14</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16</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left="117" w:right="246"/>
      </w:pPr>
      <w:r>
        <w:rPr/>
        <w:t>金额。每个保单年度末本附加合同所具有的现金价值在保险单或批注上列明。每个保单年度中，本附加合同所具有的现金价值根据本附加合同实际经过的天数计算。</w:t>
      </w:r>
    </w:p>
    <w:p>
      <w:pPr>
        <w:spacing w:after="0" w:line="237" w:lineRule="auto"/>
        <w:sectPr>
          <w:footerReference w:type="default" r:id="rId9"/>
          <w:pgSz w:w="11910" w:h="16160"/>
          <w:pgMar w:footer="631" w:header="0" w:top="1360" w:bottom="820" w:left="960" w:right="700"/>
          <w:pgNumType w:start="4"/>
        </w:sectPr>
      </w:pPr>
    </w:p>
    <w:p>
      <w:pPr>
        <w:pStyle w:val="BodyText"/>
        <w:spacing w:line="273" w:lineRule="auto" w:before="7"/>
        <w:ind w:left="117" w:right="119" w:firstLine="420"/>
        <w:jc w:val="both"/>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ind w:right="1"/>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8"/>
        <w:rPr>
          <w:sz w:val="26"/>
        </w:rPr>
      </w:pPr>
    </w:p>
    <w:p>
      <w:pPr>
        <w:pStyle w:val="Heading2"/>
        <w:tabs>
          <w:tab w:pos="969" w:val="left" w:leader="none"/>
        </w:tabs>
        <w:spacing w:before="1"/>
      </w:pPr>
      <w:bookmarkStart w:name="_bookmark12" w:id="13"/>
      <w:bookmarkEnd w:id="13"/>
      <w:r>
        <w:rPr>
          <w:b w:val="0"/>
        </w:rPr>
      </w:r>
      <w:r>
        <w:rPr/>
        <w:t>第十条</w:t>
        <w:tab/>
        <w:t>保险费率的调整</w:t>
      </w:r>
    </w:p>
    <w:p>
      <w:pPr>
        <w:spacing w:line="273" w:lineRule="auto" w:before="37"/>
        <w:ind w:left="117" w:right="118" w:firstLine="422"/>
        <w:jc w:val="both"/>
        <w:rPr>
          <w:b/>
          <w:sz w:val="21"/>
        </w:rPr>
      </w:pPr>
      <w:r>
        <w:rPr>
          <w:b/>
          <w:sz w:val="21"/>
        </w:rPr>
        <w:t>在本附加合同交费期限内，如果本附加合同计算费率所用的疾病发生率与实际经验相比有实质性的改变，我们保留提高或降低保险费率之权利，但须向监管机构备案。保险费率的调整针对所有被保险人或同一类被保险人。</w:t>
      </w:r>
    </w:p>
    <w:p>
      <w:pPr>
        <w:spacing w:line="273" w:lineRule="auto" w:before="7"/>
        <w:ind w:left="117" w:right="117" w:firstLine="422"/>
        <w:jc w:val="both"/>
        <w:rPr>
          <w:b/>
          <w:sz w:val="21"/>
        </w:rPr>
      </w:pPr>
      <w:r>
        <w:rPr>
          <w:b/>
          <w:sz w:val="21"/>
        </w:rPr>
        <w:t>我们进行保险费率调整，会在合理的时间内通知您，如您同意，则您须按调整后的保险费率支付续期保险费，保险费率调整前您已经支付的保险费不受影响。如不同意，则您可以选择解除合同，相关内容参见第十五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0"/>
        <w:rPr>
          <w:b/>
          <w:sz w:val="20"/>
        </w:rPr>
      </w:pPr>
    </w:p>
    <w:p>
      <w:pPr>
        <w:pStyle w:val="Heading1"/>
        <w:tabs>
          <w:tab w:pos="1418" w:val="left" w:leader="none"/>
        </w:tabs>
      </w:pPr>
      <w:bookmarkStart w:name="_bookmark13" w:id="14"/>
      <w:bookmarkEnd w:id="14"/>
      <w:r>
        <w:rPr>
          <w:b w:val="0"/>
        </w:rPr>
      </w:r>
      <w:r>
        <w:rPr/>
        <w:t>第四部分</w:t>
        <w:tab/>
      </w:r>
      <w:r>
        <w:rPr>
          <w:w w:val="95"/>
        </w:rPr>
        <w:t>如何申请保险金</w:t>
      </w:r>
    </w:p>
    <w:p>
      <w:pPr>
        <w:pStyle w:val="BodyText"/>
        <w:spacing w:before="9"/>
        <w:rPr>
          <w:b/>
          <w:sz w:val="25"/>
        </w:rPr>
      </w:pPr>
    </w:p>
    <w:p>
      <w:pPr>
        <w:pStyle w:val="Heading2"/>
        <w:tabs>
          <w:tab w:pos="1286" w:val="left" w:leader="none"/>
        </w:tabs>
        <w:spacing w:before="1"/>
      </w:pPr>
      <w:r>
        <w:rPr/>
        <w:t>第十一条</w:t>
        <w:tab/>
      </w:r>
      <w:bookmarkStart w:name="_bookmark14" w:id="15"/>
      <w:bookmarkEnd w:id="15"/>
      <w:r>
        <w:rPr/>
        <w:t>受</w:t>
      </w:r>
      <w:r>
        <w:rPr/>
        <w:t>益人</w:t>
      </w:r>
    </w:p>
    <w:p>
      <w:pPr>
        <w:pStyle w:val="BodyText"/>
        <w:spacing w:before="37"/>
        <w:ind w:left="538"/>
      </w:pPr>
      <w:r>
        <w:rPr/>
        <w:t>除另有约定外，本附加合同重大疾病保险金的受益人为被保险人本人。</w:t>
      </w:r>
    </w:p>
    <w:p>
      <w:pPr>
        <w:pStyle w:val="BodyText"/>
        <w:spacing w:before="8"/>
        <w:rPr>
          <w:sz w:val="26"/>
        </w:rPr>
      </w:pPr>
    </w:p>
    <w:p>
      <w:pPr>
        <w:pStyle w:val="Heading2"/>
        <w:tabs>
          <w:tab w:pos="1197" w:val="left" w:leader="none"/>
        </w:tabs>
      </w:pPr>
      <w:bookmarkStart w:name="_bookmark15" w:id="16"/>
      <w:bookmarkEnd w:id="16"/>
      <w:r>
        <w:rPr>
          <w:b w:val="0"/>
        </w:rPr>
      </w:r>
      <w:r>
        <w:rPr/>
        <w:t>第十二条</w:t>
        <w:tab/>
        <w:t>诉讼时效</w:t>
      </w:r>
    </w:p>
    <w:p>
      <w:pPr>
        <w:pStyle w:val="BodyText"/>
        <w:spacing w:line="256" w:lineRule="auto" w:before="37"/>
        <w:ind w:left="117" w:right="115" w:firstLine="420"/>
        <w:jc w:val="both"/>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6" w:id="17"/>
      <w:bookmarkEnd w:id="17"/>
      <w:r>
        <w:rPr>
          <w:b w:val="0"/>
        </w:rPr>
      </w:r>
      <w:r>
        <w:rPr/>
        <w:t>第十三条</w:t>
        <w:tab/>
        <w:t>保险金申请</w:t>
      </w:r>
    </w:p>
    <w:p>
      <w:pPr>
        <w:pStyle w:val="BodyText"/>
        <w:spacing w:line="273" w:lineRule="auto" w:before="36"/>
        <w:ind w:left="117" w:right="119" w:firstLine="420"/>
        <w:jc w:val="both"/>
      </w:pPr>
      <w:r>
        <w:rPr/>
        <w:t>在申请本附加合同重大疾病保险金时，由重大疾病保险金的受益人作为申请人填写保险金给付申请书， 并提供下列证明和资料：</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73" w:lineRule="auto"/>
        <w:ind w:left="117"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rPr>
          <w:sz w:val="20"/>
        </w:rPr>
      </w:pPr>
    </w:p>
    <w:p>
      <w:pPr>
        <w:pStyle w:val="BodyText"/>
        <w:rPr>
          <w:sz w:val="20"/>
        </w:rPr>
      </w:pPr>
    </w:p>
    <w:p>
      <w:pPr>
        <w:pStyle w:val="BodyText"/>
        <w:rPr>
          <w:sz w:val="20"/>
        </w:rPr>
      </w:pPr>
    </w:p>
    <w:p>
      <w:pPr>
        <w:pStyle w:val="BodyText"/>
        <w:spacing w:before="3"/>
        <w:rPr>
          <w:sz w:val="12"/>
        </w:rPr>
      </w:pPr>
      <w:r>
        <w:rPr/>
        <w:pict>
          <v:line style="position:absolute;mso-position-horizontal-relative:page;mso-position-vertical-relative:paragraph;z-index:1120;mso-wrap-distance-left:0;mso-wrap-distance-right:0" from="53.880001pt,10.208310pt" to="197.930001pt,10.208310pt" stroked="true" strokeweight=".47998pt" strokecolor="#000000">
            <v:stroke dashstyle="solid"/>
            <w10:wrap type="topAndBottom"/>
          </v:line>
        </w:pict>
      </w:r>
    </w:p>
    <w:p>
      <w:pPr>
        <w:spacing w:line="296"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18</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3"/>
        <w:ind w:left="117"/>
      </w:pPr>
      <w:r>
        <w:rPr/>
        <w:t>的未成年人。</w:t>
      </w:r>
    </w:p>
    <w:p>
      <w:pPr>
        <w:spacing w:after="0"/>
        <w:sectPr>
          <w:pgSz w:w="11910" w:h="16160"/>
          <w:pgMar w:header="0" w:footer="631" w:top="1360" w:bottom="900" w:left="960" w:right="800"/>
        </w:sectPr>
      </w:pPr>
    </w:p>
    <w:p>
      <w:pPr>
        <w:pStyle w:val="Heading1"/>
        <w:tabs>
          <w:tab w:pos="1436" w:val="left" w:leader="none"/>
        </w:tabs>
        <w:spacing w:line="314" w:lineRule="exact"/>
        <w:ind w:left="17"/>
      </w:pPr>
      <w:bookmarkStart w:name="_bookmark17" w:id="18"/>
      <w:bookmarkEnd w:id="18"/>
      <w:r>
        <w:rPr>
          <w:b w:val="0"/>
        </w:rPr>
      </w:r>
      <w:r>
        <w:rPr/>
        <w:t>第五部分</w:t>
        <w:tab/>
      </w:r>
      <w:r>
        <w:rPr>
          <w:w w:val="95"/>
        </w:rPr>
        <w:t>您还享有哪些权益</w:t>
      </w:r>
    </w:p>
    <w:p>
      <w:pPr>
        <w:pStyle w:val="BodyText"/>
        <w:spacing w:before="11"/>
        <w:rPr>
          <w:b/>
          <w:sz w:val="25"/>
        </w:rPr>
      </w:pPr>
    </w:p>
    <w:p>
      <w:pPr>
        <w:pStyle w:val="Heading2"/>
        <w:tabs>
          <w:tab w:pos="1397" w:val="left" w:leader="none"/>
        </w:tabs>
        <w:ind w:left="317"/>
      </w:pPr>
      <w:bookmarkStart w:name="_bookmark18" w:id="19"/>
      <w:bookmarkEnd w:id="19"/>
      <w:r>
        <w:rPr>
          <w:b w:val="0"/>
        </w:rPr>
      </w:r>
      <w:r>
        <w:rPr/>
        <w:t>第十四条</w:t>
        <w:tab/>
        <w:t>犹豫期</w:t>
      </w:r>
    </w:p>
    <w:p>
      <w:pPr>
        <w:pStyle w:val="BodyText"/>
        <w:spacing w:before="37"/>
        <w:ind w:left="738"/>
      </w:pPr>
      <w:r>
        <w:rPr/>
        <w:t>您在收到本附加合同并书面签收之日起可享有 </w:t>
      </w:r>
      <w:r>
        <w:rPr>
          <w:rFonts w:ascii="Times New Roman" w:eastAsia="Times New Roman"/>
        </w:rPr>
        <w:t>10 </w:t>
      </w:r>
      <w:r>
        <w:rPr/>
        <w:t>天的犹豫期，在犹豫期内要求解除本附加合同的，在我</w:t>
      </w:r>
    </w:p>
    <w:p>
      <w:pPr>
        <w:pStyle w:val="BodyText"/>
        <w:spacing w:line="256" w:lineRule="auto" w:before="21"/>
        <w:ind w:left="317" w:right="29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397" w:val="left" w:leader="none"/>
        </w:tabs>
        <w:ind w:left="317"/>
      </w:pPr>
      <w:bookmarkStart w:name="_bookmark19" w:id="20"/>
      <w:bookmarkEnd w:id="20"/>
      <w:r>
        <w:rPr>
          <w:b w:val="0"/>
        </w:rPr>
      </w:r>
      <w:r>
        <w:rPr/>
        <w:t>第十五条</w:t>
        <w:tab/>
        <w:t>您解除合同的手续</w:t>
      </w:r>
      <w:r>
        <w:rPr>
          <w:spacing w:val="-3"/>
        </w:rPr>
        <w:t>及</w:t>
      </w:r>
      <w:r>
        <w:rPr/>
        <w:t>风险</w:t>
      </w:r>
    </w:p>
    <w:p>
      <w:pPr>
        <w:pStyle w:val="BodyText"/>
        <w:spacing w:before="37"/>
        <w:ind w:left="738"/>
      </w:pPr>
      <w:r>
        <w:rPr/>
        <w:t>如您在犹豫期后申请解除本附加合同，请填写解除合同申请书并向我们提供下列资料：</w:t>
      </w:r>
    </w:p>
    <w:p>
      <w:pPr>
        <w:pStyle w:val="ListParagraph"/>
        <w:numPr>
          <w:ilvl w:val="1"/>
          <w:numId w:val="4"/>
        </w:numPr>
        <w:tabs>
          <w:tab w:pos="1003" w:val="left" w:leader="none"/>
        </w:tabs>
        <w:spacing w:line="240" w:lineRule="auto" w:before="37" w:after="0"/>
        <w:ind w:left="1002" w:right="0" w:hanging="264"/>
        <w:jc w:val="left"/>
        <w:rPr>
          <w:sz w:val="21"/>
        </w:rPr>
      </w:pPr>
      <w:r>
        <w:rPr>
          <w:spacing w:val="-3"/>
          <w:sz w:val="21"/>
        </w:rPr>
        <w:t>保险合同；</w:t>
      </w:r>
    </w:p>
    <w:p>
      <w:pPr>
        <w:pStyle w:val="ListParagraph"/>
        <w:numPr>
          <w:ilvl w:val="1"/>
          <w:numId w:val="4"/>
        </w:numPr>
        <w:tabs>
          <w:tab w:pos="1003" w:val="left" w:leader="none"/>
        </w:tabs>
        <w:spacing w:line="240" w:lineRule="auto" w:before="21" w:after="0"/>
        <w:ind w:left="1002" w:right="0" w:hanging="264"/>
        <w:jc w:val="left"/>
        <w:rPr>
          <w:sz w:val="21"/>
        </w:rPr>
      </w:pPr>
      <w:r>
        <w:rPr>
          <w:spacing w:val="-3"/>
          <w:sz w:val="21"/>
        </w:rPr>
        <w:t>您的有效身份证件。</w:t>
      </w:r>
    </w:p>
    <w:p>
      <w:pPr>
        <w:pStyle w:val="BodyText"/>
        <w:spacing w:line="256" w:lineRule="auto" w:before="22"/>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1434" w:val="left" w:leader="none"/>
        </w:tabs>
        <w:ind w:left="15"/>
      </w:pPr>
      <w:bookmarkStart w:name="_bookmark20" w:id="21"/>
      <w:bookmarkEnd w:id="21"/>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1" w:id="22"/>
      <w:bookmarkEnd w:id="22"/>
      <w:r>
        <w:rPr>
          <w:b w:val="0"/>
        </w:rPr>
      </w:r>
      <w:r>
        <w:rPr/>
        <w:t>第十六条</w:t>
        <w:tab/>
        <w:t>保险合同的终止</w:t>
      </w:r>
    </w:p>
    <w:p>
      <w:pPr>
        <w:pStyle w:val="BodyText"/>
        <w:spacing w:line="273" w:lineRule="auto" w:before="37"/>
        <w:ind w:left="738" w:right="306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rPr>
          <w:sz w:val="26"/>
        </w:rPr>
      </w:pPr>
    </w:p>
    <w:p>
      <w:pPr>
        <w:pStyle w:val="Heading2"/>
        <w:tabs>
          <w:tab w:pos="1397" w:val="left" w:leader="none"/>
        </w:tabs>
        <w:ind w:left="317"/>
      </w:pPr>
      <w:bookmarkStart w:name="_bookmark22" w:id="23"/>
      <w:bookmarkEnd w:id="23"/>
      <w:r>
        <w:rPr>
          <w:b w:val="0"/>
        </w:rPr>
      </w:r>
      <w:r>
        <w:rPr/>
        <w:t>第十七条</w:t>
        <w:tab/>
        <w:t>重大疾病的种类及</w:t>
      </w:r>
      <w:r>
        <w:rPr>
          <w:spacing w:val="-3"/>
        </w:rPr>
        <w:t>定</w:t>
      </w:r>
      <w:r>
        <w:rPr/>
        <w:t>义</w:t>
      </w:r>
    </w:p>
    <w:p>
      <w:pPr>
        <w:pStyle w:val="BodyText"/>
        <w:spacing w:line="256" w:lineRule="auto" w:before="36"/>
        <w:ind w:left="317" w:right="298" w:firstLine="420"/>
      </w:pPr>
      <w:r>
        <w:rPr/>
        <w:t>本附加合同所保障的重大疾病，是指被保险人经</w:t>
      </w:r>
      <w:r>
        <w:rPr>
          <w:b/>
        </w:rPr>
        <w:t>专科医生</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294" w:firstLine="420"/>
      </w:pPr>
      <w:r>
        <w:rPr>
          <w:spacing w:val="-7"/>
        </w:rPr>
        <w:t>本附加合同所保障的重大疾病共 </w:t>
      </w:r>
      <w:r>
        <w:rPr>
          <w:rFonts w:ascii="Times New Roman" w:eastAsia="Times New Roman"/>
        </w:rPr>
        <w:t>55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232"/>
        <w:gridCol w:w="7579"/>
      </w:tblGrid>
      <w:tr>
        <w:trPr>
          <w:trHeight w:val="3060" w:hRule="atLeast"/>
        </w:trPr>
        <w:tc>
          <w:tcPr>
            <w:tcW w:w="489" w:type="dxa"/>
          </w:tcPr>
          <w:p>
            <w:pPr>
              <w:pStyle w:val="TableParagraph"/>
              <w:spacing w:line="234" w:lineRule="exact"/>
              <w:ind w:left="200"/>
              <w:rPr>
                <w:rFonts w:ascii="Times New Roman"/>
                <w:sz w:val="21"/>
              </w:rPr>
            </w:pPr>
            <w:r>
              <w:rPr>
                <w:rFonts w:ascii="Times New Roman"/>
                <w:sz w:val="21"/>
              </w:rPr>
              <w:t>1.</w:t>
            </w:r>
          </w:p>
        </w:tc>
        <w:tc>
          <w:tcPr>
            <w:tcW w:w="2232" w:type="dxa"/>
          </w:tcPr>
          <w:p>
            <w:pPr>
              <w:pStyle w:val="TableParagraph"/>
              <w:spacing w:line="220" w:lineRule="exact"/>
              <w:ind w:left="131"/>
              <w:rPr>
                <w:sz w:val="21"/>
              </w:rPr>
            </w:pPr>
            <w:r>
              <w:rPr>
                <w:sz w:val="21"/>
              </w:rPr>
              <w:t>恶性肿瘤</w:t>
            </w:r>
          </w:p>
        </w:tc>
        <w:tc>
          <w:tcPr>
            <w:tcW w:w="7579" w:type="dxa"/>
          </w:tcPr>
          <w:p>
            <w:pPr>
              <w:pStyle w:val="TableParagraph"/>
              <w:spacing w:line="220" w:lineRule="exact"/>
              <w:ind w:left="1260"/>
              <w:rPr>
                <w:sz w:val="21"/>
              </w:rPr>
            </w:pPr>
            <w:r>
              <w:rPr>
                <w:sz w:val="21"/>
              </w:rPr>
              <w:t>指恶性细胞不受控制的进行性增长和扩散，浸润和破坏周围正常组</w:t>
            </w:r>
          </w:p>
          <w:p>
            <w:pPr>
              <w:pStyle w:val="TableParagraph"/>
              <w:spacing w:line="273" w:lineRule="auto" w:before="37"/>
              <w:ind w:left="1260" w:right="196"/>
              <w:jc w:val="both"/>
              <w:rPr>
                <w:sz w:val="21"/>
              </w:rPr>
            </w:pPr>
            <w:r>
              <w:rPr>
                <w:sz w:val="21"/>
              </w:rPr>
              <w:t>织，可以经血管、淋巴管和体腔扩散转移到身体其他部位的疾病。经病理学检查结果明确诊断，临床诊断属于世界卫生组织《疾病和有关健康问题的国际统计分类》（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260"/>
              <w:jc w:val="both"/>
              <w:rPr>
                <w:b/>
                <w:sz w:val="21"/>
              </w:rPr>
            </w:pPr>
            <w:r>
              <w:rPr>
                <w:b/>
                <w:sz w:val="21"/>
              </w:rPr>
              <w:t>下列疾病不在保障范围内：</w:t>
            </w:r>
          </w:p>
          <w:p>
            <w:pPr>
              <w:pStyle w:val="TableParagraph"/>
              <w:spacing w:before="38"/>
              <w:ind w:left="1260"/>
              <w:jc w:val="both"/>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20</w:t>
            </w:r>
            <w:r>
              <w:rPr>
                <w:rFonts w:ascii="Times New Roman" w:eastAsia="Times New Roman"/>
                <w:b/>
                <w:w w:val="95"/>
                <w:sz w:val="21"/>
                <w:vertAlign w:val="baseline"/>
              </w:rPr>
            </w:r>
            <w:r>
              <w:rPr>
                <w:b/>
                <w:w w:val="95"/>
                <w:sz w:val="21"/>
                <w:vertAlign w:val="baseline"/>
              </w:rPr>
              <w:t>；</w:t>
            </w:r>
          </w:p>
          <w:p>
            <w:pPr>
              <w:pStyle w:val="TableParagraph"/>
              <w:spacing w:before="21"/>
              <w:ind w:left="126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26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1260"/>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87" w:lineRule="exact" w:before="21"/>
              <w:ind w:left="1260"/>
              <w:jc w:val="both"/>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4"/>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tc>
      </w:tr>
    </w:tbl>
    <w:p>
      <w:pPr>
        <w:pStyle w:val="BodyText"/>
        <w:spacing w:before="8"/>
        <w:rPr>
          <w:sz w:val="15"/>
        </w:rPr>
      </w:pPr>
      <w:r>
        <w:rPr/>
        <w:pict>
          <v:line style="position:absolute;mso-position-horizontal-relative:page;mso-position-vertical-relative:paragraph;z-index:1144;mso-wrap-distance-left:0;mso-wrap-distance-right:0" from="53.880001pt,12.44711pt" to="197.930001pt,12.44711pt" stroked="true" strokeweight=".48004pt" strokecolor="#000000">
            <v:stroke dashstyle="solid"/>
            <w10:wrap type="topAndBottom"/>
          </v:line>
        </w:pict>
      </w:r>
    </w:p>
    <w:p>
      <w:pPr>
        <w:pStyle w:val="BodyText"/>
        <w:spacing w:line="320" w:lineRule="exact"/>
        <w:ind w:left="317"/>
      </w:pPr>
      <w:r>
        <w:rPr>
          <w:rFonts w:ascii="Times New Roman" w:eastAsia="Times New Roman"/>
          <w:w w:val="99"/>
          <w:position w:val="10"/>
          <w:sz w:val="14"/>
        </w:rPr>
        <w:t>19</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317" w:right="29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pStyle w:val="BodyText"/>
        <w:spacing w:line="284" w:lineRule="exact"/>
        <w:ind w:left="317"/>
      </w:pPr>
      <w:r>
        <w:rPr>
          <w:rFonts w:ascii="Times New Roman" w:eastAsia="Times New Roman"/>
          <w:position w:val="8"/>
          <w:sz w:val="12"/>
        </w:rPr>
        <w:t>20</w:t>
      </w:r>
      <w:r>
        <w:rPr>
          <w:rFonts w:ascii="Microsoft JhengHei" w:eastAsia="Microsoft JhengHei" w:hint="eastAsia"/>
          <w:b/>
        </w:rPr>
        <w:t>原位癌：</w:t>
      </w:r>
      <w:r>
        <w:rPr/>
        <w:t>指恶性细胞局限于上皮内尚未穿破基底膜浸润周围正常组织的癌细胞新生物。原位癌必须经对固定</w:t>
      </w:r>
    </w:p>
    <w:p>
      <w:pPr>
        <w:pStyle w:val="BodyText"/>
        <w:spacing w:line="261" w:lineRule="exact"/>
        <w:ind w:left="317"/>
      </w:pPr>
      <w:r>
        <w:rPr/>
        <w:t>活组织的组织病理学检查明确诊断。被保险人必须己经接受了针对原位癌病灶的积极治疗。</w:t>
      </w:r>
    </w:p>
    <w:p>
      <w:pPr>
        <w:spacing w:after="0" w:line="261" w:lineRule="exact"/>
        <w:sectPr>
          <w:pgSz w:w="11910" w:h="16160"/>
          <w:pgMar w:header="0" w:footer="631" w:top="134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0"/>
      </w:tblGrid>
      <w:tr>
        <w:trPr>
          <w:trHeight w:val="576" w:hRule="atLeast"/>
        </w:trPr>
        <w:tc>
          <w:tcPr>
            <w:tcW w:w="489" w:type="dxa"/>
          </w:tcPr>
          <w:p>
            <w:pPr>
              <w:pStyle w:val="TableParagraph"/>
              <w:rPr>
                <w:rFonts w:ascii="Times New Roman"/>
                <w:sz w:val="20"/>
              </w:rPr>
            </w:pPr>
          </w:p>
        </w:tc>
        <w:tc>
          <w:tcPr>
            <w:tcW w:w="3283" w:type="dxa"/>
          </w:tcPr>
          <w:p>
            <w:pPr>
              <w:pStyle w:val="TableParagraph"/>
              <w:rPr>
                <w:rFonts w:ascii="Times New Roman"/>
                <w:sz w:val="20"/>
              </w:rPr>
            </w:pPr>
          </w:p>
        </w:tc>
        <w:tc>
          <w:tcPr>
            <w:tcW w:w="6530" w:type="dxa"/>
          </w:tcPr>
          <w:p>
            <w:pPr>
              <w:pStyle w:val="TableParagraph"/>
              <w:spacing w:line="234" w:lineRule="exact"/>
              <w:ind w:left="208"/>
              <w:rPr>
                <w:b/>
                <w:sz w:val="21"/>
              </w:rPr>
            </w:pPr>
            <w:r>
              <w:rPr>
                <w:b/>
                <w:sz w:val="21"/>
              </w:rPr>
              <w:t>（</w:t>
            </w:r>
            <w:r>
              <w:rPr>
                <w:rFonts w:ascii="Times New Roman" w:eastAsia="Times New Roman"/>
                <w:b/>
                <w:sz w:val="21"/>
              </w:rPr>
              <w:t>6</w:t>
            </w:r>
            <w:r>
              <w:rPr>
                <w:b/>
                <w:sz w:val="21"/>
              </w:rPr>
              <w:t>）感染艾滋病病毒或患艾滋病期间所患恶性肿瘤。</w:t>
            </w:r>
          </w:p>
          <w:p>
            <w:pPr>
              <w:pStyle w:val="TableParagraph"/>
              <w:spacing w:before="21"/>
              <w:ind w:left="208"/>
              <w:rPr>
                <w:b/>
                <w:sz w:val="21"/>
              </w:rPr>
            </w:pPr>
            <w:r>
              <w:rPr>
                <w:b/>
                <w:sz w:val="21"/>
              </w:rPr>
              <w:t>注：如果为女性重大疾病保险，则不包括此项。</w:t>
            </w:r>
          </w:p>
        </w:tc>
      </w:tr>
      <w:tr>
        <w:trPr>
          <w:trHeight w:val="2503" w:hRule="atLeast"/>
        </w:trPr>
        <w:tc>
          <w:tcPr>
            <w:tcW w:w="489" w:type="dxa"/>
          </w:tcPr>
          <w:p>
            <w:pPr>
              <w:pStyle w:val="TableParagraph"/>
              <w:spacing w:before="38"/>
              <w:ind w:left="180" w:right="111"/>
              <w:jc w:val="center"/>
              <w:rPr>
                <w:rFonts w:ascii="Times New Roman"/>
                <w:sz w:val="21"/>
              </w:rPr>
            </w:pPr>
            <w:r>
              <w:rPr>
                <w:rFonts w:ascii="Times New Roman"/>
                <w:sz w:val="21"/>
              </w:rPr>
              <w:t>2.</w:t>
            </w:r>
          </w:p>
        </w:tc>
        <w:tc>
          <w:tcPr>
            <w:tcW w:w="3283" w:type="dxa"/>
          </w:tcPr>
          <w:p>
            <w:pPr>
              <w:pStyle w:val="TableParagraph"/>
              <w:spacing w:line="266" w:lineRule="exact"/>
              <w:ind w:left="131"/>
              <w:rPr>
                <w:sz w:val="21"/>
              </w:rPr>
            </w:pPr>
            <w:r>
              <w:rPr>
                <w:sz w:val="21"/>
              </w:rPr>
              <w:t>急性心肌梗塞</w:t>
            </w:r>
          </w:p>
        </w:tc>
        <w:tc>
          <w:tcPr>
            <w:tcW w:w="6530" w:type="dxa"/>
          </w:tcPr>
          <w:p>
            <w:pPr>
              <w:pStyle w:val="TableParagraph"/>
              <w:spacing w:line="273" w:lineRule="auto"/>
              <w:ind w:left="208" w:right="198"/>
              <w:rPr>
                <w:sz w:val="21"/>
              </w:rPr>
            </w:pPr>
            <w:r>
              <w:rPr>
                <w:sz w:val="21"/>
              </w:rPr>
              <w:t>指因冠状动脉阻塞导致的相应区域供血不足造成部分心肌坏死。须满足下列至少三项条件：</w:t>
            </w:r>
          </w:p>
          <w:p>
            <w:pPr>
              <w:pStyle w:val="TableParagraph"/>
              <w:spacing w:before="16"/>
              <w:ind w:left="208"/>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20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208" w:right="12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208" w:right="14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3283" w:type="dxa"/>
          </w:tcPr>
          <w:p>
            <w:pPr>
              <w:pStyle w:val="TableParagraph"/>
              <w:spacing w:line="258" w:lineRule="exact"/>
              <w:ind w:left="131"/>
              <w:rPr>
                <w:sz w:val="21"/>
              </w:rPr>
            </w:pPr>
            <w:r>
              <w:rPr>
                <w:sz w:val="21"/>
              </w:rPr>
              <w:t>脑中风后遗症</w:t>
            </w:r>
          </w:p>
        </w:tc>
        <w:tc>
          <w:tcPr>
            <w:tcW w:w="6530" w:type="dxa"/>
          </w:tcPr>
          <w:p>
            <w:pPr>
              <w:pStyle w:val="TableParagraph"/>
              <w:spacing w:line="258" w:lineRule="exact"/>
              <w:ind w:left="208"/>
              <w:rPr>
                <w:sz w:val="21"/>
              </w:rPr>
            </w:pPr>
            <w:r>
              <w:rPr>
                <w:sz w:val="21"/>
              </w:rPr>
              <w:t>指因脑血管的突发病变引起脑血管出血、栓塞或梗塞，并导致神经</w:t>
            </w:r>
          </w:p>
          <w:p>
            <w:pPr>
              <w:pStyle w:val="TableParagraph"/>
              <w:spacing w:before="37"/>
              <w:ind w:left="208"/>
              <w:rPr>
                <w:sz w:val="21"/>
              </w:rPr>
            </w:pPr>
            <w:r>
              <w:rPr>
                <w:sz w:val="21"/>
              </w:rPr>
              <w:t>系统永久性的功能障碍。神经系统永久性的功能障碍，指疾病确诊</w:t>
            </w:r>
          </w:p>
          <w:p>
            <w:pPr>
              <w:pStyle w:val="TableParagraph"/>
              <w:spacing w:before="36"/>
              <w:ind w:left="208"/>
              <w:rPr>
                <w:sz w:val="21"/>
              </w:rPr>
            </w:pPr>
            <w:r>
              <w:rPr>
                <w:rFonts w:ascii="Times New Roman" w:eastAsia="Times New Roman"/>
                <w:sz w:val="21"/>
              </w:rPr>
              <w:t>180 </w:t>
            </w:r>
            <w:r>
              <w:rPr>
                <w:sz w:val="21"/>
              </w:rPr>
              <w:t>天后，仍遗留下列一种或一种以上障碍：</w:t>
            </w:r>
          </w:p>
          <w:p>
            <w:pPr>
              <w:pStyle w:val="TableParagraph"/>
              <w:spacing w:before="21"/>
              <w:ind w:left="20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20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before="21"/>
              <w:ind w:left="208"/>
              <w:rPr>
                <w:b/>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p>
          <w:p>
            <w:pPr>
              <w:pStyle w:val="TableParagraph"/>
              <w:spacing w:before="21"/>
              <w:ind w:left="208"/>
              <w:rPr>
                <w:sz w:val="21"/>
              </w:rPr>
            </w:pPr>
            <w:r>
              <w:rPr>
                <w:rFonts w:ascii="Times New Roman" w:eastAsia="Times New Roman"/>
                <w:b/>
                <w:position w:val="10"/>
                <w:sz w:val="14"/>
              </w:rPr>
              <w:t>23</w:t>
            </w:r>
            <w:r>
              <w:rPr>
                <w:sz w:val="21"/>
              </w:rPr>
              <w:t>中的三项或三项以上。</w:t>
            </w:r>
          </w:p>
        </w:tc>
      </w:tr>
      <w:tr>
        <w:trPr>
          <w:trHeight w:val="1560"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3283" w:type="dxa"/>
          </w:tcPr>
          <w:p>
            <w:pPr>
              <w:pStyle w:val="TableParagraph"/>
              <w:spacing w:line="273" w:lineRule="auto"/>
              <w:ind w:left="131" w:right="204"/>
              <w:rPr>
                <w:sz w:val="21"/>
              </w:rPr>
            </w:pPr>
            <w:r>
              <w:rPr>
                <w:sz w:val="21"/>
              </w:rPr>
              <w:t>重大器官移植术或造血干细胞移植术</w:t>
            </w:r>
          </w:p>
        </w:tc>
        <w:tc>
          <w:tcPr>
            <w:tcW w:w="6530" w:type="dxa"/>
          </w:tcPr>
          <w:p>
            <w:pPr>
              <w:pStyle w:val="TableParagraph"/>
              <w:spacing w:line="273" w:lineRule="auto"/>
              <w:ind w:left="208" w:right="301"/>
              <w:rPr>
                <w:sz w:val="21"/>
              </w:rPr>
            </w:pPr>
            <w:r>
              <w:rPr>
                <w:spacing w:val="-9"/>
                <w:sz w:val="21"/>
              </w:rPr>
              <w:t>重大器官移植术，指因相应器官功能衰竭，已经实施了肾脏、肝脏</w:t>
            </w:r>
            <w:r>
              <w:rPr>
                <w:spacing w:val="-5"/>
                <w:sz w:val="21"/>
              </w:rPr>
              <w:t>心脏或肺脏的异体移植手术。</w:t>
            </w:r>
          </w:p>
          <w:p>
            <w:pPr>
              <w:pStyle w:val="TableParagraph"/>
              <w:spacing w:line="312" w:lineRule="exact" w:before="12"/>
              <w:ind w:left="208" w:right="19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89" w:type="dxa"/>
          </w:tcPr>
          <w:p>
            <w:pPr>
              <w:pStyle w:val="TableParagraph"/>
              <w:spacing w:before="38"/>
              <w:ind w:left="180" w:right="111"/>
              <w:jc w:val="center"/>
              <w:rPr>
                <w:rFonts w:ascii="Times New Roman"/>
                <w:sz w:val="21"/>
              </w:rPr>
            </w:pPr>
            <w:r>
              <w:rPr>
                <w:rFonts w:ascii="Times New Roman"/>
                <w:sz w:val="21"/>
              </w:rPr>
              <w:t>5.</w:t>
            </w:r>
          </w:p>
        </w:tc>
        <w:tc>
          <w:tcPr>
            <w:tcW w:w="3283" w:type="dxa"/>
          </w:tcPr>
          <w:p>
            <w:pPr>
              <w:pStyle w:val="TableParagraph"/>
              <w:spacing w:line="273" w:lineRule="auto"/>
              <w:ind w:left="131" w:right="204"/>
              <w:rPr>
                <w:sz w:val="21"/>
              </w:rPr>
            </w:pPr>
            <w:r>
              <w:rPr>
                <w:sz w:val="21"/>
              </w:rPr>
              <w:t>冠状动脉搭桥术（或称冠状动脉旁路移植术）</w:t>
            </w:r>
          </w:p>
        </w:tc>
        <w:tc>
          <w:tcPr>
            <w:tcW w:w="6530" w:type="dxa"/>
          </w:tcPr>
          <w:p>
            <w:pPr>
              <w:pStyle w:val="TableParagraph"/>
              <w:spacing w:line="273" w:lineRule="auto"/>
              <w:ind w:left="208" w:right="198"/>
              <w:rPr>
                <w:sz w:val="21"/>
              </w:rPr>
            </w:pPr>
            <w:r>
              <w:rPr>
                <w:sz w:val="21"/>
              </w:rPr>
              <w:t>指为治疗严重的冠心病，实际实施了开胸进行的冠状动脉血管旁路移植的手术。</w:t>
            </w:r>
          </w:p>
          <w:p>
            <w:pPr>
              <w:pStyle w:val="TableParagraph"/>
              <w:spacing w:line="312" w:lineRule="exact" w:before="12"/>
              <w:ind w:left="208" w:right="198"/>
              <w:rPr>
                <w:b/>
                <w:sz w:val="21"/>
              </w:rPr>
            </w:pPr>
            <w:r>
              <w:rPr>
                <w:b/>
                <w:sz w:val="21"/>
              </w:rPr>
              <w:t>冠状动脉支架植入术、心导管球囊扩张术、激光射频技术及其他非开胸的介入手术、腔镜手术不在保障范围内。</w:t>
            </w:r>
          </w:p>
        </w:tc>
      </w:tr>
      <w:tr>
        <w:trPr>
          <w:trHeight w:val="631" w:hRule="atLeast"/>
        </w:trPr>
        <w:tc>
          <w:tcPr>
            <w:tcW w:w="489" w:type="dxa"/>
          </w:tcPr>
          <w:p>
            <w:pPr>
              <w:pStyle w:val="TableParagraph"/>
              <w:spacing w:before="38"/>
              <w:ind w:left="180" w:right="111"/>
              <w:jc w:val="center"/>
              <w:rPr>
                <w:rFonts w:ascii="Times New Roman"/>
                <w:sz w:val="21"/>
              </w:rPr>
            </w:pPr>
            <w:r>
              <w:rPr>
                <w:rFonts w:ascii="Times New Roman"/>
                <w:sz w:val="21"/>
              </w:rPr>
              <w:t>6.</w:t>
            </w:r>
          </w:p>
        </w:tc>
        <w:tc>
          <w:tcPr>
            <w:tcW w:w="3283" w:type="dxa"/>
          </w:tcPr>
          <w:p>
            <w:pPr>
              <w:pStyle w:val="TableParagraph"/>
              <w:spacing w:line="273" w:lineRule="auto"/>
              <w:ind w:left="131" w:right="204"/>
              <w:rPr>
                <w:sz w:val="21"/>
              </w:rPr>
            </w:pPr>
            <w:r>
              <w:rPr>
                <w:sz w:val="21"/>
              </w:rPr>
              <w:t>终末期肾病（或称慢性肾功能衰竭尿毒症期）</w:t>
            </w:r>
          </w:p>
        </w:tc>
        <w:tc>
          <w:tcPr>
            <w:tcW w:w="6530" w:type="dxa"/>
          </w:tcPr>
          <w:p>
            <w:pPr>
              <w:pStyle w:val="TableParagraph"/>
              <w:spacing w:line="266" w:lineRule="exact"/>
              <w:ind w:left="208"/>
              <w:rPr>
                <w:sz w:val="21"/>
              </w:rPr>
            </w:pPr>
            <w:r>
              <w:rPr>
                <w:sz w:val="21"/>
              </w:rPr>
              <w:t>指双肾功能慢性不可逆性衰竭，达到尿毒症期，经诊断后已经进行</w:t>
            </w:r>
          </w:p>
          <w:p>
            <w:pPr>
              <w:pStyle w:val="TableParagraph"/>
              <w:spacing w:before="37"/>
              <w:ind w:left="208"/>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16" w:hRule="atLeast"/>
        </w:trPr>
        <w:tc>
          <w:tcPr>
            <w:tcW w:w="489" w:type="dxa"/>
          </w:tcPr>
          <w:p>
            <w:pPr>
              <w:pStyle w:val="TableParagraph"/>
              <w:spacing w:before="30"/>
              <w:ind w:left="180" w:right="111"/>
              <w:jc w:val="center"/>
              <w:rPr>
                <w:rFonts w:ascii="Times New Roman"/>
                <w:sz w:val="21"/>
              </w:rPr>
            </w:pPr>
            <w:r>
              <w:rPr>
                <w:rFonts w:ascii="Times New Roman"/>
                <w:sz w:val="21"/>
              </w:rPr>
              <w:t>7.</w:t>
            </w:r>
          </w:p>
        </w:tc>
        <w:tc>
          <w:tcPr>
            <w:tcW w:w="3283" w:type="dxa"/>
          </w:tcPr>
          <w:p>
            <w:pPr>
              <w:pStyle w:val="TableParagraph"/>
              <w:spacing w:line="258" w:lineRule="exact"/>
              <w:ind w:left="131"/>
              <w:rPr>
                <w:sz w:val="21"/>
              </w:rPr>
            </w:pPr>
            <w:r>
              <w:rPr>
                <w:sz w:val="21"/>
              </w:rPr>
              <w:t>多个肢体缺失</w:t>
            </w:r>
          </w:p>
        </w:tc>
        <w:tc>
          <w:tcPr>
            <w:tcW w:w="6530" w:type="dxa"/>
          </w:tcPr>
          <w:p>
            <w:pPr>
              <w:pStyle w:val="TableParagraph"/>
              <w:spacing w:line="258" w:lineRule="exact"/>
              <w:ind w:left="208"/>
              <w:rPr>
                <w:sz w:val="21"/>
              </w:rPr>
            </w:pPr>
            <w:r>
              <w:rPr>
                <w:sz w:val="21"/>
              </w:rPr>
              <w:t>指因疾病或意外伤害导致两个或两个以上肢体自腕关节或踝关节近</w:t>
            </w:r>
          </w:p>
          <w:p>
            <w:pPr>
              <w:pStyle w:val="TableParagraph"/>
              <w:spacing w:before="37"/>
              <w:ind w:left="208"/>
              <w:rPr>
                <w:sz w:val="21"/>
              </w:rPr>
            </w:pPr>
            <w:r>
              <w:rPr>
                <w:sz w:val="21"/>
              </w:rPr>
              <w:t>端（靠近躯干端）以上完全性断离。</w:t>
            </w:r>
          </w:p>
        </w:tc>
      </w:tr>
      <w:tr>
        <w:trPr>
          <w:trHeight w:val="1880" w:hRule="atLeast"/>
        </w:trPr>
        <w:tc>
          <w:tcPr>
            <w:tcW w:w="489" w:type="dxa"/>
          </w:tcPr>
          <w:p>
            <w:pPr>
              <w:pStyle w:val="TableParagraph"/>
              <w:spacing w:before="38"/>
              <w:ind w:left="180" w:right="111"/>
              <w:jc w:val="center"/>
              <w:rPr>
                <w:rFonts w:ascii="Times New Roman"/>
                <w:sz w:val="21"/>
              </w:rPr>
            </w:pPr>
            <w:r>
              <w:rPr>
                <w:rFonts w:ascii="Times New Roman"/>
                <w:sz w:val="21"/>
              </w:rPr>
              <w:t>8.</w:t>
            </w:r>
          </w:p>
        </w:tc>
        <w:tc>
          <w:tcPr>
            <w:tcW w:w="3283" w:type="dxa"/>
          </w:tcPr>
          <w:p>
            <w:pPr>
              <w:pStyle w:val="TableParagraph"/>
              <w:spacing w:line="266" w:lineRule="exact"/>
              <w:ind w:left="131"/>
              <w:rPr>
                <w:sz w:val="21"/>
              </w:rPr>
            </w:pPr>
            <w:r>
              <w:rPr>
                <w:sz w:val="21"/>
              </w:rPr>
              <w:t>急性或亚急性重症肝炎</w:t>
            </w:r>
          </w:p>
        </w:tc>
        <w:tc>
          <w:tcPr>
            <w:tcW w:w="6530" w:type="dxa"/>
          </w:tcPr>
          <w:p>
            <w:pPr>
              <w:pStyle w:val="TableParagraph"/>
              <w:spacing w:line="273" w:lineRule="auto"/>
              <w:ind w:left="208" w:right="230"/>
              <w:rPr>
                <w:sz w:val="21"/>
              </w:rPr>
            </w:pPr>
            <w:r>
              <w:rPr>
                <w:sz w:val="21"/>
              </w:rPr>
              <w:t>指因肝炎病毒感染引起肝脏组织弥漫性坏死，导致急性肝功能衰竭且经血清学或病毒学检查证实，并须满足下列全部条件：</w:t>
            </w:r>
          </w:p>
          <w:p>
            <w:pPr>
              <w:pStyle w:val="TableParagraph"/>
              <w:spacing w:before="16"/>
              <w:ind w:left="208"/>
              <w:rPr>
                <w:sz w:val="21"/>
              </w:rPr>
            </w:pPr>
            <w:r>
              <w:rPr>
                <w:sz w:val="21"/>
              </w:rPr>
              <w:t>（</w:t>
            </w:r>
            <w:r>
              <w:rPr>
                <w:rFonts w:ascii="Times New Roman" w:eastAsia="Times New Roman"/>
                <w:sz w:val="21"/>
              </w:rPr>
              <w:t>1</w:t>
            </w:r>
            <w:r>
              <w:rPr>
                <w:sz w:val="21"/>
              </w:rPr>
              <w:t>）重度黄疸或黄疸迅速加重；</w:t>
            </w:r>
          </w:p>
          <w:p>
            <w:pPr>
              <w:pStyle w:val="TableParagraph"/>
              <w:spacing w:before="21"/>
              <w:ind w:left="208"/>
              <w:rPr>
                <w:sz w:val="21"/>
              </w:rPr>
            </w:pPr>
            <w:r>
              <w:rPr>
                <w:sz w:val="21"/>
              </w:rPr>
              <w:t>（</w:t>
            </w:r>
            <w:r>
              <w:rPr>
                <w:rFonts w:ascii="Times New Roman" w:eastAsia="Times New Roman"/>
                <w:sz w:val="21"/>
              </w:rPr>
              <w:t>2</w:t>
            </w:r>
            <w:r>
              <w:rPr>
                <w:sz w:val="21"/>
              </w:rPr>
              <w:t>）肝性脑病；</w:t>
            </w:r>
          </w:p>
          <w:p>
            <w:pPr>
              <w:pStyle w:val="TableParagraph"/>
              <w:spacing w:before="21"/>
              <w:ind w:left="20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08"/>
              <w:rPr>
                <w:sz w:val="21"/>
              </w:rPr>
            </w:pPr>
            <w:r>
              <w:rPr>
                <w:sz w:val="21"/>
              </w:rPr>
              <w:t>（</w:t>
            </w:r>
            <w:r>
              <w:rPr>
                <w:rFonts w:ascii="Times New Roman" w:eastAsia="Times New Roman"/>
                <w:sz w:val="21"/>
              </w:rPr>
              <w:t>4</w:t>
            </w:r>
            <w:r>
              <w:rPr>
                <w:sz w:val="21"/>
              </w:rPr>
              <w:t>）肝功能指标进行性恶化。</w:t>
            </w:r>
          </w:p>
        </w:tc>
      </w:tr>
      <w:tr>
        <w:trPr>
          <w:trHeight w:val="271" w:hRule="atLeast"/>
        </w:trPr>
        <w:tc>
          <w:tcPr>
            <w:tcW w:w="489" w:type="dxa"/>
          </w:tcPr>
          <w:p>
            <w:pPr>
              <w:pStyle w:val="TableParagraph"/>
              <w:spacing w:line="222" w:lineRule="exact" w:before="30"/>
              <w:ind w:left="180" w:right="111"/>
              <w:jc w:val="center"/>
              <w:rPr>
                <w:rFonts w:ascii="Times New Roman"/>
                <w:sz w:val="21"/>
              </w:rPr>
            </w:pPr>
            <w:r>
              <w:rPr>
                <w:rFonts w:ascii="Times New Roman"/>
                <w:sz w:val="21"/>
              </w:rPr>
              <w:t>9.</w:t>
            </w:r>
          </w:p>
        </w:tc>
        <w:tc>
          <w:tcPr>
            <w:tcW w:w="3283" w:type="dxa"/>
          </w:tcPr>
          <w:p>
            <w:pPr>
              <w:pStyle w:val="TableParagraph"/>
              <w:spacing w:line="252" w:lineRule="exact"/>
              <w:ind w:left="131"/>
              <w:rPr>
                <w:sz w:val="21"/>
              </w:rPr>
            </w:pPr>
            <w:r>
              <w:rPr>
                <w:sz w:val="21"/>
              </w:rPr>
              <w:t>良性脑肿瘤</w:t>
            </w:r>
          </w:p>
        </w:tc>
        <w:tc>
          <w:tcPr>
            <w:tcW w:w="6530" w:type="dxa"/>
          </w:tcPr>
          <w:p>
            <w:pPr>
              <w:pStyle w:val="TableParagraph"/>
              <w:spacing w:line="252" w:lineRule="exact"/>
              <w:ind w:left="208"/>
              <w:rPr>
                <w:sz w:val="21"/>
              </w:rPr>
            </w:pPr>
            <w:r>
              <w:rPr>
                <w:sz w:val="21"/>
              </w:rPr>
              <w:t>指脑的良性肿瘤，已经引起颅内压增高，临床表现为视神经乳头水</w:t>
            </w:r>
          </w:p>
        </w:tc>
      </w:tr>
    </w:tbl>
    <w:p>
      <w:pPr>
        <w:pStyle w:val="BodyText"/>
        <w:spacing w:before="5"/>
        <w:rPr>
          <w:sz w:val="20"/>
        </w:rPr>
      </w:pPr>
      <w:r>
        <w:rPr/>
        <w:pict>
          <v:line style="position:absolute;mso-position-horizontal-relative:page;mso-position-vertical-relative:paragraph;z-index:1168;mso-wrap-distance-left:0;mso-wrap-distance-right:0" from="53.880001pt,15.585605pt" to="197.930001pt,15.585605pt" stroked="true" strokeweight=".48004pt" strokecolor="#000000">
            <v:stroke dashstyle="solid"/>
            <w10:wrap type="topAndBottom"/>
          </v:line>
        </w:pict>
      </w:r>
    </w:p>
    <w:p>
      <w:pPr>
        <w:spacing w:line="319" w:lineRule="exact" w:before="0"/>
        <w:ind w:left="3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32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6" w:lineRule="exact" w:before="10"/>
        <w:ind w:left="317" w:right="0" w:firstLine="0"/>
        <w:jc w:val="left"/>
        <w:rPr>
          <w:sz w:val="21"/>
        </w:rPr>
      </w:pPr>
      <w:r>
        <w:rPr>
          <w:rFonts w:ascii="Times New Roman" w:eastAsia="Times New Roman"/>
          <w:position w:val="8"/>
          <w:sz w:val="12"/>
        </w:rPr>
        <w:t>23</w:t>
      </w:r>
      <w:r>
        <w:rPr>
          <w:rFonts w:ascii="Microsoft JhengHei" w:eastAsia="Microsoft JhengHei" w:hint="eastAsia"/>
          <w:b/>
          <w:sz w:val="21"/>
        </w:rPr>
        <w:t>六项基本日常生活活动：</w:t>
      </w:r>
      <w:r>
        <w:rPr>
          <w:sz w:val="21"/>
        </w:rPr>
        <w:t>指食物摄取、大小便始末、穿脱衣服、起居、步行、入浴。</w:t>
      </w:r>
    </w:p>
    <w:p>
      <w:pPr>
        <w:spacing w:after="0" w:line="296" w:lineRule="exact"/>
        <w:jc w:val="left"/>
        <w:rPr>
          <w:sz w:val="21"/>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20"/>
        <w:gridCol w:w="6743"/>
      </w:tblGrid>
      <w:tr>
        <w:trPr>
          <w:trHeight w:val="1817" w:hRule="atLeast"/>
        </w:trPr>
        <w:tc>
          <w:tcPr>
            <w:tcW w:w="542" w:type="dxa"/>
          </w:tcPr>
          <w:p>
            <w:pPr>
              <w:pStyle w:val="TableParagraph"/>
              <w:rPr>
                <w:rFonts w:ascii="Times New Roman"/>
                <w:sz w:val="20"/>
              </w:rPr>
            </w:pPr>
          </w:p>
        </w:tc>
        <w:tc>
          <w:tcPr>
            <w:tcW w:w="3020" w:type="dxa"/>
          </w:tcPr>
          <w:p>
            <w:pPr>
              <w:pStyle w:val="TableParagraph"/>
              <w:rPr>
                <w:rFonts w:ascii="Times New Roman"/>
                <w:sz w:val="20"/>
              </w:rPr>
            </w:pPr>
          </w:p>
        </w:tc>
        <w:tc>
          <w:tcPr>
            <w:tcW w:w="6743" w:type="dxa"/>
          </w:tcPr>
          <w:p>
            <w:pPr>
              <w:pStyle w:val="TableParagraph"/>
              <w:spacing w:line="202" w:lineRule="exact"/>
              <w:ind w:left="418"/>
              <w:rPr>
                <w:sz w:val="21"/>
              </w:rPr>
            </w:pPr>
            <w:r>
              <w:rPr>
                <w:sz w:val="21"/>
              </w:rPr>
              <w:t>肿、精神症状、癫痫及运动感觉障碍等，并危及生命。须由头颅断</w:t>
            </w:r>
          </w:p>
          <w:p>
            <w:pPr>
              <w:pStyle w:val="TableParagraph"/>
              <w:spacing w:line="256" w:lineRule="auto" w:before="37"/>
              <w:ind w:left="418" w:right="306"/>
              <w:rPr>
                <w:sz w:val="21"/>
              </w:rPr>
            </w:pPr>
            <w:r>
              <w:rPr>
                <w:spacing w:val="-12"/>
                <w:w w:val="100"/>
                <w:sz w:val="21"/>
              </w:rPr>
              <w:t>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3"/>
                <w:sz w:val="21"/>
              </w:rPr>
              <w:t>等影像学检查证实，并须满足下列至少一项条件：</w:t>
            </w:r>
          </w:p>
          <w:p>
            <w:pPr>
              <w:pStyle w:val="TableParagraph"/>
              <w:spacing w:before="22"/>
              <w:ind w:left="41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41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418"/>
              <w:rPr>
                <w:b/>
                <w:sz w:val="21"/>
              </w:rPr>
            </w:pPr>
            <w:r>
              <w:rPr>
                <w:b/>
                <w:sz w:val="21"/>
              </w:rPr>
              <w:t>脑垂体瘤、脑囊肿、脑血管性疾病不在保障范围内。</w:t>
            </w:r>
          </w:p>
        </w:tc>
      </w:tr>
      <w:tr>
        <w:trPr>
          <w:trHeight w:val="1872" w:hRule="atLeast"/>
        </w:trPr>
        <w:tc>
          <w:tcPr>
            <w:tcW w:w="542" w:type="dxa"/>
          </w:tcPr>
          <w:p>
            <w:pPr>
              <w:pStyle w:val="TableParagraph"/>
              <w:spacing w:before="29"/>
              <w:ind w:right="77"/>
              <w:jc w:val="right"/>
              <w:rPr>
                <w:rFonts w:ascii="Times New Roman"/>
                <w:sz w:val="21"/>
              </w:rPr>
            </w:pPr>
            <w:r>
              <w:rPr>
                <w:rFonts w:ascii="Times New Roman"/>
                <w:sz w:val="21"/>
              </w:rPr>
              <w:t>10.</w:t>
            </w:r>
          </w:p>
        </w:tc>
        <w:tc>
          <w:tcPr>
            <w:tcW w:w="3020" w:type="dxa"/>
          </w:tcPr>
          <w:p>
            <w:pPr>
              <w:pStyle w:val="TableParagraph"/>
              <w:spacing w:line="257" w:lineRule="exact"/>
              <w:ind w:left="78"/>
              <w:rPr>
                <w:sz w:val="21"/>
              </w:rPr>
            </w:pPr>
            <w:r>
              <w:rPr>
                <w:sz w:val="21"/>
              </w:rPr>
              <w:t>慢性肝功能衰竭失代偿期</w:t>
            </w:r>
          </w:p>
        </w:tc>
        <w:tc>
          <w:tcPr>
            <w:tcW w:w="6743" w:type="dxa"/>
          </w:tcPr>
          <w:p>
            <w:pPr>
              <w:pStyle w:val="TableParagraph"/>
              <w:spacing w:line="257" w:lineRule="exact"/>
              <w:ind w:left="418"/>
              <w:rPr>
                <w:sz w:val="21"/>
              </w:rPr>
            </w:pPr>
            <w:r>
              <w:rPr>
                <w:sz w:val="21"/>
              </w:rPr>
              <w:t>指因慢性肝脏疾病导致肝功能衰竭。须满足下列全部条件：</w:t>
            </w:r>
          </w:p>
          <w:p>
            <w:pPr>
              <w:pStyle w:val="TableParagraph"/>
              <w:spacing w:before="37"/>
              <w:ind w:left="418"/>
              <w:rPr>
                <w:sz w:val="21"/>
              </w:rPr>
            </w:pPr>
            <w:r>
              <w:rPr>
                <w:sz w:val="21"/>
              </w:rPr>
              <w:t>（</w:t>
            </w:r>
            <w:r>
              <w:rPr>
                <w:rFonts w:ascii="Times New Roman" w:eastAsia="Times New Roman"/>
                <w:sz w:val="21"/>
              </w:rPr>
              <w:t>1</w:t>
            </w:r>
            <w:r>
              <w:rPr>
                <w:sz w:val="21"/>
              </w:rPr>
              <w:t>）持续性黄疸；</w:t>
            </w:r>
          </w:p>
          <w:p>
            <w:pPr>
              <w:pStyle w:val="TableParagraph"/>
              <w:spacing w:before="21"/>
              <w:ind w:left="418"/>
              <w:rPr>
                <w:sz w:val="21"/>
              </w:rPr>
            </w:pPr>
            <w:r>
              <w:rPr>
                <w:sz w:val="21"/>
              </w:rPr>
              <w:t>（</w:t>
            </w:r>
            <w:r>
              <w:rPr>
                <w:rFonts w:ascii="Times New Roman" w:eastAsia="Times New Roman"/>
                <w:sz w:val="21"/>
              </w:rPr>
              <w:t>2</w:t>
            </w:r>
            <w:r>
              <w:rPr>
                <w:sz w:val="21"/>
              </w:rPr>
              <w:t>）腹水；</w:t>
            </w:r>
          </w:p>
          <w:p>
            <w:pPr>
              <w:pStyle w:val="TableParagraph"/>
              <w:spacing w:before="21"/>
              <w:ind w:left="418"/>
              <w:rPr>
                <w:sz w:val="21"/>
              </w:rPr>
            </w:pPr>
            <w:r>
              <w:rPr>
                <w:sz w:val="21"/>
              </w:rPr>
              <w:t>（</w:t>
            </w:r>
            <w:r>
              <w:rPr>
                <w:rFonts w:ascii="Times New Roman" w:eastAsia="Times New Roman"/>
                <w:sz w:val="21"/>
              </w:rPr>
              <w:t>3</w:t>
            </w:r>
            <w:r>
              <w:rPr>
                <w:sz w:val="21"/>
              </w:rPr>
              <w:t>）肝性脑病；</w:t>
            </w:r>
          </w:p>
          <w:p>
            <w:pPr>
              <w:pStyle w:val="TableParagraph"/>
              <w:spacing w:line="259" w:lineRule="auto" w:before="21"/>
              <w:ind w:left="418" w:right="117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542" w:type="dxa"/>
          </w:tcPr>
          <w:p>
            <w:pPr>
              <w:pStyle w:val="TableParagraph"/>
              <w:spacing w:before="29"/>
              <w:ind w:right="83"/>
              <w:jc w:val="right"/>
              <w:rPr>
                <w:rFonts w:ascii="Times New Roman"/>
                <w:sz w:val="21"/>
              </w:rPr>
            </w:pPr>
            <w:r>
              <w:rPr>
                <w:rFonts w:ascii="Times New Roman"/>
                <w:sz w:val="21"/>
              </w:rPr>
              <w:t>11.</w:t>
            </w:r>
          </w:p>
        </w:tc>
        <w:tc>
          <w:tcPr>
            <w:tcW w:w="3020" w:type="dxa"/>
          </w:tcPr>
          <w:p>
            <w:pPr>
              <w:pStyle w:val="TableParagraph"/>
              <w:spacing w:line="257" w:lineRule="exact"/>
              <w:ind w:left="78"/>
              <w:rPr>
                <w:sz w:val="21"/>
              </w:rPr>
            </w:pPr>
            <w:r>
              <w:rPr>
                <w:sz w:val="21"/>
              </w:rPr>
              <w:t>脑炎后遗症或脑膜炎后遗症</w:t>
            </w:r>
          </w:p>
        </w:tc>
        <w:tc>
          <w:tcPr>
            <w:tcW w:w="6743" w:type="dxa"/>
          </w:tcPr>
          <w:p>
            <w:pPr>
              <w:pStyle w:val="TableParagraph"/>
              <w:spacing w:line="257" w:lineRule="exact"/>
              <w:ind w:left="418"/>
              <w:rPr>
                <w:sz w:val="21"/>
              </w:rPr>
            </w:pPr>
            <w:r>
              <w:rPr>
                <w:sz w:val="21"/>
              </w:rPr>
              <w:t>指因患脑炎或脑膜炎导致的神经系统永久性的功能障碍。神经系统</w:t>
            </w:r>
          </w:p>
          <w:p>
            <w:pPr>
              <w:pStyle w:val="TableParagraph"/>
              <w:spacing w:line="256" w:lineRule="auto" w:before="37"/>
              <w:ind w:left="418" w:right="168"/>
              <w:rPr>
                <w:sz w:val="21"/>
              </w:rPr>
            </w:pPr>
            <w:r>
              <w:rPr>
                <w:sz w:val="21"/>
              </w:rPr>
              <w:t>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4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18" w:right="200"/>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543" w:hRule="atLeast"/>
        </w:trPr>
        <w:tc>
          <w:tcPr>
            <w:tcW w:w="542" w:type="dxa"/>
          </w:tcPr>
          <w:p>
            <w:pPr>
              <w:pStyle w:val="TableParagraph"/>
              <w:spacing w:before="29"/>
              <w:ind w:right="77"/>
              <w:jc w:val="right"/>
              <w:rPr>
                <w:rFonts w:ascii="Times New Roman"/>
                <w:sz w:val="21"/>
              </w:rPr>
            </w:pPr>
            <w:r>
              <w:rPr>
                <w:rFonts w:ascii="Times New Roman"/>
                <w:sz w:val="21"/>
              </w:rPr>
              <w:t>12.</w:t>
            </w:r>
          </w:p>
        </w:tc>
        <w:tc>
          <w:tcPr>
            <w:tcW w:w="3020" w:type="dxa"/>
          </w:tcPr>
          <w:p>
            <w:pPr>
              <w:pStyle w:val="TableParagraph"/>
              <w:spacing w:line="257" w:lineRule="exact"/>
              <w:ind w:left="78"/>
              <w:rPr>
                <w:sz w:val="21"/>
              </w:rPr>
            </w:pPr>
            <w:r>
              <w:rPr>
                <w:sz w:val="21"/>
              </w:rPr>
              <w:t>深度昏迷</w:t>
            </w:r>
          </w:p>
        </w:tc>
        <w:tc>
          <w:tcPr>
            <w:tcW w:w="6743" w:type="dxa"/>
          </w:tcPr>
          <w:p>
            <w:pPr>
              <w:pStyle w:val="TableParagraph"/>
              <w:spacing w:line="273" w:lineRule="exact"/>
              <w:ind w:left="418"/>
              <w:rPr>
                <w:sz w:val="21"/>
              </w:rPr>
            </w:pPr>
            <w:r>
              <w:rPr>
                <w:sz w:val="21"/>
              </w:rPr>
              <w:t>指因疾病或意外伤害导致意识丧失</w:t>
            </w:r>
            <w:r>
              <w:rPr>
                <w:rFonts w:ascii="Times New Roman" w:eastAsia="Times New Roman"/>
                <w:sz w:val="21"/>
              </w:rPr>
              <w:t>,</w:t>
            </w:r>
            <w:r>
              <w:rPr>
                <w:sz w:val="21"/>
              </w:rPr>
              <w:t>对外界刺激和体内需求均无反</w:t>
            </w:r>
          </w:p>
          <w:p>
            <w:pPr>
              <w:pStyle w:val="TableParagraph"/>
              <w:spacing w:line="256" w:lineRule="auto" w:before="21"/>
              <w:ind w:left="418" w:right="198"/>
              <w:jc w:val="both"/>
              <w:rPr>
                <w:sz w:val="21"/>
              </w:rPr>
            </w:pPr>
            <w:r>
              <w:rPr>
                <w:sz w:val="21"/>
              </w:rPr>
              <w:t>应</w:t>
            </w:r>
            <w:r>
              <w:rPr>
                <w:rFonts w:ascii="Times New Roman" w:eastAsia="Times New Roman"/>
                <w:sz w:val="21"/>
              </w:rPr>
              <w:t>,</w:t>
            </w:r>
            <w:r>
              <w:rPr>
                <w:spacing w:val="-4"/>
                <w:sz w:val="21"/>
              </w:rPr>
              <w:t>昏迷程度按照格拉斯哥昏迷分级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3"/>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13"/>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22"/>
              <w:ind w:left="418"/>
              <w:jc w:val="both"/>
              <w:rPr>
                <w:b/>
                <w:sz w:val="21"/>
              </w:rPr>
            </w:pPr>
            <w:r>
              <w:rPr>
                <w:b/>
                <w:sz w:val="21"/>
              </w:rPr>
              <w:t>因酗酒或药物滥用导致的深度昏迷不在保障范围内。</w:t>
            </w:r>
          </w:p>
        </w:tc>
      </w:tr>
      <w:tr>
        <w:trPr>
          <w:trHeight w:val="1577" w:hRule="atLeast"/>
        </w:trPr>
        <w:tc>
          <w:tcPr>
            <w:tcW w:w="542" w:type="dxa"/>
          </w:tcPr>
          <w:p>
            <w:pPr>
              <w:pStyle w:val="TableParagraph"/>
              <w:spacing w:before="46"/>
              <w:ind w:right="77"/>
              <w:jc w:val="right"/>
              <w:rPr>
                <w:rFonts w:ascii="Times New Roman"/>
                <w:sz w:val="21"/>
              </w:rPr>
            </w:pPr>
            <w:r>
              <w:rPr>
                <w:rFonts w:ascii="Times New Roman"/>
                <w:sz w:val="21"/>
              </w:rPr>
              <w:t>13.</w:t>
            </w:r>
          </w:p>
        </w:tc>
        <w:tc>
          <w:tcPr>
            <w:tcW w:w="3020" w:type="dxa"/>
          </w:tcPr>
          <w:p>
            <w:pPr>
              <w:pStyle w:val="TableParagraph"/>
              <w:spacing w:line="290" w:lineRule="exact"/>
              <w:ind w:left="78"/>
              <w:rPr>
                <w:b/>
                <w:sz w:val="21"/>
              </w:rPr>
            </w:pPr>
            <w:r>
              <w:rPr>
                <w:sz w:val="21"/>
              </w:rPr>
              <w:t>双耳失聪 </w:t>
            </w:r>
            <w:r>
              <w:rPr>
                <w:rFonts w:ascii="Times New Roman" w:eastAsia="Times New Roman"/>
                <w:sz w:val="21"/>
              </w:rPr>
              <w:t>-  </w:t>
            </w:r>
            <w:r>
              <w:rPr>
                <w:b/>
                <w:sz w:val="21"/>
              </w:rPr>
              <w:t>三岁始理赔</w:t>
            </w:r>
          </w:p>
        </w:tc>
        <w:tc>
          <w:tcPr>
            <w:tcW w:w="6743" w:type="dxa"/>
          </w:tcPr>
          <w:p>
            <w:pPr>
              <w:pStyle w:val="TableParagraph"/>
              <w:spacing w:line="290" w:lineRule="exact"/>
              <w:ind w:left="418"/>
              <w:rPr>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418" w:right="200"/>
              <w:rPr>
                <w:sz w:val="21"/>
              </w:rPr>
            </w:pPr>
            <w:r>
              <w:rPr>
                <w:spacing w:val="-5"/>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273" w:lineRule="auto" w:before="22"/>
              <w:ind w:left="418" w:right="201"/>
              <w:rPr>
                <w:sz w:val="21"/>
              </w:rPr>
            </w:pPr>
            <w:r>
              <w:rPr>
                <w:sz w:val="21"/>
              </w:rPr>
              <w:t>被保险人申请理赔时年龄必须在三周岁以上，并且提供理赔当时的听力丧失诊断及检查证据。</w:t>
            </w:r>
          </w:p>
        </w:tc>
      </w:tr>
      <w:tr>
        <w:trPr>
          <w:trHeight w:val="2496" w:hRule="atLeast"/>
        </w:trPr>
        <w:tc>
          <w:tcPr>
            <w:tcW w:w="542" w:type="dxa"/>
          </w:tcPr>
          <w:p>
            <w:pPr>
              <w:pStyle w:val="TableParagraph"/>
              <w:spacing w:before="29"/>
              <w:ind w:right="77"/>
              <w:jc w:val="right"/>
              <w:rPr>
                <w:rFonts w:ascii="Times New Roman"/>
                <w:sz w:val="21"/>
              </w:rPr>
            </w:pPr>
            <w:r>
              <w:rPr>
                <w:rFonts w:ascii="Times New Roman"/>
                <w:sz w:val="21"/>
              </w:rPr>
              <w:t>14.</w:t>
            </w:r>
          </w:p>
        </w:tc>
        <w:tc>
          <w:tcPr>
            <w:tcW w:w="3020" w:type="dxa"/>
          </w:tcPr>
          <w:p>
            <w:pPr>
              <w:pStyle w:val="TableParagraph"/>
              <w:spacing w:line="273" w:lineRule="exact"/>
              <w:ind w:left="78"/>
              <w:rPr>
                <w:b/>
                <w:sz w:val="21"/>
              </w:rPr>
            </w:pPr>
            <w:r>
              <w:rPr>
                <w:sz w:val="21"/>
              </w:rPr>
              <w:t>双目失明 </w:t>
            </w:r>
            <w:r>
              <w:rPr>
                <w:rFonts w:ascii="Times New Roman" w:eastAsia="Times New Roman"/>
                <w:sz w:val="21"/>
              </w:rPr>
              <w:t>-  </w:t>
            </w:r>
            <w:r>
              <w:rPr>
                <w:b/>
                <w:sz w:val="21"/>
              </w:rPr>
              <w:t>三岁始理赔</w:t>
            </w:r>
          </w:p>
        </w:tc>
        <w:tc>
          <w:tcPr>
            <w:tcW w:w="6743" w:type="dxa"/>
          </w:tcPr>
          <w:p>
            <w:pPr>
              <w:pStyle w:val="TableParagraph"/>
              <w:spacing w:line="257" w:lineRule="exact"/>
              <w:ind w:left="418"/>
              <w:rPr>
                <w:sz w:val="21"/>
              </w:rPr>
            </w:pPr>
            <w:r>
              <w:rPr>
                <w:sz w:val="21"/>
              </w:rPr>
              <w:t>指因疾病或意外伤害导致双眼视力永久不可逆性丧失，双眼中较好</w:t>
            </w:r>
          </w:p>
          <w:p>
            <w:pPr>
              <w:pStyle w:val="TableParagraph"/>
              <w:spacing w:before="37"/>
              <w:ind w:left="418"/>
              <w:rPr>
                <w:sz w:val="21"/>
              </w:rPr>
            </w:pPr>
            <w:r>
              <w:rPr>
                <w:sz w:val="21"/>
              </w:rPr>
              <w:t>眼须满足下列至少一项条件：</w:t>
            </w:r>
          </w:p>
          <w:p>
            <w:pPr>
              <w:pStyle w:val="TableParagraph"/>
              <w:spacing w:before="37"/>
              <w:ind w:left="418"/>
              <w:rPr>
                <w:sz w:val="21"/>
              </w:rPr>
            </w:pPr>
            <w:r>
              <w:rPr>
                <w:sz w:val="21"/>
              </w:rPr>
              <w:t>（</w:t>
            </w:r>
            <w:r>
              <w:rPr>
                <w:rFonts w:ascii="Times New Roman" w:eastAsia="Times New Roman"/>
                <w:sz w:val="21"/>
              </w:rPr>
              <w:t>1</w:t>
            </w:r>
            <w:r>
              <w:rPr>
                <w:sz w:val="21"/>
              </w:rPr>
              <w:t>）眼球缺失或摘除；</w:t>
            </w:r>
          </w:p>
          <w:p>
            <w:pPr>
              <w:pStyle w:val="TableParagraph"/>
              <w:spacing w:line="259" w:lineRule="auto" w:before="21"/>
              <w:ind w:left="418" w:right="198"/>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0"/>
              <w:ind w:left="41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left="418" w:right="201"/>
              <w:rPr>
                <w:sz w:val="21"/>
              </w:rPr>
            </w:pPr>
            <w:r>
              <w:rPr>
                <w:sz w:val="21"/>
              </w:rPr>
              <w:t>被保险人申请理赔时年龄必须在三周岁以上，并且提供理赔当时的视力丧失诊断及检查证据。</w:t>
            </w:r>
          </w:p>
        </w:tc>
      </w:tr>
      <w:tr>
        <w:trPr>
          <w:trHeight w:val="1202" w:hRule="atLeast"/>
        </w:trPr>
        <w:tc>
          <w:tcPr>
            <w:tcW w:w="542" w:type="dxa"/>
          </w:tcPr>
          <w:p>
            <w:pPr>
              <w:pStyle w:val="TableParagraph"/>
              <w:spacing w:before="29"/>
              <w:ind w:right="77"/>
              <w:jc w:val="right"/>
              <w:rPr>
                <w:rFonts w:ascii="Times New Roman"/>
                <w:sz w:val="21"/>
              </w:rPr>
            </w:pPr>
            <w:r>
              <w:rPr>
                <w:rFonts w:ascii="Times New Roman"/>
                <w:sz w:val="21"/>
              </w:rPr>
              <w:t>15.</w:t>
            </w:r>
          </w:p>
        </w:tc>
        <w:tc>
          <w:tcPr>
            <w:tcW w:w="3020" w:type="dxa"/>
          </w:tcPr>
          <w:p>
            <w:pPr>
              <w:pStyle w:val="TableParagraph"/>
              <w:spacing w:line="257" w:lineRule="exact"/>
              <w:ind w:left="78"/>
              <w:rPr>
                <w:sz w:val="21"/>
              </w:rPr>
            </w:pPr>
            <w:r>
              <w:rPr>
                <w:sz w:val="21"/>
              </w:rPr>
              <w:t>瘫痪</w:t>
            </w:r>
          </w:p>
        </w:tc>
        <w:tc>
          <w:tcPr>
            <w:tcW w:w="6743" w:type="dxa"/>
          </w:tcPr>
          <w:p>
            <w:pPr>
              <w:pStyle w:val="TableParagraph"/>
              <w:spacing w:line="257" w:lineRule="exact"/>
              <w:ind w:left="418"/>
              <w:rPr>
                <w:sz w:val="21"/>
              </w:rPr>
            </w:pPr>
            <w:r>
              <w:rPr>
                <w:sz w:val="21"/>
              </w:rPr>
              <w:t>指因疾病或意外伤害导致两肢或两肢以上肢体机能永久完全丧失。</w:t>
            </w:r>
          </w:p>
          <w:p>
            <w:pPr>
              <w:pStyle w:val="TableParagraph"/>
              <w:spacing w:line="312" w:lineRule="exact" w:before="33"/>
              <w:ind w:left="418" w:right="198"/>
              <w:jc w:val="both"/>
              <w:rPr>
                <w:sz w:val="21"/>
              </w:rPr>
            </w:pP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bl>
    <w:p>
      <w:pPr>
        <w:pStyle w:val="BodyText"/>
        <w:spacing w:before="1"/>
        <w:rPr>
          <w:sz w:val="29"/>
        </w:rPr>
      </w:pPr>
      <w:r>
        <w:rPr/>
        <w:pict>
          <v:line style="position:absolute;mso-position-horizontal-relative:page;mso-position-vertical-relative:paragraph;z-index:1192;mso-wrap-distance-left:0;mso-wrap-distance-right:0" from="53.880001pt,21.23601pt" to="197.930001pt,21.23601pt" stroked="true" strokeweight=".47998pt" strokecolor="#000000">
            <v:stroke dashstyle="solid"/>
            <w10:wrap type="topAndBottom"/>
          </v:line>
        </w:pict>
      </w:r>
    </w:p>
    <w:p>
      <w:pPr>
        <w:pStyle w:val="BodyText"/>
        <w:spacing w:line="218" w:lineRule="auto" w:before="1"/>
        <w:ind w:left="317" w:right="342"/>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31" w:top="144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55"/>
        <w:gridCol w:w="6705"/>
      </w:tblGrid>
      <w:tr>
        <w:trPr>
          <w:trHeight w:val="578" w:hRule="atLeast"/>
        </w:trPr>
        <w:tc>
          <w:tcPr>
            <w:tcW w:w="542" w:type="dxa"/>
          </w:tcPr>
          <w:p>
            <w:pPr>
              <w:pStyle w:val="TableParagraph"/>
              <w:spacing w:line="234" w:lineRule="exact"/>
              <w:ind w:right="77"/>
              <w:jc w:val="right"/>
              <w:rPr>
                <w:rFonts w:ascii="Times New Roman"/>
                <w:sz w:val="21"/>
              </w:rPr>
            </w:pPr>
            <w:r>
              <w:rPr>
                <w:rFonts w:ascii="Times New Roman"/>
                <w:sz w:val="21"/>
              </w:rPr>
              <w:t>16.</w:t>
            </w:r>
          </w:p>
        </w:tc>
        <w:tc>
          <w:tcPr>
            <w:tcW w:w="3055" w:type="dxa"/>
          </w:tcPr>
          <w:p>
            <w:pPr>
              <w:pStyle w:val="TableParagraph"/>
              <w:spacing w:line="220" w:lineRule="exact"/>
              <w:ind w:left="78"/>
              <w:rPr>
                <w:sz w:val="21"/>
              </w:rPr>
            </w:pPr>
            <w:r>
              <w:rPr>
                <w:sz w:val="21"/>
              </w:rPr>
              <w:t>心脏瓣膜手术</w:t>
            </w:r>
          </w:p>
        </w:tc>
        <w:tc>
          <w:tcPr>
            <w:tcW w:w="6705" w:type="dxa"/>
          </w:tcPr>
          <w:p>
            <w:pPr>
              <w:pStyle w:val="TableParagraph"/>
              <w:spacing w:line="220" w:lineRule="exact"/>
              <w:ind w:left="383"/>
              <w:rPr>
                <w:sz w:val="21"/>
              </w:rPr>
            </w:pPr>
            <w:r>
              <w:rPr>
                <w:sz w:val="21"/>
              </w:rPr>
              <w:t>指为治疗心脏瓣膜疾病，实际实施了开胸进行的心脏瓣膜置换或修</w:t>
            </w:r>
          </w:p>
          <w:p>
            <w:pPr>
              <w:pStyle w:val="TableParagraph"/>
              <w:spacing w:before="37"/>
              <w:ind w:left="383"/>
              <w:rPr>
                <w:sz w:val="21"/>
              </w:rPr>
            </w:pPr>
            <w:r>
              <w:rPr>
                <w:sz w:val="21"/>
              </w:rPr>
              <w:t>复的手术。</w:t>
            </w:r>
          </w:p>
        </w:tc>
      </w:tr>
      <w:tr>
        <w:trPr>
          <w:trHeight w:val="2184" w:hRule="atLeast"/>
        </w:trPr>
        <w:tc>
          <w:tcPr>
            <w:tcW w:w="542" w:type="dxa"/>
          </w:tcPr>
          <w:p>
            <w:pPr>
              <w:pStyle w:val="TableParagraph"/>
              <w:spacing w:before="38"/>
              <w:ind w:right="77"/>
              <w:jc w:val="right"/>
              <w:rPr>
                <w:rFonts w:ascii="Times New Roman"/>
                <w:sz w:val="21"/>
              </w:rPr>
            </w:pPr>
            <w:r>
              <w:rPr>
                <w:rFonts w:ascii="Times New Roman"/>
                <w:sz w:val="21"/>
              </w:rPr>
              <w:t>17.</w:t>
            </w:r>
          </w:p>
        </w:tc>
        <w:tc>
          <w:tcPr>
            <w:tcW w:w="3055" w:type="dxa"/>
          </w:tcPr>
          <w:p>
            <w:pPr>
              <w:pStyle w:val="TableParagraph"/>
              <w:spacing w:line="266" w:lineRule="exact"/>
              <w:ind w:left="78"/>
              <w:rPr>
                <w:sz w:val="21"/>
              </w:rPr>
            </w:pPr>
            <w:r>
              <w:rPr>
                <w:sz w:val="21"/>
              </w:rPr>
              <w:t>严重阿尔茨海默病</w:t>
            </w:r>
          </w:p>
        </w:tc>
        <w:tc>
          <w:tcPr>
            <w:tcW w:w="6705" w:type="dxa"/>
          </w:tcPr>
          <w:p>
            <w:pPr>
              <w:pStyle w:val="TableParagraph"/>
              <w:spacing w:line="273" w:lineRule="auto"/>
              <w:ind w:left="383" w:right="198"/>
              <w:jc w:val="both"/>
              <w:rPr>
                <w:sz w:val="21"/>
              </w:rPr>
            </w:pPr>
            <w:r>
              <w:rPr>
                <w:spacing w:val="-2"/>
                <w:sz w:val="21"/>
              </w:rPr>
              <w:t>指因大脑进行性、不可逆性改变导致智能严重衰退或丧失，临床表</w:t>
            </w:r>
            <w:r>
              <w:rPr>
                <w:spacing w:val="-3"/>
                <w:sz w:val="21"/>
              </w:rPr>
              <w:t>现为明显的认知能力障碍、行为异常和社交能力减退，其日常生活</w:t>
            </w:r>
            <w:r>
              <w:rPr>
                <w:w w:val="100"/>
                <w:sz w:val="21"/>
              </w:rPr>
              <w:t>必须持续受到他人监护。须由头颅断层扫描</w:t>
            </w:r>
            <w:r>
              <w:rPr>
                <w:spacing w:val="5"/>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p>
          <w:p>
            <w:pPr>
              <w:pStyle w:val="TableParagraph"/>
              <w:spacing w:line="264" w:lineRule="auto"/>
              <w:ind w:left="383" w:right="198"/>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18"/>
              <w:ind w:left="383"/>
              <w:jc w:val="both"/>
              <w:rPr>
                <w:b/>
                <w:sz w:val="21"/>
              </w:rPr>
            </w:pPr>
            <w:r>
              <w:rPr>
                <w:b/>
                <w:sz w:val="21"/>
              </w:rPr>
              <w:t>神经官能症和精神疾病不在保障范围内。</w:t>
            </w:r>
          </w:p>
        </w:tc>
      </w:tr>
      <w:tr>
        <w:trPr>
          <w:trHeight w:val="2808" w:hRule="atLeast"/>
        </w:trPr>
        <w:tc>
          <w:tcPr>
            <w:tcW w:w="542" w:type="dxa"/>
          </w:tcPr>
          <w:p>
            <w:pPr>
              <w:pStyle w:val="TableParagraph"/>
              <w:spacing w:before="38"/>
              <w:ind w:right="77"/>
              <w:jc w:val="right"/>
              <w:rPr>
                <w:rFonts w:ascii="Times New Roman"/>
                <w:sz w:val="21"/>
              </w:rPr>
            </w:pPr>
            <w:r>
              <w:rPr>
                <w:rFonts w:ascii="Times New Roman"/>
                <w:sz w:val="21"/>
              </w:rPr>
              <w:t>18.</w:t>
            </w:r>
          </w:p>
        </w:tc>
        <w:tc>
          <w:tcPr>
            <w:tcW w:w="3055" w:type="dxa"/>
          </w:tcPr>
          <w:p>
            <w:pPr>
              <w:pStyle w:val="TableParagraph"/>
              <w:spacing w:line="266" w:lineRule="exact"/>
              <w:ind w:left="78"/>
              <w:rPr>
                <w:sz w:val="21"/>
              </w:rPr>
            </w:pPr>
            <w:r>
              <w:rPr>
                <w:sz w:val="21"/>
              </w:rPr>
              <w:t>严重脑损伤</w:t>
            </w:r>
          </w:p>
        </w:tc>
        <w:tc>
          <w:tcPr>
            <w:tcW w:w="6705" w:type="dxa"/>
          </w:tcPr>
          <w:p>
            <w:pPr>
              <w:pStyle w:val="TableParagraph"/>
              <w:spacing w:line="261" w:lineRule="auto"/>
              <w:ind w:left="383" w:right="198"/>
              <w:rPr>
                <w:sz w:val="21"/>
              </w:rPr>
            </w:pPr>
            <w:r>
              <w:rPr>
                <w:spacing w:val="-2"/>
                <w:sz w:val="21"/>
              </w:rPr>
              <w:t>指因头部遭受机械性外力，引起脑重要部位损伤，导致神经系统永</w:t>
            </w:r>
            <w:r>
              <w:rPr>
                <w:spacing w:val="-4"/>
                <w:w w:val="100"/>
                <w:sz w:val="21"/>
              </w:rPr>
              <w:t>久性的功能障碍。须由头颅断层扫描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r>
              <w:rPr>
                <w:spacing w:val="-9"/>
                <w:sz w:val="21"/>
              </w:rPr>
              <w:t>性的功能障碍，指脑损伤 </w:t>
            </w:r>
            <w:r>
              <w:rPr>
                <w:rFonts w:ascii="Times New Roman" w:eastAsia="Times New Roman"/>
                <w:sz w:val="21"/>
              </w:rPr>
              <w:t>180 </w:t>
            </w:r>
            <w:r>
              <w:rPr>
                <w:spacing w:val="-5"/>
                <w:sz w:val="21"/>
              </w:rPr>
              <w:t>天后，仍遗留下列一种或一种以上障碍：</w:t>
            </w:r>
          </w:p>
          <w:p>
            <w:pPr>
              <w:pStyle w:val="TableParagraph"/>
              <w:spacing w:before="27"/>
              <w:ind w:left="38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83"/>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383" w:right="198"/>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19.</w:t>
            </w:r>
          </w:p>
        </w:tc>
        <w:tc>
          <w:tcPr>
            <w:tcW w:w="3055" w:type="dxa"/>
          </w:tcPr>
          <w:p>
            <w:pPr>
              <w:pStyle w:val="TableParagraph"/>
              <w:spacing w:line="266" w:lineRule="exact"/>
              <w:ind w:left="78"/>
              <w:rPr>
                <w:sz w:val="21"/>
              </w:rPr>
            </w:pPr>
            <w:r>
              <w:rPr>
                <w:sz w:val="21"/>
              </w:rPr>
              <w:t>严重帕金森病</w:t>
            </w:r>
          </w:p>
        </w:tc>
        <w:tc>
          <w:tcPr>
            <w:tcW w:w="6705" w:type="dxa"/>
          </w:tcPr>
          <w:p>
            <w:pPr>
              <w:pStyle w:val="TableParagraph"/>
              <w:spacing w:line="273" w:lineRule="auto"/>
              <w:ind w:left="383" w:right="198"/>
              <w:rPr>
                <w:sz w:val="21"/>
              </w:rPr>
            </w:pPr>
            <w:r>
              <w:rPr>
                <w:sz w:val="21"/>
              </w:rPr>
              <w:t>是一种中枢神经系统的退行性疾病，临床表现为震颤麻痹、共济失调等。须满足下列全部条件：</w:t>
            </w:r>
          </w:p>
          <w:p>
            <w:pPr>
              <w:pStyle w:val="TableParagraph"/>
              <w:spacing w:before="16"/>
              <w:ind w:left="38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383" w:right="198"/>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w:t>
            </w:r>
            <w:r>
              <w:rPr>
                <w:spacing w:val="-5"/>
                <w:sz w:val="21"/>
              </w:rPr>
              <w:t>中的三项或三项以上。</w:t>
            </w:r>
          </w:p>
          <w:p>
            <w:pPr>
              <w:pStyle w:val="TableParagraph"/>
              <w:spacing w:before="22"/>
              <w:ind w:left="383"/>
              <w:rPr>
                <w:b/>
                <w:sz w:val="21"/>
              </w:rPr>
            </w:pPr>
            <w:r>
              <w:rPr>
                <w:b/>
                <w:sz w:val="21"/>
              </w:rPr>
              <w:t>继发性帕金森综合征不在保障范围内。</w:t>
            </w:r>
          </w:p>
        </w:tc>
      </w:tr>
      <w:tr>
        <w:trPr>
          <w:trHeight w:val="631" w:hRule="atLeast"/>
        </w:trPr>
        <w:tc>
          <w:tcPr>
            <w:tcW w:w="542" w:type="dxa"/>
          </w:tcPr>
          <w:p>
            <w:pPr>
              <w:pStyle w:val="TableParagraph"/>
              <w:spacing w:before="38"/>
              <w:ind w:right="77"/>
              <w:jc w:val="right"/>
              <w:rPr>
                <w:rFonts w:ascii="Times New Roman"/>
                <w:sz w:val="21"/>
              </w:rPr>
            </w:pPr>
            <w:r>
              <w:rPr>
                <w:rFonts w:ascii="Times New Roman"/>
                <w:sz w:val="21"/>
              </w:rPr>
              <w:t>20.</w:t>
            </w:r>
          </w:p>
        </w:tc>
        <w:tc>
          <w:tcPr>
            <w:tcW w:w="3055" w:type="dxa"/>
          </w:tcPr>
          <w:p>
            <w:pPr>
              <w:pStyle w:val="TableParagraph"/>
              <w:spacing w:line="266" w:lineRule="exact"/>
              <w:ind w:left="78"/>
              <w:rPr>
                <w:sz w:val="21"/>
              </w:rPr>
            </w:pPr>
            <w:r>
              <w:rPr>
                <w:sz w:val="21"/>
              </w:rPr>
              <w:t>严重Ⅲ度烧伤</w:t>
            </w:r>
          </w:p>
        </w:tc>
        <w:tc>
          <w:tcPr>
            <w:tcW w:w="6705" w:type="dxa"/>
          </w:tcPr>
          <w:p>
            <w:pPr>
              <w:pStyle w:val="TableParagraph"/>
              <w:spacing w:line="282" w:lineRule="exact"/>
              <w:ind w:left="383"/>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383"/>
              <w:rPr>
                <w:sz w:val="21"/>
              </w:rPr>
            </w:pPr>
            <w:r>
              <w:rPr>
                <w:rFonts w:ascii="Times New Roman" w:eastAsia="Times New Roman"/>
                <w:sz w:val="21"/>
              </w:rPr>
              <w:t>20</w:t>
            </w:r>
            <w:r>
              <w:rPr>
                <w:sz w:val="21"/>
              </w:rPr>
              <w:t>％以上。体表面积根据《中国新九分法》计算。</w:t>
            </w:r>
          </w:p>
        </w:tc>
      </w:tr>
      <w:tr>
        <w:trPr>
          <w:trHeight w:val="1248" w:hRule="atLeast"/>
        </w:trPr>
        <w:tc>
          <w:tcPr>
            <w:tcW w:w="542" w:type="dxa"/>
          </w:tcPr>
          <w:p>
            <w:pPr>
              <w:pStyle w:val="TableParagraph"/>
              <w:spacing w:before="30"/>
              <w:ind w:right="77"/>
              <w:jc w:val="right"/>
              <w:rPr>
                <w:rFonts w:ascii="Times New Roman"/>
                <w:sz w:val="21"/>
              </w:rPr>
            </w:pPr>
            <w:r>
              <w:rPr>
                <w:rFonts w:ascii="Times New Roman"/>
                <w:sz w:val="21"/>
              </w:rPr>
              <w:t>21.</w:t>
            </w:r>
          </w:p>
        </w:tc>
        <w:tc>
          <w:tcPr>
            <w:tcW w:w="3055" w:type="dxa"/>
          </w:tcPr>
          <w:p>
            <w:pPr>
              <w:pStyle w:val="TableParagraph"/>
              <w:spacing w:line="258" w:lineRule="exact"/>
              <w:ind w:left="78"/>
              <w:rPr>
                <w:sz w:val="21"/>
              </w:rPr>
            </w:pPr>
            <w:r>
              <w:rPr>
                <w:sz w:val="21"/>
              </w:rPr>
              <w:t>严重原发性肺动脉高压</w:t>
            </w:r>
          </w:p>
        </w:tc>
        <w:tc>
          <w:tcPr>
            <w:tcW w:w="6705" w:type="dxa"/>
          </w:tcPr>
          <w:p>
            <w:pPr>
              <w:pStyle w:val="TableParagraph"/>
              <w:spacing w:line="258" w:lineRule="exact"/>
              <w:ind w:left="383"/>
              <w:rPr>
                <w:sz w:val="21"/>
              </w:rPr>
            </w:pPr>
            <w:r>
              <w:rPr>
                <w:sz w:val="21"/>
              </w:rPr>
              <w:t>指不明原因的肺动脉压力持续性增高，进行性发展而导致的慢性疾</w:t>
            </w:r>
          </w:p>
          <w:p>
            <w:pPr>
              <w:pStyle w:val="TableParagraph"/>
              <w:spacing w:line="273" w:lineRule="auto" w:before="37"/>
              <w:ind w:left="383" w:right="196"/>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79" w:lineRule="exact"/>
              <w:ind w:left="383"/>
              <w:rPr>
                <w:sz w:val="21"/>
              </w:rPr>
            </w:pPr>
            <w:r>
              <w:rPr>
                <w:rFonts w:ascii="Times New Roman" w:eastAsia="Times New Roman"/>
                <w:sz w:val="21"/>
              </w:rPr>
              <w:t>30mmHg</w:t>
            </w:r>
            <w:r>
              <w:rPr>
                <w:sz w:val="21"/>
              </w:rPr>
              <w:t>。</w:t>
            </w:r>
          </w:p>
        </w:tc>
      </w:tr>
      <w:tr>
        <w:trPr>
          <w:trHeight w:val="1240" w:hRule="atLeast"/>
        </w:trPr>
        <w:tc>
          <w:tcPr>
            <w:tcW w:w="542" w:type="dxa"/>
          </w:tcPr>
          <w:p>
            <w:pPr>
              <w:pStyle w:val="TableParagraph"/>
              <w:spacing w:before="30"/>
              <w:ind w:right="77"/>
              <w:jc w:val="right"/>
              <w:rPr>
                <w:rFonts w:ascii="Times New Roman"/>
                <w:sz w:val="21"/>
              </w:rPr>
            </w:pPr>
            <w:r>
              <w:rPr>
                <w:rFonts w:ascii="Times New Roman"/>
                <w:sz w:val="21"/>
              </w:rPr>
              <w:t>22.</w:t>
            </w:r>
          </w:p>
        </w:tc>
        <w:tc>
          <w:tcPr>
            <w:tcW w:w="3055" w:type="dxa"/>
          </w:tcPr>
          <w:p>
            <w:pPr>
              <w:pStyle w:val="TableParagraph"/>
              <w:spacing w:line="258" w:lineRule="exact"/>
              <w:ind w:left="78"/>
              <w:rPr>
                <w:sz w:val="21"/>
              </w:rPr>
            </w:pPr>
            <w:r>
              <w:rPr>
                <w:sz w:val="21"/>
              </w:rPr>
              <w:t>严重运动神经元病</w:t>
            </w:r>
          </w:p>
        </w:tc>
        <w:tc>
          <w:tcPr>
            <w:tcW w:w="6705" w:type="dxa"/>
          </w:tcPr>
          <w:p>
            <w:pPr>
              <w:pStyle w:val="TableParagraph"/>
              <w:spacing w:line="258" w:lineRule="exact"/>
              <w:ind w:left="383"/>
              <w:rPr>
                <w:sz w:val="21"/>
              </w:rPr>
            </w:pPr>
            <w:r>
              <w:rPr>
                <w:sz w:val="21"/>
              </w:rPr>
              <w:t>是一组中枢神经系统运动神经元的进行性变性疾病，包括进行性脊</w:t>
            </w:r>
          </w:p>
          <w:p>
            <w:pPr>
              <w:pStyle w:val="TableParagraph"/>
              <w:spacing w:line="273" w:lineRule="auto" w:before="37"/>
              <w:ind w:left="383" w:right="198"/>
              <w:rPr>
                <w:sz w:val="21"/>
              </w:rPr>
            </w:pPr>
            <w:r>
              <w:rPr>
                <w:sz w:val="21"/>
              </w:rPr>
              <w:t>肌萎缩症、进行性延髓麻痹症、原发性侧索硬化症、肌萎缩性侧索硬化症。须满足自主生活能力完全丧失，无法独立完成六项基本日</w:t>
            </w:r>
          </w:p>
          <w:p>
            <w:pPr>
              <w:pStyle w:val="TableParagraph"/>
              <w:spacing w:before="8"/>
              <w:ind w:left="383"/>
              <w:rPr>
                <w:sz w:val="21"/>
              </w:rPr>
            </w:pPr>
            <w:r>
              <w:rPr>
                <w:sz w:val="21"/>
              </w:rPr>
              <w:t>常生活活动中的三项或三项以上的条件。</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23.</w:t>
            </w:r>
          </w:p>
        </w:tc>
        <w:tc>
          <w:tcPr>
            <w:tcW w:w="3055" w:type="dxa"/>
          </w:tcPr>
          <w:p>
            <w:pPr>
              <w:pStyle w:val="TableParagraph"/>
              <w:spacing w:line="282" w:lineRule="exact"/>
              <w:ind w:left="78"/>
              <w:rPr>
                <w:b/>
                <w:sz w:val="21"/>
              </w:rPr>
            </w:pPr>
            <w:r>
              <w:rPr>
                <w:sz w:val="21"/>
              </w:rPr>
              <w:t>语言能力丧失 </w:t>
            </w:r>
            <w:r>
              <w:rPr>
                <w:rFonts w:ascii="Times New Roman" w:eastAsia="Times New Roman"/>
                <w:sz w:val="21"/>
              </w:rPr>
              <w:t>-  </w:t>
            </w:r>
            <w:r>
              <w:rPr>
                <w:b/>
                <w:sz w:val="21"/>
              </w:rPr>
              <w:t>三岁始理赔</w:t>
            </w:r>
          </w:p>
        </w:tc>
        <w:tc>
          <w:tcPr>
            <w:tcW w:w="6705" w:type="dxa"/>
          </w:tcPr>
          <w:p>
            <w:pPr>
              <w:pStyle w:val="TableParagraph"/>
              <w:spacing w:line="264" w:lineRule="auto"/>
              <w:ind w:left="383" w:right="198"/>
              <w:jc w:val="both"/>
              <w:rPr>
                <w:sz w:val="21"/>
              </w:rPr>
            </w:pPr>
            <w:r>
              <w:rPr>
                <w:spacing w:val="-6"/>
                <w:sz w:val="21"/>
              </w:rPr>
              <w:t>指因疾病或意外伤害导致完全丧失语言能力，经过积极治疗至少 </w:t>
            </w:r>
            <w:r>
              <w:rPr>
                <w:rFonts w:ascii="Times New Roman" w:eastAsia="Times New Roman"/>
                <w:spacing w:val="-3"/>
                <w:sz w:val="21"/>
              </w:rPr>
              <w:t>12 </w:t>
            </w:r>
            <w:r>
              <w:rPr>
                <w:spacing w:val="-21"/>
                <w:sz w:val="21"/>
              </w:rPr>
              <w:t>个月</w:t>
            </w:r>
            <w:r>
              <w:rPr>
                <w:sz w:val="21"/>
              </w:rPr>
              <w:t>（</w:t>
            </w:r>
            <w:r>
              <w:rPr>
                <w:spacing w:val="-3"/>
                <w:sz w:val="21"/>
              </w:rPr>
              <w:t>声带完全切除不受此时间限制</w:t>
            </w:r>
            <w:r>
              <w:rPr>
                <w:spacing w:val="-74"/>
                <w:sz w:val="21"/>
              </w:rPr>
              <w:t>）</w:t>
            </w:r>
            <w:r>
              <w:rPr>
                <w:spacing w:val="-10"/>
                <w:sz w:val="21"/>
              </w:rPr>
              <w:t>，仍无法通过现有医疗手段恢复。</w:t>
            </w:r>
          </w:p>
          <w:p>
            <w:pPr>
              <w:pStyle w:val="TableParagraph"/>
              <w:spacing w:before="25"/>
              <w:ind w:left="383"/>
              <w:rPr>
                <w:b/>
                <w:sz w:val="21"/>
              </w:rPr>
            </w:pPr>
            <w:r>
              <w:rPr>
                <w:b/>
                <w:sz w:val="21"/>
              </w:rPr>
              <w:t>精神心理因素所致的语言能力丧失不在保障范围内。</w:t>
            </w:r>
          </w:p>
          <w:p>
            <w:pPr>
              <w:pStyle w:val="TableParagraph"/>
              <w:spacing w:line="310" w:lineRule="atLeast" w:before="2"/>
              <w:ind w:left="383" w:right="198"/>
              <w:jc w:val="both"/>
              <w:rPr>
                <w:sz w:val="21"/>
              </w:rPr>
            </w:pPr>
            <w:r>
              <w:rPr>
                <w:sz w:val="21"/>
              </w:rPr>
              <w:t>被保险人申请理赔时年龄必须在三周岁以上，并且提供理赔当时的语言能力丧失诊断及检查证据。</w:t>
            </w:r>
          </w:p>
        </w:tc>
      </w:tr>
      <w:tr>
        <w:trPr>
          <w:trHeight w:val="1218" w:hRule="atLeast"/>
        </w:trPr>
        <w:tc>
          <w:tcPr>
            <w:tcW w:w="542" w:type="dxa"/>
          </w:tcPr>
          <w:p>
            <w:pPr>
              <w:pStyle w:val="TableParagraph"/>
              <w:spacing w:before="38"/>
              <w:ind w:right="77"/>
              <w:jc w:val="right"/>
              <w:rPr>
                <w:rFonts w:ascii="Times New Roman"/>
                <w:sz w:val="21"/>
              </w:rPr>
            </w:pPr>
            <w:r>
              <w:rPr>
                <w:rFonts w:ascii="Times New Roman"/>
                <w:sz w:val="21"/>
              </w:rPr>
              <w:t>24.</w:t>
            </w:r>
          </w:p>
        </w:tc>
        <w:tc>
          <w:tcPr>
            <w:tcW w:w="3055" w:type="dxa"/>
          </w:tcPr>
          <w:p>
            <w:pPr>
              <w:pStyle w:val="TableParagraph"/>
              <w:spacing w:line="266" w:lineRule="exact"/>
              <w:ind w:left="78"/>
              <w:rPr>
                <w:sz w:val="21"/>
              </w:rPr>
            </w:pPr>
            <w:r>
              <w:rPr>
                <w:sz w:val="21"/>
              </w:rPr>
              <w:t>重型再生障碍性贫血</w:t>
            </w:r>
          </w:p>
        </w:tc>
        <w:tc>
          <w:tcPr>
            <w:tcW w:w="6705" w:type="dxa"/>
          </w:tcPr>
          <w:p>
            <w:pPr>
              <w:pStyle w:val="TableParagraph"/>
              <w:spacing w:line="273" w:lineRule="auto"/>
              <w:ind w:left="383" w:right="198"/>
              <w:rPr>
                <w:sz w:val="21"/>
              </w:rPr>
            </w:pPr>
            <w:r>
              <w:rPr>
                <w:sz w:val="21"/>
              </w:rPr>
              <w:t>指因骨髓造血功能慢性持续性衰竭导致的贫血、中性粒细胞减少及血小板减少。须满足下列全部条件：</w:t>
            </w:r>
          </w:p>
          <w:p>
            <w:pPr>
              <w:pStyle w:val="TableParagraph"/>
              <w:spacing w:before="16"/>
              <w:ind w:left="383"/>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before="20"/>
              <w:ind w:left="383"/>
              <w:rPr>
                <w:sz w:val="21"/>
              </w:rPr>
            </w:pPr>
            <w:r>
              <w:rPr>
                <w:sz w:val="21"/>
              </w:rPr>
              <w:t>（</w:t>
            </w:r>
            <w:r>
              <w:rPr>
                <w:rFonts w:ascii="Times New Roman" w:eastAsia="Times New Roman"/>
                <w:sz w:val="21"/>
              </w:rPr>
              <w:t>2</w:t>
            </w:r>
            <w:r>
              <w:rPr>
                <w:sz w:val="21"/>
              </w:rPr>
              <w:t>）外周血象须具备以下三项条件：</w:t>
            </w:r>
          </w:p>
        </w:tc>
      </w:tr>
    </w:tbl>
    <w:p>
      <w:pPr>
        <w:spacing w:after="0" w:line="271" w:lineRule="exact"/>
        <w:rPr>
          <w:sz w:val="21"/>
        </w:rPr>
        <w:sectPr>
          <w:pgSz w:w="11910" w:h="16160"/>
          <w:pgMar w:header="0" w:footer="631" w:top="1420" w:bottom="820" w:left="760" w:right="620"/>
        </w:sectPr>
      </w:pPr>
    </w:p>
    <w:p>
      <w:pPr>
        <w:pStyle w:val="BodyText"/>
        <w:spacing w:before="67"/>
        <w:ind w:left="4424"/>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4424"/>
      </w:pPr>
      <w:r>
        <w:rPr/>
        <w:t>② 网织红细胞＜</w:t>
      </w:r>
      <w:r>
        <w:rPr>
          <w:rFonts w:ascii="Times New Roman" w:hAnsi="Times New Roman" w:eastAsia="Times New Roman"/>
        </w:rPr>
        <w:t>1%</w:t>
      </w:r>
      <w:r>
        <w:rPr/>
        <w:t>；</w:t>
      </w:r>
    </w:p>
    <w:p>
      <w:pPr>
        <w:pStyle w:val="BodyText"/>
        <w:spacing w:before="21"/>
        <w:ind w:left="4424"/>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5"/>
        </w:numPr>
        <w:tabs>
          <w:tab w:pos="539" w:val="left" w:leader="none"/>
          <w:tab w:pos="3898" w:val="left" w:leader="none"/>
        </w:tabs>
        <w:spacing w:line="264" w:lineRule="auto" w:before="21" w:after="0"/>
        <w:ind w:left="3898" w:right="125" w:hanging="3781"/>
        <w:jc w:val="both"/>
        <w:rPr>
          <w:sz w:val="21"/>
        </w:rPr>
      </w:pPr>
      <w:r>
        <w:rPr>
          <w:sz w:val="21"/>
        </w:rPr>
        <w:t>主动</w:t>
      </w:r>
      <w:r>
        <w:rPr>
          <w:spacing w:val="-3"/>
          <w:sz w:val="21"/>
        </w:rPr>
        <w:t>脉</w:t>
      </w:r>
      <w:r>
        <w:rPr>
          <w:sz w:val="21"/>
        </w:rPr>
        <w:t>手术</w:t>
        <w:tab/>
        <w:t>指为治疗主动脉疾病，</w:t>
      </w:r>
      <w:r>
        <w:rPr>
          <w:spacing w:val="-3"/>
          <w:sz w:val="21"/>
        </w:rPr>
        <w:t>实</w:t>
      </w:r>
      <w:r>
        <w:rPr>
          <w:sz w:val="21"/>
        </w:rPr>
        <w:t>际实施了开胸或开腹进</w:t>
      </w:r>
      <w:r>
        <w:rPr>
          <w:spacing w:val="-3"/>
          <w:sz w:val="21"/>
        </w:rPr>
        <w:t>行</w:t>
      </w:r>
      <w:r>
        <w:rPr>
          <w:sz w:val="21"/>
        </w:rPr>
        <w:t>的切除、置换、 修补病损主动脉血管的</w:t>
      </w:r>
      <w:r>
        <w:rPr>
          <w:spacing w:val="-3"/>
          <w:sz w:val="21"/>
        </w:rPr>
        <w:t>手</w:t>
      </w:r>
      <w:r>
        <w:rPr>
          <w:sz w:val="21"/>
        </w:rPr>
        <w:t>术。主动脉指胸主动脉</w:t>
      </w:r>
      <w:r>
        <w:rPr>
          <w:spacing w:val="-3"/>
          <w:sz w:val="21"/>
        </w:rPr>
        <w:t>和</w:t>
      </w:r>
      <w:r>
        <w:rPr>
          <w:sz w:val="21"/>
        </w:rPr>
        <w:t>腹主动脉，不包括胸</w:t>
      </w:r>
      <w:r>
        <w:rPr>
          <w:spacing w:val="-3"/>
          <w:sz w:val="21"/>
        </w:rPr>
        <w:t>主</w:t>
      </w:r>
      <w:r>
        <w:rPr>
          <w:sz w:val="21"/>
        </w:rPr>
        <w:t>动</w:t>
      </w:r>
      <w:r>
        <w:rPr>
          <w:spacing w:val="-3"/>
          <w:sz w:val="21"/>
        </w:rPr>
        <w:t>脉</w:t>
      </w:r>
      <w:r>
        <w:rPr>
          <w:sz w:val="21"/>
        </w:rPr>
        <w:t>和</w:t>
      </w:r>
      <w:r>
        <w:rPr>
          <w:spacing w:val="-3"/>
          <w:sz w:val="21"/>
        </w:rPr>
        <w:t>腹</w:t>
      </w:r>
      <w:r>
        <w:rPr>
          <w:sz w:val="21"/>
        </w:rPr>
        <w:t>主</w:t>
      </w:r>
      <w:r>
        <w:rPr>
          <w:spacing w:val="-3"/>
          <w:sz w:val="21"/>
        </w:rPr>
        <w:t>动</w:t>
      </w:r>
      <w:r>
        <w:rPr>
          <w:sz w:val="21"/>
        </w:rPr>
        <w:t>脉</w:t>
      </w:r>
      <w:r>
        <w:rPr>
          <w:spacing w:val="-3"/>
          <w:sz w:val="21"/>
        </w:rPr>
        <w:t>的</w:t>
      </w:r>
      <w:r>
        <w:rPr>
          <w:sz w:val="21"/>
        </w:rPr>
        <w:t>分支</w:t>
      </w:r>
      <w:r>
        <w:rPr>
          <w:spacing w:val="-3"/>
          <w:sz w:val="21"/>
        </w:rPr>
        <w:t>血</w:t>
      </w:r>
      <w:r>
        <w:rPr>
          <w:sz w:val="21"/>
        </w:rPr>
        <w:t>管。</w:t>
      </w:r>
    </w:p>
    <w:p>
      <w:pPr>
        <w:pStyle w:val="Heading2"/>
        <w:spacing w:before="16"/>
        <w:ind w:left="3898"/>
      </w:pPr>
      <w:r>
        <w:rPr/>
        <w:t>动脉内血管成形术不在保障范围内。</w:t>
      </w:r>
    </w:p>
    <w:p>
      <w:pPr>
        <w:pStyle w:val="ListParagraph"/>
        <w:numPr>
          <w:ilvl w:val="0"/>
          <w:numId w:val="5"/>
        </w:numPr>
        <w:tabs>
          <w:tab w:pos="539" w:val="left" w:leader="none"/>
          <w:tab w:pos="3898" w:val="left" w:leader="none"/>
        </w:tabs>
        <w:spacing w:line="240" w:lineRule="auto" w:before="37" w:after="0"/>
        <w:ind w:left="3898" w:right="0" w:hanging="3781"/>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w:t>
      </w:r>
      <w:r>
        <w:rPr>
          <w:spacing w:val="-3"/>
          <w:sz w:val="21"/>
        </w:rPr>
        <w:t>系</w:t>
      </w:r>
      <w:r>
        <w:rPr>
          <w:sz w:val="21"/>
        </w:rPr>
        <w:t>统白质多灶性脱髓鞘病</w:t>
      </w:r>
      <w:r>
        <w:rPr>
          <w:spacing w:val="-3"/>
          <w:sz w:val="21"/>
        </w:rPr>
        <w:t>变</w:t>
      </w:r>
      <w:r>
        <w:rPr>
          <w:sz w:val="21"/>
        </w:rPr>
        <w:t>，病变有时累及</w:t>
      </w:r>
    </w:p>
    <w:p>
      <w:pPr>
        <w:pStyle w:val="BodyText"/>
        <w:spacing w:line="261" w:lineRule="auto" w:before="21"/>
        <w:ind w:left="3898" w:right="124"/>
        <w:jc w:val="both"/>
      </w:pPr>
      <w:r>
        <w:rPr/>
        <w:t>灰质。多发性硬化须由核磁共振（</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 </w:t>
      </w:r>
      <w:r>
        <w:rPr>
          <w:rFonts w:ascii="Times New Roman" w:eastAsia="Times New Roman"/>
        </w:rPr>
        <w:t>180 </w:t>
      </w:r>
      <w:r>
        <w:rPr/>
        <w:t>天无法独立完成下列基本日常生活活动：</w:t>
      </w:r>
    </w:p>
    <w:p>
      <w:pPr>
        <w:pStyle w:val="BodyText"/>
        <w:spacing w:before="18"/>
        <w:ind w:left="3901"/>
      </w:pPr>
      <w:r>
        <w:rPr/>
        <w:t>（</w:t>
      </w:r>
      <w:r>
        <w:rPr>
          <w:rFonts w:ascii="Times New Roman" w:eastAsia="Times New Roman"/>
        </w:rPr>
        <w:t>1</w:t>
      </w:r>
      <w:r>
        <w:rPr/>
        <w:t>）移动：自己从一个房间移动到另一个房间；或者</w:t>
      </w:r>
    </w:p>
    <w:p>
      <w:pPr>
        <w:pStyle w:val="BodyText"/>
        <w:spacing w:before="21"/>
        <w:ind w:left="3901"/>
      </w:pPr>
      <w:r>
        <w:rPr/>
        <w:t>（</w:t>
      </w:r>
      <w:r>
        <w:rPr>
          <w:rFonts w:ascii="Times New Roman" w:eastAsia="Times New Roman"/>
        </w:rPr>
        <w:t>2</w:t>
      </w:r>
      <w:r>
        <w:rPr/>
        <w:t>）进食：自己从已准备好的碗或碟中取食物放入口中。</w:t>
      </w:r>
    </w:p>
    <w:p>
      <w:pPr>
        <w:pStyle w:val="ListParagraph"/>
        <w:numPr>
          <w:ilvl w:val="0"/>
          <w:numId w:val="5"/>
        </w:numPr>
        <w:tabs>
          <w:tab w:pos="539" w:val="left" w:leader="none"/>
          <w:tab w:pos="3898" w:val="left" w:leader="none"/>
        </w:tabs>
        <w:spacing w:line="240" w:lineRule="auto" w:before="21" w:after="0"/>
        <w:ind w:left="3898" w:right="0" w:hanging="3781"/>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6" w:lineRule="auto" w:before="21"/>
        <w:ind w:left="3898" w:right="1461"/>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2"/>
        <w:ind w:left="3898" w:right="5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898" w:right="122"/>
        <w:jc w:val="both"/>
      </w:pPr>
      <w:r>
        <w:rPr>
          <w:spacing w:val="-27"/>
        </w:rPr>
        <w:t>（</w:t>
      </w:r>
      <w:r>
        <w:rPr>
          <w:rFonts w:ascii="Times New Roman" w:eastAsia="Times New Roman"/>
          <w:spacing w:val="-27"/>
        </w:rPr>
        <w:t>2</w:t>
      </w:r>
      <w:r>
        <w:rPr>
          <w:spacing w:val="-27"/>
        </w:rPr>
        <w:t>）</w:t>
      </w:r>
      <w:r>
        <w:rPr>
          <w:spacing w:val="-5"/>
        </w:rPr>
        <w:t>必须提供被保险人在所报事故发生后的 </w:t>
      </w:r>
      <w:r>
        <w:rPr>
          <w:rFonts w:ascii="Times New Roman" w:eastAsia="Times New Roman"/>
        </w:rPr>
        <w:t>5 </w:t>
      </w:r>
      <w:r>
        <w:rPr>
          <w:spacing w:val="-3"/>
        </w:rPr>
        <w:t>天以内进行的检查报</w:t>
      </w:r>
      <w:r>
        <w:rPr>
          <w:spacing w:val="-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17"/>
        </w:rPr>
        <w:t>或 </w:t>
      </w:r>
      <w:r>
        <w:rPr>
          <w:rFonts w:ascii="Times New Roman" w:eastAsia="Times New Roman"/>
        </w:rPr>
        <w:t>HIV </w:t>
      </w:r>
      <w:r>
        <w:rPr/>
        <w:t>抗体阴性；</w:t>
      </w:r>
    </w:p>
    <w:p>
      <w:pPr>
        <w:pStyle w:val="BodyText"/>
        <w:spacing w:line="256" w:lineRule="auto" w:before="22"/>
        <w:ind w:left="3898" w:right="73"/>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4" w:after="34"/>
        <w:ind w:left="3898"/>
        <w:jc w:val="both"/>
        <w:rPr>
          <w:rFonts w:ascii="Times New Roman" w:eastAsia="Times New Roman"/>
        </w:rPr>
      </w:pPr>
      <w:r>
        <w:rPr/>
        <w:t>职业限制如下所示</w:t>
      </w:r>
      <w:r>
        <w:rPr>
          <w:rFonts w:ascii="Times New Roman" w:eastAsia="Times New Roman"/>
        </w:rPr>
        <w:t>:</w:t>
      </w:r>
    </w:p>
    <w:tbl>
      <w:tblPr>
        <w:tblW w:w="0" w:type="auto"/>
        <w:jc w:val="left"/>
        <w:tblInd w:w="3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6"/>
        <w:gridCol w:w="2989"/>
      </w:tblGrid>
      <w:tr>
        <w:trPr>
          <w:trHeight w:val="311" w:hRule="atLeast"/>
        </w:trPr>
        <w:tc>
          <w:tcPr>
            <w:tcW w:w="3126"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989" w:type="dxa"/>
            <w:tcBorders>
              <w:left w:val="single" w:sz="6" w:space="0" w:color="000000"/>
              <w:bottom w:val="single" w:sz="6" w:space="0" w:color="000000"/>
              <w:right w:val="nil"/>
            </w:tcBorders>
          </w:tcPr>
          <w:p>
            <w:pPr>
              <w:pStyle w:val="TableParagraph"/>
              <w:spacing w:line="262" w:lineRule="exact"/>
              <w:ind w:left="66"/>
              <w:rPr>
                <w:sz w:val="21"/>
              </w:rPr>
            </w:pPr>
            <w:r>
              <w:rPr>
                <w:sz w:val="21"/>
              </w:rPr>
              <w:t>护士</w:t>
            </w:r>
          </w:p>
        </w:tc>
      </w:tr>
      <w:tr>
        <w:trPr>
          <w:trHeight w:val="313" w:hRule="atLeast"/>
        </w:trPr>
        <w:tc>
          <w:tcPr>
            <w:tcW w:w="3126"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2989" w:type="dxa"/>
            <w:tcBorders>
              <w:top w:val="single" w:sz="6" w:space="0" w:color="000000"/>
              <w:left w:val="single" w:sz="6" w:space="0" w:color="000000"/>
              <w:bottom w:val="single" w:sz="6" w:space="0" w:color="000000"/>
              <w:right w:val="nil"/>
            </w:tcBorders>
          </w:tcPr>
          <w:p>
            <w:pPr>
              <w:pStyle w:val="TableParagraph"/>
              <w:spacing w:line="264" w:lineRule="exact"/>
              <w:ind w:left="66"/>
              <w:rPr>
                <w:sz w:val="21"/>
              </w:rPr>
            </w:pPr>
            <w:r>
              <w:rPr>
                <w:sz w:val="21"/>
              </w:rPr>
              <w:t>医院护工</w:t>
            </w:r>
          </w:p>
        </w:tc>
      </w:tr>
      <w:tr>
        <w:trPr>
          <w:trHeight w:val="311" w:hRule="atLeast"/>
        </w:trPr>
        <w:tc>
          <w:tcPr>
            <w:tcW w:w="3126"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989" w:type="dxa"/>
            <w:tcBorders>
              <w:top w:val="single" w:sz="6" w:space="0" w:color="000000"/>
              <w:left w:val="single" w:sz="6" w:space="0" w:color="000000"/>
              <w:bottom w:val="single" w:sz="6" w:space="0" w:color="000000"/>
              <w:right w:val="nil"/>
            </w:tcBorders>
          </w:tcPr>
          <w:p>
            <w:pPr>
              <w:pStyle w:val="TableParagraph"/>
              <w:spacing w:line="262" w:lineRule="exact"/>
              <w:ind w:left="66"/>
              <w:rPr>
                <w:sz w:val="21"/>
              </w:rPr>
            </w:pPr>
            <w:r>
              <w:rPr>
                <w:sz w:val="21"/>
              </w:rPr>
              <w:t>救护车工作人员</w:t>
            </w:r>
          </w:p>
        </w:tc>
      </w:tr>
      <w:tr>
        <w:trPr>
          <w:trHeight w:val="311" w:hRule="atLeast"/>
        </w:trPr>
        <w:tc>
          <w:tcPr>
            <w:tcW w:w="3126"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2989" w:type="dxa"/>
            <w:tcBorders>
              <w:top w:val="single" w:sz="6" w:space="0" w:color="000000"/>
              <w:left w:val="single" w:sz="6" w:space="0" w:color="000000"/>
              <w:bottom w:val="single" w:sz="6" w:space="0" w:color="000000"/>
              <w:right w:val="nil"/>
            </w:tcBorders>
          </w:tcPr>
          <w:p>
            <w:pPr>
              <w:pStyle w:val="TableParagraph"/>
              <w:spacing w:line="262" w:lineRule="exact"/>
              <w:ind w:left="66"/>
              <w:rPr>
                <w:sz w:val="21"/>
              </w:rPr>
            </w:pPr>
            <w:r>
              <w:rPr>
                <w:sz w:val="21"/>
              </w:rPr>
              <w:t>消防队员</w:t>
            </w:r>
          </w:p>
        </w:tc>
      </w:tr>
      <w:tr>
        <w:trPr>
          <w:trHeight w:val="313" w:hRule="atLeast"/>
        </w:trPr>
        <w:tc>
          <w:tcPr>
            <w:tcW w:w="3126"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989" w:type="dxa"/>
            <w:tcBorders>
              <w:top w:val="single" w:sz="6" w:space="0" w:color="000000"/>
              <w:left w:val="single" w:sz="6" w:space="0" w:color="000000"/>
              <w:right w:val="nil"/>
            </w:tcBorders>
          </w:tcPr>
          <w:p>
            <w:pPr>
              <w:pStyle w:val="TableParagraph"/>
              <w:spacing w:line="262" w:lineRule="exact"/>
              <w:ind w:left="66"/>
              <w:rPr>
                <w:sz w:val="21"/>
              </w:rPr>
            </w:pPr>
            <w:r>
              <w:rPr>
                <w:sz w:val="21"/>
              </w:rPr>
              <w:t>狱警</w:t>
            </w:r>
          </w:p>
        </w:tc>
      </w:tr>
    </w:tbl>
    <w:p>
      <w:pPr>
        <w:pStyle w:val="ListParagraph"/>
        <w:numPr>
          <w:ilvl w:val="0"/>
          <w:numId w:val="5"/>
        </w:numPr>
        <w:tabs>
          <w:tab w:pos="539" w:val="left" w:leader="none"/>
          <w:tab w:pos="3898" w:val="left" w:leader="none"/>
        </w:tabs>
        <w:spacing w:line="240" w:lineRule="auto" w:before="0" w:after="0"/>
        <w:ind w:left="3898" w:right="0" w:hanging="3781"/>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ind w:left="3898"/>
        <w:jc w:val="both"/>
      </w:pPr>
      <w:r>
        <w:rPr/>
        <w:t>上腺萎缩和慢性肾上腺皮质功能减退。必须满足所有以下条件：</w:t>
      </w:r>
    </w:p>
    <w:p>
      <w:pPr>
        <w:pStyle w:val="BodyText"/>
        <w:spacing w:before="37"/>
        <w:ind w:left="3951"/>
        <w:jc w:val="both"/>
      </w:pPr>
      <w:r>
        <w:rPr/>
        <w:t>（</w:t>
      </w:r>
      <w:r>
        <w:rPr>
          <w:rFonts w:ascii="Times New Roman" w:eastAsia="Times New Roman"/>
        </w:rPr>
        <w:t>1</w:t>
      </w:r>
      <w:r>
        <w:rPr/>
        <w:t>）明确诊断，符合所有以下诊断标准；</w:t>
      </w:r>
    </w:p>
    <w:p>
      <w:pPr>
        <w:pStyle w:val="BodyText"/>
        <w:spacing w:before="10"/>
        <w:ind w:left="4448"/>
      </w:pPr>
      <w:r>
        <w:rPr>
          <w:sz w:val="22"/>
        </w:rPr>
        <w:t>① </w:t>
      </w:r>
      <w:r>
        <w:rPr/>
        <w:t>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9"/>
        <w:ind w:left="3898" w:right="126" w:firstLine="549"/>
        <w:jc w:val="both"/>
      </w:pPr>
      <w:r>
        <w:rPr>
          <w:spacing w:val="5"/>
          <w:sz w:val="22"/>
        </w:rPr>
        <w:t>② </w:t>
      </w:r>
      <w:r>
        <w:rPr>
          <w:spacing w:val="-7"/>
        </w:rPr>
        <w:t>血浆和尿游离皮质醇及尿 </w:t>
      </w:r>
      <w:r>
        <w:rPr/>
        <w:t>17</w:t>
      </w:r>
      <w:r>
        <w:rPr>
          <w:spacing w:val="-9"/>
        </w:rPr>
        <w:t> 羟皮质类固醇、</w:t>
      </w:r>
      <w:r>
        <w:rPr/>
        <w:t>17</w:t>
      </w:r>
      <w:r>
        <w:rPr>
          <w:spacing w:val="-12"/>
        </w:rPr>
        <w:t> 酮皮质类</w:t>
      </w:r>
      <w:r>
        <w:rPr>
          <w:spacing w:val="-8"/>
        </w:rPr>
        <w:t>固醇测定、血浆肾素活性、血管紧张素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4"/>
        <w:ind w:left="3898" w:right="239" w:firstLine="549"/>
      </w:pPr>
      <w:r>
        <w:rPr>
          <w:sz w:val="22"/>
        </w:rPr>
        <w:t>③ </w:t>
      </w:r>
      <w:r>
        <w:rPr/>
        <w:t>促肾上腺皮质激素</w:t>
      </w:r>
      <w:r>
        <w:rPr>
          <w:rFonts w:ascii="Times New Roman" w:hAnsi="Times New Roman" w:eastAsia="Times New Roman"/>
        </w:rPr>
        <w:t>(ACTH)</w:t>
      </w:r>
      <w:r>
        <w:rPr/>
        <w:t>刺激试验显示为原发性肾上腺皮质功能减退症。</w:t>
      </w:r>
    </w:p>
    <w:p>
      <w:pPr>
        <w:pStyle w:val="BodyText"/>
        <w:spacing w:before="22"/>
        <w:ind w:left="3951"/>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3898" w:right="75"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ListParagraph"/>
        <w:numPr>
          <w:ilvl w:val="0"/>
          <w:numId w:val="5"/>
        </w:numPr>
        <w:tabs>
          <w:tab w:pos="539" w:val="left" w:leader="none"/>
          <w:tab w:pos="3898" w:val="left" w:leader="none"/>
        </w:tabs>
        <w:spacing w:line="240" w:lineRule="auto" w:before="22" w:after="0"/>
        <w:ind w:left="3898" w:right="0" w:hanging="3781"/>
        <w:jc w:val="left"/>
        <w:rPr>
          <w:sz w:val="21"/>
        </w:rPr>
      </w:pPr>
      <w:r>
        <w:rPr>
          <w:sz w:val="21"/>
        </w:rPr>
        <w:t>严重</w:t>
      </w:r>
      <w:r>
        <w:rPr>
          <w:spacing w:val="-3"/>
          <w:sz w:val="21"/>
        </w:rPr>
        <w:t>冠</w:t>
      </w:r>
      <w:r>
        <w:rPr>
          <w:sz w:val="21"/>
        </w:rPr>
        <w:t>状</w:t>
      </w:r>
      <w:r>
        <w:rPr>
          <w:spacing w:val="-3"/>
          <w:sz w:val="21"/>
        </w:rPr>
        <w:t>动</w:t>
      </w:r>
      <w:r>
        <w:rPr>
          <w:sz w:val="21"/>
        </w:rPr>
        <w:t>脉</w:t>
      </w:r>
      <w:r>
        <w:rPr>
          <w:spacing w:val="-3"/>
          <w:sz w:val="21"/>
        </w:rPr>
        <w:t>粥</w:t>
      </w:r>
      <w:r>
        <w:rPr>
          <w:sz w:val="21"/>
        </w:rPr>
        <w:t>样</w:t>
      </w:r>
      <w:r>
        <w:rPr>
          <w:spacing w:val="-3"/>
          <w:sz w:val="21"/>
        </w:rPr>
        <w:t>硬</w:t>
      </w:r>
      <w:r>
        <w:rPr>
          <w:sz w:val="21"/>
        </w:rPr>
        <w:t>化</w:t>
      </w:r>
      <w:r>
        <w:rPr>
          <w:spacing w:val="-3"/>
          <w:sz w:val="21"/>
        </w:rPr>
        <w:t>性</w:t>
      </w:r>
      <w:r>
        <w:rPr>
          <w:sz w:val="21"/>
        </w:rPr>
        <w:t>心</w:t>
      </w:r>
      <w:r>
        <w:rPr>
          <w:spacing w:val="-3"/>
          <w:sz w:val="21"/>
        </w:rPr>
        <w:t>脏</w:t>
      </w:r>
      <w:r>
        <w:rPr>
          <w:sz w:val="21"/>
        </w:rPr>
        <w:t>病</w:t>
        <w:tab/>
        <w:t>指经心脏科专科医师根</w:t>
      </w:r>
      <w:r>
        <w:rPr>
          <w:spacing w:val="-3"/>
          <w:sz w:val="21"/>
        </w:rPr>
        <w:t>据</w:t>
      </w:r>
      <w:r>
        <w:rPr>
          <w:sz w:val="21"/>
        </w:rPr>
        <w:t>冠状动脉造影检查结果</w:t>
      </w:r>
      <w:r>
        <w:rPr>
          <w:spacing w:val="-3"/>
          <w:sz w:val="21"/>
        </w:rPr>
        <w:t>确</w:t>
      </w:r>
      <w:r>
        <w:rPr>
          <w:sz w:val="21"/>
        </w:rPr>
        <w:t>诊为主要血管严</w:t>
      </w:r>
    </w:p>
    <w:p>
      <w:pPr>
        <w:pStyle w:val="BodyText"/>
        <w:spacing w:before="21"/>
        <w:ind w:left="3898"/>
        <w:jc w:val="both"/>
      </w:pPr>
      <w:r>
        <w:rPr/>
        <w:t>重狭窄性病变，须满足下列至少一项条件：</w:t>
      </w:r>
    </w:p>
    <w:p>
      <w:pPr>
        <w:spacing w:after="0"/>
        <w:jc w:val="both"/>
        <w:sectPr>
          <w:pgSz w:w="11910" w:h="16160"/>
          <w:pgMar w:header="0" w:footer="631" w:top="1300" w:bottom="820" w:left="9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61"/>
        <w:gridCol w:w="6699"/>
      </w:tblGrid>
      <w:tr>
        <w:trPr>
          <w:trHeight w:val="1824" w:hRule="atLeast"/>
        </w:trPr>
        <w:tc>
          <w:tcPr>
            <w:tcW w:w="542" w:type="dxa"/>
          </w:tcPr>
          <w:p>
            <w:pPr>
              <w:pStyle w:val="TableParagraph"/>
              <w:rPr>
                <w:rFonts w:ascii="Times New Roman"/>
                <w:sz w:val="20"/>
              </w:rPr>
            </w:pPr>
          </w:p>
        </w:tc>
        <w:tc>
          <w:tcPr>
            <w:tcW w:w="3061" w:type="dxa"/>
          </w:tcPr>
          <w:p>
            <w:pPr>
              <w:pStyle w:val="TableParagraph"/>
              <w:rPr>
                <w:rFonts w:ascii="Times New Roman"/>
                <w:sz w:val="20"/>
              </w:rPr>
            </w:pPr>
          </w:p>
        </w:tc>
        <w:tc>
          <w:tcPr>
            <w:tcW w:w="6699" w:type="dxa"/>
          </w:tcPr>
          <w:p>
            <w:pPr>
              <w:pStyle w:val="TableParagraph"/>
              <w:spacing w:line="234" w:lineRule="exact"/>
              <w:ind w:left="377"/>
              <w:rPr>
                <w:sz w:val="21"/>
              </w:rPr>
            </w:pPr>
            <w:r>
              <w:rPr>
                <w:w w:val="100"/>
                <w:sz w:val="21"/>
              </w:rPr>
              <w:t>（</w:t>
            </w:r>
            <w:r>
              <w:rPr>
                <w:rFonts w:ascii="Times New Roman" w:eastAsia="Times New Roman"/>
                <w:w w:val="100"/>
                <w:sz w:val="21"/>
              </w:rPr>
              <w:t>1</w:t>
            </w:r>
            <w:r>
              <w:rPr>
                <w:spacing w:val="-94"/>
                <w:w w:val="100"/>
                <w:sz w:val="21"/>
              </w:rPr>
              <w:t>）</w:t>
            </w:r>
            <w:r>
              <w:rPr>
                <w:spacing w:val="-10"/>
                <w:w w:val="100"/>
                <w:sz w:val="21"/>
              </w:rPr>
              <w:t>左冠状动脉主干和右冠状动脉中，一支血管管腔堵塞</w:t>
            </w:r>
            <w:r>
              <w:rPr>
                <w:rFonts w:ascii="Times New Roman" w:eastAsia="Times New Roman"/>
                <w:w w:val="100"/>
                <w:sz w:val="21"/>
              </w:rPr>
              <w:t>7</w:t>
            </w:r>
            <w:r>
              <w:rPr>
                <w:rFonts w:ascii="Times New Roman" w:eastAsia="Times New Roman"/>
                <w:spacing w:val="-3"/>
                <w:w w:val="100"/>
                <w:sz w:val="21"/>
              </w:rPr>
              <w:t>5</w:t>
            </w:r>
            <w:r>
              <w:rPr>
                <w:spacing w:val="-2"/>
                <w:w w:val="100"/>
                <w:sz w:val="21"/>
              </w:rPr>
              <w:t>％以上</w:t>
            </w:r>
          </w:p>
          <w:p>
            <w:pPr>
              <w:pStyle w:val="TableParagraph"/>
              <w:spacing w:before="21"/>
              <w:ind w:left="377"/>
              <w:rPr>
                <w:sz w:val="21"/>
              </w:rPr>
            </w:pPr>
            <w:r>
              <w:rPr>
                <w:sz w:val="21"/>
              </w:rPr>
              <w:t>另一支血管管腔堵塞</w:t>
            </w:r>
            <w:r>
              <w:rPr>
                <w:rFonts w:ascii="Times New Roman" w:eastAsia="Times New Roman"/>
                <w:sz w:val="21"/>
              </w:rPr>
              <w:t>60</w:t>
            </w:r>
            <w:r>
              <w:rPr>
                <w:sz w:val="21"/>
              </w:rPr>
              <w:t>％以上；</w:t>
            </w:r>
          </w:p>
          <w:p>
            <w:pPr>
              <w:pStyle w:val="TableParagraph"/>
              <w:spacing w:line="256" w:lineRule="auto" w:before="20"/>
              <w:ind w:left="377" w:right="141"/>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 </w:t>
            </w:r>
            <w:r>
              <w:rPr>
                <w:sz w:val="21"/>
              </w:rPr>
              <w:t>以上，其他两支血管管腔堵塞</w:t>
            </w:r>
            <w:r>
              <w:rPr>
                <w:rFonts w:ascii="Times New Roman" w:eastAsia="Times New Roman"/>
                <w:sz w:val="21"/>
              </w:rPr>
              <w:t>60%</w:t>
            </w:r>
            <w:r>
              <w:rPr>
                <w:sz w:val="21"/>
              </w:rPr>
              <w:t>以上。</w:t>
            </w:r>
          </w:p>
          <w:p>
            <w:pPr>
              <w:pStyle w:val="TableParagraph"/>
              <w:spacing w:line="312" w:lineRule="exact"/>
              <w:ind w:left="377" w:right="198"/>
              <w:rPr>
                <w:sz w:val="21"/>
              </w:rPr>
            </w:pPr>
            <w:r>
              <w:rPr>
                <w:sz w:val="21"/>
              </w:rPr>
              <w:t>前降支的分支血管、左旋支的分支血管及右冠状动脉的分支血管的狭窄不作为本保障的衡量指标。</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30.</w:t>
            </w:r>
          </w:p>
        </w:tc>
        <w:tc>
          <w:tcPr>
            <w:tcW w:w="3061" w:type="dxa"/>
          </w:tcPr>
          <w:p>
            <w:pPr>
              <w:pStyle w:val="TableParagraph"/>
              <w:spacing w:line="266" w:lineRule="exact"/>
              <w:ind w:left="78"/>
              <w:rPr>
                <w:sz w:val="21"/>
              </w:rPr>
            </w:pPr>
            <w:r>
              <w:rPr>
                <w:sz w:val="21"/>
              </w:rPr>
              <w:t>脊髓灰质炎</w:t>
            </w:r>
          </w:p>
        </w:tc>
        <w:tc>
          <w:tcPr>
            <w:tcW w:w="6699" w:type="dxa"/>
          </w:tcPr>
          <w:p>
            <w:pPr>
              <w:pStyle w:val="TableParagraph"/>
              <w:spacing w:line="268" w:lineRule="auto"/>
              <w:ind w:left="377" w:right="197"/>
              <w:jc w:val="both"/>
              <w:rPr>
                <w:sz w:val="21"/>
              </w:rPr>
            </w:pPr>
            <w:r>
              <w:rPr>
                <w:spacing w:val="-2"/>
                <w:sz w:val="21"/>
              </w:rPr>
              <w:t>指由于脊髓灰质炎病毒感染所致的瘫痪性疾病，临床表现为运动功</w:t>
            </w:r>
            <w:r>
              <w:rPr>
                <w:spacing w:val="-3"/>
                <w:sz w:val="21"/>
              </w:rPr>
              <w:t>能损害或呼吸无力。脊髓灰质炎必须明确诊断。本附加合同仅对脊髓灰质炎造成的神经系统功能损害导致被保险人一肢或一肢以上肢体机能永久完全丧失的情况予以理赔。肢体机能永久完全丧失，指疾病确诊</w:t>
            </w:r>
            <w:r>
              <w:rPr>
                <w:rFonts w:ascii="Times New Roman" w:eastAsia="Times New Roman"/>
                <w:sz w:val="21"/>
              </w:rPr>
              <w:t>180</w:t>
            </w:r>
            <w:r>
              <w:rPr>
                <w:spacing w:val="-10"/>
                <w:sz w:val="21"/>
              </w:rPr>
              <w:t>天后，每肢三大关节中的两大关节仍然完全僵硬，或不</w:t>
            </w:r>
            <w:r>
              <w:rPr>
                <w:spacing w:val="-5"/>
                <w:sz w:val="21"/>
              </w:rPr>
              <w:t>能随意识活动。</w:t>
            </w:r>
          </w:p>
        </w:tc>
      </w:tr>
      <w:tr>
        <w:trPr>
          <w:trHeight w:val="4680" w:hRule="atLeast"/>
        </w:trPr>
        <w:tc>
          <w:tcPr>
            <w:tcW w:w="542" w:type="dxa"/>
          </w:tcPr>
          <w:p>
            <w:pPr>
              <w:pStyle w:val="TableParagraph"/>
              <w:spacing w:before="38"/>
              <w:ind w:right="77"/>
              <w:jc w:val="right"/>
              <w:rPr>
                <w:rFonts w:ascii="Times New Roman"/>
                <w:sz w:val="21"/>
              </w:rPr>
            </w:pPr>
            <w:r>
              <w:rPr>
                <w:rFonts w:ascii="Times New Roman"/>
                <w:sz w:val="21"/>
              </w:rPr>
              <w:t>31.</w:t>
            </w:r>
          </w:p>
        </w:tc>
        <w:tc>
          <w:tcPr>
            <w:tcW w:w="3061" w:type="dxa"/>
          </w:tcPr>
          <w:p>
            <w:pPr>
              <w:pStyle w:val="TableParagraph"/>
              <w:spacing w:line="266" w:lineRule="exact"/>
              <w:ind w:left="78"/>
              <w:rPr>
                <w:sz w:val="21"/>
              </w:rPr>
            </w:pPr>
            <w:r>
              <w:rPr>
                <w:sz w:val="21"/>
              </w:rPr>
              <w:t>全身性（型）重症肌无力</w:t>
            </w:r>
          </w:p>
        </w:tc>
        <w:tc>
          <w:tcPr>
            <w:tcW w:w="6699" w:type="dxa"/>
          </w:tcPr>
          <w:p>
            <w:pPr>
              <w:pStyle w:val="TableParagraph"/>
              <w:spacing w:line="273" w:lineRule="auto"/>
              <w:ind w:left="377" w:right="198"/>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47" w:lineRule="auto" w:before="7"/>
              <w:ind w:left="377" w:right="199"/>
              <w:jc w:val="both"/>
              <w:rPr>
                <w:sz w:val="22"/>
              </w:rPr>
            </w:pPr>
            <w:r>
              <w:rPr>
                <w:sz w:val="22"/>
              </w:rPr>
              <w:t>（</w:t>
            </w:r>
            <w:r>
              <w:rPr>
                <w:rFonts w:ascii="Arial" w:eastAsia="Arial"/>
                <w:sz w:val="22"/>
              </w:rPr>
              <w:t>1</w:t>
            </w:r>
            <w:r>
              <w:rPr>
                <w:sz w:val="22"/>
              </w:rPr>
              <w:t>）经药物、胸腺手术治疗一年以上无法控制病情，丧失正常工作能力（为维持生命必要的日常生活活动，全需他人扶助）</w:t>
            </w:r>
          </w:p>
          <w:p>
            <w:pPr>
              <w:pStyle w:val="TableParagraph"/>
              <w:spacing w:before="17"/>
              <w:ind w:left="377"/>
              <w:rPr>
                <w:sz w:val="22"/>
              </w:rPr>
            </w:pPr>
            <w:r>
              <w:rPr>
                <w:sz w:val="22"/>
              </w:rPr>
              <w:t>（注）；</w:t>
            </w:r>
          </w:p>
          <w:p>
            <w:pPr>
              <w:pStyle w:val="TableParagraph"/>
              <w:spacing w:line="264" w:lineRule="auto" w:before="33"/>
              <w:ind w:left="377" w:right="198"/>
              <w:jc w:val="both"/>
              <w:rPr>
                <w:sz w:val="21"/>
              </w:rPr>
            </w:pPr>
            <w:r>
              <w:rPr>
                <w:spacing w:val="-10"/>
                <w:sz w:val="21"/>
              </w:rPr>
              <w:t>（</w:t>
            </w:r>
            <w:r>
              <w:rPr>
                <w:rFonts w:ascii="Times New Roman" w:eastAsia="Times New Roman"/>
                <w:spacing w:val="-10"/>
                <w:sz w:val="21"/>
              </w:rPr>
              <w:t>2</w:t>
            </w:r>
            <w:r>
              <w:rPr>
                <w:spacing w:val="-10"/>
                <w:sz w:val="21"/>
              </w:rPr>
              <w:t>）</w:t>
            </w:r>
            <w:r>
              <w:rPr>
                <w:spacing w:val="-7"/>
                <w:sz w:val="21"/>
              </w:rPr>
              <w:t>出现因延髓肌受累引起的构音困难、进食呛咳；或由于肌无力累及延髓肌、呼吸肌而致机体呼吸功能不正常的危急状态即肌无力危象；</w:t>
            </w:r>
          </w:p>
          <w:p>
            <w:pPr>
              <w:pStyle w:val="TableParagraph"/>
              <w:spacing w:line="256" w:lineRule="auto" w:before="16"/>
              <w:ind w:left="377" w:right="195"/>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312" w:lineRule="exact" w:before="17"/>
              <w:ind w:left="377" w:right="198"/>
              <w:rPr>
                <w:sz w:val="21"/>
              </w:rPr>
            </w:pPr>
            <w:r>
              <w:rPr>
                <w:spacing w:val="-10"/>
                <w:sz w:val="21"/>
              </w:rPr>
              <w:t>注：为维持生命必要的日常生活活动，全需他人扶助系指食物摄取大小便始末、穿脱衣服、起居、步行、入浴等，皆不能自己为之， </w:t>
            </w:r>
            <w:r>
              <w:rPr>
                <w:spacing w:val="-5"/>
                <w:sz w:val="21"/>
              </w:rPr>
              <w:t>需要他人帮助。</w:t>
            </w:r>
          </w:p>
        </w:tc>
      </w:tr>
      <w:tr>
        <w:trPr>
          <w:trHeight w:val="1247" w:hRule="atLeast"/>
        </w:trPr>
        <w:tc>
          <w:tcPr>
            <w:tcW w:w="542" w:type="dxa"/>
          </w:tcPr>
          <w:p>
            <w:pPr>
              <w:pStyle w:val="TableParagraph"/>
              <w:spacing w:before="38"/>
              <w:ind w:right="77"/>
              <w:jc w:val="right"/>
              <w:rPr>
                <w:rFonts w:ascii="Times New Roman"/>
                <w:sz w:val="21"/>
              </w:rPr>
            </w:pPr>
            <w:r>
              <w:rPr>
                <w:rFonts w:ascii="Times New Roman"/>
                <w:sz w:val="21"/>
              </w:rPr>
              <w:t>32.</w:t>
            </w:r>
          </w:p>
        </w:tc>
        <w:tc>
          <w:tcPr>
            <w:tcW w:w="3061" w:type="dxa"/>
          </w:tcPr>
          <w:p>
            <w:pPr>
              <w:pStyle w:val="TableParagraph"/>
              <w:spacing w:line="266" w:lineRule="exact"/>
              <w:ind w:left="78"/>
              <w:rPr>
                <w:sz w:val="21"/>
              </w:rPr>
            </w:pPr>
            <w:r>
              <w:rPr>
                <w:sz w:val="21"/>
              </w:rPr>
              <w:t>严重心肌病</w:t>
            </w:r>
          </w:p>
        </w:tc>
        <w:tc>
          <w:tcPr>
            <w:tcW w:w="6699" w:type="dxa"/>
          </w:tcPr>
          <w:p>
            <w:pPr>
              <w:pStyle w:val="TableParagraph"/>
              <w:spacing w:line="266" w:lineRule="auto"/>
              <w:ind w:left="377" w:right="197"/>
              <w:jc w:val="both"/>
              <w:rPr>
                <w:sz w:val="21"/>
              </w:rPr>
            </w:pPr>
            <w:r>
              <w:rPr>
                <w:sz w:val="21"/>
              </w:rPr>
              <w:t>指被保人因心肌病导致慢性心功能损害造成永久不可逆性的心功能衰竭。心功能衰竭程度达到纽约心脏病学会的心功能分级标准之心功能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w:t>
            </w:r>
          </w:p>
        </w:tc>
      </w:tr>
      <w:tr>
        <w:trPr>
          <w:trHeight w:val="936" w:hRule="atLeast"/>
        </w:trPr>
        <w:tc>
          <w:tcPr>
            <w:tcW w:w="542" w:type="dxa"/>
          </w:tcPr>
          <w:p>
            <w:pPr>
              <w:pStyle w:val="TableParagraph"/>
              <w:spacing w:before="38"/>
              <w:ind w:right="77"/>
              <w:jc w:val="right"/>
              <w:rPr>
                <w:rFonts w:ascii="Times New Roman"/>
                <w:sz w:val="21"/>
              </w:rPr>
            </w:pPr>
            <w:r>
              <w:rPr>
                <w:rFonts w:ascii="Times New Roman"/>
                <w:sz w:val="21"/>
              </w:rPr>
              <w:t>33.</w:t>
            </w:r>
          </w:p>
        </w:tc>
        <w:tc>
          <w:tcPr>
            <w:tcW w:w="3061" w:type="dxa"/>
          </w:tcPr>
          <w:p>
            <w:pPr>
              <w:pStyle w:val="TableParagraph"/>
              <w:spacing w:line="282"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6699" w:type="dxa"/>
          </w:tcPr>
          <w:p>
            <w:pPr>
              <w:pStyle w:val="TableParagraph"/>
              <w:spacing w:line="273" w:lineRule="auto"/>
              <w:ind w:left="377" w:right="198"/>
              <w:rPr>
                <w:sz w:val="21"/>
              </w:rPr>
            </w:pPr>
            <w:r>
              <w:rPr>
                <w:sz w:val="21"/>
              </w:rPr>
              <w:t>克罗恩病是一种慢性肉芽肿性肠炎，具有特征性的克罗恩病病理组织学变化。诊断必须由病理检查结果证实。被保险人所患的克罗恩</w:t>
            </w:r>
          </w:p>
          <w:p>
            <w:pPr>
              <w:pStyle w:val="TableParagraph"/>
              <w:spacing w:before="17"/>
              <w:ind w:left="377"/>
              <w:rPr>
                <w:sz w:val="21"/>
              </w:rPr>
            </w:pPr>
            <w:r>
              <w:rPr>
                <w:sz w:val="21"/>
              </w:rPr>
              <w:t>病必须已经造成瘘管形成并伴有肠梗阻或肠穿孔。</w:t>
            </w:r>
          </w:p>
        </w:tc>
      </w:tr>
      <w:tr>
        <w:trPr>
          <w:trHeight w:val="1255" w:hRule="atLeast"/>
        </w:trPr>
        <w:tc>
          <w:tcPr>
            <w:tcW w:w="542" w:type="dxa"/>
          </w:tcPr>
          <w:p>
            <w:pPr>
              <w:pStyle w:val="TableParagraph"/>
              <w:spacing w:before="38"/>
              <w:ind w:right="77"/>
              <w:jc w:val="right"/>
              <w:rPr>
                <w:rFonts w:ascii="Times New Roman"/>
                <w:sz w:val="21"/>
              </w:rPr>
            </w:pPr>
            <w:r>
              <w:rPr>
                <w:rFonts w:ascii="Times New Roman"/>
                <w:sz w:val="21"/>
              </w:rPr>
              <w:t>34.</w:t>
            </w:r>
          </w:p>
        </w:tc>
        <w:tc>
          <w:tcPr>
            <w:tcW w:w="3061" w:type="dxa"/>
          </w:tcPr>
          <w:p>
            <w:pPr>
              <w:pStyle w:val="TableParagraph"/>
              <w:spacing w:line="266" w:lineRule="exact"/>
              <w:ind w:left="78"/>
              <w:rPr>
                <w:sz w:val="21"/>
              </w:rPr>
            </w:pPr>
            <w:r>
              <w:rPr>
                <w:sz w:val="21"/>
              </w:rPr>
              <w:t>严重溃疡性结肠炎</w:t>
            </w:r>
          </w:p>
        </w:tc>
        <w:tc>
          <w:tcPr>
            <w:tcW w:w="6699" w:type="dxa"/>
          </w:tcPr>
          <w:p>
            <w:pPr>
              <w:pStyle w:val="TableParagraph"/>
              <w:spacing w:line="273" w:lineRule="auto"/>
              <w:ind w:left="377" w:right="198"/>
              <w:jc w:val="both"/>
              <w:rPr>
                <w:sz w:val="21"/>
              </w:rPr>
            </w:pPr>
            <w:r>
              <w:rPr>
                <w:sz w:val="21"/>
              </w:rPr>
              <w:t>本附加合同所保障的溃疡性结肠炎是指伴有致命性电解质紊乱的急性暴发性溃疡性结肠炎，病变累及全结肠，表现为严重的血便和系统性症状体征。溃疡性结肠炎必须根据组织病理学特点诊断，并且</w:t>
            </w:r>
          </w:p>
          <w:p>
            <w:pPr>
              <w:pStyle w:val="TableParagraph"/>
              <w:spacing w:before="16"/>
              <w:ind w:left="377"/>
              <w:jc w:val="both"/>
              <w:rPr>
                <w:sz w:val="21"/>
              </w:rPr>
            </w:pPr>
            <w:r>
              <w:rPr>
                <w:sz w:val="21"/>
              </w:rPr>
              <w:t>被保险人已经接受了结肠切除和</w:t>
            </w:r>
            <w:r>
              <w:rPr>
                <w:rFonts w:ascii="Times New Roman" w:eastAsia="Times New Roman"/>
                <w:sz w:val="21"/>
              </w:rPr>
              <w:t>/</w:t>
            </w:r>
            <w:r>
              <w:rPr>
                <w:sz w:val="21"/>
              </w:rPr>
              <w:t>或回肠造瘘术。</w:t>
            </w:r>
          </w:p>
        </w:tc>
      </w:tr>
      <w:tr>
        <w:trPr>
          <w:trHeight w:val="1551" w:hRule="atLeast"/>
        </w:trPr>
        <w:tc>
          <w:tcPr>
            <w:tcW w:w="542" w:type="dxa"/>
          </w:tcPr>
          <w:p>
            <w:pPr>
              <w:pStyle w:val="TableParagraph"/>
              <w:spacing w:before="30"/>
              <w:ind w:right="77"/>
              <w:jc w:val="right"/>
              <w:rPr>
                <w:rFonts w:ascii="Times New Roman"/>
                <w:sz w:val="21"/>
              </w:rPr>
            </w:pPr>
            <w:r>
              <w:rPr>
                <w:rFonts w:ascii="Times New Roman"/>
                <w:sz w:val="21"/>
              </w:rPr>
              <w:t>35.</w:t>
            </w:r>
          </w:p>
        </w:tc>
        <w:tc>
          <w:tcPr>
            <w:tcW w:w="3061" w:type="dxa"/>
          </w:tcPr>
          <w:p>
            <w:pPr>
              <w:pStyle w:val="TableParagraph"/>
              <w:spacing w:line="258" w:lineRule="exact"/>
              <w:ind w:left="78"/>
              <w:rPr>
                <w:sz w:val="21"/>
              </w:rPr>
            </w:pPr>
            <w:r>
              <w:rPr>
                <w:sz w:val="21"/>
              </w:rPr>
              <w:t>植物人状态</w:t>
            </w:r>
          </w:p>
        </w:tc>
        <w:tc>
          <w:tcPr>
            <w:tcW w:w="6699" w:type="dxa"/>
          </w:tcPr>
          <w:p>
            <w:pPr>
              <w:pStyle w:val="TableParagraph"/>
              <w:spacing w:line="274" w:lineRule="exact"/>
              <w:ind w:left="377"/>
              <w:rPr>
                <w:sz w:val="21"/>
              </w:rPr>
            </w:pPr>
            <w:r>
              <w:rPr>
                <w:sz w:val="21"/>
              </w:rPr>
              <w:t>植物人状态是指由于严重颅脑外伤造成大脑和</w:t>
            </w:r>
            <w:r>
              <w:rPr>
                <w:rFonts w:ascii="Times New Roman" w:eastAsia="Times New Roman"/>
                <w:sz w:val="21"/>
              </w:rPr>
              <w:t>/</w:t>
            </w:r>
            <w:r>
              <w:rPr>
                <w:sz w:val="21"/>
              </w:rPr>
              <w:t>或脑干严重损害导</w:t>
            </w:r>
          </w:p>
          <w:p>
            <w:pPr>
              <w:pStyle w:val="TableParagraph"/>
              <w:spacing w:line="266" w:lineRule="auto" w:before="21"/>
              <w:ind w:left="377" w:right="197"/>
              <w:jc w:val="both"/>
              <w:rPr>
                <w:sz w:val="21"/>
              </w:rPr>
            </w:pPr>
            <w:r>
              <w:rPr>
                <w:sz w:val="21"/>
              </w:rPr>
              <w:t>致完全永久性的对自身和环境的意识丧失和中枢神经系统功能丧失，仅残存植物神经功能的疾病状态。对自身和环境的意识丧失的完全永久性指严重颅脑外伤后对自身和环境的意识丧失持续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282" w:hRule="atLeast"/>
        </w:trPr>
        <w:tc>
          <w:tcPr>
            <w:tcW w:w="542" w:type="dxa"/>
          </w:tcPr>
          <w:p>
            <w:pPr>
              <w:pStyle w:val="TableParagraph"/>
              <w:spacing w:line="224" w:lineRule="exact" w:before="38"/>
              <w:ind w:right="75"/>
              <w:jc w:val="right"/>
              <w:rPr>
                <w:rFonts w:ascii="Times New Roman"/>
                <w:sz w:val="21"/>
              </w:rPr>
            </w:pPr>
            <w:r>
              <w:rPr>
                <w:rFonts w:ascii="Times New Roman"/>
                <w:sz w:val="21"/>
              </w:rPr>
              <w:t>36.</w:t>
            </w:r>
          </w:p>
        </w:tc>
        <w:tc>
          <w:tcPr>
            <w:tcW w:w="3061" w:type="dxa"/>
          </w:tcPr>
          <w:p>
            <w:pPr>
              <w:pStyle w:val="TableParagraph"/>
              <w:spacing w:line="262" w:lineRule="exact"/>
              <w:ind w:left="78"/>
              <w:rPr>
                <w:sz w:val="21"/>
              </w:rPr>
            </w:pPr>
            <w:r>
              <w:rPr>
                <w:sz w:val="21"/>
              </w:rPr>
              <w:t>严重 </w:t>
            </w:r>
            <w:r>
              <w:rPr>
                <w:rFonts w:ascii="Times New Roman" w:eastAsia="Times New Roman"/>
                <w:sz w:val="21"/>
              </w:rPr>
              <w:t>1 </w:t>
            </w:r>
            <w:r>
              <w:rPr>
                <w:sz w:val="21"/>
              </w:rPr>
              <w:t>型糖尿病</w:t>
            </w:r>
          </w:p>
        </w:tc>
        <w:tc>
          <w:tcPr>
            <w:tcW w:w="6699" w:type="dxa"/>
          </w:tcPr>
          <w:p>
            <w:pPr>
              <w:pStyle w:val="TableParagraph"/>
              <w:spacing w:line="262" w:lineRule="exact"/>
              <w:ind w:left="377"/>
              <w:rPr>
                <w:sz w:val="21"/>
              </w:rPr>
            </w:pPr>
            <w:r>
              <w:rPr>
                <w:sz w:val="21"/>
              </w:rPr>
              <w:t>指由于胰岛素分泌绝对不足引起的慢性血糖升高，且已经持续性地</w:t>
            </w:r>
          </w:p>
        </w:tc>
      </w:tr>
    </w:tbl>
    <w:p>
      <w:pPr>
        <w:spacing w:after="0" w:line="262" w:lineRule="exact"/>
        <w:rPr>
          <w:sz w:val="21"/>
        </w:rPr>
        <w:sectPr>
          <w:pgSz w:w="11910" w:h="16160"/>
          <w:pgMar w:header="0" w:footer="631" w:top="1420" w:bottom="820" w:left="76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ListParagraph"/>
        <w:numPr>
          <w:ilvl w:val="0"/>
          <w:numId w:val="6"/>
        </w:numPr>
        <w:tabs>
          <w:tab w:pos="539" w:val="left" w:leader="none"/>
        </w:tabs>
        <w:spacing w:line="256" w:lineRule="auto" w:before="0" w:after="0"/>
        <w:ind w:left="538" w:right="0" w:hanging="421"/>
        <w:jc w:val="left"/>
        <w:rPr>
          <w:sz w:val="21"/>
        </w:rPr>
      </w:pPr>
      <w:r>
        <w:rPr>
          <w:spacing w:val="7"/>
          <w:sz w:val="21"/>
        </w:rPr>
        <w:t>系统性红斑狼疮 －</w:t>
      </w:r>
      <w:r>
        <w:rPr>
          <w:spacing w:val="5"/>
          <w:sz w:val="21"/>
        </w:rPr>
        <w:t>（</w:t>
      </w:r>
      <w:r>
        <w:rPr>
          <w:spacing w:val="3"/>
          <w:sz w:val="21"/>
        </w:rPr>
        <w:t>并发</w:t>
      </w:r>
      <w:r>
        <w:rPr>
          <w:sz w:val="21"/>
        </w:rPr>
        <w:t>）</w:t>
      </w:r>
      <w:r>
        <w:rPr>
          <w:rFonts w:ascii="Times New Roman" w:eastAsia="Times New Roman"/>
          <w:sz w:val="21"/>
        </w:rPr>
        <w:t>III </w:t>
      </w:r>
      <w:r>
        <w:rPr>
          <w:spacing w:val="-3"/>
          <w:sz w:val="21"/>
        </w:rPr>
        <w:t>型或以上狼疮性肾炎</w:t>
      </w:r>
    </w:p>
    <w:p>
      <w:pPr>
        <w:pStyle w:val="BodyText"/>
        <w:spacing w:line="261" w:lineRule="auto" w:before="27"/>
        <w:ind w:left="117" w:right="104"/>
        <w:jc w:val="both"/>
      </w:pPr>
      <w:r>
        <w:rPr/>
        <w:br w:type="column"/>
      </w:r>
      <w:r>
        <w:rPr/>
        <w:t>依赖外源性胰岛素维持</w:t>
      </w:r>
      <w:r>
        <w:rPr>
          <w:rFonts w:ascii="Times New Roman" w:eastAsia="Times New Roman"/>
        </w:rPr>
        <w:t>180</w:t>
      </w:r>
      <w:r>
        <w:rPr/>
        <w:t>天以上。须经血胰岛素测定、血</w:t>
      </w:r>
      <w:r>
        <w:rPr>
          <w:rFonts w:ascii="Times New Roman" w:eastAsia="Times New Roman"/>
        </w:rPr>
        <w:t>C</w:t>
      </w:r>
      <w:r>
        <w:rPr/>
        <w:t>肽测定或尿</w:t>
      </w:r>
      <w:r>
        <w:rPr>
          <w:rFonts w:ascii="Times New Roman" w:eastAsia="Times New Roman"/>
        </w:rPr>
        <w:t>C</w:t>
      </w:r>
      <w:r>
        <w:rPr/>
        <w:t>肽测定，结果异常，并由内分泌科专科医生明确诊断。并须在本附加合同有效期内，因需要已经接受下列治疗：因严重心律失常已经植入了心脏起搏器，或因坏疽需切除至少一个脚趾。</w:t>
      </w:r>
    </w:p>
    <w:p>
      <w:pPr>
        <w:pStyle w:val="BodyText"/>
        <w:spacing w:line="273" w:lineRule="auto" w:before="17"/>
        <w:ind w:left="117" w:right="208"/>
      </w:pPr>
      <w:r>
        <w:rPr>
          <w:spacing w:val="-8"/>
        </w:rPr>
        <w:t>系统性红斑狼疮是由多种因素引起，累及多系统的自身免疫性疾病</w:t>
      </w:r>
      <w:r>
        <w:rPr>
          <w:spacing w:val="-5"/>
        </w:rPr>
        <w:t>其特点是生成自身抗体对抗多种自身抗原。多见于育龄妇女。</w:t>
      </w:r>
    </w:p>
    <w:p>
      <w:pPr>
        <w:spacing w:line="266" w:lineRule="auto" w:before="7"/>
        <w:ind w:left="117" w:right="102" w:firstLine="0"/>
        <w:jc w:val="both"/>
        <w:rPr>
          <w:b/>
          <w:sz w:val="21"/>
        </w:rPr>
      </w:pPr>
      <w:r>
        <w:rPr>
          <w:spacing w:val="-2"/>
          <w:sz w:val="21"/>
        </w:rPr>
        <w:t>本附加合同所指的系统性红斑狼疮仅限于累及肾脏</w:t>
      </w:r>
      <w:r>
        <w:rPr>
          <w:sz w:val="21"/>
        </w:rPr>
        <w:t>（经肾脏活检确</w:t>
      </w:r>
      <w:r>
        <w:rPr>
          <w:spacing w:val="-8"/>
          <w:sz w:val="21"/>
        </w:rPr>
        <w:t>认的，符合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2"/>
          <w:sz w:val="21"/>
        </w:rPr>
        <w:t>型以上狼疮性肾炎</w:t>
      </w:r>
      <w:r>
        <w:rPr>
          <w:sz w:val="21"/>
        </w:rPr>
        <w:t>）的</w:t>
      </w:r>
      <w:r>
        <w:rPr>
          <w:spacing w:val="-3"/>
          <w:sz w:val="21"/>
        </w:rPr>
        <w:t>系统性红斑狼疮。</w:t>
      </w:r>
      <w:r>
        <w:rPr>
          <w:b/>
          <w:sz w:val="21"/>
        </w:rPr>
        <w:t>其他类型的红斑性狼疮，如盘状狼疮、仅累及血</w:t>
      </w:r>
      <w:r>
        <w:rPr>
          <w:b/>
          <w:spacing w:val="-2"/>
          <w:sz w:val="21"/>
        </w:rPr>
        <w:t>液及关节的狼疮不在保障范围內。</w:t>
      </w:r>
    </w:p>
    <w:p>
      <w:pPr>
        <w:pStyle w:val="BodyText"/>
        <w:spacing w:before="14"/>
        <w:ind w:left="117"/>
        <w:jc w:val="both"/>
      </w:pPr>
      <w:r>
        <w:rPr/>
        <w:t>世界卫生组织（</w:t>
      </w:r>
      <w:r>
        <w:rPr>
          <w:rFonts w:ascii="Times New Roman" w:eastAsia="Times New Roman"/>
        </w:rPr>
        <w:t>WHO</w:t>
      </w:r>
      <w:r>
        <w:rPr/>
        <w:t>）狼疮性肾炎分型：</w:t>
      </w:r>
    </w:p>
    <w:p>
      <w:pPr>
        <w:spacing w:after="0"/>
        <w:jc w:val="both"/>
        <w:sectPr>
          <w:pgSz w:w="11910" w:h="16160"/>
          <w:pgMar w:header="0" w:footer="631" w:top="1340" w:bottom="820" w:left="960" w:right="820"/>
          <w:cols w:num="2" w:equalWidth="0">
            <w:col w:w="3479" w:space="302"/>
            <w:col w:w="6349"/>
          </w:cols>
        </w:sectPr>
      </w:pPr>
    </w:p>
    <w:p>
      <w:pPr>
        <w:pStyle w:val="BodyText"/>
        <w:spacing w:before="7"/>
        <w:rPr>
          <w:sz w:val="2"/>
        </w:rPr>
      </w:pPr>
    </w:p>
    <w:tbl>
      <w:tblPr>
        <w:tblW w:w="0" w:type="auto"/>
        <w:jc w:val="left"/>
        <w:tblInd w:w="3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3" w:hRule="atLeast"/>
        </w:trPr>
        <w:tc>
          <w:tcPr>
            <w:tcW w:w="2088" w:type="dxa"/>
            <w:tcBorders>
              <w:left w:val="single" w:sz="4" w:space="0" w:color="000000"/>
              <w:bottom w:val="thinThickMediumGap" w:sz="4" w:space="0" w:color="000000"/>
              <w:right w:val="single" w:sz="4" w:space="0" w:color="000000"/>
            </w:tcBorders>
          </w:tcPr>
          <w:p>
            <w:pPr>
              <w:pStyle w:val="TableParagraph"/>
              <w:spacing w:before="9"/>
              <w:ind w:left="107"/>
              <w:rPr>
                <w:sz w:val="21"/>
              </w:rPr>
            </w:pPr>
            <w:r>
              <w:rPr>
                <w:rFonts w:ascii="Times New Roman" w:eastAsia="Times New Roman"/>
                <w:sz w:val="21"/>
              </w:rPr>
              <w:t>I </w:t>
            </w:r>
            <w:r>
              <w:rPr>
                <w:sz w:val="21"/>
              </w:rPr>
              <w:t>型</w:t>
            </w:r>
          </w:p>
        </w:tc>
        <w:tc>
          <w:tcPr>
            <w:tcW w:w="2088" w:type="dxa"/>
            <w:tcBorders>
              <w:left w:val="single" w:sz="4" w:space="0" w:color="000000"/>
              <w:bottom w:val="thinThickMediumGap" w:sz="4" w:space="0" w:color="000000"/>
              <w:right w:val="single" w:sz="4" w:space="0" w:color="000000"/>
            </w:tcBorders>
          </w:tcPr>
          <w:p>
            <w:pPr>
              <w:pStyle w:val="TableParagraph"/>
              <w:spacing w:before="9"/>
              <w:ind w:left="108"/>
              <w:rPr>
                <w:sz w:val="21"/>
              </w:rPr>
            </w:pPr>
            <w:r>
              <w:rPr>
                <w:sz w:val="21"/>
              </w:rPr>
              <w:t>微小病变型</w:t>
            </w:r>
          </w:p>
        </w:tc>
      </w:tr>
      <w:tr>
        <w:trPr>
          <w:trHeight w:val="352" w:hRule="atLeast"/>
        </w:trPr>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II </w:t>
            </w:r>
            <w:r>
              <w:rPr>
                <w:sz w:val="21"/>
              </w:rPr>
              <w:t>型</w:t>
            </w:r>
          </w:p>
        </w:tc>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系膜病变型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ListParagraph"/>
        <w:numPr>
          <w:ilvl w:val="0"/>
          <w:numId w:val="6"/>
        </w:numPr>
        <w:tabs>
          <w:tab w:pos="539" w:val="left" w:leader="none"/>
          <w:tab w:pos="3898" w:val="left" w:leader="none"/>
        </w:tabs>
        <w:spacing w:line="279" w:lineRule="exact" w:before="0" w:after="0"/>
        <w:ind w:left="538" w:right="0" w:hanging="421"/>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pStyle w:val="BodyText"/>
        <w:spacing w:line="273" w:lineRule="auto" w:before="21"/>
        <w:ind w:left="3898" w:right="128"/>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before="7"/>
        <w:ind w:left="3898" w:right="0" w:firstLine="0"/>
        <w:jc w:val="left"/>
        <w:rPr>
          <w:b/>
          <w:sz w:val="21"/>
        </w:rPr>
      </w:pPr>
      <w:r>
        <w:rPr>
          <w:b/>
          <w:sz w:val="21"/>
        </w:rPr>
        <w:t>神经官能症,精神疾病及酒精中毒所致脑损害不在保障范围内。</w:t>
      </w:r>
    </w:p>
    <w:p>
      <w:pPr>
        <w:pStyle w:val="ListParagraph"/>
        <w:numPr>
          <w:ilvl w:val="0"/>
          <w:numId w:val="6"/>
        </w:numPr>
        <w:tabs>
          <w:tab w:pos="539" w:val="left" w:leader="none"/>
          <w:tab w:pos="3898" w:val="left" w:leader="none"/>
        </w:tabs>
        <w:spacing w:line="240" w:lineRule="auto" w:before="36" w:after="0"/>
        <w:ind w:left="538" w:right="0" w:hanging="42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侵犯</w:t>
      </w:r>
    </w:p>
    <w:p>
      <w:pPr>
        <w:pStyle w:val="BodyText"/>
        <w:spacing w:line="268" w:lineRule="auto" w:before="20"/>
        <w:ind w:left="3898" w:right="102"/>
        <w:jc w:val="both"/>
      </w:pPr>
      <w:r>
        <w:rPr>
          <w:spacing w:val="-3"/>
        </w:rPr>
        <w:t>至少三个主要关节（腕关节、肘关节、肩关节、踝关节、膝关节、髋关节</w:t>
      </w:r>
      <w:r>
        <w:rPr/>
        <w:t>）</w:t>
      </w:r>
      <w:r>
        <w:rPr>
          <w:spacing w:val="-3"/>
        </w:rPr>
        <w:t>或关节组（如手的多个指间、掌指关节，足的多个足趾、跖趾关节等</w:t>
      </w:r>
      <w:r>
        <w:rPr>
          <w:spacing w:val="-106"/>
        </w:rPr>
        <w:t>）</w:t>
      </w:r>
      <w:r>
        <w:rPr>
          <w:spacing w:val="-11"/>
        </w:rPr>
        <w:t>。类风湿性关节炎须明确诊断，并已达到类风湿性关节</w:t>
      </w:r>
      <w:r>
        <w:rPr>
          <w:spacing w:val="-10"/>
        </w:rPr>
        <w:t>炎功能活动分级</w:t>
      </w:r>
      <w:r>
        <w:rPr/>
        <w:t>（</w:t>
      </w:r>
      <w:r>
        <w:rPr>
          <w:spacing w:val="-3"/>
        </w:rPr>
        <w:t>注</w:t>
      </w:r>
      <w:r>
        <w:rPr>
          <w:spacing w:val="-11"/>
        </w:rPr>
        <w:t>）</w:t>
      </w:r>
      <w:r>
        <w:rPr>
          <w:rFonts w:ascii="Times New Roman" w:eastAsia="Times New Roman"/>
          <w:spacing w:val="-11"/>
        </w:rPr>
        <w:t>IV </w:t>
      </w:r>
      <w:r>
        <w:rPr>
          <w:spacing w:val="-5"/>
        </w:rPr>
        <w:t>级的永久不可逆性关节功能障碍，且须满</w:t>
      </w:r>
      <w:r>
        <w:rPr>
          <w:spacing w:val="-4"/>
        </w:rPr>
        <w:t>足下列全部条件：</w:t>
      </w:r>
    </w:p>
    <w:p>
      <w:pPr>
        <w:pStyle w:val="BodyText"/>
        <w:spacing w:before="11"/>
        <w:ind w:left="15" w:right="1185"/>
        <w:jc w:val="center"/>
      </w:pPr>
      <w:r>
        <w:rPr/>
        <w:t>（</w:t>
      </w:r>
      <w:r>
        <w:rPr>
          <w:rFonts w:ascii="Times New Roman" w:eastAsia="Times New Roman"/>
        </w:rPr>
        <w:t>1</w:t>
      </w:r>
      <w:r>
        <w:rPr/>
        <w:t>）晨僵；</w:t>
      </w:r>
    </w:p>
    <w:p>
      <w:pPr>
        <w:pStyle w:val="BodyText"/>
        <w:spacing w:before="21"/>
        <w:ind w:left="15" w:right="345"/>
        <w:jc w:val="center"/>
      </w:pPr>
      <w:r>
        <w:rPr/>
        <w:t>（</w:t>
      </w:r>
      <w:r>
        <w:rPr>
          <w:rFonts w:ascii="Times New Roman" w:eastAsia="Times New Roman"/>
        </w:rPr>
        <w:t>2</w:t>
      </w:r>
      <w:r>
        <w:rPr/>
        <w:t>）对称性关节炎；</w:t>
      </w:r>
    </w:p>
    <w:p>
      <w:pPr>
        <w:pStyle w:val="BodyText"/>
        <w:spacing w:before="22"/>
        <w:ind w:left="85"/>
        <w:jc w:val="center"/>
      </w:pPr>
      <w:r>
        <w:rPr/>
        <w:t>（</w:t>
      </w:r>
      <w:r>
        <w:rPr>
          <w:rFonts w:ascii="Times New Roman" w:eastAsia="Times New Roman"/>
        </w:rPr>
        <w:t>3</w:t>
      </w:r>
      <w:r>
        <w:rPr/>
        <w:t>）类风湿性皮下结节；</w:t>
      </w:r>
    </w:p>
    <w:p>
      <w:pPr>
        <w:pStyle w:val="BodyText"/>
        <w:spacing w:before="21"/>
        <w:ind w:left="296"/>
        <w:jc w:val="center"/>
      </w:pPr>
      <w:r>
        <w:rPr/>
        <w:t>（</w:t>
      </w:r>
      <w:r>
        <w:rPr>
          <w:rFonts w:ascii="Times New Roman" w:eastAsia="Times New Roman"/>
        </w:rPr>
        <w:t>4</w:t>
      </w:r>
      <w:r>
        <w:rPr/>
        <w:t>）类风湿因子滴度升高；</w:t>
      </w:r>
    </w:p>
    <w:p>
      <w:pPr>
        <w:pStyle w:val="BodyText"/>
        <w:spacing w:line="256" w:lineRule="auto" w:before="21"/>
        <w:ind w:left="3898" w:right="923"/>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4304"/>
      </w:pPr>
      <w:r>
        <w:rPr/>
        <w:t>Ⅰ级：关节功能完整，一般活动无障碍。</w:t>
      </w:r>
    </w:p>
    <w:p>
      <w:pPr>
        <w:pStyle w:val="BodyText"/>
        <w:spacing w:line="273" w:lineRule="auto" w:before="36"/>
        <w:ind w:left="4304" w:right="848"/>
        <w:jc w:val="both"/>
      </w:pPr>
      <w:r>
        <w:rPr/>
        <w:t>Ⅱ级：有关节不适或障碍，但尚能完成一半活动。Ⅲ级：功能活动明显受限，但大部分生活可自理。Ⅳ级：生活不能自理或卧床。</w:t>
      </w:r>
    </w:p>
    <w:p>
      <w:pPr>
        <w:pStyle w:val="ListParagraph"/>
        <w:numPr>
          <w:ilvl w:val="0"/>
          <w:numId w:val="6"/>
        </w:numPr>
        <w:tabs>
          <w:tab w:pos="539" w:val="left" w:leader="none"/>
          <w:tab w:pos="3898" w:val="left" w:leader="none"/>
        </w:tabs>
        <w:spacing w:line="240" w:lineRule="auto" w:before="7" w:after="0"/>
        <w:ind w:left="538" w:right="0" w:hanging="421"/>
        <w:jc w:val="left"/>
        <w:rPr>
          <w:sz w:val="21"/>
        </w:rPr>
      </w:pPr>
      <w:r>
        <w:rPr>
          <w:sz w:val="21"/>
        </w:rPr>
        <w:t>严重</w:t>
      </w:r>
      <w:r>
        <w:rPr>
          <w:spacing w:val="-3"/>
          <w:sz w:val="21"/>
        </w:rPr>
        <w:t>哮</w:t>
      </w:r>
      <w:r>
        <w:rPr>
          <w:sz w:val="21"/>
        </w:rPr>
        <w:t>喘</w:t>
      </w:r>
      <w:r>
        <w:rPr>
          <w:rFonts w:ascii="Times New Roman" w:eastAsia="Times New Roman"/>
          <w:sz w:val="21"/>
        </w:rPr>
        <w:t>- </w:t>
      </w:r>
      <w:r>
        <w:rPr>
          <w:rFonts w:ascii="Times New Roman" w:eastAsia="Times New Roman"/>
          <w:spacing w:val="2"/>
          <w:sz w:val="21"/>
        </w:rPr>
        <w:t> </w:t>
      </w:r>
      <w:r>
        <w:rPr>
          <w:b/>
          <w:sz w:val="21"/>
        </w:rPr>
        <w:t>二十五岁前</w:t>
      </w:r>
      <w:r>
        <w:rPr>
          <w:b/>
          <w:spacing w:val="-3"/>
          <w:sz w:val="21"/>
        </w:rPr>
        <w:t>理</w:t>
      </w:r>
      <w:r>
        <w:rPr>
          <w:b/>
          <w:sz w:val="21"/>
        </w:rPr>
        <w:t>赔</w:t>
        <w:tab/>
      </w:r>
      <w:r>
        <w:rPr>
          <w:sz w:val="21"/>
        </w:rPr>
        <w:t>指一种反复发作的严重</w:t>
      </w:r>
      <w:r>
        <w:rPr>
          <w:spacing w:val="-3"/>
          <w:sz w:val="21"/>
        </w:rPr>
        <w:t>支</w:t>
      </w:r>
      <w:r>
        <w:rPr>
          <w:sz w:val="21"/>
        </w:rPr>
        <w:t>气管阻塞性疾病，经我</w:t>
      </w:r>
      <w:r>
        <w:rPr>
          <w:spacing w:val="-3"/>
          <w:sz w:val="21"/>
        </w:rPr>
        <w:t>们</w:t>
      </w:r>
      <w:r>
        <w:rPr>
          <w:sz w:val="21"/>
        </w:rPr>
        <w:t>认可的专科医生</w:t>
      </w:r>
    </w:p>
    <w:p>
      <w:pPr>
        <w:pStyle w:val="BodyText"/>
        <w:spacing w:before="21"/>
        <w:ind w:left="3898"/>
        <w:jc w:val="both"/>
      </w:pPr>
      <w:r>
        <w:rPr/>
        <w:t>确诊，且必须同时符合下列标准：</w:t>
      </w:r>
    </w:p>
    <w:p>
      <w:pPr>
        <w:spacing w:after="0"/>
        <w:jc w:val="both"/>
        <w:sectPr>
          <w:type w:val="continuous"/>
          <w:pgSz w:w="11910" w:h="16160"/>
          <w:pgMar w:top="540" w:bottom="28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637"/>
      </w:tblGrid>
      <w:tr>
        <w:trPr>
          <w:trHeight w:val="1512" w:hRule="atLeast"/>
        </w:trPr>
        <w:tc>
          <w:tcPr>
            <w:tcW w:w="542" w:type="dxa"/>
          </w:tcPr>
          <w:p>
            <w:pPr>
              <w:pStyle w:val="TableParagraph"/>
              <w:rPr>
                <w:rFonts w:ascii="Times New Roman"/>
                <w:sz w:val="20"/>
              </w:rPr>
            </w:pPr>
          </w:p>
        </w:tc>
        <w:tc>
          <w:tcPr>
            <w:tcW w:w="3125" w:type="dxa"/>
          </w:tcPr>
          <w:p>
            <w:pPr>
              <w:pStyle w:val="TableParagraph"/>
              <w:rPr>
                <w:rFonts w:ascii="Times New Roman"/>
                <w:sz w:val="20"/>
              </w:rPr>
            </w:pPr>
          </w:p>
        </w:tc>
        <w:tc>
          <w:tcPr>
            <w:tcW w:w="6637" w:type="dxa"/>
          </w:tcPr>
          <w:p>
            <w:pPr>
              <w:pStyle w:val="TableParagraph"/>
              <w:spacing w:line="234" w:lineRule="exact"/>
              <w:ind w:left="313"/>
              <w:rPr>
                <w:sz w:val="21"/>
              </w:rPr>
            </w:pPr>
            <w:r>
              <w:rPr>
                <w:w w:val="100"/>
                <w:sz w:val="21"/>
              </w:rPr>
              <w:t>（</w:t>
            </w:r>
            <w:r>
              <w:rPr>
                <w:rFonts w:ascii="Times New Roman" w:eastAsia="Times New Roman"/>
                <w:w w:val="100"/>
                <w:sz w:val="21"/>
              </w:rPr>
              <w:t>1</w:t>
            </w:r>
            <w:r>
              <w:rPr>
                <w:spacing w:val="-94"/>
                <w:w w:val="100"/>
                <w:sz w:val="21"/>
              </w:rPr>
              <w:t>）</w:t>
            </w:r>
            <w:r>
              <w:rPr>
                <w:spacing w:val="-8"/>
                <w:w w:val="100"/>
                <w:sz w:val="21"/>
              </w:rPr>
              <w:t>过去两年中曾因哮喘持续状态住院治疗，并提供完整住院记录</w:t>
            </w:r>
          </w:p>
          <w:p>
            <w:pPr>
              <w:pStyle w:val="TableParagraph"/>
              <w:spacing w:before="21"/>
              <w:ind w:left="313"/>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313"/>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313" w:right="960"/>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255" w:hRule="atLeast"/>
        </w:trPr>
        <w:tc>
          <w:tcPr>
            <w:tcW w:w="542" w:type="dxa"/>
          </w:tcPr>
          <w:p>
            <w:pPr>
              <w:pStyle w:val="TableParagraph"/>
              <w:spacing w:before="38"/>
              <w:ind w:right="75"/>
              <w:jc w:val="right"/>
              <w:rPr>
                <w:rFonts w:ascii="Times New Roman"/>
                <w:sz w:val="21"/>
              </w:rPr>
            </w:pPr>
            <w:r>
              <w:rPr>
                <w:rFonts w:ascii="Times New Roman"/>
                <w:sz w:val="21"/>
              </w:rPr>
              <w:t>41.</w:t>
            </w:r>
          </w:p>
        </w:tc>
        <w:tc>
          <w:tcPr>
            <w:tcW w:w="3125" w:type="dxa"/>
          </w:tcPr>
          <w:p>
            <w:pPr>
              <w:pStyle w:val="TableParagraph"/>
              <w:spacing w:line="266" w:lineRule="exact"/>
              <w:ind w:left="78"/>
              <w:rPr>
                <w:sz w:val="21"/>
              </w:rPr>
            </w:pPr>
            <w:r>
              <w:rPr>
                <w:sz w:val="21"/>
              </w:rPr>
              <w:t>肾髓质囊性病</w:t>
            </w:r>
          </w:p>
        </w:tc>
        <w:tc>
          <w:tcPr>
            <w:tcW w:w="6637" w:type="dxa"/>
          </w:tcPr>
          <w:p>
            <w:pPr>
              <w:pStyle w:val="TableParagraph"/>
              <w:spacing w:line="266" w:lineRule="exact"/>
              <w:ind w:left="313"/>
              <w:rPr>
                <w:sz w:val="21"/>
              </w:rPr>
            </w:pPr>
            <w:r>
              <w:rPr>
                <w:sz w:val="21"/>
              </w:rPr>
              <w:t>肾髓质囊性病的诊断须同时符合下列要求：</w:t>
            </w:r>
          </w:p>
          <w:p>
            <w:pPr>
              <w:pStyle w:val="TableParagraph"/>
              <w:spacing w:before="37"/>
              <w:ind w:left="31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313"/>
              <w:rPr>
                <w:sz w:val="21"/>
              </w:rPr>
            </w:pPr>
            <w:r>
              <w:rPr>
                <w:sz w:val="21"/>
              </w:rPr>
              <w:t>（</w:t>
            </w:r>
            <w:r>
              <w:rPr>
                <w:rFonts w:ascii="Times New Roman" w:eastAsia="Times New Roman"/>
                <w:sz w:val="21"/>
              </w:rPr>
              <w:t>2</w:t>
            </w:r>
            <w:r>
              <w:rPr>
                <w:sz w:val="21"/>
              </w:rPr>
              <w:t>）肾功能衰竭；</w:t>
            </w:r>
          </w:p>
          <w:p>
            <w:pPr>
              <w:pStyle w:val="TableParagraph"/>
              <w:spacing w:before="21"/>
              <w:ind w:left="313"/>
              <w:rPr>
                <w:sz w:val="21"/>
              </w:rPr>
            </w:pPr>
            <w:r>
              <w:rPr>
                <w:sz w:val="21"/>
              </w:rPr>
              <w:t>（</w:t>
            </w:r>
            <w:r>
              <w:rPr>
                <w:rFonts w:ascii="Times New Roman" w:eastAsia="Times New Roman"/>
                <w:sz w:val="21"/>
              </w:rPr>
              <w:t>3</w:t>
            </w:r>
            <w:r>
              <w:rPr>
                <w:sz w:val="21"/>
              </w:rPr>
              <w:t>）诊断须由肾组织活检确定。</w:t>
            </w:r>
          </w:p>
        </w:tc>
      </w:tr>
      <w:tr>
        <w:trPr>
          <w:trHeight w:val="1872" w:hRule="atLeast"/>
        </w:trPr>
        <w:tc>
          <w:tcPr>
            <w:tcW w:w="542" w:type="dxa"/>
          </w:tcPr>
          <w:p>
            <w:pPr>
              <w:pStyle w:val="TableParagraph"/>
              <w:spacing w:before="30"/>
              <w:ind w:right="75"/>
              <w:jc w:val="right"/>
              <w:rPr>
                <w:rFonts w:ascii="Times New Roman"/>
                <w:sz w:val="21"/>
              </w:rPr>
            </w:pPr>
            <w:r>
              <w:rPr>
                <w:rFonts w:ascii="Times New Roman"/>
                <w:sz w:val="21"/>
              </w:rPr>
              <w:t>42.</w:t>
            </w:r>
          </w:p>
        </w:tc>
        <w:tc>
          <w:tcPr>
            <w:tcW w:w="3125" w:type="dxa"/>
          </w:tcPr>
          <w:p>
            <w:pPr>
              <w:pStyle w:val="TableParagraph"/>
              <w:spacing w:line="258" w:lineRule="exact"/>
              <w:ind w:left="78"/>
              <w:rPr>
                <w:sz w:val="21"/>
              </w:rPr>
            </w:pPr>
            <w:r>
              <w:rPr>
                <w:sz w:val="21"/>
              </w:rPr>
              <w:t>重症急性坏死性筋膜炎</w:t>
            </w:r>
          </w:p>
        </w:tc>
        <w:tc>
          <w:tcPr>
            <w:tcW w:w="6637" w:type="dxa"/>
          </w:tcPr>
          <w:p>
            <w:pPr>
              <w:pStyle w:val="TableParagraph"/>
              <w:spacing w:line="258" w:lineRule="exact"/>
              <w:ind w:left="313"/>
              <w:rPr>
                <w:sz w:val="21"/>
              </w:rPr>
            </w:pPr>
            <w:r>
              <w:rPr>
                <w:sz w:val="21"/>
              </w:rPr>
              <w:t>是一种由细菌侵入皮下组织和筋膜引起的急性坏死性软组织感染，</w:t>
            </w:r>
          </w:p>
          <w:p>
            <w:pPr>
              <w:pStyle w:val="TableParagraph"/>
              <w:spacing w:line="273" w:lineRule="auto" w:before="37"/>
              <w:ind w:left="313" w:right="200"/>
              <w:rPr>
                <w:sz w:val="21"/>
              </w:rPr>
            </w:pPr>
            <w:r>
              <w:rPr>
                <w:sz w:val="21"/>
              </w:rPr>
              <w:t>可伴有毒血症、败血症、中毒性休克、弥漫性血管内凝血及多器官衰竭。必须满足以下所有条件：</w:t>
            </w:r>
          </w:p>
          <w:p>
            <w:pPr>
              <w:pStyle w:val="TableParagraph"/>
              <w:spacing w:before="7"/>
              <w:ind w:left="313"/>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313"/>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313"/>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30"/>
              <w:ind w:right="75"/>
              <w:jc w:val="right"/>
              <w:rPr>
                <w:rFonts w:ascii="Times New Roman"/>
                <w:sz w:val="21"/>
              </w:rPr>
            </w:pPr>
            <w:r>
              <w:rPr>
                <w:rFonts w:ascii="Times New Roman"/>
                <w:sz w:val="21"/>
              </w:rPr>
              <w:t>43.</w:t>
            </w:r>
          </w:p>
        </w:tc>
        <w:tc>
          <w:tcPr>
            <w:tcW w:w="3125" w:type="dxa"/>
          </w:tcPr>
          <w:p>
            <w:pPr>
              <w:pStyle w:val="TableParagraph"/>
              <w:spacing w:line="258" w:lineRule="exact"/>
              <w:ind w:left="78"/>
              <w:rPr>
                <w:sz w:val="21"/>
              </w:rPr>
            </w:pPr>
            <w:r>
              <w:rPr>
                <w:sz w:val="21"/>
              </w:rPr>
              <w:t>慢性呼吸功能衰竭终末期肺病</w:t>
            </w:r>
          </w:p>
        </w:tc>
        <w:tc>
          <w:tcPr>
            <w:tcW w:w="6637" w:type="dxa"/>
          </w:tcPr>
          <w:p>
            <w:pPr>
              <w:pStyle w:val="TableParagraph"/>
              <w:spacing w:line="258" w:lineRule="exact"/>
              <w:ind w:left="313"/>
              <w:rPr>
                <w:sz w:val="21"/>
              </w:rPr>
            </w:pPr>
            <w:r>
              <w:rPr>
                <w:sz w:val="21"/>
              </w:rPr>
              <w:t>指慢性肺部疾病导致永久不可逆性的慢性呼吸功能衰竭，必须由呼</w:t>
            </w:r>
          </w:p>
          <w:p>
            <w:pPr>
              <w:pStyle w:val="TableParagraph"/>
              <w:spacing w:before="37"/>
              <w:ind w:left="313"/>
              <w:rPr>
                <w:sz w:val="21"/>
              </w:rPr>
            </w:pPr>
            <w:r>
              <w:rPr>
                <w:sz w:val="21"/>
              </w:rPr>
              <w:t>吸专科医师确认并符合下列所有条件：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313"/>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30"/>
              <w:ind w:right="75"/>
              <w:jc w:val="right"/>
              <w:rPr>
                <w:rFonts w:ascii="Times New Roman"/>
                <w:sz w:val="21"/>
              </w:rPr>
            </w:pPr>
            <w:r>
              <w:rPr>
                <w:rFonts w:ascii="Times New Roman"/>
                <w:sz w:val="21"/>
              </w:rPr>
              <w:t>44.</w:t>
            </w:r>
          </w:p>
        </w:tc>
        <w:tc>
          <w:tcPr>
            <w:tcW w:w="3125" w:type="dxa"/>
          </w:tcPr>
          <w:p>
            <w:pPr>
              <w:pStyle w:val="TableParagraph"/>
              <w:spacing w:line="258" w:lineRule="exact"/>
              <w:ind w:left="78"/>
              <w:rPr>
                <w:sz w:val="21"/>
              </w:rPr>
            </w:pPr>
            <w:r>
              <w:rPr>
                <w:sz w:val="21"/>
              </w:rPr>
              <w:t>胰腺移植</w:t>
            </w:r>
          </w:p>
        </w:tc>
        <w:tc>
          <w:tcPr>
            <w:tcW w:w="6637" w:type="dxa"/>
          </w:tcPr>
          <w:p>
            <w:pPr>
              <w:pStyle w:val="TableParagraph"/>
              <w:spacing w:line="258" w:lineRule="exact"/>
              <w:ind w:left="313"/>
              <w:rPr>
                <w:sz w:val="21"/>
              </w:rPr>
            </w:pPr>
            <w:r>
              <w:rPr>
                <w:sz w:val="21"/>
              </w:rPr>
              <w:t>指因胰腺功能衰竭，已经实施了在全身麻醉下进行的胰腺的异体器</w:t>
            </w:r>
          </w:p>
          <w:p>
            <w:pPr>
              <w:pStyle w:val="TableParagraph"/>
              <w:spacing w:before="37"/>
              <w:ind w:left="313"/>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6"/>
              <w:ind w:left="313"/>
              <w:rPr>
                <w:b/>
                <w:sz w:val="21"/>
              </w:rPr>
            </w:pPr>
            <w:r>
              <w:rPr>
                <w:b/>
                <w:sz w:val="21"/>
              </w:rPr>
              <w:t>单纯胰岛移植、部分胰腺组织或细胞的移植不在保障范围内。</w:t>
            </w:r>
          </w:p>
        </w:tc>
      </w:tr>
      <w:tr>
        <w:trPr>
          <w:trHeight w:val="943" w:hRule="atLeast"/>
        </w:trPr>
        <w:tc>
          <w:tcPr>
            <w:tcW w:w="542" w:type="dxa"/>
          </w:tcPr>
          <w:p>
            <w:pPr>
              <w:pStyle w:val="TableParagraph"/>
              <w:spacing w:before="38"/>
              <w:ind w:right="77"/>
              <w:jc w:val="right"/>
              <w:rPr>
                <w:rFonts w:ascii="Times New Roman"/>
                <w:sz w:val="21"/>
              </w:rPr>
            </w:pPr>
            <w:r>
              <w:rPr>
                <w:rFonts w:ascii="Times New Roman"/>
                <w:sz w:val="21"/>
              </w:rPr>
              <w:t>45.</w:t>
            </w:r>
          </w:p>
        </w:tc>
        <w:tc>
          <w:tcPr>
            <w:tcW w:w="3125" w:type="dxa"/>
          </w:tcPr>
          <w:p>
            <w:pPr>
              <w:pStyle w:val="TableParagraph"/>
              <w:spacing w:line="266" w:lineRule="exact"/>
              <w:ind w:left="78"/>
              <w:rPr>
                <w:sz w:val="21"/>
              </w:rPr>
            </w:pPr>
            <w:r>
              <w:rPr>
                <w:sz w:val="21"/>
              </w:rPr>
              <w:t>埃博拉病毒感染</w:t>
            </w:r>
          </w:p>
        </w:tc>
        <w:tc>
          <w:tcPr>
            <w:tcW w:w="6637" w:type="dxa"/>
          </w:tcPr>
          <w:p>
            <w:pPr>
              <w:pStyle w:val="TableParagraph"/>
              <w:spacing w:line="273" w:lineRule="auto"/>
              <w:ind w:left="313" w:right="200"/>
              <w:rPr>
                <w:sz w:val="21"/>
              </w:rPr>
            </w:pPr>
            <w:r>
              <w:rPr>
                <w:sz w:val="21"/>
              </w:rPr>
              <w:t>指受埃博拉病毒感染导致出血性发热。埃博拉病必须经国家机关认可的有合法资质的传染病专家确诊，并且埃博拉病毒的存在必须经</w:t>
            </w:r>
          </w:p>
          <w:p>
            <w:pPr>
              <w:pStyle w:val="TableParagraph"/>
              <w:spacing w:before="16"/>
              <w:ind w:left="313"/>
              <w:rPr>
                <w:sz w:val="21"/>
              </w:rPr>
            </w:pPr>
            <w:r>
              <w:rPr>
                <w:sz w:val="21"/>
              </w:rPr>
              <w:t>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46.</w:t>
            </w:r>
          </w:p>
        </w:tc>
        <w:tc>
          <w:tcPr>
            <w:tcW w:w="3125" w:type="dxa"/>
          </w:tcPr>
          <w:p>
            <w:pPr>
              <w:pStyle w:val="TableParagraph"/>
              <w:spacing w:line="258" w:lineRule="exact"/>
              <w:ind w:left="78"/>
              <w:rPr>
                <w:sz w:val="21"/>
              </w:rPr>
            </w:pPr>
            <w:r>
              <w:rPr>
                <w:sz w:val="21"/>
              </w:rPr>
              <w:t>破裂脑动脉瘤夹闭手术</w:t>
            </w:r>
          </w:p>
        </w:tc>
        <w:tc>
          <w:tcPr>
            <w:tcW w:w="6637" w:type="dxa"/>
          </w:tcPr>
          <w:p>
            <w:pPr>
              <w:pStyle w:val="TableParagraph"/>
              <w:spacing w:line="258" w:lineRule="exact"/>
              <w:ind w:left="313"/>
              <w:rPr>
                <w:sz w:val="21"/>
              </w:rPr>
            </w:pPr>
            <w:r>
              <w:rPr>
                <w:sz w:val="21"/>
              </w:rPr>
              <w:t>指因脑动脉瘤破裂造成蛛网膜下腔出血，被保险人实际接受了在全</w:t>
            </w:r>
          </w:p>
          <w:p>
            <w:pPr>
              <w:pStyle w:val="TableParagraph"/>
              <w:spacing w:before="37"/>
              <w:ind w:left="313"/>
              <w:rPr>
                <w:sz w:val="21"/>
              </w:rPr>
            </w:pPr>
            <w:r>
              <w:rPr>
                <w:sz w:val="21"/>
              </w:rPr>
              <w:t>麻下进行的开颅动脉瘤夹闭手术。</w:t>
            </w:r>
          </w:p>
          <w:p>
            <w:pPr>
              <w:pStyle w:val="TableParagraph"/>
              <w:spacing w:line="310" w:lineRule="atLeast" w:before="2"/>
              <w:ind w:left="313" w:right="306"/>
              <w:rPr>
                <w:b/>
                <w:sz w:val="21"/>
              </w:rPr>
            </w:pPr>
            <w:r>
              <w:rPr>
                <w:b/>
                <w:spacing w:val="-7"/>
                <w:sz w:val="21"/>
              </w:rPr>
              <w:t>脑动脉瘤</w:t>
            </w:r>
            <w:r>
              <w:rPr>
                <w:b/>
                <w:sz w:val="21"/>
              </w:rPr>
              <w:t>（未破裂</w:t>
            </w:r>
            <w:r>
              <w:rPr>
                <w:b/>
                <w:spacing w:val="-27"/>
                <w:sz w:val="21"/>
              </w:rPr>
              <w:t>）</w:t>
            </w:r>
            <w:r>
              <w:rPr>
                <w:b/>
                <w:spacing w:val="-8"/>
                <w:sz w:val="21"/>
              </w:rPr>
              <w:t>预防性手术、颅骨打孔手术、动脉瘤栓塞手术血管内手术及其他颅脑手术不在保障范围内。</w:t>
            </w:r>
          </w:p>
        </w:tc>
      </w:tr>
      <w:tr>
        <w:trPr>
          <w:trHeight w:val="944" w:hRule="atLeast"/>
        </w:trPr>
        <w:tc>
          <w:tcPr>
            <w:tcW w:w="542" w:type="dxa"/>
          </w:tcPr>
          <w:p>
            <w:pPr>
              <w:pStyle w:val="TableParagraph"/>
              <w:spacing w:before="38"/>
              <w:ind w:right="75"/>
              <w:jc w:val="right"/>
              <w:rPr>
                <w:rFonts w:ascii="Times New Roman"/>
                <w:sz w:val="21"/>
              </w:rPr>
            </w:pPr>
            <w:r>
              <w:rPr>
                <w:rFonts w:ascii="Times New Roman"/>
                <w:sz w:val="21"/>
              </w:rPr>
              <w:t>47.</w:t>
            </w:r>
          </w:p>
        </w:tc>
        <w:tc>
          <w:tcPr>
            <w:tcW w:w="3125" w:type="dxa"/>
          </w:tcPr>
          <w:p>
            <w:pPr>
              <w:pStyle w:val="TableParagraph"/>
              <w:spacing w:line="266" w:lineRule="exact"/>
              <w:ind w:left="78"/>
              <w:rPr>
                <w:sz w:val="21"/>
              </w:rPr>
            </w:pPr>
            <w:r>
              <w:rPr>
                <w:sz w:val="21"/>
              </w:rPr>
              <w:t>丝虫病所致象皮肿</w:t>
            </w:r>
          </w:p>
        </w:tc>
        <w:tc>
          <w:tcPr>
            <w:tcW w:w="6637" w:type="dxa"/>
          </w:tcPr>
          <w:p>
            <w:pPr>
              <w:pStyle w:val="TableParagraph"/>
              <w:spacing w:line="273" w:lineRule="auto"/>
              <w:ind w:left="313" w:right="200"/>
              <w:rPr>
                <w:sz w:val="21"/>
              </w:rPr>
            </w:pPr>
            <w:r>
              <w:rPr>
                <w:spacing w:val="-2"/>
                <w:sz w:val="21"/>
              </w:rPr>
              <w:t>指因丝虫感染导致淋巴阻塞性出现严重淋巴水肿，达到国际淋巴学</w:t>
            </w:r>
            <w:r>
              <w:rPr>
                <w:spacing w:val="-7"/>
                <w:sz w:val="21"/>
              </w:rPr>
              <w:t>会淋巴水肿分期第 </w:t>
            </w:r>
            <w:r>
              <w:rPr>
                <w:rFonts w:ascii="Times New Roman" w:eastAsia="Times New Roman"/>
                <w:sz w:val="21"/>
              </w:rPr>
              <w:t>III </w:t>
            </w:r>
            <w:r>
              <w:rPr>
                <w:spacing w:val="-11"/>
                <w:sz w:val="21"/>
              </w:rPr>
              <w:t>期，临床表现为肢体象皮肿，患肢较健肢增粗</w:t>
            </w:r>
          </w:p>
          <w:p>
            <w:pPr>
              <w:pStyle w:val="TableParagraph"/>
              <w:spacing w:line="280" w:lineRule="exact" w:before="9"/>
              <w:ind w:left="313"/>
              <w:rPr>
                <w:sz w:val="21"/>
              </w:rPr>
            </w:pPr>
            <w:r>
              <w:rPr>
                <w:rFonts w:ascii="Times New Roman" w:eastAsia="Times New Roman"/>
                <w:sz w:val="21"/>
              </w:rPr>
              <w:t>30%</w:t>
            </w:r>
            <w:r>
              <w:rPr>
                <w:sz w:val="21"/>
              </w:rPr>
              <w:t>以上，日常生活不能自理。</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48.</w:t>
            </w:r>
          </w:p>
        </w:tc>
        <w:tc>
          <w:tcPr>
            <w:tcW w:w="3125" w:type="dxa"/>
          </w:tcPr>
          <w:p>
            <w:pPr>
              <w:pStyle w:val="TableParagraph"/>
              <w:spacing w:line="258" w:lineRule="exact"/>
              <w:ind w:left="78"/>
              <w:rPr>
                <w:sz w:val="21"/>
              </w:rPr>
            </w:pPr>
            <w:r>
              <w:rPr>
                <w:sz w:val="21"/>
              </w:rPr>
              <w:t>急性坏死性胰腺炎开腹手术</w:t>
            </w:r>
          </w:p>
        </w:tc>
        <w:tc>
          <w:tcPr>
            <w:tcW w:w="6637" w:type="dxa"/>
          </w:tcPr>
          <w:p>
            <w:pPr>
              <w:pStyle w:val="TableParagraph"/>
              <w:spacing w:line="258" w:lineRule="exact"/>
              <w:ind w:left="313"/>
              <w:rPr>
                <w:sz w:val="21"/>
              </w:rPr>
            </w:pPr>
            <w:r>
              <w:rPr>
                <w:sz w:val="21"/>
              </w:rPr>
              <w:t>指为治疗急性坏死性胰腺炎，实际实施了开腹进行的坏死组织清除</w:t>
            </w:r>
          </w:p>
          <w:p>
            <w:pPr>
              <w:pStyle w:val="TableParagraph"/>
              <w:spacing w:before="37"/>
              <w:ind w:left="313"/>
              <w:rPr>
                <w:sz w:val="21"/>
              </w:rPr>
            </w:pPr>
            <w:r>
              <w:rPr>
                <w:sz w:val="21"/>
              </w:rPr>
              <w:t>术、病灶切除术或胰腺部分切除术。</w:t>
            </w:r>
          </w:p>
          <w:p>
            <w:pPr>
              <w:pStyle w:val="TableParagraph"/>
              <w:spacing w:line="310" w:lineRule="atLeast" w:before="2"/>
              <w:ind w:left="313" w:right="200"/>
              <w:rPr>
                <w:sz w:val="21"/>
              </w:rPr>
            </w:pPr>
            <w:r>
              <w:rPr>
                <w:b/>
                <w:sz w:val="21"/>
              </w:rPr>
              <w:t>为治疗因酒精中毒引起的急性坏死性胰腺炎的开腹手术不在保障范围内</w:t>
            </w:r>
            <w:r>
              <w:rPr>
                <w:sz w:val="21"/>
              </w:rPr>
              <w:t>。</w:t>
            </w:r>
          </w:p>
        </w:tc>
      </w:tr>
      <w:tr>
        <w:trPr>
          <w:trHeight w:val="1559" w:hRule="atLeast"/>
        </w:trPr>
        <w:tc>
          <w:tcPr>
            <w:tcW w:w="542" w:type="dxa"/>
          </w:tcPr>
          <w:p>
            <w:pPr>
              <w:pStyle w:val="TableParagraph"/>
              <w:spacing w:before="38"/>
              <w:ind w:right="75"/>
              <w:jc w:val="right"/>
              <w:rPr>
                <w:rFonts w:ascii="Times New Roman"/>
                <w:sz w:val="21"/>
              </w:rPr>
            </w:pPr>
            <w:r>
              <w:rPr>
                <w:rFonts w:ascii="Times New Roman"/>
                <w:sz w:val="21"/>
              </w:rPr>
              <w:t>49.</w:t>
            </w:r>
          </w:p>
        </w:tc>
        <w:tc>
          <w:tcPr>
            <w:tcW w:w="3125" w:type="dxa"/>
          </w:tcPr>
          <w:p>
            <w:pPr>
              <w:pStyle w:val="TableParagraph"/>
              <w:spacing w:line="266" w:lineRule="exact"/>
              <w:ind w:left="78"/>
              <w:rPr>
                <w:sz w:val="21"/>
              </w:rPr>
            </w:pPr>
            <w:r>
              <w:rPr>
                <w:sz w:val="21"/>
              </w:rPr>
              <w:t>主动脉夹层血肿</w:t>
            </w:r>
          </w:p>
        </w:tc>
        <w:tc>
          <w:tcPr>
            <w:tcW w:w="6637" w:type="dxa"/>
          </w:tcPr>
          <w:p>
            <w:pPr>
              <w:pStyle w:val="TableParagraph"/>
              <w:spacing w:line="264" w:lineRule="auto"/>
              <w:ind w:left="313" w:right="197"/>
              <w:jc w:val="both"/>
              <w:rPr>
                <w:sz w:val="21"/>
              </w:rPr>
            </w:pPr>
            <w:r>
              <w:rPr>
                <w:spacing w:val="-2"/>
                <w:sz w:val="21"/>
              </w:rPr>
              <w:t>是指主动脉壁在受到某些病理因素的破坏后，高速、高压的主动脉</w:t>
            </w:r>
            <w:r>
              <w:rPr>
                <w:spacing w:val="-3"/>
                <w:sz w:val="21"/>
              </w:rPr>
              <w:t>血流将其内膜撕裂，以致主动脉腔内的血流通过主动脉内膜的破裂</w:t>
            </w:r>
            <w:r>
              <w:rPr>
                <w:spacing w:val="-10"/>
                <w:w w:val="100"/>
                <w:sz w:val="21"/>
              </w:rPr>
              <w:t>口进入主动脉内壁而形成血肿。被保险人需通过</w:t>
            </w:r>
            <w:r>
              <w:rPr>
                <w:rFonts w:ascii="Times New Roman" w:eastAsia="Times New Roman"/>
                <w:spacing w:val="0"/>
                <w:w w:val="100"/>
                <w:sz w:val="21"/>
              </w:rPr>
              <w:t>X</w:t>
            </w:r>
            <w:r>
              <w:rPr>
                <w:spacing w:val="-22"/>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
                <w:w w:val="100"/>
                <w:sz w:val="21"/>
              </w:rPr>
              <w:t>磁共振扫描</w:t>
            </w:r>
            <w:r>
              <w:rPr>
                <w:spacing w:val="5"/>
                <w:w w:val="100"/>
                <w:sz w:val="21"/>
              </w:rPr>
              <w:t>（</w:t>
            </w:r>
            <w:r>
              <w:rPr>
                <w:rFonts w:ascii="Times New Roman" w:eastAsia="Times New Roman"/>
                <w:w w:val="100"/>
                <w:sz w:val="21"/>
              </w:rPr>
              <w:t>MR</w:t>
            </w:r>
            <w:r>
              <w:rPr>
                <w:rFonts w:ascii="Times New Roman" w:eastAsia="Times New Roman"/>
                <w:spacing w:val="0"/>
                <w:w w:val="100"/>
                <w:sz w:val="21"/>
              </w:rPr>
              <w:t>I</w:t>
            </w:r>
            <w:r>
              <w:rPr>
                <w:spacing w:val="-104"/>
                <w:w w:val="100"/>
                <w:sz w:val="21"/>
              </w:rPr>
              <w:t>）</w:t>
            </w:r>
            <w:r>
              <w:rPr>
                <w:w w:val="100"/>
                <w:sz w:val="21"/>
              </w:rPr>
              <w:t>、磁共振血管检验法</w:t>
            </w:r>
            <w:r>
              <w:rPr>
                <w:spacing w:val="7"/>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2"/>
                <w:w w:val="100"/>
                <w:sz w:val="21"/>
              </w:rPr>
              <w:t>A</w:t>
            </w:r>
            <w:r>
              <w:rPr>
                <w:spacing w:val="1"/>
                <w:w w:val="100"/>
                <w:sz w:val="21"/>
              </w:rPr>
              <w:t>）</w:t>
            </w:r>
            <w:r>
              <w:rPr>
                <w:w w:val="100"/>
                <w:sz w:val="21"/>
              </w:rPr>
              <w:t>或血管扫描等检</w:t>
            </w:r>
            <w:r>
              <w:rPr>
                <w:spacing w:val="-3"/>
                <w:sz w:val="21"/>
              </w:rPr>
              <w:t>查，并且实施了胸腹切开的直视主动脉手术。</w:t>
            </w:r>
          </w:p>
        </w:tc>
      </w:tr>
      <w:tr>
        <w:trPr>
          <w:trHeight w:val="279" w:hRule="atLeast"/>
        </w:trPr>
        <w:tc>
          <w:tcPr>
            <w:tcW w:w="542" w:type="dxa"/>
          </w:tcPr>
          <w:p>
            <w:pPr>
              <w:pStyle w:val="TableParagraph"/>
              <w:spacing w:line="222" w:lineRule="exact" w:before="38"/>
              <w:ind w:right="75"/>
              <w:jc w:val="right"/>
              <w:rPr>
                <w:rFonts w:ascii="Times New Roman"/>
                <w:sz w:val="21"/>
              </w:rPr>
            </w:pPr>
            <w:r>
              <w:rPr>
                <w:rFonts w:ascii="Times New Roman"/>
                <w:sz w:val="21"/>
              </w:rPr>
              <w:t>50.</w:t>
            </w:r>
          </w:p>
        </w:tc>
        <w:tc>
          <w:tcPr>
            <w:tcW w:w="3125" w:type="dxa"/>
          </w:tcPr>
          <w:p>
            <w:pPr>
              <w:pStyle w:val="TableParagraph"/>
              <w:spacing w:line="260" w:lineRule="exact"/>
              <w:ind w:left="78"/>
              <w:rPr>
                <w:sz w:val="21"/>
              </w:rPr>
            </w:pPr>
            <w:r>
              <w:rPr>
                <w:sz w:val="21"/>
              </w:rPr>
              <w:t>系统性硬皮病</w:t>
            </w:r>
          </w:p>
        </w:tc>
        <w:tc>
          <w:tcPr>
            <w:tcW w:w="6637" w:type="dxa"/>
          </w:tcPr>
          <w:p>
            <w:pPr>
              <w:pStyle w:val="TableParagraph"/>
              <w:spacing w:line="260" w:lineRule="exact"/>
              <w:ind w:left="313"/>
              <w:rPr>
                <w:sz w:val="21"/>
              </w:rPr>
            </w:pPr>
            <w:r>
              <w:rPr>
                <w:sz w:val="21"/>
              </w:rPr>
              <w:t>指一种以局限性或弥漫性皮肤增厚和皮肤、血管、内脏器官异常纤</w:t>
            </w:r>
          </w:p>
        </w:tc>
      </w:tr>
    </w:tbl>
    <w:p>
      <w:pPr>
        <w:spacing w:after="0" w:line="260" w:lineRule="exact"/>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0"/>
        <w:gridCol w:w="6531"/>
      </w:tblGrid>
      <w:tr>
        <w:trPr>
          <w:trHeight w:val="1825" w:hRule="atLeast"/>
        </w:trPr>
        <w:tc>
          <w:tcPr>
            <w:tcW w:w="542" w:type="dxa"/>
          </w:tcPr>
          <w:p>
            <w:pPr>
              <w:pStyle w:val="TableParagraph"/>
              <w:rPr>
                <w:rFonts w:ascii="Times New Roman"/>
                <w:sz w:val="20"/>
              </w:rPr>
            </w:pPr>
          </w:p>
        </w:tc>
        <w:tc>
          <w:tcPr>
            <w:tcW w:w="3230" w:type="dxa"/>
          </w:tcPr>
          <w:p>
            <w:pPr>
              <w:pStyle w:val="TableParagraph"/>
              <w:rPr>
                <w:rFonts w:ascii="Times New Roman"/>
                <w:sz w:val="20"/>
              </w:rPr>
            </w:pPr>
          </w:p>
        </w:tc>
        <w:tc>
          <w:tcPr>
            <w:tcW w:w="6531" w:type="dxa"/>
          </w:tcPr>
          <w:p>
            <w:pPr>
              <w:pStyle w:val="TableParagraph"/>
              <w:spacing w:line="202" w:lineRule="exact"/>
              <w:ind w:left="208"/>
              <w:rPr>
                <w:sz w:val="21"/>
              </w:rPr>
            </w:pPr>
            <w:r>
              <w:rPr>
                <w:sz w:val="21"/>
              </w:rPr>
              <w:t>维化为特征的结缔组织病。本病须经专科医师明确诊断，并须满足</w:t>
            </w:r>
          </w:p>
          <w:p>
            <w:pPr>
              <w:pStyle w:val="TableParagraph"/>
              <w:spacing w:before="37"/>
              <w:ind w:left="208"/>
              <w:rPr>
                <w:sz w:val="21"/>
              </w:rPr>
            </w:pPr>
            <w:r>
              <w:rPr>
                <w:sz w:val="21"/>
              </w:rPr>
              <w:t>下列至少一项条件：</w:t>
            </w:r>
          </w:p>
          <w:p>
            <w:pPr>
              <w:pStyle w:val="TableParagraph"/>
              <w:spacing w:before="36"/>
              <w:ind w:left="208"/>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56" w:lineRule="auto" w:before="20"/>
              <w:ind w:left="208" w:right="202"/>
              <w:rPr>
                <w:sz w:val="21"/>
              </w:rPr>
            </w:pPr>
            <w:r>
              <w:rPr>
                <w:spacing w:val="-16"/>
                <w:sz w:val="21"/>
              </w:rPr>
              <w:t>（</w:t>
            </w:r>
            <w:r>
              <w:rPr>
                <w:rFonts w:ascii="Times New Roman" w:eastAsia="Times New Roman"/>
                <w:spacing w:val="-16"/>
                <w:sz w:val="21"/>
              </w:rPr>
              <w:t>2</w:t>
            </w:r>
            <w:r>
              <w:rPr>
                <w:spacing w:val="-16"/>
                <w:sz w:val="21"/>
              </w:rPr>
              <w:t>）</w:t>
            </w:r>
            <w:r>
              <w:rPr>
                <w:spacing w:val="-8"/>
                <w:sz w:val="21"/>
              </w:rPr>
              <w:t>心脏：心功能受损达到美国纽约心脏病学会心功能状态分级</w:t>
            </w:r>
            <w:r>
              <w:rPr>
                <w:rFonts w:ascii="Times New Roman" w:eastAsia="Times New Roman"/>
                <w:spacing w:val="-4"/>
                <w:sz w:val="21"/>
              </w:rPr>
              <w:t>IV </w:t>
            </w:r>
            <w:r>
              <w:rPr>
                <w:sz w:val="21"/>
              </w:rPr>
              <w:t>级；</w:t>
            </w:r>
          </w:p>
          <w:p>
            <w:pPr>
              <w:pStyle w:val="TableParagraph"/>
              <w:spacing w:before="21"/>
              <w:ind w:left="208"/>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21"/>
              <w:ind w:right="75"/>
              <w:jc w:val="right"/>
              <w:rPr>
                <w:rFonts w:ascii="Times New Roman"/>
                <w:sz w:val="21"/>
              </w:rPr>
            </w:pPr>
            <w:r>
              <w:rPr>
                <w:rFonts w:ascii="Times New Roman"/>
                <w:sz w:val="21"/>
              </w:rPr>
              <w:t>51.</w:t>
            </w:r>
          </w:p>
        </w:tc>
        <w:tc>
          <w:tcPr>
            <w:tcW w:w="3230" w:type="dxa"/>
          </w:tcPr>
          <w:p>
            <w:pPr>
              <w:pStyle w:val="TableParagraph"/>
              <w:spacing w:line="249" w:lineRule="exact"/>
              <w:ind w:left="78"/>
              <w:rPr>
                <w:sz w:val="21"/>
              </w:rPr>
            </w:pPr>
            <w:r>
              <w:rPr>
                <w:sz w:val="21"/>
              </w:rPr>
              <w:t>原发性硬化性胆管炎</w:t>
            </w:r>
          </w:p>
        </w:tc>
        <w:tc>
          <w:tcPr>
            <w:tcW w:w="6531" w:type="dxa"/>
          </w:tcPr>
          <w:p>
            <w:pPr>
              <w:pStyle w:val="TableParagraph"/>
              <w:spacing w:line="249" w:lineRule="exact"/>
              <w:ind w:left="208"/>
              <w:rPr>
                <w:sz w:val="21"/>
              </w:rPr>
            </w:pPr>
            <w:r>
              <w:rPr>
                <w:sz w:val="21"/>
              </w:rPr>
              <w:t>指一种胆汁淤积综合征，其特征是肝内、肝外胆道因纤维化性炎症</w:t>
            </w:r>
          </w:p>
          <w:p>
            <w:pPr>
              <w:pStyle w:val="TableParagraph"/>
              <w:spacing w:line="273" w:lineRule="auto" w:before="37"/>
              <w:ind w:left="208" w:right="199"/>
              <w:rPr>
                <w:sz w:val="21"/>
              </w:rPr>
            </w:pPr>
            <w:r>
              <w:rPr>
                <w:sz w:val="21"/>
              </w:rPr>
              <w:t>逐渐狭窄，并最终导致完全阻塞而发展为肝硬化。本病须经内镜逆行胰胆管造影等影像学检查证实，并须满足下列全部条件：</w:t>
            </w:r>
          </w:p>
          <w:p>
            <w:pPr>
              <w:pStyle w:val="TableParagraph"/>
              <w:numPr>
                <w:ilvl w:val="0"/>
                <w:numId w:val="7"/>
              </w:numPr>
              <w:tabs>
                <w:tab w:pos="841" w:val="left" w:leader="none"/>
              </w:tabs>
              <w:spacing w:line="240" w:lineRule="auto" w:before="7" w:after="0"/>
              <w:ind w:left="840" w:right="0" w:hanging="631"/>
              <w:jc w:val="left"/>
              <w:rPr>
                <w:sz w:val="21"/>
              </w:rPr>
            </w:pPr>
            <w:r>
              <w:rPr>
                <w:spacing w:val="-3"/>
                <w:sz w:val="21"/>
              </w:rPr>
              <w:t>总胆红素和直接胆红素同时升高，血清</w:t>
            </w:r>
            <w:r>
              <w:rPr>
                <w:rFonts w:ascii="Times New Roman" w:eastAsia="Times New Roman"/>
                <w:spacing w:val="-1"/>
                <w:sz w:val="21"/>
              </w:rPr>
              <w:t>ALP&gt;200U/L</w:t>
            </w:r>
            <w:r>
              <w:rPr>
                <w:spacing w:val="-1"/>
                <w:sz w:val="21"/>
              </w:rPr>
              <w:t>；</w:t>
            </w:r>
          </w:p>
          <w:p>
            <w:pPr>
              <w:pStyle w:val="TableParagraph"/>
              <w:numPr>
                <w:ilvl w:val="0"/>
                <w:numId w:val="7"/>
              </w:numPr>
              <w:tabs>
                <w:tab w:pos="841" w:val="left" w:leader="none"/>
              </w:tabs>
              <w:spacing w:line="240" w:lineRule="auto" w:before="20" w:after="0"/>
              <w:ind w:left="840" w:right="0" w:hanging="631"/>
              <w:jc w:val="left"/>
              <w:rPr>
                <w:sz w:val="21"/>
              </w:rPr>
            </w:pPr>
            <w:r>
              <w:rPr>
                <w:spacing w:val="-3"/>
                <w:sz w:val="21"/>
              </w:rPr>
              <w:t>持续性黄疸病史；</w:t>
            </w:r>
          </w:p>
          <w:p>
            <w:pPr>
              <w:pStyle w:val="TableParagraph"/>
              <w:numPr>
                <w:ilvl w:val="0"/>
                <w:numId w:val="7"/>
              </w:numPr>
              <w:tabs>
                <w:tab w:pos="841" w:val="left" w:leader="none"/>
              </w:tabs>
              <w:spacing w:line="240" w:lineRule="auto" w:before="21" w:after="0"/>
              <w:ind w:left="840" w:right="0" w:hanging="631"/>
              <w:jc w:val="left"/>
              <w:rPr>
                <w:sz w:val="21"/>
              </w:rPr>
            </w:pPr>
            <w:r>
              <w:rPr>
                <w:spacing w:val="-3"/>
                <w:sz w:val="21"/>
              </w:rPr>
              <w:t>出现胆汁性肝硬化或门脉高压。</w:t>
            </w:r>
          </w:p>
          <w:p>
            <w:pPr>
              <w:pStyle w:val="TableParagraph"/>
              <w:spacing w:before="21"/>
              <w:ind w:left="208"/>
              <w:rPr>
                <w:b/>
                <w:sz w:val="21"/>
              </w:rPr>
            </w:pPr>
            <w:r>
              <w:rPr>
                <w:b/>
                <w:sz w:val="21"/>
              </w:rPr>
              <w:t>因肿瘤或胆管损伤等继发性的硬化性胆管炎不在保障范围内。</w:t>
            </w:r>
          </w:p>
        </w:tc>
      </w:tr>
      <w:tr>
        <w:trPr>
          <w:trHeight w:val="3432" w:hRule="atLeast"/>
        </w:trPr>
        <w:tc>
          <w:tcPr>
            <w:tcW w:w="542" w:type="dxa"/>
          </w:tcPr>
          <w:p>
            <w:pPr>
              <w:pStyle w:val="TableParagraph"/>
              <w:spacing w:before="29"/>
              <w:ind w:right="75"/>
              <w:jc w:val="right"/>
              <w:rPr>
                <w:rFonts w:ascii="Times New Roman"/>
                <w:sz w:val="21"/>
              </w:rPr>
            </w:pPr>
            <w:r>
              <w:rPr>
                <w:rFonts w:ascii="Times New Roman"/>
                <w:sz w:val="21"/>
              </w:rPr>
              <w:t>52.</w:t>
            </w:r>
          </w:p>
        </w:tc>
        <w:tc>
          <w:tcPr>
            <w:tcW w:w="3230" w:type="dxa"/>
          </w:tcPr>
          <w:p>
            <w:pPr>
              <w:pStyle w:val="TableParagraph"/>
              <w:spacing w:line="257" w:lineRule="exact"/>
              <w:ind w:left="78"/>
              <w:rPr>
                <w:sz w:val="21"/>
              </w:rPr>
            </w:pPr>
            <w:r>
              <w:rPr>
                <w:sz w:val="21"/>
              </w:rPr>
              <w:t>经输血导致的人类免疫缺陷病毒</w:t>
            </w:r>
          </w:p>
          <w:p>
            <w:pPr>
              <w:pStyle w:val="TableParagraph"/>
              <w:spacing w:before="37"/>
              <w:ind w:left="78"/>
              <w:rPr>
                <w:sz w:val="21"/>
              </w:rPr>
            </w:pPr>
            <w:r>
              <w:rPr>
                <w:sz w:val="21"/>
              </w:rPr>
              <w:t>感染</w:t>
            </w:r>
          </w:p>
        </w:tc>
        <w:tc>
          <w:tcPr>
            <w:tcW w:w="6531" w:type="dxa"/>
          </w:tcPr>
          <w:p>
            <w:pPr>
              <w:pStyle w:val="TableParagraph"/>
              <w:spacing w:line="273" w:lineRule="exact"/>
              <w:ind w:left="208"/>
              <w:rPr>
                <w:sz w:val="21"/>
              </w:rPr>
            </w:pPr>
            <w:r>
              <w:rPr>
                <w:sz w:val="21"/>
              </w:rPr>
              <w:t>指被保险人感染上人类免疫缺陷病毒（</w:t>
            </w:r>
            <w:r>
              <w:rPr>
                <w:rFonts w:ascii="Times New Roman" w:eastAsia="Times New Roman"/>
                <w:sz w:val="21"/>
              </w:rPr>
              <w:t>HIV</w:t>
            </w:r>
            <w:r>
              <w:rPr>
                <w:sz w:val="21"/>
              </w:rPr>
              <w:t>）并且满足下列全部条</w:t>
            </w:r>
          </w:p>
          <w:p>
            <w:pPr>
              <w:pStyle w:val="TableParagraph"/>
              <w:spacing w:before="21"/>
              <w:ind w:left="208"/>
              <w:rPr>
                <w:sz w:val="21"/>
              </w:rPr>
            </w:pPr>
            <w:r>
              <w:rPr>
                <w:sz w:val="21"/>
              </w:rPr>
              <w:t>件：</w:t>
            </w:r>
          </w:p>
          <w:p>
            <w:pPr>
              <w:pStyle w:val="TableParagraph"/>
              <w:spacing w:before="37"/>
              <w:ind w:left="208"/>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08" w:right="121"/>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208"/>
              <w:rPr>
                <w:sz w:val="21"/>
              </w:rPr>
            </w:pPr>
            <w:r>
              <w:rPr>
                <w:sz w:val="21"/>
              </w:rPr>
              <w:t>（</w:t>
            </w:r>
            <w:r>
              <w:rPr>
                <w:rFonts w:ascii="Times New Roman" w:eastAsia="Times New Roman"/>
                <w:sz w:val="21"/>
              </w:rPr>
              <w:t>3</w:t>
            </w:r>
            <w:r>
              <w:rPr>
                <w:sz w:val="21"/>
              </w:rPr>
              <w:t>）受感染的被保险人不是血友病患者。</w:t>
            </w:r>
          </w:p>
          <w:p>
            <w:pPr>
              <w:pStyle w:val="TableParagraph"/>
              <w:spacing w:line="261" w:lineRule="auto" w:before="21"/>
              <w:ind w:left="208" w:right="199"/>
              <w:rPr>
                <w:sz w:val="21"/>
              </w:rPr>
            </w:pPr>
            <w:r>
              <w:rPr>
                <w:b/>
                <w:spacing w:val="-10"/>
                <w:sz w:val="21"/>
              </w:rPr>
              <w:t>在任何治愈艾滋病</w:t>
            </w:r>
            <w:r>
              <w:rPr>
                <w:b/>
                <w:spacing w:val="-15"/>
                <w:sz w:val="21"/>
              </w:rPr>
              <w:t>（</w:t>
            </w:r>
            <w:r>
              <w:rPr>
                <w:rFonts w:ascii="Times New Roman" w:eastAsia="Times New Roman"/>
                <w:b/>
                <w:spacing w:val="-15"/>
                <w:sz w:val="21"/>
              </w:rPr>
              <w:t>AIDS</w:t>
            </w:r>
            <w:r>
              <w:rPr>
                <w:b/>
                <w:spacing w:val="-15"/>
                <w:sz w:val="21"/>
              </w:rPr>
              <w:t>）</w:t>
            </w:r>
            <w:r>
              <w:rPr>
                <w:b/>
                <w:sz w:val="21"/>
              </w:rPr>
              <w:t>或阻止</w:t>
            </w:r>
            <w:r>
              <w:rPr>
                <w:rFonts w:ascii="Times New Roman" w:eastAsia="Times New Roman"/>
                <w:b/>
                <w:spacing w:val="-3"/>
                <w:sz w:val="21"/>
              </w:rPr>
              <w:t>HIV</w:t>
            </w:r>
            <w:r>
              <w:rPr>
                <w:b/>
                <w:spacing w:val="-1"/>
                <w:sz w:val="21"/>
              </w:rPr>
              <w:t>病毒作用的疗法被发现以后或能防止</w:t>
            </w:r>
            <w:r>
              <w:rPr>
                <w:rFonts w:ascii="Times New Roman" w:eastAsia="Times New Roman"/>
                <w:b/>
                <w:spacing w:val="-1"/>
                <w:sz w:val="21"/>
              </w:rPr>
              <w:t>AIDS</w:t>
            </w:r>
            <w:r>
              <w:rPr>
                <w:b/>
                <w:spacing w:val="-8"/>
                <w:sz w:val="21"/>
              </w:rPr>
              <w:t>发生的医疗方法被研究出来以后，本保障将不再予以赔付。任何因其他传播方式</w:t>
            </w:r>
            <w:r>
              <w:rPr>
                <w:b/>
                <w:sz w:val="21"/>
              </w:rPr>
              <w:t>（</w:t>
            </w:r>
            <w:r>
              <w:rPr>
                <w:b/>
                <w:spacing w:val="-1"/>
                <w:sz w:val="21"/>
              </w:rPr>
              <w:t>包括：性传播或静脉注射毒品</w:t>
            </w:r>
            <w:r>
              <w:rPr>
                <w:b/>
                <w:sz w:val="21"/>
              </w:rPr>
              <w:t>）导致</w:t>
            </w:r>
            <w:r>
              <w:rPr>
                <w:b/>
                <w:spacing w:val="2"/>
                <w:sz w:val="21"/>
              </w:rPr>
              <w:t>的</w:t>
            </w:r>
            <w:r>
              <w:rPr>
                <w:rFonts w:ascii="Times New Roman" w:eastAsia="Times New Roman"/>
                <w:b/>
                <w:spacing w:val="-3"/>
                <w:sz w:val="21"/>
              </w:rPr>
              <w:t>HIV</w:t>
            </w:r>
            <w:r>
              <w:rPr>
                <w:b/>
                <w:sz w:val="21"/>
              </w:rPr>
              <w:t>感染不在保障范围内。</w:t>
            </w:r>
            <w:r>
              <w:rPr>
                <w:sz w:val="21"/>
              </w:rPr>
              <w:t>我们保留获得使用被保险人的所有血</w:t>
            </w:r>
            <w:r>
              <w:rPr>
                <w:spacing w:val="-3"/>
                <w:sz w:val="21"/>
              </w:rPr>
              <w:t>液样本的权利，并对这些样本进行独立检验。</w:t>
            </w:r>
          </w:p>
        </w:tc>
      </w:tr>
      <w:tr>
        <w:trPr>
          <w:trHeight w:val="1560" w:hRule="atLeast"/>
        </w:trPr>
        <w:tc>
          <w:tcPr>
            <w:tcW w:w="542" w:type="dxa"/>
          </w:tcPr>
          <w:p>
            <w:pPr>
              <w:pStyle w:val="TableParagraph"/>
              <w:spacing w:before="29"/>
              <w:ind w:right="75"/>
              <w:jc w:val="right"/>
              <w:rPr>
                <w:rFonts w:ascii="Times New Roman"/>
                <w:sz w:val="21"/>
              </w:rPr>
            </w:pPr>
            <w:r>
              <w:rPr>
                <w:rFonts w:ascii="Times New Roman"/>
                <w:sz w:val="21"/>
              </w:rPr>
              <w:t>53.</w:t>
            </w:r>
          </w:p>
        </w:tc>
        <w:tc>
          <w:tcPr>
            <w:tcW w:w="3230" w:type="dxa"/>
          </w:tcPr>
          <w:p>
            <w:pPr>
              <w:pStyle w:val="TableParagraph"/>
              <w:spacing w:line="257" w:lineRule="exact"/>
              <w:ind w:left="78"/>
              <w:rPr>
                <w:sz w:val="21"/>
              </w:rPr>
            </w:pPr>
            <w:r>
              <w:rPr>
                <w:sz w:val="21"/>
              </w:rPr>
              <w:t>疯牛病</w:t>
            </w:r>
          </w:p>
        </w:tc>
        <w:tc>
          <w:tcPr>
            <w:tcW w:w="6531" w:type="dxa"/>
          </w:tcPr>
          <w:p>
            <w:pPr>
              <w:pStyle w:val="TableParagraph"/>
              <w:spacing w:line="257" w:lineRule="exact"/>
              <w:ind w:left="208"/>
              <w:rPr>
                <w:sz w:val="21"/>
              </w:rPr>
            </w:pPr>
            <w:r>
              <w:rPr>
                <w:sz w:val="21"/>
              </w:rPr>
              <w:t>一种由动物传染而来的中枢神经系统变性性疾病，大脑呈海绵状改</w:t>
            </w:r>
          </w:p>
          <w:p>
            <w:pPr>
              <w:pStyle w:val="TableParagraph"/>
              <w:spacing w:line="273" w:lineRule="auto" w:before="37"/>
              <w:ind w:left="208" w:right="199"/>
              <w:jc w:val="both"/>
              <w:rPr>
                <w:sz w:val="21"/>
              </w:rPr>
            </w:pPr>
            <w:r>
              <w:rPr>
                <w:sz w:val="21"/>
              </w:rPr>
              <w:t>变伴神经元缺失和胶质化。临床表现为进行性痴呆、不随意运动及抽搐、行动困难等等。疯牛病必须由权威医疗机构根据致病蛋白的发现而明确诊断。</w:t>
            </w:r>
          </w:p>
          <w:p>
            <w:pPr>
              <w:pStyle w:val="TableParagraph"/>
              <w:spacing w:before="7"/>
              <w:ind w:left="208"/>
              <w:jc w:val="both"/>
              <w:rPr>
                <w:b/>
                <w:sz w:val="21"/>
              </w:rPr>
            </w:pPr>
            <w:r>
              <w:rPr>
                <w:b/>
                <w:sz w:val="21"/>
              </w:rPr>
              <w:t>疑似诊断不作为理赔依据。</w:t>
            </w:r>
          </w:p>
        </w:tc>
      </w:tr>
      <w:tr>
        <w:trPr>
          <w:trHeight w:val="1560" w:hRule="atLeast"/>
        </w:trPr>
        <w:tc>
          <w:tcPr>
            <w:tcW w:w="542" w:type="dxa"/>
          </w:tcPr>
          <w:p>
            <w:pPr>
              <w:pStyle w:val="TableParagraph"/>
              <w:spacing w:before="29"/>
              <w:ind w:right="75"/>
              <w:jc w:val="right"/>
              <w:rPr>
                <w:rFonts w:ascii="Times New Roman"/>
                <w:sz w:val="21"/>
              </w:rPr>
            </w:pPr>
            <w:r>
              <w:rPr>
                <w:rFonts w:ascii="Times New Roman"/>
                <w:sz w:val="21"/>
              </w:rPr>
              <w:t>54.</w:t>
            </w:r>
          </w:p>
        </w:tc>
        <w:tc>
          <w:tcPr>
            <w:tcW w:w="3230" w:type="dxa"/>
          </w:tcPr>
          <w:p>
            <w:pPr>
              <w:pStyle w:val="TableParagraph"/>
              <w:spacing w:line="257" w:lineRule="exact"/>
              <w:ind w:left="78"/>
              <w:rPr>
                <w:sz w:val="21"/>
              </w:rPr>
            </w:pPr>
            <w:r>
              <w:rPr>
                <w:sz w:val="21"/>
              </w:rPr>
              <w:t>慢性复发性胰腺炎</w:t>
            </w:r>
          </w:p>
        </w:tc>
        <w:tc>
          <w:tcPr>
            <w:tcW w:w="6531" w:type="dxa"/>
          </w:tcPr>
          <w:p>
            <w:pPr>
              <w:pStyle w:val="TableParagraph"/>
              <w:spacing w:line="257" w:lineRule="exact"/>
              <w:ind w:left="208"/>
              <w:rPr>
                <w:sz w:val="21"/>
              </w:rPr>
            </w:pPr>
            <w:r>
              <w:rPr>
                <w:sz w:val="21"/>
              </w:rPr>
              <w:t>指有腹痛等典型症状的胰腺炎反复发作，导致胰腺进行性破坏，并</w:t>
            </w:r>
          </w:p>
          <w:p>
            <w:pPr>
              <w:pStyle w:val="TableParagraph"/>
              <w:spacing w:line="256" w:lineRule="auto" w:before="37"/>
              <w:ind w:left="208" w:right="196"/>
              <w:jc w:val="both"/>
              <w:rPr>
                <w:sz w:val="21"/>
              </w:rPr>
            </w:pPr>
            <w:r>
              <w:rPr>
                <w:spacing w:val="-5"/>
                <w:sz w:val="21"/>
              </w:rPr>
              <w:t>导致胰腺功能紊乱而导致严重糖尿病以及营养不良、恶液质。</w:t>
            </w:r>
            <w:r>
              <w:rPr>
                <w:rFonts w:ascii="Times New Roman" w:eastAsia="Times New Roman"/>
                <w:sz w:val="21"/>
              </w:rPr>
              <w:t>CT</w:t>
            </w:r>
            <w:r>
              <w:rPr>
                <w:sz w:val="21"/>
              </w:rPr>
              <w:t>检</w:t>
            </w:r>
            <w:r>
              <w:rPr>
                <w:spacing w:val="-10"/>
                <w:sz w:val="21"/>
              </w:rPr>
              <w:t>查证实胰腺存在广泛钙化，且必须接受酶替代以及胰岛素替代治疗</w:t>
            </w:r>
            <w:r>
              <w:rPr>
                <w:rFonts w:ascii="Times New Roman" w:eastAsia="Times New Roman"/>
                <w:sz w:val="21"/>
              </w:rPr>
              <w:t>6 </w:t>
            </w:r>
            <w:r>
              <w:rPr>
                <w:spacing w:val="-3"/>
                <w:sz w:val="21"/>
              </w:rPr>
              <w:t>个月以上。诊断必须由消化科专科医生确诊。</w:t>
            </w:r>
          </w:p>
          <w:p>
            <w:pPr>
              <w:pStyle w:val="TableParagraph"/>
              <w:spacing w:before="23"/>
              <w:ind w:left="208"/>
              <w:jc w:val="both"/>
              <w:rPr>
                <w:b/>
                <w:sz w:val="21"/>
              </w:rPr>
            </w:pPr>
            <w:r>
              <w:rPr>
                <w:b/>
                <w:sz w:val="21"/>
              </w:rPr>
              <w:t>酒精导致的慢性复发性胰腺炎不在保障范围内。</w:t>
            </w:r>
          </w:p>
        </w:tc>
      </w:tr>
      <w:tr>
        <w:trPr>
          <w:trHeight w:val="1514" w:hRule="atLeast"/>
        </w:trPr>
        <w:tc>
          <w:tcPr>
            <w:tcW w:w="542" w:type="dxa"/>
          </w:tcPr>
          <w:p>
            <w:pPr>
              <w:pStyle w:val="TableParagraph"/>
              <w:spacing w:before="29"/>
              <w:ind w:right="75"/>
              <w:jc w:val="right"/>
              <w:rPr>
                <w:rFonts w:ascii="Times New Roman"/>
                <w:sz w:val="21"/>
              </w:rPr>
            </w:pPr>
            <w:r>
              <w:rPr>
                <w:rFonts w:ascii="Times New Roman"/>
                <w:sz w:val="21"/>
              </w:rPr>
              <w:t>55.</w:t>
            </w:r>
          </w:p>
        </w:tc>
        <w:tc>
          <w:tcPr>
            <w:tcW w:w="3230" w:type="dxa"/>
          </w:tcPr>
          <w:p>
            <w:pPr>
              <w:pStyle w:val="TableParagraph"/>
              <w:spacing w:line="257" w:lineRule="exact"/>
              <w:ind w:left="78"/>
              <w:rPr>
                <w:sz w:val="21"/>
              </w:rPr>
            </w:pPr>
            <w:r>
              <w:rPr>
                <w:sz w:val="21"/>
              </w:rPr>
              <w:t>终末期疾病</w:t>
            </w:r>
          </w:p>
        </w:tc>
        <w:tc>
          <w:tcPr>
            <w:tcW w:w="6531" w:type="dxa"/>
          </w:tcPr>
          <w:p>
            <w:pPr>
              <w:pStyle w:val="TableParagraph"/>
              <w:spacing w:line="257" w:lineRule="exact"/>
              <w:ind w:left="208"/>
              <w:rPr>
                <w:sz w:val="21"/>
              </w:rPr>
            </w:pPr>
            <w:r>
              <w:rPr>
                <w:sz w:val="21"/>
              </w:rPr>
              <w:t>指被保险人被确诊为疾病的终末期状态，疾病已经无法以现有的医</w:t>
            </w:r>
          </w:p>
          <w:p>
            <w:pPr>
              <w:pStyle w:val="TableParagraph"/>
              <w:spacing w:line="310" w:lineRule="atLeast" w:before="2"/>
              <w:ind w:left="208" w:right="199"/>
              <w:jc w:val="both"/>
              <w:rPr>
                <w:sz w:val="21"/>
              </w:rPr>
            </w:pPr>
            <w:r>
              <w:rPr>
                <w:sz w:val="21"/>
              </w:rPr>
              <w:t>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bl>
    <w:p>
      <w:pPr>
        <w:pStyle w:val="BodyText"/>
        <w:spacing w:before="3"/>
        <w:rPr>
          <w:sz w:val="23"/>
        </w:rPr>
      </w:pPr>
    </w:p>
    <w:p>
      <w:pPr>
        <w:spacing w:before="36"/>
        <w:ind w:left="0" w:right="294" w:firstLine="0"/>
        <w:jc w:val="right"/>
        <w:rPr>
          <w:b/>
          <w:sz w:val="21"/>
        </w:rPr>
      </w:pPr>
      <w:r>
        <w:rPr>
          <w:b/>
          <w:sz w:val="21"/>
        </w:rPr>
        <w:t>〈本页内容结束〉</w:t>
      </w:r>
    </w:p>
    <w:sectPr>
      <w:pgSz w:w="11910" w:h="16160"/>
      <w:pgMar w:header="0" w:footer="631" w:top="1440" w:bottom="82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Courier New">
    <w:altName w:val="Courier New"/>
    <w:charset w:val="0"/>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68.490005pt;margin-top:761.429871pt;width:266.45pt;height:13.7pt;mso-position-horizontal-relative:page;mso-position-vertical-relative:page;z-index:-27688" type="#_x0000_t202" filled="false" stroked="false">
          <v:textbox inset="0,0,0,0">
            <w:txbxContent>
              <w:p>
                <w:pPr>
                  <w:pStyle w:val="BodyText"/>
                  <w:spacing w:line="254" w:lineRule="exact"/>
                  <w:ind w:left="20"/>
                </w:pPr>
                <w:r>
                  <w:rPr/>
                  <w:t>太平附加康颐</w:t>
                </w:r>
                <w:r>
                  <w:rPr>
                    <w:rFonts w:ascii="Times New Roman" w:eastAsia="Times New Roman"/>
                  </w:rPr>
                  <w:t>B</w:t>
                </w:r>
                <w:r>
                  <w:rPr/>
                  <w:t>款提前给付重大疾病保险，第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14</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65.729996pt;margin-top:761.429871pt;width:271.850pt;height:13.7pt;mso-position-horizontal-relative:page;mso-position-vertical-relative:page;z-index:-27664" type="#_x0000_t202" filled="false" stroked="false">
          <v:textbox inset="0,0,0,0">
            <w:txbxContent>
              <w:p>
                <w:pPr>
                  <w:pStyle w:val="BodyText"/>
                  <w:spacing w:line="254" w:lineRule="exact"/>
                  <w:ind w:left="20"/>
                </w:pPr>
                <w:r>
                  <w:rPr/>
                  <w:t>太平附加康颐</w:t>
                </w:r>
                <w:r>
                  <w:rPr>
                    <w:rFonts w:ascii="Times New Roman" w:eastAsia="Times New Roman"/>
                  </w:rPr>
                  <w:t>B</w:t>
                </w:r>
                <w:r>
                  <w:rPr/>
                  <w:t>款提前给付重大疾病保险，第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14</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40" w:hanging="632"/>
        <w:jc w:val="left"/>
      </w:pPr>
      <w:rPr>
        <w:rFonts w:hint="default" w:ascii="宋体" w:hAnsi="宋体" w:eastAsia="宋体" w:cs="宋体"/>
        <w:w w:val="100"/>
        <w:sz w:val="21"/>
        <w:szCs w:val="21"/>
      </w:rPr>
    </w:lvl>
    <w:lvl w:ilvl="1">
      <w:start w:val="0"/>
      <w:numFmt w:val="bullet"/>
      <w:lvlText w:val="•"/>
      <w:lvlJc w:val="left"/>
      <w:pPr>
        <w:ind w:left="1409" w:hanging="632"/>
      </w:pPr>
      <w:rPr>
        <w:rFonts w:hint="default"/>
      </w:rPr>
    </w:lvl>
    <w:lvl w:ilvl="2">
      <w:start w:val="0"/>
      <w:numFmt w:val="bullet"/>
      <w:lvlText w:val="•"/>
      <w:lvlJc w:val="left"/>
      <w:pPr>
        <w:ind w:left="1978" w:hanging="632"/>
      </w:pPr>
      <w:rPr>
        <w:rFonts w:hint="default"/>
      </w:rPr>
    </w:lvl>
    <w:lvl w:ilvl="3">
      <w:start w:val="0"/>
      <w:numFmt w:val="bullet"/>
      <w:lvlText w:val="•"/>
      <w:lvlJc w:val="left"/>
      <w:pPr>
        <w:ind w:left="2547" w:hanging="632"/>
      </w:pPr>
      <w:rPr>
        <w:rFonts w:hint="default"/>
      </w:rPr>
    </w:lvl>
    <w:lvl w:ilvl="4">
      <w:start w:val="0"/>
      <w:numFmt w:val="bullet"/>
      <w:lvlText w:val="•"/>
      <w:lvlJc w:val="left"/>
      <w:pPr>
        <w:ind w:left="3116" w:hanging="632"/>
      </w:pPr>
      <w:rPr>
        <w:rFonts w:hint="default"/>
      </w:rPr>
    </w:lvl>
    <w:lvl w:ilvl="5">
      <w:start w:val="0"/>
      <w:numFmt w:val="bullet"/>
      <w:lvlText w:val="•"/>
      <w:lvlJc w:val="left"/>
      <w:pPr>
        <w:ind w:left="3685" w:hanging="632"/>
      </w:pPr>
      <w:rPr>
        <w:rFonts w:hint="default"/>
      </w:rPr>
    </w:lvl>
    <w:lvl w:ilvl="6">
      <w:start w:val="0"/>
      <w:numFmt w:val="bullet"/>
      <w:lvlText w:val="•"/>
      <w:lvlJc w:val="left"/>
      <w:pPr>
        <w:ind w:left="4254" w:hanging="632"/>
      </w:pPr>
      <w:rPr>
        <w:rFonts w:hint="default"/>
      </w:rPr>
    </w:lvl>
    <w:lvl w:ilvl="7">
      <w:start w:val="0"/>
      <w:numFmt w:val="bullet"/>
      <w:lvlText w:val="•"/>
      <w:lvlJc w:val="left"/>
      <w:pPr>
        <w:ind w:left="4823" w:hanging="632"/>
      </w:pPr>
      <w:rPr>
        <w:rFonts w:hint="default"/>
      </w:rPr>
    </w:lvl>
    <w:lvl w:ilvl="8">
      <w:start w:val="0"/>
      <w:numFmt w:val="bullet"/>
      <w:lvlText w:val="•"/>
      <w:lvlJc w:val="left"/>
      <w:pPr>
        <w:ind w:left="5392" w:hanging="632"/>
      </w:pPr>
      <w:rPr>
        <w:rFonts w:hint="default"/>
      </w:rPr>
    </w:lvl>
  </w:abstractNum>
  <w:abstractNum w:abstractNumId="5">
    <w:multiLevelType w:val="hybridMultilevel"/>
    <w:lvl w:ilvl="0">
      <w:start w:val="37"/>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3900" w:hanging="421"/>
      </w:pPr>
      <w:rPr>
        <w:rFonts w:hint="default"/>
      </w:rPr>
    </w:lvl>
    <w:lvl w:ilvl="2">
      <w:start w:val="0"/>
      <w:numFmt w:val="bullet"/>
      <w:lvlText w:val="•"/>
      <w:lvlJc w:val="left"/>
      <w:pPr>
        <w:ind w:left="3853" w:hanging="421"/>
      </w:pPr>
      <w:rPr>
        <w:rFonts w:hint="default"/>
      </w:rPr>
    </w:lvl>
    <w:lvl w:ilvl="3">
      <w:start w:val="0"/>
      <w:numFmt w:val="bullet"/>
      <w:lvlText w:val="•"/>
      <w:lvlJc w:val="left"/>
      <w:pPr>
        <w:ind w:left="3806" w:hanging="421"/>
      </w:pPr>
      <w:rPr>
        <w:rFonts w:hint="default"/>
      </w:rPr>
    </w:lvl>
    <w:lvl w:ilvl="4">
      <w:start w:val="0"/>
      <w:numFmt w:val="bullet"/>
      <w:lvlText w:val="•"/>
      <w:lvlJc w:val="left"/>
      <w:pPr>
        <w:ind w:left="3759" w:hanging="421"/>
      </w:pPr>
      <w:rPr>
        <w:rFonts w:hint="default"/>
      </w:rPr>
    </w:lvl>
    <w:lvl w:ilvl="5">
      <w:start w:val="0"/>
      <w:numFmt w:val="bullet"/>
      <w:lvlText w:val="•"/>
      <w:lvlJc w:val="left"/>
      <w:pPr>
        <w:ind w:left="3712" w:hanging="421"/>
      </w:pPr>
      <w:rPr>
        <w:rFonts w:hint="default"/>
      </w:rPr>
    </w:lvl>
    <w:lvl w:ilvl="6">
      <w:start w:val="0"/>
      <w:numFmt w:val="bullet"/>
      <w:lvlText w:val="•"/>
      <w:lvlJc w:val="left"/>
      <w:pPr>
        <w:ind w:left="3665" w:hanging="421"/>
      </w:pPr>
      <w:rPr>
        <w:rFonts w:hint="default"/>
      </w:rPr>
    </w:lvl>
    <w:lvl w:ilvl="7">
      <w:start w:val="0"/>
      <w:numFmt w:val="bullet"/>
      <w:lvlText w:val="•"/>
      <w:lvlJc w:val="left"/>
      <w:pPr>
        <w:ind w:left="3619" w:hanging="421"/>
      </w:pPr>
      <w:rPr>
        <w:rFonts w:hint="default"/>
      </w:rPr>
    </w:lvl>
    <w:lvl w:ilvl="8">
      <w:start w:val="0"/>
      <w:numFmt w:val="bullet"/>
      <w:lvlText w:val="•"/>
      <w:lvlJc w:val="left"/>
      <w:pPr>
        <w:ind w:left="3572" w:hanging="421"/>
      </w:pPr>
      <w:rPr>
        <w:rFonts w:hint="default"/>
      </w:rPr>
    </w:lvl>
  </w:abstractNum>
  <w:abstractNum w:abstractNumId="4">
    <w:multiLevelType w:val="hybridMultilevel"/>
    <w:lvl w:ilvl="0">
      <w:start w:val="25"/>
      <w:numFmt w:val="decimal"/>
      <w:lvlText w:val="%1."/>
      <w:lvlJc w:val="left"/>
      <w:pPr>
        <w:ind w:left="389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4524" w:hanging="421"/>
      </w:pPr>
      <w:rPr>
        <w:rFonts w:hint="default"/>
      </w:rPr>
    </w:lvl>
    <w:lvl w:ilvl="2">
      <w:start w:val="0"/>
      <w:numFmt w:val="bullet"/>
      <w:lvlText w:val="•"/>
      <w:lvlJc w:val="left"/>
      <w:pPr>
        <w:ind w:left="5149" w:hanging="421"/>
      </w:pPr>
      <w:rPr>
        <w:rFonts w:hint="default"/>
      </w:rPr>
    </w:lvl>
    <w:lvl w:ilvl="3">
      <w:start w:val="0"/>
      <w:numFmt w:val="bullet"/>
      <w:lvlText w:val="•"/>
      <w:lvlJc w:val="left"/>
      <w:pPr>
        <w:ind w:left="5773" w:hanging="421"/>
      </w:pPr>
      <w:rPr>
        <w:rFonts w:hint="default"/>
      </w:rPr>
    </w:lvl>
    <w:lvl w:ilvl="4">
      <w:start w:val="0"/>
      <w:numFmt w:val="bullet"/>
      <w:lvlText w:val="•"/>
      <w:lvlJc w:val="left"/>
      <w:pPr>
        <w:ind w:left="6398" w:hanging="421"/>
      </w:pPr>
      <w:rPr>
        <w:rFonts w:hint="default"/>
      </w:rPr>
    </w:lvl>
    <w:lvl w:ilvl="5">
      <w:start w:val="0"/>
      <w:numFmt w:val="bullet"/>
      <w:lvlText w:val="•"/>
      <w:lvlJc w:val="left"/>
      <w:pPr>
        <w:ind w:left="7023" w:hanging="421"/>
      </w:pPr>
      <w:rPr>
        <w:rFonts w:hint="default"/>
      </w:rPr>
    </w:lvl>
    <w:lvl w:ilvl="6">
      <w:start w:val="0"/>
      <w:numFmt w:val="bullet"/>
      <w:lvlText w:val="•"/>
      <w:lvlJc w:val="left"/>
      <w:pPr>
        <w:ind w:left="7647" w:hanging="421"/>
      </w:pPr>
      <w:rPr>
        <w:rFonts w:hint="default"/>
      </w:rPr>
    </w:lvl>
    <w:lvl w:ilvl="7">
      <w:start w:val="0"/>
      <w:numFmt w:val="bullet"/>
      <w:lvlText w:val="•"/>
      <w:lvlJc w:val="left"/>
      <w:pPr>
        <w:ind w:left="8272" w:hanging="421"/>
      </w:pPr>
      <w:rPr>
        <w:rFonts w:hint="default"/>
      </w:rPr>
    </w:lvl>
    <w:lvl w:ilvl="8">
      <w:start w:val="0"/>
      <w:numFmt w:val="bullet"/>
      <w:lvlText w:val="•"/>
      <w:lvlJc w:val="left"/>
      <w:pPr>
        <w:ind w:left="8897" w:hanging="421"/>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1"/>
      <w:numFmt w:val="decimal"/>
      <w:lvlText w:val="%2."/>
      <w:lvlJc w:val="left"/>
      <w:pPr>
        <w:ind w:left="1002" w:hanging="264"/>
        <w:jc w:val="left"/>
      </w:pPr>
      <w:rPr>
        <w:rFonts w:hint="default" w:ascii="Times New Roman" w:hAnsi="Times New Roman" w:eastAsia="Times New Roman" w:cs="Times New Roman"/>
        <w:w w:val="100"/>
        <w:sz w:val="21"/>
        <w:szCs w:val="21"/>
      </w:rPr>
    </w:lvl>
    <w:lvl w:ilvl="2">
      <w:start w:val="0"/>
      <w:numFmt w:val="bullet"/>
      <w:lvlText w:val="•"/>
      <w:lvlJc w:val="left"/>
      <w:pPr>
        <w:ind w:left="2016" w:hanging="264"/>
      </w:pPr>
      <w:rPr>
        <w:rFonts w:hint="default"/>
      </w:rPr>
    </w:lvl>
    <w:lvl w:ilvl="3">
      <w:start w:val="0"/>
      <w:numFmt w:val="bullet"/>
      <w:lvlText w:val="•"/>
      <w:lvlJc w:val="left"/>
      <w:pPr>
        <w:ind w:left="3032" w:hanging="264"/>
      </w:pPr>
      <w:rPr>
        <w:rFonts w:hint="default"/>
      </w:rPr>
    </w:lvl>
    <w:lvl w:ilvl="4">
      <w:start w:val="0"/>
      <w:numFmt w:val="bullet"/>
      <w:lvlText w:val="•"/>
      <w:lvlJc w:val="left"/>
      <w:pPr>
        <w:ind w:left="4048" w:hanging="264"/>
      </w:pPr>
      <w:rPr>
        <w:rFonts w:hint="default"/>
      </w:rPr>
    </w:lvl>
    <w:lvl w:ilvl="5">
      <w:start w:val="0"/>
      <w:numFmt w:val="bullet"/>
      <w:lvlText w:val="•"/>
      <w:lvlJc w:val="left"/>
      <w:pPr>
        <w:ind w:left="5065" w:hanging="264"/>
      </w:pPr>
      <w:rPr>
        <w:rFonts w:hint="default"/>
      </w:rPr>
    </w:lvl>
    <w:lvl w:ilvl="6">
      <w:start w:val="0"/>
      <w:numFmt w:val="bullet"/>
      <w:lvlText w:val="•"/>
      <w:lvlJc w:val="left"/>
      <w:pPr>
        <w:ind w:left="6081" w:hanging="264"/>
      </w:pPr>
      <w:rPr>
        <w:rFonts w:hint="default"/>
      </w:rPr>
    </w:lvl>
    <w:lvl w:ilvl="7">
      <w:start w:val="0"/>
      <w:numFmt w:val="bullet"/>
      <w:lvlText w:val="•"/>
      <w:lvlJc w:val="left"/>
      <w:pPr>
        <w:ind w:left="7097" w:hanging="264"/>
      </w:pPr>
      <w:rPr>
        <w:rFonts w:hint="default"/>
      </w:rPr>
    </w:lvl>
    <w:lvl w:ilvl="8">
      <w:start w:val="0"/>
      <w:numFmt w:val="bullet"/>
      <w:lvlText w:val="•"/>
      <w:lvlJc w:val="left"/>
      <w:pPr>
        <w:ind w:left="8113" w:hanging="264"/>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18" w:hanging="420"/>
      </w:pPr>
      <w:rPr>
        <w:rFonts w:hint="default" w:ascii="Wingdings" w:hAnsi="Wingdings" w:eastAsia="Wingdings" w:cs="Wingdings"/>
        <w:w w:val="100"/>
        <w:sz w:val="24"/>
        <w:szCs w:val="24"/>
      </w:rPr>
    </w:lvl>
    <w:lvl w:ilvl="1">
      <w:start w:val="0"/>
      <w:numFmt w:val="bullet"/>
      <w:lvlText w:val="•"/>
      <w:lvlJc w:val="left"/>
      <w:pPr>
        <w:ind w:left="2768" w:hanging="420"/>
      </w:pPr>
      <w:rPr>
        <w:rFonts w:hint="default"/>
      </w:rPr>
    </w:lvl>
    <w:lvl w:ilvl="2">
      <w:start w:val="0"/>
      <w:numFmt w:val="bullet"/>
      <w:lvlText w:val="•"/>
      <w:lvlJc w:val="left"/>
      <w:pPr>
        <w:ind w:left="3717" w:hanging="420"/>
      </w:pPr>
      <w:rPr>
        <w:rFonts w:hint="default"/>
      </w:rPr>
    </w:lvl>
    <w:lvl w:ilvl="3">
      <w:start w:val="0"/>
      <w:numFmt w:val="bullet"/>
      <w:lvlText w:val="•"/>
      <w:lvlJc w:val="left"/>
      <w:pPr>
        <w:ind w:left="466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63" w:hanging="420"/>
      </w:pPr>
      <w:rPr>
        <w:rFonts w:hint="default"/>
      </w:rPr>
    </w:lvl>
    <w:lvl w:ilvl="6">
      <w:start w:val="0"/>
      <w:numFmt w:val="bullet"/>
      <w:lvlText w:val="•"/>
      <w:lvlJc w:val="left"/>
      <w:pPr>
        <w:ind w:left="7511" w:hanging="420"/>
      </w:pPr>
      <w:rPr>
        <w:rFonts w:hint="default"/>
      </w:rPr>
    </w:lvl>
    <w:lvl w:ilvl="7">
      <w:start w:val="0"/>
      <w:numFmt w:val="bullet"/>
      <w:lvlText w:val="•"/>
      <w:lvlJc w:val="left"/>
      <w:pPr>
        <w:ind w:left="8460" w:hanging="420"/>
      </w:pPr>
      <w:rPr>
        <w:rFonts w:hint="default"/>
      </w:rPr>
    </w:lvl>
    <w:lvl w:ilvl="8">
      <w:start w:val="0"/>
      <w:numFmt w:val="bullet"/>
      <w:lvlText w:val="•"/>
      <w:lvlJc w:val="left"/>
      <w:pPr>
        <w:ind w:left="9409"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2018-10-20T03:33:06Z</dcterms:created>
  <dcterms:modified xsi:type="dcterms:W3CDTF">2018-10-20T03:33:06Z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Word 2010</vt:lpwstr>
  </property>
  <property fmtid="{D5CDD505-2E9C-101B-9397-08002B2CF9AE}" pid="4" name="LastSaved">
    <vt:filetime>2018-10-19T00:00:00Z</vt:filetime>
  </property>
</Properties>
</file>