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9"/>
        <w:ind w:left="0"/>
        <w:rPr>
          <w:rFonts w:ascii="Times New Roman"/>
          <w:sz w:val="18"/>
        </w:rPr>
      </w:pPr>
    </w:p>
    <w:p>
      <w:pPr>
        <w:spacing w:line="254" w:lineRule="exact" w:before="37"/>
        <w:ind w:left="8844" w:right="0" w:firstLine="0"/>
        <w:jc w:val="left"/>
        <w:rPr>
          <w:sz w:val="20"/>
        </w:rPr>
      </w:pPr>
      <w:r>
        <w:rPr/>
        <w:drawing>
          <wp:anchor distT="0" distB="0" distL="0" distR="0" allowOverlap="1" layoutInCell="1" locked="0" behindDoc="0" simplePos="0" relativeHeight="0">
            <wp:simplePos x="0" y="0"/>
            <wp:positionH relativeFrom="page">
              <wp:posOffset>635508</wp:posOffset>
            </wp:positionH>
            <wp:positionV relativeFrom="paragraph">
              <wp:posOffset>-299088</wp:posOffset>
            </wp:positionV>
            <wp:extent cx="1176528" cy="385572"/>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176528" cy="385572"/>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6304788</wp:posOffset>
            </wp:positionH>
            <wp:positionV relativeFrom="paragraph">
              <wp:posOffset>-428628</wp:posOffset>
            </wp:positionV>
            <wp:extent cx="723900" cy="61417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614172"/>
                    </a:xfrm>
                    <a:prstGeom prst="rect">
                      <a:avLst/>
                    </a:prstGeom>
                  </pic:spPr>
                </pic:pic>
              </a:graphicData>
            </a:graphic>
          </wp:anchor>
        </w:drawing>
      </w:r>
      <w:r>
        <w:rPr>
          <w:w w:val="99"/>
          <w:sz w:val="20"/>
        </w:rPr>
        <w:t> </w:t>
      </w:r>
    </w:p>
    <w:p>
      <w:pPr>
        <w:spacing w:line="182" w:lineRule="auto" w:before="55"/>
        <w:ind w:left="8155" w:right="285" w:hanging="802"/>
        <w:jc w:val="right"/>
        <w:rPr>
          <w:sz w:val="20"/>
        </w:rPr>
      </w:pPr>
      <w:r>
        <w:rPr>
          <w:sz w:val="20"/>
        </w:rPr>
        <w:t>嘉禾人寿[2009]疾病保险 084 号</w:t>
      </w:r>
      <w:r>
        <w:rPr>
          <w:w w:val="99"/>
          <w:sz w:val="20"/>
        </w:rPr>
        <w:t> </w:t>
      </w:r>
      <w:r>
        <w:rPr>
          <w:w w:val="95"/>
          <w:sz w:val="20"/>
        </w:rPr>
        <w:t>请扫描以查询验证条款 </w:t>
      </w:r>
    </w:p>
    <w:p>
      <w:pPr>
        <w:pStyle w:val="Heading1"/>
        <w:spacing w:line="517" w:lineRule="exact"/>
      </w:pPr>
      <w:r>
        <w:rPr/>
        <w:t>嘉禾附加团体重大疾病保险条款</w:t>
      </w:r>
    </w:p>
    <w:p>
      <w:pPr>
        <w:spacing w:before="71"/>
        <w:ind w:left="1705" w:right="1575"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813" w:right="1575"/>
        <w:jc w:val="center"/>
      </w:pPr>
      <w:r>
        <w:rPr/>
        <w:drawing>
          <wp:anchor distT="0" distB="0" distL="0" distR="0" allowOverlap="1" layoutInCell="1" locked="0" behindDoc="1" simplePos="0" relativeHeight="268386671">
            <wp:simplePos x="0" y="0"/>
            <wp:positionH relativeFrom="page">
              <wp:posOffset>723900</wp:posOffset>
            </wp:positionH>
            <wp:positionV relativeFrom="paragraph">
              <wp:posOffset>317038</wp:posOffset>
            </wp:positionV>
            <wp:extent cx="6470904" cy="742188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470904" cy="742188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2"/>
          <w:w w:val="100"/>
        </w:rPr>
        <w:t>人</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w w:val="100"/>
        </w:rPr>
        <w:t>。 </w:t>
      </w:r>
    </w:p>
    <w:p>
      <w:pPr>
        <w:pStyle w:val="Heading3"/>
        <w:spacing w:line="361" w:lineRule="exact" w:before="101"/>
        <w:ind w:left="1389"/>
      </w:pPr>
      <w:r>
        <w:rPr/>
        <w:pict>
          <v:shapetype id="_x0000_t202" o:spt="202" coordsize="21600,21600" path="m,l,21600r21600,l21600,xe">
            <v:stroke joinstyle="miter"/>
            <v:path gradientshapeok="t" o:connecttype="rect"/>
          </v:shapetype>
          <v:shape style="position:absolute;margin-left:64.069916pt;margin-top:3.449875pt;width:18.850pt;height:28.85pt;mso-position-horizontal-relative:page;mso-position-vertical-relative:paragraph;z-index:1096"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投保人拥有的重要权益</w:t>
      </w:r>
    </w:p>
    <w:p>
      <w:pPr>
        <w:pStyle w:val="ListParagraph"/>
        <w:numPr>
          <w:ilvl w:val="0"/>
          <w:numId w:val="1"/>
        </w:numPr>
        <w:tabs>
          <w:tab w:pos="1640" w:val="left" w:leader="none"/>
          <w:tab w:pos="9940" w:val="right" w:leader="dot"/>
        </w:tabs>
        <w:spacing w:line="270" w:lineRule="exact" w:before="0" w:after="0"/>
        <w:ind w:left="1639" w:right="0" w:hanging="291"/>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w:t>
      </w:r>
      <w:r>
        <w:rPr>
          <w:rFonts w:ascii="仿宋" w:eastAsia="仿宋" w:hint="eastAsia"/>
          <w:sz w:val="21"/>
        </w:rPr>
        <w:t>明</w:t>
        <w:tab/>
      </w:r>
      <w:r>
        <w:rPr>
          <w:sz w:val="21"/>
        </w:rPr>
        <w:t>2.3</w:t>
      </w:r>
    </w:p>
    <w:p>
      <w:pPr>
        <w:pStyle w:val="ListParagraph"/>
        <w:numPr>
          <w:ilvl w:val="0"/>
          <w:numId w:val="1"/>
        </w:numPr>
        <w:tabs>
          <w:tab w:pos="1640" w:val="left" w:leader="none"/>
          <w:tab w:pos="9729" w:val="right" w:leader="dot"/>
        </w:tabs>
        <w:spacing w:line="274" w:lineRule="exact" w:before="0" w:after="0"/>
        <w:ind w:left="1639" w:right="0" w:hanging="291"/>
        <w:jc w:val="left"/>
        <w:rPr>
          <w:sz w:val="21"/>
        </w:rPr>
      </w:pPr>
      <w:r>
        <w:rPr/>
        <w:pict>
          <v:shape style="position:absolute;margin-left:64.069916pt;margin-top:12.779816pt;width:18.850pt;height:28.85pt;mso-position-horizontal-relative:page;mso-position-vertical-relative:paragraph;z-index:1120"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rFonts w:ascii="仿宋" w:eastAsia="仿宋" w:hint="eastAsia"/>
          <w:sz w:val="21"/>
        </w:rPr>
        <w:t>投保</w:t>
      </w:r>
      <w:r>
        <w:rPr>
          <w:rFonts w:ascii="仿宋" w:eastAsia="仿宋" w:hint="eastAsia"/>
          <w:spacing w:val="-3"/>
          <w:sz w:val="21"/>
        </w:rPr>
        <w:t>人</w:t>
      </w:r>
      <w:r>
        <w:rPr>
          <w:rFonts w:ascii="仿宋" w:eastAsia="仿宋" w:hint="eastAsia"/>
          <w:sz w:val="21"/>
        </w:rPr>
        <w:t>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5</w:t>
      </w:r>
    </w:p>
    <w:p>
      <w:pPr>
        <w:pStyle w:val="Heading3"/>
        <w:spacing w:line="345" w:lineRule="exact" w:before="12"/>
        <w:ind w:left="1389"/>
      </w:pPr>
      <w:r>
        <w:rPr/>
        <w:t>投保人应当特别注意的事项</w:t>
      </w:r>
    </w:p>
    <w:p>
      <w:pPr>
        <w:pStyle w:val="ListParagraph"/>
        <w:numPr>
          <w:ilvl w:val="0"/>
          <w:numId w:val="1"/>
        </w:numPr>
        <w:tabs>
          <w:tab w:pos="1771" w:val="left" w:leader="none"/>
          <w:tab w:pos="1772" w:val="left" w:leader="none"/>
          <w:tab w:pos="9962" w:val="right" w:leader="dot"/>
        </w:tabs>
        <w:spacing w:line="251" w:lineRule="exact" w:before="0" w:after="0"/>
        <w:ind w:left="1771" w:right="0" w:hanging="423"/>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本</w:t>
      </w:r>
      <w:r>
        <w:rPr>
          <w:rFonts w:ascii="仿宋" w:eastAsia="仿宋" w:hint="eastAsia"/>
          <w:spacing w:val="-3"/>
          <w:sz w:val="21"/>
        </w:rPr>
        <w:t>公</w:t>
      </w:r>
      <w:r>
        <w:rPr>
          <w:rFonts w:ascii="仿宋" w:eastAsia="仿宋" w:hint="eastAsia"/>
          <w:sz w:val="21"/>
        </w:rPr>
        <w:t>司</w:t>
      </w:r>
      <w:r>
        <w:rPr>
          <w:rFonts w:ascii="仿宋" w:eastAsia="仿宋" w:hint="eastAsia"/>
          <w:spacing w:val="-3"/>
          <w:sz w:val="21"/>
        </w:rPr>
        <w:t>不</w:t>
      </w:r>
      <w:r>
        <w:rPr>
          <w:rFonts w:ascii="仿宋" w:eastAsia="仿宋" w:hint="eastAsia"/>
          <w:sz w:val="21"/>
        </w:rPr>
        <w:t>承担</w:t>
      </w: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责任</w:t>
        <w:tab/>
      </w:r>
      <w:r>
        <w:rPr>
          <w:sz w:val="21"/>
        </w:rPr>
        <w:t>2.4</w:t>
      </w:r>
    </w:p>
    <w:p>
      <w:pPr>
        <w:pStyle w:val="ListParagraph"/>
        <w:numPr>
          <w:ilvl w:val="0"/>
          <w:numId w:val="1"/>
        </w:numPr>
        <w:tabs>
          <w:tab w:pos="1771" w:val="left" w:leader="none"/>
          <w:tab w:pos="1772" w:val="left" w:leader="none"/>
          <w:tab w:pos="9962" w:val="right" w:leader="dot"/>
        </w:tabs>
        <w:spacing w:line="257" w:lineRule="exact" w:before="0" w:after="0"/>
        <w:ind w:left="1771" w:right="0" w:hanging="423"/>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投</w:t>
      </w:r>
      <w:r>
        <w:rPr>
          <w:rFonts w:ascii="仿宋" w:eastAsia="仿宋" w:hint="eastAsia"/>
          <w:spacing w:val="-3"/>
          <w:sz w:val="21"/>
        </w:rPr>
        <w:t>保</w:t>
      </w:r>
      <w:r>
        <w:rPr>
          <w:rFonts w:ascii="仿宋" w:eastAsia="仿宋" w:hint="eastAsia"/>
          <w:sz w:val="21"/>
        </w:rPr>
        <w:t>人及</w:t>
      </w:r>
      <w:r>
        <w:rPr>
          <w:rFonts w:ascii="仿宋" w:eastAsia="仿宋" w:hint="eastAsia"/>
          <w:spacing w:val="-3"/>
          <w:sz w:val="21"/>
        </w:rPr>
        <w:t>时</w:t>
      </w:r>
      <w:r>
        <w:rPr>
          <w:rFonts w:ascii="仿宋" w:eastAsia="仿宋" w:hint="eastAsia"/>
          <w:sz w:val="21"/>
        </w:rPr>
        <w:t>通</w:t>
      </w:r>
      <w:r>
        <w:rPr>
          <w:rFonts w:ascii="仿宋" w:eastAsia="仿宋" w:hint="eastAsia"/>
          <w:spacing w:val="-3"/>
          <w:sz w:val="21"/>
        </w:rPr>
        <w:t>知</w:t>
      </w:r>
      <w:r>
        <w:rPr>
          <w:rFonts w:ascii="仿宋" w:eastAsia="仿宋" w:hint="eastAsia"/>
          <w:sz w:val="21"/>
        </w:rPr>
        <w:t>本</w:t>
      </w:r>
      <w:r>
        <w:rPr>
          <w:rFonts w:ascii="仿宋" w:eastAsia="仿宋" w:hint="eastAsia"/>
          <w:spacing w:val="-3"/>
          <w:sz w:val="21"/>
        </w:rPr>
        <w:t>公司</w:t>
        <w:tab/>
      </w:r>
      <w:r>
        <w:rPr>
          <w:sz w:val="21"/>
        </w:rPr>
        <w:t>3.2</w:t>
      </w:r>
    </w:p>
    <w:p>
      <w:pPr>
        <w:pStyle w:val="ListParagraph"/>
        <w:numPr>
          <w:ilvl w:val="0"/>
          <w:numId w:val="1"/>
        </w:numPr>
        <w:tabs>
          <w:tab w:pos="1771" w:val="left" w:leader="none"/>
          <w:tab w:pos="1772" w:val="left" w:leader="none"/>
          <w:tab w:pos="9755" w:val="right" w:leader="dot"/>
        </w:tabs>
        <w:spacing w:line="259" w:lineRule="exact" w:before="0" w:after="0"/>
        <w:ind w:left="1771" w:right="0" w:hanging="423"/>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w:t>
      </w:r>
      <w:r>
        <w:rPr>
          <w:rFonts w:ascii="仿宋" w:eastAsia="仿宋" w:hint="eastAsia"/>
          <w:sz w:val="21"/>
        </w:rPr>
        <w:t>请慎</w:t>
      </w:r>
      <w:r>
        <w:rPr>
          <w:rFonts w:ascii="仿宋" w:eastAsia="仿宋" w:hint="eastAsia"/>
          <w:spacing w:val="-3"/>
          <w:sz w:val="21"/>
        </w:rPr>
        <w:t>重</w:t>
      </w:r>
      <w:r>
        <w:rPr>
          <w:rFonts w:ascii="仿宋" w:eastAsia="仿宋" w:hint="eastAsia"/>
          <w:sz w:val="21"/>
        </w:rPr>
        <w:t>决策</w:t>
        <w:tab/>
      </w:r>
      <w:r>
        <w:rPr>
          <w:sz w:val="21"/>
        </w:rPr>
        <w:t>5</w:t>
      </w:r>
    </w:p>
    <w:p>
      <w:pPr>
        <w:pStyle w:val="ListParagraph"/>
        <w:numPr>
          <w:ilvl w:val="0"/>
          <w:numId w:val="1"/>
        </w:numPr>
        <w:tabs>
          <w:tab w:pos="1771" w:val="left" w:leader="none"/>
          <w:tab w:pos="1772" w:val="left" w:leader="none"/>
        </w:tabs>
        <w:spacing w:line="260" w:lineRule="exact" w:before="0" w:after="0"/>
        <w:ind w:left="1771" w:right="0" w:hanging="423"/>
        <w:jc w:val="left"/>
        <w:rPr>
          <w:sz w:val="21"/>
        </w:rPr>
      </w:pPr>
      <w:r>
        <w:rPr>
          <w:rFonts w:ascii="仿宋" w:hAnsi="仿宋" w:eastAsia="仿宋" w:hint="eastAsia"/>
          <w:spacing w:val="-3"/>
          <w:sz w:val="21"/>
        </w:rPr>
        <w:t>投保人有如实告知的义务 ……………………………………………………………………</w:t>
      </w:r>
      <w:r>
        <w:rPr>
          <w:sz w:val="21"/>
        </w:rPr>
        <w:t>6.1 </w:t>
      </w:r>
    </w:p>
    <w:p>
      <w:pPr>
        <w:pStyle w:val="ListParagraph"/>
        <w:numPr>
          <w:ilvl w:val="0"/>
          <w:numId w:val="1"/>
        </w:numPr>
        <w:tabs>
          <w:tab w:pos="1771" w:val="left" w:leader="none"/>
          <w:tab w:pos="1772" w:val="left" w:leader="none"/>
        </w:tabs>
        <w:spacing w:line="260" w:lineRule="exact" w:before="0" w:after="0"/>
        <w:ind w:left="1771" w:right="0" w:hanging="423"/>
        <w:jc w:val="left"/>
        <w:rPr>
          <w:sz w:val="21"/>
        </w:rPr>
      </w:pPr>
      <w:r>
        <w:rPr>
          <w:rFonts w:ascii="仿宋" w:hAnsi="仿宋" w:eastAsia="仿宋" w:hint="eastAsia"/>
          <w:spacing w:val="-3"/>
          <w:sz w:val="21"/>
        </w:rPr>
        <w:t>主险合同的某些变动会导致本附加险合同效力终止 </w:t>
      </w:r>
      <w:r>
        <w:rPr>
          <w:sz w:val="21"/>
        </w:rPr>
        <w:t>………………………………………6.6 </w:t>
      </w:r>
    </w:p>
    <w:p>
      <w:pPr>
        <w:pStyle w:val="ListParagraph"/>
        <w:numPr>
          <w:ilvl w:val="0"/>
          <w:numId w:val="1"/>
        </w:numPr>
        <w:tabs>
          <w:tab w:pos="1771" w:val="left" w:leader="none"/>
          <w:tab w:pos="1772" w:val="left" w:leader="none"/>
        </w:tabs>
        <w:spacing w:line="259" w:lineRule="exact" w:before="0" w:after="0"/>
        <w:ind w:left="1771" w:right="0" w:hanging="423"/>
        <w:jc w:val="left"/>
        <w:rPr>
          <w:sz w:val="21"/>
        </w:rPr>
      </w:pPr>
      <w:r>
        <w:rPr>
          <w:rFonts w:ascii="仿宋" w:hAnsi="仿宋" w:eastAsia="仿宋" w:hint="eastAsia"/>
          <w:spacing w:val="-2"/>
          <w:sz w:val="21"/>
        </w:rPr>
        <w:t>本公司对一些重要术语进行了解释，并作了显著标识，请投保人注意 …………………</w:t>
      </w:r>
      <w:r>
        <w:rPr>
          <w:sz w:val="21"/>
        </w:rPr>
        <w:t>7 </w:t>
      </w:r>
    </w:p>
    <w:p>
      <w:pPr>
        <w:pStyle w:val="ListParagraph"/>
        <w:numPr>
          <w:ilvl w:val="0"/>
          <w:numId w:val="1"/>
        </w:numPr>
        <w:tabs>
          <w:tab w:pos="1771" w:val="left" w:leader="none"/>
          <w:tab w:pos="1772" w:val="left" w:leader="none"/>
        </w:tabs>
        <w:spacing w:line="256" w:lineRule="exact" w:before="0" w:after="0"/>
        <w:ind w:left="1771" w:right="0" w:hanging="423"/>
        <w:jc w:val="left"/>
        <w:rPr>
          <w:sz w:val="21"/>
        </w:rPr>
      </w:pPr>
      <w:r>
        <w:rPr>
          <w:rFonts w:ascii="仿宋" w:hAnsi="仿宋" w:eastAsia="仿宋" w:hint="eastAsia"/>
          <w:spacing w:val="-3"/>
          <w:sz w:val="21"/>
        </w:rPr>
        <w:t>保险条款有关重大疾病的释义，请留意 </w:t>
      </w:r>
      <w:r>
        <w:rPr>
          <w:sz w:val="21"/>
        </w:rPr>
        <w:t>……………………………………………</w:t>
      </w:r>
      <w:r>
        <w:rPr>
          <w:rFonts w:ascii="仿宋" w:hAnsi="仿宋" w:eastAsia="仿宋" w:hint="eastAsia"/>
          <w:sz w:val="21"/>
        </w:rPr>
        <w:t>………</w:t>
      </w:r>
      <w:r>
        <w:rPr>
          <w:sz w:val="21"/>
        </w:rPr>
        <w:t>7.5 </w:t>
      </w:r>
    </w:p>
    <w:p>
      <w:pPr>
        <w:pStyle w:val="Heading3"/>
        <w:tabs>
          <w:tab w:pos="1389" w:val="left" w:leader="none"/>
        </w:tabs>
        <w:spacing w:line="479" w:lineRule="exact"/>
        <w:ind w:left="381"/>
        <w:rPr>
          <w:rFonts w:ascii="宋体" w:eastAsia="宋体" w:hint="eastAsia"/>
          <w:b w:val="0"/>
        </w:rPr>
      </w:pPr>
      <w:r>
        <w:rPr>
          <w:rFonts w:ascii="Times New Roman" w:eastAsia="Times New Roman"/>
          <w:position w:val="-11"/>
          <w:sz w:val="52"/>
        </w:rPr>
        <w:t>C</w:t>
        <w:tab/>
      </w:r>
      <w:r>
        <w:rPr>
          <w:spacing w:val="-3"/>
        </w:rPr>
        <w:t>条款是保险合同的重要内容，为充分保障投保人的权益，请投保人仔细阅读本条款。</w:t>
      </w:r>
      <w:r>
        <w:rPr>
          <w:rFonts w:ascii="宋体" w:eastAsia="宋体" w:hint="eastAsia"/>
          <w:b w:val="0"/>
        </w:rPr>
        <w:t> </w:t>
      </w:r>
    </w:p>
    <w:p>
      <w:pPr>
        <w:tabs>
          <w:tab w:pos="1389" w:val="left" w:leader="none"/>
        </w:tabs>
        <w:spacing w:line="498" w:lineRule="exact" w:before="0"/>
        <w:ind w:left="381" w:right="0" w:firstLine="0"/>
        <w:jc w:val="left"/>
        <w:rPr>
          <w:sz w:val="21"/>
        </w:rPr>
      </w:pPr>
      <w:r>
        <w:rPr/>
        <w:pict>
          <v:shape style="position:absolute;margin-left:91.440002pt;margin-top:17.604713pt;width:440.65pt;height:376.6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8"/>
                    <w:gridCol w:w="1071"/>
                    <w:gridCol w:w="3866"/>
                  </w:tblGrid>
                  <w:tr>
                    <w:trPr>
                      <w:trHeight w:val="486" w:hRule="atLeast"/>
                    </w:trPr>
                    <w:tc>
                      <w:tcPr>
                        <w:tcW w:w="3868" w:type="dxa"/>
                        <w:tcBorders>
                          <w:top w:val="single" w:sz="4" w:space="0" w:color="000000"/>
                          <w:left w:val="single" w:sz="4" w:space="0" w:color="000000"/>
                        </w:tcBorders>
                      </w:tcPr>
                      <w:p>
                        <w:pPr>
                          <w:pStyle w:val="TableParagraph"/>
                          <w:spacing w:before="83"/>
                          <w:ind w:left="537"/>
                          <w:rPr>
                            <w:rFonts w:ascii="Microsoft JhengHei" w:eastAsia="Microsoft JhengHei" w:hint="eastAsia"/>
                            <w:b/>
                            <w:sz w:val="21"/>
                          </w:rPr>
                        </w:pPr>
                        <w:r>
                          <w:rPr>
                            <w:rFonts w:ascii="等线" w:eastAsia="等线" w:hint="eastAsia"/>
                            <w:b/>
                            <w:sz w:val="21"/>
                          </w:rPr>
                          <w:t>1.  </w:t>
                        </w:r>
                        <w:r>
                          <w:rPr>
                            <w:rFonts w:ascii="Microsoft JhengHei" w:eastAsia="Microsoft JhengHei" w:hint="eastAsia"/>
                            <w:b/>
                            <w:sz w:val="21"/>
                          </w:rPr>
                          <w:t>投保人与本公司订立的合同</w:t>
                        </w:r>
                      </w:p>
                    </w:tc>
                    <w:tc>
                      <w:tcPr>
                        <w:tcW w:w="1071" w:type="dxa"/>
                        <w:tcBorders>
                          <w:top w:val="single" w:sz="4" w:space="0" w:color="000000"/>
                        </w:tcBorders>
                      </w:tcPr>
                      <w:p>
                        <w:pPr>
                          <w:pStyle w:val="TableParagraph"/>
                          <w:spacing w:before="150"/>
                          <w:ind w:right="151"/>
                          <w:jc w:val="right"/>
                          <w:rPr>
                            <w:rFonts w:ascii="仿宋"/>
                            <w:sz w:val="21"/>
                          </w:rPr>
                        </w:pPr>
                        <w:r>
                          <w:rPr>
                            <w:rFonts w:ascii="仿宋"/>
                            <w:sz w:val="21"/>
                          </w:rPr>
                          <w:t>6.5</w:t>
                        </w:r>
                      </w:p>
                    </w:tc>
                    <w:tc>
                      <w:tcPr>
                        <w:tcW w:w="3866" w:type="dxa"/>
                        <w:tcBorders>
                          <w:top w:val="single" w:sz="4" w:space="0" w:color="000000"/>
                          <w:right w:val="single" w:sz="4" w:space="0" w:color="000000"/>
                        </w:tcBorders>
                      </w:tcPr>
                      <w:p>
                        <w:pPr>
                          <w:pStyle w:val="TableParagraph"/>
                          <w:spacing w:before="150"/>
                          <w:ind w:left="55"/>
                          <w:rPr>
                            <w:rFonts w:ascii="仿宋" w:eastAsia="仿宋" w:hint="eastAsia"/>
                            <w:sz w:val="21"/>
                          </w:rPr>
                        </w:pPr>
                        <w:r>
                          <w:rPr>
                            <w:rFonts w:ascii="仿宋" w:eastAsia="仿宋" w:hint="eastAsia"/>
                            <w:sz w:val="21"/>
                          </w:rPr>
                          <w:t>联系方式变更</w:t>
                        </w:r>
                      </w:p>
                    </w:tc>
                  </w:tr>
                  <w:tr>
                    <w:trPr>
                      <w:trHeight w:val="283" w:hRule="atLeast"/>
                    </w:trPr>
                    <w:tc>
                      <w:tcPr>
                        <w:tcW w:w="3868"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1.1 合同构成</w:t>
                        </w:r>
                      </w:p>
                    </w:tc>
                    <w:tc>
                      <w:tcPr>
                        <w:tcW w:w="1071" w:type="dxa"/>
                      </w:tcPr>
                      <w:p>
                        <w:pPr>
                          <w:pStyle w:val="TableParagraph"/>
                          <w:spacing w:line="239" w:lineRule="exact"/>
                          <w:ind w:right="151"/>
                          <w:jc w:val="right"/>
                          <w:rPr>
                            <w:rFonts w:ascii="仿宋"/>
                            <w:sz w:val="21"/>
                          </w:rPr>
                        </w:pPr>
                        <w:r>
                          <w:rPr>
                            <w:rFonts w:ascii="仿宋"/>
                            <w:sz w:val="21"/>
                          </w:rPr>
                          <w:t>6.6</w:t>
                        </w:r>
                      </w:p>
                    </w:tc>
                    <w:tc>
                      <w:tcPr>
                        <w:tcW w:w="3866" w:type="dxa"/>
                        <w:tcBorders>
                          <w:right w:val="single" w:sz="4" w:space="0" w:color="000000"/>
                        </w:tcBorders>
                      </w:tcPr>
                      <w:p>
                        <w:pPr>
                          <w:pStyle w:val="TableParagraph"/>
                          <w:spacing w:line="239" w:lineRule="exact"/>
                          <w:ind w:left="55"/>
                          <w:rPr>
                            <w:rFonts w:ascii="仿宋" w:eastAsia="仿宋" w:hint="eastAsia"/>
                            <w:sz w:val="21"/>
                          </w:rPr>
                        </w:pPr>
                        <w:r>
                          <w:rPr>
                            <w:rFonts w:ascii="仿宋" w:eastAsia="仿宋" w:hint="eastAsia"/>
                            <w:sz w:val="21"/>
                          </w:rPr>
                          <w:t>合同效力终止的其它情况</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1.2 合同成立与生效</w:t>
                        </w:r>
                      </w:p>
                    </w:tc>
                    <w:tc>
                      <w:tcPr>
                        <w:tcW w:w="1071" w:type="dxa"/>
                      </w:tcPr>
                      <w:p>
                        <w:pPr>
                          <w:pStyle w:val="TableParagraph"/>
                          <w:spacing w:line="255" w:lineRule="exact"/>
                          <w:ind w:right="151"/>
                          <w:jc w:val="right"/>
                          <w:rPr>
                            <w:rFonts w:ascii="仿宋"/>
                            <w:sz w:val="21"/>
                          </w:rPr>
                        </w:pPr>
                        <w:r>
                          <w:rPr>
                            <w:rFonts w:ascii="仿宋"/>
                            <w:sz w:val="21"/>
                          </w:rPr>
                          <w:t>6.7</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争议处理</w:t>
                        </w:r>
                      </w:p>
                    </w:tc>
                  </w:tr>
                  <w:tr>
                    <w:trPr>
                      <w:trHeight w:val="316"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1.3 投保范围</w:t>
                        </w:r>
                      </w:p>
                    </w:tc>
                    <w:tc>
                      <w:tcPr>
                        <w:tcW w:w="1071" w:type="dxa"/>
                      </w:tcPr>
                      <w:p>
                        <w:pPr>
                          <w:pStyle w:val="TableParagraph"/>
                          <w:spacing w:line="279" w:lineRule="exact"/>
                          <w:ind w:right="45"/>
                          <w:jc w:val="right"/>
                          <w:rPr>
                            <w:rFonts w:ascii="Microsoft JhengHei" w:eastAsia="Microsoft JhengHei" w:hint="eastAsia"/>
                            <w:b/>
                            <w:sz w:val="21"/>
                          </w:rPr>
                        </w:pPr>
                        <w:r>
                          <w:rPr>
                            <w:rFonts w:ascii="等线" w:eastAsia="等线" w:hint="eastAsia"/>
                            <w:b/>
                            <w:w w:val="105"/>
                            <w:sz w:val="21"/>
                          </w:rPr>
                          <w:t>7.</w:t>
                        </w:r>
                        <w:r>
                          <w:rPr>
                            <w:rFonts w:ascii="Microsoft JhengHei" w:eastAsia="Microsoft JhengHei" w:hint="eastAsia"/>
                            <w:b/>
                            <w:w w:val="105"/>
                            <w:sz w:val="21"/>
                          </w:rPr>
                          <w:t>释义</w:t>
                        </w:r>
                      </w:p>
                    </w:tc>
                    <w:tc>
                      <w:tcPr>
                        <w:tcW w:w="3866" w:type="dxa"/>
                        <w:tcBorders>
                          <w:right w:val="single" w:sz="4" w:space="0" w:color="000000"/>
                        </w:tcBorders>
                      </w:tcPr>
                      <w:p>
                        <w:pPr>
                          <w:pStyle w:val="TableParagraph"/>
                          <w:rPr>
                            <w:rFonts w:ascii="Times New Roman"/>
                            <w:sz w:val="20"/>
                          </w:rPr>
                        </w:pPr>
                      </w:p>
                    </w:tc>
                  </w:tr>
                  <w:tr>
                    <w:trPr>
                      <w:trHeight w:val="300" w:hRule="atLeast"/>
                    </w:trPr>
                    <w:tc>
                      <w:tcPr>
                        <w:tcW w:w="3868" w:type="dxa"/>
                        <w:tcBorders>
                          <w:left w:val="single" w:sz="4" w:space="0" w:color="000000"/>
                        </w:tcBorders>
                      </w:tcPr>
                      <w:p>
                        <w:pPr>
                          <w:pStyle w:val="TableParagraph"/>
                          <w:spacing w:line="262" w:lineRule="exact"/>
                          <w:ind w:left="537"/>
                          <w:rPr>
                            <w:rFonts w:ascii="Microsoft JhengHei" w:eastAsia="Microsoft JhengHei" w:hint="eastAsia"/>
                            <w:b/>
                            <w:sz w:val="21"/>
                          </w:rPr>
                        </w:pPr>
                        <w:r>
                          <w:rPr>
                            <w:rFonts w:ascii="等线" w:eastAsia="等线" w:hint="eastAsia"/>
                            <w:b/>
                            <w:w w:val="105"/>
                            <w:sz w:val="21"/>
                          </w:rPr>
                          <w:t>2. </w:t>
                        </w:r>
                        <w:r>
                          <w:rPr>
                            <w:rFonts w:ascii="Microsoft JhengHei" w:eastAsia="Microsoft JhengHei" w:hint="eastAsia"/>
                            <w:b/>
                            <w:w w:val="105"/>
                            <w:sz w:val="21"/>
                          </w:rPr>
                          <w:t>本公司提供的保障</w:t>
                        </w:r>
                      </w:p>
                    </w:tc>
                    <w:tc>
                      <w:tcPr>
                        <w:tcW w:w="1071" w:type="dxa"/>
                      </w:tcPr>
                      <w:p>
                        <w:pPr>
                          <w:pStyle w:val="TableParagraph"/>
                          <w:spacing w:line="239" w:lineRule="exact"/>
                          <w:ind w:right="151"/>
                          <w:jc w:val="right"/>
                          <w:rPr>
                            <w:rFonts w:ascii="仿宋"/>
                            <w:sz w:val="21"/>
                          </w:rPr>
                        </w:pPr>
                        <w:r>
                          <w:rPr>
                            <w:rFonts w:ascii="仿宋"/>
                            <w:sz w:val="21"/>
                          </w:rPr>
                          <w:t>7.1</w:t>
                        </w:r>
                      </w:p>
                    </w:tc>
                    <w:tc>
                      <w:tcPr>
                        <w:tcW w:w="3866" w:type="dxa"/>
                        <w:tcBorders>
                          <w:right w:val="single" w:sz="4" w:space="0" w:color="000000"/>
                        </w:tcBorders>
                      </w:tcPr>
                      <w:p>
                        <w:pPr>
                          <w:pStyle w:val="TableParagraph"/>
                          <w:spacing w:line="239" w:lineRule="exact"/>
                          <w:ind w:left="55"/>
                          <w:rPr>
                            <w:rFonts w:ascii="仿宋" w:eastAsia="仿宋" w:hint="eastAsia"/>
                            <w:sz w:val="21"/>
                          </w:rPr>
                        </w:pPr>
                        <w:r>
                          <w:rPr>
                            <w:rFonts w:ascii="仿宋" w:eastAsia="仿宋" w:hint="eastAsia"/>
                            <w:sz w:val="21"/>
                          </w:rPr>
                          <w:t>周岁</w:t>
                        </w:r>
                      </w:p>
                    </w:tc>
                  </w:tr>
                  <w:tr>
                    <w:trPr>
                      <w:trHeight w:val="283" w:hRule="atLeast"/>
                    </w:trPr>
                    <w:tc>
                      <w:tcPr>
                        <w:tcW w:w="3868"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2.1 保险金额</w:t>
                        </w:r>
                      </w:p>
                    </w:tc>
                    <w:tc>
                      <w:tcPr>
                        <w:tcW w:w="1071" w:type="dxa"/>
                      </w:tcPr>
                      <w:p>
                        <w:pPr>
                          <w:pStyle w:val="TableParagraph"/>
                          <w:spacing w:line="239" w:lineRule="exact"/>
                          <w:ind w:right="151"/>
                          <w:jc w:val="right"/>
                          <w:rPr>
                            <w:rFonts w:ascii="仿宋"/>
                            <w:sz w:val="21"/>
                          </w:rPr>
                        </w:pPr>
                        <w:r>
                          <w:rPr>
                            <w:rFonts w:ascii="仿宋"/>
                            <w:sz w:val="21"/>
                          </w:rPr>
                          <w:t>7.2</w:t>
                        </w:r>
                      </w:p>
                    </w:tc>
                    <w:tc>
                      <w:tcPr>
                        <w:tcW w:w="3866" w:type="dxa"/>
                        <w:tcBorders>
                          <w:right w:val="single" w:sz="4" w:space="0" w:color="000000"/>
                        </w:tcBorders>
                      </w:tcPr>
                      <w:p>
                        <w:pPr>
                          <w:pStyle w:val="TableParagraph"/>
                          <w:spacing w:line="239" w:lineRule="exact"/>
                          <w:ind w:left="55"/>
                          <w:rPr>
                            <w:rFonts w:ascii="仿宋" w:eastAsia="仿宋" w:hint="eastAsia"/>
                            <w:sz w:val="21"/>
                          </w:rPr>
                        </w:pPr>
                        <w:r>
                          <w:rPr>
                            <w:rFonts w:ascii="仿宋" w:eastAsia="仿宋" w:hint="eastAsia"/>
                            <w:sz w:val="21"/>
                          </w:rPr>
                          <w:t>在职人员</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2.2 保险期间</w:t>
                        </w:r>
                      </w:p>
                    </w:tc>
                    <w:tc>
                      <w:tcPr>
                        <w:tcW w:w="1071" w:type="dxa"/>
                      </w:tcPr>
                      <w:p>
                        <w:pPr>
                          <w:pStyle w:val="TableParagraph"/>
                          <w:spacing w:line="255" w:lineRule="exact"/>
                          <w:ind w:right="151"/>
                          <w:jc w:val="right"/>
                          <w:rPr>
                            <w:rFonts w:ascii="仿宋"/>
                            <w:sz w:val="21"/>
                          </w:rPr>
                        </w:pPr>
                        <w:r>
                          <w:rPr>
                            <w:rFonts w:ascii="仿宋"/>
                            <w:sz w:val="21"/>
                          </w:rPr>
                          <w:t>7.3</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子女</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2.3 保险责任</w:t>
                        </w:r>
                      </w:p>
                    </w:tc>
                    <w:tc>
                      <w:tcPr>
                        <w:tcW w:w="1071" w:type="dxa"/>
                      </w:tcPr>
                      <w:p>
                        <w:pPr>
                          <w:pStyle w:val="TableParagraph"/>
                          <w:spacing w:line="255" w:lineRule="exact"/>
                          <w:ind w:right="151"/>
                          <w:jc w:val="right"/>
                          <w:rPr>
                            <w:rFonts w:ascii="仿宋"/>
                            <w:sz w:val="21"/>
                          </w:rPr>
                        </w:pPr>
                        <w:r>
                          <w:rPr>
                            <w:rFonts w:ascii="仿宋"/>
                            <w:sz w:val="21"/>
                          </w:rPr>
                          <w:t>7.4</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医疗机构</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2.4 责任免除</w:t>
                        </w:r>
                      </w:p>
                    </w:tc>
                    <w:tc>
                      <w:tcPr>
                        <w:tcW w:w="1071" w:type="dxa"/>
                      </w:tcPr>
                      <w:p>
                        <w:pPr>
                          <w:pStyle w:val="TableParagraph"/>
                          <w:spacing w:line="255" w:lineRule="exact"/>
                          <w:ind w:right="151"/>
                          <w:jc w:val="right"/>
                          <w:rPr>
                            <w:rFonts w:ascii="仿宋"/>
                            <w:sz w:val="21"/>
                          </w:rPr>
                        </w:pPr>
                        <w:r>
                          <w:rPr>
                            <w:rFonts w:ascii="仿宋"/>
                            <w:sz w:val="21"/>
                          </w:rPr>
                          <w:t>7.5</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重大疾病</w:t>
                        </w:r>
                      </w:p>
                    </w:tc>
                  </w:tr>
                  <w:tr>
                    <w:trPr>
                      <w:trHeight w:val="316"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1071" w:type="dxa"/>
                      </w:tcPr>
                      <w:p>
                        <w:pPr>
                          <w:pStyle w:val="TableParagraph"/>
                          <w:spacing w:line="255" w:lineRule="exact"/>
                          <w:ind w:right="151"/>
                          <w:jc w:val="right"/>
                          <w:rPr>
                            <w:rFonts w:ascii="仿宋"/>
                            <w:sz w:val="21"/>
                          </w:rPr>
                        </w:pPr>
                        <w:r>
                          <w:rPr>
                            <w:rFonts w:ascii="仿宋"/>
                            <w:sz w:val="21"/>
                          </w:rPr>
                          <w:t>7.6</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毒品</w:t>
                        </w:r>
                      </w:p>
                    </w:tc>
                  </w:tr>
                  <w:tr>
                    <w:trPr>
                      <w:trHeight w:val="283" w:hRule="atLeast"/>
                    </w:trPr>
                    <w:tc>
                      <w:tcPr>
                        <w:tcW w:w="3868"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3.1 受益人</w:t>
                        </w:r>
                      </w:p>
                    </w:tc>
                    <w:tc>
                      <w:tcPr>
                        <w:tcW w:w="1071" w:type="dxa"/>
                      </w:tcPr>
                      <w:p>
                        <w:pPr>
                          <w:pStyle w:val="TableParagraph"/>
                          <w:spacing w:line="239" w:lineRule="exact"/>
                          <w:ind w:right="151"/>
                          <w:jc w:val="right"/>
                          <w:rPr>
                            <w:rFonts w:ascii="仿宋"/>
                            <w:sz w:val="21"/>
                          </w:rPr>
                        </w:pPr>
                        <w:r>
                          <w:rPr>
                            <w:rFonts w:ascii="仿宋"/>
                            <w:sz w:val="21"/>
                          </w:rPr>
                          <w:t>7.7</w:t>
                        </w:r>
                      </w:p>
                    </w:tc>
                    <w:tc>
                      <w:tcPr>
                        <w:tcW w:w="3866" w:type="dxa"/>
                        <w:tcBorders>
                          <w:right w:val="single" w:sz="4" w:space="0" w:color="000000"/>
                        </w:tcBorders>
                      </w:tcPr>
                      <w:p>
                        <w:pPr>
                          <w:pStyle w:val="TableParagraph"/>
                          <w:spacing w:line="239" w:lineRule="exact"/>
                          <w:ind w:left="55"/>
                          <w:rPr>
                            <w:rFonts w:ascii="仿宋" w:eastAsia="仿宋" w:hint="eastAsia"/>
                            <w:sz w:val="21"/>
                          </w:rPr>
                        </w:pPr>
                        <w:r>
                          <w:rPr>
                            <w:rFonts w:ascii="仿宋" w:eastAsia="仿宋" w:hint="eastAsia"/>
                            <w:sz w:val="21"/>
                          </w:rPr>
                          <w:t>酒后驾驶</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3.2 保险事故通知</w:t>
                        </w:r>
                      </w:p>
                    </w:tc>
                    <w:tc>
                      <w:tcPr>
                        <w:tcW w:w="1071" w:type="dxa"/>
                      </w:tcPr>
                      <w:p>
                        <w:pPr>
                          <w:pStyle w:val="TableParagraph"/>
                          <w:spacing w:line="255" w:lineRule="exact"/>
                          <w:ind w:right="151"/>
                          <w:jc w:val="right"/>
                          <w:rPr>
                            <w:rFonts w:ascii="仿宋"/>
                            <w:sz w:val="21"/>
                          </w:rPr>
                        </w:pPr>
                        <w:r>
                          <w:rPr>
                            <w:rFonts w:ascii="仿宋"/>
                            <w:sz w:val="21"/>
                          </w:rPr>
                          <w:t>7.8</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无合法有效驾驶证驾驶</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3.3 保险金申请</w:t>
                        </w:r>
                      </w:p>
                    </w:tc>
                    <w:tc>
                      <w:tcPr>
                        <w:tcW w:w="1071" w:type="dxa"/>
                      </w:tcPr>
                      <w:p>
                        <w:pPr>
                          <w:pStyle w:val="TableParagraph"/>
                          <w:spacing w:line="255" w:lineRule="exact"/>
                          <w:ind w:right="151"/>
                          <w:jc w:val="right"/>
                          <w:rPr>
                            <w:rFonts w:ascii="仿宋"/>
                            <w:sz w:val="21"/>
                          </w:rPr>
                        </w:pPr>
                        <w:r>
                          <w:rPr>
                            <w:rFonts w:ascii="仿宋"/>
                            <w:sz w:val="21"/>
                          </w:rPr>
                          <w:t>7.9</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无有效行驶证</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3.4 保险金给付</w:t>
                        </w:r>
                      </w:p>
                    </w:tc>
                    <w:tc>
                      <w:tcPr>
                        <w:tcW w:w="1071" w:type="dxa"/>
                      </w:tcPr>
                      <w:p>
                        <w:pPr>
                          <w:pStyle w:val="TableParagraph"/>
                          <w:spacing w:line="255" w:lineRule="exact"/>
                          <w:ind w:right="45"/>
                          <w:jc w:val="right"/>
                          <w:rPr>
                            <w:rFonts w:ascii="仿宋"/>
                            <w:sz w:val="21"/>
                          </w:rPr>
                        </w:pPr>
                        <w:r>
                          <w:rPr>
                            <w:rFonts w:ascii="仿宋"/>
                            <w:sz w:val="21"/>
                          </w:rPr>
                          <w:t>7.10</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机动车</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3.5 诉讼时效</w:t>
                        </w:r>
                      </w:p>
                    </w:tc>
                    <w:tc>
                      <w:tcPr>
                        <w:tcW w:w="1071" w:type="dxa"/>
                      </w:tcPr>
                      <w:p>
                        <w:pPr>
                          <w:pStyle w:val="TableParagraph"/>
                          <w:spacing w:line="255" w:lineRule="exact"/>
                          <w:ind w:right="45"/>
                          <w:jc w:val="right"/>
                          <w:rPr>
                            <w:rFonts w:ascii="仿宋"/>
                            <w:sz w:val="21"/>
                          </w:rPr>
                        </w:pPr>
                        <w:r>
                          <w:rPr>
                            <w:rFonts w:ascii="仿宋"/>
                            <w:sz w:val="21"/>
                          </w:rPr>
                          <w:t>7.11</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先天性畸形、变形或染色体异常</w:t>
                        </w:r>
                      </w:p>
                    </w:tc>
                  </w:tr>
                  <w:tr>
                    <w:trPr>
                      <w:trHeight w:val="316"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1071" w:type="dxa"/>
                      </w:tcPr>
                      <w:p>
                        <w:pPr>
                          <w:pStyle w:val="TableParagraph"/>
                          <w:spacing w:line="255" w:lineRule="exact"/>
                          <w:ind w:right="45"/>
                          <w:jc w:val="right"/>
                          <w:rPr>
                            <w:rFonts w:ascii="仿宋"/>
                            <w:sz w:val="21"/>
                          </w:rPr>
                        </w:pPr>
                        <w:r>
                          <w:rPr>
                            <w:rFonts w:ascii="仿宋"/>
                            <w:sz w:val="21"/>
                          </w:rPr>
                          <w:t>7.12</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遗传性疾病</w:t>
                        </w:r>
                      </w:p>
                    </w:tc>
                  </w:tr>
                  <w:tr>
                    <w:trPr>
                      <w:trHeight w:val="283" w:hRule="atLeast"/>
                    </w:trPr>
                    <w:tc>
                      <w:tcPr>
                        <w:tcW w:w="3868"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保险费的支付</w:t>
                        </w:r>
                      </w:p>
                    </w:tc>
                    <w:tc>
                      <w:tcPr>
                        <w:tcW w:w="1071" w:type="dxa"/>
                      </w:tcPr>
                      <w:p>
                        <w:pPr>
                          <w:pStyle w:val="TableParagraph"/>
                          <w:spacing w:line="239" w:lineRule="exact"/>
                          <w:ind w:right="45"/>
                          <w:jc w:val="right"/>
                          <w:rPr>
                            <w:rFonts w:ascii="仿宋"/>
                            <w:sz w:val="21"/>
                          </w:rPr>
                        </w:pPr>
                        <w:r>
                          <w:rPr>
                            <w:rFonts w:ascii="仿宋"/>
                            <w:sz w:val="21"/>
                          </w:rPr>
                          <w:t>7.13</w:t>
                        </w:r>
                      </w:p>
                    </w:tc>
                    <w:tc>
                      <w:tcPr>
                        <w:tcW w:w="3866" w:type="dxa"/>
                        <w:tcBorders>
                          <w:right w:val="single" w:sz="4" w:space="0" w:color="000000"/>
                        </w:tcBorders>
                      </w:tcPr>
                      <w:p>
                        <w:pPr>
                          <w:pStyle w:val="TableParagraph"/>
                          <w:spacing w:line="239" w:lineRule="exact"/>
                          <w:ind w:left="55"/>
                          <w:rPr>
                            <w:rFonts w:ascii="仿宋" w:eastAsia="仿宋" w:hint="eastAsia"/>
                            <w:sz w:val="21"/>
                          </w:rPr>
                        </w:pPr>
                        <w:r>
                          <w:rPr>
                            <w:rFonts w:ascii="仿宋" w:eastAsia="仿宋" w:hint="eastAsia"/>
                            <w:sz w:val="21"/>
                          </w:rPr>
                          <w:t>有效身份证件</w:t>
                        </w:r>
                      </w:p>
                    </w:tc>
                  </w:tr>
                  <w:tr>
                    <w:trPr>
                      <w:trHeight w:val="316"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合同解除</w:t>
                        </w:r>
                      </w:p>
                    </w:tc>
                    <w:tc>
                      <w:tcPr>
                        <w:tcW w:w="1071" w:type="dxa"/>
                      </w:tcPr>
                      <w:p>
                        <w:pPr>
                          <w:pStyle w:val="TableParagraph"/>
                          <w:spacing w:line="255" w:lineRule="exact"/>
                          <w:ind w:right="45"/>
                          <w:jc w:val="right"/>
                          <w:rPr>
                            <w:rFonts w:ascii="仿宋"/>
                            <w:sz w:val="21"/>
                          </w:rPr>
                        </w:pPr>
                        <w:r>
                          <w:rPr>
                            <w:rFonts w:ascii="仿宋"/>
                            <w:sz w:val="21"/>
                          </w:rPr>
                          <w:t>7.14</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专科医生</w:t>
                        </w:r>
                      </w:p>
                    </w:tc>
                  </w:tr>
                  <w:tr>
                    <w:trPr>
                      <w:trHeight w:val="283" w:hRule="atLeast"/>
                    </w:trPr>
                    <w:tc>
                      <w:tcPr>
                        <w:tcW w:w="3868"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投保人解除合同的手续及风险</w:t>
                        </w:r>
                      </w:p>
                    </w:tc>
                    <w:tc>
                      <w:tcPr>
                        <w:tcW w:w="1071" w:type="dxa"/>
                      </w:tcPr>
                      <w:p>
                        <w:pPr>
                          <w:pStyle w:val="TableParagraph"/>
                          <w:spacing w:line="239" w:lineRule="exact"/>
                          <w:ind w:right="45"/>
                          <w:jc w:val="right"/>
                          <w:rPr>
                            <w:rFonts w:ascii="仿宋"/>
                            <w:sz w:val="21"/>
                          </w:rPr>
                        </w:pPr>
                        <w:r>
                          <w:rPr>
                            <w:rFonts w:ascii="仿宋"/>
                            <w:sz w:val="21"/>
                          </w:rPr>
                          <w:t>7.15</w:t>
                        </w:r>
                      </w:p>
                    </w:tc>
                    <w:tc>
                      <w:tcPr>
                        <w:tcW w:w="3866" w:type="dxa"/>
                        <w:tcBorders>
                          <w:right w:val="single" w:sz="4" w:space="0" w:color="000000"/>
                        </w:tcBorders>
                      </w:tcPr>
                      <w:p>
                        <w:pPr>
                          <w:pStyle w:val="TableParagraph"/>
                          <w:spacing w:line="239" w:lineRule="exact"/>
                          <w:ind w:left="55"/>
                          <w:rPr>
                            <w:rFonts w:ascii="仿宋" w:eastAsia="仿宋" w:hint="eastAsia"/>
                            <w:sz w:val="21"/>
                          </w:rPr>
                        </w:pPr>
                        <w:r>
                          <w:rPr>
                            <w:rFonts w:ascii="仿宋" w:eastAsia="仿宋" w:hint="eastAsia"/>
                            <w:sz w:val="21"/>
                          </w:rPr>
                          <w:t>肢体机能完全丧失</w:t>
                        </w:r>
                      </w:p>
                    </w:tc>
                  </w:tr>
                  <w:tr>
                    <w:trPr>
                      <w:trHeight w:val="316" w:hRule="atLeast"/>
                    </w:trPr>
                    <w:tc>
                      <w:tcPr>
                        <w:tcW w:w="3868" w:type="dxa"/>
                        <w:tcBorders>
                          <w:left w:val="single" w:sz="4" w:space="0" w:color="000000"/>
                        </w:tcBorders>
                      </w:tcPr>
                      <w:p>
                        <w:pPr>
                          <w:pStyle w:val="TableParagraph"/>
                          <w:spacing w:line="279" w:lineRule="exact"/>
                          <w:ind w:left="537"/>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其他需要关注的事项</w:t>
                        </w:r>
                      </w:p>
                    </w:tc>
                    <w:tc>
                      <w:tcPr>
                        <w:tcW w:w="1071" w:type="dxa"/>
                      </w:tcPr>
                      <w:p>
                        <w:pPr>
                          <w:pStyle w:val="TableParagraph"/>
                          <w:spacing w:line="255" w:lineRule="exact"/>
                          <w:ind w:right="45"/>
                          <w:jc w:val="right"/>
                          <w:rPr>
                            <w:rFonts w:ascii="仿宋"/>
                            <w:sz w:val="21"/>
                          </w:rPr>
                        </w:pPr>
                        <w:r>
                          <w:rPr>
                            <w:rFonts w:ascii="仿宋"/>
                            <w:sz w:val="21"/>
                          </w:rPr>
                          <w:t>7.16</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语言能力或咀嚼吞咽能力完全丧失</w:t>
                        </w:r>
                      </w:p>
                    </w:tc>
                  </w:tr>
                  <w:tr>
                    <w:trPr>
                      <w:trHeight w:val="283" w:hRule="atLeast"/>
                    </w:trPr>
                    <w:tc>
                      <w:tcPr>
                        <w:tcW w:w="3868" w:type="dxa"/>
                        <w:tcBorders>
                          <w:left w:val="single" w:sz="4" w:space="0" w:color="000000"/>
                        </w:tcBorders>
                      </w:tcPr>
                      <w:p>
                        <w:pPr>
                          <w:pStyle w:val="TableParagraph"/>
                          <w:spacing w:line="239" w:lineRule="exact"/>
                          <w:ind w:left="748"/>
                          <w:rPr>
                            <w:rFonts w:ascii="仿宋" w:eastAsia="仿宋" w:hint="eastAsia"/>
                            <w:sz w:val="21"/>
                          </w:rPr>
                        </w:pPr>
                        <w:r>
                          <w:rPr>
                            <w:rFonts w:ascii="仿宋" w:eastAsia="仿宋" w:hint="eastAsia"/>
                            <w:sz w:val="21"/>
                          </w:rPr>
                          <w:t>6.1 明确说明和如实告知</w:t>
                        </w:r>
                      </w:p>
                    </w:tc>
                    <w:tc>
                      <w:tcPr>
                        <w:tcW w:w="1071" w:type="dxa"/>
                      </w:tcPr>
                      <w:p>
                        <w:pPr>
                          <w:pStyle w:val="TableParagraph"/>
                          <w:spacing w:line="239" w:lineRule="exact"/>
                          <w:ind w:right="45"/>
                          <w:jc w:val="right"/>
                          <w:rPr>
                            <w:rFonts w:ascii="仿宋"/>
                            <w:sz w:val="21"/>
                          </w:rPr>
                        </w:pPr>
                        <w:r>
                          <w:rPr>
                            <w:rFonts w:ascii="仿宋"/>
                            <w:sz w:val="21"/>
                          </w:rPr>
                          <w:t>7.17</w:t>
                        </w:r>
                      </w:p>
                    </w:tc>
                    <w:tc>
                      <w:tcPr>
                        <w:tcW w:w="3866" w:type="dxa"/>
                        <w:tcBorders>
                          <w:right w:val="single" w:sz="4" w:space="0" w:color="000000"/>
                        </w:tcBorders>
                      </w:tcPr>
                      <w:p>
                        <w:pPr>
                          <w:pStyle w:val="TableParagraph"/>
                          <w:spacing w:line="239" w:lineRule="exact"/>
                          <w:ind w:left="55"/>
                          <w:rPr>
                            <w:rFonts w:ascii="仿宋" w:eastAsia="仿宋" w:hint="eastAsia"/>
                            <w:sz w:val="21"/>
                          </w:rPr>
                        </w:pPr>
                        <w:r>
                          <w:rPr>
                            <w:rFonts w:ascii="仿宋" w:eastAsia="仿宋" w:hint="eastAsia"/>
                            <w:sz w:val="21"/>
                          </w:rPr>
                          <w:t>六项基本日常生活活动</w:t>
                        </w:r>
                      </w:p>
                    </w:tc>
                  </w:tr>
                  <w:tr>
                    <w:trPr>
                      <w:trHeight w:val="300" w:hRule="atLeast"/>
                    </w:trPr>
                    <w:tc>
                      <w:tcPr>
                        <w:tcW w:w="3868" w:type="dxa"/>
                        <w:tcBorders>
                          <w:left w:val="single" w:sz="4" w:space="0" w:color="000000"/>
                        </w:tcBorders>
                      </w:tcPr>
                      <w:p>
                        <w:pPr>
                          <w:pStyle w:val="TableParagraph"/>
                          <w:spacing w:line="255" w:lineRule="exact"/>
                          <w:ind w:left="748"/>
                          <w:rPr>
                            <w:rFonts w:ascii="仿宋" w:eastAsia="仿宋" w:hint="eastAsia"/>
                            <w:sz w:val="21"/>
                          </w:rPr>
                        </w:pPr>
                        <w:r>
                          <w:rPr>
                            <w:rFonts w:ascii="仿宋" w:eastAsia="仿宋" w:hint="eastAsia"/>
                            <w:sz w:val="21"/>
                          </w:rPr>
                          <w:t>6.2 年龄错误</w:t>
                        </w:r>
                      </w:p>
                    </w:tc>
                    <w:tc>
                      <w:tcPr>
                        <w:tcW w:w="1071" w:type="dxa"/>
                      </w:tcPr>
                      <w:p>
                        <w:pPr>
                          <w:pStyle w:val="TableParagraph"/>
                          <w:spacing w:line="255" w:lineRule="exact"/>
                          <w:ind w:right="45"/>
                          <w:jc w:val="right"/>
                          <w:rPr>
                            <w:rFonts w:ascii="仿宋"/>
                            <w:sz w:val="21"/>
                          </w:rPr>
                        </w:pPr>
                        <w:r>
                          <w:rPr>
                            <w:rFonts w:ascii="仿宋"/>
                            <w:sz w:val="21"/>
                          </w:rPr>
                          <w:t>7.18</w:t>
                        </w:r>
                      </w:p>
                    </w:tc>
                    <w:tc>
                      <w:tcPr>
                        <w:tcW w:w="3866" w:type="dxa"/>
                        <w:tcBorders>
                          <w:right w:val="single" w:sz="4" w:space="0" w:color="000000"/>
                        </w:tcBorders>
                      </w:tcPr>
                      <w:p>
                        <w:pPr>
                          <w:pStyle w:val="TableParagraph"/>
                          <w:spacing w:line="255" w:lineRule="exact"/>
                          <w:ind w:left="55"/>
                          <w:rPr>
                            <w:rFonts w:ascii="仿宋" w:eastAsia="仿宋" w:hint="eastAsia"/>
                            <w:sz w:val="21"/>
                          </w:rPr>
                        </w:pPr>
                        <w:r>
                          <w:rPr>
                            <w:rFonts w:ascii="仿宋" w:eastAsia="仿宋" w:hint="eastAsia"/>
                            <w:sz w:val="21"/>
                          </w:rPr>
                          <w:t>永久不可逆</w:t>
                        </w:r>
                      </w:p>
                    </w:tc>
                  </w:tr>
                  <w:tr>
                    <w:trPr>
                      <w:trHeight w:val="255" w:hRule="atLeast"/>
                    </w:trPr>
                    <w:tc>
                      <w:tcPr>
                        <w:tcW w:w="3868" w:type="dxa"/>
                        <w:tcBorders>
                          <w:left w:val="single" w:sz="4" w:space="0" w:color="000000"/>
                        </w:tcBorders>
                      </w:tcPr>
                      <w:p>
                        <w:pPr>
                          <w:pStyle w:val="TableParagraph"/>
                          <w:spacing w:line="236" w:lineRule="exact"/>
                          <w:ind w:left="748"/>
                          <w:rPr>
                            <w:rFonts w:ascii="仿宋" w:eastAsia="仿宋" w:hint="eastAsia"/>
                            <w:sz w:val="21"/>
                          </w:rPr>
                        </w:pPr>
                        <w:r>
                          <w:rPr>
                            <w:rFonts w:ascii="仿宋" w:eastAsia="仿宋" w:hint="eastAsia"/>
                            <w:sz w:val="21"/>
                          </w:rPr>
                          <w:t>6.3 被保险人变动</w:t>
                        </w:r>
                      </w:p>
                    </w:tc>
                    <w:tc>
                      <w:tcPr>
                        <w:tcW w:w="1071" w:type="dxa"/>
                      </w:tcPr>
                      <w:p>
                        <w:pPr>
                          <w:pStyle w:val="TableParagraph"/>
                          <w:rPr>
                            <w:rFonts w:ascii="Times New Roman"/>
                            <w:sz w:val="18"/>
                          </w:rPr>
                        </w:pPr>
                      </w:p>
                    </w:tc>
                    <w:tc>
                      <w:tcPr>
                        <w:tcW w:w="3866" w:type="dxa"/>
                        <w:tcBorders>
                          <w:right w:val="single" w:sz="4" w:space="0" w:color="000000"/>
                        </w:tcBorders>
                      </w:tcPr>
                      <w:p>
                        <w:pPr>
                          <w:pStyle w:val="TableParagraph"/>
                          <w:rPr>
                            <w:rFonts w:ascii="Times New Roman"/>
                            <w:sz w:val="18"/>
                          </w:rPr>
                        </w:pPr>
                      </w:p>
                    </w:tc>
                  </w:tr>
                  <w:tr>
                    <w:trPr>
                      <w:trHeight w:val="486" w:hRule="atLeast"/>
                    </w:trPr>
                    <w:tc>
                      <w:tcPr>
                        <w:tcW w:w="8805" w:type="dxa"/>
                        <w:gridSpan w:val="3"/>
                        <w:tcBorders>
                          <w:left w:val="single" w:sz="4" w:space="0" w:color="000000"/>
                          <w:bottom w:val="single" w:sz="4" w:space="0" w:color="000000"/>
                          <w:right w:val="single" w:sz="4" w:space="0" w:color="000000"/>
                        </w:tcBorders>
                      </w:tcPr>
                      <w:p>
                        <w:pPr>
                          <w:pStyle w:val="TableParagraph"/>
                          <w:spacing w:line="182" w:lineRule="exact" w:before="25"/>
                          <w:ind w:left="748"/>
                          <w:rPr>
                            <w:rFonts w:ascii="仿宋" w:eastAsia="仿宋" w:hint="eastAsia"/>
                            <w:sz w:val="21"/>
                          </w:rPr>
                        </w:pPr>
                        <w:r>
                          <w:rPr>
                            <w:rFonts w:ascii="仿宋" w:eastAsia="仿宋" w:hint="eastAsia"/>
                            <w:sz w:val="21"/>
                          </w:rPr>
                          <w:t>6.4 合同内容变更</w:t>
                        </w:r>
                      </w:p>
                      <w:p>
                        <w:pPr>
                          <w:pStyle w:val="TableParagraph"/>
                          <w:spacing w:line="259" w:lineRule="exact"/>
                          <w:ind w:left="4252"/>
                          <w:rPr>
                            <w:rFonts w:ascii="仿宋" w:eastAsia="仿宋" w:hint="eastAsia"/>
                            <w:sz w:val="21"/>
                          </w:rPr>
                        </w:pPr>
                        <w:r>
                          <w:rPr>
                            <w:rFonts w:ascii="Microsoft JhengHei" w:eastAsia="Microsoft JhengHei" w:hint="eastAsia"/>
                            <w:b/>
                            <w:sz w:val="21"/>
                          </w:rPr>
                          <w:t>附表：</w:t>
                        </w:r>
                        <w:r>
                          <w:rPr>
                            <w:rFonts w:ascii="仿宋" w:eastAsia="仿宋" w:hint="eastAsia"/>
                            <w:sz w:val="21"/>
                          </w:rPr>
                          <w:t>退费比例表</w:t>
                        </w:r>
                      </w:p>
                    </w:tc>
                  </w:tr>
                </w:tbl>
                <w:p>
                  <w:pPr>
                    <w:pStyle w:val="BodyText"/>
                    <w:spacing w:before="0"/>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8" w:lineRule="exact"/>
        <w:jc w:val="left"/>
        <w:rPr>
          <w:sz w:val="21"/>
        </w:rPr>
        <w:sectPr>
          <w:type w:val="continuous"/>
          <w:pgSz w:w="11900" w:h="16840"/>
          <w:pgMar w:top="360" w:bottom="280" w:left="900" w:right="460"/>
        </w:sectPr>
      </w:pPr>
    </w:p>
    <w:p>
      <w:pPr>
        <w:pStyle w:val="Heading1"/>
        <w:spacing w:line="485" w:lineRule="exact"/>
        <w:ind w:left="3072" w:right="0"/>
        <w:jc w:val="left"/>
        <w:rPr>
          <w:sz w:val="30"/>
        </w:rPr>
      </w:pPr>
      <w:r>
        <w:rPr/>
        <w:t>嘉禾附加团体重大疾病保险</w:t>
      </w:r>
      <w:r>
        <w:rPr>
          <w:sz w:val="30"/>
        </w:rPr>
        <w:t>条款</w:t>
      </w:r>
    </w:p>
    <w:p>
      <w:pPr>
        <w:pStyle w:val="BodyText"/>
        <w:spacing w:line="273" w:lineRule="auto" w:before="107"/>
        <w:ind w:left="118" w:right="179" w:firstLine="420"/>
      </w:pPr>
      <w:r>
        <w:rPr>
          <w:spacing w:val="-7"/>
          <w:w w:val="100"/>
        </w:rPr>
        <w:t>在本条款中，“本公司”指嘉禾人寿保险股份有限公司</w:t>
      </w:r>
      <w:r>
        <w:rPr>
          <w:spacing w:val="-17"/>
          <w:w w:val="100"/>
        </w:rPr>
        <w:t>，“本附加险合同”指投保人与本公司之间订立的“嘉</w:t>
      </w:r>
      <w:r>
        <w:rPr>
          <w:spacing w:val="-3"/>
        </w:rPr>
        <w:t>禾附加团体重大疾病保险合同”。</w:t>
      </w:r>
      <w:r>
        <w:rPr/>
        <w:t> </w:t>
      </w:r>
    </w:p>
    <w:p>
      <w:pPr>
        <w:pStyle w:val="BodyText"/>
        <w:spacing w:before="7"/>
        <w:ind w:left="478"/>
      </w:pPr>
      <w:r>
        <w:rPr>
          <w:w w:val="100"/>
        </w:rPr>
        <w:t> </w:t>
      </w:r>
    </w:p>
    <w:p>
      <w:pPr>
        <w:pStyle w:val="Heading2"/>
        <w:tabs>
          <w:tab w:pos="1006" w:val="left" w:leader="none"/>
        </w:tabs>
        <w:spacing w:before="67"/>
      </w:pPr>
      <w:r>
        <w:rPr>
          <w:rFonts w:ascii="Times New Roman" w:eastAsia="Times New Roman"/>
          <w:position w:val="-3"/>
          <w:sz w:val="40"/>
        </w:rPr>
        <w:t>u</w:t>
        <w:tab/>
      </w:r>
      <w:r>
        <w:rPr/>
        <w:t>投保人与本公司订立的合同</w:t>
      </w:r>
    </w:p>
    <w:p>
      <w:pPr>
        <w:pStyle w:val="BodyText"/>
        <w:spacing w:line="20" w:lineRule="exact" w:before="0"/>
        <w:ind w:left="154"/>
        <w:rPr>
          <w:rFonts w:ascii="Microsoft JhengHei"/>
          <w:sz w:val="2"/>
        </w:rPr>
      </w:pPr>
      <w:r>
        <w:rPr>
          <w:rFonts w:ascii="Times New Roman"/>
          <w:spacing w:val="6"/>
          <w:sz w:val="2"/>
        </w:rPr>
        <w:t> </w:t>
      </w:r>
      <w:r>
        <w:rPr>
          <w:rFonts w:ascii="Microsoft JhengHei"/>
          <w:spacing w:val="6"/>
          <w:sz w:val="2"/>
        </w:rPr>
        <w:pict>
          <v:group style="width:514.4500pt;height:1pt;mso-position-horizontal-relative:char;mso-position-vertical-relative:line" coordorigin="0,0" coordsize="10289,20">
            <v:line style="position:absolute" from="0,10" to="734,10" stroked="true" strokeweight=".96pt" strokecolor="#000000">
              <v:stroke dashstyle="solid"/>
            </v:line>
            <v:rect style="position:absolute;left:734;top:0;width:20;height:20" filled="true" fillcolor="#000000" stroked="false">
              <v:fill type="solid"/>
            </v:rect>
            <v:line style="position:absolute" from="754,10" to="2729,10" stroked="true" strokeweight=".96pt" strokecolor="#000000">
              <v:stroke dashstyle="solid"/>
            </v:line>
            <v:rect style="position:absolute;left:2728;top:0;width:20;height:20" filled="true" fillcolor="#000000" stroked="false">
              <v:fill type="solid"/>
            </v:rect>
            <v:line style="position:absolute" from="2748,10" to="10289,10" stroked="true" strokeweight=".96pt" strokecolor="#000000">
              <v:stroke dashstyle="solid"/>
            </v:line>
          </v:group>
        </w:pict>
      </w:r>
      <w:r>
        <w:rPr>
          <w:rFonts w:ascii="Microsoft JhengHei"/>
          <w:spacing w:val="6"/>
          <w:sz w:val="2"/>
        </w:rPr>
      </w:r>
    </w:p>
    <w:p>
      <w:pPr>
        <w:pStyle w:val="BodyText"/>
        <w:tabs>
          <w:tab w:pos="1006" w:val="left" w:leader="none"/>
          <w:tab w:pos="3000" w:val="left" w:leader="none"/>
        </w:tabs>
        <w:spacing w:before="42"/>
        <w:ind w:left="272"/>
      </w:pPr>
      <w:r>
        <w:rPr>
          <w:w w:val="100"/>
        </w:rPr>
        <w:t> </w:t>
      </w:r>
      <w:r>
        <w:rPr/>
        <w:tab/>
      </w:r>
      <w:r>
        <w:rPr>
          <w:w w:val="100"/>
        </w:rPr>
        <w:t> </w:t>
      </w:r>
      <w:r>
        <w:rPr/>
        <w:tab/>
      </w:r>
      <w:r>
        <w:rPr>
          <w:w w:val="100"/>
        </w:rPr>
        <w:t> </w:t>
      </w:r>
    </w:p>
    <w:p>
      <w:pPr>
        <w:pStyle w:val="ListParagraph"/>
        <w:numPr>
          <w:ilvl w:val="1"/>
          <w:numId w:val="2"/>
        </w:numPr>
        <w:tabs>
          <w:tab w:pos="1006" w:val="left" w:leader="none"/>
          <w:tab w:pos="1007" w:val="left" w:leader="none"/>
          <w:tab w:pos="3000" w:val="left" w:leader="none"/>
        </w:tabs>
        <w:spacing w:line="228" w:lineRule="auto" w:before="27" w:after="0"/>
        <w:ind w:left="3000" w:right="210" w:hanging="2728"/>
        <w:jc w:val="left"/>
        <w:rPr>
          <w:sz w:val="21"/>
        </w:rPr>
      </w:pPr>
      <w:r>
        <w:rPr>
          <w:rFonts w:ascii="Microsoft JhengHei" w:eastAsia="Microsoft JhengHei" w:hint="eastAsia"/>
          <w:b/>
          <w:sz w:val="21"/>
        </w:rPr>
        <w:t>1</w:t>
        <w:tab/>
        <w:t>合同构成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投</w:t>
      </w:r>
      <w:r>
        <w:rPr>
          <w:spacing w:val="-3"/>
          <w:sz w:val="21"/>
        </w:rPr>
        <w:t>保</w:t>
      </w:r>
      <w:r>
        <w:rPr>
          <w:sz w:val="21"/>
        </w:rPr>
        <w:t>人</w:t>
      </w:r>
      <w:r>
        <w:rPr>
          <w:spacing w:val="-3"/>
          <w:sz w:val="21"/>
        </w:rPr>
        <w:t>与</w:t>
      </w:r>
      <w:r>
        <w:rPr>
          <w:sz w:val="21"/>
        </w:rPr>
        <w:t>本公</w:t>
      </w:r>
      <w:r>
        <w:rPr>
          <w:spacing w:val="-3"/>
          <w:sz w:val="21"/>
        </w:rPr>
        <w:t>司</w:t>
      </w:r>
      <w:r>
        <w:rPr>
          <w:sz w:val="21"/>
        </w:rPr>
        <w:t>约</w:t>
      </w:r>
      <w:r>
        <w:rPr>
          <w:spacing w:val="-3"/>
          <w:sz w:val="21"/>
        </w:rPr>
        <w:t>定</w:t>
      </w:r>
      <w:r>
        <w:rPr>
          <w:sz w:val="21"/>
        </w:rPr>
        <w:t>保</w:t>
      </w:r>
      <w:r>
        <w:rPr>
          <w:spacing w:val="-3"/>
          <w:sz w:val="21"/>
        </w:rPr>
        <w:t>险</w:t>
      </w:r>
      <w:r>
        <w:rPr>
          <w:sz w:val="21"/>
        </w:rPr>
        <w:t>权</w:t>
      </w:r>
      <w:r>
        <w:rPr>
          <w:spacing w:val="-3"/>
          <w:sz w:val="21"/>
        </w:rPr>
        <w:t>利</w:t>
      </w:r>
      <w:r>
        <w:rPr>
          <w:sz w:val="21"/>
        </w:rPr>
        <w:t>义</w:t>
      </w:r>
      <w:r>
        <w:rPr>
          <w:spacing w:val="-3"/>
          <w:sz w:val="21"/>
        </w:rPr>
        <w:t>务</w:t>
      </w:r>
      <w:r>
        <w:rPr>
          <w:sz w:val="21"/>
        </w:rPr>
        <w:t>关系</w:t>
      </w:r>
      <w:r>
        <w:rPr>
          <w:spacing w:val="-3"/>
          <w:sz w:val="21"/>
        </w:rPr>
        <w:t>的</w:t>
      </w:r>
      <w:r>
        <w:rPr>
          <w:sz w:val="21"/>
        </w:rPr>
        <w:t>协</w:t>
      </w:r>
      <w:r>
        <w:rPr>
          <w:spacing w:val="-3"/>
          <w:sz w:val="21"/>
        </w:rPr>
        <w:t>议</w:t>
      </w:r>
      <w:r>
        <w:rPr>
          <w:sz w:val="21"/>
        </w:rPr>
        <w:t>，</w:t>
      </w:r>
      <w:r>
        <w:rPr>
          <w:spacing w:val="-3"/>
          <w:sz w:val="21"/>
        </w:rPr>
        <w:t>包</w:t>
      </w:r>
      <w:r>
        <w:rPr>
          <w:sz w:val="21"/>
        </w:rPr>
        <w:t>括 </w:t>
      </w:r>
      <w:r>
        <w:rPr>
          <w:spacing w:val="-3"/>
          <w:sz w:val="21"/>
        </w:rPr>
        <w:t>本</w:t>
      </w:r>
      <w:r>
        <w:rPr>
          <w:sz w:val="21"/>
        </w:rPr>
        <w:t>保</w:t>
      </w:r>
      <w:r>
        <w:rPr>
          <w:spacing w:val="-3"/>
          <w:sz w:val="21"/>
        </w:rPr>
        <w:t>险条</w:t>
      </w:r>
      <w:r>
        <w:rPr>
          <w:spacing w:val="18"/>
          <w:sz w:val="21"/>
        </w:rPr>
        <w:t> </w:t>
      </w:r>
      <w:r>
        <w:rPr>
          <w:sz w:val="21"/>
        </w:rPr>
        <w:t>款</w:t>
      </w:r>
      <w:r>
        <w:rPr>
          <w:spacing w:val="-3"/>
          <w:sz w:val="21"/>
        </w:rPr>
        <w:t>、保</w:t>
      </w:r>
      <w:r>
        <w:rPr>
          <w:sz w:val="21"/>
        </w:rPr>
        <w:t>险</w:t>
      </w:r>
      <w:r>
        <w:rPr>
          <w:spacing w:val="-3"/>
          <w:sz w:val="21"/>
        </w:rPr>
        <w:t>单</w:t>
      </w:r>
      <w:r>
        <w:rPr>
          <w:sz w:val="21"/>
        </w:rPr>
        <w:t>或</w:t>
      </w:r>
      <w:r>
        <w:rPr>
          <w:spacing w:val="-3"/>
          <w:sz w:val="21"/>
        </w:rPr>
        <w:t>其</w:t>
      </w:r>
      <w:r>
        <w:rPr>
          <w:sz w:val="21"/>
        </w:rPr>
        <w:t>他</w:t>
      </w:r>
      <w:r>
        <w:rPr>
          <w:spacing w:val="-3"/>
          <w:sz w:val="21"/>
        </w:rPr>
        <w:t>保</w:t>
      </w:r>
      <w:r>
        <w:rPr>
          <w:sz w:val="21"/>
        </w:rPr>
        <w:t>险</w:t>
      </w:r>
      <w:r>
        <w:rPr>
          <w:spacing w:val="-3"/>
          <w:sz w:val="21"/>
        </w:rPr>
        <w:t>凭</w:t>
      </w:r>
      <w:r>
        <w:rPr>
          <w:sz w:val="21"/>
        </w:rPr>
        <w:t>证</w:t>
      </w:r>
      <w:r>
        <w:rPr>
          <w:spacing w:val="-3"/>
          <w:sz w:val="21"/>
        </w:rPr>
        <w:t>、投</w:t>
      </w:r>
      <w:r>
        <w:rPr>
          <w:sz w:val="21"/>
        </w:rPr>
        <w:t>保单</w:t>
      </w:r>
      <w:r>
        <w:rPr>
          <w:spacing w:val="-5"/>
          <w:sz w:val="21"/>
        </w:rPr>
        <w:t>、</w:t>
      </w:r>
      <w:r>
        <w:rPr>
          <w:sz w:val="21"/>
        </w:rPr>
        <w:t>与</w:t>
      </w:r>
      <w:r>
        <w:rPr>
          <w:spacing w:val="-3"/>
          <w:sz w:val="21"/>
        </w:rPr>
        <w:t>本</w:t>
      </w:r>
      <w:r>
        <w:rPr>
          <w:sz w:val="21"/>
        </w:rPr>
        <w:t>附</w:t>
      </w:r>
      <w:r>
        <w:rPr>
          <w:spacing w:val="-3"/>
          <w:sz w:val="21"/>
        </w:rPr>
        <w:t>加险</w:t>
      </w:r>
      <w:r>
        <w:rPr>
          <w:sz w:val="21"/>
        </w:rPr>
        <w:t>合同</w:t>
      </w:r>
      <w:r>
        <w:rPr>
          <w:spacing w:val="-3"/>
          <w:sz w:val="21"/>
        </w:rPr>
        <w:t>有</w:t>
      </w:r>
      <w:r>
        <w:rPr>
          <w:sz w:val="21"/>
        </w:rPr>
        <w:t>关</w:t>
      </w:r>
      <w:r>
        <w:rPr>
          <w:spacing w:val="-3"/>
          <w:sz w:val="21"/>
        </w:rPr>
        <w:t>的</w:t>
      </w:r>
      <w:r>
        <w:rPr>
          <w:sz w:val="21"/>
        </w:rPr>
        <w:t>投</w:t>
      </w:r>
      <w:r>
        <w:rPr>
          <w:spacing w:val="-3"/>
          <w:sz w:val="21"/>
        </w:rPr>
        <w:t>保</w:t>
      </w:r>
      <w:r>
        <w:rPr>
          <w:sz w:val="21"/>
        </w:rPr>
        <w:t>文</w:t>
      </w:r>
      <w:r>
        <w:rPr>
          <w:spacing w:val="-3"/>
          <w:sz w:val="21"/>
        </w:rPr>
        <w:t>件、合</w:t>
      </w:r>
      <w:r>
        <w:rPr>
          <w:sz w:val="21"/>
        </w:rPr>
        <w:t>法有效的</w:t>
      </w:r>
      <w:r>
        <w:rPr>
          <w:spacing w:val="-3"/>
          <w:sz w:val="21"/>
        </w:rPr>
        <w:t>声</w:t>
      </w:r>
      <w:r>
        <w:rPr>
          <w:sz w:val="21"/>
        </w:rPr>
        <w:t>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其他</w:t>
      </w:r>
      <w:r>
        <w:rPr>
          <w:spacing w:val="-3"/>
          <w:sz w:val="21"/>
        </w:rPr>
        <w:t>投</w:t>
      </w:r>
      <w:r>
        <w:rPr>
          <w:sz w:val="21"/>
        </w:rPr>
        <w:t>保</w:t>
      </w:r>
      <w:r>
        <w:rPr>
          <w:spacing w:val="-3"/>
          <w:sz w:val="21"/>
        </w:rPr>
        <w:t>人</w:t>
      </w:r>
      <w:r>
        <w:rPr>
          <w:sz w:val="21"/>
        </w:rPr>
        <w:t>与</w:t>
      </w:r>
      <w:r>
        <w:rPr>
          <w:spacing w:val="-3"/>
          <w:sz w:val="21"/>
        </w:rPr>
        <w:t>本</w:t>
      </w:r>
      <w:r>
        <w:rPr>
          <w:sz w:val="21"/>
        </w:rPr>
        <w:t>公</w:t>
      </w:r>
      <w:r>
        <w:rPr>
          <w:spacing w:val="-3"/>
          <w:sz w:val="21"/>
        </w:rPr>
        <w:t>司</w:t>
      </w:r>
      <w:r>
        <w:rPr>
          <w:sz w:val="21"/>
        </w:rPr>
        <w:t>共</w:t>
      </w:r>
      <w:r>
        <w:rPr>
          <w:spacing w:val="-3"/>
          <w:sz w:val="21"/>
        </w:rPr>
        <w:t>同</w:t>
      </w:r>
      <w:r>
        <w:rPr>
          <w:sz w:val="21"/>
        </w:rPr>
        <w:t>认可</w:t>
      </w:r>
      <w:r>
        <w:rPr>
          <w:spacing w:val="-3"/>
          <w:sz w:val="21"/>
        </w:rPr>
        <w:t>的</w:t>
      </w:r>
      <w:r>
        <w:rPr>
          <w:sz w:val="21"/>
        </w:rPr>
        <w:t>书</w:t>
      </w:r>
      <w:r>
        <w:rPr>
          <w:spacing w:val="-3"/>
          <w:sz w:val="21"/>
        </w:rPr>
        <w:t>面</w:t>
      </w:r>
      <w:r>
        <w:rPr>
          <w:sz w:val="21"/>
        </w:rPr>
        <w:t>协</w:t>
      </w:r>
      <w:r>
        <w:rPr>
          <w:spacing w:val="-3"/>
          <w:sz w:val="21"/>
        </w:rPr>
        <w:t>议。</w:t>
      </w:r>
      <w:r>
        <w:rPr>
          <w:sz w:val="21"/>
        </w:rPr>
        <w:t> </w:t>
      </w:r>
    </w:p>
    <w:p>
      <w:pPr>
        <w:pStyle w:val="BodyText"/>
        <w:tabs>
          <w:tab w:pos="1006" w:val="left" w:leader="none"/>
          <w:tab w:pos="3000" w:val="left" w:leader="none"/>
        </w:tabs>
        <w:spacing w:before="73"/>
        <w:ind w:left="271"/>
      </w:pPr>
      <w:r>
        <w:rPr>
          <w:w w:val="100"/>
        </w:rPr>
        <w:t> </w:t>
      </w:r>
      <w:r>
        <w:rPr/>
        <w:tab/>
      </w:r>
      <w:r>
        <w:rPr>
          <w:w w:val="100"/>
        </w:rPr>
        <w:t> </w:t>
      </w:r>
      <w:r>
        <w:rPr/>
        <w:tab/>
      </w:r>
      <w:r>
        <w:rPr>
          <w:w w:val="100"/>
        </w:rPr>
        <w:t> </w:t>
      </w:r>
    </w:p>
    <w:p>
      <w:pPr>
        <w:pStyle w:val="ListParagraph"/>
        <w:numPr>
          <w:ilvl w:val="1"/>
          <w:numId w:val="2"/>
        </w:numPr>
        <w:tabs>
          <w:tab w:pos="1006" w:val="left" w:leader="none"/>
          <w:tab w:pos="1007" w:val="left" w:leader="none"/>
          <w:tab w:pos="3000" w:val="left" w:leader="none"/>
        </w:tabs>
        <w:spacing w:line="220" w:lineRule="auto" w:before="37" w:after="0"/>
        <w:ind w:left="3000" w:right="208" w:hanging="2728"/>
        <w:jc w:val="left"/>
        <w:rPr>
          <w:sz w:val="21"/>
        </w:rPr>
      </w:pPr>
      <w:r>
        <w:rPr>
          <w:rFonts w:ascii="Microsoft JhengHei" w:eastAsia="Microsoft JhengHei" w:hint="eastAsia"/>
          <w:b/>
          <w:sz w:val="21"/>
        </w:rPr>
        <w:t>2</w:t>
        <w:tab/>
        <w:t>合同成立与生效</w:t>
        <w:tab/>
      </w:r>
      <w:r>
        <w:rPr>
          <w:sz w:val="21"/>
        </w:rPr>
        <w:t>投保</w:t>
      </w:r>
      <w:r>
        <w:rPr>
          <w:spacing w:val="-3"/>
          <w:sz w:val="21"/>
        </w:rPr>
        <w:t>人</w:t>
      </w:r>
      <w:r>
        <w:rPr>
          <w:sz w:val="21"/>
        </w:rPr>
        <w:t>提</w:t>
      </w:r>
      <w:r>
        <w:rPr>
          <w:spacing w:val="-3"/>
          <w:sz w:val="21"/>
        </w:rPr>
        <w:t>出</w:t>
      </w:r>
      <w:r>
        <w:rPr>
          <w:sz w:val="21"/>
        </w:rPr>
        <w:t>保</w:t>
      </w:r>
      <w:r>
        <w:rPr>
          <w:spacing w:val="-3"/>
          <w:sz w:val="21"/>
        </w:rPr>
        <w:t>险</w:t>
      </w:r>
      <w:r>
        <w:rPr>
          <w:sz w:val="21"/>
        </w:rPr>
        <w:t>申</w:t>
      </w:r>
      <w:r>
        <w:rPr>
          <w:spacing w:val="-3"/>
          <w:sz w:val="21"/>
        </w:rPr>
        <w:t>请、本</w:t>
      </w:r>
      <w:r>
        <w:rPr>
          <w:sz w:val="21"/>
        </w:rPr>
        <w:t>公司</w:t>
      </w:r>
      <w:r>
        <w:rPr>
          <w:spacing w:val="-3"/>
          <w:sz w:val="21"/>
        </w:rPr>
        <w:t>同</w:t>
      </w:r>
      <w:r>
        <w:rPr>
          <w:sz w:val="21"/>
        </w:rPr>
        <w:t>意</w:t>
      </w:r>
      <w:r>
        <w:rPr>
          <w:spacing w:val="-3"/>
          <w:sz w:val="21"/>
        </w:rPr>
        <w:t>承</w:t>
      </w:r>
      <w:r>
        <w:rPr>
          <w:sz w:val="21"/>
        </w:rPr>
        <w:t>保</w:t>
      </w:r>
      <w:r>
        <w:rPr>
          <w:spacing w:val="-5"/>
          <w:sz w:val="21"/>
        </w:rPr>
        <w:t>，</w:t>
      </w:r>
      <w:r>
        <w:rPr>
          <w:sz w:val="21"/>
        </w:rPr>
        <w:t>本</w:t>
      </w:r>
      <w:r>
        <w:rPr>
          <w:spacing w:val="-3"/>
          <w:sz w:val="21"/>
        </w:rPr>
        <w:t>附</w:t>
      </w:r>
      <w:r>
        <w:rPr>
          <w:sz w:val="21"/>
        </w:rPr>
        <w:t>加</w:t>
      </w:r>
      <w:r>
        <w:rPr>
          <w:spacing w:val="-3"/>
          <w:sz w:val="21"/>
        </w:rPr>
        <w:t>险</w:t>
      </w:r>
      <w:r>
        <w:rPr>
          <w:sz w:val="21"/>
        </w:rPr>
        <w:t>合同</w:t>
      </w:r>
      <w:r>
        <w:rPr>
          <w:spacing w:val="-3"/>
          <w:sz w:val="21"/>
        </w:rPr>
        <w:t>成</w:t>
      </w:r>
      <w:r>
        <w:rPr>
          <w:sz w:val="21"/>
        </w:rPr>
        <w:t>立</w:t>
      </w:r>
      <w:r>
        <w:rPr>
          <w:spacing w:val="-5"/>
          <w:sz w:val="21"/>
        </w:rPr>
        <w:t>，</w:t>
      </w:r>
      <w:r>
        <w:rPr>
          <w:sz w:val="21"/>
        </w:rPr>
        <w:t>本 </w:t>
      </w:r>
      <w:r>
        <w:rPr>
          <w:spacing w:val="-3"/>
          <w:sz w:val="21"/>
        </w:rPr>
        <w:t>附</w:t>
      </w:r>
      <w:r>
        <w:rPr>
          <w:sz w:val="21"/>
        </w:rPr>
        <w:t>加</w:t>
      </w:r>
      <w:r>
        <w:rPr>
          <w:spacing w:val="-3"/>
          <w:sz w:val="21"/>
        </w:rPr>
        <w:t>险</w:t>
      </w:r>
      <w:r>
        <w:rPr>
          <w:sz w:val="21"/>
        </w:rPr>
        <w:t>合</w:t>
      </w:r>
      <w:r>
        <w:rPr>
          <w:spacing w:val="-3"/>
          <w:sz w:val="21"/>
        </w:rPr>
        <w:t>同</w:t>
      </w:r>
      <w:r>
        <w:rPr>
          <w:sz w:val="21"/>
        </w:rPr>
        <w:t>的成立日</w:t>
      </w:r>
      <w:r>
        <w:rPr>
          <w:spacing w:val="-3"/>
          <w:sz w:val="21"/>
        </w:rPr>
        <w:t>以</w:t>
      </w:r>
      <w:r>
        <w:rPr>
          <w:sz w:val="21"/>
        </w:rPr>
        <w:t>保</w:t>
      </w:r>
      <w:r>
        <w:rPr>
          <w:spacing w:val="-3"/>
          <w:sz w:val="21"/>
        </w:rPr>
        <w:t>险</w:t>
      </w:r>
      <w:r>
        <w:rPr>
          <w:sz w:val="21"/>
        </w:rPr>
        <w:t>单</w:t>
      </w:r>
      <w:r>
        <w:rPr>
          <w:spacing w:val="-3"/>
          <w:sz w:val="21"/>
        </w:rPr>
        <w:t>上</w:t>
      </w:r>
      <w:r>
        <w:rPr>
          <w:sz w:val="21"/>
        </w:rPr>
        <w:t>载</w:t>
      </w:r>
      <w:r>
        <w:rPr>
          <w:spacing w:val="-3"/>
          <w:sz w:val="21"/>
        </w:rPr>
        <w:t>明</w:t>
      </w:r>
      <w:r>
        <w:rPr>
          <w:sz w:val="21"/>
        </w:rPr>
        <w:t>的</w:t>
      </w:r>
      <w:r>
        <w:rPr>
          <w:spacing w:val="-3"/>
          <w:sz w:val="21"/>
        </w:rPr>
        <w:t>为</w:t>
      </w:r>
      <w:r>
        <w:rPr>
          <w:sz w:val="21"/>
        </w:rPr>
        <w:t>准。</w:t>
      </w:r>
    </w:p>
    <w:p>
      <w:pPr>
        <w:pStyle w:val="BodyText"/>
        <w:ind w:left="3000" w:right="208"/>
        <w:jc w:val="both"/>
      </w:pPr>
      <w:r>
        <w:rPr/>
        <w:t>自本附加险合同成立、本公司收取保险费并签发保险单的次日零时起本附加险合同生效，本附加险合同的生效日以保险单上载明的为准。</w:t>
      </w:r>
    </w:p>
    <w:p>
      <w:pPr>
        <w:pStyle w:val="BodyText"/>
        <w:spacing w:before="73"/>
        <w:ind w:left="3000" w:right="208"/>
        <w:jc w:val="both"/>
      </w:pPr>
      <w:r>
        <w:rPr/>
        <w:t>除本附加险合同另有约定外，本公司自生效日零时起开始承担本附加险合同约定的保险责任。 </w:t>
      </w:r>
    </w:p>
    <w:p>
      <w:pPr>
        <w:pStyle w:val="BodyText"/>
        <w:tabs>
          <w:tab w:pos="1006" w:val="left" w:leader="none"/>
          <w:tab w:pos="3000" w:val="left" w:leader="none"/>
        </w:tabs>
        <w:ind w:left="272"/>
      </w:pPr>
      <w:r>
        <w:rPr>
          <w:w w:val="100"/>
        </w:rPr>
        <w:t> </w:t>
      </w:r>
      <w:r>
        <w:rPr/>
        <w:tab/>
      </w:r>
      <w:r>
        <w:rPr>
          <w:w w:val="100"/>
        </w:rPr>
        <w:t> </w:t>
      </w:r>
      <w:r>
        <w:rPr/>
        <w:tab/>
      </w:r>
      <w:r>
        <w:rPr>
          <w:w w:val="100"/>
        </w:rPr>
        <w:t> </w:t>
      </w:r>
    </w:p>
    <w:p>
      <w:pPr>
        <w:pStyle w:val="ListParagraph"/>
        <w:numPr>
          <w:ilvl w:val="1"/>
          <w:numId w:val="2"/>
        </w:numPr>
        <w:tabs>
          <w:tab w:pos="589" w:val="left" w:leader="none"/>
          <w:tab w:pos="1006" w:val="left" w:leader="none"/>
          <w:tab w:pos="3000" w:val="left" w:leader="none"/>
        </w:tabs>
        <w:spacing w:line="228" w:lineRule="auto" w:before="26" w:after="0"/>
        <w:ind w:left="3000" w:right="105" w:hanging="2728"/>
        <w:jc w:val="left"/>
        <w:rPr>
          <w:sz w:val="21"/>
        </w:rPr>
      </w:pPr>
      <w:r>
        <w:rPr>
          <w:rFonts w:ascii="Microsoft JhengHei" w:eastAsia="Microsoft JhengHei" w:hint="eastAsia"/>
          <w:b/>
          <w:sz w:val="21"/>
        </w:rPr>
        <w:t>3</w:t>
        <w:tab/>
        <w:t>投保范围</w:t>
        <w:tab/>
      </w:r>
      <w:r>
        <w:rPr>
          <w:sz w:val="21"/>
        </w:rPr>
        <w:t>国家</w:t>
      </w:r>
      <w:r>
        <w:rPr>
          <w:spacing w:val="-3"/>
          <w:sz w:val="21"/>
        </w:rPr>
        <w:t>机</w:t>
      </w:r>
      <w:r>
        <w:rPr>
          <w:sz w:val="21"/>
        </w:rPr>
        <w:t>关</w:t>
      </w:r>
      <w:r>
        <w:rPr>
          <w:spacing w:val="-32"/>
          <w:sz w:val="21"/>
        </w:rPr>
        <w:t>、</w:t>
      </w:r>
      <w:r>
        <w:rPr>
          <w:sz w:val="21"/>
        </w:rPr>
        <w:t>企业</w:t>
      </w:r>
      <w:r>
        <w:rPr>
          <w:spacing w:val="-32"/>
          <w:sz w:val="21"/>
        </w:rPr>
        <w:t>、</w:t>
      </w:r>
      <w:r>
        <w:rPr>
          <w:sz w:val="21"/>
        </w:rPr>
        <w:t>事</w:t>
      </w:r>
      <w:r>
        <w:rPr>
          <w:spacing w:val="-3"/>
          <w:sz w:val="21"/>
        </w:rPr>
        <w:t>业单</w:t>
      </w:r>
      <w:r>
        <w:rPr>
          <w:sz w:val="21"/>
        </w:rPr>
        <w:t>位</w:t>
      </w:r>
      <w:r>
        <w:rPr>
          <w:spacing w:val="-29"/>
          <w:sz w:val="21"/>
        </w:rPr>
        <w:t>、</w:t>
      </w:r>
      <w:r>
        <w:rPr>
          <w:spacing w:val="-3"/>
          <w:sz w:val="21"/>
        </w:rPr>
        <w:t>社</w:t>
      </w:r>
      <w:r>
        <w:rPr>
          <w:sz w:val="21"/>
        </w:rPr>
        <w:t>会</w:t>
      </w:r>
      <w:r>
        <w:rPr>
          <w:spacing w:val="-3"/>
          <w:sz w:val="21"/>
        </w:rPr>
        <w:t>团</w:t>
      </w:r>
      <w:r>
        <w:rPr>
          <w:sz w:val="21"/>
        </w:rPr>
        <w:t>体</w:t>
      </w:r>
      <w:r>
        <w:rPr>
          <w:spacing w:val="-3"/>
          <w:sz w:val="21"/>
        </w:rPr>
        <w:t>及</w:t>
      </w:r>
      <w:r>
        <w:rPr>
          <w:sz w:val="21"/>
        </w:rPr>
        <w:t>其他</w:t>
      </w:r>
      <w:r>
        <w:rPr>
          <w:spacing w:val="-3"/>
          <w:sz w:val="21"/>
        </w:rPr>
        <w:t>组织</w:t>
      </w:r>
      <w:r>
        <w:rPr>
          <w:sz w:val="21"/>
        </w:rPr>
        <w:t>作为</w:t>
      </w:r>
      <w:r>
        <w:rPr>
          <w:spacing w:val="-3"/>
          <w:sz w:val="21"/>
        </w:rPr>
        <w:t>投</w:t>
      </w:r>
      <w:r>
        <w:rPr>
          <w:sz w:val="21"/>
        </w:rPr>
        <w:t>保</w:t>
      </w:r>
      <w:r>
        <w:rPr>
          <w:spacing w:val="-3"/>
          <w:sz w:val="21"/>
        </w:rPr>
        <w:t>人</w:t>
      </w:r>
      <w:r>
        <w:rPr>
          <w:spacing w:val="-29"/>
          <w:sz w:val="21"/>
        </w:rPr>
        <w:t>，</w:t>
      </w:r>
      <w:r>
        <w:rPr>
          <w:spacing w:val="-3"/>
          <w:sz w:val="21"/>
        </w:rPr>
        <w:t>经</w:t>
      </w:r>
      <w:r>
        <w:rPr>
          <w:sz w:val="21"/>
        </w:rPr>
        <w:t>被保</w:t>
      </w:r>
      <w:r>
        <w:rPr>
          <w:spacing w:val="-3"/>
          <w:sz w:val="21"/>
        </w:rPr>
        <w:t>险人</w:t>
      </w:r>
      <w:r>
        <w:rPr>
          <w:sz w:val="21"/>
        </w:rPr>
        <w:t>同意， 可</w:t>
      </w:r>
      <w:r>
        <w:rPr>
          <w:spacing w:val="-3"/>
          <w:sz w:val="21"/>
        </w:rPr>
        <w:t>为</w:t>
      </w:r>
      <w:r>
        <w:rPr>
          <w:sz w:val="21"/>
        </w:rPr>
        <w:t>其</w:t>
      </w:r>
      <w:r>
        <w:rPr>
          <w:spacing w:val="-44"/>
          <w:sz w:val="21"/>
        </w:rPr>
        <w:t> </w:t>
      </w:r>
      <w:r>
        <w:rPr>
          <w:sz w:val="21"/>
        </w:rPr>
        <w:t>5</w:t>
      </w:r>
      <w:r>
        <w:rPr>
          <w:spacing w:val="-44"/>
          <w:sz w:val="21"/>
        </w:rPr>
        <w:t> </w:t>
      </w:r>
      <w:r>
        <w:rPr>
          <w:spacing w:val="-3"/>
          <w:sz w:val="21"/>
        </w:rPr>
        <w:t>人</w:t>
      </w:r>
      <w:r>
        <w:rPr>
          <w:sz w:val="21"/>
        </w:rPr>
        <w:t>以</w:t>
      </w:r>
      <w:r>
        <w:rPr>
          <w:spacing w:val="-3"/>
          <w:sz w:val="21"/>
        </w:rPr>
        <w:t>上</w:t>
      </w:r>
      <w:r>
        <w:rPr>
          <w:sz w:val="21"/>
        </w:rPr>
        <w:t>特</w:t>
      </w:r>
      <w:r>
        <w:rPr>
          <w:spacing w:val="-3"/>
          <w:sz w:val="21"/>
        </w:rPr>
        <w:t>定</w:t>
      </w:r>
      <w:r>
        <w:rPr>
          <w:sz w:val="21"/>
        </w:rPr>
        <w:t>团</w:t>
      </w:r>
      <w:r>
        <w:rPr>
          <w:spacing w:val="-3"/>
          <w:sz w:val="21"/>
        </w:rPr>
        <w:t>体</w:t>
      </w:r>
      <w:r>
        <w:rPr>
          <w:sz w:val="21"/>
        </w:rPr>
        <w:t>成员</w:t>
      </w:r>
      <w:r>
        <w:rPr>
          <w:spacing w:val="-3"/>
          <w:sz w:val="21"/>
        </w:rPr>
        <w:t>向</w:t>
      </w:r>
      <w:r>
        <w:rPr>
          <w:sz w:val="21"/>
        </w:rPr>
        <w:t>本</w:t>
      </w:r>
      <w:r>
        <w:rPr>
          <w:spacing w:val="-3"/>
          <w:sz w:val="21"/>
        </w:rPr>
        <w:t>公</w:t>
      </w:r>
      <w:r>
        <w:rPr>
          <w:sz w:val="21"/>
        </w:rPr>
        <w:t>司</w:t>
      </w:r>
      <w:r>
        <w:rPr>
          <w:spacing w:val="-3"/>
          <w:sz w:val="21"/>
        </w:rPr>
        <w:t>投</w:t>
      </w:r>
      <w:r>
        <w:rPr>
          <w:sz w:val="21"/>
        </w:rPr>
        <w:t>保</w:t>
      </w:r>
      <w:r>
        <w:rPr>
          <w:spacing w:val="-8"/>
          <w:sz w:val="21"/>
        </w:rPr>
        <w:t>，</w:t>
      </w:r>
      <w:r>
        <w:rPr>
          <w:spacing w:val="-3"/>
          <w:sz w:val="21"/>
        </w:rPr>
        <w:t>其中</w:t>
      </w:r>
      <w:r>
        <w:rPr>
          <w:sz w:val="21"/>
        </w:rPr>
        <w:t>被保</w:t>
      </w:r>
      <w:r>
        <w:rPr>
          <w:spacing w:val="-3"/>
          <w:sz w:val="21"/>
        </w:rPr>
        <w:t>险</w:t>
      </w:r>
      <w:r>
        <w:rPr>
          <w:sz w:val="21"/>
        </w:rPr>
        <w:t>人</w:t>
      </w:r>
      <w:r>
        <w:rPr>
          <w:spacing w:val="-3"/>
          <w:sz w:val="21"/>
        </w:rPr>
        <w:t>应</w:t>
      </w:r>
      <w:r>
        <w:rPr>
          <w:sz w:val="21"/>
        </w:rPr>
        <w:t>占</w:t>
      </w:r>
      <w:r>
        <w:rPr>
          <w:spacing w:val="-3"/>
          <w:sz w:val="21"/>
        </w:rPr>
        <w:t>投</w:t>
      </w:r>
      <w:r>
        <w:rPr>
          <w:sz w:val="21"/>
        </w:rPr>
        <w:t>保</w:t>
      </w:r>
      <w:r>
        <w:rPr>
          <w:spacing w:val="-3"/>
          <w:sz w:val="21"/>
        </w:rPr>
        <w:t>团</w:t>
      </w:r>
      <w:r>
        <w:rPr>
          <w:sz w:val="21"/>
        </w:rPr>
        <w:t>体</w:t>
      </w:r>
      <w:r>
        <w:rPr>
          <w:spacing w:val="-3"/>
          <w:sz w:val="21"/>
        </w:rPr>
        <w:t>中</w:t>
      </w:r>
      <w:r>
        <w:rPr>
          <w:sz w:val="21"/>
        </w:rPr>
        <w:t>符合参保</w:t>
      </w:r>
      <w:r>
        <w:rPr>
          <w:spacing w:val="-3"/>
          <w:sz w:val="21"/>
        </w:rPr>
        <w:t>条</w:t>
      </w:r>
      <w:r>
        <w:rPr>
          <w:sz w:val="21"/>
        </w:rPr>
        <w:t>件</w:t>
      </w:r>
      <w:r>
        <w:rPr>
          <w:spacing w:val="-3"/>
          <w:sz w:val="21"/>
        </w:rPr>
        <w:t>成</w:t>
      </w:r>
      <w:r>
        <w:rPr>
          <w:sz w:val="21"/>
        </w:rPr>
        <w:t>员</w:t>
      </w:r>
      <w:r>
        <w:rPr>
          <w:spacing w:val="-3"/>
          <w:sz w:val="21"/>
        </w:rPr>
        <w:t>总数</w:t>
      </w:r>
      <w:r>
        <w:rPr>
          <w:sz w:val="21"/>
        </w:rPr>
        <w:t>的</w:t>
      </w:r>
      <w:r>
        <w:rPr>
          <w:spacing w:val="-40"/>
          <w:sz w:val="21"/>
        </w:rPr>
        <w:t> </w:t>
      </w:r>
      <w:r>
        <w:rPr>
          <w:sz w:val="21"/>
        </w:rPr>
        <w:t>75%以上</w:t>
      </w:r>
      <w:r>
        <w:rPr>
          <w:spacing w:val="-3"/>
          <w:sz w:val="21"/>
        </w:rPr>
        <w:t>。</w:t>
      </w:r>
      <w:r>
        <w:rPr>
          <w:sz w:val="21"/>
        </w:rPr>
        <w:t> </w:t>
      </w:r>
    </w:p>
    <w:p>
      <w:pPr>
        <w:pStyle w:val="BodyText"/>
        <w:spacing w:line="180" w:lineRule="auto" w:before="99"/>
        <w:ind w:left="3000" w:right="210"/>
        <w:jc w:val="both"/>
      </w:pPr>
      <w:r>
        <w:rPr>
          <w:spacing w:val="-1"/>
          <w:w w:val="100"/>
        </w:rPr>
        <w:t>凡年龄在</w:t>
      </w:r>
      <w:r>
        <w:rPr>
          <w:spacing w:val="-53"/>
        </w:rPr>
        <w:t> </w:t>
      </w:r>
      <w:r>
        <w:rPr>
          <w:spacing w:val="-3"/>
          <w:w w:val="100"/>
        </w:rPr>
        <w:t>1</w:t>
      </w:r>
      <w:r>
        <w:rPr>
          <w:w w:val="100"/>
        </w:rPr>
        <w:t>6</w:t>
      </w:r>
      <w:r>
        <w:rPr>
          <w:spacing w:val="-53"/>
        </w:rPr>
        <w:t> </w:t>
      </w:r>
      <w:r>
        <w:rPr>
          <w:spacing w:val="-2"/>
          <w:w w:val="100"/>
        </w:rPr>
        <w:t>周岁至</w:t>
      </w:r>
      <w:r>
        <w:rPr>
          <w:spacing w:val="-55"/>
        </w:rPr>
        <w:t> </w:t>
      </w:r>
      <w:r>
        <w:rPr>
          <w:w w:val="100"/>
        </w:rPr>
        <w:t>65</w:t>
      </w:r>
      <w:r>
        <w:rPr>
          <w:spacing w:val="-55"/>
        </w:rPr>
        <w:t> </w:t>
      </w:r>
      <w:r>
        <w:rPr>
          <w:rFonts w:ascii="Microsoft JhengHei" w:eastAsia="Microsoft JhengHei" w:hint="eastAsia"/>
          <w:b/>
          <w:spacing w:val="-8"/>
          <w:w w:val="100"/>
        </w:rPr>
        <w:t>周岁</w:t>
      </w:r>
      <w:r>
        <w:rPr>
          <w:spacing w:val="-3"/>
          <w:w w:val="100"/>
        </w:rPr>
        <w:t>（</w:t>
      </w:r>
      <w:r>
        <w:rPr>
          <w:w w:val="100"/>
        </w:rPr>
        <w:t>见</w:t>
      </w:r>
      <w:r>
        <w:rPr>
          <w:spacing w:val="-53"/>
        </w:rPr>
        <w:t> </w:t>
      </w:r>
      <w:r>
        <w:rPr>
          <w:w w:val="100"/>
        </w:rPr>
        <w:t>7.</w:t>
      </w:r>
      <w:r>
        <w:rPr>
          <w:spacing w:val="-3"/>
          <w:w w:val="100"/>
        </w:rPr>
        <w:t>1</w:t>
      </w:r>
      <w:r>
        <w:rPr>
          <w:spacing w:val="-17"/>
          <w:w w:val="100"/>
        </w:rPr>
        <w:t>）</w:t>
      </w:r>
      <w:r>
        <w:rPr>
          <w:spacing w:val="-9"/>
          <w:w w:val="100"/>
        </w:rPr>
        <w:t>之间</w:t>
      </w:r>
      <w:r>
        <w:rPr>
          <w:w w:val="100"/>
        </w:rPr>
        <w:t>（含</w:t>
      </w:r>
      <w:r>
        <w:rPr>
          <w:spacing w:val="-55"/>
        </w:rPr>
        <w:t> </w:t>
      </w:r>
      <w:r>
        <w:rPr>
          <w:w w:val="100"/>
        </w:rPr>
        <w:t>16</w:t>
      </w:r>
      <w:r>
        <w:rPr>
          <w:spacing w:val="-55"/>
        </w:rPr>
        <w:t> </w:t>
      </w:r>
      <w:r>
        <w:rPr>
          <w:spacing w:val="-2"/>
          <w:w w:val="100"/>
        </w:rPr>
        <w:t>周岁和</w:t>
      </w:r>
      <w:r>
        <w:rPr>
          <w:spacing w:val="-53"/>
        </w:rPr>
        <w:t> </w:t>
      </w:r>
      <w:r>
        <w:rPr>
          <w:w w:val="100"/>
        </w:rPr>
        <w:t>65</w:t>
      </w:r>
      <w:r>
        <w:rPr>
          <w:spacing w:val="-55"/>
        </w:rPr>
        <w:t> </w:t>
      </w:r>
      <w:r>
        <w:rPr>
          <w:w w:val="100"/>
        </w:rPr>
        <w:t>周岁</w:t>
      </w:r>
      <w:r>
        <w:rPr>
          <w:spacing w:val="-108"/>
          <w:w w:val="100"/>
        </w:rPr>
        <w:t>）</w:t>
      </w:r>
      <w:r>
        <w:rPr>
          <w:spacing w:val="-5"/>
          <w:w w:val="100"/>
        </w:rPr>
        <w:t>，能从事正常</w:t>
      </w:r>
      <w:r>
        <w:rPr>
          <w:spacing w:val="-4"/>
          <w:w w:val="100"/>
        </w:rPr>
        <w:t>工作或劳动的</w:t>
      </w:r>
      <w:r>
        <w:rPr>
          <w:rFonts w:ascii="Microsoft JhengHei" w:eastAsia="Microsoft JhengHei" w:hint="eastAsia"/>
          <w:b/>
          <w:spacing w:val="-6"/>
          <w:w w:val="100"/>
        </w:rPr>
        <w:t>在职人员</w:t>
      </w:r>
      <w:r>
        <w:rPr>
          <w:spacing w:val="-3"/>
          <w:w w:val="100"/>
        </w:rPr>
        <w:t>（</w:t>
      </w:r>
      <w:r>
        <w:rPr>
          <w:w w:val="100"/>
        </w:rPr>
        <w:t>见</w:t>
      </w:r>
      <w:r>
        <w:rPr>
          <w:spacing w:val="-53"/>
        </w:rPr>
        <w:t> </w:t>
      </w:r>
      <w:r>
        <w:rPr>
          <w:w w:val="100"/>
        </w:rPr>
        <w:t>7.</w:t>
      </w:r>
      <w:r>
        <w:rPr>
          <w:spacing w:val="-3"/>
          <w:w w:val="100"/>
        </w:rPr>
        <w:t>2</w:t>
      </w:r>
      <w:r>
        <w:rPr>
          <w:spacing w:val="-106"/>
          <w:w w:val="100"/>
        </w:rPr>
        <w:t>）</w:t>
      </w:r>
      <w:r>
        <w:rPr>
          <w:spacing w:val="-8"/>
          <w:w w:val="100"/>
        </w:rPr>
        <w:t>，经本公司审核同意，可以成为本附加险合同的</w:t>
      </w:r>
      <w:r>
        <w:rPr>
          <w:spacing w:val="-5"/>
        </w:rPr>
        <w:t>被保险人。在职人员的配偶、</w:t>
      </w:r>
      <w:r>
        <w:rPr>
          <w:rFonts w:ascii="Microsoft JhengHei" w:eastAsia="Microsoft JhengHei" w:hint="eastAsia"/>
          <w:b/>
        </w:rPr>
        <w:t>子女</w:t>
      </w:r>
      <w:r>
        <w:rPr/>
        <w:t>（</w:t>
      </w:r>
      <w:r>
        <w:rPr>
          <w:spacing w:val="-9"/>
        </w:rPr>
        <w:t>见 </w:t>
      </w:r>
      <w:r>
        <w:rPr/>
        <w:t>7.3）</w:t>
      </w:r>
      <w:r>
        <w:rPr>
          <w:spacing w:val="-3"/>
        </w:rPr>
        <w:t>和父母经本公司审核同意，也可以</w:t>
      </w:r>
    </w:p>
    <w:p>
      <w:pPr>
        <w:pStyle w:val="BodyText"/>
        <w:spacing w:line="250" w:lineRule="exact" w:before="0"/>
        <w:ind w:left="3000"/>
        <w:jc w:val="both"/>
      </w:pPr>
      <w:r>
        <w:rPr/>
        <w:t>成为本附加险合同的被保险人。 </w:t>
      </w:r>
    </w:p>
    <w:p>
      <w:pPr>
        <w:pStyle w:val="BodyText"/>
        <w:tabs>
          <w:tab w:pos="1006" w:val="left" w:leader="none"/>
          <w:tab w:pos="3000" w:val="left" w:leader="none"/>
        </w:tabs>
        <w:spacing w:before="73"/>
        <w:ind w:left="272"/>
      </w:pPr>
      <w:r>
        <w:rPr>
          <w:w w:val="100"/>
        </w:rPr>
        <w:t> </w:t>
      </w:r>
      <w:r>
        <w:rPr/>
        <w:tab/>
      </w:r>
      <w:r>
        <w:rPr>
          <w:w w:val="100"/>
        </w:rPr>
        <w:t> </w:t>
      </w:r>
      <w:r>
        <w:rPr/>
        <w:tab/>
      </w:r>
      <w:r>
        <w:rPr>
          <w:w w:val="100"/>
        </w:rPr>
        <w:t> </w:t>
      </w:r>
    </w:p>
    <w:p>
      <w:pPr>
        <w:pStyle w:val="Heading2"/>
        <w:tabs>
          <w:tab w:pos="1006" w:val="left" w:leader="none"/>
        </w:tabs>
      </w:pPr>
      <w:r>
        <w:rPr>
          <w:rFonts w:ascii="Times New Roman" w:eastAsia="Times New Roman"/>
          <w:position w:val="-7"/>
          <w:sz w:val="52"/>
        </w:rPr>
        <w:t>v</w:t>
        <w:tab/>
      </w:r>
      <w:r>
        <w:rPr/>
        <w:t>本公司提供的保障</w:t>
      </w:r>
    </w:p>
    <w:p>
      <w:pPr>
        <w:pStyle w:val="BodyText"/>
        <w:spacing w:line="20" w:lineRule="exact" w:before="0"/>
        <w:ind w:left="154"/>
        <w:rPr>
          <w:rFonts w:ascii="Microsoft JhengHei"/>
          <w:sz w:val="2"/>
        </w:rPr>
      </w:pPr>
      <w:r>
        <w:rPr>
          <w:rFonts w:ascii="Times New Roman"/>
          <w:spacing w:val="6"/>
          <w:sz w:val="2"/>
        </w:rPr>
        <w:t> </w:t>
      </w:r>
      <w:r>
        <w:rPr>
          <w:rFonts w:ascii="Microsoft JhengHei"/>
          <w:spacing w:val="6"/>
          <w:sz w:val="2"/>
        </w:rPr>
        <w:pict>
          <v:group style="width:514.4500pt;height:1pt;mso-position-horizontal-relative:char;mso-position-vertical-relative:line" coordorigin="0,0" coordsize="10289,20">
            <v:line style="position:absolute" from="0,10" to="734,10" stroked="true" strokeweight=".96pt" strokecolor="#000000">
              <v:stroke dashstyle="solid"/>
            </v:line>
            <v:rect style="position:absolute;left:734;top:0;width:20;height:20" filled="true" fillcolor="#000000" stroked="false">
              <v:fill type="solid"/>
            </v:rect>
            <v:line style="position:absolute" from="754,10" to="2729,10" stroked="true" strokeweight=".96pt" strokecolor="#000000">
              <v:stroke dashstyle="solid"/>
            </v:line>
            <v:rect style="position:absolute;left:2728;top:0;width:20;height:20" filled="true" fillcolor="#000000" stroked="false">
              <v:fill type="solid"/>
            </v:rect>
            <v:line style="position:absolute" from="2748,10" to="10289,10" stroked="true" strokeweight=".96pt" strokecolor="#000000">
              <v:stroke dashstyle="solid"/>
            </v:line>
          </v:group>
        </w:pict>
      </w:r>
      <w:r>
        <w:rPr>
          <w:rFonts w:ascii="Microsoft JhengHei"/>
          <w:spacing w:val="6"/>
          <w:sz w:val="2"/>
        </w:rPr>
      </w:r>
    </w:p>
    <w:p>
      <w:pPr>
        <w:pStyle w:val="BodyText"/>
        <w:tabs>
          <w:tab w:pos="1006" w:val="left" w:leader="none"/>
          <w:tab w:pos="3000" w:val="left" w:leader="none"/>
        </w:tabs>
        <w:spacing w:before="38"/>
        <w:ind w:left="272"/>
      </w:pPr>
      <w:r>
        <w:rPr>
          <w:w w:val="100"/>
        </w:rPr>
        <w:t> </w:t>
      </w:r>
      <w:r>
        <w:rPr/>
        <w:tab/>
      </w:r>
      <w:r>
        <w:rPr>
          <w:w w:val="100"/>
        </w:rPr>
        <w:t> </w:t>
      </w:r>
      <w:r>
        <w:rPr/>
        <w:tab/>
      </w:r>
      <w:r>
        <w:rPr>
          <w:w w:val="100"/>
        </w:rPr>
        <w:t> </w:t>
      </w:r>
    </w:p>
    <w:p>
      <w:pPr>
        <w:pStyle w:val="ListParagraph"/>
        <w:numPr>
          <w:ilvl w:val="1"/>
          <w:numId w:val="3"/>
        </w:numPr>
        <w:tabs>
          <w:tab w:pos="1006" w:val="left" w:leader="none"/>
          <w:tab w:pos="1007" w:val="left" w:leader="none"/>
          <w:tab w:pos="3000" w:val="left" w:leader="none"/>
        </w:tabs>
        <w:spacing w:line="220" w:lineRule="auto" w:before="37" w:after="0"/>
        <w:ind w:left="3000" w:right="208" w:hanging="2728"/>
        <w:jc w:val="left"/>
        <w:rPr>
          <w:sz w:val="21"/>
        </w:rPr>
      </w:pPr>
      <w:r>
        <w:rPr>
          <w:rFonts w:ascii="Microsoft JhengHei" w:eastAsia="Microsoft JhengHei" w:hint="eastAsia"/>
          <w:b/>
          <w:sz w:val="21"/>
        </w:rPr>
        <w:t>1</w:t>
        <w:tab/>
        <w:t>保险金额</w:t>
        <w:tab/>
      </w:r>
      <w:r>
        <w:rPr>
          <w:sz w:val="21"/>
        </w:rPr>
        <w:t>本附</w:t>
      </w:r>
      <w:r>
        <w:rPr>
          <w:spacing w:val="-3"/>
          <w:sz w:val="21"/>
        </w:rPr>
        <w:t>加</w:t>
      </w:r>
      <w:r>
        <w:rPr>
          <w:sz w:val="21"/>
        </w:rPr>
        <w:t>险</w:t>
      </w:r>
      <w:r>
        <w:rPr>
          <w:spacing w:val="-3"/>
          <w:sz w:val="21"/>
        </w:rPr>
        <w:t>合</w:t>
      </w:r>
      <w:r>
        <w:rPr>
          <w:sz w:val="21"/>
        </w:rPr>
        <w:t>同</w:t>
      </w:r>
      <w:r>
        <w:rPr>
          <w:spacing w:val="-3"/>
          <w:sz w:val="21"/>
        </w:rPr>
        <w:t>项</w:t>
      </w:r>
      <w:r>
        <w:rPr>
          <w:sz w:val="21"/>
        </w:rPr>
        <w:t>下</w:t>
      </w:r>
      <w:r>
        <w:rPr>
          <w:spacing w:val="-3"/>
          <w:sz w:val="21"/>
        </w:rPr>
        <w:t>各</w:t>
      </w:r>
      <w:r>
        <w:rPr>
          <w:sz w:val="21"/>
        </w:rPr>
        <w:t>被</w:t>
      </w:r>
      <w:r>
        <w:rPr>
          <w:spacing w:val="-3"/>
          <w:sz w:val="21"/>
        </w:rPr>
        <w:t>保</w:t>
      </w:r>
      <w:r>
        <w:rPr>
          <w:sz w:val="21"/>
        </w:rPr>
        <w:t>险人</w:t>
      </w:r>
      <w:r>
        <w:rPr>
          <w:spacing w:val="-3"/>
          <w:sz w:val="21"/>
        </w:rPr>
        <w:t>的</w:t>
      </w:r>
      <w:r>
        <w:rPr>
          <w:sz w:val="21"/>
        </w:rPr>
        <w:t>保</w:t>
      </w:r>
      <w:r>
        <w:rPr>
          <w:spacing w:val="-3"/>
          <w:sz w:val="21"/>
        </w:rPr>
        <w:t>险</w:t>
      </w:r>
      <w:r>
        <w:rPr>
          <w:sz w:val="21"/>
        </w:rPr>
        <w:t>金</w:t>
      </w:r>
      <w:r>
        <w:rPr>
          <w:spacing w:val="-3"/>
          <w:sz w:val="21"/>
        </w:rPr>
        <w:t>额</w:t>
      </w:r>
      <w:r>
        <w:rPr>
          <w:sz w:val="21"/>
        </w:rPr>
        <w:t>由</w:t>
      </w:r>
      <w:r>
        <w:rPr>
          <w:spacing w:val="-3"/>
          <w:sz w:val="21"/>
        </w:rPr>
        <w:t>投</w:t>
      </w:r>
      <w:r>
        <w:rPr>
          <w:sz w:val="21"/>
        </w:rPr>
        <w:t>保</w:t>
      </w:r>
      <w:r>
        <w:rPr>
          <w:spacing w:val="-3"/>
          <w:sz w:val="21"/>
        </w:rPr>
        <w:t>人</w:t>
      </w:r>
      <w:r>
        <w:rPr>
          <w:sz w:val="21"/>
        </w:rPr>
        <w:t>在投</w:t>
      </w:r>
      <w:r>
        <w:rPr>
          <w:spacing w:val="-3"/>
          <w:sz w:val="21"/>
        </w:rPr>
        <w:t>保</w:t>
      </w:r>
      <w:r>
        <w:rPr>
          <w:sz w:val="21"/>
        </w:rPr>
        <w:t>时</w:t>
      </w:r>
      <w:r>
        <w:rPr>
          <w:spacing w:val="-3"/>
          <w:sz w:val="21"/>
        </w:rPr>
        <w:t>与</w:t>
      </w:r>
      <w:r>
        <w:rPr>
          <w:sz w:val="21"/>
        </w:rPr>
        <w:t>本</w:t>
      </w:r>
      <w:r>
        <w:rPr>
          <w:spacing w:val="-3"/>
          <w:sz w:val="21"/>
        </w:rPr>
        <w:t>公</w:t>
      </w:r>
      <w:r>
        <w:rPr>
          <w:sz w:val="21"/>
        </w:rPr>
        <w:t>司</w:t>
      </w:r>
      <w:r>
        <w:rPr>
          <w:spacing w:val="-3"/>
          <w:sz w:val="21"/>
        </w:rPr>
        <w:t>约 </w:t>
      </w:r>
      <w:r>
        <w:rPr>
          <w:sz w:val="21"/>
        </w:rPr>
        <w:t>定</w:t>
      </w:r>
      <w:r>
        <w:rPr>
          <w:spacing w:val="-10"/>
          <w:sz w:val="21"/>
        </w:rPr>
        <w:t>，</w:t>
      </w:r>
      <w:r>
        <w:rPr>
          <w:sz w:val="21"/>
        </w:rPr>
        <w:t>并在保险</w:t>
      </w:r>
      <w:r>
        <w:rPr>
          <w:spacing w:val="-3"/>
          <w:sz w:val="21"/>
        </w:rPr>
        <w:t>单</w:t>
      </w:r>
      <w:r>
        <w:rPr>
          <w:sz w:val="21"/>
        </w:rPr>
        <w:t>上</w:t>
      </w:r>
      <w:r>
        <w:rPr>
          <w:spacing w:val="-3"/>
          <w:sz w:val="21"/>
        </w:rPr>
        <w:t>载</w:t>
      </w:r>
      <w:r>
        <w:rPr>
          <w:sz w:val="21"/>
        </w:rPr>
        <w:t>明</w:t>
      </w:r>
      <w:r>
        <w:rPr>
          <w:spacing w:val="-3"/>
          <w:sz w:val="21"/>
        </w:rPr>
        <w:t>。</w:t>
      </w:r>
      <w:r>
        <w:rPr>
          <w:sz w:val="21"/>
        </w:rPr>
        <w:t> </w:t>
      </w:r>
    </w:p>
    <w:p>
      <w:pPr>
        <w:pStyle w:val="BodyText"/>
        <w:tabs>
          <w:tab w:pos="1006" w:val="left" w:leader="none"/>
          <w:tab w:pos="3000" w:val="left" w:leader="none"/>
        </w:tabs>
        <w:ind w:left="271"/>
      </w:pPr>
      <w:r>
        <w:rPr>
          <w:w w:val="100"/>
        </w:rPr>
        <w:t> </w:t>
      </w:r>
      <w:r>
        <w:rPr/>
        <w:tab/>
      </w:r>
      <w:r>
        <w:rPr>
          <w:w w:val="100"/>
        </w:rPr>
        <w:t> </w:t>
      </w:r>
      <w:r>
        <w:rPr/>
        <w:tab/>
      </w:r>
      <w:r>
        <w:rPr>
          <w:w w:val="100"/>
        </w:rPr>
        <w:t> </w:t>
      </w:r>
    </w:p>
    <w:p>
      <w:pPr>
        <w:pStyle w:val="ListParagraph"/>
        <w:numPr>
          <w:ilvl w:val="1"/>
          <w:numId w:val="3"/>
        </w:numPr>
        <w:tabs>
          <w:tab w:pos="1006" w:val="left" w:leader="none"/>
          <w:tab w:pos="1007" w:val="left" w:leader="none"/>
          <w:tab w:pos="3000" w:val="left" w:leader="none"/>
        </w:tabs>
        <w:spacing w:line="220" w:lineRule="auto" w:before="38" w:after="0"/>
        <w:ind w:left="3000" w:right="208" w:hanging="2728"/>
        <w:jc w:val="left"/>
        <w:rPr>
          <w:sz w:val="21"/>
        </w:rPr>
      </w:pPr>
      <w:r>
        <w:rPr>
          <w:rFonts w:ascii="Microsoft JhengHei" w:eastAsia="Microsoft JhengHei" w:hint="eastAsia"/>
          <w:b/>
          <w:sz w:val="21"/>
        </w:rPr>
        <w:t>2</w:t>
        <w:tab/>
        <w:t>保险期间</w:t>
        <w:tab/>
      </w:r>
      <w:r>
        <w:rPr>
          <w:sz w:val="21"/>
        </w:rPr>
        <w:t>本附</w:t>
      </w:r>
      <w:r>
        <w:rPr>
          <w:spacing w:val="-3"/>
          <w:sz w:val="21"/>
        </w:rPr>
        <w:t>加</w:t>
      </w:r>
      <w:r>
        <w:rPr>
          <w:sz w:val="21"/>
        </w:rPr>
        <w:t>险</w:t>
      </w:r>
      <w:r>
        <w:rPr>
          <w:spacing w:val="-3"/>
          <w:sz w:val="21"/>
        </w:rPr>
        <w:t>合</w:t>
      </w:r>
      <w:r>
        <w:rPr>
          <w:sz w:val="21"/>
        </w:rPr>
        <w:t>同</w:t>
      </w:r>
      <w:r>
        <w:rPr>
          <w:spacing w:val="-3"/>
          <w:sz w:val="21"/>
        </w:rPr>
        <w:t>的</w:t>
      </w:r>
      <w:r>
        <w:rPr>
          <w:sz w:val="21"/>
        </w:rPr>
        <w:t>保</w:t>
      </w:r>
      <w:r>
        <w:rPr>
          <w:spacing w:val="-3"/>
          <w:sz w:val="21"/>
        </w:rPr>
        <w:t>险</w:t>
      </w:r>
      <w:r>
        <w:rPr>
          <w:sz w:val="21"/>
        </w:rPr>
        <w:t>期</w:t>
      </w:r>
      <w:r>
        <w:rPr>
          <w:spacing w:val="-3"/>
          <w:sz w:val="21"/>
        </w:rPr>
        <w:t>间</w:t>
      </w:r>
      <w:r>
        <w:rPr>
          <w:sz w:val="21"/>
        </w:rPr>
        <w:t>由投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约</w:t>
      </w:r>
      <w:r>
        <w:rPr>
          <w:sz w:val="21"/>
        </w:rPr>
        <w:t>定</w:t>
      </w:r>
      <w:r>
        <w:rPr>
          <w:spacing w:val="-10"/>
          <w:sz w:val="21"/>
        </w:rPr>
        <w:t>，</w:t>
      </w:r>
      <w:r>
        <w:rPr>
          <w:sz w:val="21"/>
        </w:rPr>
        <w:t>自本</w:t>
      </w:r>
      <w:r>
        <w:rPr>
          <w:spacing w:val="-3"/>
          <w:sz w:val="21"/>
        </w:rPr>
        <w:t>附</w:t>
      </w:r>
      <w:r>
        <w:rPr>
          <w:sz w:val="21"/>
        </w:rPr>
        <w:t>加</w:t>
      </w:r>
      <w:r>
        <w:rPr>
          <w:spacing w:val="-3"/>
          <w:sz w:val="21"/>
        </w:rPr>
        <w:t>险</w:t>
      </w:r>
      <w:r>
        <w:rPr>
          <w:sz w:val="21"/>
        </w:rPr>
        <w:t>合</w:t>
      </w:r>
      <w:r>
        <w:rPr>
          <w:spacing w:val="-3"/>
          <w:sz w:val="21"/>
        </w:rPr>
        <w:t>同</w:t>
      </w:r>
      <w:r>
        <w:rPr>
          <w:sz w:val="21"/>
        </w:rPr>
        <w:t>生</w:t>
      </w:r>
      <w:r>
        <w:rPr>
          <w:spacing w:val="-3"/>
          <w:sz w:val="21"/>
        </w:rPr>
        <w:t>效 </w:t>
      </w:r>
      <w:r>
        <w:rPr>
          <w:sz w:val="21"/>
        </w:rPr>
        <w:t>日</w:t>
      </w:r>
      <w:r>
        <w:rPr>
          <w:spacing w:val="-3"/>
          <w:sz w:val="21"/>
        </w:rPr>
        <w:t>零</w:t>
      </w:r>
      <w:r>
        <w:rPr>
          <w:sz w:val="21"/>
        </w:rPr>
        <w:t>时起至保</w:t>
      </w:r>
      <w:r>
        <w:rPr>
          <w:spacing w:val="-3"/>
          <w:sz w:val="21"/>
        </w:rPr>
        <w:t>险</w:t>
      </w:r>
      <w:r>
        <w:rPr>
          <w:sz w:val="21"/>
        </w:rPr>
        <w:t>期</w:t>
      </w:r>
      <w:r>
        <w:rPr>
          <w:spacing w:val="-3"/>
          <w:sz w:val="21"/>
        </w:rPr>
        <w:t>间</w:t>
      </w:r>
      <w:r>
        <w:rPr>
          <w:sz w:val="21"/>
        </w:rPr>
        <w:t>届</w:t>
      </w:r>
      <w:r>
        <w:rPr>
          <w:spacing w:val="-3"/>
          <w:sz w:val="21"/>
        </w:rPr>
        <w:t>满</w:t>
      </w:r>
      <w:r>
        <w:rPr>
          <w:sz w:val="21"/>
        </w:rPr>
        <w:t>日</w:t>
      </w:r>
      <w:r>
        <w:rPr>
          <w:spacing w:val="-47"/>
          <w:sz w:val="21"/>
        </w:rPr>
        <w:t> </w:t>
      </w:r>
      <w:r>
        <w:rPr>
          <w:sz w:val="21"/>
        </w:rPr>
        <w:t>24</w:t>
      </w:r>
      <w:r>
        <w:rPr>
          <w:spacing w:val="-47"/>
          <w:sz w:val="21"/>
        </w:rPr>
        <w:t> </w:t>
      </w:r>
      <w:r>
        <w:rPr>
          <w:spacing w:val="-3"/>
          <w:sz w:val="21"/>
        </w:rPr>
        <w:t>时止</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间最</w:t>
      </w:r>
      <w:r>
        <w:rPr>
          <w:spacing w:val="-3"/>
          <w:sz w:val="21"/>
        </w:rPr>
        <w:t>长</w:t>
      </w:r>
      <w:r>
        <w:rPr>
          <w:sz w:val="21"/>
        </w:rPr>
        <w:t>不</w:t>
      </w:r>
      <w:r>
        <w:rPr>
          <w:spacing w:val="-3"/>
          <w:sz w:val="21"/>
        </w:rPr>
        <w:t>超</w:t>
      </w:r>
      <w:r>
        <w:rPr>
          <w:sz w:val="21"/>
        </w:rPr>
        <w:t>过</w:t>
      </w:r>
      <w:r>
        <w:rPr>
          <w:spacing w:val="-47"/>
          <w:sz w:val="21"/>
        </w:rPr>
        <w:t> </w:t>
      </w:r>
      <w:r>
        <w:rPr>
          <w:sz w:val="21"/>
        </w:rPr>
        <w:t>1</w:t>
      </w:r>
      <w:r>
        <w:rPr>
          <w:spacing w:val="-50"/>
          <w:sz w:val="21"/>
        </w:rPr>
        <w:t> </w:t>
      </w:r>
      <w:r>
        <w:rPr>
          <w:sz w:val="21"/>
        </w:rPr>
        <w:t>年</w:t>
      </w:r>
      <w:r>
        <w:rPr>
          <w:spacing w:val="-3"/>
          <w:sz w:val="21"/>
        </w:rPr>
        <w:t>。</w:t>
      </w:r>
      <w:r>
        <w:rPr>
          <w:color w:val="FF0000"/>
          <w:sz w:val="21"/>
        </w:rPr>
        <w:t> </w:t>
      </w:r>
    </w:p>
    <w:p>
      <w:pPr>
        <w:pStyle w:val="BodyText"/>
        <w:tabs>
          <w:tab w:pos="1006" w:val="left" w:leader="none"/>
          <w:tab w:pos="3000" w:val="left" w:leader="none"/>
        </w:tabs>
        <w:spacing w:before="73"/>
        <w:ind w:left="272"/>
      </w:pPr>
      <w:r>
        <w:rPr>
          <w:w w:val="100"/>
        </w:rPr>
        <w:t> </w:t>
      </w:r>
      <w:r>
        <w:rPr/>
        <w:tab/>
      </w:r>
      <w:r>
        <w:rPr>
          <w:w w:val="100"/>
        </w:rPr>
        <w:t> </w:t>
      </w:r>
      <w:r>
        <w:rPr/>
        <w:tab/>
      </w:r>
      <w:r>
        <w:rPr>
          <w:w w:val="100"/>
        </w:rPr>
        <w:t> </w:t>
      </w:r>
    </w:p>
    <w:p>
      <w:pPr>
        <w:pStyle w:val="ListParagraph"/>
        <w:numPr>
          <w:ilvl w:val="1"/>
          <w:numId w:val="3"/>
        </w:numPr>
        <w:tabs>
          <w:tab w:pos="1006" w:val="left" w:leader="none"/>
          <w:tab w:pos="1007" w:val="left" w:leader="none"/>
          <w:tab w:pos="3000" w:val="left" w:leader="none"/>
        </w:tabs>
        <w:spacing w:line="240" w:lineRule="auto" w:before="8" w:after="0"/>
        <w:ind w:left="3000" w:right="0" w:hanging="2728"/>
        <w:jc w:val="left"/>
        <w:rPr>
          <w:sz w:val="21"/>
        </w:rPr>
      </w:pPr>
      <w:r>
        <w:rPr>
          <w:rFonts w:ascii="Microsoft JhengHei" w:eastAsia="Microsoft JhengHei" w:hint="eastAsia"/>
          <w:b/>
          <w:sz w:val="21"/>
        </w:rPr>
        <w:t>3</w:t>
        <w:tab/>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保</w:t>
      </w:r>
      <w:r>
        <w:rPr>
          <w:spacing w:val="-3"/>
          <w:sz w:val="21"/>
        </w:rPr>
        <w:t>险</w:t>
      </w:r>
      <w:r>
        <w:rPr>
          <w:sz w:val="21"/>
        </w:rPr>
        <w:t>期</w:t>
      </w:r>
      <w:r>
        <w:rPr>
          <w:spacing w:val="-3"/>
          <w:sz w:val="21"/>
        </w:rPr>
        <w:t>间</w:t>
      </w:r>
      <w:r>
        <w:rPr>
          <w:sz w:val="21"/>
        </w:rPr>
        <w:t>内，</w:t>
      </w:r>
      <w:r>
        <w:rPr>
          <w:spacing w:val="-3"/>
          <w:sz w:val="21"/>
        </w:rPr>
        <w:t>本</w:t>
      </w:r>
      <w:r>
        <w:rPr>
          <w:sz w:val="21"/>
        </w:rPr>
        <w:t>公</w:t>
      </w:r>
      <w:r>
        <w:rPr>
          <w:spacing w:val="-3"/>
          <w:sz w:val="21"/>
        </w:rPr>
        <w:t>司</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责任</w:t>
      </w:r>
      <w:r>
        <w:rPr>
          <w:spacing w:val="-3"/>
          <w:sz w:val="21"/>
        </w:rPr>
        <w:t>：</w:t>
      </w:r>
      <w:r>
        <w:rPr>
          <w:sz w:val="21"/>
        </w:rPr>
        <w:t> </w:t>
      </w:r>
    </w:p>
    <w:p>
      <w:pPr>
        <w:pStyle w:val="BodyText"/>
        <w:tabs>
          <w:tab w:pos="1006" w:val="left" w:leader="none"/>
          <w:tab w:pos="3000" w:val="left" w:leader="none"/>
        </w:tabs>
        <w:spacing w:line="269" w:lineRule="exact" w:before="51"/>
        <w:ind w:left="272"/>
      </w:pPr>
      <w:r>
        <w:rPr>
          <w:w w:val="100"/>
        </w:rPr>
        <w:t> </w:t>
      </w:r>
      <w:r>
        <w:rPr/>
        <w:tab/>
      </w:r>
      <w:r>
        <w:rPr>
          <w:w w:val="100"/>
        </w:rPr>
        <w:t> </w:t>
      </w:r>
      <w:r>
        <w:rPr/>
        <w:tab/>
      </w:r>
      <w:r>
        <w:rPr>
          <w:w w:val="100"/>
        </w:rPr>
        <w:t> </w:t>
      </w:r>
    </w:p>
    <w:p>
      <w:pPr>
        <w:pStyle w:val="BodyText"/>
        <w:tabs>
          <w:tab w:pos="1006" w:val="left" w:leader="none"/>
          <w:tab w:pos="3000" w:val="left" w:leader="none"/>
        </w:tabs>
        <w:spacing w:line="196" w:lineRule="auto" w:before="60"/>
        <w:ind w:left="3000" w:right="107" w:hanging="2729"/>
      </w:pPr>
      <w:r>
        <w:rPr>
          <w:w w:val="100"/>
        </w:rPr>
        <w:t> </w:t>
      </w:r>
      <w:r>
        <w:rPr/>
        <w:tab/>
      </w: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附</w:t>
      </w:r>
      <w:r>
        <w:rPr/>
        <w:t>加</w:t>
      </w:r>
      <w:r>
        <w:rPr>
          <w:spacing w:val="-3"/>
        </w:rPr>
        <w:t>险</w:t>
      </w:r>
      <w:r>
        <w:rPr/>
        <w:t>合</w:t>
      </w:r>
      <w:r>
        <w:rPr>
          <w:spacing w:val="-3"/>
        </w:rPr>
        <w:t>同</w:t>
      </w:r>
      <w:r>
        <w:rPr/>
        <w:t>生</w:t>
      </w:r>
      <w:r>
        <w:rPr>
          <w:spacing w:val="-3"/>
        </w:rPr>
        <w:t>效日</w:t>
      </w:r>
      <w:r>
        <w:rPr/>
        <w:t>起</w:t>
      </w:r>
      <w:r>
        <w:rPr>
          <w:spacing w:val="-48"/>
        </w:rPr>
        <w:t> </w:t>
      </w:r>
      <w:r>
        <w:rPr/>
        <w:t>30</w:t>
      </w:r>
      <w:r>
        <w:rPr>
          <w:spacing w:val="-45"/>
        </w:rPr>
        <w:t> </w:t>
      </w:r>
      <w:r>
        <w:rPr>
          <w:spacing w:val="-3"/>
        </w:rPr>
        <w:t>日</w:t>
      </w:r>
      <w:r>
        <w:rPr>
          <w:spacing w:val="-56"/>
        </w:rPr>
        <w:t>内</w:t>
      </w:r>
      <w:r>
        <w:rPr>
          <w:spacing w:val="-3"/>
        </w:rPr>
        <w:t>（</w:t>
      </w:r>
      <w:r>
        <w:rPr/>
        <w:t>含第</w:t>
      </w:r>
      <w:r>
        <w:rPr>
          <w:spacing w:val="-48"/>
        </w:rPr>
        <w:t> </w:t>
      </w:r>
      <w:r>
        <w:rPr/>
        <w:t>30</w:t>
      </w:r>
      <w:r>
        <w:rPr>
          <w:spacing w:val="-45"/>
        </w:rPr>
        <w:t> </w:t>
      </w:r>
      <w:r>
        <w:rPr>
          <w:spacing w:val="-3"/>
        </w:rPr>
        <w:t>日</w:t>
      </w:r>
      <w:r>
        <w:rPr>
          <w:spacing w:val="-82"/>
        </w:rPr>
        <w:t>），</w:t>
      </w:r>
      <w:r>
        <w:rPr>
          <w:spacing w:val="-3"/>
        </w:rPr>
        <w:t>若</w:t>
      </w:r>
      <w:r>
        <w:rPr/>
        <w:t>被保</w:t>
      </w:r>
      <w:r>
        <w:rPr>
          <w:spacing w:val="-3"/>
        </w:rPr>
        <w:t>险</w:t>
      </w:r>
      <w:r>
        <w:rPr/>
        <w:t>人</w:t>
      </w:r>
      <w:r>
        <w:rPr>
          <w:spacing w:val="-3"/>
        </w:rPr>
        <w:t>经</w:t>
      </w:r>
      <w:r>
        <w:rPr>
          <w:rFonts w:ascii="Microsoft JhengHei" w:eastAsia="Microsoft JhengHei" w:hint="eastAsia"/>
          <w:b/>
        </w:rPr>
        <w:t>医疗机</w:t>
      </w:r>
      <w:r>
        <w:rPr>
          <w:rFonts w:ascii="Microsoft JhengHei" w:eastAsia="Microsoft JhengHei" w:hint="eastAsia"/>
          <w:b/>
          <w:spacing w:val="-56"/>
        </w:rPr>
        <w:t>构</w:t>
      </w:r>
      <w:r>
        <w:rPr>
          <w:spacing w:val="-3"/>
        </w:rPr>
        <w:t>（</w:t>
      </w:r>
      <w:r>
        <w:rPr/>
        <w:t>见</w:t>
      </w:r>
      <w:r>
        <w:rPr>
          <w:spacing w:val="-48"/>
        </w:rPr>
        <w:t> </w:t>
      </w:r>
      <w:r>
        <w:rPr/>
        <w:t>7.4）</w:t>
      </w:r>
      <w:r>
        <w:rPr>
          <w:w w:val="100"/>
        </w:rPr>
        <w:t>确诊</w:t>
      </w:r>
      <w:r>
        <w:rPr>
          <w:spacing w:val="-24"/>
          <w:w w:val="100"/>
        </w:rPr>
        <w:t>，</w:t>
      </w:r>
      <w:r>
        <w:rPr>
          <w:w w:val="100"/>
        </w:rPr>
        <w:t>首</w:t>
      </w:r>
      <w:r>
        <w:rPr>
          <w:spacing w:val="-3"/>
          <w:w w:val="100"/>
        </w:rPr>
        <w:t>次</w:t>
      </w:r>
      <w:r>
        <w:rPr>
          <w:w w:val="100"/>
        </w:rPr>
        <w:t>患</w:t>
      </w:r>
      <w:r>
        <w:rPr>
          <w:spacing w:val="-3"/>
          <w:w w:val="100"/>
        </w:rPr>
        <w:t>上</w:t>
      </w:r>
      <w:r>
        <w:rPr>
          <w:w w:val="100"/>
        </w:rPr>
        <w:t>符</w:t>
      </w:r>
      <w:r>
        <w:rPr>
          <w:spacing w:val="-3"/>
          <w:w w:val="100"/>
        </w:rPr>
        <w:t>合</w:t>
      </w:r>
      <w:r>
        <w:rPr>
          <w:w w:val="100"/>
        </w:rPr>
        <w:t>本</w:t>
      </w:r>
      <w:r>
        <w:rPr>
          <w:spacing w:val="-3"/>
          <w:w w:val="100"/>
        </w:rPr>
        <w:t>条</w:t>
      </w:r>
      <w:r>
        <w:rPr>
          <w:w w:val="100"/>
        </w:rPr>
        <w:t>款定</w:t>
      </w:r>
      <w:r>
        <w:rPr>
          <w:spacing w:val="-3"/>
          <w:w w:val="100"/>
        </w:rPr>
        <w:t>义的</w:t>
      </w:r>
      <w:r>
        <w:rPr>
          <w:rFonts w:ascii="Microsoft JhengHei" w:eastAsia="Microsoft JhengHei" w:hint="eastAsia"/>
          <w:b/>
          <w:w w:val="100"/>
        </w:rPr>
        <w:t>重大疾</w:t>
      </w:r>
      <w:r>
        <w:rPr>
          <w:rFonts w:ascii="Microsoft JhengHei" w:eastAsia="Microsoft JhengHei" w:hint="eastAsia"/>
          <w:b/>
          <w:spacing w:val="-22"/>
          <w:w w:val="100"/>
        </w:rPr>
        <w:t>病</w:t>
      </w:r>
      <w:r>
        <w:rPr>
          <w:w w:val="100"/>
        </w:rPr>
        <w:t>（见</w:t>
      </w:r>
      <w:r>
        <w:rPr>
          <w:spacing w:val="-55"/>
        </w:rPr>
        <w:t> </w:t>
      </w:r>
      <w:r>
        <w:rPr>
          <w:w w:val="100"/>
        </w:rPr>
        <w:t>7.</w:t>
      </w:r>
      <w:r>
        <w:rPr>
          <w:spacing w:val="-3"/>
          <w:w w:val="100"/>
        </w:rPr>
        <w:t>5</w:t>
      </w:r>
      <w:r>
        <w:rPr>
          <w:spacing w:val="-106"/>
          <w:w w:val="100"/>
        </w:rPr>
        <w:t>）</w:t>
      </w:r>
      <w:r>
        <w:rPr>
          <w:spacing w:val="-22"/>
          <w:w w:val="100"/>
        </w:rPr>
        <w:t>，</w:t>
      </w:r>
      <w:r>
        <w:rPr>
          <w:w w:val="100"/>
        </w:rPr>
        <w:t>本</w:t>
      </w:r>
      <w:r>
        <w:rPr>
          <w:spacing w:val="-3"/>
          <w:w w:val="100"/>
        </w:rPr>
        <w:t>公</w:t>
      </w:r>
      <w:r>
        <w:rPr>
          <w:w w:val="100"/>
        </w:rPr>
        <w:t>司</w:t>
      </w:r>
      <w:r>
        <w:rPr>
          <w:spacing w:val="-3"/>
          <w:w w:val="100"/>
        </w:rPr>
        <w:t>将</w:t>
      </w:r>
      <w:r>
        <w:rPr>
          <w:w w:val="100"/>
        </w:rPr>
        <w:t>向</w:t>
      </w:r>
      <w:r>
        <w:rPr>
          <w:spacing w:val="-3"/>
          <w:w w:val="100"/>
        </w:rPr>
        <w:t>投</w:t>
      </w:r>
      <w:r>
        <w:rPr>
          <w:w w:val="100"/>
        </w:rPr>
        <w:t>保</w:t>
      </w:r>
      <w:r>
        <w:rPr>
          <w:spacing w:val="-3"/>
          <w:w w:val="100"/>
        </w:rPr>
        <w:t>人</w:t>
      </w:r>
      <w:r>
        <w:rPr>
          <w:w w:val="100"/>
        </w:rPr>
        <w:t>退</w:t>
      </w:r>
      <w:r>
        <w:rPr>
          <w:spacing w:val="-3"/>
          <w:w w:val="100"/>
        </w:rPr>
        <w:t>还该</w:t>
      </w:r>
      <w:r>
        <w:rPr/>
        <w:t>被保</w:t>
      </w:r>
      <w:r>
        <w:rPr>
          <w:spacing w:val="-3"/>
        </w:rPr>
        <w:t>险</w:t>
      </w:r>
      <w:r>
        <w:rPr/>
        <w:t>人</w:t>
      </w:r>
      <w:r>
        <w:rPr>
          <w:spacing w:val="-3"/>
        </w:rPr>
        <w:t>对</w:t>
      </w:r>
      <w:r>
        <w:rPr/>
        <w:t>应</w:t>
      </w:r>
      <w:r>
        <w:rPr>
          <w:spacing w:val="-3"/>
        </w:rPr>
        <w:t>的</w:t>
      </w:r>
      <w:r>
        <w:rPr/>
        <w:t>保</w:t>
      </w:r>
      <w:r>
        <w:rPr>
          <w:spacing w:val="-3"/>
        </w:rPr>
        <w:t>险</w:t>
      </w:r>
      <w:r>
        <w:rPr/>
        <w:t>费</w:t>
      </w:r>
      <w:r>
        <w:rPr>
          <w:spacing w:val="-3"/>
        </w:rPr>
        <w:t>，</w:t>
      </w:r>
      <w:r>
        <w:rPr/>
        <w:t>本公</w:t>
      </w:r>
      <w:r>
        <w:rPr>
          <w:spacing w:val="-3"/>
        </w:rPr>
        <w:t>司</w:t>
      </w:r>
      <w:r>
        <w:rPr/>
        <w:t>对</w:t>
      </w:r>
      <w:r>
        <w:rPr>
          <w:spacing w:val="-3"/>
        </w:rPr>
        <w:t>该</w:t>
      </w:r>
      <w:r>
        <w:rPr/>
        <w:t>被</w:t>
      </w:r>
      <w:r>
        <w:rPr>
          <w:spacing w:val="-3"/>
        </w:rPr>
        <w:t>保</w:t>
      </w:r>
      <w:r>
        <w:rPr/>
        <w:t>险</w:t>
      </w:r>
      <w:r>
        <w:rPr>
          <w:spacing w:val="-3"/>
        </w:rPr>
        <w:t>人</w:t>
      </w:r>
      <w:r>
        <w:rPr/>
        <w:t>的</w:t>
      </w:r>
      <w:r>
        <w:rPr>
          <w:spacing w:val="-3"/>
        </w:rPr>
        <w:t>保</w:t>
      </w:r>
      <w:r>
        <w:rPr/>
        <w:t>险责</w:t>
      </w:r>
      <w:r>
        <w:rPr>
          <w:spacing w:val="-3"/>
        </w:rPr>
        <w:t>任</w:t>
      </w:r>
      <w:r>
        <w:rPr/>
        <w:t>终</w:t>
      </w:r>
      <w:r>
        <w:rPr>
          <w:spacing w:val="-3"/>
        </w:rPr>
        <w:t>止。</w:t>
      </w:r>
      <w:r>
        <w:rPr/>
        <w:t> </w:t>
      </w:r>
    </w:p>
    <w:p>
      <w:pPr>
        <w:pStyle w:val="BodyText"/>
        <w:spacing w:line="274" w:lineRule="exact" w:before="73"/>
        <w:ind w:left="3000"/>
      </w:pPr>
      <w:r>
        <w:rPr>
          <w:spacing w:val="-3"/>
          <w:w w:val="100"/>
        </w:rPr>
        <w:t>自本附加险合同生效日起</w:t>
      </w:r>
      <w:r>
        <w:rPr>
          <w:spacing w:val="-55"/>
        </w:rPr>
        <w:t> </w:t>
      </w:r>
      <w:r>
        <w:rPr>
          <w:w w:val="100"/>
        </w:rPr>
        <w:t>30</w:t>
      </w:r>
      <w:r>
        <w:rPr>
          <w:spacing w:val="-53"/>
        </w:rPr>
        <w:t> </w:t>
      </w:r>
      <w:r>
        <w:rPr>
          <w:spacing w:val="-3"/>
          <w:w w:val="100"/>
        </w:rPr>
        <w:t>日后（</w:t>
      </w:r>
      <w:r>
        <w:rPr>
          <w:spacing w:val="-2"/>
          <w:w w:val="100"/>
        </w:rPr>
        <w:t>不含第</w:t>
      </w:r>
      <w:r>
        <w:rPr>
          <w:spacing w:val="-53"/>
        </w:rPr>
        <w:t> </w:t>
      </w:r>
      <w:r>
        <w:rPr>
          <w:spacing w:val="-3"/>
          <w:w w:val="100"/>
        </w:rPr>
        <w:t>3</w:t>
      </w:r>
      <w:r>
        <w:rPr>
          <w:w w:val="100"/>
        </w:rPr>
        <w:t>0</w:t>
      </w:r>
      <w:r>
        <w:rPr>
          <w:spacing w:val="-53"/>
        </w:rPr>
        <w:t> </w:t>
      </w:r>
      <w:r>
        <w:rPr>
          <w:w w:val="100"/>
        </w:rPr>
        <w:t>日</w:t>
      </w:r>
      <w:r>
        <w:rPr>
          <w:spacing w:val="-108"/>
          <w:w w:val="100"/>
        </w:rPr>
        <w:t>）</w:t>
      </w:r>
      <w:r>
        <w:rPr>
          <w:spacing w:val="-3"/>
          <w:w w:val="100"/>
        </w:rPr>
        <w:t>，若被保险人经医疗机构确诊，</w:t>
      </w:r>
    </w:p>
    <w:p>
      <w:pPr>
        <w:pStyle w:val="BodyText"/>
        <w:spacing w:line="237" w:lineRule="auto" w:before="2"/>
        <w:ind w:left="3000" w:right="210"/>
        <w:jc w:val="both"/>
      </w:pPr>
      <w:r>
        <w:rPr>
          <w:spacing w:val="-5"/>
        </w:rPr>
        <w:t>首次患上符合本条款定义的重大疾病且确诊之日起 </w:t>
      </w:r>
      <w:r>
        <w:rPr/>
        <w:t>14</w:t>
      </w:r>
      <w:r>
        <w:rPr>
          <w:spacing w:val="-17"/>
        </w:rPr>
        <w:t> 日后</w:t>
      </w:r>
      <w:r>
        <w:rPr>
          <w:spacing w:val="-3"/>
        </w:rPr>
        <w:t>（</w:t>
      </w:r>
      <w:r>
        <w:rPr>
          <w:spacing w:val="-13"/>
        </w:rPr>
        <w:t>不含第 </w:t>
      </w:r>
      <w:r>
        <w:rPr/>
        <w:t>14</w:t>
      </w:r>
      <w:r>
        <w:rPr>
          <w:spacing w:val="-24"/>
        </w:rPr>
        <w:t> 日</w:t>
      </w:r>
      <w:r>
        <w:rPr>
          <w:spacing w:val="-5"/>
        </w:rPr>
        <w:t>）</w:t>
      </w:r>
      <w:r>
        <w:rPr/>
        <w:t>仍生</w:t>
      </w:r>
      <w:r>
        <w:rPr>
          <w:spacing w:val="-3"/>
        </w:rPr>
        <w:t>存，本公司将按该被保险人的保险金额给付重大疾病保险金，本公司对该被保险人的保险责任终止。</w:t>
      </w:r>
      <w:r>
        <w:rPr/>
        <w:t> </w:t>
      </w:r>
    </w:p>
    <w:p>
      <w:pPr>
        <w:spacing w:after="0" w:line="237" w:lineRule="auto"/>
        <w:jc w:val="both"/>
        <w:sectPr>
          <w:footerReference w:type="default" r:id="rId8"/>
          <w:pgSz w:w="11900" w:h="16840"/>
          <w:pgMar w:footer="724" w:header="0" w:top="1100" w:bottom="920" w:left="940" w:right="400"/>
          <w:pgNumType w:start="2"/>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1939"/>
        <w:gridCol w:w="7727"/>
      </w:tblGrid>
      <w:tr>
        <w:trPr>
          <w:trHeight w:val="553" w:hRule="atLeast"/>
        </w:trPr>
        <w:tc>
          <w:tcPr>
            <w:tcW w:w="2562" w:type="dxa"/>
            <w:gridSpan w:val="2"/>
          </w:tcPr>
          <w:p>
            <w:pPr>
              <w:pStyle w:val="TableParagraph"/>
              <w:rPr>
                <w:rFonts w:ascii="Times New Roman"/>
                <w:sz w:val="20"/>
              </w:rPr>
            </w:pPr>
          </w:p>
        </w:tc>
        <w:tc>
          <w:tcPr>
            <w:tcW w:w="7727" w:type="dxa"/>
          </w:tcPr>
          <w:p>
            <w:pPr>
              <w:pStyle w:val="TableParagraph"/>
              <w:spacing w:line="210" w:lineRule="exact"/>
              <w:ind w:left="274"/>
              <w:rPr>
                <w:sz w:val="21"/>
              </w:rPr>
            </w:pPr>
            <w:r>
              <w:rPr>
                <w:sz w:val="21"/>
              </w:rPr>
              <w:t>被保险人经医疗机构确诊首次患上多种重大疾病的，重大疾病保险金的给付以该</w:t>
            </w:r>
          </w:p>
          <w:p>
            <w:pPr>
              <w:pStyle w:val="TableParagraph"/>
              <w:spacing w:line="274" w:lineRule="exact"/>
              <w:ind w:left="274"/>
              <w:rPr>
                <w:sz w:val="21"/>
              </w:rPr>
            </w:pPr>
            <w:r>
              <w:rPr>
                <w:sz w:val="21"/>
              </w:rPr>
              <w:t>被保险人的保险金额为限。 </w:t>
            </w:r>
          </w:p>
        </w:tc>
      </w:tr>
      <w:tr>
        <w:trPr>
          <w:trHeight w:val="344" w:hRule="atLeast"/>
        </w:trPr>
        <w:tc>
          <w:tcPr>
            <w:tcW w:w="623" w:type="dxa"/>
          </w:tcPr>
          <w:p>
            <w:pPr>
              <w:pStyle w:val="TableParagraph"/>
              <w:spacing w:before="4"/>
              <w:ind w:left="107"/>
              <w:rPr>
                <w:sz w:val="21"/>
              </w:rPr>
            </w:pPr>
            <w:r>
              <w:rPr>
                <w:w w:val="100"/>
                <w:sz w:val="21"/>
              </w:rPr>
              <w:t> </w:t>
            </w:r>
          </w:p>
        </w:tc>
        <w:tc>
          <w:tcPr>
            <w:tcW w:w="1939" w:type="dxa"/>
          </w:tcPr>
          <w:p>
            <w:pPr>
              <w:pStyle w:val="TableParagraph"/>
              <w:rPr>
                <w:rFonts w:ascii="Times New Roman"/>
                <w:sz w:val="20"/>
              </w:rPr>
            </w:pPr>
          </w:p>
        </w:tc>
        <w:tc>
          <w:tcPr>
            <w:tcW w:w="7727" w:type="dxa"/>
          </w:tcPr>
          <w:p>
            <w:pPr>
              <w:pStyle w:val="TableParagraph"/>
              <w:spacing w:before="4"/>
              <w:ind w:left="274"/>
              <w:rPr>
                <w:sz w:val="21"/>
              </w:rPr>
            </w:pPr>
            <w:r>
              <w:rPr>
                <w:w w:val="100"/>
                <w:sz w:val="21"/>
              </w:rPr>
              <w:t> </w:t>
            </w:r>
          </w:p>
        </w:tc>
      </w:tr>
      <w:tr>
        <w:trPr>
          <w:trHeight w:val="324" w:hRule="atLeast"/>
        </w:trPr>
        <w:tc>
          <w:tcPr>
            <w:tcW w:w="623" w:type="dxa"/>
          </w:tcPr>
          <w:p>
            <w:pPr>
              <w:pStyle w:val="TableParagraph"/>
              <w:spacing w:line="304" w:lineRule="exact"/>
              <w:ind w:left="107"/>
              <w:rPr>
                <w:rFonts w:ascii="Microsoft JhengHei"/>
                <w:b/>
                <w:sz w:val="21"/>
              </w:rPr>
            </w:pPr>
            <w:r>
              <w:rPr>
                <w:rFonts w:ascii="Microsoft JhengHei"/>
                <w:b/>
                <w:w w:val="90"/>
                <w:sz w:val="21"/>
              </w:rPr>
              <w:t>2. 4</w:t>
            </w:r>
          </w:p>
        </w:tc>
        <w:tc>
          <w:tcPr>
            <w:tcW w:w="1939" w:type="dxa"/>
          </w:tcPr>
          <w:p>
            <w:pPr>
              <w:pStyle w:val="TableParagraph"/>
              <w:spacing w:line="304" w:lineRule="exact"/>
              <w:ind w:left="219"/>
              <w:rPr>
                <w:rFonts w:ascii="Microsoft JhengHei" w:eastAsia="Microsoft JhengHei" w:hint="eastAsia"/>
                <w:b/>
                <w:sz w:val="21"/>
              </w:rPr>
            </w:pPr>
            <w:r>
              <w:rPr>
                <w:rFonts w:ascii="Microsoft JhengHei" w:eastAsia="Microsoft JhengHei" w:hint="eastAsia"/>
                <w:b/>
                <w:sz w:val="21"/>
              </w:rPr>
              <w:t>责任免除</w:t>
            </w:r>
          </w:p>
        </w:tc>
        <w:tc>
          <w:tcPr>
            <w:tcW w:w="7727" w:type="dxa"/>
          </w:tcPr>
          <w:p>
            <w:pPr>
              <w:pStyle w:val="TableParagraph"/>
              <w:spacing w:line="304" w:lineRule="exact"/>
              <w:ind w:left="274"/>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因下列情形之一导致被保险人发生疾病、达到疾病状态或进行手术的，本公司不</w:t>
            </w:r>
          </w:p>
        </w:tc>
      </w:tr>
      <w:tr>
        <w:trPr>
          <w:trHeight w:val="299"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9" w:lineRule="exact"/>
              <w:ind w:left="274"/>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357"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309" w:lineRule="exact"/>
              <w:ind w:left="274"/>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302" w:lineRule="exact"/>
              <w:ind w:left="274"/>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302" w:lineRule="exact"/>
              <w:ind w:left="2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62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6" w:lineRule="exact"/>
              <w:ind w:left="2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8"/>
                <w:w w:val="100"/>
                <w:sz w:val="21"/>
              </w:rPr>
              <w:t>）</w:t>
            </w:r>
            <w:r>
              <w:rPr>
                <w:rFonts w:ascii="Microsoft JhengHei" w:eastAsia="Microsoft JhengHei" w:hint="eastAsia"/>
                <w:b/>
                <w:spacing w:val="-2"/>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2"/>
                <w:sz w:val="21"/>
              </w:rPr>
              <w:t> </w:t>
            </w:r>
            <w:r>
              <w:rPr>
                <w:rFonts w:ascii="Microsoft JhengHei" w:eastAsia="Microsoft JhengHei" w:hint="eastAsia"/>
                <w:b/>
                <w:spacing w:val="-106"/>
                <w:w w:val="100"/>
                <w:sz w:val="21"/>
              </w:rPr>
              <w:t>）</w:t>
            </w:r>
            <w:r>
              <w:rPr>
                <w:rFonts w:ascii="Microsoft JhengHei" w:eastAsia="Microsoft JhengHei" w:hint="eastAsia"/>
                <w:b/>
                <w:spacing w:val="-3"/>
                <w:w w:val="100"/>
                <w:sz w:val="21"/>
              </w:rPr>
              <w:t>，或驾驶无</w:t>
            </w:r>
          </w:p>
          <w:p>
            <w:pPr>
              <w:pStyle w:val="TableParagraph"/>
              <w:spacing w:line="320" w:lineRule="exact"/>
              <w:ind w:left="781"/>
              <w:rPr>
                <w:rFonts w:ascii="Microsoft JhengHei" w:eastAsia="Microsoft JhengHei" w:hint="eastAsia"/>
                <w:b/>
                <w:sz w:val="21"/>
              </w:rPr>
            </w:pPr>
            <w:r>
              <w:rPr>
                <w:rFonts w:ascii="Microsoft JhengHei" w:eastAsia="Microsoft JhengHei" w:hint="eastAsia"/>
                <w:b/>
                <w:w w:val="100"/>
                <w:sz w:val="21"/>
              </w:rPr>
              <w:t>有效行驶证（见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2"/>
                <w:sz w:val="21"/>
              </w:rPr>
              <w:t> </w:t>
            </w:r>
            <w:r>
              <w:rPr>
                <w:rFonts w:ascii="Microsoft JhengHei" w:eastAsia="Microsoft JhengHei" w:hint="eastAsia"/>
                <w:b/>
                <w:w w:val="100"/>
                <w:sz w:val="21"/>
              </w:rPr>
              <w:t>）</w:t>
            </w:r>
            <w:r>
              <w:rPr>
                <w:rFonts w:ascii="Microsoft JhengHei" w:eastAsia="Microsoft JhengHei" w:hint="eastAsia"/>
                <w:b/>
                <w:spacing w:val="-2"/>
                <w:w w:val="100"/>
                <w:sz w:val="21"/>
              </w:rPr>
              <w:t>的机动车</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49"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301" w:lineRule="exact"/>
              <w:ind w:left="274"/>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spacing w:val="1"/>
                <w:w w:val="84"/>
                <w:sz w:val="21"/>
              </w:rPr>
              <w:t>7</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302" w:lineRule="exact"/>
              <w:ind w:left="274"/>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355"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302" w:lineRule="exact"/>
              <w:ind w:left="274"/>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304"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84" w:lineRule="exact"/>
              <w:ind w:left="274"/>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发生上述情形导致被保险人发生疾病、达到疾病状态或进行手术的，本附加险合</w:t>
            </w:r>
          </w:p>
        </w:tc>
      </w:tr>
      <w:tr>
        <w:trPr>
          <w:trHeight w:val="273"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4" w:lineRule="exact"/>
              <w:ind w:left="274"/>
              <w:rPr>
                <w:rFonts w:ascii="Microsoft JhengHei" w:eastAsia="Microsoft JhengHei" w:hint="eastAsia"/>
                <w:b/>
                <w:sz w:val="21"/>
              </w:rPr>
            </w:pPr>
            <w:r>
              <w:rPr>
                <w:rFonts w:ascii="Microsoft JhengHei" w:eastAsia="Microsoft JhengHei" w:hint="eastAsia"/>
                <w:b/>
                <w:sz w:val="21"/>
              </w:rPr>
              <w:t>同终止，本公司将按本附加险合同所附《退费比例表》中所列比例向投保人退还</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66" w:lineRule="exact"/>
              <w:ind w:left="274"/>
              <w:rPr>
                <w:sz w:val="21"/>
              </w:rPr>
            </w:pPr>
            <w:r>
              <w:rPr>
                <w:rFonts w:ascii="Microsoft JhengHei" w:eastAsia="Microsoft JhengHei" w:hint="eastAsia"/>
                <w:b/>
                <w:sz w:val="21"/>
              </w:rPr>
              <w:t>该被保险人对应的保险费。</w:t>
            </w:r>
            <w:r>
              <w:rPr>
                <w:sz w:val="21"/>
              </w:rPr>
              <w:t> </w:t>
            </w:r>
          </w:p>
        </w:tc>
      </w:tr>
      <w:tr>
        <w:trPr>
          <w:trHeight w:val="411" w:hRule="atLeast"/>
        </w:trPr>
        <w:tc>
          <w:tcPr>
            <w:tcW w:w="623" w:type="dxa"/>
          </w:tcPr>
          <w:p>
            <w:pPr>
              <w:pStyle w:val="TableParagraph"/>
              <w:spacing w:before="4"/>
              <w:ind w:left="107"/>
              <w:rPr>
                <w:sz w:val="21"/>
              </w:rPr>
            </w:pPr>
            <w:r>
              <w:rPr>
                <w:w w:val="100"/>
                <w:sz w:val="21"/>
              </w:rPr>
              <w:t> </w:t>
            </w:r>
          </w:p>
        </w:tc>
        <w:tc>
          <w:tcPr>
            <w:tcW w:w="1939" w:type="dxa"/>
          </w:tcPr>
          <w:p>
            <w:pPr>
              <w:pStyle w:val="TableParagraph"/>
              <w:spacing w:before="4"/>
              <w:ind w:left="219"/>
              <w:rPr>
                <w:sz w:val="21"/>
              </w:rPr>
            </w:pPr>
            <w:r>
              <w:rPr>
                <w:w w:val="100"/>
                <w:sz w:val="21"/>
              </w:rPr>
              <w:t> </w:t>
            </w:r>
          </w:p>
        </w:tc>
        <w:tc>
          <w:tcPr>
            <w:tcW w:w="7727" w:type="dxa"/>
          </w:tcPr>
          <w:p>
            <w:pPr>
              <w:pStyle w:val="TableParagraph"/>
              <w:spacing w:before="4"/>
              <w:ind w:left="274"/>
              <w:rPr>
                <w:sz w:val="21"/>
              </w:rPr>
            </w:pPr>
            <w:r>
              <w:rPr>
                <w:w w:val="100"/>
                <w:sz w:val="21"/>
              </w:rPr>
              <w:t> </w:t>
            </w:r>
          </w:p>
        </w:tc>
      </w:tr>
      <w:tr>
        <w:trPr>
          <w:trHeight w:val="527" w:hRule="atLeast"/>
        </w:trPr>
        <w:tc>
          <w:tcPr>
            <w:tcW w:w="623" w:type="dxa"/>
            <w:tcBorders>
              <w:bottom w:val="single" w:sz="8" w:space="0" w:color="000000"/>
            </w:tcBorders>
          </w:tcPr>
          <w:p>
            <w:pPr>
              <w:pStyle w:val="TableParagraph"/>
              <w:spacing w:line="507" w:lineRule="exact"/>
              <w:ind w:left="109"/>
              <w:rPr>
                <w:rFonts w:ascii="Times New Roman"/>
                <w:b/>
                <w:sz w:val="52"/>
              </w:rPr>
            </w:pPr>
            <w:r>
              <w:rPr>
                <w:rFonts w:ascii="Times New Roman"/>
                <w:b/>
                <w:w w:val="100"/>
                <w:sz w:val="52"/>
              </w:rPr>
              <w:t>w</w:t>
            </w:r>
          </w:p>
        </w:tc>
        <w:tc>
          <w:tcPr>
            <w:tcW w:w="1939" w:type="dxa"/>
            <w:tcBorders>
              <w:bottom w:val="single" w:sz="8" w:space="0" w:color="000000"/>
            </w:tcBorders>
          </w:tcPr>
          <w:p>
            <w:pPr>
              <w:pStyle w:val="TableParagraph"/>
              <w:spacing w:line="399" w:lineRule="exact"/>
              <w:ind w:left="219"/>
              <w:rPr>
                <w:rFonts w:ascii="Microsoft JhengHei" w:eastAsia="Microsoft JhengHei" w:hint="eastAsia"/>
                <w:b/>
                <w:sz w:val="24"/>
              </w:rPr>
            </w:pPr>
            <w:r>
              <w:rPr>
                <w:rFonts w:ascii="Microsoft JhengHei" w:eastAsia="Microsoft JhengHei" w:hint="eastAsia"/>
                <w:b/>
                <w:sz w:val="24"/>
              </w:rPr>
              <w:t>保险金的申请</w:t>
            </w:r>
          </w:p>
        </w:tc>
        <w:tc>
          <w:tcPr>
            <w:tcW w:w="7727" w:type="dxa"/>
            <w:tcBorders>
              <w:bottom w:val="single" w:sz="8" w:space="0" w:color="000000"/>
            </w:tcBorders>
          </w:tcPr>
          <w:p>
            <w:pPr>
              <w:pStyle w:val="TableParagraph"/>
              <w:rPr>
                <w:rFonts w:ascii="Times New Roman"/>
                <w:sz w:val="20"/>
              </w:rPr>
            </w:pPr>
          </w:p>
        </w:tc>
      </w:tr>
      <w:tr>
        <w:trPr>
          <w:trHeight w:val="386" w:hRule="atLeast"/>
        </w:trPr>
        <w:tc>
          <w:tcPr>
            <w:tcW w:w="623" w:type="dxa"/>
            <w:tcBorders>
              <w:top w:val="single" w:sz="8" w:space="0" w:color="000000"/>
            </w:tcBorders>
          </w:tcPr>
          <w:p>
            <w:pPr>
              <w:pStyle w:val="TableParagraph"/>
              <w:spacing w:before="42"/>
              <w:ind w:left="108"/>
              <w:rPr>
                <w:sz w:val="21"/>
              </w:rPr>
            </w:pPr>
            <w:r>
              <w:rPr>
                <w:w w:val="100"/>
                <w:sz w:val="21"/>
              </w:rPr>
              <w:t> </w:t>
            </w:r>
          </w:p>
        </w:tc>
        <w:tc>
          <w:tcPr>
            <w:tcW w:w="1939" w:type="dxa"/>
            <w:tcBorders>
              <w:top w:val="single" w:sz="8" w:space="0" w:color="000000"/>
            </w:tcBorders>
          </w:tcPr>
          <w:p>
            <w:pPr>
              <w:pStyle w:val="TableParagraph"/>
              <w:spacing w:before="42"/>
              <w:ind w:left="219"/>
              <w:rPr>
                <w:sz w:val="21"/>
              </w:rPr>
            </w:pPr>
            <w:r>
              <w:rPr>
                <w:w w:val="100"/>
                <w:sz w:val="21"/>
              </w:rPr>
              <w:t> </w:t>
            </w:r>
          </w:p>
        </w:tc>
        <w:tc>
          <w:tcPr>
            <w:tcW w:w="7727" w:type="dxa"/>
            <w:tcBorders>
              <w:top w:val="single" w:sz="8" w:space="0" w:color="000000"/>
            </w:tcBorders>
          </w:tcPr>
          <w:p>
            <w:pPr>
              <w:pStyle w:val="TableParagraph"/>
              <w:spacing w:before="42"/>
              <w:ind w:left="274"/>
              <w:rPr>
                <w:sz w:val="21"/>
              </w:rPr>
            </w:pPr>
            <w:r>
              <w:rPr>
                <w:w w:val="100"/>
                <w:sz w:val="21"/>
              </w:rPr>
              <w:t> </w:t>
            </w:r>
          </w:p>
        </w:tc>
      </w:tr>
      <w:tr>
        <w:trPr>
          <w:trHeight w:val="350" w:hRule="atLeast"/>
        </w:trPr>
        <w:tc>
          <w:tcPr>
            <w:tcW w:w="623" w:type="dxa"/>
          </w:tcPr>
          <w:p>
            <w:pPr>
              <w:pStyle w:val="TableParagraph"/>
              <w:spacing w:line="305" w:lineRule="exact"/>
              <w:ind w:left="107"/>
              <w:rPr>
                <w:rFonts w:ascii="Microsoft JhengHei"/>
                <w:b/>
                <w:sz w:val="21"/>
              </w:rPr>
            </w:pPr>
            <w:r>
              <w:rPr>
                <w:rFonts w:ascii="Microsoft JhengHei"/>
                <w:b/>
                <w:w w:val="90"/>
                <w:sz w:val="21"/>
              </w:rPr>
              <w:t>3. 1</w:t>
            </w:r>
          </w:p>
        </w:tc>
        <w:tc>
          <w:tcPr>
            <w:tcW w:w="1939" w:type="dxa"/>
          </w:tcPr>
          <w:p>
            <w:pPr>
              <w:pStyle w:val="TableParagraph"/>
              <w:spacing w:line="305" w:lineRule="exact"/>
              <w:ind w:left="219"/>
              <w:rPr>
                <w:rFonts w:ascii="Microsoft JhengHei" w:eastAsia="Microsoft JhengHei" w:hint="eastAsia"/>
                <w:b/>
                <w:sz w:val="21"/>
              </w:rPr>
            </w:pPr>
            <w:r>
              <w:rPr>
                <w:rFonts w:ascii="Microsoft JhengHei" w:eastAsia="Microsoft JhengHei" w:hint="eastAsia"/>
                <w:b/>
                <w:sz w:val="21"/>
              </w:rPr>
              <w:t>受益人</w:t>
            </w:r>
          </w:p>
        </w:tc>
        <w:tc>
          <w:tcPr>
            <w:tcW w:w="7727" w:type="dxa"/>
          </w:tcPr>
          <w:p>
            <w:pPr>
              <w:pStyle w:val="TableParagraph"/>
              <w:spacing w:before="6"/>
              <w:ind w:left="274"/>
              <w:rPr>
                <w:sz w:val="21"/>
              </w:rPr>
            </w:pPr>
            <w:r>
              <w:rPr>
                <w:sz w:val="21"/>
              </w:rPr>
              <w:t>除本附加险合同另有指定外，重大疾病保险金的受益人为被保险人本人。</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6"/>
              <w:ind w:left="274"/>
              <w:rPr>
                <w:sz w:val="21"/>
              </w:rPr>
            </w:pPr>
            <w:r>
              <w:rPr>
                <w:sz w:val="21"/>
              </w:rPr>
              <w:t>被保险人为无民事行为能力人或限制民事行为能力人的，可以由其监护人指定受</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42" w:lineRule="exact"/>
              <w:ind w:left="274"/>
              <w:rPr>
                <w:sz w:val="21"/>
              </w:rPr>
            </w:pPr>
            <w:r>
              <w:rPr>
                <w:sz w:val="21"/>
              </w:rPr>
              <w:t>益人。</w:t>
            </w:r>
          </w:p>
        </w:tc>
      </w:tr>
      <w:tr>
        <w:trPr>
          <w:trHeight w:val="311"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6"/>
              <w:ind w:left="274"/>
              <w:rPr>
                <w:sz w:val="21"/>
              </w:rPr>
            </w:pPr>
            <w:r>
              <w:rPr>
                <w:sz w:val="21"/>
              </w:rPr>
              <w:t>受益人为数人的，被保险人或者投保人可以确定受益顺序和受益份额；未确定受</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42" w:lineRule="exact"/>
              <w:ind w:left="274"/>
              <w:rPr>
                <w:sz w:val="21"/>
              </w:rPr>
            </w:pPr>
            <w:r>
              <w:rPr>
                <w:sz w:val="21"/>
              </w:rPr>
              <w:t>益份额的，受益人按照相等份额享有受益权。</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4"/>
              <w:ind w:left="274"/>
              <w:rPr>
                <w:sz w:val="21"/>
              </w:rPr>
            </w:pPr>
            <w:r>
              <w:rPr>
                <w:sz w:val="21"/>
              </w:rPr>
              <w:t>投保人或者被保险人可以变更受益人并书面通知本公司。本公司收到变更受益人</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42" w:lineRule="exact"/>
              <w:ind w:left="274"/>
              <w:rPr>
                <w:sz w:val="21"/>
              </w:rPr>
            </w:pPr>
            <w:r>
              <w:rPr>
                <w:sz w:val="21"/>
              </w:rPr>
              <w:t>的书面通知后，在保险单或者其他保险凭证上批注或者附贴批单。 </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6"/>
              <w:ind w:left="274"/>
              <w:rPr>
                <w:sz w:val="21"/>
              </w:rPr>
            </w:pPr>
            <w:r>
              <w:rPr>
                <w:sz w:val="21"/>
              </w:rPr>
              <w:t>投保人在指定或变更受益人时须经被保险人同意。 </w:t>
            </w:r>
          </w:p>
        </w:tc>
      </w:tr>
      <w:tr>
        <w:trPr>
          <w:trHeight w:val="311"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6"/>
              <w:ind w:left="274"/>
              <w:rPr>
                <w:sz w:val="21"/>
              </w:rPr>
            </w:pPr>
            <w:r>
              <w:rPr>
                <w:sz w:val="21"/>
              </w:rPr>
              <w:t>被保险人身故后，遇有下列情形之一的，保险金作为被保险人的遗产，由本公司</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42" w:lineRule="exact"/>
              <w:ind w:left="274"/>
              <w:rPr>
                <w:sz w:val="21"/>
              </w:rPr>
            </w:pPr>
            <w:r>
              <w:rPr>
                <w:sz w:val="21"/>
              </w:rPr>
              <w:t>依照《中华人民共和国继承法》的规定履行给付保险金的义务： </w:t>
            </w:r>
          </w:p>
        </w:tc>
      </w:tr>
      <w:tr>
        <w:trPr>
          <w:trHeight w:val="349"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4"/>
              <w:ind w:left="274"/>
              <w:rPr>
                <w:sz w:val="21"/>
              </w:rPr>
            </w:pPr>
            <w:r>
              <w:rPr>
                <w:sz w:val="21"/>
              </w:rPr>
              <w:t>（1）没有指定受益人，或者受益人指定不明无法确定的；  </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6"/>
              <w:ind w:left="274"/>
              <w:rPr>
                <w:sz w:val="21"/>
              </w:rPr>
            </w:pPr>
            <w:r>
              <w:rPr>
                <w:sz w:val="21"/>
              </w:rPr>
              <w:t>（2）受益人先于被保险人身故，没有其他受益人的； </w:t>
            </w:r>
          </w:p>
        </w:tc>
      </w:tr>
      <w:tr>
        <w:trPr>
          <w:trHeight w:val="35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6"/>
              <w:ind w:left="274"/>
              <w:rPr>
                <w:sz w:val="21"/>
              </w:rPr>
            </w:pPr>
            <w:r>
              <w:rPr>
                <w:sz w:val="21"/>
              </w:rPr>
              <w:t>（3）受益人依法丧失受益权或者放弃受益权，没有其他受益人的。 </w:t>
            </w:r>
          </w:p>
        </w:tc>
      </w:tr>
      <w:tr>
        <w:trPr>
          <w:trHeight w:val="31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before="6"/>
              <w:ind w:left="274"/>
              <w:rPr>
                <w:sz w:val="21"/>
              </w:rPr>
            </w:pPr>
            <w:r>
              <w:rPr>
                <w:sz w:val="21"/>
              </w:rPr>
              <w:t>受益人与被保险人在同一事件中身故，且不能确定身故顺序的，推定受益人身故</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42" w:lineRule="exact"/>
              <w:ind w:left="274"/>
              <w:rPr>
                <w:sz w:val="21"/>
              </w:rPr>
            </w:pPr>
            <w:r>
              <w:rPr>
                <w:sz w:val="21"/>
              </w:rPr>
              <w:t>在先。 </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91" w:lineRule="exact"/>
              <w:ind w:left="274"/>
              <w:rPr>
                <w:rFonts w:ascii="Microsoft JhengHei" w:eastAsia="Microsoft JhengHei" w:hint="eastAsia"/>
                <w:b/>
                <w:sz w:val="21"/>
              </w:rPr>
            </w:pPr>
            <w:r>
              <w:rPr>
                <w:rFonts w:ascii="Microsoft JhengHei" w:eastAsia="Microsoft JhengHei" w:hint="eastAsia"/>
                <w:b/>
                <w:sz w:val="21"/>
              </w:rPr>
              <w:t>受益人故意造成被保险人死亡、伤残、疾病的，或者故意杀害被保险人未遂的，</w:t>
            </w:r>
          </w:p>
        </w:tc>
      </w:tr>
      <w:tr>
        <w:trPr>
          <w:trHeight w:val="311"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66" w:lineRule="exact"/>
              <w:ind w:left="274"/>
              <w:rPr>
                <w:rFonts w:ascii="Microsoft JhengHei" w:eastAsia="Microsoft JhengHei" w:hint="eastAsia"/>
                <w:b/>
                <w:sz w:val="21"/>
              </w:rPr>
            </w:pPr>
            <w:r>
              <w:rPr>
                <w:rFonts w:ascii="Microsoft JhengHei" w:eastAsia="Microsoft JhengHei" w:hint="eastAsia"/>
                <w:b/>
                <w:sz w:val="21"/>
              </w:rPr>
              <w:t>该受益人丧失受益权。</w:t>
            </w:r>
          </w:p>
        </w:tc>
      </w:tr>
      <w:tr>
        <w:trPr>
          <w:trHeight w:val="345" w:hRule="atLeast"/>
        </w:trPr>
        <w:tc>
          <w:tcPr>
            <w:tcW w:w="623" w:type="dxa"/>
          </w:tcPr>
          <w:p>
            <w:pPr>
              <w:pStyle w:val="TableParagraph"/>
              <w:spacing w:before="6"/>
              <w:ind w:left="108"/>
              <w:rPr>
                <w:sz w:val="21"/>
              </w:rPr>
            </w:pPr>
            <w:r>
              <w:rPr>
                <w:w w:val="100"/>
                <w:sz w:val="21"/>
              </w:rPr>
              <w:t> </w:t>
            </w:r>
          </w:p>
        </w:tc>
        <w:tc>
          <w:tcPr>
            <w:tcW w:w="1939" w:type="dxa"/>
          </w:tcPr>
          <w:p>
            <w:pPr>
              <w:pStyle w:val="TableParagraph"/>
              <w:spacing w:before="6"/>
              <w:ind w:left="219"/>
              <w:rPr>
                <w:sz w:val="21"/>
              </w:rPr>
            </w:pPr>
            <w:r>
              <w:rPr>
                <w:w w:val="100"/>
                <w:sz w:val="21"/>
              </w:rPr>
              <w:t> </w:t>
            </w:r>
          </w:p>
        </w:tc>
        <w:tc>
          <w:tcPr>
            <w:tcW w:w="7727" w:type="dxa"/>
          </w:tcPr>
          <w:p>
            <w:pPr>
              <w:pStyle w:val="TableParagraph"/>
              <w:spacing w:before="6"/>
              <w:ind w:left="274"/>
              <w:rPr>
                <w:sz w:val="21"/>
              </w:rPr>
            </w:pPr>
            <w:r>
              <w:rPr>
                <w:w w:val="100"/>
                <w:sz w:val="21"/>
              </w:rPr>
              <w:t> </w:t>
            </w:r>
          </w:p>
        </w:tc>
      </w:tr>
      <w:tr>
        <w:trPr>
          <w:trHeight w:val="362" w:hRule="atLeast"/>
        </w:trPr>
        <w:tc>
          <w:tcPr>
            <w:tcW w:w="623" w:type="dxa"/>
          </w:tcPr>
          <w:p>
            <w:pPr>
              <w:pStyle w:val="TableParagraph"/>
              <w:spacing w:line="309" w:lineRule="exact"/>
              <w:ind w:left="108"/>
              <w:rPr>
                <w:rFonts w:ascii="Microsoft JhengHei"/>
                <w:b/>
                <w:sz w:val="21"/>
              </w:rPr>
            </w:pPr>
            <w:r>
              <w:rPr>
                <w:rFonts w:ascii="Microsoft JhengHei"/>
                <w:b/>
                <w:w w:val="90"/>
                <w:sz w:val="21"/>
              </w:rPr>
              <w:t>3. 2</w:t>
            </w:r>
          </w:p>
        </w:tc>
        <w:tc>
          <w:tcPr>
            <w:tcW w:w="1939"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保险事故通知</w:t>
            </w:r>
          </w:p>
        </w:tc>
        <w:tc>
          <w:tcPr>
            <w:tcW w:w="7727" w:type="dxa"/>
          </w:tcPr>
          <w:p>
            <w:pPr>
              <w:pStyle w:val="TableParagraph"/>
              <w:spacing w:before="10"/>
              <w:ind w:left="274"/>
              <w:rPr>
                <w:sz w:val="21"/>
              </w:rPr>
            </w:pPr>
            <w:r>
              <w:rPr>
                <w:sz w:val="21"/>
              </w:rPr>
              <w:t>请投保人或受益人在知道保险事故发生后 10 日内通知本公司。 </w:t>
            </w:r>
          </w:p>
        </w:tc>
      </w:tr>
      <w:tr>
        <w:trPr>
          <w:trHeight w:val="304"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84" w:lineRule="exact"/>
              <w:ind w:left="274"/>
              <w:rPr>
                <w:rFonts w:ascii="Microsoft JhengHei" w:eastAsia="Microsoft JhengHei" w:hint="eastAsia"/>
                <w:b/>
                <w:sz w:val="21"/>
              </w:rPr>
            </w:pPr>
            <w:r>
              <w:rPr>
                <w:rFonts w:ascii="Microsoft JhengHei" w:eastAsia="Microsoft JhengHei" w:hint="eastAsia"/>
                <w:b/>
                <w:sz w:val="21"/>
              </w:rPr>
              <w:t>如果投保人或受益人故意或者因重大过失未及时通知，致使保险事故的性质、原</w:t>
            </w:r>
          </w:p>
        </w:tc>
      </w:tr>
      <w:tr>
        <w:trPr>
          <w:trHeight w:val="27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2" w:lineRule="exact"/>
              <w:ind w:left="274"/>
              <w:rPr>
                <w:rFonts w:ascii="Microsoft JhengHei" w:eastAsia="Microsoft JhengHei" w:hint="eastAsia"/>
                <w:b/>
                <w:sz w:val="21"/>
              </w:rPr>
            </w:pPr>
            <w:r>
              <w:rPr>
                <w:rFonts w:ascii="Microsoft JhengHei" w:eastAsia="Microsoft JhengHei" w:hint="eastAsia"/>
                <w:b/>
                <w:sz w:val="21"/>
              </w:rPr>
              <w:t>因、损失程度等难以确定的，本公司对无法确定的部分，不承担给付保险金的责</w:t>
            </w:r>
          </w:p>
        </w:tc>
      </w:tr>
      <w:tr>
        <w:trPr>
          <w:trHeight w:val="272"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52" w:lineRule="exact"/>
              <w:ind w:left="274"/>
              <w:rPr>
                <w:sz w:val="21"/>
              </w:rPr>
            </w:pPr>
            <w:r>
              <w:rPr>
                <w:rFonts w:ascii="Microsoft JhengHei" w:eastAsia="Microsoft JhengHei" w:hint="eastAsia"/>
                <w:b/>
                <w:sz w:val="21"/>
              </w:rPr>
              <w:t>任，</w:t>
            </w:r>
            <w:r>
              <w:rPr>
                <w:sz w:val="21"/>
              </w:rPr>
              <w:t>但本公司通过其他途径已经及时知道或者应当及时知道保险事故发生或者虽</w:t>
            </w:r>
          </w:p>
        </w:tc>
      </w:tr>
      <w:tr>
        <w:trPr>
          <w:trHeight w:val="310" w:hRule="atLeast"/>
        </w:trPr>
        <w:tc>
          <w:tcPr>
            <w:tcW w:w="623" w:type="dxa"/>
          </w:tcPr>
          <w:p>
            <w:pPr>
              <w:pStyle w:val="TableParagraph"/>
              <w:rPr>
                <w:rFonts w:ascii="Times New Roman"/>
                <w:sz w:val="20"/>
              </w:rPr>
            </w:pPr>
          </w:p>
        </w:tc>
        <w:tc>
          <w:tcPr>
            <w:tcW w:w="1939" w:type="dxa"/>
          </w:tcPr>
          <w:p>
            <w:pPr>
              <w:pStyle w:val="TableParagraph"/>
              <w:rPr>
                <w:rFonts w:ascii="Times New Roman"/>
                <w:sz w:val="20"/>
              </w:rPr>
            </w:pPr>
          </w:p>
        </w:tc>
        <w:tc>
          <w:tcPr>
            <w:tcW w:w="7727" w:type="dxa"/>
          </w:tcPr>
          <w:p>
            <w:pPr>
              <w:pStyle w:val="TableParagraph"/>
              <w:spacing w:line="242" w:lineRule="exact"/>
              <w:ind w:left="274"/>
              <w:rPr>
                <w:sz w:val="21"/>
              </w:rPr>
            </w:pPr>
            <w:r>
              <w:rPr>
                <w:sz w:val="21"/>
              </w:rPr>
              <w:t>未及时通知但不影响本公司确定保险事故的性质、原因、损失程度的除外。 </w:t>
            </w:r>
          </w:p>
        </w:tc>
      </w:tr>
      <w:tr>
        <w:trPr>
          <w:trHeight w:val="279" w:hRule="atLeast"/>
        </w:trPr>
        <w:tc>
          <w:tcPr>
            <w:tcW w:w="623" w:type="dxa"/>
          </w:tcPr>
          <w:p>
            <w:pPr>
              <w:pStyle w:val="TableParagraph"/>
              <w:spacing w:line="255" w:lineRule="exact" w:before="4"/>
              <w:ind w:left="108"/>
              <w:rPr>
                <w:sz w:val="21"/>
              </w:rPr>
            </w:pPr>
            <w:r>
              <w:rPr>
                <w:w w:val="100"/>
                <w:sz w:val="21"/>
              </w:rPr>
              <w:t> </w:t>
            </w:r>
          </w:p>
        </w:tc>
        <w:tc>
          <w:tcPr>
            <w:tcW w:w="1939" w:type="dxa"/>
          </w:tcPr>
          <w:p>
            <w:pPr>
              <w:pStyle w:val="TableParagraph"/>
              <w:spacing w:line="255" w:lineRule="exact" w:before="4"/>
              <w:ind w:left="219"/>
              <w:rPr>
                <w:sz w:val="21"/>
              </w:rPr>
            </w:pPr>
            <w:r>
              <w:rPr>
                <w:w w:val="100"/>
                <w:sz w:val="21"/>
              </w:rPr>
              <w:t> </w:t>
            </w:r>
          </w:p>
        </w:tc>
        <w:tc>
          <w:tcPr>
            <w:tcW w:w="7727" w:type="dxa"/>
          </w:tcPr>
          <w:p>
            <w:pPr>
              <w:pStyle w:val="TableParagraph"/>
              <w:spacing w:line="255" w:lineRule="exact" w:before="4"/>
              <w:ind w:left="274"/>
              <w:rPr>
                <w:sz w:val="21"/>
              </w:rPr>
            </w:pPr>
            <w:r>
              <w:rPr>
                <w:w w:val="100"/>
                <w:sz w:val="21"/>
              </w:rPr>
              <w:t> </w:t>
            </w:r>
          </w:p>
        </w:tc>
      </w:tr>
    </w:tbl>
    <w:p>
      <w:pPr>
        <w:spacing w:after="0" w:line="255" w:lineRule="exact"/>
        <w:rPr>
          <w:sz w:val="21"/>
        </w:rPr>
        <w:sectPr>
          <w:pgSz w:w="11900" w:h="16840"/>
          <w:pgMar w:header="0" w:footer="724" w:top="1180" w:bottom="920" w:left="1000" w:right="400"/>
        </w:sectPr>
      </w:pPr>
    </w:p>
    <w:p>
      <w:pPr>
        <w:tabs>
          <w:tab w:pos="946" w:val="left" w:leader="none"/>
          <w:tab w:pos="2940" w:val="left" w:leader="none"/>
        </w:tabs>
        <w:spacing w:line="323" w:lineRule="exact" w:before="0"/>
        <w:ind w:left="212" w:right="0" w:firstLine="0"/>
        <w:jc w:val="left"/>
        <w:rPr>
          <w:sz w:val="21"/>
        </w:rPr>
      </w:pPr>
      <w:r>
        <w:rPr>
          <w:rFonts w:ascii="Microsoft JhengHei" w:eastAsia="Microsoft JhengHei" w:hint="eastAsia"/>
          <w:b/>
          <w:sz w:val="21"/>
        </w:rPr>
        <w:t>3.</w:t>
      </w:r>
      <w:r>
        <w:rPr>
          <w:rFonts w:ascii="Microsoft JhengHei" w:eastAsia="Microsoft JhengHei" w:hint="eastAsia"/>
          <w:b/>
          <w:spacing w:val="-33"/>
          <w:sz w:val="21"/>
        </w:rPr>
        <w:t> </w:t>
      </w:r>
      <w:r>
        <w:rPr>
          <w:rFonts w:ascii="Microsoft JhengHei" w:eastAsia="Microsoft JhengHei" w:hint="eastAsia"/>
          <w:b/>
          <w:sz w:val="21"/>
        </w:rPr>
        <w:t>3</w:t>
        <w:tab/>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r>
        <w:rPr>
          <w:spacing w:val="-3"/>
          <w:sz w:val="21"/>
        </w:rPr>
        <w:t>：</w:t>
      </w:r>
      <w:r>
        <w:rPr>
          <w:sz w:val="21"/>
        </w:rPr>
        <w:t> </w:t>
      </w:r>
    </w:p>
    <w:p>
      <w:pPr>
        <w:pStyle w:val="BodyText"/>
        <w:spacing w:before="51"/>
        <w:ind w:left="212"/>
      </w:pPr>
      <w:r>
        <w:rPr>
          <w:w w:val="100"/>
        </w:rPr>
        <w:t> </w:t>
      </w:r>
    </w:p>
    <w:p>
      <w:pPr>
        <w:spacing w:after="0"/>
        <w:sectPr>
          <w:pgSz w:w="11900" w:h="16840"/>
          <w:pgMar w:header="0" w:footer="724" w:top="1100" w:bottom="920" w:left="1000" w:right="400"/>
        </w:sectPr>
      </w:pPr>
    </w:p>
    <w:p>
      <w:pPr>
        <w:pStyle w:val="Heading3"/>
        <w:tabs>
          <w:tab w:pos="946" w:val="left" w:leader="none"/>
        </w:tabs>
        <w:spacing w:line="180" w:lineRule="auto" w:before="89"/>
        <w:ind w:left="946" w:hanging="735"/>
      </w:pPr>
      <w:r>
        <w:rPr>
          <w:rFonts w:ascii="宋体" w:eastAsia="宋体" w:hint="eastAsia"/>
          <w:b w:val="0"/>
          <w:w w:val="100"/>
        </w:rPr>
        <w:t> </w:t>
      </w:r>
      <w:r>
        <w:rPr>
          <w:rFonts w:ascii="宋体" w:eastAsia="宋体" w:hint="eastAsia"/>
          <w:b w:val="0"/>
        </w:rPr>
        <w:tab/>
      </w:r>
      <w:r>
        <w:rPr>
          <w:spacing w:val="-2"/>
          <w:position w:val="2"/>
        </w:rPr>
        <w:t>重大疾病保险金申 </w:t>
      </w:r>
      <w:r>
        <w:rPr>
          <w:spacing w:val="-2"/>
        </w:rPr>
        <w:t>请</w:t>
      </w:r>
    </w:p>
    <w:p>
      <w:pPr>
        <w:pStyle w:val="BodyText"/>
        <w:spacing w:before="103"/>
        <w:ind w:left="212"/>
      </w:pPr>
      <w:r>
        <w:rPr/>
        <w:br w:type="column"/>
      </w:r>
      <w:r>
        <w:rPr/>
        <w:t>在申请重大疾病保险金时，申请人须填写保险金给付申请书，并提供下列证明和</w:t>
      </w:r>
    </w:p>
    <w:p>
      <w:pPr>
        <w:pStyle w:val="BodyText"/>
        <w:spacing w:before="36"/>
        <w:ind w:left="212"/>
      </w:pPr>
      <w:r>
        <w:rPr/>
        <w:t>资料： </w:t>
      </w:r>
    </w:p>
    <w:p>
      <w:pPr>
        <w:pStyle w:val="BodyText"/>
        <w:spacing w:before="92"/>
        <w:ind w:left="212"/>
      </w:pPr>
      <w:r>
        <w:rPr/>
        <w:t>（1）保险合同； </w:t>
      </w:r>
    </w:p>
    <w:p>
      <w:pPr>
        <w:spacing w:before="9"/>
        <w:ind w:left="212" w:right="0" w:firstLine="0"/>
        <w:jc w:val="left"/>
        <w:rPr>
          <w:sz w:val="21"/>
        </w:rPr>
      </w:pPr>
      <w:r>
        <w:rPr>
          <w:w w:val="100"/>
          <w:sz w:val="21"/>
        </w:rPr>
        <w:t>（2</w:t>
      </w:r>
      <w:r>
        <w:rPr>
          <w:spacing w:val="-3"/>
          <w:w w:val="100"/>
          <w:sz w:val="21"/>
        </w:rPr>
        <w:t>）申请人的</w:t>
      </w:r>
      <w:r>
        <w:rPr>
          <w:rFonts w:ascii="Microsoft JhengHei" w:eastAsia="Microsoft JhengHei" w:hint="eastAsia"/>
          <w:b/>
          <w:spacing w:val="-1"/>
          <w:w w:val="100"/>
          <w:sz w:val="21"/>
        </w:rPr>
        <w:t>有效身份证件</w:t>
      </w:r>
      <w:r>
        <w:rPr>
          <w:w w:val="100"/>
          <w:sz w:val="21"/>
        </w:rPr>
        <w:t>（见</w:t>
      </w:r>
      <w:r>
        <w:rPr>
          <w:spacing w:val="-55"/>
          <w:sz w:val="21"/>
        </w:rPr>
        <w:t> </w:t>
      </w:r>
      <w:r>
        <w:rPr>
          <w:w w:val="100"/>
          <w:sz w:val="21"/>
        </w:rPr>
        <w:t>7.13</w:t>
      </w:r>
      <w:r>
        <w:rPr>
          <w:spacing w:val="-108"/>
          <w:w w:val="100"/>
          <w:sz w:val="21"/>
        </w:rPr>
        <w:t>）</w:t>
      </w:r>
      <w:r>
        <w:rPr>
          <w:spacing w:val="-3"/>
          <w:w w:val="100"/>
          <w:sz w:val="21"/>
        </w:rPr>
        <w:t>；</w:t>
      </w:r>
      <w:r>
        <w:rPr>
          <w:w w:val="100"/>
          <w:sz w:val="21"/>
        </w:rPr>
        <w:t> </w:t>
      </w:r>
    </w:p>
    <w:p>
      <w:pPr>
        <w:pStyle w:val="BodyText"/>
        <w:spacing w:before="52"/>
        <w:ind w:left="737" w:right="215" w:hanging="526"/>
      </w:pPr>
      <w:r>
        <w:rPr>
          <w:spacing w:val="-6"/>
        </w:rPr>
        <w:t>（3）</w:t>
      </w:r>
      <w:r>
        <w:rPr>
          <w:spacing w:val="-4"/>
        </w:rPr>
        <w:t>医疗机构根据本附加险合同释义中</w:t>
      </w:r>
      <w:r>
        <w:rPr/>
        <w:t>“7.5</w:t>
      </w:r>
      <w:r>
        <w:rPr>
          <w:spacing w:val="-9"/>
        </w:rPr>
        <w:t> 重大疾病”定义，出具的被保险人</w:t>
      </w:r>
      <w:r>
        <w:rPr>
          <w:spacing w:val="-3"/>
        </w:rPr>
        <w:t>的病历、必要病理检验、血液检验及其他科学诊断报告或手术证明；</w:t>
      </w:r>
      <w:r>
        <w:rPr/>
        <w:t> </w:t>
      </w:r>
    </w:p>
    <w:p>
      <w:pPr>
        <w:pStyle w:val="BodyText"/>
        <w:spacing w:before="73"/>
        <w:ind w:left="212"/>
      </w:pPr>
      <w:r>
        <w:rPr/>
        <w:t>（4）所能够提供的与确认保险事故的性质、原因、伤害程度等有关的其他证明</w:t>
      </w:r>
    </w:p>
    <w:p>
      <w:pPr>
        <w:spacing w:after="0"/>
        <w:sectPr>
          <w:type w:val="continuous"/>
          <w:pgSz w:w="11900" w:h="16840"/>
          <w:pgMar w:top="360" w:bottom="280" w:left="1000" w:right="400"/>
          <w:cols w:num="2" w:equalWidth="0">
            <w:col w:w="2632" w:space="97"/>
            <w:col w:w="7771"/>
          </w:cols>
        </w:sectPr>
      </w:pPr>
    </w:p>
    <w:p>
      <w:pPr>
        <w:pStyle w:val="BodyText"/>
        <w:spacing w:before="9"/>
        <w:ind w:left="0"/>
        <w:rPr>
          <w:sz w:val="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3"/>
        <w:gridCol w:w="2051"/>
        <w:gridCol w:w="7613"/>
      </w:tblGrid>
      <w:tr>
        <w:trPr>
          <w:trHeight w:val="28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11" w:lineRule="exact"/>
              <w:ind w:left="688"/>
              <w:rPr>
                <w:sz w:val="21"/>
              </w:rPr>
            </w:pPr>
            <w:r>
              <w:rPr>
                <w:sz w:val="21"/>
              </w:rPr>
              <w:t>和资料。 </w:t>
            </w:r>
          </w:p>
        </w:tc>
      </w:tr>
      <w:tr>
        <w:trPr>
          <w:trHeight w:val="350" w:hRule="atLeast"/>
        </w:trPr>
        <w:tc>
          <w:tcPr>
            <w:tcW w:w="623" w:type="dxa"/>
          </w:tcPr>
          <w:p>
            <w:pPr>
              <w:pStyle w:val="TableParagraph"/>
              <w:spacing w:before="6"/>
              <w:ind w:left="108"/>
              <w:rPr>
                <w:sz w:val="21"/>
              </w:rPr>
            </w:pPr>
            <w:r>
              <w:rPr>
                <w:w w:val="100"/>
                <w:sz w:val="21"/>
              </w:rPr>
              <w:t> </w:t>
            </w:r>
          </w:p>
        </w:tc>
        <w:tc>
          <w:tcPr>
            <w:tcW w:w="2051" w:type="dxa"/>
          </w:tcPr>
          <w:p>
            <w:pPr>
              <w:pStyle w:val="TableParagraph"/>
              <w:rPr>
                <w:rFonts w:ascii="Times New Roman"/>
                <w:sz w:val="20"/>
              </w:rPr>
            </w:pPr>
          </w:p>
        </w:tc>
        <w:tc>
          <w:tcPr>
            <w:tcW w:w="7613" w:type="dxa"/>
          </w:tcPr>
          <w:p>
            <w:pPr>
              <w:pStyle w:val="TableParagraph"/>
              <w:rPr>
                <w:rFonts w:ascii="Times New Roman"/>
                <w:sz w:val="20"/>
              </w:rPr>
            </w:pPr>
          </w:p>
        </w:tc>
      </w:tr>
      <w:tr>
        <w:trPr>
          <w:trHeight w:val="356" w:hRule="atLeast"/>
        </w:trPr>
        <w:tc>
          <w:tcPr>
            <w:tcW w:w="623" w:type="dxa"/>
          </w:tcPr>
          <w:p>
            <w:pPr>
              <w:pStyle w:val="TableParagraph"/>
              <w:spacing w:before="10"/>
              <w:ind w:left="108"/>
              <w:rPr>
                <w:sz w:val="21"/>
              </w:rPr>
            </w:pPr>
            <w:r>
              <w:rPr>
                <w:w w:val="100"/>
                <w:sz w:val="21"/>
              </w:rPr>
              <w:t> </w:t>
            </w:r>
          </w:p>
        </w:tc>
        <w:tc>
          <w:tcPr>
            <w:tcW w:w="2051" w:type="dxa"/>
          </w:tcPr>
          <w:p>
            <w:pPr>
              <w:pStyle w:val="TableParagraph"/>
              <w:spacing w:line="292" w:lineRule="exact"/>
              <w:ind w:left="219"/>
              <w:rPr>
                <w:rFonts w:ascii="Microsoft JhengHei" w:eastAsia="Microsoft JhengHei" w:hint="eastAsia"/>
                <w:b/>
                <w:sz w:val="21"/>
              </w:rPr>
            </w:pPr>
            <w:r>
              <w:rPr>
                <w:rFonts w:ascii="Microsoft JhengHei" w:eastAsia="Microsoft JhengHei" w:hint="eastAsia"/>
                <w:b/>
                <w:sz w:val="21"/>
              </w:rPr>
              <w:t>特别注意事项</w:t>
            </w:r>
          </w:p>
        </w:tc>
        <w:tc>
          <w:tcPr>
            <w:tcW w:w="7613" w:type="dxa"/>
          </w:tcPr>
          <w:p>
            <w:pPr>
              <w:pStyle w:val="TableParagraph"/>
              <w:spacing w:before="10"/>
              <w:ind w:left="177"/>
              <w:rPr>
                <w:sz w:val="21"/>
              </w:rPr>
            </w:pPr>
            <w:r>
              <w:rPr>
                <w:sz w:val="21"/>
              </w:rPr>
              <w:t>保险金作为被保险人遗产时，必须提供可证明合法继承权的相关权利文件。 </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4"/>
              <w:ind w:left="162"/>
              <w:rPr>
                <w:sz w:val="21"/>
              </w:rPr>
            </w:pPr>
            <w:r>
              <w:rPr>
                <w:sz w:val="21"/>
              </w:rPr>
              <w:t>以上证明和资料不完整的，本公司将及时一次性通知申请人补充提供有关证明和</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资料。</w:t>
            </w:r>
          </w:p>
        </w:tc>
      </w:tr>
      <w:tr>
        <w:trPr>
          <w:trHeight w:val="344" w:hRule="atLeast"/>
        </w:trPr>
        <w:tc>
          <w:tcPr>
            <w:tcW w:w="623" w:type="dxa"/>
          </w:tcPr>
          <w:p>
            <w:pPr>
              <w:pStyle w:val="TableParagraph"/>
              <w:spacing w:before="4"/>
              <w:ind w:left="108"/>
              <w:rPr>
                <w:sz w:val="21"/>
              </w:rPr>
            </w:pPr>
            <w:r>
              <w:rPr>
                <w:w w:val="100"/>
                <w:sz w:val="21"/>
              </w:rPr>
              <w:t> </w:t>
            </w:r>
          </w:p>
        </w:tc>
        <w:tc>
          <w:tcPr>
            <w:tcW w:w="2051" w:type="dxa"/>
          </w:tcPr>
          <w:p>
            <w:pPr>
              <w:pStyle w:val="TableParagraph"/>
              <w:rPr>
                <w:rFonts w:ascii="Times New Roman"/>
                <w:sz w:val="20"/>
              </w:rPr>
            </w:pPr>
          </w:p>
        </w:tc>
        <w:tc>
          <w:tcPr>
            <w:tcW w:w="7613" w:type="dxa"/>
          </w:tcPr>
          <w:p>
            <w:pPr>
              <w:pStyle w:val="TableParagraph"/>
              <w:rPr>
                <w:rFonts w:ascii="Times New Roman"/>
                <w:sz w:val="20"/>
              </w:rPr>
            </w:pPr>
          </w:p>
        </w:tc>
      </w:tr>
      <w:tr>
        <w:trPr>
          <w:trHeight w:val="590" w:hRule="atLeast"/>
        </w:trPr>
        <w:tc>
          <w:tcPr>
            <w:tcW w:w="623" w:type="dxa"/>
          </w:tcPr>
          <w:p>
            <w:pPr>
              <w:pStyle w:val="TableParagraph"/>
              <w:spacing w:line="309" w:lineRule="exact"/>
              <w:ind w:left="108"/>
              <w:rPr>
                <w:rFonts w:ascii="Microsoft JhengHei"/>
                <w:b/>
                <w:sz w:val="21"/>
              </w:rPr>
            </w:pPr>
            <w:r>
              <w:rPr>
                <w:rFonts w:ascii="Microsoft JhengHei"/>
                <w:b/>
                <w:w w:val="90"/>
                <w:sz w:val="21"/>
              </w:rPr>
              <w:t>3. 4</w:t>
            </w:r>
          </w:p>
        </w:tc>
        <w:tc>
          <w:tcPr>
            <w:tcW w:w="205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保险金给付</w:t>
            </w:r>
          </w:p>
        </w:tc>
        <w:tc>
          <w:tcPr>
            <w:tcW w:w="7613" w:type="dxa"/>
          </w:tcPr>
          <w:p>
            <w:pPr>
              <w:pStyle w:val="TableParagraph"/>
              <w:spacing w:before="10"/>
              <w:ind w:left="162" w:right="101"/>
              <w:rPr>
                <w:sz w:val="21"/>
              </w:rPr>
            </w:pPr>
            <w:r>
              <w:rPr>
                <w:spacing w:val="-3"/>
                <w:sz w:val="21"/>
              </w:rPr>
              <w:t>本公司在收到保险金给付申请书及本附加险合同约定的证明和资料后，将在5</w:t>
            </w:r>
            <w:r>
              <w:rPr>
                <w:sz w:val="21"/>
              </w:rPr>
              <w:t>日</w:t>
            </w:r>
            <w:r>
              <w:rPr>
                <w:spacing w:val="-3"/>
                <w:sz w:val="21"/>
              </w:rPr>
              <w:t>内作出核定；情形复杂的，在</w:t>
            </w:r>
            <w:r>
              <w:rPr>
                <w:sz w:val="21"/>
              </w:rPr>
              <w:t>30</w:t>
            </w:r>
            <w:r>
              <w:rPr>
                <w:spacing w:val="-4"/>
                <w:sz w:val="21"/>
              </w:rPr>
              <w:t>日内作出核定。对属于保险责任的，本公司在与</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受益人达成给付保险金的协议后10日内，履行给付保险金义务。 </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4"/>
              <w:ind w:left="162"/>
              <w:rPr>
                <w:sz w:val="21"/>
              </w:rPr>
            </w:pPr>
            <w:r>
              <w:rPr>
                <w:sz w:val="21"/>
              </w:rPr>
              <w:t>本公司未及时履行前款规定义务的，除支付保险金外，应当赔偿受益人因此受到</w:t>
            </w:r>
          </w:p>
        </w:tc>
      </w:tr>
      <w:tr>
        <w:trPr>
          <w:trHeight w:val="307"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的损失。 </w:t>
            </w:r>
          </w:p>
        </w:tc>
      </w:tr>
      <w:tr>
        <w:trPr>
          <w:trHeight w:val="627"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180" w:lineRule="auto" w:before="35"/>
              <w:ind w:left="162" w:right="178"/>
              <w:rPr>
                <w:rFonts w:ascii="Microsoft JhengHei" w:eastAsia="Microsoft JhengHei" w:hint="eastAsia"/>
                <w:b/>
                <w:sz w:val="21"/>
              </w:rPr>
            </w:pPr>
            <w:r>
              <w:rPr>
                <w:rFonts w:ascii="Microsoft JhengHei" w:eastAsia="Microsoft JhengHei" w:hint="eastAsia"/>
                <w:b/>
                <w:sz w:val="21"/>
              </w:rPr>
              <w:t>对不属于保险责任的，本公司自作出核定之日起3日内向受益人发出拒绝给付保险金通知书并说明理由。</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4"/>
              <w:ind w:left="162"/>
              <w:rPr>
                <w:sz w:val="21"/>
              </w:rPr>
            </w:pPr>
            <w:r>
              <w:rPr>
                <w:sz w:val="21"/>
              </w:rPr>
              <w:t>本公司在收到保险金给付申请书及有关证明和资料之日起 60 日内，对给付保险</w:t>
            </w:r>
          </w:p>
        </w:tc>
      </w:tr>
      <w:tr>
        <w:trPr>
          <w:trHeight w:val="273"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43"/>
              <w:rPr>
                <w:sz w:val="21"/>
              </w:rPr>
            </w:pPr>
            <w:r>
              <w:rPr>
                <w:sz w:val="21"/>
              </w:rPr>
              <w:t>金的数额不能确定的，根据已有证明和资料可以确定的数额先予支付；本公司最</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43"/>
              <w:rPr>
                <w:sz w:val="21"/>
              </w:rPr>
            </w:pPr>
            <w:r>
              <w:rPr>
                <w:sz w:val="21"/>
              </w:rPr>
              <w:t>终确定给付保险金的数额后，将支付相应的差额。 </w:t>
            </w:r>
          </w:p>
        </w:tc>
      </w:tr>
      <w:tr>
        <w:trPr>
          <w:trHeight w:val="344" w:hRule="atLeast"/>
        </w:trPr>
        <w:tc>
          <w:tcPr>
            <w:tcW w:w="623" w:type="dxa"/>
          </w:tcPr>
          <w:p>
            <w:pPr>
              <w:pStyle w:val="TableParagraph"/>
              <w:spacing w:before="4"/>
              <w:ind w:left="108"/>
              <w:rPr>
                <w:sz w:val="21"/>
              </w:rPr>
            </w:pPr>
            <w:r>
              <w:rPr>
                <w:w w:val="100"/>
                <w:sz w:val="21"/>
              </w:rPr>
              <w:t> </w:t>
            </w:r>
          </w:p>
        </w:tc>
        <w:tc>
          <w:tcPr>
            <w:tcW w:w="2051" w:type="dxa"/>
          </w:tcPr>
          <w:p>
            <w:pPr>
              <w:pStyle w:val="TableParagraph"/>
              <w:spacing w:before="4"/>
              <w:ind w:left="219"/>
              <w:rPr>
                <w:sz w:val="21"/>
              </w:rPr>
            </w:pPr>
            <w:r>
              <w:rPr>
                <w:w w:val="100"/>
                <w:sz w:val="21"/>
              </w:rPr>
              <w:t> </w:t>
            </w:r>
          </w:p>
        </w:tc>
        <w:tc>
          <w:tcPr>
            <w:tcW w:w="7613" w:type="dxa"/>
          </w:tcPr>
          <w:p>
            <w:pPr>
              <w:pStyle w:val="TableParagraph"/>
              <w:spacing w:before="4"/>
              <w:ind w:left="162"/>
              <w:rPr>
                <w:sz w:val="21"/>
              </w:rPr>
            </w:pPr>
            <w:r>
              <w:rPr>
                <w:w w:val="100"/>
                <w:sz w:val="21"/>
              </w:rPr>
              <w:t> </w:t>
            </w:r>
          </w:p>
        </w:tc>
      </w:tr>
      <w:tr>
        <w:trPr>
          <w:trHeight w:val="627" w:hRule="atLeast"/>
        </w:trPr>
        <w:tc>
          <w:tcPr>
            <w:tcW w:w="623" w:type="dxa"/>
          </w:tcPr>
          <w:p>
            <w:pPr>
              <w:pStyle w:val="TableParagraph"/>
              <w:spacing w:line="309" w:lineRule="exact"/>
              <w:ind w:left="108"/>
              <w:rPr>
                <w:rFonts w:ascii="Microsoft JhengHei"/>
                <w:b/>
                <w:sz w:val="21"/>
              </w:rPr>
            </w:pPr>
            <w:r>
              <w:rPr>
                <w:rFonts w:ascii="Microsoft JhengHei"/>
                <w:b/>
                <w:w w:val="90"/>
                <w:sz w:val="21"/>
              </w:rPr>
              <w:t>3. 5</w:t>
            </w:r>
          </w:p>
        </w:tc>
        <w:tc>
          <w:tcPr>
            <w:tcW w:w="205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诉讼时效</w:t>
            </w:r>
          </w:p>
        </w:tc>
        <w:tc>
          <w:tcPr>
            <w:tcW w:w="7613" w:type="dxa"/>
          </w:tcPr>
          <w:p>
            <w:pPr>
              <w:pStyle w:val="TableParagraph"/>
              <w:spacing w:line="274" w:lineRule="exact" w:before="10"/>
              <w:ind w:left="162"/>
              <w:rPr>
                <w:sz w:val="21"/>
              </w:rPr>
            </w:pPr>
            <w:r>
              <w:rPr>
                <w:spacing w:val="-5"/>
                <w:sz w:val="21"/>
              </w:rPr>
              <w:t>受益人向本公司请求给付保险金的诉讼时效期间为 </w:t>
            </w:r>
            <w:r>
              <w:rPr>
                <w:sz w:val="21"/>
              </w:rPr>
              <w:t>2</w:t>
            </w:r>
            <w:r>
              <w:rPr>
                <w:spacing w:val="-8"/>
                <w:sz w:val="21"/>
              </w:rPr>
              <w:t> 年，自其知道或者应当知道</w:t>
            </w:r>
          </w:p>
          <w:p>
            <w:pPr>
              <w:pStyle w:val="TableParagraph"/>
              <w:spacing w:line="274" w:lineRule="exact"/>
              <w:ind w:left="162"/>
              <w:rPr>
                <w:sz w:val="21"/>
              </w:rPr>
            </w:pPr>
            <w:r>
              <w:rPr>
                <w:sz w:val="21"/>
              </w:rPr>
              <w:t>保险事故发生之日起计算。 </w:t>
            </w:r>
          </w:p>
        </w:tc>
      </w:tr>
      <w:tr>
        <w:trPr>
          <w:trHeight w:val="412" w:hRule="atLeast"/>
        </w:trPr>
        <w:tc>
          <w:tcPr>
            <w:tcW w:w="623" w:type="dxa"/>
          </w:tcPr>
          <w:p>
            <w:pPr>
              <w:pStyle w:val="TableParagraph"/>
              <w:spacing w:before="4"/>
              <w:ind w:left="107"/>
              <w:rPr>
                <w:sz w:val="21"/>
              </w:rPr>
            </w:pPr>
            <w:r>
              <w:rPr>
                <w:w w:val="100"/>
                <w:sz w:val="21"/>
              </w:rPr>
              <w:t> </w:t>
            </w:r>
          </w:p>
        </w:tc>
        <w:tc>
          <w:tcPr>
            <w:tcW w:w="2051" w:type="dxa"/>
          </w:tcPr>
          <w:p>
            <w:pPr>
              <w:pStyle w:val="TableParagraph"/>
              <w:spacing w:before="4"/>
              <w:ind w:left="219"/>
              <w:rPr>
                <w:sz w:val="21"/>
              </w:rPr>
            </w:pPr>
            <w:r>
              <w:rPr>
                <w:w w:val="100"/>
                <w:sz w:val="21"/>
              </w:rPr>
              <w:t> </w:t>
            </w:r>
          </w:p>
        </w:tc>
        <w:tc>
          <w:tcPr>
            <w:tcW w:w="7613" w:type="dxa"/>
          </w:tcPr>
          <w:p>
            <w:pPr>
              <w:pStyle w:val="TableParagraph"/>
              <w:rPr>
                <w:rFonts w:ascii="Times New Roman"/>
                <w:sz w:val="20"/>
              </w:rPr>
            </w:pPr>
          </w:p>
        </w:tc>
      </w:tr>
      <w:tr>
        <w:trPr>
          <w:trHeight w:val="525" w:hRule="atLeast"/>
        </w:trPr>
        <w:tc>
          <w:tcPr>
            <w:tcW w:w="623" w:type="dxa"/>
            <w:tcBorders>
              <w:bottom w:val="single" w:sz="8" w:space="0" w:color="000000"/>
            </w:tcBorders>
          </w:tcPr>
          <w:p>
            <w:pPr>
              <w:pStyle w:val="TableParagraph"/>
              <w:spacing w:line="506" w:lineRule="exact"/>
              <w:ind w:left="111"/>
              <w:rPr>
                <w:rFonts w:ascii="Times New Roman"/>
                <w:sz w:val="52"/>
              </w:rPr>
            </w:pPr>
            <w:r>
              <w:rPr>
                <w:rFonts w:ascii="Times New Roman"/>
                <w:w w:val="100"/>
                <w:sz w:val="52"/>
              </w:rPr>
              <w:t>x</w:t>
            </w:r>
          </w:p>
        </w:tc>
        <w:tc>
          <w:tcPr>
            <w:tcW w:w="2051" w:type="dxa"/>
            <w:tcBorders>
              <w:bottom w:val="single" w:sz="8" w:space="0" w:color="000000"/>
            </w:tcBorders>
          </w:tcPr>
          <w:p>
            <w:pPr>
              <w:pStyle w:val="TableParagraph"/>
              <w:spacing w:line="400" w:lineRule="exact"/>
              <w:ind w:left="219"/>
              <w:rPr>
                <w:rFonts w:ascii="Microsoft JhengHei" w:eastAsia="Microsoft JhengHei" w:hint="eastAsia"/>
                <w:b/>
                <w:sz w:val="24"/>
              </w:rPr>
            </w:pPr>
            <w:r>
              <w:rPr>
                <w:rFonts w:ascii="Microsoft JhengHei" w:eastAsia="Microsoft JhengHei" w:hint="eastAsia"/>
                <w:b/>
                <w:sz w:val="24"/>
              </w:rPr>
              <w:t>保险费的支付</w:t>
            </w:r>
          </w:p>
        </w:tc>
        <w:tc>
          <w:tcPr>
            <w:tcW w:w="7613" w:type="dxa"/>
            <w:tcBorders>
              <w:bottom w:val="single" w:sz="8" w:space="0" w:color="000000"/>
            </w:tcBorders>
          </w:tcPr>
          <w:p>
            <w:pPr>
              <w:pStyle w:val="TableParagraph"/>
              <w:rPr>
                <w:rFonts w:ascii="Times New Roman"/>
                <w:sz w:val="20"/>
              </w:rPr>
            </w:pPr>
          </w:p>
        </w:tc>
      </w:tr>
      <w:tr>
        <w:trPr>
          <w:trHeight w:val="389" w:hRule="atLeast"/>
        </w:trPr>
        <w:tc>
          <w:tcPr>
            <w:tcW w:w="623" w:type="dxa"/>
            <w:tcBorders>
              <w:top w:val="single" w:sz="8" w:space="0" w:color="000000"/>
            </w:tcBorders>
          </w:tcPr>
          <w:p>
            <w:pPr>
              <w:pStyle w:val="TableParagraph"/>
              <w:spacing w:before="44"/>
              <w:ind w:left="107"/>
              <w:rPr>
                <w:sz w:val="21"/>
              </w:rPr>
            </w:pPr>
            <w:r>
              <w:rPr>
                <w:w w:val="100"/>
                <w:sz w:val="21"/>
              </w:rPr>
              <w:t> </w:t>
            </w:r>
          </w:p>
        </w:tc>
        <w:tc>
          <w:tcPr>
            <w:tcW w:w="2051" w:type="dxa"/>
            <w:tcBorders>
              <w:top w:val="single" w:sz="8" w:space="0" w:color="000000"/>
            </w:tcBorders>
          </w:tcPr>
          <w:p>
            <w:pPr>
              <w:pStyle w:val="TableParagraph"/>
              <w:spacing w:before="44"/>
              <w:ind w:left="219"/>
              <w:rPr>
                <w:sz w:val="21"/>
              </w:rPr>
            </w:pPr>
            <w:r>
              <w:rPr>
                <w:w w:val="100"/>
                <w:sz w:val="21"/>
              </w:rPr>
              <w:t> </w:t>
            </w:r>
          </w:p>
        </w:tc>
        <w:tc>
          <w:tcPr>
            <w:tcW w:w="7613" w:type="dxa"/>
            <w:tcBorders>
              <w:top w:val="single" w:sz="8" w:space="0" w:color="000000"/>
            </w:tcBorders>
          </w:tcPr>
          <w:p>
            <w:pPr>
              <w:pStyle w:val="TableParagraph"/>
              <w:spacing w:before="44"/>
              <w:ind w:left="162"/>
              <w:rPr>
                <w:sz w:val="21"/>
              </w:rPr>
            </w:pPr>
            <w:r>
              <w:rPr>
                <w:w w:val="100"/>
                <w:sz w:val="21"/>
              </w:rPr>
              <w:t> </w:t>
            </w:r>
          </w:p>
        </w:tc>
      </w:tr>
      <w:tr>
        <w:trPr>
          <w:trHeight w:val="312" w:hRule="atLeast"/>
        </w:trPr>
        <w:tc>
          <w:tcPr>
            <w:tcW w:w="623" w:type="dxa"/>
          </w:tcPr>
          <w:p>
            <w:pPr>
              <w:pStyle w:val="TableParagraph"/>
              <w:rPr>
                <w:rFonts w:ascii="Times New Roman"/>
                <w:sz w:val="20"/>
              </w:rPr>
            </w:pPr>
          </w:p>
        </w:tc>
        <w:tc>
          <w:tcPr>
            <w:tcW w:w="2051" w:type="dxa"/>
          </w:tcPr>
          <w:p>
            <w:pPr>
              <w:pStyle w:val="TableParagraph"/>
              <w:spacing w:line="292" w:lineRule="exact"/>
              <w:ind w:left="219"/>
              <w:rPr>
                <w:rFonts w:ascii="Microsoft JhengHei" w:eastAsia="Microsoft JhengHei" w:hint="eastAsia"/>
                <w:b/>
                <w:sz w:val="21"/>
              </w:rPr>
            </w:pPr>
            <w:r>
              <w:rPr>
                <w:rFonts w:ascii="Microsoft JhengHei" w:eastAsia="Microsoft JhengHei" w:hint="eastAsia"/>
                <w:b/>
                <w:sz w:val="21"/>
              </w:rPr>
              <w:t>保险费的支付</w:t>
            </w:r>
          </w:p>
        </w:tc>
        <w:tc>
          <w:tcPr>
            <w:tcW w:w="7613" w:type="dxa"/>
          </w:tcPr>
          <w:p>
            <w:pPr>
              <w:pStyle w:val="TableParagraph"/>
              <w:spacing w:before="6"/>
              <w:ind w:left="162"/>
              <w:rPr>
                <w:sz w:val="21"/>
              </w:rPr>
            </w:pPr>
            <w:r>
              <w:rPr>
                <w:sz w:val="21"/>
              </w:rPr>
              <w:t>本附加险合同的保险费在保险单上载明。投保人在投保时应一次性支付本附加险</w:t>
            </w:r>
          </w:p>
        </w:tc>
      </w:tr>
      <w:tr>
        <w:trPr>
          <w:trHeight w:val="31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42" w:lineRule="exact"/>
              <w:ind w:left="162"/>
              <w:rPr>
                <w:sz w:val="21"/>
              </w:rPr>
            </w:pPr>
            <w:r>
              <w:rPr>
                <w:sz w:val="21"/>
              </w:rPr>
              <w:t>合同的保险费。 </w:t>
            </w:r>
          </w:p>
        </w:tc>
      </w:tr>
      <w:tr>
        <w:trPr>
          <w:trHeight w:val="279" w:hRule="atLeast"/>
        </w:trPr>
        <w:tc>
          <w:tcPr>
            <w:tcW w:w="623" w:type="dxa"/>
          </w:tcPr>
          <w:p>
            <w:pPr>
              <w:pStyle w:val="TableParagraph"/>
              <w:spacing w:line="255" w:lineRule="exact" w:before="4"/>
              <w:ind w:left="108"/>
              <w:rPr>
                <w:sz w:val="21"/>
              </w:rPr>
            </w:pPr>
            <w:r>
              <w:rPr>
                <w:w w:val="100"/>
                <w:sz w:val="21"/>
              </w:rPr>
              <w:t> </w:t>
            </w:r>
          </w:p>
        </w:tc>
        <w:tc>
          <w:tcPr>
            <w:tcW w:w="2051" w:type="dxa"/>
          </w:tcPr>
          <w:p>
            <w:pPr>
              <w:pStyle w:val="TableParagraph"/>
              <w:spacing w:line="255" w:lineRule="exact" w:before="4"/>
              <w:ind w:left="219"/>
              <w:rPr>
                <w:sz w:val="21"/>
              </w:rPr>
            </w:pPr>
            <w:r>
              <w:rPr>
                <w:w w:val="100"/>
                <w:sz w:val="21"/>
              </w:rPr>
              <w:t> </w:t>
            </w:r>
          </w:p>
        </w:tc>
        <w:tc>
          <w:tcPr>
            <w:tcW w:w="7613" w:type="dxa"/>
          </w:tcPr>
          <w:p>
            <w:pPr>
              <w:pStyle w:val="TableParagraph"/>
              <w:spacing w:line="255" w:lineRule="exact" w:before="4"/>
              <w:ind w:left="162"/>
              <w:rPr>
                <w:sz w:val="21"/>
              </w:rPr>
            </w:pPr>
            <w:r>
              <w:rPr>
                <w:w w:val="100"/>
                <w:sz w:val="21"/>
              </w:rPr>
              <w:t> </w:t>
            </w:r>
          </w:p>
        </w:tc>
      </w:tr>
      <w:tr>
        <w:trPr>
          <w:trHeight w:val="648" w:hRule="atLeast"/>
        </w:trPr>
        <w:tc>
          <w:tcPr>
            <w:tcW w:w="623" w:type="dxa"/>
          </w:tcPr>
          <w:p>
            <w:pPr>
              <w:pStyle w:val="TableParagraph"/>
              <w:spacing w:line="568" w:lineRule="exact" w:before="61"/>
              <w:ind w:left="111"/>
              <w:rPr>
                <w:rFonts w:ascii="Times New Roman"/>
                <w:sz w:val="52"/>
              </w:rPr>
            </w:pPr>
            <w:r>
              <w:rPr>
                <w:rFonts w:ascii="Times New Roman"/>
                <w:w w:val="100"/>
                <w:sz w:val="52"/>
              </w:rPr>
              <w:t>y</w:t>
            </w:r>
          </w:p>
        </w:tc>
        <w:tc>
          <w:tcPr>
            <w:tcW w:w="2051" w:type="dxa"/>
          </w:tcPr>
          <w:p>
            <w:pPr>
              <w:pStyle w:val="TableParagraph"/>
              <w:spacing w:before="113"/>
              <w:ind w:left="219"/>
              <w:rPr>
                <w:rFonts w:ascii="Microsoft JhengHei" w:eastAsia="Microsoft JhengHei" w:hint="eastAsia"/>
                <w:b/>
                <w:sz w:val="24"/>
              </w:rPr>
            </w:pPr>
            <w:r>
              <w:rPr>
                <w:rFonts w:ascii="Microsoft JhengHei" w:eastAsia="Microsoft JhengHei" w:hint="eastAsia"/>
                <w:b/>
                <w:sz w:val="24"/>
              </w:rPr>
              <w:t>合同解除</w:t>
            </w:r>
          </w:p>
        </w:tc>
        <w:tc>
          <w:tcPr>
            <w:tcW w:w="7613" w:type="dxa"/>
          </w:tcPr>
          <w:p>
            <w:pPr>
              <w:pStyle w:val="TableParagraph"/>
              <w:spacing w:before="189"/>
              <w:ind w:right="1130"/>
              <w:jc w:val="right"/>
              <w:rPr>
                <w:sz w:val="24"/>
              </w:rPr>
            </w:pPr>
            <w:r>
              <w:rPr>
                <w:sz w:val="24"/>
              </w:rPr>
              <w:t> </w:t>
            </w:r>
          </w:p>
        </w:tc>
      </w:tr>
      <w:tr>
        <w:trPr>
          <w:trHeight w:val="396" w:hRule="atLeast"/>
        </w:trPr>
        <w:tc>
          <w:tcPr>
            <w:tcW w:w="623" w:type="dxa"/>
            <w:tcBorders>
              <w:top w:val="single" w:sz="8" w:space="0" w:color="000000"/>
            </w:tcBorders>
          </w:tcPr>
          <w:p>
            <w:pPr>
              <w:pStyle w:val="TableParagraph"/>
              <w:spacing w:before="42"/>
              <w:ind w:left="108"/>
              <w:rPr>
                <w:sz w:val="21"/>
              </w:rPr>
            </w:pPr>
            <w:r>
              <w:rPr>
                <w:w w:val="100"/>
                <w:sz w:val="21"/>
              </w:rPr>
              <w:t> </w:t>
            </w:r>
          </w:p>
        </w:tc>
        <w:tc>
          <w:tcPr>
            <w:tcW w:w="2051" w:type="dxa"/>
            <w:tcBorders>
              <w:top w:val="single" w:sz="8" w:space="0" w:color="000000"/>
            </w:tcBorders>
          </w:tcPr>
          <w:p>
            <w:pPr>
              <w:pStyle w:val="TableParagraph"/>
              <w:spacing w:before="42"/>
              <w:ind w:left="219"/>
              <w:rPr>
                <w:sz w:val="21"/>
              </w:rPr>
            </w:pPr>
            <w:r>
              <w:rPr>
                <w:w w:val="100"/>
                <w:sz w:val="21"/>
              </w:rPr>
              <w:t> </w:t>
            </w:r>
          </w:p>
        </w:tc>
        <w:tc>
          <w:tcPr>
            <w:tcW w:w="7613" w:type="dxa"/>
            <w:tcBorders>
              <w:top w:val="single" w:sz="8" w:space="0" w:color="000000"/>
            </w:tcBorders>
          </w:tcPr>
          <w:p>
            <w:pPr>
              <w:pStyle w:val="TableParagraph"/>
              <w:spacing w:before="42"/>
              <w:ind w:left="162"/>
              <w:rPr>
                <w:sz w:val="21"/>
              </w:rPr>
            </w:pPr>
            <w:r>
              <w:rPr>
                <w:w w:val="100"/>
                <w:sz w:val="21"/>
              </w:rPr>
              <w:t> </w:t>
            </w:r>
          </w:p>
        </w:tc>
      </w:tr>
      <w:tr>
        <w:trPr>
          <w:trHeight w:val="312" w:hRule="atLeast"/>
        </w:trPr>
        <w:tc>
          <w:tcPr>
            <w:tcW w:w="623" w:type="dxa"/>
          </w:tcPr>
          <w:p>
            <w:pPr>
              <w:pStyle w:val="TableParagraph"/>
              <w:rPr>
                <w:rFonts w:ascii="Times New Roman"/>
                <w:sz w:val="20"/>
              </w:rPr>
            </w:pPr>
          </w:p>
        </w:tc>
        <w:tc>
          <w:tcPr>
            <w:tcW w:w="2051" w:type="dxa"/>
          </w:tcPr>
          <w:p>
            <w:pPr>
              <w:pStyle w:val="TableParagraph"/>
              <w:spacing w:line="292" w:lineRule="exact"/>
              <w:ind w:left="219"/>
              <w:rPr>
                <w:rFonts w:ascii="Microsoft JhengHei" w:eastAsia="Microsoft JhengHei" w:hint="eastAsia"/>
                <w:b/>
                <w:sz w:val="21"/>
              </w:rPr>
            </w:pPr>
            <w:r>
              <w:rPr>
                <w:rFonts w:ascii="Microsoft JhengHei" w:eastAsia="Microsoft JhengHei" w:hint="eastAsia"/>
                <w:b/>
                <w:sz w:val="21"/>
              </w:rPr>
              <w:t>投保人解除合同的</w:t>
            </w:r>
          </w:p>
        </w:tc>
        <w:tc>
          <w:tcPr>
            <w:tcW w:w="7613" w:type="dxa"/>
          </w:tcPr>
          <w:p>
            <w:pPr>
              <w:pStyle w:val="TableParagraph"/>
              <w:spacing w:before="6"/>
              <w:ind w:left="162"/>
              <w:rPr>
                <w:sz w:val="21"/>
              </w:rPr>
            </w:pPr>
            <w:r>
              <w:rPr>
                <w:sz w:val="21"/>
              </w:rPr>
              <w:t>如果投保人要求解除本附加险合同，投保人应向本公司提供下列证明和资料的原</w:t>
            </w:r>
          </w:p>
        </w:tc>
      </w:tr>
      <w:tr>
        <w:trPr>
          <w:trHeight w:val="311" w:hRule="atLeast"/>
        </w:trPr>
        <w:tc>
          <w:tcPr>
            <w:tcW w:w="623" w:type="dxa"/>
          </w:tcPr>
          <w:p>
            <w:pPr>
              <w:pStyle w:val="TableParagraph"/>
              <w:rPr>
                <w:rFonts w:ascii="Times New Roman"/>
                <w:sz w:val="20"/>
              </w:rPr>
            </w:pPr>
          </w:p>
        </w:tc>
        <w:tc>
          <w:tcPr>
            <w:tcW w:w="2051" w:type="dxa"/>
          </w:tcPr>
          <w:p>
            <w:pPr>
              <w:pStyle w:val="TableParagraph"/>
              <w:spacing w:line="266" w:lineRule="exact"/>
              <w:ind w:left="219"/>
              <w:rPr>
                <w:rFonts w:ascii="Microsoft JhengHei" w:eastAsia="Microsoft JhengHei" w:hint="eastAsia"/>
                <w:b/>
                <w:sz w:val="21"/>
              </w:rPr>
            </w:pPr>
            <w:r>
              <w:rPr>
                <w:rFonts w:ascii="Microsoft JhengHei" w:eastAsia="Microsoft JhengHei" w:hint="eastAsia"/>
                <w:b/>
                <w:sz w:val="21"/>
              </w:rPr>
              <w:t>手续及风险</w:t>
            </w:r>
          </w:p>
        </w:tc>
        <w:tc>
          <w:tcPr>
            <w:tcW w:w="7613" w:type="dxa"/>
          </w:tcPr>
          <w:p>
            <w:pPr>
              <w:pStyle w:val="TableParagraph"/>
              <w:spacing w:line="242" w:lineRule="exact"/>
              <w:ind w:left="162"/>
              <w:rPr>
                <w:sz w:val="21"/>
              </w:rPr>
            </w:pPr>
            <w:r>
              <w:rPr>
                <w:sz w:val="21"/>
              </w:rPr>
              <w:t>件： </w:t>
            </w:r>
          </w:p>
        </w:tc>
      </w:tr>
      <w:tr>
        <w:trPr>
          <w:trHeight w:val="35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before="6"/>
              <w:ind w:left="162"/>
              <w:rPr>
                <w:sz w:val="21"/>
              </w:rPr>
            </w:pPr>
            <w:r>
              <w:rPr>
                <w:sz w:val="21"/>
              </w:rPr>
              <w:t>（1）保险合同； </w:t>
            </w:r>
          </w:p>
        </w:tc>
      </w:tr>
      <w:tr>
        <w:trPr>
          <w:trHeight w:val="280"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55" w:lineRule="exact" w:before="6"/>
              <w:ind w:left="162" w:right="-15"/>
              <w:rPr>
                <w:sz w:val="21"/>
              </w:rPr>
            </w:pPr>
            <w:r>
              <w:rPr>
                <w:spacing w:val="-1"/>
                <w:sz w:val="21"/>
              </w:rPr>
              <w:t>（2）</w:t>
            </w:r>
            <w:r>
              <w:rPr>
                <w:spacing w:val="-4"/>
                <w:sz w:val="21"/>
              </w:rPr>
              <w:t>加盖投保人法人公章</w:t>
            </w:r>
            <w:r>
              <w:rPr>
                <w:sz w:val="21"/>
              </w:rPr>
              <w:t>（</w:t>
            </w:r>
            <w:r>
              <w:rPr>
                <w:spacing w:val="-4"/>
                <w:sz w:val="21"/>
              </w:rPr>
              <w:t>如果投保人不是法人，则为投保人单位公章，下同</w:t>
            </w:r>
            <w:r>
              <w:rPr>
                <w:sz w:val="21"/>
              </w:rPr>
              <w:t>）</w:t>
            </w:r>
          </w:p>
        </w:tc>
      </w:tr>
      <w:tr>
        <w:trPr>
          <w:trHeight w:val="621" w:hRule="atLeast"/>
        </w:trPr>
        <w:tc>
          <w:tcPr>
            <w:tcW w:w="623" w:type="dxa"/>
          </w:tcPr>
          <w:p>
            <w:pPr>
              <w:pStyle w:val="TableParagraph"/>
              <w:rPr>
                <w:rFonts w:ascii="Times New Roman"/>
                <w:sz w:val="20"/>
              </w:rPr>
            </w:pPr>
          </w:p>
        </w:tc>
        <w:tc>
          <w:tcPr>
            <w:tcW w:w="2051" w:type="dxa"/>
          </w:tcPr>
          <w:p>
            <w:pPr>
              <w:pStyle w:val="TableParagraph"/>
              <w:rPr>
                <w:rFonts w:ascii="Times New Roman"/>
                <w:sz w:val="20"/>
              </w:rPr>
            </w:pPr>
          </w:p>
        </w:tc>
        <w:tc>
          <w:tcPr>
            <w:tcW w:w="7613" w:type="dxa"/>
          </w:tcPr>
          <w:p>
            <w:pPr>
              <w:pStyle w:val="TableParagraph"/>
              <w:spacing w:line="273" w:lineRule="exact"/>
              <w:ind w:left="688"/>
              <w:rPr>
                <w:sz w:val="21"/>
              </w:rPr>
            </w:pPr>
            <w:r>
              <w:rPr>
                <w:sz w:val="21"/>
              </w:rPr>
              <w:t>的保险合同变更申请书； </w:t>
            </w:r>
          </w:p>
          <w:p>
            <w:pPr>
              <w:pStyle w:val="TableParagraph"/>
              <w:spacing w:line="255" w:lineRule="exact" w:before="73"/>
              <w:ind w:left="162"/>
              <w:rPr>
                <w:sz w:val="21"/>
              </w:rPr>
            </w:pPr>
            <w:r>
              <w:rPr>
                <w:sz w:val="21"/>
              </w:rPr>
              <w:t>（3）经办人的有效身份证件。 </w:t>
            </w:r>
          </w:p>
        </w:tc>
      </w:tr>
    </w:tbl>
    <w:p>
      <w:pPr>
        <w:spacing w:after="0" w:line="255" w:lineRule="exact"/>
        <w:rPr>
          <w:sz w:val="21"/>
        </w:rPr>
        <w:sectPr>
          <w:type w:val="continuous"/>
          <w:pgSz w:w="11900" w:h="16840"/>
          <w:pgMar w:top="360" w:bottom="280" w:left="1000" w:right="400"/>
        </w:sect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364"/>
        <w:gridCol w:w="8340"/>
      </w:tblGrid>
      <w:tr>
        <w:trPr>
          <w:trHeight w:val="825" w:hRule="atLeast"/>
        </w:trPr>
        <w:tc>
          <w:tcPr>
            <w:tcW w:w="1834" w:type="dxa"/>
            <w:gridSpan w:val="2"/>
            <w:vMerge w:val="restart"/>
          </w:tcPr>
          <w:p>
            <w:pPr>
              <w:pStyle w:val="TableParagraph"/>
              <w:rPr>
                <w:rFonts w:ascii="Times New Roman"/>
                <w:sz w:val="20"/>
              </w:rPr>
            </w:pPr>
          </w:p>
        </w:tc>
        <w:tc>
          <w:tcPr>
            <w:tcW w:w="8340" w:type="dxa"/>
          </w:tcPr>
          <w:p>
            <w:pPr>
              <w:pStyle w:val="TableParagraph"/>
              <w:spacing w:line="210" w:lineRule="exact"/>
              <w:ind w:left="944"/>
              <w:rPr>
                <w:sz w:val="21"/>
              </w:rPr>
            </w:pPr>
            <w:r>
              <w:rPr>
                <w:sz w:val="21"/>
              </w:rPr>
              <w:t>自本公司收到保险合同变更申请书时起，本附加险合同终止。本公司自收到保险</w:t>
            </w:r>
          </w:p>
          <w:p>
            <w:pPr>
              <w:pStyle w:val="TableParagraph"/>
              <w:spacing w:line="237" w:lineRule="auto" w:before="2"/>
              <w:ind w:left="944" w:right="142"/>
              <w:rPr>
                <w:sz w:val="21"/>
              </w:rPr>
            </w:pPr>
            <w:r>
              <w:rPr>
                <w:spacing w:val="-7"/>
                <w:sz w:val="21"/>
              </w:rPr>
              <w:t>合同变更申请书之日起 </w:t>
            </w:r>
            <w:r>
              <w:rPr>
                <w:sz w:val="21"/>
              </w:rPr>
              <w:t>30</w:t>
            </w:r>
            <w:r>
              <w:rPr>
                <w:spacing w:val="-8"/>
                <w:sz w:val="21"/>
              </w:rPr>
              <w:t> 日内按本附加险合同所附《退费比例表》中所列比例</w:t>
            </w:r>
            <w:r>
              <w:rPr>
                <w:spacing w:val="-3"/>
                <w:sz w:val="21"/>
              </w:rPr>
              <w:t>向投保人退还本附加险合同项下未发生保险事故的各被保险人对应的保险费。 </w:t>
            </w:r>
          </w:p>
        </w:tc>
      </w:tr>
      <w:tr>
        <w:trPr>
          <w:trHeight w:val="350" w:hRule="atLeast"/>
        </w:trPr>
        <w:tc>
          <w:tcPr>
            <w:tcW w:w="1834" w:type="dxa"/>
            <w:gridSpan w:val="2"/>
            <w:vMerge/>
            <w:tcBorders>
              <w:top w:val="nil"/>
            </w:tcBorders>
          </w:tcPr>
          <w:p>
            <w:pPr>
              <w:rPr>
                <w:sz w:val="2"/>
                <w:szCs w:val="2"/>
              </w:rPr>
            </w:pPr>
          </w:p>
        </w:tc>
        <w:tc>
          <w:tcPr>
            <w:tcW w:w="8340" w:type="dxa"/>
          </w:tcPr>
          <w:p>
            <w:pPr>
              <w:pStyle w:val="TableParagraph"/>
              <w:spacing w:line="305" w:lineRule="exact"/>
              <w:ind w:left="944"/>
              <w:rPr>
                <w:rFonts w:ascii="Microsoft JhengHei" w:eastAsia="Microsoft JhengHei" w:hint="eastAsia"/>
                <w:b/>
                <w:sz w:val="21"/>
              </w:rPr>
            </w:pPr>
            <w:r>
              <w:rPr>
                <w:rFonts w:ascii="Microsoft JhengHei" w:eastAsia="Microsoft JhengHei" w:hint="eastAsia"/>
                <w:b/>
                <w:sz w:val="21"/>
              </w:rPr>
              <w:t>投保人解除合同会遭受一定损失。</w:t>
            </w:r>
          </w:p>
        </w:tc>
      </w:tr>
      <w:tr>
        <w:trPr>
          <w:trHeight w:val="280" w:hRule="atLeast"/>
        </w:trPr>
        <w:tc>
          <w:tcPr>
            <w:tcW w:w="470" w:type="dxa"/>
          </w:tcPr>
          <w:p>
            <w:pPr>
              <w:pStyle w:val="TableParagraph"/>
              <w:spacing w:line="255" w:lineRule="exact" w:before="6"/>
              <w:ind w:left="50"/>
              <w:rPr>
                <w:sz w:val="21"/>
              </w:rPr>
            </w:pPr>
            <w:r>
              <w:rPr>
                <w:w w:val="100"/>
                <w:sz w:val="21"/>
              </w:rPr>
              <w:t> </w:t>
            </w:r>
          </w:p>
        </w:tc>
        <w:tc>
          <w:tcPr>
            <w:tcW w:w="1364" w:type="dxa"/>
          </w:tcPr>
          <w:p>
            <w:pPr>
              <w:pStyle w:val="TableParagraph"/>
              <w:spacing w:line="255" w:lineRule="exact" w:before="6"/>
              <w:ind w:left="314"/>
              <w:rPr>
                <w:sz w:val="21"/>
              </w:rPr>
            </w:pPr>
            <w:r>
              <w:rPr>
                <w:w w:val="100"/>
                <w:sz w:val="21"/>
              </w:rPr>
              <w:t> </w:t>
            </w:r>
          </w:p>
        </w:tc>
        <w:tc>
          <w:tcPr>
            <w:tcW w:w="8340" w:type="dxa"/>
          </w:tcPr>
          <w:p>
            <w:pPr>
              <w:pStyle w:val="TableParagraph"/>
              <w:spacing w:line="255" w:lineRule="exact" w:before="6"/>
              <w:ind w:left="944"/>
              <w:rPr>
                <w:sz w:val="21"/>
              </w:rPr>
            </w:pPr>
            <w:r>
              <w:rPr>
                <w:w w:val="100"/>
                <w:sz w:val="21"/>
              </w:rPr>
              <w:t> </w:t>
            </w:r>
          </w:p>
        </w:tc>
      </w:tr>
    </w:tbl>
    <w:p>
      <w:pPr>
        <w:pStyle w:val="Heading2"/>
        <w:tabs>
          <w:tab w:pos="946" w:val="left" w:leader="none"/>
        </w:tabs>
        <w:spacing w:before="72"/>
        <w:ind w:left="216"/>
      </w:pPr>
      <w:r>
        <w:rPr>
          <w:rFonts w:ascii="Times New Roman" w:eastAsia="Times New Roman"/>
          <w:b w:val="0"/>
          <w:position w:val="-7"/>
          <w:sz w:val="52"/>
        </w:rPr>
        <w:t>z</w:t>
        <w:tab/>
      </w:r>
      <w:r>
        <w:rPr/>
        <w:t>其他需要关注的事项</w:t>
      </w:r>
    </w:p>
    <w:p>
      <w:pPr>
        <w:pStyle w:val="BodyText"/>
        <w:spacing w:line="20" w:lineRule="exact" w:before="0"/>
        <w:ind w:left="94"/>
        <w:rPr>
          <w:rFonts w:ascii="Microsoft JhengHei"/>
          <w:sz w:val="2"/>
        </w:rPr>
      </w:pPr>
      <w:r>
        <w:rPr>
          <w:rFonts w:ascii="Times New Roman"/>
          <w:spacing w:val="6"/>
          <w:sz w:val="2"/>
        </w:rPr>
        <w:t> </w:t>
      </w:r>
      <w:r>
        <w:rPr>
          <w:rFonts w:ascii="Microsoft JhengHei"/>
          <w:spacing w:val="6"/>
          <w:sz w:val="2"/>
        </w:rPr>
        <w:pict>
          <v:group style="width:514.4500pt;height:1pt;mso-position-horizontal-relative:char;mso-position-vertical-relative:line" coordorigin="0,0" coordsize="10289,20">
            <v:line style="position:absolute" from="0,10" to="734,10" stroked="true" strokeweight=".96pt" strokecolor="#000000">
              <v:stroke dashstyle="solid"/>
            </v:line>
            <v:rect style="position:absolute;left:734;top:0;width:20;height:20" filled="true" fillcolor="#000000" stroked="false">
              <v:fill type="solid"/>
            </v:rect>
            <v:line style="position:absolute" from="754,10" to="2729,10" stroked="true" strokeweight=".96pt" strokecolor="#000000">
              <v:stroke dashstyle="solid"/>
            </v:line>
            <v:rect style="position:absolute;left:2728;top:0;width:20;height:20" filled="true" fillcolor="#000000" stroked="false">
              <v:fill type="solid"/>
            </v:rect>
            <v:line style="position:absolute" from="2748,10" to="10289,10" stroked="true" strokeweight=".96pt" strokecolor="#000000">
              <v:stroke dashstyle="solid"/>
            </v:line>
          </v:group>
        </w:pict>
      </w:r>
      <w:r>
        <w:rPr>
          <w:rFonts w:ascii="Microsoft JhengHei"/>
          <w:spacing w:val="6"/>
          <w:sz w:val="2"/>
        </w:rPr>
      </w:r>
    </w:p>
    <w:p>
      <w:pPr>
        <w:pStyle w:val="BodyText"/>
        <w:tabs>
          <w:tab w:pos="946" w:val="left" w:leader="none"/>
          <w:tab w:pos="2940" w:val="left" w:leader="none"/>
        </w:tabs>
        <w:spacing w:before="39"/>
        <w:ind w:left="212"/>
      </w:pPr>
      <w:r>
        <w:rPr>
          <w:w w:val="100"/>
        </w:rPr>
        <w:t> </w:t>
      </w:r>
      <w:r>
        <w:rPr/>
        <w:tab/>
      </w:r>
      <w:r>
        <w:rPr>
          <w:w w:val="100"/>
        </w:rPr>
        <w:t> </w:t>
      </w:r>
      <w:r>
        <w:rPr/>
        <w:tab/>
      </w:r>
      <w:r>
        <w:rPr>
          <w:w w:val="100"/>
        </w:rPr>
        <w:t> </w:t>
      </w:r>
    </w:p>
    <w:p>
      <w:pPr>
        <w:spacing w:after="0"/>
        <w:sectPr>
          <w:pgSz w:w="11900" w:h="16840"/>
          <w:pgMar w:header="0" w:footer="724" w:top="1180" w:bottom="920" w:left="1000" w:right="400"/>
        </w:sectPr>
      </w:pPr>
    </w:p>
    <w:p>
      <w:pPr>
        <w:pStyle w:val="Heading3"/>
        <w:numPr>
          <w:ilvl w:val="1"/>
          <w:numId w:val="4"/>
        </w:numPr>
        <w:tabs>
          <w:tab w:pos="946" w:val="left" w:leader="none"/>
          <w:tab w:pos="947" w:val="left" w:leader="none"/>
        </w:tabs>
        <w:spacing w:line="320" w:lineRule="exact" w:before="9" w:after="0"/>
        <w:ind w:left="2940" w:right="0" w:hanging="2728"/>
        <w:jc w:val="left"/>
      </w:pPr>
      <w:r>
        <w:rPr>
          <w:w w:val="84"/>
        </w:rPr>
        <w:t>1</w:t>
      </w:r>
      <w:r>
        <w:rPr/>
        <w:tab/>
      </w:r>
      <w:r>
        <w:rPr>
          <w:w w:val="100"/>
        </w:rPr>
        <w:t>明确说明和如实告</w:t>
      </w:r>
    </w:p>
    <w:p>
      <w:pPr>
        <w:spacing w:line="320" w:lineRule="exact" w:before="0"/>
        <w:ind w:left="0" w:right="531"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37" w:lineRule="auto" w:before="78"/>
        <w:ind w:left="211" w:right="208"/>
        <w:jc w:val="both"/>
      </w:pPr>
      <w:r>
        <w:rPr/>
        <w:br w:type="column"/>
      </w:r>
      <w:r>
        <w:rPr/>
        <w:t>订立本附加险合同时，本公司应向投保人说明本附加险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本公司会就投保人和被保险人的有关情况提出询问，投保人应当如实告知。 </w:t>
      </w:r>
    </w:p>
    <w:p>
      <w:pPr>
        <w:pStyle w:val="Heading3"/>
        <w:spacing w:line="180" w:lineRule="auto" w:before="97"/>
        <w:ind w:right="213"/>
      </w:pPr>
      <w:r>
        <w:rPr>
          <w:spacing w:val="-5"/>
        </w:rPr>
        <w:t>如果投保人故意或因重大过失未履行如实告知义务，足以影响本公司决定是否同意承保或提高保险费率的，本公司有权解除本附加险合同或取消被保险人的资 格。</w:t>
      </w:r>
    </w:p>
    <w:p>
      <w:pPr>
        <w:spacing w:line="304" w:lineRule="exact" w:before="0"/>
        <w:ind w:left="212" w:right="0" w:firstLine="0"/>
        <w:jc w:val="left"/>
        <w:rPr>
          <w:rFonts w:ascii="Microsoft JhengHei" w:eastAsia="Microsoft JhengHei" w:hint="eastAsia"/>
          <w:b/>
          <w:sz w:val="21"/>
        </w:rPr>
      </w:pPr>
      <w:r>
        <w:rPr>
          <w:rFonts w:ascii="Microsoft JhengHei" w:eastAsia="Microsoft JhengHei" w:hint="eastAsia"/>
          <w:b/>
          <w:sz w:val="21"/>
        </w:rPr>
        <w:t>如果投保人故意不履行如实告知义务，对于本附加险合同解除或取消被保险人的</w:t>
      </w:r>
    </w:p>
    <w:p>
      <w:pPr>
        <w:spacing w:line="311" w:lineRule="exact" w:before="0"/>
        <w:ind w:left="212" w:right="0" w:firstLine="0"/>
        <w:jc w:val="left"/>
        <w:rPr>
          <w:rFonts w:ascii="Microsoft JhengHei" w:eastAsia="Microsoft JhengHei" w:hint="eastAsia"/>
          <w:b/>
          <w:sz w:val="21"/>
        </w:rPr>
      </w:pPr>
      <w:r>
        <w:rPr>
          <w:rFonts w:ascii="Microsoft JhengHei" w:eastAsia="Microsoft JhengHei" w:hint="eastAsia"/>
          <w:b/>
          <w:sz w:val="21"/>
        </w:rPr>
        <w:t>资格前发生的保险事故，本公司不承担给付保险金的责任，并不退还保险费。</w:t>
      </w:r>
    </w:p>
    <w:p>
      <w:pPr>
        <w:spacing w:line="180" w:lineRule="auto" w:before="82"/>
        <w:ind w:left="212" w:right="179" w:firstLine="0"/>
        <w:jc w:val="both"/>
        <w:rPr>
          <w:rFonts w:ascii="Microsoft JhengHei" w:eastAsia="Microsoft JhengHei" w:hint="eastAsia"/>
          <w:b/>
          <w:sz w:val="21"/>
        </w:rPr>
      </w:pPr>
      <w:r>
        <w:rPr>
          <w:rFonts w:ascii="Microsoft JhengHei" w:eastAsia="Microsoft JhengHei" w:hint="eastAsia"/>
          <w:b/>
          <w:spacing w:val="-3"/>
          <w:sz w:val="21"/>
        </w:rPr>
        <w:t>如果投保人因重大过失未履行如实告知义务，对保险事故的发生有严重影响的， </w:t>
      </w:r>
      <w:r>
        <w:rPr>
          <w:rFonts w:ascii="Microsoft JhengHei" w:eastAsia="Microsoft JhengHei" w:hint="eastAsia"/>
          <w:b/>
          <w:spacing w:val="-5"/>
          <w:sz w:val="21"/>
        </w:rPr>
        <w:t>对于本附加险合同解除或取消被保险人的资格前发生的保险事故，本公司不承担给付保险金的责任，但退还相应的保险费。</w:t>
      </w:r>
    </w:p>
    <w:p>
      <w:pPr>
        <w:pStyle w:val="BodyText"/>
        <w:spacing w:before="49"/>
        <w:ind w:left="212" w:right="311"/>
      </w:pPr>
      <w:r>
        <w:rPr>
          <w:spacing w:val="-5"/>
        </w:rPr>
        <w:t>本条规定的合同解除权，自本公司知道有解除事由之日起，超过 </w:t>
      </w:r>
      <w:r>
        <w:rPr/>
        <w:t>30</w:t>
      </w:r>
      <w:r>
        <w:rPr>
          <w:spacing w:val="-10"/>
        </w:rPr>
        <w:t> 日不行使而</w:t>
      </w:r>
      <w:r>
        <w:rPr>
          <w:spacing w:val="-1"/>
        </w:rPr>
        <w:t>消灭。</w:t>
      </w:r>
      <w:r>
        <w:rPr/>
        <w:t> </w:t>
      </w:r>
    </w:p>
    <w:p>
      <w:pPr>
        <w:pStyle w:val="BodyText"/>
        <w:ind w:left="212" w:right="208"/>
      </w:pPr>
      <w:r>
        <w:rPr/>
        <w:t>本公司在本附加险合同订立时已经知道投保人未如实告知的情况的，本公司不得解除本附加险合同；发生保险事故的，本公司承担给付保险金的责任。</w:t>
      </w:r>
      <w:r>
        <w:rPr>
          <w:color w:val="7F0000"/>
        </w:rPr>
        <w:t> </w:t>
      </w:r>
    </w:p>
    <w:p>
      <w:pPr>
        <w:spacing w:after="0"/>
        <w:sectPr>
          <w:type w:val="continuous"/>
          <w:pgSz w:w="11900" w:h="16840"/>
          <w:pgMar w:top="360" w:bottom="280" w:left="1000" w:right="400"/>
          <w:cols w:num="2" w:equalWidth="0">
            <w:col w:w="2637" w:space="92"/>
            <w:col w:w="7771"/>
          </w:cols>
        </w:sectPr>
      </w:pPr>
    </w:p>
    <w:p>
      <w:pPr>
        <w:pStyle w:val="BodyText"/>
        <w:tabs>
          <w:tab w:pos="946" w:val="left" w:leader="none"/>
          <w:tab w:pos="2940" w:val="left" w:leader="none"/>
        </w:tabs>
        <w:spacing w:before="72"/>
        <w:ind w:left="212"/>
      </w:pPr>
      <w:r>
        <w:rPr>
          <w:w w:val="100"/>
        </w:rPr>
        <w:t> </w:t>
      </w:r>
      <w:r>
        <w:rPr/>
        <w:tab/>
      </w:r>
      <w:r>
        <w:rPr>
          <w:w w:val="100"/>
        </w:rPr>
        <w:t> </w:t>
      </w:r>
      <w:r>
        <w:rPr/>
        <w:tab/>
      </w:r>
      <w:r>
        <w:rPr>
          <w:w w:val="100"/>
        </w:rPr>
        <w:t> </w:t>
      </w:r>
    </w:p>
    <w:p>
      <w:pPr>
        <w:pStyle w:val="ListParagraph"/>
        <w:numPr>
          <w:ilvl w:val="1"/>
          <w:numId w:val="4"/>
        </w:numPr>
        <w:tabs>
          <w:tab w:pos="529" w:val="left" w:leader="none"/>
          <w:tab w:pos="946" w:val="left" w:leader="none"/>
          <w:tab w:pos="2940" w:val="left" w:leader="none"/>
        </w:tabs>
        <w:spacing w:line="240" w:lineRule="auto" w:before="12" w:after="0"/>
        <w:ind w:left="528" w:right="0" w:hanging="316"/>
        <w:jc w:val="left"/>
        <w:rPr>
          <w:sz w:val="21"/>
        </w:rPr>
      </w:pPr>
      <w:r>
        <w:rPr>
          <w:rFonts w:ascii="Microsoft JhengHei" w:eastAsia="Microsoft JhengHei" w:hint="eastAsia"/>
          <w:b/>
          <w:position w:val="2"/>
          <w:sz w:val="21"/>
        </w:rPr>
        <w:t>2</w:t>
        <w:tab/>
        <w:t>年龄错误</w:t>
        <w:tab/>
      </w:r>
      <w:r>
        <w:rPr>
          <w:sz w:val="21"/>
        </w:rPr>
        <w:t>投保</w:t>
      </w:r>
      <w:r>
        <w:rPr>
          <w:spacing w:val="-3"/>
          <w:sz w:val="21"/>
        </w:rPr>
        <w:t>人</w:t>
      </w:r>
      <w:r>
        <w:rPr>
          <w:sz w:val="21"/>
        </w:rPr>
        <w:t>在</w:t>
      </w:r>
      <w:r>
        <w:rPr>
          <w:spacing w:val="-3"/>
          <w:sz w:val="21"/>
        </w:rPr>
        <w:t>申</w:t>
      </w:r>
      <w:r>
        <w:rPr>
          <w:sz w:val="21"/>
        </w:rPr>
        <w:t>请</w:t>
      </w:r>
      <w:r>
        <w:rPr>
          <w:spacing w:val="-3"/>
          <w:sz w:val="21"/>
        </w:rPr>
        <w:t>投</w:t>
      </w:r>
      <w:r>
        <w:rPr>
          <w:sz w:val="21"/>
        </w:rPr>
        <w:t>保</w:t>
      </w:r>
      <w:r>
        <w:rPr>
          <w:spacing w:val="-3"/>
          <w:sz w:val="21"/>
        </w:rPr>
        <w:t>时</w:t>
      </w:r>
      <w:r>
        <w:rPr>
          <w:spacing w:val="-5"/>
          <w:sz w:val="21"/>
        </w:rPr>
        <w:t>，</w:t>
      </w:r>
      <w:r>
        <w:rPr>
          <w:spacing w:val="-3"/>
          <w:sz w:val="21"/>
        </w:rPr>
        <w:t>应</w:t>
      </w:r>
      <w:r>
        <w:rPr>
          <w:sz w:val="21"/>
        </w:rPr>
        <w:t>将被</w:t>
      </w:r>
      <w:r>
        <w:rPr>
          <w:spacing w:val="-3"/>
          <w:sz w:val="21"/>
        </w:rPr>
        <w:t>保</w:t>
      </w:r>
      <w:r>
        <w:rPr>
          <w:sz w:val="21"/>
        </w:rPr>
        <w:t>险</w:t>
      </w:r>
      <w:r>
        <w:rPr>
          <w:spacing w:val="-3"/>
          <w:sz w:val="21"/>
        </w:rPr>
        <w:t>人</w:t>
      </w:r>
      <w:r>
        <w:rPr>
          <w:sz w:val="21"/>
        </w:rPr>
        <w:t>的</w:t>
      </w:r>
      <w:r>
        <w:rPr>
          <w:spacing w:val="-3"/>
          <w:sz w:val="21"/>
        </w:rPr>
        <w:t>真</w:t>
      </w:r>
      <w:r>
        <w:rPr>
          <w:sz w:val="21"/>
        </w:rPr>
        <w:t>实</w:t>
      </w:r>
      <w:r>
        <w:rPr>
          <w:spacing w:val="-3"/>
          <w:sz w:val="21"/>
        </w:rPr>
        <w:t>年</w:t>
      </w:r>
      <w:r>
        <w:rPr>
          <w:sz w:val="21"/>
        </w:rPr>
        <w:t>龄</w:t>
      </w:r>
      <w:r>
        <w:rPr>
          <w:spacing w:val="-3"/>
          <w:sz w:val="21"/>
        </w:rPr>
        <w:t>在</w:t>
      </w:r>
      <w:r>
        <w:rPr>
          <w:sz w:val="21"/>
        </w:rPr>
        <w:t>投保</w:t>
      </w:r>
      <w:r>
        <w:rPr>
          <w:spacing w:val="-3"/>
          <w:sz w:val="21"/>
        </w:rPr>
        <w:t>单</w:t>
      </w:r>
      <w:r>
        <w:rPr>
          <w:sz w:val="21"/>
        </w:rPr>
        <w:t>上</w:t>
      </w:r>
      <w:r>
        <w:rPr>
          <w:spacing w:val="-3"/>
          <w:sz w:val="21"/>
        </w:rPr>
        <w:t>载明，若</w:t>
      </w:r>
      <w:r>
        <w:rPr>
          <w:sz w:val="21"/>
        </w:rPr>
        <w:t>被</w:t>
      </w:r>
      <w:r>
        <w:rPr>
          <w:spacing w:val="-3"/>
          <w:sz w:val="21"/>
        </w:rPr>
        <w:t>保险</w:t>
      </w:r>
      <w:r>
        <w:rPr>
          <w:sz w:val="21"/>
        </w:rPr>
        <w:t>人的</w:t>
      </w:r>
    </w:p>
    <w:p>
      <w:pPr>
        <w:pStyle w:val="BodyText"/>
        <w:spacing w:before="33"/>
        <w:ind w:left="2940"/>
      </w:pPr>
      <w:r>
        <w:rPr/>
        <w:t>真实年龄被错误申报，本公司将按下列规定办理： </w:t>
      </w:r>
    </w:p>
    <w:p>
      <w:pPr>
        <w:pStyle w:val="Heading3"/>
        <w:spacing w:line="180" w:lineRule="auto" w:before="117"/>
        <w:ind w:left="3416" w:right="210" w:hanging="473"/>
        <w:jc w:val="both"/>
        <w:rPr>
          <w:rFonts w:ascii="宋体" w:eastAsia="宋体" w:hint="eastAsia"/>
          <w:b w:val="0"/>
        </w:rPr>
      </w:pPr>
      <w:r>
        <w:rPr>
          <w:rFonts w:ascii="宋体" w:eastAsia="宋体" w:hint="eastAsia"/>
          <w:b w:val="0"/>
        </w:rPr>
        <w:t>（1）</w:t>
      </w:r>
      <w:r>
        <w:rPr>
          <w:spacing w:val="-3"/>
        </w:rPr>
        <w:t>投保人申报的被保险人年龄不真实，并且其真实年龄不符合本附加险合同</w:t>
      </w:r>
      <w:r>
        <w:rPr>
          <w:spacing w:val="-9"/>
        </w:rPr>
        <w:t>约定投保年龄限制的，在保险事故发生之前本公司有权解除合同或取消该被</w:t>
      </w:r>
      <w:r>
        <w:rPr>
          <w:spacing w:val="-12"/>
        </w:rPr>
        <w:t>保险人的资格，并按本附加险合同所附《退费比例表》中所列比例退还对应</w:t>
      </w:r>
      <w:r>
        <w:rPr>
          <w:spacing w:val="-11"/>
        </w:rPr>
        <w:t>的保险费。</w:t>
      </w:r>
      <w:r>
        <w:rPr>
          <w:rFonts w:ascii="宋体" w:eastAsia="宋体" w:hint="eastAsia"/>
          <w:b w:val="0"/>
        </w:rPr>
        <w:t> </w:t>
      </w:r>
    </w:p>
    <w:p>
      <w:pPr>
        <w:spacing w:line="180" w:lineRule="auto" w:before="74"/>
        <w:ind w:left="3416" w:right="210" w:hanging="473"/>
        <w:jc w:val="both"/>
        <w:rPr>
          <w:sz w:val="21"/>
        </w:rPr>
      </w:pPr>
      <w:r>
        <w:rPr>
          <w:sz w:val="21"/>
        </w:rPr>
        <w:t>（2）</w:t>
      </w:r>
      <w:r>
        <w:rPr>
          <w:rFonts w:ascii="Microsoft JhengHei" w:eastAsia="Microsoft JhengHei" w:hint="eastAsia"/>
          <w:b/>
          <w:spacing w:val="-3"/>
          <w:sz w:val="21"/>
        </w:rPr>
        <w:t>投保人申报的被保险人年龄不真实，致使投保人实付保险费少于应付保险</w:t>
      </w:r>
      <w:r>
        <w:rPr>
          <w:rFonts w:ascii="Microsoft JhengHei" w:eastAsia="Microsoft JhengHei" w:hint="eastAsia"/>
          <w:b/>
          <w:spacing w:val="-9"/>
          <w:sz w:val="21"/>
        </w:rPr>
        <w:t>费的，本公司有权更正并要求投保人补交保险费。若已经发生保险事故，在给付保险金时按实付保险费和应付保险费的比例给付。</w:t>
      </w:r>
      <w:r>
        <w:rPr>
          <w:spacing w:val="-9"/>
          <w:sz w:val="21"/>
        </w:rPr>
        <w:t> </w:t>
      </w:r>
    </w:p>
    <w:p>
      <w:pPr>
        <w:pStyle w:val="BodyText"/>
        <w:spacing w:line="271" w:lineRule="auto" w:before="73"/>
        <w:ind w:left="3444" w:right="311" w:hanging="504"/>
      </w:pPr>
      <w:r>
        <w:rPr/>
        <w:t>（3）投保人申报的被保险人年龄不真实，致使投保人实付保险费多于应付保险费的，本公司会将多收的保险费退还给投保人。 </w:t>
      </w:r>
    </w:p>
    <w:p>
      <w:pPr>
        <w:pStyle w:val="BodyText"/>
        <w:spacing w:before="65"/>
        <w:ind w:left="2940"/>
      </w:pPr>
      <w:r>
        <w:rPr>
          <w:w w:val="100"/>
        </w:rPr>
        <w:t> </w:t>
      </w:r>
    </w:p>
    <w:p>
      <w:pPr>
        <w:pStyle w:val="ListParagraph"/>
        <w:numPr>
          <w:ilvl w:val="1"/>
          <w:numId w:val="4"/>
        </w:numPr>
        <w:tabs>
          <w:tab w:pos="946" w:val="left" w:leader="none"/>
          <w:tab w:pos="947" w:val="left" w:leader="none"/>
          <w:tab w:pos="2940" w:val="left" w:leader="none"/>
        </w:tabs>
        <w:spacing w:line="187" w:lineRule="auto" w:before="75" w:after="0"/>
        <w:ind w:left="2940" w:right="208" w:hanging="2728"/>
        <w:jc w:val="left"/>
        <w:rPr>
          <w:sz w:val="21"/>
        </w:rPr>
      </w:pPr>
      <w:r>
        <w:rPr>
          <w:rFonts w:ascii="Microsoft JhengHei" w:eastAsia="Microsoft JhengHei" w:hint="eastAsia"/>
          <w:b/>
          <w:position w:val="-4"/>
          <w:sz w:val="21"/>
        </w:rPr>
        <w:t>3</w:t>
        <w:tab/>
        <w:t>被保险人变</w:t>
      </w:r>
      <w:r>
        <w:rPr>
          <w:rFonts w:ascii="Microsoft JhengHei" w:eastAsia="Microsoft JhengHei" w:hint="eastAsia"/>
          <w:b/>
          <w:spacing w:val="-3"/>
          <w:position w:val="-4"/>
          <w:sz w:val="21"/>
        </w:rPr>
        <w:t>动</w:t>
        <w:tab/>
      </w:r>
      <w:r>
        <w:rPr>
          <w:sz w:val="21"/>
        </w:rPr>
        <w:t>（</w:t>
      </w:r>
      <w:r>
        <w:rPr>
          <w:rFonts w:ascii="Times New Roman" w:eastAsia="Times New Roman"/>
          <w:sz w:val="21"/>
        </w:rPr>
        <w:t>1</w:t>
      </w:r>
      <w:r>
        <w:rPr>
          <w:sz w:val="21"/>
        </w:rPr>
        <w:t>）投</w:t>
      </w:r>
      <w:r>
        <w:rPr>
          <w:spacing w:val="-3"/>
          <w:sz w:val="21"/>
        </w:rPr>
        <w:t>保</w:t>
      </w:r>
      <w:r>
        <w:rPr>
          <w:sz w:val="21"/>
        </w:rPr>
        <w:t>人</w:t>
      </w:r>
      <w:r>
        <w:rPr>
          <w:spacing w:val="-3"/>
          <w:sz w:val="21"/>
        </w:rPr>
        <w:t>因</w:t>
      </w:r>
      <w:r>
        <w:rPr>
          <w:sz w:val="21"/>
        </w:rPr>
        <w:t>在</w:t>
      </w:r>
      <w:r>
        <w:rPr>
          <w:spacing w:val="-3"/>
          <w:sz w:val="21"/>
        </w:rPr>
        <w:t>职</w:t>
      </w:r>
      <w:r>
        <w:rPr>
          <w:sz w:val="21"/>
        </w:rPr>
        <w:t>人</w:t>
      </w:r>
      <w:r>
        <w:rPr>
          <w:spacing w:val="-3"/>
          <w:sz w:val="21"/>
        </w:rPr>
        <w:t>员变</w:t>
      </w:r>
      <w:r>
        <w:rPr>
          <w:sz w:val="21"/>
        </w:rPr>
        <w:t>动需</w:t>
      </w:r>
      <w:r>
        <w:rPr>
          <w:spacing w:val="-3"/>
          <w:sz w:val="21"/>
        </w:rPr>
        <w:t>要</w:t>
      </w:r>
      <w:r>
        <w:rPr>
          <w:sz w:val="21"/>
        </w:rPr>
        <w:t>增</w:t>
      </w:r>
      <w:r>
        <w:rPr>
          <w:spacing w:val="-3"/>
          <w:sz w:val="21"/>
        </w:rPr>
        <w:t>加</w:t>
      </w:r>
      <w:r>
        <w:rPr>
          <w:sz w:val="21"/>
        </w:rPr>
        <w:t>被</w:t>
      </w:r>
      <w:r>
        <w:rPr>
          <w:spacing w:val="-3"/>
          <w:sz w:val="21"/>
        </w:rPr>
        <w:t>保</w:t>
      </w:r>
      <w:r>
        <w:rPr>
          <w:sz w:val="21"/>
        </w:rPr>
        <w:t>险</w:t>
      </w:r>
      <w:r>
        <w:rPr>
          <w:spacing w:val="-3"/>
          <w:sz w:val="21"/>
        </w:rPr>
        <w:t>人</w:t>
      </w:r>
      <w:r>
        <w:rPr>
          <w:sz w:val="21"/>
        </w:rPr>
        <w:t>的</w:t>
      </w:r>
      <w:r>
        <w:rPr>
          <w:spacing w:val="-3"/>
          <w:sz w:val="21"/>
        </w:rPr>
        <w:t>，</w:t>
      </w:r>
      <w:r>
        <w:rPr>
          <w:sz w:val="21"/>
        </w:rPr>
        <w:t>应以</w:t>
      </w:r>
      <w:r>
        <w:rPr>
          <w:spacing w:val="-3"/>
          <w:sz w:val="21"/>
        </w:rPr>
        <w:t>书</w:t>
      </w:r>
      <w:r>
        <w:rPr>
          <w:sz w:val="21"/>
        </w:rPr>
        <w:t>面</w:t>
      </w:r>
      <w:r>
        <w:rPr>
          <w:spacing w:val="-3"/>
          <w:sz w:val="21"/>
        </w:rPr>
        <w:t>形</w:t>
      </w:r>
      <w:r>
        <w:rPr>
          <w:sz w:val="21"/>
        </w:rPr>
        <w:t>式</w:t>
      </w:r>
      <w:r>
        <w:rPr>
          <w:spacing w:val="-3"/>
          <w:sz w:val="21"/>
        </w:rPr>
        <w:t>通</w:t>
      </w:r>
      <w:r>
        <w:rPr>
          <w:sz w:val="21"/>
        </w:rPr>
        <w:t>知</w:t>
      </w:r>
      <w:r>
        <w:rPr>
          <w:spacing w:val="-3"/>
          <w:sz w:val="21"/>
        </w:rPr>
        <w:t>本</w:t>
      </w:r>
      <w:r>
        <w:rPr>
          <w:sz w:val="21"/>
        </w:rPr>
        <w:t>公</w:t>
      </w:r>
      <w:r>
        <w:rPr>
          <w:spacing w:val="-3"/>
          <w:sz w:val="21"/>
        </w:rPr>
        <w:t>司</w:t>
      </w:r>
      <w:r>
        <w:rPr>
          <w:sz w:val="21"/>
        </w:rPr>
        <w:t>并提供</w:t>
      </w:r>
      <w:r>
        <w:rPr>
          <w:spacing w:val="-3"/>
          <w:sz w:val="21"/>
        </w:rPr>
        <w:t>相</w:t>
      </w:r>
      <w:r>
        <w:rPr>
          <w:sz w:val="21"/>
        </w:rPr>
        <w:t>关</w:t>
      </w:r>
      <w:r>
        <w:rPr>
          <w:spacing w:val="-3"/>
          <w:sz w:val="21"/>
        </w:rPr>
        <w:t>证</w:t>
      </w:r>
      <w:r>
        <w:rPr>
          <w:sz w:val="21"/>
        </w:rPr>
        <w:t>明</w:t>
      </w:r>
      <w:r>
        <w:rPr>
          <w:spacing w:val="-3"/>
          <w:sz w:val="21"/>
        </w:rPr>
        <w:t>及</w:t>
      </w:r>
      <w:r>
        <w:rPr>
          <w:sz w:val="21"/>
        </w:rPr>
        <w:t>资料</w:t>
      </w:r>
      <w:r>
        <w:rPr>
          <w:spacing w:val="-10"/>
          <w:sz w:val="21"/>
        </w:rPr>
        <w:t>。</w:t>
      </w:r>
      <w:r>
        <w:rPr>
          <w:spacing w:val="-3"/>
          <w:sz w:val="21"/>
        </w:rPr>
        <w:t>本</w:t>
      </w:r>
      <w:r>
        <w:rPr>
          <w:sz w:val="21"/>
        </w:rPr>
        <w:t>公司</w:t>
      </w:r>
      <w:r>
        <w:rPr>
          <w:spacing w:val="-3"/>
          <w:sz w:val="21"/>
        </w:rPr>
        <w:t>在</w:t>
      </w:r>
      <w:r>
        <w:rPr>
          <w:sz w:val="21"/>
        </w:rPr>
        <w:t>审</w:t>
      </w:r>
      <w:r>
        <w:rPr>
          <w:spacing w:val="-3"/>
          <w:sz w:val="21"/>
        </w:rPr>
        <w:t>核</w:t>
      </w:r>
      <w:r>
        <w:rPr>
          <w:sz w:val="21"/>
        </w:rPr>
        <w:t>同</w:t>
      </w:r>
      <w:r>
        <w:rPr>
          <w:spacing w:val="-3"/>
          <w:sz w:val="21"/>
        </w:rPr>
        <w:t>意</w:t>
      </w:r>
      <w:r>
        <w:rPr>
          <w:sz w:val="21"/>
        </w:rPr>
        <w:t>后</w:t>
      </w:r>
      <w:r>
        <w:rPr>
          <w:spacing w:val="-3"/>
          <w:sz w:val="21"/>
        </w:rPr>
        <w:t>按</w:t>
      </w:r>
      <w:r>
        <w:rPr>
          <w:sz w:val="21"/>
        </w:rPr>
        <w:t>新</w:t>
      </w:r>
      <w:r>
        <w:rPr>
          <w:spacing w:val="-3"/>
          <w:sz w:val="21"/>
        </w:rPr>
        <w:t>增</w:t>
      </w:r>
      <w:r>
        <w:rPr>
          <w:sz w:val="21"/>
        </w:rPr>
        <w:t>被保</w:t>
      </w:r>
      <w:r>
        <w:rPr>
          <w:spacing w:val="-3"/>
          <w:sz w:val="21"/>
        </w:rPr>
        <w:t>险</w:t>
      </w:r>
      <w:r>
        <w:rPr>
          <w:sz w:val="21"/>
        </w:rPr>
        <w:t>人</w:t>
      </w:r>
      <w:r>
        <w:rPr>
          <w:spacing w:val="-3"/>
          <w:sz w:val="21"/>
        </w:rPr>
        <w:t>的</w:t>
      </w:r>
      <w:r>
        <w:rPr>
          <w:sz w:val="21"/>
        </w:rPr>
        <w:t>年</w:t>
      </w:r>
      <w:r>
        <w:rPr>
          <w:spacing w:val="-3"/>
          <w:sz w:val="21"/>
        </w:rPr>
        <w:t>交</w:t>
      </w:r>
      <w:r>
        <w:rPr>
          <w:sz w:val="21"/>
        </w:rPr>
        <w:t>保</w:t>
      </w:r>
      <w:r>
        <w:rPr>
          <w:spacing w:val="-3"/>
          <w:sz w:val="21"/>
        </w:rPr>
        <w:t>费</w:t>
      </w:r>
      <w:r>
        <w:rPr>
          <w:sz w:val="21"/>
        </w:rPr>
        <w:t>乘</w:t>
      </w:r>
      <w:r>
        <w:rPr>
          <w:spacing w:val="-3"/>
          <w:sz w:val="21"/>
        </w:rPr>
        <w:t>以</w:t>
      </w:r>
      <w:r>
        <w:rPr>
          <w:sz w:val="21"/>
        </w:rPr>
        <w:t>下表</w:t>
      </w:r>
    </w:p>
    <w:p>
      <w:pPr>
        <w:pStyle w:val="BodyText"/>
        <w:spacing w:line="237" w:lineRule="auto" w:before="1" w:after="33"/>
        <w:ind w:left="2940" w:right="175"/>
      </w:pPr>
      <w:r>
        <w:rPr/>
        <w:t>中对应收费比例收取保险费，并于收取保险费的次日零时起，对新增被保险人承担保险责任。</w:t>
      </w:r>
    </w:p>
    <w:tbl>
      <w:tblPr>
        <w:tblW w:w="0" w:type="auto"/>
        <w:jc w:val="left"/>
        <w:tblInd w:w="3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1" w:hRule="atLeast"/>
        </w:trPr>
        <w:tc>
          <w:tcPr>
            <w:tcW w:w="2669" w:type="dxa"/>
          </w:tcPr>
          <w:p>
            <w:pPr>
              <w:pStyle w:val="TableParagraph"/>
              <w:spacing w:line="267" w:lineRule="exact"/>
              <w:ind w:left="128" w:right="180"/>
              <w:jc w:val="center"/>
              <w:rPr>
                <w:sz w:val="21"/>
              </w:rPr>
            </w:pPr>
            <w:r>
              <w:rPr>
                <w:sz w:val="21"/>
              </w:rPr>
              <w:t>保险期间 </w:t>
            </w:r>
          </w:p>
        </w:tc>
        <w:tc>
          <w:tcPr>
            <w:tcW w:w="3466" w:type="dxa"/>
          </w:tcPr>
          <w:p>
            <w:pPr>
              <w:pStyle w:val="TableParagraph"/>
              <w:spacing w:line="267" w:lineRule="exact"/>
              <w:ind w:left="211" w:right="368"/>
              <w:jc w:val="center"/>
              <w:rPr>
                <w:sz w:val="21"/>
              </w:rPr>
            </w:pPr>
            <w:r>
              <w:rPr>
                <w:sz w:val="21"/>
              </w:rPr>
              <w:t>收费比例</w:t>
            </w:r>
          </w:p>
        </w:tc>
      </w:tr>
      <w:tr>
        <w:trPr>
          <w:trHeight w:val="301" w:hRule="atLeast"/>
        </w:trPr>
        <w:tc>
          <w:tcPr>
            <w:tcW w:w="2669" w:type="dxa"/>
          </w:tcPr>
          <w:p>
            <w:pPr>
              <w:pStyle w:val="TableParagraph"/>
              <w:spacing w:line="267" w:lineRule="exact"/>
              <w:ind w:left="128" w:right="180"/>
              <w:jc w:val="center"/>
              <w:rPr>
                <w:sz w:val="21"/>
              </w:rPr>
            </w:pPr>
            <w:r>
              <w:rPr>
                <w:sz w:val="21"/>
              </w:rPr>
              <w:t>不足 15 天 </w:t>
            </w:r>
          </w:p>
        </w:tc>
        <w:tc>
          <w:tcPr>
            <w:tcW w:w="3466" w:type="dxa"/>
          </w:tcPr>
          <w:p>
            <w:pPr>
              <w:pStyle w:val="TableParagraph"/>
              <w:spacing w:line="267" w:lineRule="exact"/>
              <w:ind w:left="317" w:right="368"/>
              <w:jc w:val="center"/>
              <w:rPr>
                <w:sz w:val="21"/>
              </w:rPr>
            </w:pPr>
            <w:r>
              <w:rPr>
                <w:sz w:val="21"/>
              </w:rPr>
              <w:t>2.5÷360×保险期间经过天数 </w:t>
            </w:r>
          </w:p>
        </w:tc>
      </w:tr>
      <w:tr>
        <w:trPr>
          <w:trHeight w:val="301" w:hRule="atLeast"/>
        </w:trPr>
        <w:tc>
          <w:tcPr>
            <w:tcW w:w="2669" w:type="dxa"/>
          </w:tcPr>
          <w:p>
            <w:pPr>
              <w:pStyle w:val="TableParagraph"/>
              <w:spacing w:line="267" w:lineRule="exact"/>
              <w:ind w:left="128" w:right="181"/>
              <w:jc w:val="center"/>
              <w:rPr>
                <w:sz w:val="21"/>
              </w:rPr>
            </w:pPr>
            <w:r>
              <w:rPr>
                <w:sz w:val="21"/>
              </w:rPr>
              <w:t>足 15 天但少于 1 个月 </w:t>
            </w:r>
          </w:p>
        </w:tc>
        <w:tc>
          <w:tcPr>
            <w:tcW w:w="3466" w:type="dxa"/>
          </w:tcPr>
          <w:p>
            <w:pPr>
              <w:pStyle w:val="TableParagraph"/>
              <w:spacing w:line="267" w:lineRule="exact"/>
              <w:ind w:left="312" w:right="368"/>
              <w:jc w:val="center"/>
              <w:rPr>
                <w:sz w:val="21"/>
              </w:rPr>
            </w:pPr>
            <w:r>
              <w:rPr>
                <w:sz w:val="21"/>
              </w:rPr>
              <w:t>20% </w:t>
            </w:r>
          </w:p>
        </w:tc>
      </w:tr>
      <w:tr>
        <w:trPr>
          <w:trHeight w:val="301" w:hRule="atLeast"/>
        </w:trPr>
        <w:tc>
          <w:tcPr>
            <w:tcW w:w="2669" w:type="dxa"/>
          </w:tcPr>
          <w:p>
            <w:pPr>
              <w:pStyle w:val="TableParagraph"/>
              <w:spacing w:line="267" w:lineRule="exact"/>
              <w:ind w:left="128" w:right="181"/>
              <w:jc w:val="center"/>
              <w:rPr>
                <w:sz w:val="21"/>
              </w:rPr>
            </w:pPr>
            <w:r>
              <w:rPr>
                <w:sz w:val="21"/>
              </w:rPr>
              <w:t>足 1 个月但少于 2 个月 </w:t>
            </w:r>
          </w:p>
        </w:tc>
        <w:tc>
          <w:tcPr>
            <w:tcW w:w="3466" w:type="dxa"/>
          </w:tcPr>
          <w:p>
            <w:pPr>
              <w:pStyle w:val="TableParagraph"/>
              <w:spacing w:line="267" w:lineRule="exact"/>
              <w:ind w:left="312" w:right="368"/>
              <w:jc w:val="center"/>
              <w:rPr>
                <w:sz w:val="21"/>
              </w:rPr>
            </w:pPr>
            <w:r>
              <w:rPr>
                <w:sz w:val="21"/>
              </w:rPr>
              <w:t>30% </w:t>
            </w:r>
          </w:p>
        </w:tc>
      </w:tr>
    </w:tbl>
    <w:p>
      <w:pPr>
        <w:spacing w:after="0" w:line="267" w:lineRule="exact"/>
        <w:jc w:val="center"/>
        <w:rPr>
          <w:sz w:val="21"/>
        </w:rPr>
        <w:sectPr>
          <w:type w:val="continuous"/>
          <w:pgSz w:w="11900" w:h="16840"/>
          <w:pgMar w:top="360" w:bottom="280" w:left="1000" w:right="400"/>
        </w:sectPr>
      </w:pPr>
    </w:p>
    <w:tbl>
      <w:tblPr>
        <w:tblW w:w="0" w:type="auto"/>
        <w:jc w:val="left"/>
        <w:tblInd w:w="3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9"/>
        <w:gridCol w:w="3466"/>
      </w:tblGrid>
      <w:tr>
        <w:trPr>
          <w:trHeight w:val="302" w:hRule="atLeast"/>
        </w:trPr>
        <w:tc>
          <w:tcPr>
            <w:tcW w:w="2669" w:type="dxa"/>
          </w:tcPr>
          <w:p>
            <w:pPr>
              <w:pStyle w:val="TableParagraph"/>
              <w:spacing w:line="267" w:lineRule="exact"/>
              <w:ind w:left="199"/>
              <w:rPr>
                <w:sz w:val="21"/>
              </w:rPr>
            </w:pPr>
            <w:r>
              <w:rPr>
                <w:sz w:val="21"/>
              </w:rPr>
              <w:t>足 2 个月但少于 3 个月 </w:t>
            </w:r>
          </w:p>
        </w:tc>
        <w:tc>
          <w:tcPr>
            <w:tcW w:w="3466" w:type="dxa"/>
          </w:tcPr>
          <w:p>
            <w:pPr>
              <w:pStyle w:val="TableParagraph"/>
              <w:spacing w:line="267" w:lineRule="exact"/>
              <w:ind w:left="1490"/>
              <w:rPr>
                <w:sz w:val="21"/>
              </w:rPr>
            </w:pPr>
            <w:r>
              <w:rPr>
                <w:sz w:val="21"/>
              </w:rPr>
              <w:t>40% </w:t>
            </w:r>
          </w:p>
        </w:tc>
      </w:tr>
      <w:tr>
        <w:trPr>
          <w:trHeight w:val="302" w:hRule="atLeast"/>
        </w:trPr>
        <w:tc>
          <w:tcPr>
            <w:tcW w:w="2669" w:type="dxa"/>
          </w:tcPr>
          <w:p>
            <w:pPr>
              <w:pStyle w:val="TableParagraph"/>
              <w:spacing w:line="267" w:lineRule="exact"/>
              <w:ind w:left="199"/>
              <w:rPr>
                <w:sz w:val="21"/>
              </w:rPr>
            </w:pPr>
            <w:r>
              <w:rPr>
                <w:sz w:val="21"/>
              </w:rPr>
              <w:t>足 3 个月但少于 4 个月 </w:t>
            </w:r>
          </w:p>
        </w:tc>
        <w:tc>
          <w:tcPr>
            <w:tcW w:w="3466" w:type="dxa"/>
          </w:tcPr>
          <w:p>
            <w:pPr>
              <w:pStyle w:val="TableParagraph"/>
              <w:spacing w:line="267" w:lineRule="exact"/>
              <w:ind w:left="1490"/>
              <w:rPr>
                <w:sz w:val="21"/>
              </w:rPr>
            </w:pPr>
            <w:r>
              <w:rPr>
                <w:sz w:val="21"/>
              </w:rPr>
              <w:t>50% </w:t>
            </w:r>
          </w:p>
        </w:tc>
      </w:tr>
      <w:tr>
        <w:trPr>
          <w:trHeight w:val="302" w:hRule="atLeast"/>
        </w:trPr>
        <w:tc>
          <w:tcPr>
            <w:tcW w:w="2669" w:type="dxa"/>
          </w:tcPr>
          <w:p>
            <w:pPr>
              <w:pStyle w:val="TableParagraph"/>
              <w:spacing w:line="267" w:lineRule="exact"/>
              <w:ind w:left="199"/>
              <w:rPr>
                <w:sz w:val="21"/>
              </w:rPr>
            </w:pPr>
            <w:r>
              <w:rPr>
                <w:sz w:val="21"/>
              </w:rPr>
              <w:t>足 4 个月但少于 5 个月 </w:t>
            </w:r>
          </w:p>
        </w:tc>
        <w:tc>
          <w:tcPr>
            <w:tcW w:w="3466" w:type="dxa"/>
          </w:tcPr>
          <w:p>
            <w:pPr>
              <w:pStyle w:val="TableParagraph"/>
              <w:spacing w:line="267" w:lineRule="exact"/>
              <w:ind w:left="1490"/>
              <w:rPr>
                <w:sz w:val="21"/>
              </w:rPr>
            </w:pPr>
            <w:r>
              <w:rPr>
                <w:sz w:val="21"/>
              </w:rPr>
              <w:t>60% </w:t>
            </w:r>
          </w:p>
        </w:tc>
      </w:tr>
      <w:tr>
        <w:trPr>
          <w:trHeight w:val="302" w:hRule="atLeast"/>
        </w:trPr>
        <w:tc>
          <w:tcPr>
            <w:tcW w:w="2669" w:type="dxa"/>
          </w:tcPr>
          <w:p>
            <w:pPr>
              <w:pStyle w:val="TableParagraph"/>
              <w:spacing w:line="267" w:lineRule="exact"/>
              <w:ind w:left="199"/>
              <w:rPr>
                <w:sz w:val="21"/>
              </w:rPr>
            </w:pPr>
            <w:r>
              <w:rPr>
                <w:sz w:val="21"/>
              </w:rPr>
              <w:t>足 5 个月但少于 6 个月 </w:t>
            </w:r>
          </w:p>
        </w:tc>
        <w:tc>
          <w:tcPr>
            <w:tcW w:w="3466" w:type="dxa"/>
          </w:tcPr>
          <w:p>
            <w:pPr>
              <w:pStyle w:val="TableParagraph"/>
              <w:spacing w:line="267" w:lineRule="exact"/>
              <w:ind w:left="1490"/>
              <w:rPr>
                <w:sz w:val="21"/>
              </w:rPr>
            </w:pPr>
            <w:r>
              <w:rPr>
                <w:sz w:val="21"/>
              </w:rPr>
              <w:t>70% </w:t>
            </w:r>
          </w:p>
        </w:tc>
      </w:tr>
      <w:tr>
        <w:trPr>
          <w:trHeight w:val="301" w:hRule="atLeast"/>
        </w:trPr>
        <w:tc>
          <w:tcPr>
            <w:tcW w:w="2669" w:type="dxa"/>
          </w:tcPr>
          <w:p>
            <w:pPr>
              <w:pStyle w:val="TableParagraph"/>
              <w:spacing w:line="267" w:lineRule="exact"/>
              <w:ind w:left="199"/>
              <w:rPr>
                <w:sz w:val="21"/>
              </w:rPr>
            </w:pPr>
            <w:r>
              <w:rPr>
                <w:sz w:val="21"/>
              </w:rPr>
              <w:t>足 6 个月但少于 7 个月 </w:t>
            </w:r>
          </w:p>
        </w:tc>
        <w:tc>
          <w:tcPr>
            <w:tcW w:w="3466" w:type="dxa"/>
          </w:tcPr>
          <w:p>
            <w:pPr>
              <w:pStyle w:val="TableParagraph"/>
              <w:spacing w:line="267" w:lineRule="exact"/>
              <w:ind w:left="1490"/>
              <w:rPr>
                <w:sz w:val="21"/>
              </w:rPr>
            </w:pPr>
            <w:r>
              <w:rPr>
                <w:sz w:val="21"/>
              </w:rPr>
              <w:t>75% </w:t>
            </w:r>
          </w:p>
        </w:tc>
      </w:tr>
      <w:tr>
        <w:trPr>
          <w:trHeight w:val="302" w:hRule="atLeast"/>
        </w:trPr>
        <w:tc>
          <w:tcPr>
            <w:tcW w:w="2669" w:type="dxa"/>
          </w:tcPr>
          <w:p>
            <w:pPr>
              <w:pStyle w:val="TableParagraph"/>
              <w:spacing w:line="267" w:lineRule="exact"/>
              <w:ind w:left="199"/>
              <w:rPr>
                <w:sz w:val="21"/>
              </w:rPr>
            </w:pPr>
            <w:r>
              <w:rPr>
                <w:sz w:val="21"/>
              </w:rPr>
              <w:t>足 7 个月但少于 8 个月 </w:t>
            </w:r>
          </w:p>
        </w:tc>
        <w:tc>
          <w:tcPr>
            <w:tcW w:w="3466" w:type="dxa"/>
          </w:tcPr>
          <w:p>
            <w:pPr>
              <w:pStyle w:val="TableParagraph"/>
              <w:spacing w:line="267" w:lineRule="exact"/>
              <w:ind w:left="1490"/>
              <w:rPr>
                <w:sz w:val="21"/>
              </w:rPr>
            </w:pPr>
            <w:r>
              <w:rPr>
                <w:sz w:val="21"/>
              </w:rPr>
              <w:t>80% </w:t>
            </w:r>
          </w:p>
        </w:tc>
      </w:tr>
      <w:tr>
        <w:trPr>
          <w:trHeight w:val="302" w:hRule="atLeast"/>
        </w:trPr>
        <w:tc>
          <w:tcPr>
            <w:tcW w:w="2669" w:type="dxa"/>
          </w:tcPr>
          <w:p>
            <w:pPr>
              <w:pStyle w:val="TableParagraph"/>
              <w:spacing w:line="267" w:lineRule="exact"/>
              <w:ind w:left="199"/>
              <w:rPr>
                <w:sz w:val="21"/>
              </w:rPr>
            </w:pPr>
            <w:r>
              <w:rPr>
                <w:sz w:val="21"/>
              </w:rPr>
              <w:t>足 8 个月但少于 9 个月 </w:t>
            </w:r>
          </w:p>
        </w:tc>
        <w:tc>
          <w:tcPr>
            <w:tcW w:w="3466" w:type="dxa"/>
          </w:tcPr>
          <w:p>
            <w:pPr>
              <w:pStyle w:val="TableParagraph"/>
              <w:spacing w:line="267" w:lineRule="exact"/>
              <w:ind w:left="1490"/>
              <w:rPr>
                <w:sz w:val="21"/>
              </w:rPr>
            </w:pPr>
            <w:r>
              <w:rPr>
                <w:sz w:val="21"/>
              </w:rPr>
              <w:t>85% </w:t>
            </w:r>
          </w:p>
        </w:tc>
      </w:tr>
      <w:tr>
        <w:trPr>
          <w:trHeight w:val="302" w:hRule="atLeast"/>
        </w:trPr>
        <w:tc>
          <w:tcPr>
            <w:tcW w:w="2669" w:type="dxa"/>
          </w:tcPr>
          <w:p>
            <w:pPr>
              <w:pStyle w:val="TableParagraph"/>
              <w:spacing w:line="267" w:lineRule="exact"/>
              <w:ind w:right="199"/>
              <w:jc w:val="right"/>
              <w:rPr>
                <w:sz w:val="21"/>
              </w:rPr>
            </w:pPr>
            <w:r>
              <w:rPr>
                <w:sz w:val="21"/>
              </w:rPr>
              <w:t>足 9 个月但少于 10 个月 </w:t>
            </w:r>
          </w:p>
        </w:tc>
        <w:tc>
          <w:tcPr>
            <w:tcW w:w="3466" w:type="dxa"/>
          </w:tcPr>
          <w:p>
            <w:pPr>
              <w:pStyle w:val="TableParagraph"/>
              <w:spacing w:line="267" w:lineRule="exact"/>
              <w:ind w:left="1490"/>
              <w:rPr>
                <w:sz w:val="21"/>
              </w:rPr>
            </w:pPr>
            <w:r>
              <w:rPr>
                <w:sz w:val="21"/>
              </w:rPr>
              <w:t>90% </w:t>
            </w:r>
          </w:p>
        </w:tc>
      </w:tr>
      <w:tr>
        <w:trPr>
          <w:trHeight w:val="302" w:hRule="atLeast"/>
        </w:trPr>
        <w:tc>
          <w:tcPr>
            <w:tcW w:w="2669" w:type="dxa"/>
          </w:tcPr>
          <w:p>
            <w:pPr>
              <w:pStyle w:val="TableParagraph"/>
              <w:spacing w:line="267" w:lineRule="exact"/>
              <w:ind w:right="146"/>
              <w:jc w:val="right"/>
              <w:rPr>
                <w:sz w:val="21"/>
              </w:rPr>
            </w:pPr>
            <w:r>
              <w:rPr>
                <w:spacing w:val="-25"/>
                <w:sz w:val="21"/>
              </w:rPr>
              <w:t>足 </w:t>
            </w:r>
            <w:r>
              <w:rPr>
                <w:sz w:val="21"/>
              </w:rPr>
              <w:t>10</w:t>
            </w:r>
            <w:r>
              <w:rPr>
                <w:spacing w:val="-17"/>
                <w:sz w:val="21"/>
              </w:rPr>
              <w:t> 个月但少于 </w:t>
            </w:r>
            <w:r>
              <w:rPr>
                <w:sz w:val="21"/>
              </w:rPr>
              <w:t>11</w:t>
            </w:r>
            <w:r>
              <w:rPr>
                <w:spacing w:val="-19"/>
                <w:sz w:val="21"/>
              </w:rPr>
              <w:t> 个月</w:t>
            </w:r>
            <w:r>
              <w:rPr>
                <w:sz w:val="21"/>
              </w:rPr>
              <w:t> </w:t>
            </w:r>
          </w:p>
        </w:tc>
        <w:tc>
          <w:tcPr>
            <w:tcW w:w="3466" w:type="dxa"/>
          </w:tcPr>
          <w:p>
            <w:pPr>
              <w:pStyle w:val="TableParagraph"/>
              <w:spacing w:line="267" w:lineRule="exact"/>
              <w:ind w:left="1490"/>
              <w:rPr>
                <w:sz w:val="21"/>
              </w:rPr>
            </w:pPr>
            <w:r>
              <w:rPr>
                <w:sz w:val="21"/>
              </w:rPr>
              <w:t>95% </w:t>
            </w:r>
          </w:p>
        </w:tc>
      </w:tr>
      <w:tr>
        <w:trPr>
          <w:trHeight w:val="301" w:hRule="atLeast"/>
        </w:trPr>
        <w:tc>
          <w:tcPr>
            <w:tcW w:w="2669" w:type="dxa"/>
          </w:tcPr>
          <w:p>
            <w:pPr>
              <w:pStyle w:val="TableParagraph"/>
              <w:spacing w:line="267" w:lineRule="exact"/>
              <w:ind w:right="146"/>
              <w:jc w:val="right"/>
              <w:rPr>
                <w:sz w:val="21"/>
              </w:rPr>
            </w:pPr>
            <w:r>
              <w:rPr>
                <w:spacing w:val="-25"/>
                <w:sz w:val="21"/>
              </w:rPr>
              <w:t>足 </w:t>
            </w:r>
            <w:r>
              <w:rPr>
                <w:sz w:val="21"/>
              </w:rPr>
              <w:t>11</w:t>
            </w:r>
            <w:r>
              <w:rPr>
                <w:spacing w:val="-17"/>
                <w:sz w:val="21"/>
              </w:rPr>
              <w:t> 个月但少于 </w:t>
            </w:r>
            <w:r>
              <w:rPr>
                <w:sz w:val="21"/>
              </w:rPr>
              <w:t>12</w:t>
            </w:r>
            <w:r>
              <w:rPr>
                <w:spacing w:val="-19"/>
                <w:sz w:val="21"/>
              </w:rPr>
              <w:t> 个月</w:t>
            </w:r>
            <w:r>
              <w:rPr>
                <w:sz w:val="21"/>
              </w:rPr>
              <w:t> </w:t>
            </w:r>
          </w:p>
        </w:tc>
        <w:tc>
          <w:tcPr>
            <w:tcW w:w="3466" w:type="dxa"/>
          </w:tcPr>
          <w:p>
            <w:pPr>
              <w:pStyle w:val="TableParagraph"/>
              <w:spacing w:line="267" w:lineRule="exact"/>
              <w:ind w:left="1437"/>
              <w:rPr>
                <w:sz w:val="21"/>
              </w:rPr>
            </w:pPr>
            <w:r>
              <w:rPr>
                <w:sz w:val="21"/>
              </w:rPr>
              <w:t>100% </w:t>
            </w:r>
          </w:p>
        </w:tc>
      </w:tr>
    </w:tbl>
    <w:p>
      <w:pPr>
        <w:pStyle w:val="BodyText"/>
        <w:spacing w:line="237" w:lineRule="auto" w:before="0"/>
        <w:ind w:left="2940" w:right="208"/>
      </w:pPr>
      <w:r>
        <w:rPr/>
        <w:t>（2）</w:t>
      </w:r>
      <w:r>
        <w:rPr>
          <w:spacing w:val="-3"/>
        </w:rPr>
        <w:t>投保人因在职人员变动需要减少被保险人的，应以书面形式通知本公司并</w:t>
      </w:r>
      <w:r>
        <w:rPr>
          <w:spacing w:val="-5"/>
        </w:rPr>
        <w:t>提供相关证明及资料，本公司对该被保险人承担的保险责任至通知到达之日 </w:t>
      </w:r>
      <w:r>
        <w:rPr/>
        <w:t>24 </w:t>
      </w:r>
      <w:r>
        <w:rPr>
          <w:spacing w:val="-3"/>
        </w:rPr>
        <w:t>时终止。本公司将按本附加险合同所附《退费比例表》中所列比例向投保人退还该被保险人对应的保险费。 </w:t>
      </w:r>
    </w:p>
    <w:p>
      <w:pPr>
        <w:pStyle w:val="Heading3"/>
        <w:spacing w:line="180" w:lineRule="auto" w:before="52"/>
        <w:ind w:left="2940" w:right="208"/>
        <w:jc w:val="both"/>
      </w:pPr>
      <w:r>
        <w:rPr>
          <w:spacing w:val="-16"/>
          <w:w w:val="95"/>
        </w:rPr>
        <w:t>（3）</w:t>
      </w:r>
      <w:r>
        <w:rPr>
          <w:spacing w:val="2"/>
          <w:w w:val="95"/>
        </w:rPr>
        <w:t>被保险人人数低于 </w:t>
      </w:r>
      <w:r>
        <w:rPr>
          <w:w w:val="95"/>
        </w:rPr>
        <w:t>5</w:t>
      </w:r>
      <w:r>
        <w:rPr>
          <w:spacing w:val="-1"/>
          <w:w w:val="95"/>
        </w:rPr>
        <w:t> 人或低于有资格参加本保险的人数的 </w:t>
      </w:r>
      <w:r>
        <w:rPr>
          <w:w w:val="95"/>
        </w:rPr>
        <w:t>75</w:t>
      </w:r>
      <w:r>
        <w:rPr>
          <w:spacing w:val="-9"/>
          <w:w w:val="95"/>
        </w:rPr>
        <w:t>%时，本公司有</w:t>
      </w:r>
      <w:r>
        <w:rPr>
          <w:spacing w:val="-5"/>
        </w:rPr>
        <w:t>权解除本附加险合同，并按本附加险合同所附《退费比例表》中所列比例向投保人退还本附加险合同项下未发生保险事故的各被保险人对应的保险费。</w:t>
      </w:r>
    </w:p>
    <w:p>
      <w:pPr>
        <w:pStyle w:val="BodyText"/>
        <w:spacing w:before="49"/>
        <w:ind w:left="2940"/>
      </w:pPr>
      <w:r>
        <w:rPr>
          <w:w w:val="100"/>
        </w:rPr>
        <w:t> </w:t>
      </w:r>
    </w:p>
    <w:p>
      <w:pPr>
        <w:pStyle w:val="ListParagraph"/>
        <w:numPr>
          <w:ilvl w:val="1"/>
          <w:numId w:val="4"/>
        </w:numPr>
        <w:tabs>
          <w:tab w:pos="947" w:val="left" w:leader="none"/>
          <w:tab w:pos="2940" w:val="left" w:leader="none"/>
        </w:tabs>
        <w:spacing w:line="228" w:lineRule="auto" w:before="27" w:after="0"/>
        <w:ind w:left="2940" w:right="210" w:hanging="2728"/>
        <w:jc w:val="both"/>
        <w:rPr>
          <w:sz w:val="21"/>
        </w:rPr>
      </w:pPr>
      <w:r>
        <w:rPr>
          <w:rFonts w:ascii="Microsoft JhengHei" w:eastAsia="Microsoft JhengHei" w:hint="eastAsia"/>
          <w:b/>
          <w:sz w:val="21"/>
        </w:rPr>
        <w:t>4   </w:t>
      </w:r>
      <w:r>
        <w:rPr>
          <w:rFonts w:ascii="Microsoft JhengHei" w:eastAsia="Microsoft JhengHei" w:hint="eastAsia"/>
          <w:b/>
          <w:spacing w:val="8"/>
          <w:sz w:val="21"/>
        </w:rPr>
        <w:t> </w:t>
      </w:r>
      <w:r>
        <w:rPr>
          <w:rFonts w:ascii="Microsoft JhengHei" w:eastAsia="Microsoft JhengHei" w:hint="eastAsia"/>
          <w:b/>
          <w:sz w:val="21"/>
        </w:rPr>
        <w:t>合 同 内 容 变更</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内，经</w:t>
      </w:r>
      <w:r>
        <w:rPr>
          <w:sz w:val="21"/>
        </w:rPr>
        <w:t>投</w:t>
      </w:r>
      <w:r>
        <w:rPr>
          <w:spacing w:val="-3"/>
          <w:sz w:val="21"/>
        </w:rPr>
        <w:t>保</w:t>
      </w:r>
      <w:r>
        <w:rPr>
          <w:sz w:val="21"/>
        </w:rPr>
        <w:t>人</w:t>
      </w:r>
      <w:r>
        <w:rPr>
          <w:spacing w:val="-3"/>
          <w:sz w:val="21"/>
        </w:rPr>
        <w:t>与</w:t>
      </w:r>
      <w:r>
        <w:rPr>
          <w:sz w:val="21"/>
        </w:rPr>
        <w:t>本</w:t>
      </w:r>
      <w:r>
        <w:rPr>
          <w:spacing w:val="-3"/>
          <w:sz w:val="21"/>
        </w:rPr>
        <w:t>公</w:t>
      </w:r>
      <w:r>
        <w:rPr>
          <w:sz w:val="21"/>
        </w:rPr>
        <w:t>司</w:t>
      </w:r>
      <w:r>
        <w:rPr>
          <w:spacing w:val="-3"/>
          <w:sz w:val="21"/>
        </w:rPr>
        <w:t>协商</w:t>
      </w:r>
      <w:r>
        <w:rPr>
          <w:sz w:val="21"/>
        </w:rPr>
        <w:t>一</w:t>
      </w:r>
      <w:r>
        <w:rPr>
          <w:spacing w:val="-3"/>
          <w:sz w:val="21"/>
        </w:rPr>
        <w:t>致，可</w:t>
      </w:r>
      <w:r>
        <w:rPr>
          <w:sz w:val="21"/>
        </w:rPr>
        <w:t>以</w:t>
      </w:r>
      <w:r>
        <w:rPr>
          <w:spacing w:val="-3"/>
          <w:sz w:val="21"/>
        </w:rPr>
        <w:t>变</w:t>
      </w:r>
      <w:r>
        <w:rPr>
          <w:sz w:val="21"/>
        </w:rPr>
        <w:t>更</w:t>
      </w:r>
      <w:r>
        <w:rPr>
          <w:spacing w:val="-3"/>
          <w:sz w:val="21"/>
        </w:rPr>
        <w:t>本</w:t>
      </w:r>
      <w:r>
        <w:rPr>
          <w:sz w:val="21"/>
        </w:rPr>
        <w:t>附</w:t>
      </w:r>
      <w:r>
        <w:rPr>
          <w:spacing w:val="-3"/>
          <w:sz w:val="21"/>
        </w:rPr>
        <w:t>加险</w:t>
      </w:r>
      <w:r>
        <w:rPr>
          <w:sz w:val="21"/>
        </w:rPr>
        <w:t>合同 的有</w:t>
      </w:r>
      <w:r>
        <w:rPr>
          <w:spacing w:val="-3"/>
          <w:sz w:val="21"/>
        </w:rPr>
        <w:t>关</w:t>
      </w:r>
      <w:r>
        <w:rPr>
          <w:sz w:val="21"/>
        </w:rPr>
        <w:t>内</w:t>
      </w:r>
      <w:r>
        <w:rPr>
          <w:spacing w:val="-3"/>
          <w:sz w:val="21"/>
        </w:rPr>
        <w:t>容</w:t>
      </w:r>
      <w:r>
        <w:rPr>
          <w:spacing w:val="-5"/>
          <w:sz w:val="21"/>
        </w:rPr>
        <w:t>。</w:t>
      </w:r>
      <w:r>
        <w:rPr>
          <w:sz w:val="21"/>
        </w:rPr>
        <w:t>变</w:t>
      </w:r>
      <w:r>
        <w:rPr>
          <w:spacing w:val="-3"/>
          <w:sz w:val="21"/>
        </w:rPr>
        <w:t>更</w:t>
      </w:r>
      <w:r>
        <w:rPr>
          <w:sz w:val="21"/>
        </w:rPr>
        <w:t>本</w:t>
      </w:r>
      <w:r>
        <w:rPr>
          <w:spacing w:val="-3"/>
          <w:sz w:val="21"/>
        </w:rPr>
        <w:t>附加</w:t>
      </w:r>
      <w:r>
        <w:rPr>
          <w:sz w:val="21"/>
        </w:rPr>
        <w:t>险合</w:t>
      </w:r>
      <w:r>
        <w:rPr>
          <w:spacing w:val="-3"/>
          <w:sz w:val="21"/>
        </w:rPr>
        <w:t>同的，应</w:t>
      </w:r>
      <w:r>
        <w:rPr>
          <w:sz w:val="21"/>
        </w:rPr>
        <w:t>当</w:t>
      </w:r>
      <w:r>
        <w:rPr>
          <w:spacing w:val="-3"/>
          <w:sz w:val="21"/>
        </w:rPr>
        <w:t>由</w:t>
      </w:r>
      <w:r>
        <w:rPr>
          <w:sz w:val="21"/>
        </w:rPr>
        <w:t>本</w:t>
      </w:r>
      <w:r>
        <w:rPr>
          <w:spacing w:val="-3"/>
          <w:sz w:val="21"/>
        </w:rPr>
        <w:t>公司</w:t>
      </w:r>
      <w:r>
        <w:rPr>
          <w:sz w:val="21"/>
        </w:rPr>
        <w:t>在保</w:t>
      </w:r>
      <w:r>
        <w:rPr>
          <w:spacing w:val="-3"/>
          <w:sz w:val="21"/>
        </w:rPr>
        <w:t>险</w:t>
      </w:r>
      <w:r>
        <w:rPr>
          <w:sz w:val="21"/>
        </w:rPr>
        <w:t>单</w:t>
      </w:r>
      <w:r>
        <w:rPr>
          <w:spacing w:val="-3"/>
          <w:sz w:val="21"/>
        </w:rPr>
        <w:t>或</w:t>
      </w:r>
      <w:r>
        <w:rPr>
          <w:sz w:val="21"/>
        </w:rPr>
        <w:t>者</w:t>
      </w:r>
      <w:r>
        <w:rPr>
          <w:spacing w:val="-3"/>
          <w:sz w:val="21"/>
        </w:rPr>
        <w:t>其</w:t>
      </w:r>
      <w:r>
        <w:rPr>
          <w:sz w:val="21"/>
        </w:rPr>
        <w:t>他</w:t>
      </w:r>
      <w:r>
        <w:rPr>
          <w:spacing w:val="-3"/>
          <w:sz w:val="21"/>
        </w:rPr>
        <w:t>保</w:t>
      </w:r>
      <w:r>
        <w:rPr>
          <w:sz w:val="21"/>
        </w:rPr>
        <w:t>险</w:t>
      </w:r>
      <w:r>
        <w:rPr>
          <w:spacing w:val="-3"/>
          <w:sz w:val="21"/>
        </w:rPr>
        <w:t>凭</w:t>
      </w:r>
      <w:r>
        <w:rPr>
          <w:sz w:val="21"/>
        </w:rPr>
        <w:t>证上批注</w:t>
      </w:r>
      <w:r>
        <w:rPr>
          <w:spacing w:val="-3"/>
          <w:sz w:val="21"/>
        </w:rPr>
        <w:t>或</w:t>
      </w:r>
      <w:r>
        <w:rPr>
          <w:sz w:val="21"/>
        </w:rPr>
        <w:t>者</w:t>
      </w:r>
      <w:r>
        <w:rPr>
          <w:spacing w:val="-3"/>
          <w:sz w:val="21"/>
        </w:rPr>
        <w:t>附</w:t>
      </w:r>
      <w:r>
        <w:rPr>
          <w:sz w:val="21"/>
        </w:rPr>
        <w:t>贴</w:t>
      </w:r>
      <w:r>
        <w:rPr>
          <w:spacing w:val="-3"/>
          <w:sz w:val="21"/>
        </w:rPr>
        <w:t>批</w:t>
      </w:r>
      <w:r>
        <w:rPr>
          <w:sz w:val="21"/>
        </w:rPr>
        <w:t>单</w:t>
      </w:r>
      <w:r>
        <w:rPr>
          <w:spacing w:val="-3"/>
          <w:sz w:val="21"/>
        </w:rPr>
        <w:t>，</w:t>
      </w:r>
      <w:r>
        <w:rPr>
          <w:sz w:val="21"/>
        </w:rPr>
        <w:t>也</w:t>
      </w:r>
      <w:r>
        <w:rPr>
          <w:spacing w:val="-3"/>
          <w:sz w:val="21"/>
        </w:rPr>
        <w:t>可</w:t>
      </w:r>
      <w:r>
        <w:rPr>
          <w:sz w:val="21"/>
        </w:rPr>
        <w:t>以由</w:t>
      </w:r>
      <w:r>
        <w:rPr>
          <w:spacing w:val="-3"/>
          <w:sz w:val="21"/>
        </w:rPr>
        <w:t>投</w:t>
      </w:r>
      <w:r>
        <w:rPr>
          <w:sz w:val="21"/>
        </w:rPr>
        <w:t>保</w:t>
      </w:r>
      <w:r>
        <w:rPr>
          <w:spacing w:val="-3"/>
          <w:sz w:val="21"/>
        </w:rPr>
        <w:t>人</w:t>
      </w:r>
      <w:r>
        <w:rPr>
          <w:sz w:val="21"/>
        </w:rPr>
        <w:t>与</w:t>
      </w:r>
      <w:r>
        <w:rPr>
          <w:spacing w:val="-3"/>
          <w:sz w:val="21"/>
        </w:rPr>
        <w:t>本</w:t>
      </w:r>
      <w:r>
        <w:rPr>
          <w:sz w:val="21"/>
        </w:rPr>
        <w:t>公</w:t>
      </w:r>
      <w:r>
        <w:rPr>
          <w:spacing w:val="-3"/>
          <w:sz w:val="21"/>
        </w:rPr>
        <w:t>司</w:t>
      </w:r>
      <w:r>
        <w:rPr>
          <w:sz w:val="21"/>
        </w:rPr>
        <w:t>订</w:t>
      </w:r>
      <w:r>
        <w:rPr>
          <w:spacing w:val="-3"/>
          <w:sz w:val="21"/>
        </w:rPr>
        <w:t>立</w:t>
      </w:r>
      <w:r>
        <w:rPr>
          <w:sz w:val="21"/>
        </w:rPr>
        <w:t>书面</w:t>
      </w:r>
      <w:r>
        <w:rPr>
          <w:spacing w:val="-3"/>
          <w:sz w:val="21"/>
        </w:rPr>
        <w:t>的</w:t>
      </w:r>
      <w:r>
        <w:rPr>
          <w:sz w:val="21"/>
        </w:rPr>
        <w:t>变</w:t>
      </w:r>
      <w:r>
        <w:rPr>
          <w:spacing w:val="-3"/>
          <w:sz w:val="21"/>
        </w:rPr>
        <w:t>更</w:t>
      </w:r>
      <w:r>
        <w:rPr>
          <w:sz w:val="21"/>
        </w:rPr>
        <w:t>协</w:t>
      </w:r>
      <w:r>
        <w:rPr>
          <w:spacing w:val="-3"/>
          <w:sz w:val="21"/>
        </w:rPr>
        <w:t>议。</w:t>
      </w:r>
      <w:r>
        <w:rPr>
          <w:sz w:val="21"/>
        </w:rPr>
        <w:t> </w:t>
      </w:r>
    </w:p>
    <w:p>
      <w:pPr>
        <w:pStyle w:val="BodyText"/>
        <w:spacing w:before="4"/>
        <w:ind w:left="0"/>
        <w:rPr>
          <w:sz w:val="28"/>
        </w:rPr>
      </w:pPr>
    </w:p>
    <w:p>
      <w:pPr>
        <w:pStyle w:val="ListParagraph"/>
        <w:numPr>
          <w:ilvl w:val="1"/>
          <w:numId w:val="4"/>
        </w:numPr>
        <w:tabs>
          <w:tab w:pos="946" w:val="left" w:leader="none"/>
          <w:tab w:pos="947" w:val="left" w:leader="none"/>
          <w:tab w:pos="2940" w:val="left" w:leader="none"/>
        </w:tabs>
        <w:spacing w:line="230" w:lineRule="auto" w:before="1" w:after="0"/>
        <w:ind w:left="2940" w:right="102" w:hanging="2728"/>
        <w:jc w:val="left"/>
        <w:rPr>
          <w:sz w:val="21"/>
        </w:rPr>
      </w:pPr>
      <w:r>
        <w:rPr>
          <w:rFonts w:ascii="Microsoft JhengHei" w:eastAsia="Microsoft JhengHei" w:hint="eastAsia"/>
          <w:b/>
          <w:sz w:val="21"/>
        </w:rPr>
        <w:t>5</w:t>
        <w:tab/>
        <w:t>联系方式变更</w:t>
        <w:tab/>
      </w:r>
      <w:r>
        <w:rPr>
          <w:sz w:val="21"/>
        </w:rPr>
        <w:t>为了</w:t>
      </w:r>
      <w:r>
        <w:rPr>
          <w:spacing w:val="-3"/>
          <w:sz w:val="21"/>
        </w:rPr>
        <w:t>保</w:t>
      </w:r>
      <w:r>
        <w:rPr>
          <w:sz w:val="21"/>
        </w:rPr>
        <w:t>障</w:t>
      </w:r>
      <w:r>
        <w:rPr>
          <w:spacing w:val="-3"/>
          <w:sz w:val="21"/>
        </w:rPr>
        <w:t>投</w:t>
      </w:r>
      <w:r>
        <w:rPr>
          <w:sz w:val="21"/>
        </w:rPr>
        <w:t>保</w:t>
      </w:r>
      <w:r>
        <w:rPr>
          <w:spacing w:val="-3"/>
          <w:sz w:val="21"/>
        </w:rPr>
        <w:t>人</w:t>
      </w:r>
      <w:r>
        <w:rPr>
          <w:sz w:val="21"/>
        </w:rPr>
        <w:t>的</w:t>
      </w:r>
      <w:r>
        <w:rPr>
          <w:spacing w:val="-3"/>
          <w:sz w:val="21"/>
        </w:rPr>
        <w:t>合</w:t>
      </w:r>
      <w:r>
        <w:rPr>
          <w:sz w:val="21"/>
        </w:rPr>
        <w:t>法</w:t>
      </w:r>
      <w:r>
        <w:rPr>
          <w:spacing w:val="-3"/>
          <w:sz w:val="21"/>
        </w:rPr>
        <w:t>权</w:t>
      </w:r>
      <w:r>
        <w:rPr>
          <w:sz w:val="21"/>
        </w:rPr>
        <w:t>益</w:t>
      </w:r>
      <w:r>
        <w:rPr>
          <w:spacing w:val="-58"/>
          <w:sz w:val="21"/>
        </w:rPr>
        <w:t>，</w:t>
      </w:r>
      <w:r>
        <w:rPr>
          <w:sz w:val="21"/>
        </w:rPr>
        <w:t>投</w:t>
      </w:r>
      <w:r>
        <w:rPr>
          <w:spacing w:val="-3"/>
          <w:sz w:val="21"/>
        </w:rPr>
        <w:t>保</w:t>
      </w:r>
      <w:r>
        <w:rPr>
          <w:sz w:val="21"/>
        </w:rPr>
        <w:t>人</w:t>
      </w:r>
      <w:r>
        <w:rPr>
          <w:spacing w:val="-3"/>
          <w:sz w:val="21"/>
        </w:rPr>
        <w:t>的</w:t>
      </w:r>
      <w:r>
        <w:rPr>
          <w:sz w:val="21"/>
        </w:rPr>
        <w:t>住</w:t>
      </w:r>
      <w:r>
        <w:rPr>
          <w:spacing w:val="-3"/>
          <w:sz w:val="21"/>
        </w:rPr>
        <w:t>所</w:t>
      </w:r>
      <w:r>
        <w:rPr>
          <w:spacing w:val="-56"/>
          <w:sz w:val="21"/>
        </w:rPr>
        <w:t>、</w:t>
      </w:r>
      <w:r>
        <w:rPr>
          <w:spacing w:val="-3"/>
          <w:sz w:val="21"/>
        </w:rPr>
        <w:t>通</w:t>
      </w:r>
      <w:r>
        <w:rPr>
          <w:sz w:val="21"/>
        </w:rPr>
        <w:t>讯</w:t>
      </w:r>
      <w:r>
        <w:rPr>
          <w:spacing w:val="-3"/>
          <w:sz w:val="21"/>
        </w:rPr>
        <w:t>地</w:t>
      </w:r>
      <w:r>
        <w:rPr>
          <w:sz w:val="21"/>
        </w:rPr>
        <w:t>址或</w:t>
      </w:r>
      <w:r>
        <w:rPr>
          <w:spacing w:val="-3"/>
          <w:sz w:val="21"/>
        </w:rPr>
        <w:t>电</w:t>
      </w:r>
      <w:r>
        <w:rPr>
          <w:sz w:val="21"/>
        </w:rPr>
        <w:t>话</w:t>
      </w:r>
      <w:r>
        <w:rPr>
          <w:spacing w:val="-3"/>
          <w:sz w:val="21"/>
        </w:rPr>
        <w:t>等</w:t>
      </w:r>
      <w:r>
        <w:rPr>
          <w:sz w:val="21"/>
        </w:rPr>
        <w:t>联</w:t>
      </w:r>
      <w:r>
        <w:rPr>
          <w:spacing w:val="-3"/>
          <w:sz w:val="21"/>
        </w:rPr>
        <w:t>系 </w:t>
      </w:r>
      <w:r>
        <w:rPr>
          <w:sz w:val="21"/>
        </w:rPr>
        <w:t>方</w:t>
      </w:r>
      <w:r>
        <w:rPr>
          <w:spacing w:val="-3"/>
          <w:sz w:val="21"/>
        </w:rPr>
        <w:t>式</w:t>
      </w:r>
      <w:r>
        <w:rPr>
          <w:sz w:val="21"/>
        </w:rPr>
        <w:t>变</w:t>
      </w:r>
      <w:r>
        <w:rPr>
          <w:spacing w:val="-3"/>
          <w:sz w:val="21"/>
        </w:rPr>
        <w:t>更</w:t>
      </w:r>
      <w:r>
        <w:rPr>
          <w:sz w:val="21"/>
        </w:rPr>
        <w:t>时，请及</w:t>
      </w:r>
      <w:r>
        <w:rPr>
          <w:spacing w:val="-3"/>
          <w:sz w:val="21"/>
        </w:rPr>
        <w:t>时</w:t>
      </w:r>
      <w:r>
        <w:rPr>
          <w:sz w:val="21"/>
        </w:rPr>
        <w:t>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w:t>
      </w:r>
      <w:r>
        <w:rPr>
          <w:spacing w:val="-3"/>
          <w:sz w:val="21"/>
        </w:rPr>
        <w:t>公</w:t>
      </w:r>
      <w:r>
        <w:rPr>
          <w:sz w:val="21"/>
        </w:rPr>
        <w:t>司</w:t>
      </w:r>
      <w:r>
        <w:rPr>
          <w:spacing w:val="-8"/>
          <w:sz w:val="21"/>
        </w:rPr>
        <w:t>。</w:t>
      </w:r>
      <w:r>
        <w:rPr>
          <w:sz w:val="21"/>
        </w:rPr>
        <w:t>若</w:t>
      </w:r>
      <w:r>
        <w:rPr>
          <w:spacing w:val="-3"/>
          <w:sz w:val="21"/>
        </w:rPr>
        <w:t>投</w:t>
      </w:r>
      <w:r>
        <w:rPr>
          <w:sz w:val="21"/>
        </w:rPr>
        <w:t>保</w:t>
      </w:r>
      <w:r>
        <w:rPr>
          <w:spacing w:val="-3"/>
          <w:sz w:val="21"/>
        </w:rPr>
        <w:t>人</w:t>
      </w:r>
      <w:r>
        <w:rPr>
          <w:sz w:val="21"/>
        </w:rPr>
        <w:t>未</w:t>
      </w:r>
      <w:r>
        <w:rPr>
          <w:spacing w:val="-3"/>
          <w:sz w:val="21"/>
        </w:rPr>
        <w:t>以</w:t>
      </w:r>
      <w:r>
        <w:rPr>
          <w:sz w:val="21"/>
        </w:rPr>
        <w:t>书</w:t>
      </w:r>
      <w:r>
        <w:rPr>
          <w:spacing w:val="-3"/>
          <w:sz w:val="21"/>
        </w:rPr>
        <w:t>面形</w:t>
      </w:r>
      <w:r>
        <w:rPr>
          <w:sz w:val="21"/>
        </w:rPr>
        <w:t>式或双方</w:t>
      </w:r>
      <w:r>
        <w:rPr>
          <w:spacing w:val="-3"/>
          <w:sz w:val="21"/>
        </w:rPr>
        <w:t>认</w:t>
      </w:r>
      <w:r>
        <w:rPr>
          <w:sz w:val="21"/>
        </w:rPr>
        <w:t>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本公司</w:t>
      </w:r>
      <w:r>
        <w:rPr>
          <w:spacing w:val="-10"/>
          <w:sz w:val="21"/>
        </w:rPr>
        <w:t>，</w:t>
      </w:r>
      <w:r>
        <w:rPr>
          <w:sz w:val="21"/>
        </w:rPr>
        <w:t>本</w:t>
      </w:r>
      <w:r>
        <w:rPr>
          <w:spacing w:val="-3"/>
          <w:sz w:val="21"/>
        </w:rPr>
        <w:t>公</w:t>
      </w:r>
      <w:r>
        <w:rPr>
          <w:sz w:val="21"/>
        </w:rPr>
        <w:t>司</w:t>
      </w:r>
      <w:r>
        <w:rPr>
          <w:spacing w:val="-3"/>
          <w:sz w:val="21"/>
        </w:rPr>
        <w:t>按</w:t>
      </w:r>
      <w:r>
        <w:rPr>
          <w:sz w:val="21"/>
        </w:rPr>
        <w:t>本</w:t>
      </w:r>
      <w:r>
        <w:rPr>
          <w:spacing w:val="-3"/>
          <w:sz w:val="21"/>
        </w:rPr>
        <w:t>附加</w:t>
      </w:r>
      <w:r>
        <w:rPr>
          <w:sz w:val="21"/>
        </w:rPr>
        <w:t>险合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w:t>
      </w:r>
      <w:r>
        <w:rPr>
          <w:spacing w:val="-3"/>
          <w:sz w:val="21"/>
        </w:rPr>
        <w:t>或</w:t>
      </w:r>
      <w:r>
        <w:rPr>
          <w:sz w:val="21"/>
        </w:rPr>
        <w:t>通讯地址</w:t>
      </w:r>
      <w:r>
        <w:rPr>
          <w:spacing w:val="-3"/>
          <w:sz w:val="21"/>
        </w:rPr>
        <w:t>所</w:t>
      </w:r>
      <w:r>
        <w:rPr>
          <w:sz w:val="21"/>
        </w:rPr>
        <w:t>发</w:t>
      </w:r>
      <w:r>
        <w:rPr>
          <w:spacing w:val="-3"/>
          <w:sz w:val="21"/>
        </w:rPr>
        <w:t>送</w:t>
      </w:r>
      <w:r>
        <w:rPr>
          <w:sz w:val="21"/>
        </w:rPr>
        <w:t>的</w:t>
      </w:r>
      <w:r>
        <w:rPr>
          <w:spacing w:val="-3"/>
          <w:sz w:val="21"/>
        </w:rPr>
        <w:t>有</w:t>
      </w:r>
      <w:r>
        <w:rPr>
          <w:sz w:val="21"/>
        </w:rPr>
        <w:t>关</w:t>
      </w:r>
      <w:r>
        <w:rPr>
          <w:spacing w:val="-3"/>
          <w:sz w:val="21"/>
        </w:rPr>
        <w:t>通</w:t>
      </w:r>
      <w:r>
        <w:rPr>
          <w:sz w:val="21"/>
        </w:rPr>
        <w:t>知</w:t>
      </w:r>
      <w:r>
        <w:rPr>
          <w:spacing w:val="-3"/>
          <w:sz w:val="21"/>
        </w:rPr>
        <w:t>，</w:t>
      </w:r>
      <w:r>
        <w:rPr>
          <w:sz w:val="21"/>
        </w:rPr>
        <w:t>均视</w:t>
      </w:r>
      <w:r>
        <w:rPr>
          <w:spacing w:val="-3"/>
          <w:sz w:val="21"/>
        </w:rPr>
        <w:t>为</w:t>
      </w:r>
      <w:r>
        <w:rPr>
          <w:sz w:val="21"/>
        </w:rPr>
        <w:t>已</w:t>
      </w:r>
      <w:r>
        <w:rPr>
          <w:spacing w:val="-3"/>
          <w:sz w:val="21"/>
        </w:rPr>
        <w:t>送</w:t>
      </w:r>
      <w:r>
        <w:rPr>
          <w:sz w:val="21"/>
        </w:rPr>
        <w:t>达</w:t>
      </w:r>
      <w:r>
        <w:rPr>
          <w:spacing w:val="-3"/>
          <w:sz w:val="21"/>
        </w:rPr>
        <w:t>给</w:t>
      </w:r>
      <w:r>
        <w:rPr>
          <w:sz w:val="21"/>
        </w:rPr>
        <w:t>投</w:t>
      </w:r>
      <w:r>
        <w:rPr>
          <w:spacing w:val="-3"/>
          <w:sz w:val="21"/>
        </w:rPr>
        <w:t>保</w:t>
      </w:r>
      <w:r>
        <w:rPr>
          <w:sz w:val="21"/>
        </w:rPr>
        <w:t>人</w:t>
      </w:r>
      <w:r>
        <w:rPr>
          <w:spacing w:val="-3"/>
          <w:sz w:val="21"/>
        </w:rPr>
        <w:t>。</w:t>
      </w:r>
      <w:r>
        <w:rPr>
          <w:sz w:val="21"/>
        </w:rPr>
        <w:t> </w:t>
      </w:r>
    </w:p>
    <w:p>
      <w:pPr>
        <w:pStyle w:val="BodyText"/>
        <w:spacing w:before="0"/>
        <w:ind w:left="0"/>
        <w:rPr>
          <w:sz w:val="29"/>
        </w:rPr>
      </w:pPr>
    </w:p>
    <w:p>
      <w:pPr>
        <w:spacing w:after="0"/>
        <w:rPr>
          <w:sz w:val="29"/>
        </w:rPr>
        <w:sectPr>
          <w:pgSz w:w="11900" w:h="16840"/>
          <w:pgMar w:header="0" w:footer="724" w:top="1080" w:bottom="920" w:left="1000" w:right="400"/>
        </w:sectPr>
      </w:pPr>
    </w:p>
    <w:p>
      <w:pPr>
        <w:pStyle w:val="Heading3"/>
        <w:numPr>
          <w:ilvl w:val="1"/>
          <w:numId w:val="4"/>
        </w:numPr>
        <w:tabs>
          <w:tab w:pos="946" w:val="left" w:leader="none"/>
          <w:tab w:pos="947" w:val="left" w:leader="none"/>
        </w:tabs>
        <w:spacing w:line="341" w:lineRule="exact" w:before="0" w:after="0"/>
        <w:ind w:left="2940" w:right="0" w:hanging="2728"/>
        <w:jc w:val="left"/>
      </w:pPr>
      <w:r>
        <w:rPr>
          <w:w w:val="84"/>
          <w:position w:val="2"/>
        </w:rPr>
        <w:t>6</w:t>
      </w:r>
      <w:r>
        <w:rPr>
          <w:position w:val="2"/>
        </w:rPr>
        <w:tab/>
      </w:r>
      <w:r>
        <w:rPr>
          <w:w w:val="100"/>
        </w:rPr>
        <w:t>合同效力终止的其</w:t>
      </w:r>
    </w:p>
    <w:p>
      <w:pPr>
        <w:spacing w:line="338" w:lineRule="exact" w:before="0"/>
        <w:ind w:left="930" w:right="1037" w:firstLine="0"/>
        <w:jc w:val="center"/>
        <w:rPr>
          <w:rFonts w:ascii="Microsoft JhengHei" w:eastAsia="Microsoft JhengHei" w:hint="eastAsia"/>
          <w:b/>
          <w:sz w:val="21"/>
        </w:rPr>
      </w:pPr>
      <w:r>
        <w:rPr>
          <w:rFonts w:ascii="Microsoft JhengHei" w:eastAsia="Microsoft JhengHei" w:hint="eastAsia"/>
          <w:b/>
          <w:sz w:val="21"/>
        </w:rPr>
        <w:t>它情况</w:t>
      </w:r>
    </w:p>
    <w:p>
      <w:pPr>
        <w:spacing w:line="204" w:lineRule="auto" w:before="58"/>
        <w:ind w:left="212" w:right="213" w:firstLine="0"/>
        <w:jc w:val="left"/>
        <w:rPr>
          <w:rFonts w:ascii="Microsoft JhengHei" w:hAnsi="Microsoft JhengHei" w:eastAsia="Microsoft JhengHei" w:hint="eastAsia"/>
          <w:b/>
          <w:sz w:val="21"/>
        </w:rPr>
      </w:pPr>
      <w:r>
        <w:rPr/>
        <w:br w:type="column"/>
      </w:r>
      <w:r>
        <w:rPr>
          <w:rFonts w:ascii="Microsoft JhengHei" w:hAnsi="Microsoft JhengHei" w:eastAsia="Microsoft JhengHei" w:hint="eastAsia"/>
          <w:b/>
          <w:spacing w:val="-5"/>
          <w:sz w:val="21"/>
        </w:rPr>
        <w:t>除“</w:t>
      </w:r>
      <w:r>
        <w:rPr>
          <w:rFonts w:ascii="Microsoft JhengHei" w:hAnsi="Microsoft JhengHei" w:eastAsia="Microsoft JhengHei" w:hint="eastAsia"/>
          <w:b/>
          <w:sz w:val="21"/>
        </w:rPr>
        <w:t>2</w:t>
      </w:r>
      <w:r>
        <w:rPr>
          <w:rFonts w:ascii="Microsoft JhengHei" w:hAnsi="Microsoft JhengHei" w:eastAsia="Microsoft JhengHei" w:hint="eastAsia"/>
          <w:b/>
          <w:spacing w:val="-14"/>
          <w:sz w:val="21"/>
        </w:rPr>
        <w:t>. </w:t>
      </w:r>
      <w:r>
        <w:rPr>
          <w:rFonts w:ascii="Microsoft JhengHei" w:hAnsi="Microsoft JhengHei" w:eastAsia="Microsoft JhengHei" w:hint="eastAsia"/>
          <w:b/>
          <w:sz w:val="21"/>
        </w:rPr>
        <w:t>3</w:t>
      </w:r>
      <w:r>
        <w:rPr>
          <w:rFonts w:ascii="Microsoft JhengHei" w:hAnsi="Microsoft JhengHei" w:eastAsia="Microsoft JhengHei" w:hint="eastAsia"/>
          <w:b/>
          <w:spacing w:val="-5"/>
          <w:sz w:val="21"/>
        </w:rPr>
        <w:t> 保险责任”中约定的合同效力终止情况之外，发生下述情况的，本附加险合同效力终止：</w:t>
      </w:r>
    </w:p>
    <w:p>
      <w:pPr>
        <w:spacing w:before="25"/>
        <w:ind w:left="212" w:right="0" w:firstLine="0"/>
        <w:jc w:val="left"/>
        <w:rPr>
          <w:rFonts w:ascii="Microsoft JhengHei" w:eastAsia="Microsoft JhengHei" w:hint="eastAsia"/>
          <w:b/>
          <w:sz w:val="21"/>
        </w:rPr>
      </w:pPr>
      <w:r>
        <w:rPr>
          <w:rFonts w:ascii="Microsoft JhengHei" w:eastAsia="Microsoft JhengHei" w:hint="eastAsia"/>
          <w:b/>
          <w:w w:val="95"/>
          <w:sz w:val="21"/>
        </w:rPr>
        <w:t>（1）主险合同效力中止或终止；</w:t>
      </w:r>
    </w:p>
    <w:p>
      <w:pPr>
        <w:spacing w:before="25"/>
        <w:ind w:left="212" w:right="0" w:firstLine="0"/>
        <w:jc w:val="left"/>
        <w:rPr>
          <w:rFonts w:ascii="Microsoft JhengHei" w:eastAsia="Microsoft JhengHei" w:hint="eastAsia"/>
          <w:b/>
          <w:sz w:val="21"/>
        </w:rPr>
      </w:pPr>
      <w:r>
        <w:rPr>
          <w:rFonts w:ascii="Microsoft JhengHei" w:eastAsia="Microsoft JhengHei" w:hint="eastAsia"/>
          <w:b/>
          <w:sz w:val="21"/>
        </w:rPr>
        <w:t>（2）法律规定或当事人约定终止的其他情形。</w:t>
      </w:r>
    </w:p>
    <w:p>
      <w:pPr>
        <w:spacing w:line="204" w:lineRule="auto" w:before="77"/>
        <w:ind w:left="212" w:right="213" w:firstLine="0"/>
        <w:jc w:val="both"/>
        <w:rPr>
          <w:sz w:val="21"/>
        </w:rPr>
      </w:pPr>
      <w:r>
        <w:rPr>
          <w:rFonts w:ascii="Microsoft JhengHei" w:eastAsia="Microsoft JhengHei" w:hint="eastAsia"/>
          <w:b/>
          <w:spacing w:val="-5"/>
          <w:sz w:val="21"/>
        </w:rPr>
        <w:t>本附加险合同由于上述情况在保险期间届满前终止的，本公司将按本附加险合同</w:t>
      </w:r>
      <w:r>
        <w:rPr>
          <w:rFonts w:ascii="Microsoft JhengHei" w:eastAsia="Microsoft JhengHei" w:hint="eastAsia"/>
          <w:b/>
          <w:spacing w:val="-7"/>
          <w:sz w:val="21"/>
        </w:rPr>
        <w:t>所附《退费比例表》中向投保人退还本附加险合同项下未发生保险事故的各被保险人对应的保险费。</w:t>
      </w:r>
      <w:r>
        <w:rPr>
          <w:sz w:val="21"/>
        </w:rPr>
        <w:t> </w:t>
      </w:r>
    </w:p>
    <w:p>
      <w:pPr>
        <w:pStyle w:val="BodyText"/>
        <w:spacing w:before="68"/>
        <w:ind w:left="212"/>
        <w:jc w:val="both"/>
      </w:pPr>
      <w:r>
        <w:rPr>
          <w:w w:val="100"/>
        </w:rPr>
        <w:t> </w:t>
      </w:r>
    </w:p>
    <w:p>
      <w:pPr>
        <w:spacing w:after="0"/>
        <w:jc w:val="both"/>
        <w:sectPr>
          <w:type w:val="continuous"/>
          <w:pgSz w:w="11900" w:h="16840"/>
          <w:pgMar w:top="360" w:bottom="280" w:left="1000" w:right="400"/>
          <w:cols w:num="2" w:equalWidth="0">
            <w:col w:w="2637" w:space="92"/>
            <w:col w:w="7771"/>
          </w:cols>
        </w:sectPr>
      </w:pPr>
    </w:p>
    <w:p>
      <w:pPr>
        <w:pStyle w:val="ListParagraph"/>
        <w:numPr>
          <w:ilvl w:val="1"/>
          <w:numId w:val="4"/>
        </w:numPr>
        <w:tabs>
          <w:tab w:pos="946" w:val="left" w:leader="none"/>
          <w:tab w:pos="947" w:val="left" w:leader="none"/>
          <w:tab w:pos="2940" w:val="left" w:leader="none"/>
        </w:tabs>
        <w:spacing w:line="353" w:lineRule="exact" w:before="9" w:after="0"/>
        <w:ind w:left="2940" w:right="0" w:hanging="2728"/>
        <w:jc w:val="left"/>
        <w:rPr>
          <w:sz w:val="21"/>
        </w:rPr>
      </w:pPr>
      <w:r>
        <w:rPr>
          <w:rFonts w:ascii="Microsoft JhengHei" w:eastAsia="Microsoft JhengHei" w:hint="eastAsia"/>
          <w:b/>
          <w:sz w:val="21"/>
        </w:rPr>
        <w:t>7</w:t>
        <w:tab/>
        <w:t>争议处理</w:t>
        <w:tab/>
      </w:r>
      <w:r>
        <w:rPr>
          <w:sz w:val="21"/>
        </w:rPr>
        <w:t>本附</w:t>
      </w:r>
      <w:r>
        <w:rPr>
          <w:spacing w:val="-3"/>
          <w:sz w:val="21"/>
        </w:rPr>
        <w:t>加</w:t>
      </w:r>
      <w:r>
        <w:rPr>
          <w:sz w:val="21"/>
        </w:rPr>
        <w:t>险</w:t>
      </w:r>
      <w:r>
        <w:rPr>
          <w:spacing w:val="-3"/>
          <w:sz w:val="21"/>
        </w:rPr>
        <w:t>合</w:t>
      </w:r>
      <w:r>
        <w:rPr>
          <w:sz w:val="21"/>
        </w:rPr>
        <w:t>同</w:t>
      </w:r>
      <w:r>
        <w:rPr>
          <w:spacing w:val="-3"/>
          <w:sz w:val="21"/>
        </w:rPr>
        <w:t>争</w:t>
      </w:r>
      <w:r>
        <w:rPr>
          <w:sz w:val="21"/>
        </w:rPr>
        <w:t>议</w:t>
      </w:r>
      <w:r>
        <w:rPr>
          <w:spacing w:val="-3"/>
          <w:sz w:val="21"/>
        </w:rPr>
        <w:t>解</w:t>
      </w:r>
      <w:r>
        <w:rPr>
          <w:sz w:val="21"/>
        </w:rPr>
        <w:t>决</w:t>
      </w:r>
      <w:r>
        <w:rPr>
          <w:spacing w:val="-3"/>
          <w:sz w:val="21"/>
        </w:rPr>
        <w:t>方</w:t>
      </w:r>
      <w:r>
        <w:rPr>
          <w:sz w:val="21"/>
        </w:rPr>
        <w:t>式由</w:t>
      </w:r>
      <w:r>
        <w:rPr>
          <w:spacing w:val="-3"/>
          <w:sz w:val="21"/>
        </w:rPr>
        <w:t>投</w:t>
      </w:r>
      <w:r>
        <w:rPr>
          <w:sz w:val="21"/>
        </w:rPr>
        <w:t>保</w:t>
      </w:r>
      <w:r>
        <w:rPr>
          <w:spacing w:val="-3"/>
          <w:sz w:val="21"/>
        </w:rPr>
        <w:t>人</w:t>
      </w:r>
      <w:r>
        <w:rPr>
          <w:sz w:val="21"/>
        </w:rPr>
        <w:t>在</w:t>
      </w:r>
      <w:r>
        <w:rPr>
          <w:spacing w:val="-3"/>
          <w:sz w:val="21"/>
        </w:rPr>
        <w:t>投</w:t>
      </w:r>
      <w:r>
        <w:rPr>
          <w:sz w:val="21"/>
        </w:rPr>
        <w:t>保</w:t>
      </w:r>
      <w:r>
        <w:rPr>
          <w:spacing w:val="-3"/>
          <w:sz w:val="21"/>
        </w:rPr>
        <w:t>时</w:t>
      </w:r>
      <w:r>
        <w:rPr>
          <w:sz w:val="21"/>
        </w:rPr>
        <w:t>与</w:t>
      </w:r>
      <w:r>
        <w:rPr>
          <w:spacing w:val="-3"/>
          <w:sz w:val="21"/>
        </w:rPr>
        <w:t>本</w:t>
      </w:r>
      <w:r>
        <w:rPr>
          <w:sz w:val="21"/>
        </w:rPr>
        <w:t>公司</w:t>
      </w:r>
      <w:r>
        <w:rPr>
          <w:spacing w:val="-3"/>
          <w:sz w:val="21"/>
        </w:rPr>
        <w:t>约</w:t>
      </w:r>
      <w:r>
        <w:rPr>
          <w:sz w:val="21"/>
        </w:rPr>
        <w:t>定</w:t>
      </w:r>
      <w:r>
        <w:rPr>
          <w:spacing w:val="-8"/>
          <w:sz w:val="21"/>
        </w:rPr>
        <w:t>，</w:t>
      </w:r>
      <w:r>
        <w:rPr>
          <w:spacing w:val="-3"/>
          <w:sz w:val="21"/>
        </w:rPr>
        <w:t>从</w:t>
      </w:r>
      <w:r>
        <w:rPr>
          <w:sz w:val="21"/>
        </w:rPr>
        <w:t>下</w:t>
      </w:r>
      <w:r>
        <w:rPr>
          <w:spacing w:val="-3"/>
          <w:sz w:val="21"/>
        </w:rPr>
        <w:t>列</w:t>
      </w:r>
      <w:r>
        <w:rPr>
          <w:sz w:val="21"/>
        </w:rPr>
        <w:t>两</w:t>
      </w:r>
      <w:r>
        <w:rPr>
          <w:spacing w:val="-3"/>
          <w:sz w:val="21"/>
        </w:rPr>
        <w:t>种 方</w:t>
      </w:r>
      <w:r>
        <w:rPr>
          <w:sz w:val="21"/>
        </w:rPr>
        <w:t>式中</w:t>
      </w:r>
    </w:p>
    <w:p>
      <w:pPr>
        <w:pStyle w:val="BodyText"/>
        <w:spacing w:line="262" w:lineRule="exact" w:before="0"/>
        <w:ind w:left="2940"/>
      </w:pPr>
      <w:r>
        <w:rPr/>
        <w:t>选择一种： </w:t>
      </w:r>
    </w:p>
    <w:p>
      <w:pPr>
        <w:pStyle w:val="BodyText"/>
        <w:spacing w:line="274" w:lineRule="exact" w:before="73"/>
        <w:ind w:left="2940"/>
      </w:pPr>
      <w:r>
        <w:rPr/>
        <w:t>（1）因履行本附加险合同发生的争议，由双方协商解决，协商不成的，提交</w:t>
      </w:r>
    </w:p>
    <w:p>
      <w:pPr>
        <w:pStyle w:val="BodyText"/>
        <w:tabs>
          <w:tab w:pos="4181" w:val="left" w:leader="none"/>
        </w:tabs>
        <w:spacing w:line="274" w:lineRule="exact" w:before="0"/>
        <w:ind w:left="3444"/>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line="274" w:lineRule="exact" w:before="73"/>
        <w:ind w:left="2940"/>
      </w:pPr>
      <w:r>
        <w:rPr/>
        <w:t>（2）因履行本附加险合同发生的争议，由双方协商解决，协商不成的，依法向</w:t>
      </w:r>
    </w:p>
    <w:p>
      <w:pPr>
        <w:pStyle w:val="BodyText"/>
        <w:spacing w:line="274" w:lineRule="exact" w:before="0"/>
        <w:ind w:left="3444"/>
      </w:pPr>
      <w:r>
        <w:rPr/>
        <w:t>人民法院起诉。 </w:t>
      </w:r>
    </w:p>
    <w:p>
      <w:pPr>
        <w:pStyle w:val="BodyText"/>
        <w:tabs>
          <w:tab w:pos="946" w:val="left" w:leader="none"/>
          <w:tab w:pos="2940" w:val="left" w:leader="none"/>
        </w:tabs>
        <w:spacing w:before="76"/>
        <w:ind w:left="212"/>
      </w:pPr>
      <w:r>
        <w:rPr>
          <w:w w:val="100"/>
        </w:rPr>
        <w:t> </w:t>
      </w:r>
      <w:r>
        <w:rPr/>
        <w:tab/>
      </w:r>
      <w:r>
        <w:rPr>
          <w:w w:val="100"/>
        </w:rPr>
        <w:t> </w:t>
      </w:r>
      <w:r>
        <w:rPr/>
        <w:tab/>
      </w:r>
      <w:r>
        <w:rPr>
          <w:w w:val="100"/>
        </w:rPr>
        <w:t> </w:t>
      </w:r>
    </w:p>
    <w:p>
      <w:pPr>
        <w:tabs>
          <w:tab w:pos="946" w:val="left" w:leader="none"/>
          <w:tab w:pos="2940" w:val="left" w:leader="none"/>
        </w:tabs>
        <w:spacing w:before="64"/>
        <w:ind w:left="216" w:right="0" w:firstLine="0"/>
        <w:jc w:val="left"/>
        <w:rPr>
          <w:sz w:val="21"/>
        </w:rPr>
      </w:pPr>
      <w:r>
        <w:rPr>
          <w:rFonts w:ascii="Times New Roman" w:eastAsia="Times New Roman"/>
          <w:position w:val="-7"/>
          <w:sz w:val="52"/>
        </w:rPr>
        <w:t>{</w:t>
        <w:tab/>
      </w:r>
      <w:r>
        <w:rPr>
          <w:rFonts w:ascii="Microsoft JhengHei" w:eastAsia="Microsoft JhengHei" w:hint="eastAsia"/>
          <w:b/>
          <w:sz w:val="24"/>
        </w:rPr>
        <w:t>释义</w:t>
        <w:tab/>
      </w:r>
      <w:r>
        <w:rPr>
          <w:w w:val="100"/>
          <w:position w:val="15"/>
          <w:sz w:val="21"/>
        </w:rPr>
        <w:t> </w:t>
      </w:r>
    </w:p>
    <w:p>
      <w:pPr>
        <w:pStyle w:val="BodyText"/>
        <w:spacing w:line="20" w:lineRule="exact" w:before="0"/>
        <w:ind w:left="99"/>
        <w:rPr>
          <w:sz w:val="2"/>
        </w:rPr>
      </w:pPr>
      <w:r>
        <w:rPr>
          <w:rFonts w:ascii="Times New Roman"/>
          <w:spacing w:val="5"/>
          <w:sz w:val="2"/>
        </w:rPr>
        <w:t> </w:t>
      </w:r>
      <w:r>
        <w:rPr>
          <w:spacing w:val="5"/>
          <w:sz w:val="2"/>
        </w:rPr>
        <w:pict>
          <v:group style="width:514.4500pt;height:.5pt;mso-position-horizontal-relative:char;mso-position-vertical-relative:line" coordorigin="0,0" coordsize="10289,10">
            <v:line style="position:absolute" from="0,5" to="734,5" stroked="true" strokeweight=".48pt" strokecolor="#000000">
              <v:stroke dashstyle="solid"/>
            </v:line>
            <v:rect style="position:absolute;left:734;top:0;width:10;height:10" filled="true" fillcolor="#000000" stroked="false">
              <v:fill type="solid"/>
            </v:rect>
            <v:line style="position:absolute" from="744,5" to="2729,5" stroked="true" strokeweight=".48pt" strokecolor="#000000">
              <v:stroke dashstyle="solid"/>
            </v:line>
            <v:rect style="position:absolute;left:2728;top:0;width:10;height:10" filled="true" fillcolor="#000000" stroked="false">
              <v:fill type="solid"/>
            </v:rect>
            <v:line style="position:absolute" from="2738,5" to="10289,5" stroked="true" strokeweight=".48pt" strokecolor="#000000">
              <v:stroke dashstyle="solid"/>
            </v:line>
          </v:group>
        </w:pict>
      </w:r>
      <w:r>
        <w:rPr>
          <w:spacing w:val="5"/>
          <w:sz w:val="2"/>
        </w:rPr>
      </w:r>
    </w:p>
    <w:p>
      <w:pPr>
        <w:pStyle w:val="BodyText"/>
        <w:tabs>
          <w:tab w:pos="946" w:val="left" w:leader="none"/>
          <w:tab w:pos="2940" w:val="left" w:leader="none"/>
        </w:tabs>
        <w:spacing w:before="29"/>
        <w:ind w:left="211"/>
      </w:pPr>
      <w:r>
        <w:rPr>
          <w:w w:val="100"/>
        </w:rPr>
        <w:t> </w:t>
      </w:r>
      <w:r>
        <w:rPr/>
        <w:tab/>
      </w:r>
      <w:r>
        <w:rPr>
          <w:w w:val="100"/>
        </w:rPr>
        <w:t> </w:t>
      </w:r>
      <w:r>
        <w:rPr/>
        <w:tab/>
      </w:r>
      <w:r>
        <w:rPr>
          <w:w w:val="100"/>
        </w:rPr>
        <w:t> </w:t>
      </w:r>
    </w:p>
    <w:p>
      <w:pPr>
        <w:spacing w:after="0"/>
        <w:sectPr>
          <w:type w:val="continuous"/>
          <w:pgSz w:w="11900" w:h="16840"/>
          <w:pgMar w:top="360" w:bottom="280" w:left="1000" w:right="4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627"/>
        <w:gridCol w:w="7922"/>
      </w:tblGrid>
      <w:tr>
        <w:trPr>
          <w:trHeight w:val="562" w:hRule="atLeast"/>
        </w:trPr>
        <w:tc>
          <w:tcPr>
            <w:tcW w:w="628" w:type="dxa"/>
          </w:tcPr>
          <w:p>
            <w:pPr>
              <w:pStyle w:val="TableParagraph"/>
              <w:spacing w:line="245" w:lineRule="exact"/>
              <w:ind w:left="50"/>
              <w:rPr>
                <w:rFonts w:ascii="Microsoft JhengHei"/>
                <w:b/>
                <w:sz w:val="21"/>
              </w:rPr>
            </w:pPr>
            <w:r>
              <w:rPr>
                <w:rFonts w:ascii="Microsoft JhengHei"/>
                <w:b/>
                <w:w w:val="90"/>
                <w:sz w:val="21"/>
              </w:rPr>
              <w:t>7. 1</w:t>
            </w:r>
          </w:p>
        </w:tc>
        <w:tc>
          <w:tcPr>
            <w:tcW w:w="1627" w:type="dxa"/>
          </w:tcPr>
          <w:p>
            <w:pPr>
              <w:pStyle w:val="TableParagraph"/>
              <w:spacing w:line="245" w:lineRule="exact"/>
              <w:ind w:left="156"/>
              <w:rPr>
                <w:rFonts w:ascii="Microsoft JhengHei" w:eastAsia="Microsoft JhengHei" w:hint="eastAsia"/>
                <w:b/>
                <w:sz w:val="21"/>
              </w:rPr>
            </w:pPr>
            <w:r>
              <w:rPr>
                <w:rFonts w:ascii="Microsoft JhengHei" w:eastAsia="Microsoft JhengHei" w:hint="eastAsia"/>
                <w:b/>
                <w:sz w:val="21"/>
              </w:rPr>
              <w:t>周岁</w:t>
            </w:r>
          </w:p>
        </w:tc>
        <w:tc>
          <w:tcPr>
            <w:tcW w:w="7922" w:type="dxa"/>
          </w:tcPr>
          <w:p>
            <w:pPr>
              <w:pStyle w:val="TableParagraph"/>
              <w:spacing w:line="220" w:lineRule="exact"/>
              <w:ind w:left="523"/>
              <w:rPr>
                <w:sz w:val="21"/>
              </w:rPr>
            </w:pPr>
            <w:r>
              <w:rPr>
                <w:spacing w:val="-5"/>
                <w:sz w:val="21"/>
              </w:rPr>
              <w:t>指按有效身份证件中记载的出生日期计算的年龄，自出生之日起为 </w:t>
            </w:r>
            <w:r>
              <w:rPr>
                <w:sz w:val="21"/>
              </w:rPr>
              <w:t>0</w:t>
            </w:r>
            <w:r>
              <w:rPr>
                <w:spacing w:val="-8"/>
                <w:sz w:val="21"/>
              </w:rPr>
              <w:t> 周岁，每经</w:t>
            </w:r>
          </w:p>
          <w:p>
            <w:pPr>
              <w:pStyle w:val="TableParagraph"/>
              <w:spacing w:line="274" w:lineRule="exact"/>
              <w:ind w:left="523"/>
              <w:rPr>
                <w:sz w:val="21"/>
              </w:rPr>
            </w:pPr>
            <w:r>
              <w:rPr>
                <w:sz w:val="21"/>
              </w:rPr>
              <w:t>过 1 年增加 1 岁，不足 1 年的不计。 </w:t>
            </w:r>
          </w:p>
        </w:tc>
      </w:tr>
      <w:tr>
        <w:trPr>
          <w:trHeight w:val="344" w:hRule="atLeast"/>
        </w:trPr>
        <w:tc>
          <w:tcPr>
            <w:tcW w:w="628" w:type="dxa"/>
          </w:tcPr>
          <w:p>
            <w:pPr>
              <w:pStyle w:val="TableParagraph"/>
              <w:spacing w:before="4"/>
              <w:ind w:left="50"/>
              <w:rPr>
                <w:sz w:val="21"/>
              </w:rPr>
            </w:pPr>
            <w:r>
              <w:rPr>
                <w:w w:val="100"/>
                <w:sz w:val="21"/>
              </w:rPr>
              <w:t> </w:t>
            </w:r>
          </w:p>
        </w:tc>
        <w:tc>
          <w:tcPr>
            <w:tcW w:w="1627" w:type="dxa"/>
          </w:tcPr>
          <w:p>
            <w:pPr>
              <w:pStyle w:val="TableParagraph"/>
              <w:spacing w:before="4"/>
              <w:ind w:left="156"/>
              <w:rPr>
                <w:sz w:val="21"/>
              </w:rPr>
            </w:pPr>
            <w:r>
              <w:rPr>
                <w:w w:val="100"/>
                <w:sz w:val="21"/>
              </w:rPr>
              <w:t> </w:t>
            </w:r>
          </w:p>
        </w:tc>
        <w:tc>
          <w:tcPr>
            <w:tcW w:w="7922" w:type="dxa"/>
          </w:tcPr>
          <w:p>
            <w:pPr>
              <w:pStyle w:val="TableParagraph"/>
              <w:spacing w:before="4"/>
              <w:ind w:left="523"/>
              <w:rPr>
                <w:sz w:val="21"/>
              </w:rPr>
            </w:pPr>
            <w:r>
              <w:rPr>
                <w:w w:val="100"/>
                <w:sz w:val="21"/>
              </w:rPr>
              <w:t> </w:t>
            </w:r>
          </w:p>
        </w:tc>
      </w:tr>
      <w:tr>
        <w:trPr>
          <w:trHeight w:val="628" w:hRule="atLeast"/>
        </w:trPr>
        <w:tc>
          <w:tcPr>
            <w:tcW w:w="628" w:type="dxa"/>
          </w:tcPr>
          <w:p>
            <w:pPr>
              <w:pStyle w:val="TableParagraph"/>
              <w:spacing w:line="309" w:lineRule="exact"/>
              <w:ind w:left="50"/>
              <w:rPr>
                <w:rFonts w:ascii="Microsoft JhengHei"/>
                <w:b/>
                <w:sz w:val="21"/>
              </w:rPr>
            </w:pPr>
            <w:r>
              <w:rPr>
                <w:rFonts w:ascii="Microsoft JhengHei"/>
                <w:b/>
                <w:w w:val="90"/>
                <w:sz w:val="21"/>
              </w:rPr>
              <w:t>7. 2</w:t>
            </w:r>
          </w:p>
        </w:tc>
        <w:tc>
          <w:tcPr>
            <w:tcW w:w="1627" w:type="dxa"/>
          </w:tcPr>
          <w:p>
            <w:pPr>
              <w:pStyle w:val="TableParagraph"/>
              <w:spacing w:line="309" w:lineRule="exact"/>
              <w:ind w:left="156"/>
              <w:rPr>
                <w:rFonts w:ascii="Microsoft JhengHei" w:eastAsia="Microsoft JhengHei" w:hint="eastAsia"/>
                <w:b/>
                <w:sz w:val="21"/>
              </w:rPr>
            </w:pPr>
            <w:r>
              <w:rPr>
                <w:rFonts w:ascii="Microsoft JhengHei" w:eastAsia="Microsoft JhengHei" w:hint="eastAsia"/>
                <w:b/>
                <w:sz w:val="21"/>
              </w:rPr>
              <w:t>在职人员</w:t>
            </w:r>
          </w:p>
        </w:tc>
        <w:tc>
          <w:tcPr>
            <w:tcW w:w="7922" w:type="dxa"/>
          </w:tcPr>
          <w:p>
            <w:pPr>
              <w:pStyle w:val="TableParagraph"/>
              <w:spacing w:before="10"/>
              <w:ind w:left="523" w:right="47"/>
              <w:rPr>
                <w:sz w:val="21"/>
              </w:rPr>
            </w:pPr>
            <w:r>
              <w:rPr>
                <w:sz w:val="21"/>
              </w:rPr>
              <w:t>指与投保人之间存在合法劳动关系的、正常从事投保人所指派的各项工作并承担责任的人员。 </w:t>
            </w:r>
          </w:p>
        </w:tc>
      </w:tr>
      <w:tr>
        <w:trPr>
          <w:trHeight w:val="345" w:hRule="atLeast"/>
        </w:trPr>
        <w:tc>
          <w:tcPr>
            <w:tcW w:w="628" w:type="dxa"/>
          </w:tcPr>
          <w:p>
            <w:pPr>
              <w:pStyle w:val="TableParagraph"/>
              <w:spacing w:before="6"/>
              <w:ind w:left="50"/>
              <w:rPr>
                <w:sz w:val="21"/>
              </w:rPr>
            </w:pPr>
            <w:r>
              <w:rPr>
                <w:w w:val="100"/>
                <w:sz w:val="21"/>
              </w:rPr>
              <w:t> </w:t>
            </w:r>
          </w:p>
        </w:tc>
        <w:tc>
          <w:tcPr>
            <w:tcW w:w="1627" w:type="dxa"/>
          </w:tcPr>
          <w:p>
            <w:pPr>
              <w:pStyle w:val="TableParagraph"/>
              <w:spacing w:before="6"/>
              <w:ind w:left="156"/>
              <w:rPr>
                <w:sz w:val="21"/>
              </w:rPr>
            </w:pPr>
            <w:r>
              <w:rPr>
                <w:w w:val="100"/>
                <w:sz w:val="21"/>
              </w:rPr>
              <w:t> </w:t>
            </w:r>
          </w:p>
        </w:tc>
        <w:tc>
          <w:tcPr>
            <w:tcW w:w="7922" w:type="dxa"/>
          </w:tcPr>
          <w:p>
            <w:pPr>
              <w:pStyle w:val="TableParagraph"/>
              <w:spacing w:before="6"/>
              <w:ind w:left="523"/>
              <w:rPr>
                <w:sz w:val="21"/>
              </w:rPr>
            </w:pPr>
            <w:r>
              <w:rPr>
                <w:w w:val="100"/>
                <w:sz w:val="21"/>
              </w:rPr>
              <w:t> </w:t>
            </w:r>
          </w:p>
        </w:tc>
      </w:tr>
      <w:tr>
        <w:trPr>
          <w:trHeight w:val="627" w:hRule="atLeast"/>
        </w:trPr>
        <w:tc>
          <w:tcPr>
            <w:tcW w:w="628" w:type="dxa"/>
          </w:tcPr>
          <w:p>
            <w:pPr>
              <w:pStyle w:val="TableParagraph"/>
              <w:spacing w:line="309" w:lineRule="exact"/>
              <w:ind w:left="50"/>
              <w:rPr>
                <w:sz w:val="21"/>
              </w:rPr>
            </w:pPr>
            <w:r>
              <w:rPr>
                <w:rFonts w:ascii="Microsoft JhengHei"/>
                <w:b/>
                <w:w w:val="90"/>
                <w:sz w:val="21"/>
              </w:rPr>
              <w:t>7. 3</w:t>
            </w:r>
            <w:r>
              <w:rPr>
                <w:rFonts w:ascii="Microsoft JhengHei"/>
                <w:b/>
                <w:sz w:val="21"/>
              </w:rPr>
              <w:t> </w:t>
            </w:r>
            <w:r>
              <w:rPr>
                <w:w w:val="100"/>
                <w:sz w:val="21"/>
              </w:rPr>
              <w:t> </w:t>
            </w:r>
          </w:p>
        </w:tc>
        <w:tc>
          <w:tcPr>
            <w:tcW w:w="1627" w:type="dxa"/>
          </w:tcPr>
          <w:p>
            <w:pPr>
              <w:pStyle w:val="TableParagraph"/>
              <w:spacing w:line="309" w:lineRule="exact"/>
              <w:ind w:left="156"/>
              <w:rPr>
                <w:rFonts w:ascii="Microsoft JhengHei" w:eastAsia="Microsoft JhengHei" w:hint="eastAsia"/>
                <w:b/>
                <w:sz w:val="21"/>
              </w:rPr>
            </w:pPr>
            <w:r>
              <w:rPr>
                <w:rFonts w:ascii="Microsoft JhengHei" w:eastAsia="Microsoft JhengHei" w:hint="eastAsia"/>
                <w:b/>
                <w:sz w:val="21"/>
              </w:rPr>
              <w:t>子女</w:t>
            </w:r>
          </w:p>
        </w:tc>
        <w:tc>
          <w:tcPr>
            <w:tcW w:w="7922" w:type="dxa"/>
          </w:tcPr>
          <w:p>
            <w:pPr>
              <w:pStyle w:val="TableParagraph"/>
              <w:spacing w:before="10"/>
              <w:ind w:left="523" w:right="47"/>
              <w:rPr>
                <w:sz w:val="21"/>
              </w:rPr>
            </w:pPr>
            <w:r>
              <w:rPr>
                <w:sz w:val="21"/>
              </w:rPr>
              <w:t>指《中华人民共和国继承法》中规定的子女，包括婚生子女、非婚生子女、养子女和有扶养关系的继子女。 </w:t>
            </w:r>
          </w:p>
        </w:tc>
      </w:tr>
      <w:tr>
        <w:trPr>
          <w:trHeight w:val="344" w:hRule="atLeast"/>
        </w:trPr>
        <w:tc>
          <w:tcPr>
            <w:tcW w:w="628" w:type="dxa"/>
          </w:tcPr>
          <w:p>
            <w:pPr>
              <w:pStyle w:val="TableParagraph"/>
              <w:spacing w:before="4"/>
              <w:ind w:left="50"/>
              <w:rPr>
                <w:sz w:val="21"/>
              </w:rPr>
            </w:pPr>
            <w:r>
              <w:rPr>
                <w:w w:val="100"/>
                <w:sz w:val="21"/>
              </w:rPr>
              <w:t> </w:t>
            </w:r>
          </w:p>
        </w:tc>
        <w:tc>
          <w:tcPr>
            <w:tcW w:w="1627" w:type="dxa"/>
          </w:tcPr>
          <w:p>
            <w:pPr>
              <w:pStyle w:val="TableParagraph"/>
              <w:spacing w:before="4"/>
              <w:ind w:left="156"/>
              <w:rPr>
                <w:sz w:val="21"/>
              </w:rPr>
            </w:pPr>
            <w:r>
              <w:rPr>
                <w:w w:val="100"/>
                <w:sz w:val="21"/>
              </w:rPr>
              <w:t> </w:t>
            </w:r>
          </w:p>
        </w:tc>
        <w:tc>
          <w:tcPr>
            <w:tcW w:w="7922" w:type="dxa"/>
          </w:tcPr>
          <w:p>
            <w:pPr>
              <w:pStyle w:val="TableParagraph"/>
              <w:spacing w:before="4"/>
              <w:ind w:left="523"/>
              <w:rPr>
                <w:sz w:val="21"/>
              </w:rPr>
            </w:pPr>
            <w:r>
              <w:rPr>
                <w:w w:val="100"/>
                <w:sz w:val="21"/>
              </w:rPr>
              <w:t> </w:t>
            </w:r>
          </w:p>
        </w:tc>
      </w:tr>
      <w:tr>
        <w:trPr>
          <w:trHeight w:val="362" w:hRule="atLeast"/>
        </w:trPr>
        <w:tc>
          <w:tcPr>
            <w:tcW w:w="628" w:type="dxa"/>
          </w:tcPr>
          <w:p>
            <w:pPr>
              <w:pStyle w:val="TableParagraph"/>
              <w:spacing w:line="309" w:lineRule="exact"/>
              <w:ind w:left="50"/>
              <w:rPr>
                <w:rFonts w:ascii="Microsoft JhengHei"/>
                <w:b/>
                <w:sz w:val="21"/>
              </w:rPr>
            </w:pPr>
            <w:r>
              <w:rPr>
                <w:rFonts w:ascii="Microsoft JhengHei"/>
                <w:b/>
                <w:w w:val="90"/>
                <w:sz w:val="21"/>
              </w:rPr>
              <w:t>7. 4</w:t>
            </w:r>
          </w:p>
        </w:tc>
        <w:tc>
          <w:tcPr>
            <w:tcW w:w="1627" w:type="dxa"/>
          </w:tcPr>
          <w:p>
            <w:pPr>
              <w:pStyle w:val="TableParagraph"/>
              <w:spacing w:line="309" w:lineRule="exact"/>
              <w:ind w:left="156"/>
              <w:rPr>
                <w:sz w:val="21"/>
              </w:rPr>
            </w:pPr>
            <w:r>
              <w:rPr>
                <w:rFonts w:ascii="Microsoft JhengHei" w:eastAsia="Microsoft JhengHei" w:hint="eastAsia"/>
                <w:b/>
                <w:sz w:val="21"/>
              </w:rPr>
              <w:t>医疗机构</w:t>
            </w:r>
            <w:r>
              <w:rPr>
                <w:sz w:val="21"/>
              </w:rPr>
              <w:t> </w:t>
            </w:r>
          </w:p>
        </w:tc>
        <w:tc>
          <w:tcPr>
            <w:tcW w:w="7922" w:type="dxa"/>
          </w:tcPr>
          <w:p>
            <w:pPr>
              <w:pStyle w:val="TableParagraph"/>
              <w:spacing w:before="10"/>
              <w:ind w:left="523"/>
              <w:rPr>
                <w:sz w:val="21"/>
              </w:rPr>
            </w:pPr>
            <w:r>
              <w:rPr>
                <w:sz w:val="21"/>
              </w:rPr>
              <w:t>除本附加险合同另有约定外，指符合下列所有条件的机构： </w:t>
            </w:r>
          </w:p>
        </w:tc>
      </w:tr>
      <w:tr>
        <w:trPr>
          <w:trHeight w:val="273" w:hRule="atLeast"/>
        </w:trPr>
        <w:tc>
          <w:tcPr>
            <w:tcW w:w="628" w:type="dxa"/>
          </w:tcPr>
          <w:p>
            <w:pPr>
              <w:pStyle w:val="TableParagraph"/>
              <w:rPr>
                <w:rFonts w:ascii="Times New Roman"/>
                <w:sz w:val="20"/>
              </w:rPr>
            </w:pPr>
          </w:p>
        </w:tc>
        <w:tc>
          <w:tcPr>
            <w:tcW w:w="1627" w:type="dxa"/>
          </w:tcPr>
          <w:p>
            <w:pPr>
              <w:pStyle w:val="TableParagraph"/>
              <w:rPr>
                <w:rFonts w:ascii="Times New Roman"/>
                <w:sz w:val="20"/>
              </w:rPr>
            </w:pPr>
          </w:p>
        </w:tc>
        <w:tc>
          <w:tcPr>
            <w:tcW w:w="7922" w:type="dxa"/>
          </w:tcPr>
          <w:p>
            <w:pPr>
              <w:pStyle w:val="TableParagraph"/>
              <w:spacing w:line="253" w:lineRule="exact"/>
              <w:ind w:left="523"/>
              <w:rPr>
                <w:sz w:val="21"/>
              </w:rPr>
            </w:pPr>
            <w:r>
              <w:rPr>
                <w:sz w:val="21"/>
              </w:rPr>
              <w:t>（1）指经国家卫生行政部门评定的二级或二级以上综合医院或专科医院(前述综</w:t>
            </w:r>
          </w:p>
        </w:tc>
      </w:tr>
    </w:tbl>
    <w:p>
      <w:pPr>
        <w:pStyle w:val="BodyText"/>
        <w:spacing w:before="0"/>
        <w:ind w:left="3406" w:right="263"/>
      </w:pPr>
      <w:r>
        <w:rPr>
          <w:spacing w:val="-10"/>
        </w:rPr>
        <w:t>合医院和专科医院中的观察室、联合病床、康复病房、家庭长期护理病床除</w:t>
      </w:r>
      <w:r>
        <w:rPr>
          <w:spacing w:val="-1"/>
        </w:rPr>
        <w:t>外)；</w:t>
      </w:r>
      <w:r>
        <w:rPr/>
        <w:t> </w:t>
      </w:r>
    </w:p>
    <w:p>
      <w:pPr>
        <w:pStyle w:val="BodyText"/>
        <w:spacing w:before="76"/>
        <w:ind w:left="3406" w:right="263" w:hanging="526"/>
      </w:pPr>
      <w:r>
        <w:rPr>
          <w:spacing w:val="-6"/>
        </w:rPr>
        <w:t>（2）</w:t>
      </w:r>
      <w:r>
        <w:rPr>
          <w:spacing w:val="-10"/>
        </w:rPr>
        <w:t>不包括精神病院、私人诊所，以及作为康复、疗养、护理、戒酒、戒毒或类</w:t>
      </w:r>
      <w:r>
        <w:rPr>
          <w:spacing w:val="-5"/>
        </w:rPr>
        <w:t>似的医疗机构。</w:t>
      </w:r>
      <w:r>
        <w:rPr/>
        <w:t> </w:t>
      </w:r>
    </w:p>
    <w:p>
      <w:pPr>
        <w:pStyle w:val="BodyText"/>
        <w:spacing w:before="8"/>
        <w:ind w:left="0"/>
        <w:rPr>
          <w:sz w:val="1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1639"/>
        <w:gridCol w:w="8077"/>
      </w:tblGrid>
      <w:tr>
        <w:trPr>
          <w:trHeight w:val="275" w:hRule="atLeast"/>
        </w:trPr>
        <w:tc>
          <w:tcPr>
            <w:tcW w:w="565" w:type="dxa"/>
          </w:tcPr>
          <w:p>
            <w:pPr>
              <w:pStyle w:val="TableParagraph"/>
              <w:spacing w:line="211" w:lineRule="exact"/>
              <w:ind w:left="50"/>
              <w:rPr>
                <w:sz w:val="21"/>
              </w:rPr>
            </w:pPr>
            <w:r>
              <w:rPr>
                <w:w w:val="100"/>
                <w:sz w:val="21"/>
              </w:rPr>
              <w:t> </w:t>
            </w:r>
          </w:p>
        </w:tc>
        <w:tc>
          <w:tcPr>
            <w:tcW w:w="1639" w:type="dxa"/>
          </w:tcPr>
          <w:p>
            <w:pPr>
              <w:pStyle w:val="TableParagraph"/>
              <w:spacing w:line="211" w:lineRule="exact"/>
              <w:ind w:left="219"/>
              <w:rPr>
                <w:sz w:val="21"/>
              </w:rPr>
            </w:pPr>
            <w:r>
              <w:rPr>
                <w:w w:val="100"/>
                <w:sz w:val="21"/>
              </w:rPr>
              <w:t> </w:t>
            </w:r>
          </w:p>
        </w:tc>
        <w:tc>
          <w:tcPr>
            <w:tcW w:w="8077" w:type="dxa"/>
          </w:tcPr>
          <w:p>
            <w:pPr>
              <w:pStyle w:val="TableParagraph"/>
              <w:spacing w:line="211" w:lineRule="exact"/>
              <w:ind w:left="574"/>
              <w:rPr>
                <w:sz w:val="21"/>
              </w:rPr>
            </w:pPr>
            <w:r>
              <w:rPr>
                <w:w w:val="100"/>
                <w:sz w:val="21"/>
              </w:rPr>
              <w:t> </w:t>
            </w:r>
          </w:p>
        </w:tc>
      </w:tr>
      <w:tr>
        <w:trPr>
          <w:trHeight w:val="625" w:hRule="atLeast"/>
        </w:trPr>
        <w:tc>
          <w:tcPr>
            <w:tcW w:w="565" w:type="dxa"/>
          </w:tcPr>
          <w:p>
            <w:pPr>
              <w:pStyle w:val="TableParagraph"/>
              <w:spacing w:line="309" w:lineRule="exact"/>
              <w:ind w:left="50"/>
              <w:rPr>
                <w:rFonts w:ascii="Microsoft JhengHei"/>
                <w:b/>
                <w:sz w:val="21"/>
              </w:rPr>
            </w:pPr>
            <w:r>
              <w:rPr>
                <w:rFonts w:ascii="Microsoft JhengHei"/>
                <w:b/>
                <w:w w:val="90"/>
                <w:sz w:val="21"/>
              </w:rPr>
              <w:t>7. 5</w:t>
            </w:r>
          </w:p>
        </w:tc>
        <w:tc>
          <w:tcPr>
            <w:tcW w:w="1639" w:type="dxa"/>
          </w:tcPr>
          <w:p>
            <w:pPr>
              <w:pStyle w:val="TableParagraph"/>
              <w:spacing w:line="333" w:lineRule="exact"/>
              <w:ind w:left="219"/>
              <w:rPr>
                <w:rFonts w:ascii="Microsoft JhengHei" w:eastAsia="Microsoft JhengHei" w:hint="eastAsia"/>
                <w:b/>
                <w:sz w:val="21"/>
              </w:rPr>
            </w:pPr>
            <w:r>
              <w:rPr>
                <w:rFonts w:ascii="Microsoft JhengHei" w:eastAsia="Microsoft JhengHei" w:hint="eastAsia"/>
                <w:b/>
                <w:sz w:val="21"/>
              </w:rPr>
              <w:t>重大疾病</w:t>
            </w:r>
          </w:p>
        </w:tc>
        <w:tc>
          <w:tcPr>
            <w:tcW w:w="8077" w:type="dxa"/>
          </w:tcPr>
          <w:p>
            <w:pPr>
              <w:pStyle w:val="TableParagraph"/>
              <w:spacing w:before="10"/>
              <w:ind w:left="574" w:right="225"/>
              <w:rPr>
                <w:sz w:val="21"/>
              </w:rPr>
            </w:pPr>
            <w:r>
              <w:rPr>
                <w:spacing w:val="-5"/>
                <w:sz w:val="21"/>
              </w:rPr>
              <w:t>重大疾病名称及疾病定义由中国保险行业协会统一制定</w:t>
            </w:r>
            <w:r>
              <w:rPr>
                <w:spacing w:val="-3"/>
                <w:sz w:val="21"/>
              </w:rPr>
              <w:t>（</w:t>
            </w:r>
            <w:r>
              <w:rPr>
                <w:spacing w:val="-9"/>
                <w:sz w:val="21"/>
              </w:rPr>
              <w:t>见《重大疾病保险的疾</w:t>
            </w:r>
            <w:r>
              <w:rPr>
                <w:spacing w:val="-16"/>
                <w:sz w:val="21"/>
              </w:rPr>
              <w:t>病定义使用规范》</w:t>
            </w:r>
            <w:r>
              <w:rPr>
                <w:spacing w:val="-106"/>
                <w:sz w:val="21"/>
              </w:rPr>
              <w:t>）</w:t>
            </w:r>
            <w:r>
              <w:rPr>
                <w:spacing w:val="-3"/>
                <w:sz w:val="21"/>
              </w:rPr>
              <w:t>。</w:t>
            </w:r>
            <w:r>
              <w:rPr>
                <w:sz w:val="21"/>
              </w:rPr>
              <w:t> </w:t>
            </w:r>
          </w:p>
        </w:tc>
      </w:tr>
      <w:tr>
        <w:trPr>
          <w:trHeight w:val="312" w:hRule="atLeast"/>
        </w:trPr>
        <w:tc>
          <w:tcPr>
            <w:tcW w:w="2204" w:type="dxa"/>
            <w:gridSpan w:val="2"/>
            <w:vMerge w:val="restart"/>
          </w:tcPr>
          <w:p>
            <w:pPr>
              <w:pStyle w:val="TableParagraph"/>
              <w:rPr>
                <w:rFonts w:ascii="Times New Roman"/>
                <w:sz w:val="20"/>
              </w:rPr>
            </w:pPr>
          </w:p>
        </w:tc>
        <w:tc>
          <w:tcPr>
            <w:tcW w:w="8077" w:type="dxa"/>
          </w:tcPr>
          <w:p>
            <w:pPr>
              <w:pStyle w:val="TableParagraph"/>
              <w:spacing w:line="293" w:lineRule="exact"/>
              <w:ind w:left="574"/>
              <w:rPr>
                <w:sz w:val="21"/>
              </w:rPr>
            </w:pPr>
            <w:r>
              <w:rPr>
                <w:sz w:val="21"/>
              </w:rPr>
              <w:t>被保险人发生符合以下疾病定义所述条件的疾病，应当由</w:t>
            </w:r>
            <w:r>
              <w:rPr>
                <w:rFonts w:ascii="Microsoft JhengHei" w:eastAsia="Microsoft JhengHei" w:hint="eastAsia"/>
                <w:b/>
                <w:sz w:val="21"/>
              </w:rPr>
              <w:t>专科医生</w:t>
            </w:r>
            <w:r>
              <w:rPr>
                <w:sz w:val="21"/>
              </w:rPr>
              <w:t>（见7.14）明</w:t>
            </w:r>
          </w:p>
        </w:tc>
      </w:tr>
      <w:tr>
        <w:trPr>
          <w:trHeight w:val="311"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确诊断。  </w:t>
            </w:r>
          </w:p>
        </w:tc>
      </w:tr>
      <w:tr>
        <w:trPr>
          <w:trHeight w:val="349"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一、恶性肿瘤  </w:t>
            </w:r>
          </w:p>
        </w:tc>
      </w:tr>
      <w:tr>
        <w:trPr>
          <w:trHeight w:val="310" w:hRule="atLeast"/>
        </w:trPr>
        <w:tc>
          <w:tcPr>
            <w:tcW w:w="2204" w:type="dxa"/>
            <w:gridSpan w:val="2"/>
            <w:vMerge/>
            <w:tcBorders>
              <w:top w:val="nil"/>
            </w:tcBorders>
          </w:tcPr>
          <w:p>
            <w:pPr>
              <w:rPr>
                <w:sz w:val="2"/>
                <w:szCs w:val="2"/>
              </w:rPr>
            </w:pPr>
          </w:p>
        </w:tc>
        <w:tc>
          <w:tcPr>
            <w:tcW w:w="8077" w:type="dxa"/>
          </w:tcPr>
          <w:p>
            <w:pPr>
              <w:pStyle w:val="TableParagraph"/>
              <w:spacing w:before="4"/>
              <w:ind w:left="574"/>
              <w:rPr>
                <w:sz w:val="21"/>
              </w:rPr>
            </w:pPr>
            <w:r>
              <w:rPr>
                <w:sz w:val="21"/>
              </w:rPr>
              <w:t>指恶性细胞不受控制的进行性增长和扩散，浸润和破坏周围正常组织，可以经血</w:t>
            </w:r>
          </w:p>
        </w:tc>
      </w:tr>
      <w:tr>
        <w:trPr>
          <w:trHeight w:val="273"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pacing w:val="-12"/>
                <w:sz w:val="21"/>
              </w:rPr>
              <w:t>管、淋巴管和体腔扩散转移到身体其它部位的疾病。经病理学检查结果明确诊断，</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临床诊断属于世界卫生组织《疾病和有关健康问题的国际统计分类》（ICD-10）</w:t>
            </w:r>
          </w:p>
        </w:tc>
      </w:tr>
      <w:tr>
        <w:trPr>
          <w:trHeight w:val="310"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的恶性肿瘤范畴。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下列疾病不在保障范围内：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（1）原位癌；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（2）相当于Binet分期方案A期程度的慢性淋巴细胞白血病；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（3）相当于Ann Arbor分期方案I期程度的何杰金氏病；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r>
              <w:rPr>
                <w:spacing w:val="-3"/>
                <w:w w:val="100"/>
                <w:sz w:val="21"/>
              </w:rPr>
              <w:t>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（5）TNM分期为T1N0M0期或更轻分期的前列腺癌；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（6）感染艾滋病病毒或患艾滋病期间所患恶性肿瘤。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二、急性心肌梗塞  </w:t>
            </w:r>
          </w:p>
        </w:tc>
      </w:tr>
      <w:tr>
        <w:trPr>
          <w:trHeight w:val="312"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指因冠状动脉阻塞导致的相应区域供血不足造成部分心肌坏死。须满足下列至少</w:t>
            </w:r>
          </w:p>
        </w:tc>
      </w:tr>
      <w:tr>
        <w:trPr>
          <w:trHeight w:val="310"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三项条件：  </w:t>
            </w:r>
          </w:p>
        </w:tc>
      </w:tr>
      <w:tr>
        <w:trPr>
          <w:trHeight w:val="349" w:hRule="atLeast"/>
        </w:trPr>
        <w:tc>
          <w:tcPr>
            <w:tcW w:w="2204" w:type="dxa"/>
            <w:gridSpan w:val="2"/>
            <w:vMerge/>
            <w:tcBorders>
              <w:top w:val="nil"/>
            </w:tcBorders>
          </w:tcPr>
          <w:p>
            <w:pPr>
              <w:rPr>
                <w:sz w:val="2"/>
                <w:szCs w:val="2"/>
              </w:rPr>
            </w:pPr>
          </w:p>
        </w:tc>
        <w:tc>
          <w:tcPr>
            <w:tcW w:w="8077" w:type="dxa"/>
          </w:tcPr>
          <w:p>
            <w:pPr>
              <w:pStyle w:val="TableParagraph"/>
              <w:spacing w:before="4"/>
              <w:ind w:left="574"/>
              <w:rPr>
                <w:sz w:val="21"/>
              </w:rPr>
            </w:pPr>
            <w:r>
              <w:rPr>
                <w:sz w:val="21"/>
              </w:rPr>
              <w:t>（1）典型临床表现，例如急性胸痛等；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（2）新近的心电图改变提示急性心肌梗塞；  </w:t>
            </w:r>
          </w:p>
        </w:tc>
      </w:tr>
      <w:tr>
        <w:trPr>
          <w:trHeight w:val="311"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（3）心肌酶或肌钙蛋白有诊断意义的升高，或呈符合急性心肌梗塞的动态性变</w:t>
            </w:r>
          </w:p>
        </w:tc>
      </w:tr>
      <w:tr>
        <w:trPr>
          <w:trHeight w:val="311" w:hRule="atLeast"/>
        </w:trPr>
        <w:tc>
          <w:tcPr>
            <w:tcW w:w="2204" w:type="dxa"/>
            <w:gridSpan w:val="2"/>
            <w:vMerge/>
            <w:tcBorders>
              <w:top w:val="nil"/>
            </w:tcBorders>
          </w:tcPr>
          <w:p>
            <w:pPr>
              <w:rPr>
                <w:sz w:val="2"/>
                <w:szCs w:val="2"/>
              </w:rPr>
            </w:pPr>
          </w:p>
        </w:tc>
        <w:tc>
          <w:tcPr>
            <w:tcW w:w="8077" w:type="dxa"/>
          </w:tcPr>
          <w:p>
            <w:pPr>
              <w:pStyle w:val="TableParagraph"/>
              <w:spacing w:line="242" w:lineRule="exact"/>
              <w:ind w:left="574"/>
              <w:rPr>
                <w:sz w:val="21"/>
              </w:rPr>
            </w:pPr>
            <w:r>
              <w:rPr>
                <w:sz w:val="21"/>
              </w:rPr>
              <w:t>化；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（4）发病90天后，经检查证实左心室功能降低，如左心室射血分数低于50%。  </w:t>
            </w:r>
          </w:p>
        </w:tc>
      </w:tr>
      <w:tr>
        <w:trPr>
          <w:trHeight w:val="35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三、脑中风后遗症  </w:t>
            </w:r>
          </w:p>
        </w:tc>
      </w:tr>
      <w:tr>
        <w:trPr>
          <w:trHeight w:val="310" w:hRule="atLeast"/>
        </w:trPr>
        <w:tc>
          <w:tcPr>
            <w:tcW w:w="2204" w:type="dxa"/>
            <w:gridSpan w:val="2"/>
            <w:vMerge/>
            <w:tcBorders>
              <w:top w:val="nil"/>
            </w:tcBorders>
          </w:tcPr>
          <w:p>
            <w:pPr>
              <w:rPr>
                <w:sz w:val="2"/>
                <w:szCs w:val="2"/>
              </w:rPr>
            </w:pPr>
          </w:p>
        </w:tc>
        <w:tc>
          <w:tcPr>
            <w:tcW w:w="8077" w:type="dxa"/>
          </w:tcPr>
          <w:p>
            <w:pPr>
              <w:pStyle w:val="TableParagraph"/>
              <w:spacing w:before="6"/>
              <w:ind w:left="574"/>
              <w:rPr>
                <w:sz w:val="21"/>
              </w:rPr>
            </w:pPr>
            <w:r>
              <w:rPr>
                <w:sz w:val="21"/>
              </w:rPr>
              <w:t>指因脑血管的突发病变引起脑血管出血、栓塞或梗塞，并导致神经系统永久性的</w:t>
            </w:r>
          </w:p>
        </w:tc>
      </w:tr>
      <w:tr>
        <w:trPr>
          <w:trHeight w:val="272" w:hRule="atLeast"/>
        </w:trPr>
        <w:tc>
          <w:tcPr>
            <w:tcW w:w="2204" w:type="dxa"/>
            <w:gridSpan w:val="2"/>
            <w:vMerge/>
            <w:tcBorders>
              <w:top w:val="nil"/>
            </w:tcBorders>
          </w:tcPr>
          <w:p>
            <w:pPr>
              <w:rPr>
                <w:sz w:val="2"/>
                <w:szCs w:val="2"/>
              </w:rPr>
            </w:pPr>
          </w:p>
        </w:tc>
        <w:tc>
          <w:tcPr>
            <w:tcW w:w="8077" w:type="dxa"/>
          </w:tcPr>
          <w:p>
            <w:pPr>
              <w:pStyle w:val="TableParagraph"/>
              <w:spacing w:line="241" w:lineRule="exact"/>
              <w:ind w:left="574"/>
              <w:rPr>
                <w:sz w:val="21"/>
              </w:rPr>
            </w:pPr>
            <w:r>
              <w:rPr>
                <w:sz w:val="21"/>
              </w:rPr>
              <w:t>功能障碍。神经系统永久性的功能障碍，指疾病确诊180天后，仍遗留下列一种</w:t>
            </w:r>
          </w:p>
        </w:tc>
      </w:tr>
      <w:tr>
        <w:trPr>
          <w:trHeight w:val="242" w:hRule="atLeast"/>
        </w:trPr>
        <w:tc>
          <w:tcPr>
            <w:tcW w:w="2204" w:type="dxa"/>
            <w:gridSpan w:val="2"/>
            <w:vMerge/>
            <w:tcBorders>
              <w:top w:val="nil"/>
            </w:tcBorders>
          </w:tcPr>
          <w:p>
            <w:pPr>
              <w:rPr>
                <w:sz w:val="2"/>
                <w:szCs w:val="2"/>
              </w:rPr>
            </w:pPr>
          </w:p>
        </w:tc>
        <w:tc>
          <w:tcPr>
            <w:tcW w:w="8077" w:type="dxa"/>
          </w:tcPr>
          <w:p>
            <w:pPr>
              <w:pStyle w:val="TableParagraph"/>
              <w:spacing w:line="222" w:lineRule="exact"/>
              <w:ind w:left="574"/>
              <w:rPr>
                <w:sz w:val="21"/>
              </w:rPr>
            </w:pPr>
            <w:r>
              <w:rPr>
                <w:sz w:val="21"/>
              </w:rPr>
              <w:t>或一种以上障碍：  </w:t>
            </w:r>
          </w:p>
        </w:tc>
      </w:tr>
    </w:tbl>
    <w:p>
      <w:pPr>
        <w:spacing w:after="0" w:line="222" w:lineRule="exact"/>
        <w:rPr>
          <w:sz w:val="21"/>
        </w:rPr>
        <w:sectPr>
          <w:pgSz w:w="11900" w:h="16840"/>
          <w:pgMar w:header="0" w:footer="724" w:top="1180" w:bottom="920" w:left="1060" w:right="340"/>
        </w:sectPr>
      </w:pPr>
    </w:p>
    <w:p>
      <w:pPr>
        <w:spacing w:line="315" w:lineRule="exact" w:before="0"/>
        <w:ind w:left="2260" w:right="0" w:firstLine="0"/>
        <w:jc w:val="left"/>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见7</w:t>
      </w:r>
      <w:r>
        <w:rPr>
          <w:spacing w:val="-3"/>
          <w:w w:val="100"/>
          <w:sz w:val="21"/>
        </w:rPr>
        <w:t>.</w:t>
      </w:r>
      <w:r>
        <w:rPr>
          <w:w w:val="100"/>
          <w:sz w:val="21"/>
        </w:rPr>
        <w:t>15</w:t>
      </w:r>
      <w:r>
        <w:rPr>
          <w:spacing w:val="-108"/>
          <w:w w:val="100"/>
          <w:sz w:val="21"/>
        </w:rPr>
        <w:t>）</w:t>
      </w:r>
      <w:r>
        <w:rPr>
          <w:spacing w:val="-3"/>
          <w:w w:val="100"/>
          <w:sz w:val="21"/>
        </w:rPr>
        <w:t>；</w:t>
      </w:r>
      <w:r>
        <w:rPr>
          <w:w w:val="100"/>
          <w:sz w:val="21"/>
        </w:rPr>
        <w:t>  </w:t>
      </w:r>
    </w:p>
    <w:p>
      <w:pPr>
        <w:spacing w:line="350" w:lineRule="exact" w:before="0"/>
        <w:ind w:left="2260" w:right="0" w:firstLine="0"/>
        <w:jc w:val="left"/>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见7</w:t>
      </w:r>
      <w:r>
        <w:rPr>
          <w:spacing w:val="-3"/>
          <w:w w:val="100"/>
          <w:sz w:val="21"/>
        </w:rPr>
        <w:t>.</w:t>
      </w:r>
      <w:r>
        <w:rPr>
          <w:w w:val="100"/>
          <w:sz w:val="21"/>
        </w:rPr>
        <w:t>16</w:t>
      </w:r>
      <w:r>
        <w:rPr>
          <w:spacing w:val="-108"/>
          <w:w w:val="100"/>
          <w:sz w:val="21"/>
        </w:rPr>
        <w:t>）</w:t>
      </w:r>
      <w:r>
        <w:rPr>
          <w:spacing w:val="-3"/>
          <w:w w:val="100"/>
          <w:sz w:val="21"/>
        </w:rPr>
        <w:t>；</w:t>
      </w:r>
      <w:r>
        <w:rPr>
          <w:w w:val="100"/>
          <w:sz w:val="21"/>
        </w:rPr>
        <w:t>  </w:t>
      </w:r>
    </w:p>
    <w:p>
      <w:pPr>
        <w:spacing w:line="345" w:lineRule="exact" w:before="0"/>
        <w:ind w:left="2260" w:right="0" w:firstLine="0"/>
        <w:jc w:val="left"/>
        <w:rPr>
          <w:sz w:val="21"/>
        </w:rPr>
      </w:pPr>
      <w:r>
        <w:rPr>
          <w:sz w:val="21"/>
        </w:rPr>
        <w:t>（3）自主生活能力完全丧失，无法独立完成</w:t>
      </w:r>
      <w:r>
        <w:rPr>
          <w:rFonts w:ascii="Microsoft JhengHei" w:eastAsia="Microsoft JhengHei" w:hint="eastAsia"/>
          <w:b/>
          <w:sz w:val="21"/>
        </w:rPr>
        <w:t>六项基本日常生活活动</w:t>
      </w:r>
      <w:r>
        <w:rPr>
          <w:sz w:val="21"/>
        </w:rPr>
        <w:t>（见7.17）</w:t>
      </w:r>
    </w:p>
    <w:p>
      <w:pPr>
        <w:pStyle w:val="BodyText"/>
        <w:spacing w:line="262" w:lineRule="exact" w:before="0"/>
      </w:pPr>
      <w:r>
        <w:rPr/>
        <w:t>中的三项或三项以上。  </w:t>
      </w:r>
    </w:p>
    <w:p>
      <w:pPr>
        <w:pStyle w:val="BodyText"/>
        <w:spacing w:before="73"/>
      </w:pPr>
      <w:r>
        <w:rPr/>
        <w:t>四、重大器官移植术或造血干细胞移植术  </w:t>
      </w:r>
    </w:p>
    <w:p>
      <w:pPr>
        <w:pStyle w:val="BodyText"/>
        <w:ind w:right="210"/>
      </w:pPr>
      <w:r>
        <w:rPr/>
        <w:t>重大器官移植术，指因相应器官功能衰竭，已经实施了肾脏、肝脏、心脏或肺脏的异体移植手术。  </w:t>
      </w:r>
    </w:p>
    <w:p>
      <w:pPr>
        <w:pStyle w:val="BodyText"/>
        <w:spacing w:line="237" w:lineRule="auto" w:before="78"/>
        <w:ind w:right="208"/>
        <w:jc w:val="both"/>
      </w:pPr>
      <w:r>
        <w:rPr/>
        <w:t>造血干细胞移植术，指因造血功能损害或造血系统恶性肿瘤，已经实施了造血干细胞（包括骨髓造血干细胞、外周血造血干细胞和脐血造血干细胞）的异体移植手术。  </w:t>
      </w:r>
    </w:p>
    <w:p>
      <w:pPr>
        <w:pStyle w:val="BodyText"/>
      </w:pPr>
      <w:r>
        <w:rPr/>
        <w:t>五、冠状动脉搭桥术（或称冠状动脉旁路移植术）  </w:t>
      </w:r>
    </w:p>
    <w:p>
      <w:pPr>
        <w:pStyle w:val="BodyText"/>
      </w:pPr>
      <w:r>
        <w:rPr/>
        <w:t>指为治疗严重的冠心病，实际实施了开胸进行的冠状动脉血管旁路移植的手术。 </w:t>
      </w:r>
    </w:p>
    <w:p>
      <w:pPr>
        <w:pStyle w:val="BodyText"/>
        <w:ind w:right="210"/>
      </w:pPr>
      <w:r>
        <w:rPr/>
        <w:t>冠状动脉支架植入术、心导管球囊扩张术、激光射频技术及其它非开胸的介入手术、腔镜手术不在保障范围内。  </w:t>
      </w:r>
    </w:p>
    <w:p>
      <w:pPr>
        <w:pStyle w:val="BodyText"/>
        <w:spacing w:before="72"/>
      </w:pPr>
      <w:r>
        <w:rPr/>
        <w:t>六、终末期肾病（或称慢性肾功能衰竭尿毒症期）  </w:t>
      </w:r>
    </w:p>
    <w:p>
      <w:pPr>
        <w:pStyle w:val="BodyText"/>
        <w:spacing w:line="274" w:lineRule="exact"/>
      </w:pPr>
      <w:r>
        <w:rPr/>
        <w:t>指双肾功能慢性不可逆性衰竭，达到尿毒症期，经诊断后已经进行了至少90天的</w:t>
      </w:r>
    </w:p>
    <w:p>
      <w:pPr>
        <w:pStyle w:val="BodyText"/>
        <w:spacing w:line="274" w:lineRule="exact" w:before="0"/>
      </w:pPr>
      <w:r>
        <w:rPr/>
        <w:t>规律性透析治疗或实施了肾脏移植手术。  </w:t>
      </w:r>
    </w:p>
    <w:p>
      <w:pPr>
        <w:pStyle w:val="BodyText"/>
      </w:pPr>
      <w:r>
        <w:rPr/>
        <w:t>七、多个肢体缺失  </w:t>
      </w:r>
    </w:p>
    <w:p>
      <w:pPr>
        <w:pStyle w:val="BodyText"/>
        <w:ind w:right="208"/>
      </w:pPr>
      <w:r>
        <w:rPr/>
        <w:t>指因疾病或意外伤害导致两个或两个以上肢体自腕关节或踝关节近端（靠近躯干端）以上完全性断离。  </w:t>
      </w:r>
    </w:p>
    <w:p>
      <w:pPr>
        <w:pStyle w:val="BodyText"/>
        <w:spacing w:before="73"/>
      </w:pPr>
      <w:r>
        <w:rPr/>
        <w:t>八、急性或亚急性重症肝炎  </w:t>
      </w:r>
    </w:p>
    <w:p>
      <w:pPr>
        <w:pStyle w:val="BodyText"/>
        <w:ind w:right="175"/>
      </w:pPr>
      <w:r>
        <w:rPr/>
        <w:t>指因肝炎病毒感染引起肝脏组织弥漫性坏死，导致急性肝功能衰竭，且经血清学或病毒学检查证实，并须满足下列全部条件：  </w:t>
      </w:r>
    </w:p>
    <w:p>
      <w:pPr>
        <w:pStyle w:val="BodyText"/>
        <w:spacing w:before="73"/>
      </w:pPr>
      <w:r>
        <w:rPr/>
        <w:t>（1）重度黄疸或黄疸迅速加重；  </w:t>
      </w:r>
    </w:p>
    <w:p>
      <w:pPr>
        <w:pStyle w:val="BodyText"/>
      </w:pPr>
      <w:r>
        <w:rPr/>
        <w:t>（2）肝性脑病；  </w:t>
      </w:r>
    </w:p>
    <w:p>
      <w:pPr>
        <w:pStyle w:val="BodyText"/>
      </w:pPr>
      <w:r>
        <w:rPr/>
        <w:t>（3）B超或其它影像学检查显示肝脏体积急速萎缩；  </w:t>
      </w:r>
    </w:p>
    <w:p>
      <w:pPr>
        <w:pStyle w:val="BodyText"/>
      </w:pPr>
      <w:r>
        <w:rPr/>
        <w:t>（4）肝功能指标进行性恶化。  </w:t>
      </w:r>
    </w:p>
    <w:p>
      <w:pPr>
        <w:pStyle w:val="BodyText"/>
      </w:pPr>
      <w:r>
        <w:rPr/>
        <w:t>九、良性脑肿瘤  </w:t>
      </w:r>
    </w:p>
    <w:p>
      <w:pPr>
        <w:pStyle w:val="BodyText"/>
        <w:spacing w:line="274" w:lineRule="exact"/>
      </w:pPr>
      <w:r>
        <w:rPr>
          <w:spacing w:val="-11"/>
        </w:rPr>
        <w:t>指脑的良性肿瘤，已经引起颅内压增高，临床表现为视神经乳头水肿、精神症状、</w:t>
      </w:r>
    </w:p>
    <w:p>
      <w:pPr>
        <w:pStyle w:val="BodyText"/>
        <w:spacing w:line="274" w:lineRule="exact" w:before="0"/>
      </w:pPr>
      <w:r>
        <w:rPr>
          <w:w w:val="100"/>
        </w:rPr>
        <w:t>癫痫及运动感觉障碍等，并危及生命。须由头颅断层扫描</w:t>
      </w:r>
      <w:r>
        <w:rPr>
          <w:spacing w:val="1"/>
          <w:w w:val="100"/>
        </w:rPr>
        <w:t>（</w:t>
      </w:r>
      <w:r>
        <w:rPr>
          <w:w w:val="100"/>
        </w:rPr>
        <w:t>C</w:t>
      </w:r>
      <w:r>
        <w:rPr>
          <w:spacing w:val="1"/>
          <w:w w:val="100"/>
        </w:rPr>
        <w:t>T</w:t>
      </w:r>
      <w:r>
        <w:rPr>
          <w:spacing w:val="-106"/>
          <w:w w:val="100"/>
        </w:rPr>
        <w:t>）</w:t>
      </w:r>
      <w:r>
        <w:rPr>
          <w:w w:val="100"/>
        </w:rPr>
        <w:t>、核磁共振检查</w:t>
      </w:r>
    </w:p>
    <w:p>
      <w:pPr>
        <w:pStyle w:val="BodyText"/>
        <w:spacing w:line="237" w:lineRule="auto" w:before="3"/>
        <w:ind w:right="169"/>
      </w:pPr>
      <w:r>
        <w:rPr/>
        <w:t>（MRI）或正电子发射断层扫描（PET）等影像学检查证实，并须满足下列至少一项条件：  </w:t>
      </w:r>
    </w:p>
    <w:p>
      <w:pPr>
        <w:pStyle w:val="BodyText"/>
      </w:pPr>
      <w:r>
        <w:rPr/>
        <w:t>（1）实际实施了开颅进行的脑肿瘤完全切除或部分切除的手术；  </w:t>
      </w:r>
    </w:p>
    <w:p>
      <w:pPr>
        <w:pStyle w:val="BodyText"/>
      </w:pPr>
      <w:r>
        <w:rPr/>
        <w:t>（2）实际实施了对脑肿瘤进行的放射治疗。  </w:t>
      </w:r>
    </w:p>
    <w:p>
      <w:pPr>
        <w:pStyle w:val="BodyText"/>
      </w:pPr>
      <w:r>
        <w:rPr/>
        <w:t>脑垂体瘤、脑囊肿、脑血管性疾病不在保障范围内。  </w:t>
      </w:r>
    </w:p>
    <w:p>
      <w:pPr>
        <w:pStyle w:val="BodyText"/>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304" w:lineRule="auto"/>
        <w:ind w:right="2202"/>
      </w:pPr>
      <w:r>
        <w:rPr/>
        <w:t>（4）</w:t>
      </w:r>
      <w:r>
        <w:rPr>
          <w:spacing w:val="-3"/>
        </w:rPr>
        <w:t>充血性脾肿大伴脾功能亢进或食管胃底静脉曲张。 因酗酒或药物滥用导致的肝功能衰竭不在保障范围内。  十一、脑炎后遗症或脑膜炎后遗症  </w:t>
      </w:r>
    </w:p>
    <w:p>
      <w:pPr>
        <w:spacing w:after="0" w:line="304" w:lineRule="auto"/>
        <w:sectPr>
          <w:pgSz w:w="11900" w:h="16840"/>
          <w:pgMar w:header="0" w:footer="724" w:top="1100" w:bottom="920" w:left="1680" w:right="400"/>
        </w:sectPr>
      </w:pPr>
    </w:p>
    <w:p>
      <w:pPr>
        <w:pStyle w:val="BodyText"/>
        <w:spacing w:line="274" w:lineRule="exact" w:before="24"/>
      </w:pPr>
      <w:r>
        <w:rPr/>
        <w:t>指因患脑炎或脑膜炎导致的神经系统永久性的功能障碍。神经系统永久性的功能</w:t>
      </w:r>
    </w:p>
    <w:p>
      <w:pPr>
        <w:pStyle w:val="BodyText"/>
        <w:spacing w:line="274" w:lineRule="exact" w:before="0"/>
      </w:pPr>
      <w:r>
        <w:rPr/>
        <w:t>障碍，指疾病确诊180天后，仍遗留下列一种或一种以上障碍：  </w:t>
      </w:r>
    </w:p>
    <w:p>
      <w:pPr>
        <w:pStyle w:val="BodyText"/>
        <w:spacing w:before="73"/>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6"/>
      </w:pPr>
      <w:r>
        <w:rPr/>
        <w:t>十二、深度昏迷  </w:t>
      </w:r>
    </w:p>
    <w:p>
      <w:pPr>
        <w:pStyle w:val="BodyText"/>
        <w:spacing w:line="237" w:lineRule="auto" w:before="78"/>
        <w:ind w:right="210"/>
      </w:pPr>
      <w:r>
        <w:rPr>
          <w:spacing w:val="-3"/>
        </w:rPr>
        <w:t>指因疾病或意外伤害导致意识丧失,对外界刺激和体内需求均无反应,昏迷程度 按照格拉斯哥昏迷分级</w:t>
      </w:r>
      <w:r>
        <w:rPr/>
        <w:t>（Glasgow coma scale）</w:t>
      </w:r>
      <w:r>
        <w:rPr>
          <w:spacing w:val="-2"/>
        </w:rPr>
        <w:t>结果为</w:t>
      </w:r>
      <w:r>
        <w:rPr/>
        <w:t>5</w:t>
      </w:r>
      <w:r>
        <w:rPr>
          <w:spacing w:val="-2"/>
        </w:rPr>
        <w:t>分或</w:t>
      </w:r>
      <w:r>
        <w:rPr/>
        <w:t>5</w:t>
      </w:r>
      <w:r>
        <w:rPr>
          <w:spacing w:val="-3"/>
        </w:rPr>
        <w:t>分以下，且已经持续使用呼吸机及其它生命维持系统</w:t>
      </w:r>
      <w:r>
        <w:rPr/>
        <w:t>96</w:t>
      </w:r>
      <w:r>
        <w:rPr>
          <w:spacing w:val="-3"/>
        </w:rPr>
        <w:t>小时以上。  </w:t>
      </w:r>
    </w:p>
    <w:p>
      <w:pPr>
        <w:pStyle w:val="BodyText"/>
      </w:pPr>
      <w:r>
        <w:rPr/>
        <w:t>因酗酒或药物滥用导致的深度昏迷不在保障范围内。  </w:t>
      </w:r>
    </w:p>
    <w:p>
      <w:pPr>
        <w:pStyle w:val="BodyText"/>
      </w:pPr>
      <w:r>
        <w:rPr/>
        <w:t>十三、瘫痪  </w:t>
      </w:r>
    </w:p>
    <w:p>
      <w:pPr>
        <w:pStyle w:val="BodyText"/>
        <w:spacing w:line="237" w:lineRule="auto" w:before="78"/>
        <w:ind w:right="20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pPr>
      <w:r>
        <w:rPr/>
        <w:t>十四、心脏瓣膜手术  </w:t>
      </w:r>
    </w:p>
    <w:p>
      <w:pPr>
        <w:pStyle w:val="BodyText"/>
      </w:pPr>
      <w:r>
        <w:rPr/>
        <w:t>指为治疗心脏瓣膜疾病，实际实施了开胸进行的心脏瓣膜置换或修复的手术。  </w:t>
      </w:r>
    </w:p>
    <w:p>
      <w:pPr>
        <w:pStyle w:val="BodyText"/>
      </w:pPr>
      <w:r>
        <w:rPr/>
        <w:t>十六、严重脑损伤  </w:t>
      </w:r>
    </w:p>
    <w:p>
      <w:pPr>
        <w:pStyle w:val="BodyText"/>
        <w:spacing w:line="237" w:lineRule="auto" w:before="78"/>
        <w:ind w:right="107"/>
      </w:pPr>
      <w:r>
        <w:rPr>
          <w:spacing w:val="-4"/>
        </w:rPr>
        <w:t>指因头部遭受机械性外力，引起脑重要部位损伤，导致神经系统永久性的功能障</w:t>
      </w:r>
      <w:r>
        <w:rPr>
          <w:spacing w:val="-12"/>
          <w:w w:val="100"/>
        </w:rPr>
        <w:t>碍。须由头颅断层扫描</w:t>
      </w:r>
      <w:r>
        <w:rPr>
          <w:w w:val="100"/>
        </w:rPr>
        <w:t>（C</w:t>
      </w:r>
      <w:r>
        <w:rPr>
          <w:spacing w:val="-3"/>
          <w:w w:val="100"/>
        </w:rPr>
        <w:t>T</w:t>
      </w:r>
      <w:r>
        <w:rPr>
          <w:spacing w:val="-106"/>
          <w:w w:val="100"/>
        </w:rPr>
        <w:t>）</w:t>
      </w:r>
      <w:r>
        <w:rPr>
          <w:spacing w:val="-13"/>
          <w:w w:val="100"/>
        </w:rPr>
        <w:t>、核磁共振检查</w:t>
      </w:r>
      <w:r>
        <w:rPr>
          <w:spacing w:val="-3"/>
          <w:w w:val="100"/>
        </w:rPr>
        <w:t>（</w:t>
      </w:r>
      <w:r>
        <w:rPr>
          <w:w w:val="100"/>
        </w:rPr>
        <w:t>MR</w:t>
      </w:r>
      <w:r>
        <w:rPr>
          <w:spacing w:val="-3"/>
          <w:w w:val="100"/>
        </w:rPr>
        <w:t>I</w:t>
      </w:r>
      <w:r>
        <w:rPr>
          <w:spacing w:val="-36"/>
          <w:w w:val="100"/>
        </w:rPr>
        <w:t>）</w:t>
      </w:r>
      <w:r>
        <w:rPr>
          <w:spacing w:val="-7"/>
          <w:w w:val="100"/>
        </w:rPr>
        <w:t>或正电子发射断层扫描</w:t>
      </w:r>
      <w:r>
        <w:rPr>
          <w:w w:val="100"/>
        </w:rPr>
        <w:t>（P</w:t>
      </w:r>
      <w:r>
        <w:rPr>
          <w:spacing w:val="-3"/>
          <w:w w:val="100"/>
        </w:rPr>
        <w:t>ET</w:t>
      </w:r>
      <w:r>
        <w:rPr>
          <w:w w:val="100"/>
        </w:rPr>
        <w:t>）</w:t>
      </w:r>
      <w:r>
        <w:rPr>
          <w:spacing w:val="-3"/>
        </w:rPr>
        <w:t>等影像学检查证实。神经系统永久性的功能障碍，指脑损伤</w:t>
      </w:r>
      <w:r>
        <w:rPr/>
        <w:t>180</w:t>
      </w:r>
      <w:r>
        <w:rPr>
          <w:spacing w:val="-3"/>
        </w:rPr>
        <w:t>天后，仍遗留下 列一种或一种以上障碍：  </w:t>
      </w:r>
    </w:p>
    <w:p>
      <w:pPr>
        <w:pStyle w:val="BodyText"/>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4"/>
      </w:pPr>
      <w:r>
        <w:rPr/>
        <w:t>十七、严重Ⅲ度烧伤  </w:t>
      </w:r>
    </w:p>
    <w:p>
      <w:pPr>
        <w:pStyle w:val="BodyText"/>
        <w:ind w:right="210"/>
      </w:pPr>
      <w:r>
        <w:rPr/>
        <w:t>指烧伤程度为Ⅲ度，且Ⅲ度烧伤的面积达到全身体表面积的20％ 或20％以上。体表面积根据《中国新九分法》计算。  </w:t>
      </w:r>
    </w:p>
    <w:p>
      <w:pPr>
        <w:pStyle w:val="BodyText"/>
      </w:pPr>
      <w:r>
        <w:rPr/>
        <w:t>十八、严重原发性肺动脉高压  </w:t>
      </w:r>
    </w:p>
    <w:p>
      <w:pPr>
        <w:pStyle w:val="BodyText"/>
        <w:spacing w:line="204" w:lineRule="auto" w:before="117"/>
        <w:ind w:right="210"/>
        <w:jc w:val="both"/>
      </w:pPr>
      <w:r>
        <w:rPr>
          <w:spacing w:val="-4"/>
        </w:rPr>
        <w:t>指不明原因的肺动脉压力持续性增高，进行性发展而导致的慢性疾病，已经造成</w:t>
      </w:r>
      <w:r>
        <w:rPr>
          <w:rFonts w:ascii="Microsoft JhengHei" w:eastAsia="Microsoft JhengHei" w:hint="eastAsia"/>
          <w:b/>
          <w:spacing w:val="-4"/>
        </w:rPr>
        <w:t>永久不可逆</w:t>
      </w:r>
      <w:r>
        <w:rPr>
          <w:spacing w:val="-3"/>
        </w:rPr>
        <w:t>（</w:t>
      </w:r>
      <w:r>
        <w:rPr/>
        <w:t>见</w:t>
      </w:r>
      <w:r>
        <w:rPr>
          <w:spacing w:val="-3"/>
        </w:rPr>
        <w:t>7.18）</w:t>
      </w:r>
      <w:r>
        <w:rPr>
          <w:spacing w:val="-4"/>
        </w:rPr>
        <w:t>性的体力活动能力受限，达到美国纽约心脏病学会心功能</w:t>
      </w:r>
      <w:r>
        <w:rPr>
          <w:spacing w:val="-2"/>
        </w:rPr>
        <w:t>状态分级</w:t>
      </w:r>
      <w:r>
        <w:rPr>
          <w:spacing w:val="-1"/>
        </w:rPr>
        <w:t>IV</w:t>
      </w:r>
      <w:r>
        <w:rPr>
          <w:spacing w:val="-3"/>
        </w:rPr>
        <w:t>级，且静息状态下肺动脉平均压超过</w:t>
      </w:r>
      <w:r>
        <w:rPr/>
        <w:t>30mmHg。</w:t>
      </w:r>
      <w:r>
        <w:rPr>
          <w:spacing w:val="-3"/>
        </w:rPr>
        <w:t>  </w:t>
      </w:r>
    </w:p>
    <w:p>
      <w:pPr>
        <w:pStyle w:val="BodyText"/>
      </w:pPr>
      <w:r>
        <w:rPr/>
        <w:t>十九、严重运动神经元病  </w:t>
      </w:r>
    </w:p>
    <w:p>
      <w:pPr>
        <w:pStyle w:val="BodyText"/>
        <w:spacing w:line="237" w:lineRule="auto" w:before="77"/>
        <w:ind w:right="107"/>
        <w:jc w:val="both"/>
      </w:pPr>
      <w:r>
        <w:rPr>
          <w:spacing w:val="-3"/>
        </w:rPr>
        <w:t>是一组中枢神经系统运动神经元的进行性变性疾病，包括进行性脊肌萎缩症、进</w:t>
      </w:r>
      <w:r>
        <w:rPr>
          <w:spacing w:val="-4"/>
        </w:rPr>
        <w:t>行性延髓麻痹症、原发性侧索硬化症、肌萎缩性侧索硬化症。须满足自主生活能力完全丧失，无法独立完成六项基本日常生活活动中的三项或三项以上的条件。</w:t>
      </w:r>
      <w:r>
        <w:rPr/>
        <w:t> </w:t>
      </w:r>
    </w:p>
    <w:p>
      <w:pPr>
        <w:pStyle w:val="BodyText"/>
      </w:pPr>
      <w:r>
        <w:rPr/>
        <w:t>二十、重型再生障碍性贫血  </w:t>
      </w:r>
    </w:p>
    <w:p>
      <w:pPr>
        <w:pStyle w:val="BodyText"/>
        <w:spacing w:line="274" w:lineRule="exact"/>
      </w:pPr>
      <w:r>
        <w:rPr/>
        <w:t>指因骨髓造血功能慢性持续性衰竭导致的贫血、中性粒细胞减少及血小板减少。</w:t>
      </w:r>
    </w:p>
    <w:p>
      <w:pPr>
        <w:pStyle w:val="BodyText"/>
        <w:spacing w:line="274" w:lineRule="exact" w:before="0"/>
      </w:pPr>
      <w:r>
        <w:rPr/>
        <w:t>须满足下列全部条件：  </w:t>
      </w:r>
    </w:p>
    <w:p>
      <w:pPr>
        <w:pStyle w:val="BodyText"/>
        <w:spacing w:before="74"/>
      </w:pPr>
      <w:r>
        <w:rPr/>
        <w:t>（1）骨髓穿刺检查或骨髓活检结果支持诊断；  </w:t>
      </w:r>
    </w:p>
    <w:p>
      <w:pPr>
        <w:pStyle w:val="BodyText"/>
      </w:pPr>
      <w:r>
        <w:rPr/>
        <w:t>（2）外周血象须具备以下三项条件：  </w:t>
      </w:r>
    </w:p>
    <w:p>
      <w:pPr>
        <w:pStyle w:val="BodyText"/>
      </w:pPr>
      <w:r>
        <w:rPr/>
        <w:t>① 中性粒细胞绝对值≤0.5×109/L ；  </w:t>
      </w:r>
    </w:p>
    <w:p>
      <w:pPr>
        <w:pStyle w:val="BodyText"/>
      </w:pPr>
      <w:r>
        <w:rPr/>
        <w:t>② 网织红细胞＜1%；  </w:t>
      </w:r>
    </w:p>
    <w:p>
      <w:pPr>
        <w:spacing w:after="0"/>
        <w:sectPr>
          <w:pgSz w:w="11900" w:h="16840"/>
          <w:pgMar w:header="0" w:footer="724" w:top="1100" w:bottom="920" w:left="1680" w:right="4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2061"/>
        <w:gridCol w:w="7657"/>
      </w:tblGrid>
      <w:tr>
        <w:trPr>
          <w:trHeight w:val="280" w:hRule="atLeast"/>
        </w:trPr>
        <w:tc>
          <w:tcPr>
            <w:tcW w:w="2626" w:type="dxa"/>
            <w:gridSpan w:val="2"/>
          </w:tcPr>
          <w:p>
            <w:pPr>
              <w:pStyle w:val="TableParagraph"/>
              <w:rPr>
                <w:rFonts w:ascii="Times New Roman"/>
                <w:sz w:val="20"/>
              </w:rPr>
            </w:pPr>
          </w:p>
        </w:tc>
        <w:tc>
          <w:tcPr>
            <w:tcW w:w="7657" w:type="dxa"/>
          </w:tcPr>
          <w:p>
            <w:pPr>
              <w:pStyle w:val="TableParagraph"/>
              <w:spacing w:line="211" w:lineRule="exact"/>
              <w:ind w:left="152"/>
              <w:rPr>
                <w:sz w:val="21"/>
              </w:rPr>
            </w:pPr>
            <w:r>
              <w:rPr>
                <w:sz w:val="21"/>
              </w:rPr>
              <w:t>③ 血小板绝对值≤20×109/L。  </w:t>
            </w:r>
          </w:p>
        </w:tc>
      </w:tr>
      <w:tr>
        <w:trPr>
          <w:trHeight w:val="345" w:hRule="atLeast"/>
        </w:trPr>
        <w:tc>
          <w:tcPr>
            <w:tcW w:w="565" w:type="dxa"/>
          </w:tcPr>
          <w:p>
            <w:pPr>
              <w:pStyle w:val="TableParagraph"/>
              <w:spacing w:before="6"/>
              <w:ind w:left="50"/>
              <w:rPr>
                <w:sz w:val="21"/>
              </w:rPr>
            </w:pPr>
            <w:r>
              <w:rPr>
                <w:w w:val="100"/>
                <w:sz w:val="21"/>
              </w:rPr>
              <w:t> </w:t>
            </w:r>
          </w:p>
        </w:tc>
        <w:tc>
          <w:tcPr>
            <w:tcW w:w="2061" w:type="dxa"/>
          </w:tcPr>
          <w:p>
            <w:pPr>
              <w:pStyle w:val="TableParagraph"/>
              <w:spacing w:before="6"/>
              <w:ind w:left="219"/>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589" w:hRule="atLeast"/>
        </w:trPr>
        <w:tc>
          <w:tcPr>
            <w:tcW w:w="565" w:type="dxa"/>
          </w:tcPr>
          <w:p>
            <w:pPr>
              <w:pStyle w:val="TableParagraph"/>
              <w:spacing w:line="309" w:lineRule="exact"/>
              <w:ind w:left="50"/>
              <w:rPr>
                <w:rFonts w:ascii="Microsoft JhengHei"/>
                <w:b/>
                <w:sz w:val="21"/>
              </w:rPr>
            </w:pPr>
            <w:r>
              <w:rPr>
                <w:rFonts w:ascii="Microsoft JhengHei"/>
                <w:b/>
                <w:w w:val="90"/>
                <w:sz w:val="21"/>
              </w:rPr>
              <w:t>7. 6</w:t>
            </w:r>
          </w:p>
        </w:tc>
        <w:tc>
          <w:tcPr>
            <w:tcW w:w="206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毒品</w:t>
            </w:r>
          </w:p>
        </w:tc>
        <w:tc>
          <w:tcPr>
            <w:tcW w:w="7657" w:type="dxa"/>
          </w:tcPr>
          <w:p>
            <w:pPr>
              <w:pStyle w:val="TableParagraph"/>
              <w:spacing w:before="10"/>
              <w:ind w:left="152" w:right="47"/>
              <w:rPr>
                <w:sz w:val="21"/>
              </w:rPr>
            </w:pPr>
            <w:r>
              <w:rPr>
                <w:spacing w:val="-4"/>
                <w:sz w:val="21"/>
              </w:rPr>
              <w:t>指中华人民共和国刑法规定的鸦片、海洛因、甲基苯丙胺</w:t>
            </w:r>
            <w:r>
              <w:rPr>
                <w:spacing w:val="-3"/>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p>
        </w:tc>
      </w:tr>
      <w:tr>
        <w:trPr>
          <w:trHeight w:val="310" w:hRule="atLeast"/>
        </w:trPr>
        <w:tc>
          <w:tcPr>
            <w:tcW w:w="565" w:type="dxa"/>
          </w:tcPr>
          <w:p>
            <w:pPr>
              <w:pStyle w:val="TableParagraph"/>
              <w:rPr>
                <w:rFonts w:ascii="Times New Roman"/>
                <w:sz w:val="20"/>
              </w:rPr>
            </w:pPr>
          </w:p>
        </w:tc>
        <w:tc>
          <w:tcPr>
            <w:tcW w:w="2061"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包括由医生开具并遵医嘱使用的用于治疗疾病但含有毒品成分的处方药品。</w:t>
            </w:r>
          </w:p>
        </w:tc>
      </w:tr>
      <w:tr>
        <w:trPr>
          <w:trHeight w:val="345" w:hRule="atLeast"/>
        </w:trPr>
        <w:tc>
          <w:tcPr>
            <w:tcW w:w="565" w:type="dxa"/>
          </w:tcPr>
          <w:p>
            <w:pPr>
              <w:pStyle w:val="TableParagraph"/>
              <w:spacing w:before="6"/>
              <w:ind w:left="50"/>
              <w:rPr>
                <w:sz w:val="21"/>
              </w:rPr>
            </w:pPr>
            <w:r>
              <w:rPr>
                <w:w w:val="100"/>
                <w:sz w:val="21"/>
              </w:rPr>
              <w:t> </w:t>
            </w:r>
          </w:p>
        </w:tc>
        <w:tc>
          <w:tcPr>
            <w:tcW w:w="2061" w:type="dxa"/>
          </w:tcPr>
          <w:p>
            <w:pPr>
              <w:pStyle w:val="TableParagraph"/>
              <w:spacing w:before="6"/>
              <w:ind w:left="219"/>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589" w:hRule="atLeast"/>
        </w:trPr>
        <w:tc>
          <w:tcPr>
            <w:tcW w:w="565" w:type="dxa"/>
          </w:tcPr>
          <w:p>
            <w:pPr>
              <w:pStyle w:val="TableParagraph"/>
              <w:spacing w:line="309" w:lineRule="exact"/>
              <w:ind w:left="50"/>
              <w:rPr>
                <w:rFonts w:ascii="Microsoft JhengHei"/>
                <w:b/>
                <w:sz w:val="21"/>
              </w:rPr>
            </w:pPr>
            <w:r>
              <w:rPr>
                <w:rFonts w:ascii="Microsoft JhengHei"/>
                <w:b/>
                <w:w w:val="90"/>
                <w:sz w:val="21"/>
              </w:rPr>
              <w:t>7. 7</w:t>
            </w:r>
          </w:p>
        </w:tc>
        <w:tc>
          <w:tcPr>
            <w:tcW w:w="2061" w:type="dxa"/>
          </w:tcPr>
          <w:p>
            <w:pPr>
              <w:pStyle w:val="TableParagraph"/>
              <w:spacing w:line="309" w:lineRule="exact"/>
              <w:ind w:left="219"/>
              <w:rPr>
                <w:rFonts w:ascii="Microsoft JhengHei" w:eastAsia="Microsoft JhengHei" w:hint="eastAsia"/>
                <w:b/>
                <w:sz w:val="21"/>
              </w:rPr>
            </w:pPr>
            <w:r>
              <w:rPr>
                <w:rFonts w:ascii="Microsoft JhengHei" w:eastAsia="Microsoft JhengHei" w:hint="eastAsia"/>
                <w:b/>
                <w:sz w:val="21"/>
              </w:rPr>
              <w:t>酒后驾驶</w:t>
            </w:r>
          </w:p>
        </w:tc>
        <w:tc>
          <w:tcPr>
            <w:tcW w:w="7657" w:type="dxa"/>
          </w:tcPr>
          <w:p>
            <w:pPr>
              <w:pStyle w:val="TableParagraph"/>
              <w:spacing w:before="10"/>
              <w:ind w:left="152" w:right="153"/>
              <w:rPr>
                <w:sz w:val="21"/>
              </w:rPr>
            </w:pPr>
            <w:r>
              <w:rPr>
                <w:sz w:val="21"/>
              </w:rPr>
              <w:t>指经检测或鉴定，发生事故时车辆驾驶人员每百毫升血液中的酒精含量达到或超过一定的标准，公安机关交通管理部门依据《道路交通安全法》的规定认定为饮</w:t>
            </w:r>
          </w:p>
        </w:tc>
      </w:tr>
      <w:tr>
        <w:trPr>
          <w:trHeight w:val="310" w:hRule="atLeast"/>
        </w:trPr>
        <w:tc>
          <w:tcPr>
            <w:tcW w:w="565" w:type="dxa"/>
          </w:tcPr>
          <w:p>
            <w:pPr>
              <w:pStyle w:val="TableParagraph"/>
              <w:rPr>
                <w:rFonts w:ascii="Times New Roman"/>
                <w:sz w:val="20"/>
              </w:rPr>
            </w:pPr>
          </w:p>
        </w:tc>
        <w:tc>
          <w:tcPr>
            <w:tcW w:w="2061"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酒后驾驶或醉酒后驾驶。</w:t>
            </w:r>
          </w:p>
        </w:tc>
      </w:tr>
      <w:tr>
        <w:trPr>
          <w:trHeight w:val="345" w:hRule="atLeast"/>
        </w:trPr>
        <w:tc>
          <w:tcPr>
            <w:tcW w:w="565" w:type="dxa"/>
          </w:tcPr>
          <w:p>
            <w:pPr>
              <w:pStyle w:val="TableParagraph"/>
              <w:spacing w:before="6"/>
              <w:ind w:left="50"/>
              <w:rPr>
                <w:sz w:val="21"/>
              </w:rPr>
            </w:pPr>
            <w:r>
              <w:rPr>
                <w:w w:val="100"/>
                <w:sz w:val="21"/>
              </w:rPr>
              <w:t> </w:t>
            </w:r>
          </w:p>
        </w:tc>
        <w:tc>
          <w:tcPr>
            <w:tcW w:w="2061" w:type="dxa"/>
          </w:tcPr>
          <w:p>
            <w:pPr>
              <w:pStyle w:val="TableParagraph"/>
              <w:spacing w:before="6"/>
              <w:ind w:left="219"/>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300" w:hRule="atLeast"/>
        </w:trPr>
        <w:tc>
          <w:tcPr>
            <w:tcW w:w="565" w:type="dxa"/>
          </w:tcPr>
          <w:p>
            <w:pPr>
              <w:pStyle w:val="TableParagraph"/>
              <w:spacing w:line="281" w:lineRule="exact"/>
              <w:ind w:left="50"/>
              <w:rPr>
                <w:rFonts w:ascii="Microsoft JhengHei"/>
                <w:b/>
                <w:sz w:val="21"/>
              </w:rPr>
            </w:pPr>
            <w:r>
              <w:rPr>
                <w:rFonts w:ascii="Microsoft JhengHei"/>
                <w:b/>
                <w:w w:val="90"/>
                <w:sz w:val="21"/>
              </w:rPr>
              <w:t>7. 8</w:t>
            </w:r>
          </w:p>
        </w:tc>
        <w:tc>
          <w:tcPr>
            <w:tcW w:w="2061" w:type="dxa"/>
          </w:tcPr>
          <w:p>
            <w:pPr>
              <w:pStyle w:val="TableParagraph"/>
              <w:spacing w:line="281" w:lineRule="exact"/>
              <w:ind w:left="219"/>
              <w:rPr>
                <w:rFonts w:ascii="Microsoft JhengHei" w:eastAsia="Microsoft JhengHei" w:hint="eastAsia"/>
                <w:b/>
                <w:sz w:val="21"/>
              </w:rPr>
            </w:pPr>
            <w:r>
              <w:rPr>
                <w:rFonts w:ascii="Microsoft JhengHei" w:eastAsia="Microsoft JhengHei" w:hint="eastAsia"/>
                <w:b/>
                <w:sz w:val="21"/>
              </w:rPr>
              <w:t>无合法有效驾驶证</w:t>
            </w:r>
          </w:p>
        </w:tc>
        <w:tc>
          <w:tcPr>
            <w:tcW w:w="7657" w:type="dxa"/>
          </w:tcPr>
          <w:p>
            <w:pPr>
              <w:pStyle w:val="TableParagraph"/>
              <w:spacing w:line="270" w:lineRule="exact" w:before="10"/>
              <w:ind w:left="152"/>
              <w:rPr>
                <w:sz w:val="21"/>
              </w:rPr>
            </w:pPr>
            <w:r>
              <w:rPr>
                <w:sz w:val="21"/>
              </w:rPr>
              <w:t>指下列情形之一：</w:t>
            </w:r>
          </w:p>
        </w:tc>
      </w:tr>
    </w:tbl>
    <w:p>
      <w:pPr>
        <w:pStyle w:val="BodyText"/>
        <w:tabs>
          <w:tab w:pos="2880" w:val="left" w:leader="none"/>
        </w:tabs>
        <w:spacing w:line="359" w:lineRule="exact" w:before="0"/>
        <w:ind w:left="886"/>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59"/>
        <w:ind w:left="2880"/>
      </w:pPr>
      <w:r>
        <w:rPr/>
        <w:t>（</w:t>
      </w:r>
      <w:r>
        <w:rPr>
          <w:rFonts w:ascii="Times New Roman" w:eastAsia="Times New Roman"/>
        </w:rPr>
        <w:t>2</w:t>
      </w:r>
      <w:r>
        <w:rPr/>
        <w:t>）驾驶与驾驶证准驾车型不相符合的车辆；</w:t>
      </w:r>
    </w:p>
    <w:p>
      <w:pPr>
        <w:pStyle w:val="BodyText"/>
        <w:spacing w:before="59"/>
        <w:ind w:left="2880"/>
      </w:pPr>
      <w:r>
        <w:rPr/>
        <w:t>（</w:t>
      </w:r>
      <w:r>
        <w:rPr>
          <w:rFonts w:ascii="Times New Roman" w:eastAsia="Times New Roman"/>
        </w:rPr>
        <w:t>3</w:t>
      </w:r>
      <w:r>
        <w:rPr/>
        <w:t>）持审验不合格的驾驶证驾驶；</w:t>
      </w:r>
    </w:p>
    <w:p>
      <w:pPr>
        <w:pStyle w:val="BodyText"/>
        <w:spacing w:line="282" w:lineRule="exact" w:before="59"/>
        <w:ind w:left="2880"/>
      </w:pPr>
      <w:r>
        <w:rPr/>
        <w:t>（</w:t>
      </w:r>
      <w:r>
        <w:rPr>
          <w:rFonts w:ascii="Times New Roman" w:eastAsia="Times New Roman"/>
        </w:rPr>
        <w:t>4</w:t>
      </w:r>
      <w:r>
        <w:rPr/>
        <w:t>）持学习驾驶证学习驾车时，无教练员随车指导，或不按指定时间、路线学</w:t>
      </w:r>
    </w:p>
    <w:p>
      <w:pPr>
        <w:pStyle w:val="BodyText"/>
        <w:spacing w:line="266" w:lineRule="exact" w:before="0"/>
        <w:ind w:left="3416"/>
      </w:pPr>
      <w:r>
        <w:rPr/>
        <w:t>习驾车。</w:t>
      </w:r>
    </w:p>
    <w:p>
      <w:pPr>
        <w:pStyle w:val="BodyText"/>
        <w:spacing w:before="6" w:after="1"/>
        <w:ind w:left="0"/>
        <w:rPr>
          <w:sz w:val="1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945"/>
        <w:gridCol w:w="7657"/>
      </w:tblGrid>
      <w:tr>
        <w:trPr>
          <w:trHeight w:val="1339" w:hRule="atLeast"/>
        </w:trPr>
        <w:tc>
          <w:tcPr>
            <w:tcW w:w="681" w:type="dxa"/>
          </w:tcPr>
          <w:p>
            <w:pPr>
              <w:pStyle w:val="TableParagraph"/>
              <w:spacing w:line="211" w:lineRule="exact"/>
              <w:ind w:left="50"/>
              <w:rPr>
                <w:sz w:val="21"/>
              </w:rPr>
            </w:pPr>
            <w:r>
              <w:rPr>
                <w:w w:val="100"/>
                <w:sz w:val="21"/>
              </w:rPr>
              <w:t> </w:t>
            </w:r>
          </w:p>
          <w:p>
            <w:pPr>
              <w:pStyle w:val="TableParagraph"/>
              <w:spacing w:before="8"/>
              <w:ind w:left="50"/>
              <w:rPr>
                <w:rFonts w:ascii="Microsoft JhengHei"/>
                <w:b/>
                <w:sz w:val="21"/>
              </w:rPr>
            </w:pPr>
            <w:r>
              <w:rPr>
                <w:rFonts w:ascii="Microsoft JhengHei"/>
                <w:b/>
                <w:w w:val="90"/>
                <w:sz w:val="21"/>
              </w:rPr>
              <w:t>7. 9</w:t>
            </w:r>
          </w:p>
        </w:tc>
        <w:tc>
          <w:tcPr>
            <w:tcW w:w="1945" w:type="dxa"/>
          </w:tcPr>
          <w:p>
            <w:pPr>
              <w:pStyle w:val="TableParagraph"/>
              <w:spacing w:line="211" w:lineRule="exact"/>
              <w:ind w:left="103"/>
              <w:rPr>
                <w:sz w:val="21"/>
              </w:rPr>
            </w:pPr>
            <w:r>
              <w:rPr>
                <w:w w:val="100"/>
                <w:sz w:val="21"/>
              </w:rPr>
              <w:t> </w:t>
            </w:r>
          </w:p>
          <w:p>
            <w:pPr>
              <w:pStyle w:val="TableParagraph"/>
              <w:spacing w:before="8"/>
              <w:ind w:left="103"/>
              <w:rPr>
                <w:rFonts w:ascii="Microsoft JhengHei" w:eastAsia="Microsoft JhengHei" w:hint="eastAsia"/>
                <w:b/>
                <w:sz w:val="21"/>
              </w:rPr>
            </w:pPr>
            <w:r>
              <w:rPr>
                <w:rFonts w:ascii="Microsoft JhengHei" w:eastAsia="Microsoft JhengHei" w:hint="eastAsia"/>
                <w:b/>
                <w:sz w:val="21"/>
              </w:rPr>
              <w:t>无有效行驶证</w:t>
            </w:r>
          </w:p>
        </w:tc>
        <w:tc>
          <w:tcPr>
            <w:tcW w:w="7657" w:type="dxa"/>
          </w:tcPr>
          <w:p>
            <w:pPr>
              <w:pStyle w:val="TableParagraph"/>
              <w:spacing w:line="211" w:lineRule="exact"/>
              <w:ind w:left="152"/>
              <w:rPr>
                <w:sz w:val="21"/>
              </w:rPr>
            </w:pPr>
            <w:r>
              <w:rPr>
                <w:w w:val="100"/>
                <w:sz w:val="21"/>
              </w:rPr>
              <w:t> </w:t>
            </w:r>
          </w:p>
          <w:p>
            <w:pPr>
              <w:pStyle w:val="TableParagraph"/>
              <w:spacing w:before="75"/>
              <w:ind w:left="152"/>
              <w:rPr>
                <w:sz w:val="21"/>
              </w:rPr>
            </w:pPr>
            <w:r>
              <w:rPr>
                <w:sz w:val="21"/>
              </w:rPr>
              <w:t>指下列情形之一：</w:t>
            </w:r>
          </w:p>
          <w:p>
            <w:pPr>
              <w:pStyle w:val="TableParagraph"/>
              <w:spacing w:before="75"/>
              <w:ind w:left="152"/>
              <w:rPr>
                <w:sz w:val="21"/>
              </w:rPr>
            </w:pPr>
            <w:r>
              <w:rPr>
                <w:sz w:val="21"/>
              </w:rPr>
              <w:t>（</w:t>
            </w:r>
            <w:r>
              <w:rPr>
                <w:rFonts w:ascii="Times New Roman" w:eastAsia="Times New Roman"/>
                <w:sz w:val="21"/>
              </w:rPr>
              <w:t>1</w:t>
            </w:r>
            <w:r>
              <w:rPr>
                <w:sz w:val="21"/>
              </w:rPr>
              <w:t>）机动车被依法注销登记的；</w:t>
            </w:r>
          </w:p>
          <w:p>
            <w:pPr>
              <w:pStyle w:val="TableParagraph"/>
              <w:spacing w:before="59"/>
              <w:ind w:left="152"/>
              <w:rPr>
                <w:sz w:val="21"/>
              </w:rPr>
            </w:pPr>
            <w:r>
              <w:rPr>
                <w:sz w:val="21"/>
              </w:rPr>
              <w:t>（</w:t>
            </w:r>
            <w:r>
              <w:rPr>
                <w:rFonts w:ascii="Times New Roman" w:eastAsia="Times New Roman"/>
                <w:sz w:val="21"/>
              </w:rPr>
              <w:t>2</w:t>
            </w:r>
            <w:r>
              <w:rPr>
                <w:sz w:val="21"/>
              </w:rPr>
              <w:t>）未依法按时进行或通过机动车安全技术检验。 </w:t>
            </w:r>
          </w:p>
        </w:tc>
      </w:tr>
      <w:tr>
        <w:trPr>
          <w:trHeight w:val="337" w:hRule="atLeast"/>
        </w:trPr>
        <w:tc>
          <w:tcPr>
            <w:tcW w:w="681" w:type="dxa"/>
          </w:tcPr>
          <w:p>
            <w:pPr>
              <w:pStyle w:val="TableParagraph"/>
              <w:spacing w:line="273" w:lineRule="exact"/>
              <w:ind w:left="50"/>
              <w:rPr>
                <w:sz w:val="21"/>
              </w:rPr>
            </w:pPr>
            <w:r>
              <w:rPr>
                <w:w w:val="100"/>
                <w:sz w:val="21"/>
              </w:rPr>
              <w:t> </w:t>
            </w:r>
          </w:p>
        </w:tc>
        <w:tc>
          <w:tcPr>
            <w:tcW w:w="1945" w:type="dxa"/>
          </w:tcPr>
          <w:p>
            <w:pPr>
              <w:pStyle w:val="TableParagraph"/>
              <w:spacing w:line="273" w:lineRule="exact"/>
              <w:ind w:left="103"/>
              <w:rPr>
                <w:sz w:val="21"/>
              </w:rPr>
            </w:pPr>
            <w:r>
              <w:rPr>
                <w:w w:val="100"/>
                <w:sz w:val="21"/>
              </w:rPr>
              <w:t> </w:t>
            </w:r>
          </w:p>
        </w:tc>
        <w:tc>
          <w:tcPr>
            <w:tcW w:w="7657" w:type="dxa"/>
          </w:tcPr>
          <w:p>
            <w:pPr>
              <w:pStyle w:val="TableParagraph"/>
              <w:spacing w:line="273" w:lineRule="exact"/>
              <w:ind w:left="152"/>
              <w:rPr>
                <w:sz w:val="21"/>
              </w:rPr>
            </w:pPr>
            <w:r>
              <w:rPr>
                <w:w w:val="100"/>
                <w:sz w:val="21"/>
              </w:rPr>
              <w:t> </w:t>
            </w:r>
          </w:p>
        </w:tc>
      </w:tr>
      <w:tr>
        <w:trPr>
          <w:trHeight w:val="362" w:hRule="atLeast"/>
        </w:trPr>
        <w:tc>
          <w:tcPr>
            <w:tcW w:w="681" w:type="dxa"/>
          </w:tcPr>
          <w:p>
            <w:pPr>
              <w:pStyle w:val="TableParagraph"/>
              <w:spacing w:line="309" w:lineRule="exact"/>
              <w:ind w:left="50"/>
              <w:rPr>
                <w:rFonts w:ascii="Microsoft JhengHei"/>
                <w:b/>
                <w:sz w:val="21"/>
              </w:rPr>
            </w:pPr>
            <w:r>
              <w:rPr>
                <w:rFonts w:ascii="Microsoft JhengHei"/>
                <w:b/>
                <w:w w:val="90"/>
                <w:sz w:val="21"/>
              </w:rPr>
              <w:t>7. 10</w:t>
            </w:r>
          </w:p>
        </w:tc>
        <w:tc>
          <w:tcPr>
            <w:tcW w:w="1945" w:type="dxa"/>
          </w:tcPr>
          <w:p>
            <w:pPr>
              <w:pStyle w:val="TableParagraph"/>
              <w:spacing w:line="309" w:lineRule="exact"/>
              <w:ind w:left="103"/>
              <w:rPr>
                <w:rFonts w:ascii="Microsoft JhengHei" w:eastAsia="Microsoft JhengHei" w:hint="eastAsia"/>
                <w:b/>
                <w:sz w:val="21"/>
              </w:rPr>
            </w:pPr>
            <w:r>
              <w:rPr>
                <w:rFonts w:ascii="Microsoft JhengHei" w:eastAsia="Microsoft JhengHei" w:hint="eastAsia"/>
                <w:b/>
                <w:sz w:val="21"/>
              </w:rPr>
              <w:t>机动车</w:t>
            </w:r>
          </w:p>
        </w:tc>
        <w:tc>
          <w:tcPr>
            <w:tcW w:w="7657" w:type="dxa"/>
          </w:tcPr>
          <w:p>
            <w:pPr>
              <w:pStyle w:val="TableParagraph"/>
              <w:spacing w:before="10"/>
              <w:ind w:left="152"/>
              <w:rPr>
                <w:sz w:val="21"/>
              </w:rPr>
            </w:pPr>
            <w:r>
              <w:rPr>
                <w:sz w:val="21"/>
              </w:rPr>
              <w:t>指以动力装置驱动或者牵引，上道路行驶的供人员乘用或者用于运送物品以及进</w:t>
            </w:r>
          </w:p>
        </w:tc>
      </w:tr>
      <w:tr>
        <w:trPr>
          <w:trHeight w:val="342" w:hRule="atLeast"/>
        </w:trPr>
        <w:tc>
          <w:tcPr>
            <w:tcW w:w="681" w:type="dxa"/>
          </w:tcPr>
          <w:p>
            <w:pPr>
              <w:pStyle w:val="TableParagraph"/>
              <w:spacing w:line="273" w:lineRule="exact"/>
              <w:ind w:left="50"/>
              <w:rPr>
                <w:sz w:val="21"/>
              </w:rPr>
            </w:pPr>
            <w:r>
              <w:rPr>
                <w:w w:val="100"/>
                <w:sz w:val="21"/>
              </w:rPr>
              <w:t> </w:t>
            </w:r>
          </w:p>
        </w:tc>
        <w:tc>
          <w:tcPr>
            <w:tcW w:w="1945" w:type="dxa"/>
          </w:tcPr>
          <w:p>
            <w:pPr>
              <w:pStyle w:val="TableParagraph"/>
              <w:rPr>
                <w:rFonts w:ascii="Times New Roman"/>
                <w:sz w:val="20"/>
              </w:rPr>
            </w:pPr>
          </w:p>
        </w:tc>
        <w:tc>
          <w:tcPr>
            <w:tcW w:w="7657" w:type="dxa"/>
          </w:tcPr>
          <w:p>
            <w:pPr>
              <w:pStyle w:val="TableParagraph"/>
              <w:spacing w:line="196" w:lineRule="exact"/>
              <w:ind w:left="152"/>
              <w:rPr>
                <w:sz w:val="21"/>
              </w:rPr>
            </w:pPr>
            <w:r>
              <w:rPr>
                <w:sz w:val="21"/>
              </w:rPr>
              <w:t>行工程专项作业的轮式车辆。 </w:t>
            </w:r>
          </w:p>
        </w:tc>
      </w:tr>
      <w:tr>
        <w:trPr>
          <w:trHeight w:val="345" w:hRule="atLeast"/>
        </w:trPr>
        <w:tc>
          <w:tcPr>
            <w:tcW w:w="681" w:type="dxa"/>
          </w:tcPr>
          <w:p>
            <w:pPr>
              <w:pStyle w:val="TableParagraph"/>
              <w:spacing w:before="6"/>
              <w:ind w:left="50"/>
              <w:rPr>
                <w:sz w:val="21"/>
              </w:rPr>
            </w:pPr>
            <w:r>
              <w:rPr>
                <w:w w:val="100"/>
                <w:sz w:val="21"/>
              </w:rPr>
              <w:t> </w:t>
            </w:r>
          </w:p>
        </w:tc>
        <w:tc>
          <w:tcPr>
            <w:tcW w:w="1945" w:type="dxa"/>
          </w:tcPr>
          <w:p>
            <w:pPr>
              <w:pStyle w:val="TableParagraph"/>
              <w:spacing w:before="6"/>
              <w:ind w:left="103"/>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900" w:hRule="atLeast"/>
        </w:trPr>
        <w:tc>
          <w:tcPr>
            <w:tcW w:w="681" w:type="dxa"/>
          </w:tcPr>
          <w:p>
            <w:pPr>
              <w:pStyle w:val="TableParagraph"/>
              <w:spacing w:line="309" w:lineRule="exact"/>
              <w:ind w:left="50"/>
              <w:rPr>
                <w:sz w:val="21"/>
              </w:rPr>
            </w:pPr>
            <w:r>
              <w:rPr>
                <w:rFonts w:ascii="Microsoft JhengHei"/>
                <w:b/>
                <w:w w:val="90"/>
                <w:sz w:val="21"/>
              </w:rPr>
              <w:t>7. 11</w:t>
            </w:r>
            <w:r>
              <w:rPr>
                <w:rFonts w:ascii="Microsoft JhengHei"/>
                <w:b/>
                <w:sz w:val="21"/>
              </w:rPr>
              <w:t> </w:t>
            </w:r>
            <w:r>
              <w:rPr>
                <w:w w:val="100"/>
                <w:sz w:val="21"/>
              </w:rPr>
              <w:t> </w:t>
            </w:r>
          </w:p>
        </w:tc>
        <w:tc>
          <w:tcPr>
            <w:tcW w:w="1945" w:type="dxa"/>
          </w:tcPr>
          <w:p>
            <w:pPr>
              <w:pStyle w:val="TableParagraph"/>
              <w:spacing w:line="180" w:lineRule="auto" w:before="35"/>
              <w:ind w:left="103" w:right="151"/>
              <w:rPr>
                <w:rFonts w:ascii="Microsoft JhengHei" w:eastAsia="Microsoft JhengHei" w:hint="eastAsia"/>
                <w:b/>
                <w:sz w:val="21"/>
              </w:rPr>
            </w:pPr>
            <w:r>
              <w:rPr>
                <w:rFonts w:ascii="Microsoft JhengHei" w:eastAsia="Microsoft JhengHei" w:hint="eastAsia"/>
                <w:b/>
                <w:sz w:val="21"/>
              </w:rPr>
              <w:t>先天性畸形、变形或染色体异常</w:t>
            </w:r>
          </w:p>
        </w:tc>
        <w:tc>
          <w:tcPr>
            <w:tcW w:w="7657" w:type="dxa"/>
          </w:tcPr>
          <w:p>
            <w:pPr>
              <w:pStyle w:val="TableParagraph"/>
              <w:spacing w:line="230" w:lineRule="auto" w:before="21"/>
              <w:ind w:left="152" w:right="140"/>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 </w:t>
            </w:r>
          </w:p>
        </w:tc>
      </w:tr>
      <w:tr>
        <w:trPr>
          <w:trHeight w:val="345" w:hRule="atLeast"/>
        </w:trPr>
        <w:tc>
          <w:tcPr>
            <w:tcW w:w="681" w:type="dxa"/>
          </w:tcPr>
          <w:p>
            <w:pPr>
              <w:pStyle w:val="TableParagraph"/>
              <w:spacing w:before="6"/>
              <w:ind w:left="50"/>
              <w:rPr>
                <w:sz w:val="21"/>
              </w:rPr>
            </w:pPr>
            <w:r>
              <w:rPr>
                <w:w w:val="100"/>
                <w:sz w:val="21"/>
              </w:rPr>
              <w:t> </w:t>
            </w:r>
          </w:p>
        </w:tc>
        <w:tc>
          <w:tcPr>
            <w:tcW w:w="1945" w:type="dxa"/>
          </w:tcPr>
          <w:p>
            <w:pPr>
              <w:pStyle w:val="TableParagraph"/>
              <w:spacing w:before="6"/>
              <w:ind w:left="103"/>
              <w:rPr>
                <w:sz w:val="21"/>
              </w:rPr>
            </w:pPr>
            <w:r>
              <w:rPr>
                <w:w w:val="100"/>
                <w:sz w:val="21"/>
              </w:rPr>
              <w:t> </w:t>
            </w:r>
          </w:p>
        </w:tc>
        <w:tc>
          <w:tcPr>
            <w:tcW w:w="7657" w:type="dxa"/>
          </w:tcPr>
          <w:p>
            <w:pPr>
              <w:pStyle w:val="TableParagraph"/>
              <w:spacing w:before="6"/>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7. 12</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遗传性疾病</w:t>
            </w:r>
          </w:p>
        </w:tc>
        <w:tc>
          <w:tcPr>
            <w:tcW w:w="7657" w:type="dxa"/>
          </w:tcPr>
          <w:p>
            <w:pPr>
              <w:pStyle w:val="TableParagraph"/>
              <w:spacing w:before="10"/>
              <w:ind w:left="152"/>
              <w:rPr>
                <w:sz w:val="21"/>
              </w:rPr>
            </w:pPr>
            <w:r>
              <w:rPr>
                <w:spacing w:val="-7"/>
                <w:sz w:val="21"/>
              </w:rPr>
              <w:t>指生殖细胞或受精卵的遗传物质</w:t>
            </w:r>
            <w:r>
              <w:rPr>
                <w:spacing w:val="-3"/>
                <w:sz w:val="21"/>
              </w:rPr>
              <w:t>（染色体和基因</w:t>
            </w:r>
            <w:r>
              <w:rPr>
                <w:spacing w:val="-56"/>
                <w:sz w:val="21"/>
              </w:rPr>
              <w:t>）</w:t>
            </w:r>
            <w:r>
              <w:rPr>
                <w:spacing w:val="-3"/>
                <w:sz w:val="21"/>
              </w:rPr>
              <w:t>发生突变或畸变所引起的疾病，</w:t>
            </w:r>
          </w:p>
        </w:tc>
      </w:tr>
      <w:tr>
        <w:trPr>
          <w:trHeight w:val="303"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35" w:lineRule="exact"/>
              <w:ind w:left="152"/>
              <w:rPr>
                <w:sz w:val="21"/>
              </w:rPr>
            </w:pPr>
            <w:r>
              <w:rPr>
                <w:sz w:val="21"/>
              </w:rPr>
              <w:t>通常具有由亲代传至后代的垂直传递的特征。 </w:t>
            </w:r>
          </w:p>
        </w:tc>
      </w:tr>
      <w:tr>
        <w:trPr>
          <w:trHeight w:val="344" w:hRule="atLeast"/>
        </w:trPr>
        <w:tc>
          <w:tcPr>
            <w:tcW w:w="681" w:type="dxa"/>
          </w:tcPr>
          <w:p>
            <w:pPr>
              <w:pStyle w:val="TableParagraph"/>
              <w:spacing w:before="4"/>
              <w:ind w:left="50"/>
              <w:rPr>
                <w:sz w:val="21"/>
              </w:rPr>
            </w:pPr>
            <w:r>
              <w:rPr>
                <w:w w:val="100"/>
                <w:sz w:val="21"/>
              </w:rPr>
              <w:t> </w:t>
            </w:r>
          </w:p>
        </w:tc>
        <w:tc>
          <w:tcPr>
            <w:tcW w:w="1945" w:type="dxa"/>
          </w:tcPr>
          <w:p>
            <w:pPr>
              <w:pStyle w:val="TableParagraph"/>
              <w:spacing w:before="4"/>
              <w:ind w:left="103"/>
              <w:rPr>
                <w:sz w:val="21"/>
              </w:rPr>
            </w:pPr>
            <w:r>
              <w:rPr>
                <w:w w:val="100"/>
                <w:sz w:val="21"/>
              </w:rPr>
              <w:t> </w:t>
            </w:r>
          </w:p>
        </w:tc>
        <w:tc>
          <w:tcPr>
            <w:tcW w:w="7657" w:type="dxa"/>
          </w:tcPr>
          <w:p>
            <w:pPr>
              <w:pStyle w:val="TableParagraph"/>
              <w:spacing w:before="4"/>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7. 13</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有效身份证件</w:t>
            </w:r>
          </w:p>
        </w:tc>
        <w:tc>
          <w:tcPr>
            <w:tcW w:w="7657" w:type="dxa"/>
          </w:tcPr>
          <w:p>
            <w:pPr>
              <w:pStyle w:val="TableParagraph"/>
              <w:spacing w:before="10"/>
              <w:ind w:left="152"/>
              <w:rPr>
                <w:sz w:val="21"/>
              </w:rPr>
            </w:pPr>
            <w:r>
              <w:rPr>
                <w:sz w:val="21"/>
              </w:rPr>
              <w:t>指由政府主管部门规定的证明其身份的证件，如：居民身份证、按规定可使用的</w:t>
            </w:r>
          </w:p>
        </w:tc>
      </w:tr>
      <w:tr>
        <w:trPr>
          <w:trHeight w:val="304"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35" w:lineRule="exact"/>
              <w:ind w:left="152"/>
              <w:rPr>
                <w:sz w:val="21"/>
              </w:rPr>
            </w:pPr>
            <w:r>
              <w:rPr>
                <w:sz w:val="21"/>
              </w:rPr>
              <w:t>有效护照、军官证、警官证、士兵证、户口簿等证件。 </w:t>
            </w:r>
          </w:p>
        </w:tc>
      </w:tr>
      <w:tr>
        <w:trPr>
          <w:trHeight w:val="345" w:hRule="atLeast"/>
        </w:trPr>
        <w:tc>
          <w:tcPr>
            <w:tcW w:w="681" w:type="dxa"/>
          </w:tcPr>
          <w:p>
            <w:pPr>
              <w:pStyle w:val="TableParagraph"/>
              <w:spacing w:before="6"/>
              <w:ind w:left="50"/>
              <w:rPr>
                <w:sz w:val="21"/>
              </w:rPr>
            </w:pPr>
            <w:r>
              <w:rPr>
                <w:w w:val="100"/>
                <w:sz w:val="21"/>
              </w:rPr>
              <w:t> </w:t>
            </w:r>
          </w:p>
        </w:tc>
        <w:tc>
          <w:tcPr>
            <w:tcW w:w="1945" w:type="dxa"/>
          </w:tcPr>
          <w:p>
            <w:pPr>
              <w:pStyle w:val="TableParagraph"/>
              <w:rPr>
                <w:rFonts w:ascii="Times New Roman"/>
                <w:sz w:val="20"/>
              </w:rPr>
            </w:pPr>
          </w:p>
        </w:tc>
        <w:tc>
          <w:tcPr>
            <w:tcW w:w="7657" w:type="dxa"/>
          </w:tcPr>
          <w:p>
            <w:pPr>
              <w:pStyle w:val="TableParagraph"/>
              <w:spacing w:before="6"/>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7. 14</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专科医生</w:t>
            </w:r>
          </w:p>
        </w:tc>
        <w:tc>
          <w:tcPr>
            <w:tcW w:w="7657" w:type="dxa"/>
          </w:tcPr>
          <w:p>
            <w:pPr>
              <w:pStyle w:val="TableParagraph"/>
              <w:spacing w:before="10"/>
              <w:ind w:left="152"/>
              <w:rPr>
                <w:sz w:val="21"/>
              </w:rPr>
            </w:pPr>
            <w:r>
              <w:rPr>
                <w:sz w:val="21"/>
              </w:rPr>
              <w:t>专科医生应当同时满足以下四项资格条件：①具有有效的中华人民共和国《医师</w:t>
            </w:r>
          </w:p>
        </w:tc>
      </w:tr>
      <w:tr>
        <w:trPr>
          <w:trHeight w:val="264" w:hRule="atLeast"/>
        </w:trPr>
        <w:tc>
          <w:tcPr>
            <w:tcW w:w="681" w:type="dxa"/>
          </w:tcPr>
          <w:p>
            <w:pPr>
              <w:pStyle w:val="TableParagraph"/>
              <w:rPr>
                <w:rFonts w:ascii="Times New Roman"/>
                <w:sz w:val="18"/>
              </w:rPr>
            </w:pPr>
          </w:p>
        </w:tc>
        <w:tc>
          <w:tcPr>
            <w:tcW w:w="1945" w:type="dxa"/>
          </w:tcPr>
          <w:p>
            <w:pPr>
              <w:pStyle w:val="TableParagraph"/>
              <w:rPr>
                <w:rFonts w:ascii="Times New Roman"/>
                <w:sz w:val="18"/>
              </w:rPr>
            </w:pPr>
          </w:p>
        </w:tc>
        <w:tc>
          <w:tcPr>
            <w:tcW w:w="7657" w:type="dxa"/>
          </w:tcPr>
          <w:p>
            <w:pPr>
              <w:pStyle w:val="TableParagraph"/>
              <w:spacing w:line="235" w:lineRule="exact"/>
              <w:ind w:left="152"/>
              <w:rPr>
                <w:sz w:val="21"/>
              </w:rPr>
            </w:pPr>
            <w:r>
              <w:rPr>
                <w:spacing w:val="-16"/>
                <w:sz w:val="21"/>
              </w:rPr>
              <w:t>资格证书》；②具有有效的中华人民共和国《医师执业证书》，并按期到相关部门</w:t>
            </w:r>
          </w:p>
        </w:tc>
      </w:tr>
      <w:tr>
        <w:trPr>
          <w:trHeight w:val="272"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1" w:lineRule="exact"/>
              <w:ind w:left="152"/>
              <w:rPr>
                <w:sz w:val="21"/>
              </w:rPr>
            </w:pPr>
            <w:r>
              <w:rPr>
                <w:sz w:val="21"/>
              </w:rPr>
              <w:t>登记注册；③具有有效的中华人民共和国主治医师或主治医师以上职称的《医师</w:t>
            </w:r>
          </w:p>
        </w:tc>
      </w:tr>
      <w:tr>
        <w:trPr>
          <w:trHeight w:val="310"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42" w:lineRule="exact"/>
              <w:ind w:left="152"/>
              <w:rPr>
                <w:sz w:val="21"/>
              </w:rPr>
            </w:pPr>
            <w:r>
              <w:rPr>
                <w:sz w:val="21"/>
              </w:rPr>
              <w:t>职称证书》；④在二级或二级以上医院的相应科室从事临床工作三年以上。 </w:t>
            </w:r>
          </w:p>
        </w:tc>
      </w:tr>
      <w:tr>
        <w:trPr>
          <w:trHeight w:val="344" w:hRule="atLeast"/>
        </w:trPr>
        <w:tc>
          <w:tcPr>
            <w:tcW w:w="681" w:type="dxa"/>
          </w:tcPr>
          <w:p>
            <w:pPr>
              <w:pStyle w:val="TableParagraph"/>
              <w:spacing w:before="4"/>
              <w:ind w:left="50"/>
              <w:rPr>
                <w:sz w:val="21"/>
              </w:rPr>
            </w:pPr>
            <w:r>
              <w:rPr>
                <w:w w:val="100"/>
                <w:sz w:val="21"/>
              </w:rPr>
              <w:t> </w:t>
            </w:r>
          </w:p>
        </w:tc>
        <w:tc>
          <w:tcPr>
            <w:tcW w:w="1945" w:type="dxa"/>
          </w:tcPr>
          <w:p>
            <w:pPr>
              <w:pStyle w:val="TableParagraph"/>
              <w:rPr>
                <w:rFonts w:ascii="Times New Roman"/>
                <w:sz w:val="20"/>
              </w:rPr>
            </w:pPr>
          </w:p>
        </w:tc>
        <w:tc>
          <w:tcPr>
            <w:tcW w:w="7657" w:type="dxa"/>
          </w:tcPr>
          <w:p>
            <w:pPr>
              <w:pStyle w:val="TableParagraph"/>
              <w:spacing w:before="4"/>
              <w:ind w:left="152"/>
              <w:rPr>
                <w:sz w:val="21"/>
              </w:rPr>
            </w:pPr>
            <w:r>
              <w:rPr>
                <w:w w:val="100"/>
                <w:sz w:val="21"/>
              </w:rPr>
              <w:t> </w:t>
            </w:r>
          </w:p>
        </w:tc>
      </w:tr>
      <w:tr>
        <w:trPr>
          <w:trHeight w:val="324" w:hRule="atLeast"/>
        </w:trPr>
        <w:tc>
          <w:tcPr>
            <w:tcW w:w="681" w:type="dxa"/>
          </w:tcPr>
          <w:p>
            <w:pPr>
              <w:pStyle w:val="TableParagraph"/>
              <w:spacing w:line="304" w:lineRule="exact"/>
              <w:ind w:left="50"/>
              <w:rPr>
                <w:sz w:val="21"/>
              </w:rPr>
            </w:pPr>
            <w:r>
              <w:rPr>
                <w:rFonts w:ascii="Microsoft JhengHei"/>
                <w:b/>
                <w:w w:val="90"/>
                <w:sz w:val="21"/>
              </w:rPr>
              <w:t>7. 15</w:t>
            </w:r>
            <w:r>
              <w:rPr>
                <w:rFonts w:ascii="Microsoft JhengHei"/>
                <w:b/>
                <w:sz w:val="21"/>
              </w:rPr>
              <w:t> </w:t>
            </w:r>
            <w:r>
              <w:rPr>
                <w:w w:val="100"/>
                <w:sz w:val="21"/>
              </w:rPr>
              <w:t> </w:t>
            </w:r>
          </w:p>
        </w:tc>
        <w:tc>
          <w:tcPr>
            <w:tcW w:w="1945" w:type="dxa"/>
          </w:tcPr>
          <w:p>
            <w:pPr>
              <w:pStyle w:val="TableParagraph"/>
              <w:spacing w:line="304" w:lineRule="exact"/>
              <w:ind w:left="103"/>
              <w:rPr>
                <w:rFonts w:ascii="Microsoft JhengHei" w:eastAsia="Microsoft JhengHei" w:hint="eastAsia"/>
                <w:b/>
                <w:sz w:val="21"/>
              </w:rPr>
            </w:pPr>
            <w:r>
              <w:rPr>
                <w:rFonts w:ascii="Microsoft JhengHei" w:eastAsia="Microsoft JhengHei" w:hint="eastAsia"/>
                <w:b/>
                <w:sz w:val="21"/>
              </w:rPr>
              <w:t>肢体机能完全丧失</w:t>
            </w:r>
          </w:p>
        </w:tc>
        <w:tc>
          <w:tcPr>
            <w:tcW w:w="7657" w:type="dxa"/>
          </w:tcPr>
          <w:p>
            <w:pPr>
              <w:pStyle w:val="TableParagraph"/>
              <w:spacing w:before="10"/>
              <w:ind w:left="152"/>
              <w:rPr>
                <w:sz w:val="21"/>
              </w:rPr>
            </w:pPr>
            <w:r>
              <w:rPr>
                <w:sz w:val="21"/>
              </w:rPr>
              <w:t>指肢体的三大关节中的两大关节僵硬，或不能随意识活动。肢体是指包括肩关节</w:t>
            </w:r>
          </w:p>
        </w:tc>
      </w:tr>
      <w:tr>
        <w:trPr>
          <w:trHeight w:val="304"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line="235" w:lineRule="exact"/>
              <w:ind w:left="152"/>
              <w:rPr>
                <w:sz w:val="21"/>
              </w:rPr>
            </w:pPr>
            <w:r>
              <w:rPr>
                <w:sz w:val="21"/>
              </w:rPr>
              <w:t>的整个上肢或包括髋关节的整个下肢。 </w:t>
            </w:r>
          </w:p>
        </w:tc>
      </w:tr>
      <w:tr>
        <w:trPr>
          <w:trHeight w:val="344" w:hRule="atLeast"/>
        </w:trPr>
        <w:tc>
          <w:tcPr>
            <w:tcW w:w="681" w:type="dxa"/>
          </w:tcPr>
          <w:p>
            <w:pPr>
              <w:pStyle w:val="TableParagraph"/>
              <w:rPr>
                <w:rFonts w:ascii="Times New Roman"/>
                <w:sz w:val="20"/>
              </w:rPr>
            </w:pPr>
          </w:p>
        </w:tc>
        <w:tc>
          <w:tcPr>
            <w:tcW w:w="1945" w:type="dxa"/>
          </w:tcPr>
          <w:p>
            <w:pPr>
              <w:pStyle w:val="TableParagraph"/>
              <w:rPr>
                <w:rFonts w:ascii="Times New Roman"/>
                <w:sz w:val="20"/>
              </w:rPr>
            </w:pPr>
          </w:p>
        </w:tc>
        <w:tc>
          <w:tcPr>
            <w:tcW w:w="7657" w:type="dxa"/>
          </w:tcPr>
          <w:p>
            <w:pPr>
              <w:pStyle w:val="TableParagraph"/>
              <w:spacing w:before="6"/>
              <w:ind w:left="152"/>
              <w:rPr>
                <w:sz w:val="21"/>
              </w:rPr>
            </w:pPr>
            <w:r>
              <w:rPr>
                <w:w w:val="100"/>
                <w:sz w:val="21"/>
              </w:rPr>
              <w:t> </w:t>
            </w:r>
          </w:p>
        </w:tc>
      </w:tr>
      <w:tr>
        <w:trPr>
          <w:trHeight w:val="323" w:hRule="atLeast"/>
        </w:trPr>
        <w:tc>
          <w:tcPr>
            <w:tcW w:w="681" w:type="dxa"/>
          </w:tcPr>
          <w:p>
            <w:pPr>
              <w:pStyle w:val="TableParagraph"/>
              <w:spacing w:line="303" w:lineRule="exact"/>
              <w:ind w:left="50"/>
              <w:rPr>
                <w:rFonts w:ascii="Microsoft JhengHei"/>
                <w:b/>
                <w:sz w:val="21"/>
              </w:rPr>
            </w:pPr>
            <w:r>
              <w:rPr>
                <w:rFonts w:ascii="Microsoft JhengHei"/>
                <w:b/>
                <w:w w:val="90"/>
                <w:sz w:val="21"/>
              </w:rPr>
              <w:t>7. 16</w:t>
            </w:r>
          </w:p>
        </w:tc>
        <w:tc>
          <w:tcPr>
            <w:tcW w:w="1945" w:type="dxa"/>
          </w:tcPr>
          <w:p>
            <w:pPr>
              <w:pStyle w:val="TableParagraph"/>
              <w:spacing w:line="303" w:lineRule="exact"/>
              <w:ind w:left="103"/>
              <w:rPr>
                <w:rFonts w:ascii="Microsoft JhengHei" w:eastAsia="Microsoft JhengHei" w:hint="eastAsia"/>
                <w:b/>
                <w:sz w:val="21"/>
              </w:rPr>
            </w:pPr>
            <w:r>
              <w:rPr>
                <w:rFonts w:ascii="Microsoft JhengHei" w:eastAsia="Microsoft JhengHei" w:hint="eastAsia"/>
                <w:b/>
                <w:sz w:val="21"/>
              </w:rPr>
              <w:t>语言能力或咀嚼吞</w:t>
            </w:r>
          </w:p>
        </w:tc>
        <w:tc>
          <w:tcPr>
            <w:tcW w:w="7657" w:type="dxa"/>
          </w:tcPr>
          <w:p>
            <w:pPr>
              <w:pStyle w:val="TableParagraph"/>
              <w:spacing w:before="9"/>
              <w:ind w:left="152"/>
              <w:rPr>
                <w:sz w:val="21"/>
              </w:rPr>
            </w:pPr>
            <w:r>
              <w:rPr>
                <w:sz w:val="21"/>
              </w:rPr>
              <w:t>语言能力完全丧失，指无法发出四种语音（包括口唇音、齿舌音、口盖音和喉头</w:t>
            </w:r>
          </w:p>
        </w:tc>
      </w:tr>
      <w:tr>
        <w:trPr>
          <w:trHeight w:val="234" w:hRule="atLeast"/>
        </w:trPr>
        <w:tc>
          <w:tcPr>
            <w:tcW w:w="681" w:type="dxa"/>
          </w:tcPr>
          <w:p>
            <w:pPr>
              <w:pStyle w:val="TableParagraph"/>
              <w:rPr>
                <w:rFonts w:ascii="Times New Roman"/>
                <w:sz w:val="16"/>
              </w:rPr>
            </w:pPr>
          </w:p>
        </w:tc>
        <w:tc>
          <w:tcPr>
            <w:tcW w:w="1945" w:type="dxa"/>
          </w:tcPr>
          <w:p>
            <w:pPr>
              <w:pStyle w:val="TableParagraph"/>
              <w:spacing w:line="215" w:lineRule="exact"/>
              <w:ind w:left="103"/>
              <w:rPr>
                <w:rFonts w:ascii="Microsoft JhengHei" w:eastAsia="Microsoft JhengHei" w:hint="eastAsia"/>
                <w:b/>
                <w:sz w:val="21"/>
              </w:rPr>
            </w:pPr>
            <w:r>
              <w:rPr>
                <w:rFonts w:ascii="Microsoft JhengHei" w:eastAsia="Microsoft JhengHei" w:hint="eastAsia"/>
                <w:b/>
                <w:sz w:val="21"/>
              </w:rPr>
              <w:t>咽能力完全丧失</w:t>
            </w:r>
          </w:p>
        </w:tc>
        <w:tc>
          <w:tcPr>
            <w:tcW w:w="7657" w:type="dxa"/>
          </w:tcPr>
          <w:p>
            <w:pPr>
              <w:pStyle w:val="TableParagraph"/>
              <w:spacing w:line="215" w:lineRule="exact"/>
              <w:ind w:left="152"/>
              <w:rPr>
                <w:sz w:val="21"/>
              </w:rPr>
            </w:pPr>
            <w:r>
              <w:rPr>
                <w:sz w:val="21"/>
              </w:rPr>
              <w:t>音）中的任何三种、或声带全部切除，或因大脑语言中枢受伤害而患失语症。咀</w:t>
            </w:r>
          </w:p>
        </w:tc>
      </w:tr>
    </w:tbl>
    <w:p>
      <w:pPr>
        <w:spacing w:after="0" w:line="215" w:lineRule="exact"/>
        <w:rPr>
          <w:sz w:val="21"/>
        </w:rPr>
        <w:sectPr>
          <w:pgSz w:w="11900" w:h="16840"/>
          <w:pgMar w:header="0" w:footer="724" w:top="1180" w:bottom="920" w:left="1060" w:right="34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8"/>
        <w:gridCol w:w="2008"/>
        <w:gridCol w:w="7549"/>
      </w:tblGrid>
      <w:tr>
        <w:trPr>
          <w:trHeight w:val="552" w:hRule="atLeast"/>
        </w:trPr>
        <w:tc>
          <w:tcPr>
            <w:tcW w:w="618" w:type="dxa"/>
          </w:tcPr>
          <w:p>
            <w:pPr>
              <w:pStyle w:val="TableParagraph"/>
              <w:rPr>
                <w:rFonts w:ascii="Times New Roman"/>
                <w:sz w:val="20"/>
              </w:rPr>
            </w:pPr>
          </w:p>
        </w:tc>
        <w:tc>
          <w:tcPr>
            <w:tcW w:w="2008" w:type="dxa"/>
          </w:tcPr>
          <w:p>
            <w:pPr>
              <w:pStyle w:val="TableParagraph"/>
              <w:rPr>
                <w:rFonts w:ascii="Times New Roman"/>
                <w:sz w:val="20"/>
              </w:rPr>
            </w:pPr>
          </w:p>
        </w:tc>
        <w:tc>
          <w:tcPr>
            <w:tcW w:w="7549" w:type="dxa"/>
          </w:tcPr>
          <w:p>
            <w:pPr>
              <w:pStyle w:val="TableParagraph"/>
              <w:spacing w:line="201" w:lineRule="exact"/>
              <w:ind w:left="152"/>
              <w:rPr>
                <w:sz w:val="21"/>
              </w:rPr>
            </w:pPr>
            <w:r>
              <w:rPr>
                <w:sz w:val="21"/>
              </w:rPr>
              <w:t>嚼吞咽能力完全丧失，指因牙齿以外的原因导致器质障碍或机能障碍，以致不能</w:t>
            </w:r>
          </w:p>
          <w:p>
            <w:pPr>
              <w:pStyle w:val="TableParagraph"/>
              <w:spacing w:line="273" w:lineRule="exact"/>
              <w:ind w:left="152"/>
              <w:rPr>
                <w:sz w:val="21"/>
              </w:rPr>
            </w:pPr>
            <w:r>
              <w:rPr>
                <w:sz w:val="21"/>
              </w:rPr>
              <w:t>作咀嚼吞咽运动，除流质食物外不能摄取或吞咽的状态。 </w:t>
            </w:r>
          </w:p>
        </w:tc>
      </w:tr>
      <w:tr>
        <w:trPr>
          <w:trHeight w:val="345" w:hRule="atLeast"/>
        </w:trPr>
        <w:tc>
          <w:tcPr>
            <w:tcW w:w="618" w:type="dxa"/>
          </w:tcPr>
          <w:p>
            <w:pPr>
              <w:pStyle w:val="TableParagraph"/>
              <w:rPr>
                <w:rFonts w:ascii="Times New Roman"/>
                <w:sz w:val="20"/>
              </w:rPr>
            </w:pPr>
          </w:p>
        </w:tc>
        <w:tc>
          <w:tcPr>
            <w:tcW w:w="2008" w:type="dxa"/>
          </w:tcPr>
          <w:p>
            <w:pPr>
              <w:pStyle w:val="TableParagraph"/>
              <w:rPr>
                <w:rFonts w:ascii="Times New Roman"/>
                <w:sz w:val="20"/>
              </w:rPr>
            </w:pPr>
          </w:p>
        </w:tc>
        <w:tc>
          <w:tcPr>
            <w:tcW w:w="7549" w:type="dxa"/>
          </w:tcPr>
          <w:p>
            <w:pPr>
              <w:pStyle w:val="TableParagraph"/>
              <w:spacing w:line="272" w:lineRule="exact"/>
              <w:ind w:left="152"/>
              <w:rPr>
                <w:sz w:val="21"/>
              </w:rPr>
            </w:pPr>
            <w:r>
              <w:rPr>
                <w:w w:val="100"/>
                <w:sz w:val="21"/>
              </w:rPr>
              <w:t> </w:t>
            </w:r>
          </w:p>
        </w:tc>
      </w:tr>
      <w:tr>
        <w:trPr>
          <w:trHeight w:val="589" w:hRule="atLeast"/>
        </w:trPr>
        <w:tc>
          <w:tcPr>
            <w:tcW w:w="618" w:type="dxa"/>
          </w:tcPr>
          <w:p>
            <w:pPr>
              <w:pStyle w:val="TableParagraph"/>
              <w:spacing w:line="301" w:lineRule="exact"/>
              <w:ind w:left="50"/>
              <w:rPr>
                <w:rFonts w:ascii="Microsoft JhengHei"/>
                <w:b/>
                <w:sz w:val="21"/>
              </w:rPr>
            </w:pPr>
            <w:r>
              <w:rPr>
                <w:rFonts w:ascii="Microsoft JhengHei"/>
                <w:b/>
                <w:w w:val="90"/>
                <w:sz w:val="21"/>
              </w:rPr>
              <w:t>7. 17</w:t>
            </w:r>
          </w:p>
        </w:tc>
        <w:tc>
          <w:tcPr>
            <w:tcW w:w="2008" w:type="dxa"/>
          </w:tcPr>
          <w:p>
            <w:pPr>
              <w:pStyle w:val="TableParagraph"/>
              <w:spacing w:line="180" w:lineRule="auto" w:before="26"/>
              <w:ind w:left="166" w:right="151"/>
              <w:rPr>
                <w:rFonts w:ascii="Microsoft JhengHei" w:eastAsia="Microsoft JhengHei" w:hint="eastAsia"/>
                <w:b/>
                <w:sz w:val="21"/>
              </w:rPr>
            </w:pPr>
            <w:r>
              <w:rPr>
                <w:rFonts w:ascii="Microsoft JhengHei" w:eastAsia="Microsoft JhengHei" w:hint="eastAsia"/>
                <w:b/>
                <w:sz w:val="21"/>
              </w:rPr>
              <w:t>六项基本日常生活活动</w:t>
            </w:r>
          </w:p>
        </w:tc>
        <w:tc>
          <w:tcPr>
            <w:tcW w:w="7549" w:type="dxa"/>
          </w:tcPr>
          <w:p>
            <w:pPr>
              <w:pStyle w:val="TableParagraph"/>
              <w:spacing w:line="274" w:lineRule="exact" w:before="2"/>
              <w:ind w:left="152"/>
              <w:rPr>
                <w:sz w:val="21"/>
              </w:rPr>
            </w:pPr>
            <w:r>
              <w:rPr>
                <w:sz w:val="21"/>
              </w:rPr>
              <w:t>六项基本日常生活活动是指：①穿衣：自己能够穿衣及脱衣；②移动：自己从一</w:t>
            </w:r>
          </w:p>
          <w:p>
            <w:pPr>
              <w:pStyle w:val="TableParagraph"/>
              <w:spacing w:line="274" w:lineRule="exact"/>
              <w:ind w:left="152"/>
              <w:rPr>
                <w:sz w:val="21"/>
              </w:rPr>
            </w:pPr>
            <w:r>
              <w:rPr>
                <w:sz w:val="21"/>
              </w:rPr>
              <w:t>个房间到另一个房间；③行动：自己上下床或上下轮椅；④如厕：自己控制进行</w:t>
            </w:r>
          </w:p>
        </w:tc>
      </w:tr>
      <w:tr>
        <w:trPr>
          <w:trHeight w:val="272" w:hRule="atLeast"/>
        </w:trPr>
        <w:tc>
          <w:tcPr>
            <w:tcW w:w="618" w:type="dxa"/>
          </w:tcPr>
          <w:p>
            <w:pPr>
              <w:pStyle w:val="TableParagraph"/>
              <w:rPr>
                <w:rFonts w:ascii="Times New Roman"/>
                <w:sz w:val="20"/>
              </w:rPr>
            </w:pPr>
          </w:p>
        </w:tc>
        <w:tc>
          <w:tcPr>
            <w:tcW w:w="2008" w:type="dxa"/>
          </w:tcPr>
          <w:p>
            <w:pPr>
              <w:pStyle w:val="TableParagraph"/>
              <w:rPr>
                <w:rFonts w:ascii="Times New Roman"/>
                <w:sz w:val="20"/>
              </w:rPr>
            </w:pPr>
          </w:p>
        </w:tc>
        <w:tc>
          <w:tcPr>
            <w:tcW w:w="7549" w:type="dxa"/>
          </w:tcPr>
          <w:p>
            <w:pPr>
              <w:pStyle w:val="TableParagraph"/>
              <w:spacing w:line="232" w:lineRule="exact"/>
              <w:ind w:left="152"/>
              <w:rPr>
                <w:sz w:val="21"/>
              </w:rPr>
            </w:pPr>
            <w:r>
              <w:rPr>
                <w:sz w:val="21"/>
              </w:rPr>
              <w:t>大小便；⑤进食：自己从已准备好的碗或碟中取食物放入口中；⑥洗澡：自己进</w:t>
            </w:r>
          </w:p>
        </w:tc>
      </w:tr>
      <w:tr>
        <w:trPr>
          <w:trHeight w:val="310" w:hRule="atLeast"/>
        </w:trPr>
        <w:tc>
          <w:tcPr>
            <w:tcW w:w="618" w:type="dxa"/>
          </w:tcPr>
          <w:p>
            <w:pPr>
              <w:pStyle w:val="TableParagraph"/>
              <w:rPr>
                <w:rFonts w:ascii="Times New Roman"/>
                <w:sz w:val="20"/>
              </w:rPr>
            </w:pPr>
          </w:p>
        </w:tc>
        <w:tc>
          <w:tcPr>
            <w:tcW w:w="2008" w:type="dxa"/>
          </w:tcPr>
          <w:p>
            <w:pPr>
              <w:pStyle w:val="TableParagraph"/>
              <w:rPr>
                <w:rFonts w:ascii="Times New Roman"/>
                <w:sz w:val="20"/>
              </w:rPr>
            </w:pPr>
          </w:p>
        </w:tc>
        <w:tc>
          <w:tcPr>
            <w:tcW w:w="7549" w:type="dxa"/>
          </w:tcPr>
          <w:p>
            <w:pPr>
              <w:pStyle w:val="TableParagraph"/>
              <w:spacing w:line="234" w:lineRule="exact"/>
              <w:ind w:left="152"/>
              <w:rPr>
                <w:sz w:val="21"/>
              </w:rPr>
            </w:pPr>
            <w:r>
              <w:rPr>
                <w:sz w:val="21"/>
              </w:rPr>
              <w:t>行淋浴或盆浴。 </w:t>
            </w:r>
          </w:p>
        </w:tc>
      </w:tr>
      <w:tr>
        <w:trPr>
          <w:trHeight w:val="344" w:hRule="atLeast"/>
        </w:trPr>
        <w:tc>
          <w:tcPr>
            <w:tcW w:w="618" w:type="dxa"/>
          </w:tcPr>
          <w:p>
            <w:pPr>
              <w:pStyle w:val="TableParagraph"/>
              <w:rPr>
                <w:rFonts w:ascii="Times New Roman"/>
                <w:sz w:val="20"/>
              </w:rPr>
            </w:pPr>
          </w:p>
        </w:tc>
        <w:tc>
          <w:tcPr>
            <w:tcW w:w="2008" w:type="dxa"/>
          </w:tcPr>
          <w:p>
            <w:pPr>
              <w:pStyle w:val="TableParagraph"/>
              <w:rPr>
                <w:rFonts w:ascii="Times New Roman"/>
                <w:sz w:val="20"/>
              </w:rPr>
            </w:pPr>
          </w:p>
        </w:tc>
        <w:tc>
          <w:tcPr>
            <w:tcW w:w="7549" w:type="dxa"/>
          </w:tcPr>
          <w:p>
            <w:pPr>
              <w:pStyle w:val="TableParagraph"/>
              <w:spacing w:line="271" w:lineRule="exact"/>
              <w:ind w:left="152"/>
              <w:rPr>
                <w:sz w:val="21"/>
              </w:rPr>
            </w:pPr>
            <w:r>
              <w:rPr>
                <w:w w:val="100"/>
                <w:sz w:val="21"/>
              </w:rPr>
              <w:t> </w:t>
            </w:r>
          </w:p>
        </w:tc>
      </w:tr>
      <w:tr>
        <w:trPr>
          <w:trHeight w:val="559" w:hRule="atLeast"/>
        </w:trPr>
        <w:tc>
          <w:tcPr>
            <w:tcW w:w="618" w:type="dxa"/>
          </w:tcPr>
          <w:p>
            <w:pPr>
              <w:pStyle w:val="TableParagraph"/>
              <w:spacing w:line="301" w:lineRule="exact"/>
              <w:ind w:left="50"/>
              <w:rPr>
                <w:rFonts w:ascii="Microsoft JhengHei"/>
                <w:b/>
                <w:sz w:val="21"/>
              </w:rPr>
            </w:pPr>
            <w:r>
              <w:rPr>
                <w:rFonts w:ascii="Microsoft JhengHei"/>
                <w:b/>
                <w:w w:val="90"/>
                <w:sz w:val="21"/>
              </w:rPr>
              <w:t>7. 18</w:t>
            </w:r>
          </w:p>
        </w:tc>
        <w:tc>
          <w:tcPr>
            <w:tcW w:w="2008" w:type="dxa"/>
          </w:tcPr>
          <w:p>
            <w:pPr>
              <w:pStyle w:val="TableParagraph"/>
              <w:spacing w:line="301" w:lineRule="exact"/>
              <w:ind w:left="166"/>
              <w:rPr>
                <w:rFonts w:ascii="Microsoft JhengHei" w:eastAsia="Microsoft JhengHei" w:hint="eastAsia"/>
                <w:b/>
                <w:sz w:val="21"/>
              </w:rPr>
            </w:pPr>
            <w:r>
              <w:rPr>
                <w:rFonts w:ascii="Microsoft JhengHei" w:eastAsia="Microsoft JhengHei" w:hint="eastAsia"/>
                <w:b/>
                <w:sz w:val="21"/>
              </w:rPr>
              <w:t>永久不可逆</w:t>
            </w:r>
          </w:p>
        </w:tc>
        <w:tc>
          <w:tcPr>
            <w:tcW w:w="7549" w:type="dxa"/>
          </w:tcPr>
          <w:p>
            <w:pPr>
              <w:pStyle w:val="TableParagraph"/>
              <w:spacing w:line="282" w:lineRule="exact" w:before="2"/>
              <w:ind w:left="152"/>
              <w:rPr>
                <w:sz w:val="21"/>
              </w:rPr>
            </w:pPr>
            <w:r>
              <w:rPr>
                <w:spacing w:val="-6"/>
                <w:sz w:val="21"/>
              </w:rPr>
              <w:t>指自疾病确诊或意外伤害发生之日起，经过积极治疗 </w:t>
            </w:r>
            <w:r>
              <w:rPr>
                <w:rFonts w:ascii="Times New Roman" w:eastAsia="Times New Roman"/>
                <w:sz w:val="21"/>
              </w:rPr>
              <w:t>180 </w:t>
            </w:r>
            <w:r>
              <w:rPr>
                <w:spacing w:val="-3"/>
                <w:sz w:val="21"/>
              </w:rPr>
              <w:t>天后，仍无法通过现有</w:t>
            </w:r>
          </w:p>
          <w:p>
            <w:pPr>
              <w:pStyle w:val="TableParagraph"/>
              <w:spacing w:line="255" w:lineRule="exact"/>
              <w:ind w:left="152"/>
              <w:rPr>
                <w:sz w:val="21"/>
              </w:rPr>
            </w:pPr>
            <w:r>
              <w:rPr>
                <w:sz w:val="21"/>
              </w:rPr>
              <w:t>医疗手段恢复。 </w:t>
            </w:r>
          </w:p>
        </w:tc>
      </w:tr>
    </w:tbl>
    <w:p>
      <w:pPr>
        <w:spacing w:after="0" w:line="255" w:lineRule="exact"/>
        <w:rPr>
          <w:sz w:val="21"/>
        </w:rPr>
        <w:sectPr>
          <w:pgSz w:w="11900" w:h="16840"/>
          <w:pgMar w:header="0" w:footer="724" w:top="1120" w:bottom="920" w:left="1060" w:right="460"/>
        </w:sectPr>
      </w:pPr>
    </w:p>
    <w:p>
      <w:pPr>
        <w:pStyle w:val="Heading3"/>
        <w:spacing w:line="322" w:lineRule="exact"/>
        <w:ind w:left="118"/>
      </w:pPr>
      <w:r>
        <w:rPr/>
        <w:t>附表：</w:t>
      </w:r>
    </w:p>
    <w:p>
      <w:pPr>
        <w:pStyle w:val="BodyText"/>
        <w:spacing w:before="8"/>
        <w:ind w:left="0"/>
        <w:rPr>
          <w:rFonts w:ascii="Microsoft JhengHei"/>
          <w:b/>
          <w:sz w:val="16"/>
        </w:rPr>
      </w:pPr>
    </w:p>
    <w:p>
      <w:pPr>
        <w:spacing w:line="335" w:lineRule="exact" w:before="0"/>
        <w:ind w:left="4392" w:right="3437" w:firstLine="0"/>
        <w:jc w:val="center"/>
        <w:rPr>
          <w:rFonts w:ascii="Microsoft JhengHei" w:eastAsia="Microsoft JhengHei" w:hint="eastAsia"/>
          <w:b/>
          <w:sz w:val="21"/>
        </w:rPr>
      </w:pPr>
      <w:r>
        <w:rPr>
          <w:rFonts w:ascii="Microsoft JhengHei" w:eastAsia="Microsoft JhengHei" w:hint="eastAsia"/>
          <w:b/>
          <w:sz w:val="21"/>
        </w:rPr>
        <w:t>退费比例表</w:t>
      </w:r>
    </w:p>
    <w:p>
      <w:pPr>
        <w:pStyle w:val="BodyText"/>
        <w:spacing w:before="7"/>
        <w:ind w:left="0"/>
        <w:rPr>
          <w:rFonts w:ascii="Microsoft JhengHei"/>
          <w:b/>
          <w:sz w:val="10"/>
        </w:rPr>
      </w:pPr>
    </w:p>
    <w:tbl>
      <w:tblPr>
        <w:tblW w:w="0" w:type="auto"/>
        <w:jc w:val="left"/>
        <w:tblInd w:w="2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5"/>
        <w:gridCol w:w="2890"/>
      </w:tblGrid>
      <w:tr>
        <w:trPr>
          <w:trHeight w:val="359" w:hRule="atLeast"/>
        </w:trPr>
        <w:tc>
          <w:tcPr>
            <w:tcW w:w="2705" w:type="dxa"/>
          </w:tcPr>
          <w:p>
            <w:pPr>
              <w:pStyle w:val="TableParagraph"/>
              <w:spacing w:before="30"/>
              <w:ind w:left="405"/>
              <w:rPr>
                <w:sz w:val="21"/>
              </w:rPr>
            </w:pPr>
            <w:r>
              <w:rPr>
                <w:sz w:val="21"/>
              </w:rPr>
              <w:t>保单年度已经过月数 </w:t>
            </w:r>
          </w:p>
        </w:tc>
        <w:tc>
          <w:tcPr>
            <w:tcW w:w="2890" w:type="dxa"/>
          </w:tcPr>
          <w:p>
            <w:pPr>
              <w:pStyle w:val="TableParagraph"/>
              <w:spacing w:before="30"/>
              <w:ind w:left="637" w:right="523"/>
              <w:jc w:val="center"/>
              <w:rPr>
                <w:sz w:val="21"/>
              </w:rPr>
            </w:pPr>
            <w:r>
              <w:rPr>
                <w:sz w:val="21"/>
              </w:rPr>
              <w:t>退还保险费的比例 </w:t>
            </w:r>
          </w:p>
        </w:tc>
      </w:tr>
      <w:tr>
        <w:trPr>
          <w:trHeight w:val="359" w:hRule="atLeast"/>
        </w:trPr>
        <w:tc>
          <w:tcPr>
            <w:tcW w:w="2705" w:type="dxa"/>
          </w:tcPr>
          <w:p>
            <w:pPr>
              <w:pStyle w:val="TableParagraph"/>
              <w:spacing w:before="33"/>
              <w:ind w:left="825"/>
              <w:rPr>
                <w:sz w:val="21"/>
              </w:rPr>
            </w:pPr>
            <w:r>
              <w:rPr>
                <w:sz w:val="21"/>
              </w:rPr>
              <w:t>不满 1 个月 </w:t>
            </w:r>
          </w:p>
        </w:tc>
        <w:tc>
          <w:tcPr>
            <w:tcW w:w="2890" w:type="dxa"/>
          </w:tcPr>
          <w:p>
            <w:pPr>
              <w:pStyle w:val="TableParagraph"/>
              <w:spacing w:before="33"/>
              <w:ind w:left="637" w:right="523"/>
              <w:jc w:val="center"/>
              <w:rPr>
                <w:sz w:val="21"/>
              </w:rPr>
            </w:pPr>
            <w:r>
              <w:rPr>
                <w:sz w:val="21"/>
              </w:rPr>
              <w:t>60% </w:t>
            </w:r>
          </w:p>
        </w:tc>
      </w:tr>
      <w:tr>
        <w:trPr>
          <w:trHeight w:val="359" w:hRule="atLeast"/>
        </w:trPr>
        <w:tc>
          <w:tcPr>
            <w:tcW w:w="2705" w:type="dxa"/>
          </w:tcPr>
          <w:p>
            <w:pPr>
              <w:pStyle w:val="TableParagraph"/>
              <w:spacing w:before="33"/>
              <w:ind w:left="405"/>
              <w:rPr>
                <w:sz w:val="21"/>
              </w:rPr>
            </w:pPr>
            <w:r>
              <w:rPr>
                <w:sz w:val="21"/>
              </w:rPr>
              <w:t>满 1 个月未满 2 个月 </w:t>
            </w:r>
          </w:p>
        </w:tc>
        <w:tc>
          <w:tcPr>
            <w:tcW w:w="2890" w:type="dxa"/>
          </w:tcPr>
          <w:p>
            <w:pPr>
              <w:pStyle w:val="TableParagraph"/>
              <w:spacing w:before="33"/>
              <w:ind w:left="637" w:right="523"/>
              <w:jc w:val="center"/>
              <w:rPr>
                <w:sz w:val="21"/>
              </w:rPr>
            </w:pPr>
            <w:r>
              <w:rPr>
                <w:sz w:val="21"/>
              </w:rPr>
              <w:t>55% </w:t>
            </w:r>
          </w:p>
        </w:tc>
      </w:tr>
      <w:tr>
        <w:trPr>
          <w:trHeight w:val="361" w:hRule="atLeast"/>
        </w:trPr>
        <w:tc>
          <w:tcPr>
            <w:tcW w:w="2705" w:type="dxa"/>
          </w:tcPr>
          <w:p>
            <w:pPr>
              <w:pStyle w:val="TableParagraph"/>
              <w:spacing w:before="33"/>
              <w:ind w:left="405"/>
              <w:rPr>
                <w:sz w:val="21"/>
              </w:rPr>
            </w:pPr>
            <w:r>
              <w:rPr>
                <w:sz w:val="21"/>
              </w:rPr>
              <w:t>满 2 个月未满 3 个月 </w:t>
            </w:r>
          </w:p>
        </w:tc>
        <w:tc>
          <w:tcPr>
            <w:tcW w:w="2890" w:type="dxa"/>
          </w:tcPr>
          <w:p>
            <w:pPr>
              <w:pStyle w:val="TableParagraph"/>
              <w:spacing w:before="33"/>
              <w:ind w:left="637" w:right="523"/>
              <w:jc w:val="center"/>
              <w:rPr>
                <w:sz w:val="21"/>
              </w:rPr>
            </w:pPr>
            <w:r>
              <w:rPr>
                <w:sz w:val="21"/>
              </w:rPr>
              <w:t>50% </w:t>
            </w:r>
          </w:p>
        </w:tc>
      </w:tr>
      <w:tr>
        <w:trPr>
          <w:trHeight w:val="359" w:hRule="atLeast"/>
        </w:trPr>
        <w:tc>
          <w:tcPr>
            <w:tcW w:w="2705" w:type="dxa"/>
          </w:tcPr>
          <w:p>
            <w:pPr>
              <w:pStyle w:val="TableParagraph"/>
              <w:spacing w:before="30"/>
              <w:ind w:left="405"/>
              <w:rPr>
                <w:sz w:val="21"/>
              </w:rPr>
            </w:pPr>
            <w:r>
              <w:rPr>
                <w:sz w:val="21"/>
              </w:rPr>
              <w:t>满 3 个月未满 4 个月 </w:t>
            </w:r>
          </w:p>
        </w:tc>
        <w:tc>
          <w:tcPr>
            <w:tcW w:w="2890" w:type="dxa"/>
          </w:tcPr>
          <w:p>
            <w:pPr>
              <w:pStyle w:val="TableParagraph"/>
              <w:spacing w:before="30"/>
              <w:ind w:left="637" w:right="523"/>
              <w:jc w:val="center"/>
              <w:rPr>
                <w:sz w:val="21"/>
              </w:rPr>
            </w:pPr>
            <w:r>
              <w:rPr>
                <w:sz w:val="21"/>
              </w:rPr>
              <w:t>45% </w:t>
            </w:r>
          </w:p>
        </w:tc>
      </w:tr>
      <w:tr>
        <w:trPr>
          <w:trHeight w:val="359" w:hRule="atLeast"/>
        </w:trPr>
        <w:tc>
          <w:tcPr>
            <w:tcW w:w="2705" w:type="dxa"/>
          </w:tcPr>
          <w:p>
            <w:pPr>
              <w:pStyle w:val="TableParagraph"/>
              <w:spacing w:before="30"/>
              <w:ind w:left="405"/>
              <w:rPr>
                <w:sz w:val="21"/>
              </w:rPr>
            </w:pPr>
            <w:r>
              <w:rPr>
                <w:sz w:val="21"/>
              </w:rPr>
              <w:t>满 4 个月未满 5 个月 </w:t>
            </w:r>
          </w:p>
        </w:tc>
        <w:tc>
          <w:tcPr>
            <w:tcW w:w="2890" w:type="dxa"/>
          </w:tcPr>
          <w:p>
            <w:pPr>
              <w:pStyle w:val="TableParagraph"/>
              <w:spacing w:before="30"/>
              <w:ind w:left="637" w:right="523"/>
              <w:jc w:val="center"/>
              <w:rPr>
                <w:sz w:val="21"/>
              </w:rPr>
            </w:pPr>
            <w:r>
              <w:rPr>
                <w:sz w:val="21"/>
              </w:rPr>
              <w:t>40% </w:t>
            </w:r>
          </w:p>
        </w:tc>
      </w:tr>
      <w:tr>
        <w:trPr>
          <w:trHeight w:val="359" w:hRule="atLeast"/>
        </w:trPr>
        <w:tc>
          <w:tcPr>
            <w:tcW w:w="2705" w:type="dxa"/>
          </w:tcPr>
          <w:p>
            <w:pPr>
              <w:pStyle w:val="TableParagraph"/>
              <w:spacing w:before="30"/>
              <w:ind w:left="405"/>
              <w:rPr>
                <w:sz w:val="21"/>
              </w:rPr>
            </w:pPr>
            <w:r>
              <w:rPr>
                <w:sz w:val="21"/>
              </w:rPr>
              <w:t>满 5 个月未满 6 个月 </w:t>
            </w:r>
          </w:p>
        </w:tc>
        <w:tc>
          <w:tcPr>
            <w:tcW w:w="2890" w:type="dxa"/>
          </w:tcPr>
          <w:p>
            <w:pPr>
              <w:pStyle w:val="TableParagraph"/>
              <w:spacing w:before="30"/>
              <w:ind w:left="637" w:right="523"/>
              <w:jc w:val="center"/>
              <w:rPr>
                <w:sz w:val="21"/>
              </w:rPr>
            </w:pPr>
            <w:r>
              <w:rPr>
                <w:sz w:val="21"/>
              </w:rPr>
              <w:t>35% </w:t>
            </w:r>
          </w:p>
        </w:tc>
      </w:tr>
      <w:tr>
        <w:trPr>
          <w:trHeight w:val="359" w:hRule="atLeast"/>
        </w:trPr>
        <w:tc>
          <w:tcPr>
            <w:tcW w:w="2705" w:type="dxa"/>
          </w:tcPr>
          <w:p>
            <w:pPr>
              <w:pStyle w:val="TableParagraph"/>
              <w:spacing w:before="33"/>
              <w:ind w:left="405"/>
              <w:rPr>
                <w:sz w:val="21"/>
              </w:rPr>
            </w:pPr>
            <w:r>
              <w:rPr>
                <w:sz w:val="21"/>
              </w:rPr>
              <w:t>满 6 个月未满 7 个月 </w:t>
            </w:r>
          </w:p>
        </w:tc>
        <w:tc>
          <w:tcPr>
            <w:tcW w:w="2890" w:type="dxa"/>
          </w:tcPr>
          <w:p>
            <w:pPr>
              <w:pStyle w:val="TableParagraph"/>
              <w:spacing w:before="33"/>
              <w:ind w:left="637" w:right="523"/>
              <w:jc w:val="center"/>
              <w:rPr>
                <w:sz w:val="21"/>
              </w:rPr>
            </w:pPr>
            <w:r>
              <w:rPr>
                <w:sz w:val="21"/>
              </w:rPr>
              <w:t>30% </w:t>
            </w:r>
          </w:p>
        </w:tc>
      </w:tr>
      <w:tr>
        <w:trPr>
          <w:trHeight w:val="359" w:hRule="atLeast"/>
        </w:trPr>
        <w:tc>
          <w:tcPr>
            <w:tcW w:w="2705" w:type="dxa"/>
          </w:tcPr>
          <w:p>
            <w:pPr>
              <w:pStyle w:val="TableParagraph"/>
              <w:spacing w:before="33"/>
              <w:ind w:left="405"/>
              <w:rPr>
                <w:sz w:val="21"/>
              </w:rPr>
            </w:pPr>
            <w:r>
              <w:rPr>
                <w:sz w:val="21"/>
              </w:rPr>
              <w:t>满 7 个月未满 8 个月 </w:t>
            </w:r>
          </w:p>
        </w:tc>
        <w:tc>
          <w:tcPr>
            <w:tcW w:w="2890" w:type="dxa"/>
          </w:tcPr>
          <w:p>
            <w:pPr>
              <w:pStyle w:val="TableParagraph"/>
              <w:spacing w:before="33"/>
              <w:ind w:left="637" w:right="523"/>
              <w:jc w:val="center"/>
              <w:rPr>
                <w:sz w:val="21"/>
              </w:rPr>
            </w:pPr>
            <w:r>
              <w:rPr>
                <w:sz w:val="21"/>
              </w:rPr>
              <w:t>25% </w:t>
            </w:r>
          </w:p>
        </w:tc>
      </w:tr>
      <w:tr>
        <w:trPr>
          <w:trHeight w:val="361" w:hRule="atLeast"/>
        </w:trPr>
        <w:tc>
          <w:tcPr>
            <w:tcW w:w="2705" w:type="dxa"/>
          </w:tcPr>
          <w:p>
            <w:pPr>
              <w:pStyle w:val="TableParagraph"/>
              <w:spacing w:before="33"/>
              <w:ind w:left="405"/>
              <w:rPr>
                <w:sz w:val="21"/>
              </w:rPr>
            </w:pPr>
            <w:r>
              <w:rPr>
                <w:sz w:val="21"/>
              </w:rPr>
              <w:t>满 8 个月未满 9 个月 </w:t>
            </w:r>
          </w:p>
        </w:tc>
        <w:tc>
          <w:tcPr>
            <w:tcW w:w="2890" w:type="dxa"/>
          </w:tcPr>
          <w:p>
            <w:pPr>
              <w:pStyle w:val="TableParagraph"/>
              <w:spacing w:before="33"/>
              <w:ind w:left="637" w:right="523"/>
              <w:jc w:val="center"/>
              <w:rPr>
                <w:sz w:val="21"/>
              </w:rPr>
            </w:pPr>
            <w:r>
              <w:rPr>
                <w:sz w:val="21"/>
              </w:rPr>
              <w:t>20% </w:t>
            </w:r>
          </w:p>
        </w:tc>
      </w:tr>
      <w:tr>
        <w:trPr>
          <w:trHeight w:val="359" w:hRule="atLeast"/>
        </w:trPr>
        <w:tc>
          <w:tcPr>
            <w:tcW w:w="2705" w:type="dxa"/>
          </w:tcPr>
          <w:p>
            <w:pPr>
              <w:pStyle w:val="TableParagraph"/>
              <w:spacing w:before="30"/>
              <w:ind w:left="355"/>
              <w:rPr>
                <w:sz w:val="21"/>
              </w:rPr>
            </w:pPr>
            <w:r>
              <w:rPr>
                <w:sz w:val="21"/>
              </w:rPr>
              <w:t>满 9 个月未满 10 个月 </w:t>
            </w:r>
          </w:p>
        </w:tc>
        <w:tc>
          <w:tcPr>
            <w:tcW w:w="2890" w:type="dxa"/>
          </w:tcPr>
          <w:p>
            <w:pPr>
              <w:pStyle w:val="TableParagraph"/>
              <w:spacing w:before="30"/>
              <w:ind w:left="637" w:right="523"/>
              <w:jc w:val="center"/>
              <w:rPr>
                <w:sz w:val="21"/>
              </w:rPr>
            </w:pPr>
            <w:r>
              <w:rPr>
                <w:sz w:val="21"/>
              </w:rPr>
              <w:t>10% </w:t>
            </w:r>
          </w:p>
        </w:tc>
      </w:tr>
      <w:tr>
        <w:trPr>
          <w:trHeight w:val="359" w:hRule="atLeast"/>
        </w:trPr>
        <w:tc>
          <w:tcPr>
            <w:tcW w:w="2705" w:type="dxa"/>
          </w:tcPr>
          <w:p>
            <w:pPr>
              <w:pStyle w:val="TableParagraph"/>
              <w:spacing w:before="30"/>
              <w:ind w:left="302"/>
              <w:rPr>
                <w:sz w:val="21"/>
              </w:rPr>
            </w:pPr>
            <w:r>
              <w:rPr>
                <w:sz w:val="21"/>
              </w:rPr>
              <w:t>满 10 个月未满 11 个月 </w:t>
            </w:r>
          </w:p>
        </w:tc>
        <w:tc>
          <w:tcPr>
            <w:tcW w:w="2890" w:type="dxa"/>
          </w:tcPr>
          <w:p>
            <w:pPr>
              <w:pStyle w:val="TableParagraph"/>
              <w:spacing w:before="30"/>
              <w:ind w:left="637" w:right="523"/>
              <w:jc w:val="center"/>
              <w:rPr>
                <w:sz w:val="21"/>
              </w:rPr>
            </w:pPr>
            <w:r>
              <w:rPr>
                <w:sz w:val="21"/>
              </w:rPr>
              <w:t>5% </w:t>
            </w:r>
          </w:p>
        </w:tc>
      </w:tr>
      <w:tr>
        <w:trPr>
          <w:trHeight w:val="359" w:hRule="atLeast"/>
        </w:trPr>
        <w:tc>
          <w:tcPr>
            <w:tcW w:w="2705" w:type="dxa"/>
          </w:tcPr>
          <w:p>
            <w:pPr>
              <w:pStyle w:val="TableParagraph"/>
              <w:spacing w:before="30"/>
              <w:ind w:left="302"/>
              <w:rPr>
                <w:sz w:val="21"/>
              </w:rPr>
            </w:pPr>
            <w:r>
              <w:rPr>
                <w:sz w:val="21"/>
              </w:rPr>
              <w:t>满 11 个月未满 12 个月 </w:t>
            </w:r>
          </w:p>
        </w:tc>
        <w:tc>
          <w:tcPr>
            <w:tcW w:w="2890" w:type="dxa"/>
          </w:tcPr>
          <w:p>
            <w:pPr>
              <w:pStyle w:val="TableParagraph"/>
              <w:spacing w:before="30"/>
              <w:ind w:left="637" w:right="523"/>
              <w:jc w:val="center"/>
              <w:rPr>
                <w:sz w:val="21"/>
              </w:rPr>
            </w:pPr>
            <w:r>
              <w:rPr>
                <w:sz w:val="21"/>
              </w:rPr>
              <w:t>0% </w:t>
            </w:r>
          </w:p>
        </w:tc>
      </w:tr>
    </w:tbl>
    <w:p>
      <w:pPr>
        <w:pStyle w:val="BodyText"/>
        <w:spacing w:before="0"/>
        <w:ind w:left="0"/>
        <w:rPr>
          <w:rFonts w:ascii="Microsoft JhengHei"/>
          <w:b/>
          <w:sz w:val="20"/>
        </w:rPr>
      </w:pPr>
    </w:p>
    <w:p>
      <w:pPr>
        <w:pStyle w:val="BodyText"/>
        <w:spacing w:before="0"/>
        <w:ind w:left="0"/>
        <w:rPr>
          <w:rFonts w:ascii="Microsoft JhengHei"/>
          <w:b/>
          <w:sz w:val="20"/>
        </w:rPr>
      </w:pPr>
    </w:p>
    <w:p>
      <w:pPr>
        <w:pStyle w:val="BodyText"/>
        <w:spacing w:before="2"/>
        <w:ind w:left="0"/>
        <w:rPr>
          <w:rFonts w:ascii="Microsoft JhengHei"/>
          <w:b/>
          <w:sz w:val="12"/>
        </w:rPr>
      </w:pPr>
    </w:p>
    <w:p>
      <w:pPr>
        <w:spacing w:before="0"/>
        <w:ind w:left="118" w:right="0" w:firstLine="0"/>
        <w:jc w:val="left"/>
        <w:rPr>
          <w:sz w:val="16"/>
        </w:rPr>
      </w:pPr>
      <w:r>
        <w:rPr>
          <w:w w:val="100"/>
          <w:sz w:val="16"/>
        </w:rPr>
        <w:t> </w:t>
      </w:r>
    </w:p>
    <w:sectPr>
      <w:pgSz w:w="11900" w:h="16840"/>
      <w:pgMar w:header="0" w:footer="724" w:top="1360" w:bottom="920" w:left="13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305.320007pt;margin-top:794.820007pt;width:13.15pt;height:12pt;mso-position-horizontal-relative:page;mso-position-vertical-relative:page;z-index:-488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6"/>
      <w:numFmt w:val="decimal"/>
      <w:lvlText w:val="%1"/>
      <w:lvlJc w:val="left"/>
      <w:pPr>
        <w:ind w:left="946" w:hanging="735"/>
        <w:jc w:val="left"/>
      </w:pPr>
      <w:rPr>
        <w:rFonts w:hint="default"/>
      </w:rPr>
    </w:lvl>
    <w:lvl w:ilvl="1">
      <w:start w:val="1"/>
      <w:numFmt w:val="decimal"/>
      <w:lvlText w:val="%1.%2"/>
      <w:lvlJc w:val="left"/>
      <w:pPr>
        <w:ind w:left="2940"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2940" w:hanging="735"/>
      </w:pPr>
      <w:rPr>
        <w:rFonts w:hint="default"/>
      </w:rPr>
    </w:lvl>
    <w:lvl w:ilvl="3">
      <w:start w:val="0"/>
      <w:numFmt w:val="bullet"/>
      <w:lvlText w:val="•"/>
      <w:lvlJc w:val="left"/>
      <w:pPr>
        <w:ind w:left="2817" w:hanging="735"/>
      </w:pPr>
      <w:rPr>
        <w:rFonts w:hint="default"/>
      </w:rPr>
    </w:lvl>
    <w:lvl w:ilvl="4">
      <w:start w:val="0"/>
      <w:numFmt w:val="bullet"/>
      <w:lvlText w:val="•"/>
      <w:lvlJc w:val="left"/>
      <w:pPr>
        <w:ind w:left="2694" w:hanging="735"/>
      </w:pPr>
      <w:rPr>
        <w:rFonts w:hint="default"/>
      </w:rPr>
    </w:lvl>
    <w:lvl w:ilvl="5">
      <w:start w:val="0"/>
      <w:numFmt w:val="bullet"/>
      <w:lvlText w:val="•"/>
      <w:lvlJc w:val="left"/>
      <w:pPr>
        <w:ind w:left="2571" w:hanging="735"/>
      </w:pPr>
      <w:rPr>
        <w:rFonts w:hint="default"/>
      </w:rPr>
    </w:lvl>
    <w:lvl w:ilvl="6">
      <w:start w:val="0"/>
      <w:numFmt w:val="bullet"/>
      <w:lvlText w:val="•"/>
      <w:lvlJc w:val="left"/>
      <w:pPr>
        <w:ind w:left="2448" w:hanging="735"/>
      </w:pPr>
      <w:rPr>
        <w:rFonts w:hint="default"/>
      </w:rPr>
    </w:lvl>
    <w:lvl w:ilvl="7">
      <w:start w:val="0"/>
      <w:numFmt w:val="bullet"/>
      <w:lvlText w:val="•"/>
      <w:lvlJc w:val="left"/>
      <w:pPr>
        <w:ind w:left="2325" w:hanging="735"/>
      </w:pPr>
      <w:rPr>
        <w:rFonts w:hint="default"/>
      </w:rPr>
    </w:lvl>
    <w:lvl w:ilvl="8">
      <w:start w:val="0"/>
      <w:numFmt w:val="bullet"/>
      <w:lvlText w:val="•"/>
      <w:lvlJc w:val="left"/>
      <w:pPr>
        <w:ind w:left="2202" w:hanging="735"/>
      </w:pPr>
      <w:rPr>
        <w:rFonts w:hint="default"/>
      </w:rPr>
    </w:lvl>
  </w:abstractNum>
  <w:abstractNum w:abstractNumId="2">
    <w:multiLevelType w:val="hybridMultilevel"/>
    <w:lvl w:ilvl="0">
      <w:start w:val="2"/>
      <w:numFmt w:val="decimal"/>
      <w:lvlText w:val="%1"/>
      <w:lvlJc w:val="left"/>
      <w:pPr>
        <w:ind w:left="3000" w:hanging="735"/>
        <w:jc w:val="left"/>
      </w:pPr>
      <w:rPr>
        <w:rFonts w:hint="default"/>
      </w:rPr>
    </w:lvl>
    <w:lvl w:ilvl="1">
      <w:start w:val="1"/>
      <w:numFmt w:val="decimal"/>
      <w:lvlText w:val="%1.%2"/>
      <w:lvlJc w:val="left"/>
      <w:pPr>
        <w:ind w:left="3000"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512" w:hanging="735"/>
      </w:pPr>
      <w:rPr>
        <w:rFonts w:hint="default"/>
      </w:rPr>
    </w:lvl>
    <w:lvl w:ilvl="3">
      <w:start w:val="0"/>
      <w:numFmt w:val="bullet"/>
      <w:lvlText w:val="•"/>
      <w:lvlJc w:val="left"/>
      <w:pPr>
        <w:ind w:left="526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536" w:hanging="735"/>
      </w:pPr>
      <w:rPr>
        <w:rFonts w:hint="default"/>
      </w:rPr>
    </w:lvl>
    <w:lvl w:ilvl="7">
      <w:start w:val="0"/>
      <w:numFmt w:val="bullet"/>
      <w:lvlText w:val="•"/>
      <w:lvlJc w:val="left"/>
      <w:pPr>
        <w:ind w:left="8292" w:hanging="735"/>
      </w:pPr>
      <w:rPr>
        <w:rFonts w:hint="default"/>
      </w:rPr>
    </w:lvl>
    <w:lvl w:ilvl="8">
      <w:start w:val="0"/>
      <w:numFmt w:val="bullet"/>
      <w:lvlText w:val="•"/>
      <w:lvlJc w:val="left"/>
      <w:pPr>
        <w:ind w:left="9048" w:hanging="735"/>
      </w:pPr>
      <w:rPr>
        <w:rFonts w:hint="default"/>
      </w:rPr>
    </w:lvl>
  </w:abstractNum>
  <w:abstractNum w:abstractNumId="1">
    <w:multiLevelType w:val="hybridMultilevel"/>
    <w:lvl w:ilvl="0">
      <w:start w:val="1"/>
      <w:numFmt w:val="decimal"/>
      <w:lvlText w:val="%1"/>
      <w:lvlJc w:val="left"/>
      <w:pPr>
        <w:ind w:left="3000" w:hanging="735"/>
        <w:jc w:val="left"/>
      </w:pPr>
      <w:rPr>
        <w:rFonts w:hint="default"/>
      </w:rPr>
    </w:lvl>
    <w:lvl w:ilvl="1">
      <w:start w:val="1"/>
      <w:numFmt w:val="decimal"/>
      <w:lvlText w:val="%1.%2"/>
      <w:lvlJc w:val="left"/>
      <w:pPr>
        <w:ind w:left="3000" w:hanging="735"/>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512" w:hanging="735"/>
      </w:pPr>
      <w:rPr>
        <w:rFonts w:hint="default"/>
      </w:rPr>
    </w:lvl>
    <w:lvl w:ilvl="3">
      <w:start w:val="0"/>
      <w:numFmt w:val="bullet"/>
      <w:lvlText w:val="•"/>
      <w:lvlJc w:val="left"/>
      <w:pPr>
        <w:ind w:left="526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80" w:hanging="735"/>
      </w:pPr>
      <w:rPr>
        <w:rFonts w:hint="default"/>
      </w:rPr>
    </w:lvl>
    <w:lvl w:ilvl="6">
      <w:start w:val="0"/>
      <w:numFmt w:val="bullet"/>
      <w:lvlText w:val="•"/>
      <w:lvlJc w:val="left"/>
      <w:pPr>
        <w:ind w:left="7536" w:hanging="735"/>
      </w:pPr>
      <w:rPr>
        <w:rFonts w:hint="default"/>
      </w:rPr>
    </w:lvl>
    <w:lvl w:ilvl="7">
      <w:start w:val="0"/>
      <w:numFmt w:val="bullet"/>
      <w:lvlText w:val="•"/>
      <w:lvlJc w:val="left"/>
      <w:pPr>
        <w:ind w:left="8292" w:hanging="735"/>
      </w:pPr>
      <w:rPr>
        <w:rFonts w:hint="default"/>
      </w:rPr>
    </w:lvl>
    <w:lvl w:ilvl="8">
      <w:start w:val="0"/>
      <w:numFmt w:val="bullet"/>
      <w:lvlText w:val="•"/>
      <w:lvlJc w:val="left"/>
      <w:pPr>
        <w:ind w:left="9048" w:hanging="735"/>
      </w:pPr>
      <w:rPr>
        <w:rFonts w:hint="default"/>
      </w:rPr>
    </w:lvl>
  </w:abstractNum>
  <w:abstractNum w:abstractNumId="0">
    <w:multiLevelType w:val="hybridMultilevel"/>
    <w:lvl w:ilvl="0">
      <w:start w:val="0"/>
      <w:numFmt w:val="bullet"/>
      <w:lvlText w:val=""/>
      <w:lvlJc w:val="left"/>
      <w:pPr>
        <w:ind w:left="1639" w:hanging="291"/>
      </w:pPr>
      <w:rPr>
        <w:rFonts w:hint="default" w:ascii="Wingdings" w:hAnsi="Wingdings" w:eastAsia="Wingdings" w:cs="Wingdings"/>
        <w:w w:val="100"/>
        <w:sz w:val="21"/>
        <w:szCs w:val="21"/>
      </w:rPr>
    </w:lvl>
    <w:lvl w:ilvl="1">
      <w:start w:val="0"/>
      <w:numFmt w:val="bullet"/>
      <w:lvlText w:val="•"/>
      <w:lvlJc w:val="left"/>
      <w:pPr>
        <w:ind w:left="2530" w:hanging="291"/>
      </w:pPr>
      <w:rPr>
        <w:rFonts w:hint="default"/>
      </w:rPr>
    </w:lvl>
    <w:lvl w:ilvl="2">
      <w:start w:val="0"/>
      <w:numFmt w:val="bullet"/>
      <w:lvlText w:val="•"/>
      <w:lvlJc w:val="left"/>
      <w:pPr>
        <w:ind w:left="3420" w:hanging="291"/>
      </w:pPr>
      <w:rPr>
        <w:rFonts w:hint="default"/>
      </w:rPr>
    </w:lvl>
    <w:lvl w:ilvl="3">
      <w:start w:val="0"/>
      <w:numFmt w:val="bullet"/>
      <w:lvlText w:val="•"/>
      <w:lvlJc w:val="left"/>
      <w:pPr>
        <w:ind w:left="4310" w:hanging="291"/>
      </w:pPr>
      <w:rPr>
        <w:rFonts w:hint="default"/>
      </w:rPr>
    </w:lvl>
    <w:lvl w:ilvl="4">
      <w:start w:val="0"/>
      <w:numFmt w:val="bullet"/>
      <w:lvlText w:val="•"/>
      <w:lvlJc w:val="left"/>
      <w:pPr>
        <w:ind w:left="5200" w:hanging="291"/>
      </w:pPr>
      <w:rPr>
        <w:rFonts w:hint="default"/>
      </w:rPr>
    </w:lvl>
    <w:lvl w:ilvl="5">
      <w:start w:val="0"/>
      <w:numFmt w:val="bullet"/>
      <w:lvlText w:val="•"/>
      <w:lvlJc w:val="left"/>
      <w:pPr>
        <w:ind w:left="6090" w:hanging="291"/>
      </w:pPr>
      <w:rPr>
        <w:rFonts w:hint="default"/>
      </w:rPr>
    </w:lvl>
    <w:lvl w:ilvl="6">
      <w:start w:val="0"/>
      <w:numFmt w:val="bullet"/>
      <w:lvlText w:val="•"/>
      <w:lvlJc w:val="left"/>
      <w:pPr>
        <w:ind w:left="6980" w:hanging="291"/>
      </w:pPr>
      <w:rPr>
        <w:rFonts w:hint="default"/>
      </w:rPr>
    </w:lvl>
    <w:lvl w:ilvl="7">
      <w:start w:val="0"/>
      <w:numFmt w:val="bullet"/>
      <w:lvlText w:val="•"/>
      <w:lvlJc w:val="left"/>
      <w:pPr>
        <w:ind w:left="7870" w:hanging="291"/>
      </w:pPr>
      <w:rPr>
        <w:rFonts w:hint="default"/>
      </w:rPr>
    </w:lvl>
    <w:lvl w:ilvl="8">
      <w:start w:val="0"/>
      <w:numFmt w:val="bullet"/>
      <w:lvlText w:val="•"/>
      <w:lvlJc w:val="left"/>
      <w:pPr>
        <w:ind w:left="8760" w:hanging="29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260"/>
    </w:pPr>
    <w:rPr>
      <w:rFonts w:ascii="宋体" w:hAnsi="宋体" w:eastAsia="宋体" w:cs="宋体"/>
      <w:sz w:val="21"/>
      <w:szCs w:val="21"/>
    </w:rPr>
  </w:style>
  <w:style w:styleId="Heading1" w:type="paragraph">
    <w:name w:val="Heading 1"/>
    <w:basedOn w:val="Normal"/>
    <w:uiPriority w:val="1"/>
    <w:qFormat/>
    <w:pPr>
      <w:ind w:left="1705" w:right="1575"/>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63"/>
      <w:ind w:left="27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12"/>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771" w:hanging="272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嘉禾发[2009]355号-12 嘉禾附加团体重大疾病保险条款</dc:title>
  <dcterms:created xsi:type="dcterms:W3CDTF">2018-10-20T03:27:58Z</dcterms:created>
  <dcterms:modified xsi:type="dcterms:W3CDTF">2018-10-20T03:27:58Z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