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486"/>
      </w:pPr>
      <w:r>
        <w:rPr/>
        <w:drawing>
          <wp:anchor distT="0" distB="0" distL="0" distR="0" allowOverlap="1" layoutInCell="1" locked="0" behindDoc="0" simplePos="0" relativeHeight="0">
            <wp:simplePos x="0" y="0"/>
            <wp:positionH relativeFrom="page">
              <wp:posOffset>5058155</wp:posOffset>
            </wp:positionH>
            <wp:positionV relativeFrom="paragraph">
              <wp:posOffset>245284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瑞泰人寿[2011]疾病保险 020 号</w:t>
      </w:r>
    </w:p>
    <w:p>
      <w:pPr>
        <w:pStyle w:val="BodyText"/>
        <w:spacing w:before="13"/>
        <w:ind w:left="5786"/>
      </w:pPr>
      <w:r>
        <w:rPr/>
        <w:t>请扫描以查询验证条款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spacing w:line="194" w:lineRule="auto" w:before="0"/>
        <w:ind w:left="1180" w:right="1174" w:firstLine="0"/>
        <w:jc w:val="center"/>
        <w:rPr>
          <w:rFonts w:ascii="Microsoft JhengHei" w:eastAsia="Microsoft JhengHei" w:hint="eastAsia"/>
          <w:b/>
          <w:sz w:val="44"/>
        </w:rPr>
      </w:pPr>
      <w:r>
        <w:rPr>
          <w:rFonts w:ascii="Microsoft JhengHei" w:eastAsia="Microsoft JhengHei" w:hint="eastAsia"/>
          <w:b/>
          <w:sz w:val="44"/>
        </w:rPr>
        <w:t>瑞泰附加健康之选重大疾病保险合同条款</w:t>
      </w: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spacing w:before="14"/>
        <w:rPr>
          <w:rFonts w:ascii="Microsoft JhengHei"/>
          <w:b/>
          <w:sz w:val="52"/>
        </w:rPr>
      </w:pPr>
    </w:p>
    <w:p>
      <w:pPr>
        <w:spacing w:before="0"/>
        <w:ind w:left="1180" w:right="1174" w:firstLine="0"/>
        <w:jc w:val="center"/>
        <w:rPr>
          <w:rFonts w:ascii="Microsoft JhengHei" w:eastAsia="Microsoft JhengHei" w:hint="eastAsia"/>
          <w:b/>
          <w:sz w:val="28"/>
        </w:rPr>
      </w:pPr>
      <w:r>
        <w:rPr>
          <w:rFonts w:ascii="Microsoft JhengHei" w:eastAsia="Microsoft JhengHei" w:hint="eastAsia"/>
          <w:b/>
          <w:sz w:val="28"/>
        </w:rPr>
        <w:t>瑞泰人寿保险有限公司</w:t>
      </w:r>
    </w:p>
    <w:p>
      <w:pPr>
        <w:spacing w:before="136"/>
        <w:ind w:left="1178" w:right="1174" w:firstLine="0"/>
        <w:jc w:val="center"/>
        <w:rPr>
          <w:rFonts w:ascii="Microsoft JhengHei" w:eastAsia="Microsoft JhengHei" w:hint="eastAsia"/>
          <w:b/>
          <w:sz w:val="28"/>
        </w:rPr>
      </w:pPr>
      <w:r>
        <w:rPr>
          <w:rFonts w:ascii="Microsoft JhengHei" w:eastAsia="Microsoft JhengHei" w:hint="eastAsia"/>
          <w:b/>
          <w:sz w:val="28"/>
        </w:rPr>
        <w:t>2011 年 6 月</w:t>
      </w:r>
    </w:p>
    <w:p>
      <w:pPr>
        <w:spacing w:after="0"/>
        <w:jc w:val="center"/>
        <w:rPr>
          <w:rFonts w:ascii="Microsoft JhengHei" w:eastAsia="Microsoft JhengHei" w:hint="eastAsia"/>
          <w:sz w:val="28"/>
        </w:rPr>
        <w:sectPr>
          <w:footerReference w:type="default" r:id="rId5"/>
          <w:type w:val="continuous"/>
          <w:pgSz w:w="11900" w:h="16840"/>
          <w:pgMar w:footer="1007" w:top="1420" w:bottom="1200" w:left="1680" w:right="1680"/>
          <w:pgNumType w:start="1"/>
        </w:sectPr>
      </w:pPr>
    </w:p>
    <w:p>
      <w:pPr>
        <w:pStyle w:val="Heading5"/>
        <w:spacing w:line="325" w:lineRule="exact"/>
      </w:pPr>
      <w:r>
        <w:rPr/>
        <w:t>感谢您选择了瑞泰人寿。为了帮助您更好地理解本条款，在阅读本条款前，请您阅读提示。</w:t>
      </w:r>
    </w:p>
    <w:p>
      <w:pPr>
        <w:pStyle w:val="BodyText"/>
        <w:rPr>
          <w:rFonts w:ascii="Microsoft JhengHei"/>
          <w:b/>
          <w:sz w:val="20"/>
        </w:rPr>
      </w:pPr>
    </w:p>
    <w:p>
      <w:pPr>
        <w:pStyle w:val="BodyText"/>
        <w:spacing w:before="5"/>
        <w:rPr>
          <w:rFonts w:ascii="Microsoft JhengHei"/>
          <w:b/>
          <w:sz w:val="11"/>
        </w:rPr>
      </w:pPr>
    </w:p>
    <w:p>
      <w:pPr>
        <w:spacing w:before="0"/>
        <w:ind w:left="120" w:right="0" w:firstLine="0"/>
        <w:jc w:val="left"/>
        <w:rPr>
          <w:rFonts w:ascii="Microsoft JhengHei" w:eastAsia="Microsoft JhengHei" w:hint="eastAsia"/>
          <w:b/>
          <w:sz w:val="30"/>
        </w:rPr>
      </w:pPr>
      <w:r>
        <w:rPr>
          <w:rFonts w:ascii="Microsoft JhengHei" w:eastAsia="Microsoft JhengHei" w:hint="eastAsia"/>
          <w:b/>
          <w:sz w:val="30"/>
        </w:rPr>
        <w:t>阅读提示</w:t>
      </w:r>
    </w:p>
    <w:p>
      <w:pPr>
        <w:pStyle w:val="BodyText"/>
        <w:spacing w:before="16"/>
        <w:rPr>
          <w:rFonts w:ascii="Microsoft JhengHei"/>
          <w:b/>
          <w:sz w:val="23"/>
        </w:rPr>
      </w:pPr>
      <w:r>
        <w:rPr/>
        <w:pict>
          <v:line style="position:absolute;mso-position-horizontal-relative:page;mso-position-vertical-relative:paragraph;z-index:1048;mso-wrap-distance-left:0;mso-wrap-distance-right:0" from="90pt,23.055508pt" to="505.32pt,23.055508pt" stroked="true" strokeweight=".48pt" strokecolor="#000000">
            <v:stroke dashstyle="solid"/>
            <w10:wrap type="topAndBottom"/>
          </v:line>
        </w:pict>
      </w:r>
    </w:p>
    <w:p>
      <w:pPr>
        <w:pStyle w:val="BodyText"/>
        <w:spacing w:before="5"/>
        <w:rPr>
          <w:rFonts w:ascii="Microsoft JhengHei"/>
          <w:b/>
          <w:sz w:val="9"/>
        </w:rPr>
      </w:pPr>
    </w:p>
    <w:p>
      <w:pPr>
        <w:spacing w:line="435" w:lineRule="exact" w:before="0"/>
        <w:ind w:left="53" w:right="144" w:firstLine="0"/>
        <w:jc w:val="center"/>
        <w:rPr>
          <w:rFonts w:ascii="Microsoft JhengHei" w:eastAsia="Microsoft JhengHei" w:hint="eastAsia"/>
          <w:b/>
          <w:sz w:val="30"/>
        </w:rPr>
      </w:pPr>
      <w:r>
        <w:rPr>
          <w:rFonts w:ascii="Microsoft JhengHei" w:eastAsia="Microsoft JhengHei" w:hint="eastAsia"/>
          <w:b/>
          <w:sz w:val="30"/>
        </w:rPr>
        <w:t>您所享有的重要权益</w:t>
      </w:r>
    </w:p>
    <w:p>
      <w:pPr>
        <w:pStyle w:val="BodyText"/>
        <w:rPr>
          <w:rFonts w:ascii="Microsoft JhengHei"/>
          <w:b/>
          <w:sz w:val="30"/>
        </w:rPr>
      </w:pPr>
    </w:p>
    <w:p>
      <w:pPr>
        <w:pStyle w:val="BodyText"/>
        <w:rPr>
          <w:rFonts w:ascii="Microsoft JhengHei"/>
          <w:b/>
          <w:sz w:val="17"/>
        </w:rPr>
      </w:pPr>
    </w:p>
    <w:p>
      <w:pPr>
        <w:pStyle w:val="BodyText"/>
        <w:tabs>
          <w:tab w:pos="7723" w:val="left" w:leader="none"/>
        </w:tabs>
        <w:ind w:left="331"/>
      </w:pPr>
      <w:r>
        <w:rPr/>
        <w:t>本合</w:t>
      </w:r>
      <w:r>
        <w:rPr>
          <w:spacing w:val="-3"/>
        </w:rPr>
        <w:t>同</w:t>
      </w:r>
      <w:r>
        <w:rPr/>
        <w:t>所</w:t>
      </w:r>
      <w:r>
        <w:rPr>
          <w:spacing w:val="-3"/>
        </w:rPr>
        <w:t>提</w:t>
      </w:r>
      <w:r>
        <w:rPr/>
        <w:t>供</w:t>
      </w:r>
      <w:r>
        <w:rPr>
          <w:spacing w:val="-3"/>
        </w:rPr>
        <w:t>的</w:t>
      </w:r>
      <w:r>
        <w:rPr/>
        <w:t>保</w:t>
      </w:r>
      <w:r>
        <w:rPr>
          <w:spacing w:val="-3"/>
        </w:rPr>
        <w:t>障</w:t>
      </w:r>
      <w:r>
        <w:rPr>
          <w:spacing w:val="-3"/>
          <w:u w:val="single"/>
        </w:rPr>
        <w:t> </w:t>
        <w:tab/>
      </w:r>
      <w:r>
        <w:rPr/>
        <w:t>第</w:t>
      </w:r>
      <w:r>
        <w:rPr>
          <w:spacing w:val="-52"/>
        </w:rPr>
        <w:t> </w:t>
      </w:r>
      <w:r>
        <w:rPr/>
        <w:t>9</w:t>
      </w:r>
      <w:r>
        <w:rPr>
          <w:spacing w:val="-52"/>
        </w:rPr>
        <w:t> </w:t>
      </w:r>
      <w:r>
        <w:rPr/>
        <w:t>条</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
        <w:rPr>
          <w:sz w:val="26"/>
        </w:rPr>
      </w:pPr>
    </w:p>
    <w:p>
      <w:pPr>
        <w:spacing w:before="0"/>
        <w:ind w:left="2767" w:right="0" w:firstLine="0"/>
        <w:jc w:val="left"/>
        <w:rPr>
          <w:rFonts w:ascii="Microsoft JhengHei" w:eastAsia="Microsoft JhengHei" w:hint="eastAsia"/>
          <w:b/>
          <w:sz w:val="30"/>
        </w:rPr>
      </w:pPr>
      <w:r>
        <w:rPr>
          <w:rFonts w:ascii="Microsoft JhengHei" w:eastAsia="Microsoft JhengHei" w:hint="eastAsia"/>
          <w:b/>
          <w:sz w:val="30"/>
        </w:rPr>
        <w:t>您应该特别注意的事项</w:t>
      </w:r>
    </w:p>
    <w:p>
      <w:pPr>
        <w:pStyle w:val="BodyText"/>
        <w:rPr>
          <w:rFonts w:ascii="Microsoft JhengHei"/>
          <w:b/>
          <w:sz w:val="38"/>
        </w:rPr>
      </w:pPr>
    </w:p>
    <w:p>
      <w:pPr>
        <w:pStyle w:val="BodyText"/>
        <w:tabs>
          <w:tab w:pos="7694" w:val="left" w:leader="none"/>
        </w:tabs>
        <w:spacing w:line="408" w:lineRule="auto"/>
        <w:ind w:left="331" w:right="209"/>
      </w:pPr>
      <w:r>
        <w:rPr/>
        <w:t>在某</w:t>
      </w:r>
      <w:r>
        <w:rPr>
          <w:spacing w:val="-3"/>
        </w:rPr>
        <w:t>些</w:t>
      </w:r>
      <w:r>
        <w:rPr/>
        <w:t>情</w:t>
      </w:r>
      <w:r>
        <w:rPr>
          <w:spacing w:val="-3"/>
        </w:rPr>
        <w:t>况下</w:t>
      </w:r>
      <w:r>
        <w:rPr>
          <w:spacing w:val="-20"/>
        </w:rPr>
        <w:t>，</w:t>
      </w:r>
      <w:r>
        <w:rPr>
          <w:spacing w:val="-3"/>
        </w:rPr>
        <w:t>我</w:t>
      </w:r>
      <w:r>
        <w:rPr/>
        <w:t>们</w:t>
      </w:r>
      <w:r>
        <w:rPr>
          <w:spacing w:val="-3"/>
        </w:rPr>
        <w:t>不承</w:t>
      </w:r>
      <w:r>
        <w:rPr/>
        <w:t>担保</w:t>
      </w:r>
      <w:r>
        <w:rPr>
          <w:spacing w:val="-3"/>
        </w:rPr>
        <w:t>险</w:t>
      </w:r>
      <w:r>
        <w:rPr/>
        <w:t>责</w:t>
      </w:r>
      <w:r>
        <w:rPr>
          <w:spacing w:val="-3"/>
        </w:rPr>
        <w:t>任</w:t>
      </w:r>
      <w:r>
        <w:rPr>
          <w:spacing w:val="-3"/>
          <w:u w:val="single"/>
        </w:rPr>
        <w:t> </w:t>
        <w:tab/>
      </w:r>
      <w:r>
        <w:rPr/>
        <w:t>第</w:t>
      </w:r>
      <w:r>
        <w:rPr>
          <w:spacing w:val="-54"/>
        </w:rPr>
        <w:t> </w:t>
      </w:r>
      <w:r>
        <w:rPr/>
        <w:t>10</w:t>
      </w:r>
      <w:r>
        <w:rPr>
          <w:spacing w:val="-54"/>
        </w:rPr>
        <w:t> </w:t>
      </w:r>
      <w:r>
        <w:rPr/>
        <w:t>条您应</w:t>
      </w:r>
      <w:r>
        <w:rPr>
          <w:spacing w:val="-3"/>
        </w:rPr>
        <w:t>当</w:t>
      </w:r>
      <w:r>
        <w:rPr/>
        <w:t>如</w:t>
      </w:r>
      <w:r>
        <w:rPr>
          <w:spacing w:val="-3"/>
        </w:rPr>
        <w:t>何</w:t>
      </w:r>
      <w:r>
        <w:rPr/>
        <w:t>向</w:t>
      </w:r>
      <w:r>
        <w:rPr>
          <w:spacing w:val="-3"/>
        </w:rPr>
        <w:t>我</w:t>
      </w:r>
      <w:r>
        <w:rPr/>
        <w:t>们</w:t>
      </w:r>
      <w:r>
        <w:rPr>
          <w:spacing w:val="-3"/>
        </w:rPr>
        <w:t>申</w:t>
      </w:r>
      <w:r>
        <w:rPr/>
        <w:t>请</w:t>
      </w:r>
      <w:r>
        <w:rPr>
          <w:spacing w:val="-3"/>
        </w:rPr>
        <w:t>保</w:t>
      </w:r>
      <w:r>
        <w:rPr/>
        <w:t>险</w:t>
      </w:r>
      <w:r>
        <w:rPr>
          <w:spacing w:val="-3"/>
        </w:rPr>
        <w:t>金</w:t>
      </w:r>
      <w:r>
        <w:rPr>
          <w:spacing w:val="-3"/>
          <w:u w:val="single"/>
        </w:rPr>
        <w:tab/>
      </w:r>
      <w:r>
        <w:rPr/>
        <w:t>第</w:t>
      </w:r>
      <w:r>
        <w:rPr>
          <w:spacing w:val="-65"/>
        </w:rPr>
        <w:t> </w:t>
      </w:r>
      <w:r>
        <w:rPr/>
        <w:t>12</w:t>
      </w:r>
      <w:r>
        <w:rPr>
          <w:spacing w:val="-67"/>
        </w:rPr>
        <w:t> </w:t>
      </w:r>
      <w:r>
        <w:rPr/>
        <w:t>条</w:t>
      </w:r>
    </w:p>
    <w:p>
      <w:pPr>
        <w:spacing w:after="0" w:line="408" w:lineRule="auto"/>
        <w:sectPr>
          <w:pgSz w:w="11900" w:h="16840"/>
          <w:pgMar w:header="0" w:footer="1007" w:top="1480" w:bottom="1200" w:left="1680" w:right="1580"/>
        </w:sectPr>
      </w:pPr>
    </w:p>
    <w:p>
      <w:pPr>
        <w:tabs>
          <w:tab w:pos="663" w:val="left" w:leader="none"/>
        </w:tabs>
        <w:spacing w:line="562" w:lineRule="exact" w:before="0"/>
        <w:ind w:left="1" w:right="0" w:firstLine="0"/>
        <w:jc w:val="center"/>
        <w:rPr>
          <w:rFonts w:ascii="Microsoft JhengHei" w:eastAsia="Microsoft JhengHei" w:hint="eastAsia"/>
          <w:b/>
          <w:sz w:val="44"/>
        </w:rPr>
      </w:pPr>
      <w:r>
        <w:rPr>
          <w:rFonts w:ascii="Microsoft JhengHei" w:eastAsia="Microsoft JhengHei" w:hint="eastAsia"/>
          <w:b/>
          <w:sz w:val="44"/>
        </w:rPr>
        <w:t>目</w:t>
        <w:tab/>
        <w:t>录</w:t>
      </w:r>
    </w:p>
    <w:sdt>
      <w:sdtPr>
        <w:docPartObj>
          <w:docPartGallery w:val="Table of Contents"/>
          <w:docPartUnique/>
        </w:docPartObj>
      </w:sdtPr>
      <w:sdtEndPr/>
      <w:sdtContent>
        <w:p>
          <w:pPr>
            <w:pStyle w:val="TOC1"/>
            <w:tabs>
              <w:tab w:pos="8415" w:val="right" w:leader="dot"/>
            </w:tabs>
            <w:spacing w:before="92"/>
            <w:rPr>
              <w:rFonts w:ascii="Times New Roman" w:eastAsia="Times New Roman"/>
            </w:rPr>
          </w:pPr>
          <w:hyperlink w:history="true" w:anchor="_TOC_250018">
            <w:r>
              <w:rPr/>
              <w:t>一、总则</w:t>
              <w:tab/>
            </w:r>
            <w:r>
              <w:rPr>
                <w:rFonts w:ascii="Times New Roman" w:eastAsia="Times New Roman"/>
              </w:rPr>
              <w:t>4</w:t>
            </w:r>
          </w:hyperlink>
        </w:p>
        <w:p>
          <w:pPr>
            <w:pStyle w:val="TOC2"/>
            <w:tabs>
              <w:tab w:pos="8415" w:val="right" w:leader="dot"/>
            </w:tabs>
            <w:spacing w:before="147"/>
            <w:rPr>
              <w:rFonts w:ascii="Times New Roman" w:hAnsi="Times New Roman" w:eastAsia="Times New Roman"/>
            </w:rPr>
          </w:pPr>
          <w:hyperlink w:history="true" w:anchor="_TOC_250017">
            <w:r>
              <w:rPr/>
              <w:t>1.关于瑞泰附加健康之选重大疾病保险合同（以下简称“本附加合同</w:t>
            </w:r>
            <w:r>
              <w:rPr>
                <w:spacing w:val="-101"/>
              </w:rPr>
              <w:t>”）</w:t>
              <w:tab/>
            </w:r>
            <w:r>
              <w:rPr>
                <w:rFonts w:ascii="Times New Roman" w:hAnsi="Times New Roman" w:eastAsia="Times New Roman"/>
              </w:rPr>
              <w:t>4</w:t>
            </w:r>
          </w:hyperlink>
        </w:p>
        <w:p>
          <w:pPr>
            <w:pStyle w:val="TOC2"/>
            <w:tabs>
              <w:tab w:pos="8415" w:val="right" w:leader="dot"/>
            </w:tabs>
            <w:rPr>
              <w:rFonts w:ascii="Times New Roman" w:eastAsia="Times New Roman"/>
            </w:rPr>
          </w:pPr>
          <w:hyperlink w:history="true" w:anchor="_TOC_250016">
            <w:r>
              <w:rPr/>
              <w:t>2.本附加合同的构成</w:t>
              <w:tab/>
            </w:r>
            <w:r>
              <w:rPr>
                <w:rFonts w:ascii="Times New Roman" w:eastAsia="Times New Roman"/>
              </w:rPr>
              <w:t>4</w:t>
            </w:r>
          </w:hyperlink>
        </w:p>
        <w:p>
          <w:pPr>
            <w:pStyle w:val="TOC2"/>
            <w:tabs>
              <w:tab w:pos="8415" w:val="right" w:leader="dot"/>
            </w:tabs>
            <w:rPr>
              <w:rFonts w:ascii="Times New Roman" w:eastAsia="Times New Roman"/>
            </w:rPr>
          </w:pPr>
          <w:hyperlink w:history="true" w:anchor="_TOC_250015">
            <w:r>
              <w:rPr/>
              <w:t>3.投保条件</w:t>
              <w:tab/>
            </w:r>
            <w:r>
              <w:rPr>
                <w:rFonts w:ascii="Times New Roman" w:eastAsia="Times New Roman"/>
              </w:rPr>
              <w:t>4</w:t>
            </w:r>
          </w:hyperlink>
        </w:p>
        <w:p>
          <w:pPr>
            <w:pStyle w:val="TOC2"/>
            <w:tabs>
              <w:tab w:pos="8415" w:val="right" w:leader="dot"/>
            </w:tabs>
            <w:rPr>
              <w:rFonts w:ascii="Times New Roman" w:eastAsia="Times New Roman"/>
            </w:rPr>
          </w:pPr>
          <w:hyperlink w:history="true" w:anchor="_TOC_250014">
            <w:r>
              <w:rPr/>
              <w:t>4.受益人</w:t>
              <w:tab/>
            </w:r>
            <w:r>
              <w:rPr>
                <w:rFonts w:ascii="Times New Roman" w:eastAsia="Times New Roman"/>
              </w:rPr>
              <w:t>4</w:t>
            </w:r>
          </w:hyperlink>
        </w:p>
        <w:p>
          <w:pPr>
            <w:pStyle w:val="TOC2"/>
            <w:tabs>
              <w:tab w:pos="8415" w:val="right" w:leader="dot"/>
            </w:tabs>
            <w:rPr>
              <w:rFonts w:ascii="Times New Roman" w:eastAsia="Times New Roman"/>
            </w:rPr>
          </w:pPr>
          <w:hyperlink w:history="true" w:anchor="_TOC_250013">
            <w:r>
              <w:rPr/>
              <w:t>5.保险责任的开始</w:t>
              <w:tab/>
            </w:r>
            <w:r>
              <w:rPr>
                <w:rFonts w:ascii="Times New Roman" w:eastAsia="Times New Roman"/>
              </w:rPr>
              <w:t>5</w:t>
            </w:r>
          </w:hyperlink>
        </w:p>
        <w:p>
          <w:pPr>
            <w:pStyle w:val="TOC2"/>
            <w:tabs>
              <w:tab w:pos="8415" w:val="right" w:leader="dot"/>
            </w:tabs>
            <w:rPr>
              <w:rFonts w:ascii="Times New Roman" w:eastAsia="Times New Roman"/>
            </w:rPr>
          </w:pPr>
          <w:hyperlink w:history="true" w:anchor="_TOC_250012">
            <w:r>
              <w:rPr/>
              <w:t>6.本附加保险合同的终止</w:t>
              <w:tab/>
            </w:r>
            <w:r>
              <w:rPr>
                <w:rFonts w:ascii="Times New Roman" w:eastAsia="Times New Roman"/>
              </w:rPr>
              <w:t>5</w:t>
            </w:r>
          </w:hyperlink>
        </w:p>
        <w:p>
          <w:pPr>
            <w:pStyle w:val="TOC1"/>
            <w:tabs>
              <w:tab w:pos="8415" w:val="right" w:leader="dot"/>
            </w:tabs>
            <w:rPr>
              <w:rFonts w:ascii="Times New Roman" w:eastAsia="Times New Roman"/>
            </w:rPr>
          </w:pPr>
          <w:hyperlink w:history="true" w:anchor="_TOC_250011">
            <w:r>
              <w:rPr/>
              <w:t>二、保险费的交纳</w:t>
              <w:tab/>
            </w:r>
            <w:r>
              <w:rPr>
                <w:rFonts w:ascii="Times New Roman" w:eastAsia="Times New Roman"/>
              </w:rPr>
              <w:t>5</w:t>
            </w:r>
          </w:hyperlink>
        </w:p>
        <w:p>
          <w:pPr>
            <w:pStyle w:val="TOC2"/>
            <w:tabs>
              <w:tab w:pos="8415" w:val="right" w:leader="dot"/>
            </w:tabs>
            <w:spacing w:before="147"/>
            <w:rPr>
              <w:rFonts w:ascii="Times New Roman" w:eastAsia="Times New Roman"/>
            </w:rPr>
          </w:pPr>
          <w:hyperlink w:history="true" w:anchor="_TOC_250010">
            <w:r>
              <w:rPr/>
              <w:t>7．保险费的交纳</w:t>
              <w:tab/>
            </w:r>
            <w:r>
              <w:rPr>
                <w:rFonts w:ascii="Times New Roman" w:eastAsia="Times New Roman"/>
              </w:rPr>
              <w:t>5</w:t>
            </w:r>
          </w:hyperlink>
        </w:p>
        <w:p>
          <w:pPr>
            <w:pStyle w:val="TOC2"/>
            <w:tabs>
              <w:tab w:pos="8415" w:val="right" w:leader="dot"/>
            </w:tabs>
            <w:rPr>
              <w:rFonts w:ascii="Times New Roman" w:eastAsia="Times New Roman"/>
            </w:rPr>
          </w:pPr>
          <w:hyperlink w:history="true" w:anchor="_TOC_250009">
            <w:r>
              <w:rPr/>
              <w:t>8．保险费的调整</w:t>
              <w:tab/>
            </w:r>
            <w:r>
              <w:rPr>
                <w:rFonts w:ascii="Times New Roman" w:eastAsia="Times New Roman"/>
              </w:rPr>
              <w:t>6</w:t>
            </w:r>
          </w:hyperlink>
        </w:p>
        <w:p>
          <w:pPr>
            <w:pStyle w:val="TOC1"/>
            <w:tabs>
              <w:tab w:pos="8415" w:val="right" w:leader="dot"/>
            </w:tabs>
            <w:rPr>
              <w:rFonts w:ascii="Times New Roman" w:eastAsia="Times New Roman"/>
            </w:rPr>
          </w:pPr>
          <w:hyperlink w:history="true" w:anchor="_TOC_250008">
            <w:r>
              <w:rPr/>
              <w:t>三、我们提供的保障</w:t>
              <w:tab/>
            </w:r>
            <w:r>
              <w:rPr>
                <w:rFonts w:ascii="Times New Roman" w:eastAsia="Times New Roman"/>
              </w:rPr>
              <w:t>6</w:t>
            </w:r>
          </w:hyperlink>
        </w:p>
        <w:p>
          <w:pPr>
            <w:pStyle w:val="TOC2"/>
            <w:tabs>
              <w:tab w:pos="8415" w:val="right" w:leader="dot"/>
            </w:tabs>
            <w:spacing w:before="147"/>
            <w:rPr>
              <w:rFonts w:ascii="Times New Roman" w:eastAsia="Times New Roman"/>
            </w:rPr>
          </w:pPr>
          <w:hyperlink w:history="true" w:anchor="_TOC_250007">
            <w:r>
              <w:rPr/>
              <w:t>9.保险责任</w:t>
              <w:tab/>
            </w:r>
            <w:r>
              <w:rPr>
                <w:rFonts w:ascii="Times New Roman" w:eastAsia="Times New Roman"/>
              </w:rPr>
              <w:t>6</w:t>
            </w:r>
          </w:hyperlink>
        </w:p>
        <w:p>
          <w:pPr>
            <w:pStyle w:val="TOC2"/>
            <w:tabs>
              <w:tab w:pos="8415" w:val="right" w:leader="dot"/>
            </w:tabs>
            <w:rPr>
              <w:rFonts w:ascii="Times New Roman" w:eastAsia="Times New Roman"/>
            </w:rPr>
          </w:pPr>
          <w:hyperlink w:history="true" w:anchor="_TOC_250006">
            <w:r>
              <w:rPr/>
              <w:t>10.</w:t>
            </w:r>
            <w:r>
              <w:rPr>
                <w:spacing w:val="-20"/>
              </w:rPr>
              <w:t> </w:t>
            </w:r>
            <w:r>
              <w:rPr/>
              <w:t>责任免除</w:t>
              <w:tab/>
            </w:r>
            <w:r>
              <w:rPr>
                <w:rFonts w:ascii="Times New Roman" w:eastAsia="Times New Roman"/>
              </w:rPr>
              <w:t>6</w:t>
            </w:r>
          </w:hyperlink>
        </w:p>
        <w:p>
          <w:pPr>
            <w:pStyle w:val="TOC2"/>
            <w:tabs>
              <w:tab w:pos="8415" w:val="right" w:leader="dot"/>
            </w:tabs>
            <w:rPr>
              <w:rFonts w:ascii="Times New Roman" w:eastAsia="Times New Roman"/>
            </w:rPr>
          </w:pPr>
          <w:hyperlink w:history="true" w:anchor="_TOC_250005">
            <w:r>
              <w:rPr/>
              <w:t>11.保险金额</w:t>
              <w:tab/>
            </w:r>
            <w:r>
              <w:rPr>
                <w:rFonts w:ascii="Times New Roman" w:eastAsia="Times New Roman"/>
              </w:rPr>
              <w:t>7</w:t>
            </w:r>
          </w:hyperlink>
        </w:p>
        <w:p>
          <w:pPr>
            <w:pStyle w:val="TOC1"/>
            <w:tabs>
              <w:tab w:pos="8415" w:val="right" w:leader="dot"/>
            </w:tabs>
            <w:rPr>
              <w:rFonts w:ascii="Times New Roman" w:eastAsia="Times New Roman"/>
            </w:rPr>
          </w:pPr>
          <w:hyperlink w:history="true" w:anchor="_TOC_250004">
            <w:r>
              <w:rPr/>
              <w:t>四、如何申请给付保险金</w:t>
              <w:tab/>
            </w:r>
            <w:r>
              <w:rPr>
                <w:rFonts w:ascii="Times New Roman" w:eastAsia="Times New Roman"/>
              </w:rPr>
              <w:t>7</w:t>
            </w:r>
          </w:hyperlink>
        </w:p>
        <w:p>
          <w:pPr>
            <w:pStyle w:val="TOC2"/>
            <w:tabs>
              <w:tab w:pos="8415" w:val="right" w:leader="dot"/>
            </w:tabs>
            <w:spacing w:before="147"/>
            <w:rPr>
              <w:rFonts w:ascii="Times New Roman" w:eastAsia="Times New Roman"/>
            </w:rPr>
          </w:pPr>
          <w:hyperlink w:history="true" w:anchor="_TOC_250003">
            <w:r>
              <w:rPr/>
              <w:t>12．保险金的申请</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02">
            <w:r>
              <w:rPr/>
              <w:t>13．保险金的给付</w:t>
              <w:tab/>
            </w:r>
            <w:r>
              <w:rPr>
                <w:rFonts w:ascii="Times New Roman" w:eastAsia="Times New Roman"/>
              </w:rPr>
              <w:t>8</w:t>
            </w:r>
          </w:hyperlink>
        </w:p>
        <w:p>
          <w:pPr>
            <w:pStyle w:val="TOC2"/>
            <w:tabs>
              <w:tab w:pos="8415" w:val="right" w:leader="dot"/>
            </w:tabs>
            <w:rPr>
              <w:rFonts w:ascii="Times New Roman" w:eastAsia="Times New Roman"/>
            </w:rPr>
          </w:pPr>
          <w:hyperlink w:history="true" w:anchor="_TOC_250001">
            <w:r>
              <w:rPr/>
              <w:t>14．诉讼时效</w:t>
              <w:tab/>
            </w:r>
            <w:r>
              <w:rPr>
                <w:rFonts w:ascii="Times New Roman" w:eastAsia="Times New Roman"/>
              </w:rPr>
              <w:t>8</w:t>
            </w:r>
          </w:hyperlink>
        </w:p>
        <w:p>
          <w:pPr>
            <w:pStyle w:val="TOC1"/>
            <w:tabs>
              <w:tab w:pos="8415" w:val="right" w:leader="dot"/>
            </w:tabs>
            <w:rPr>
              <w:rFonts w:ascii="Times New Roman" w:eastAsia="Times New Roman"/>
            </w:rPr>
          </w:pPr>
          <w:hyperlink w:history="true" w:anchor="_TOC_250000">
            <w:r>
              <w:rPr/>
              <w:t>五、释义</w:t>
              <w:tab/>
            </w:r>
            <w:r>
              <w:rPr>
                <w:rFonts w:ascii="Times New Roman" w:eastAsia="Times New Roman"/>
              </w:rPr>
              <w:t>8</w:t>
            </w:r>
          </w:hyperlink>
        </w:p>
      </w:sdtContent>
    </w:sdt>
    <w:p>
      <w:pPr>
        <w:spacing w:after="0"/>
        <w:rPr>
          <w:rFonts w:ascii="Times New Roman" w:eastAsia="Times New Roman"/>
        </w:rPr>
        <w:sectPr>
          <w:pgSz w:w="11900" w:h="16840"/>
          <w:pgMar w:header="0" w:footer="1007" w:top="1460" w:bottom="1200" w:left="1680" w:right="1680"/>
        </w:sectPr>
      </w:pPr>
    </w:p>
    <w:p>
      <w:pPr>
        <w:spacing w:line="386" w:lineRule="exact" w:before="0"/>
        <w:ind w:left="1742" w:right="0" w:firstLine="0"/>
        <w:jc w:val="left"/>
        <w:rPr>
          <w:rFonts w:ascii="Microsoft JhengHei" w:eastAsia="Microsoft JhengHei" w:hint="eastAsia"/>
          <w:b/>
          <w:sz w:val="28"/>
        </w:rPr>
      </w:pPr>
      <w:r>
        <w:rPr>
          <w:rFonts w:ascii="Microsoft JhengHei" w:eastAsia="Microsoft JhengHei" w:hint="eastAsia"/>
          <w:b/>
          <w:sz w:val="28"/>
        </w:rPr>
        <w:t>瑞泰附加健康之选重大疾病保险合同条款</w:t>
      </w:r>
    </w:p>
    <w:p>
      <w:pPr>
        <w:pStyle w:val="BodyText"/>
        <w:spacing w:before="127"/>
        <w:ind w:left="1279"/>
      </w:pPr>
      <w:r>
        <w:rPr/>
        <w:t>（本附加合同条款 2011 年 6 月经中国保险监督管理委员会备案）</w:t>
      </w:r>
    </w:p>
    <w:p>
      <w:pPr>
        <w:pStyle w:val="BodyText"/>
        <w:rPr>
          <w:sz w:val="20"/>
        </w:rPr>
      </w:pPr>
    </w:p>
    <w:p>
      <w:pPr>
        <w:pStyle w:val="BodyText"/>
        <w:rPr>
          <w:sz w:val="20"/>
        </w:rPr>
      </w:pPr>
    </w:p>
    <w:p>
      <w:pPr>
        <w:pStyle w:val="BodyText"/>
        <w:spacing w:before="6"/>
        <w:rPr>
          <w:sz w:val="14"/>
        </w:rPr>
      </w:pPr>
    </w:p>
    <w:p>
      <w:pPr>
        <w:pStyle w:val="Heading1"/>
        <w:spacing w:before="1"/>
        <w:ind w:left="1180" w:right="1172"/>
      </w:pPr>
      <w:bookmarkStart w:name="_TOC_250018" w:id="1"/>
      <w:bookmarkEnd w:id="1"/>
      <w:r>
        <w:rPr/>
        <w:t>一、总则</w:t>
      </w:r>
    </w:p>
    <w:p>
      <w:pPr>
        <w:pStyle w:val="BodyText"/>
        <w:spacing w:before="3"/>
        <w:rPr>
          <w:rFonts w:ascii="Microsoft JhengHei"/>
          <w:b/>
          <w:sz w:val="29"/>
        </w:rPr>
      </w:pPr>
    </w:p>
    <w:p>
      <w:pPr>
        <w:pStyle w:val="Heading2"/>
        <w:spacing w:line="307" w:lineRule="auto"/>
        <w:ind w:left="398" w:right="106" w:hanging="279"/>
      </w:pPr>
      <w:bookmarkStart w:name="_TOC_250017" w:id="2"/>
      <w:r>
        <w:rPr>
          <w:spacing w:val="1"/>
        </w:rPr>
        <w:t>1</w:t>
      </w:r>
      <w:r>
        <w:rPr>
          <w:spacing w:val="2"/>
        </w:rPr>
        <w:t>.关于瑞泰附加健康之选重大疾病保险合同（以下简称“本附加合</w:t>
      </w:r>
      <w:r>
        <w:rPr/>
        <w:t>同</w:t>
      </w:r>
      <w:bookmarkEnd w:id="2"/>
      <w:r>
        <w:rPr>
          <w:spacing w:val="-142"/>
        </w:rPr>
        <w:t>”）</w:t>
      </w:r>
    </w:p>
    <w:p>
      <w:pPr>
        <w:pStyle w:val="Heading4"/>
        <w:spacing w:line="357" w:lineRule="auto" w:before="74"/>
        <w:ind w:left="119" w:right="111" w:firstLine="480"/>
        <w:jc w:val="both"/>
      </w:pPr>
      <w:r>
        <w:rPr>
          <w:spacing w:val="-4"/>
        </w:rPr>
        <w:t>瑞泰附加健康之选重大疾病保险合同可附加于我们指定的主保险合同</w:t>
      </w:r>
      <w:r>
        <w:rPr/>
        <w:t>（以下</w:t>
      </w:r>
      <w:r>
        <w:rPr>
          <w:spacing w:val="-17"/>
        </w:rPr>
        <w:t>简称“主合同”</w:t>
      </w:r>
      <w:r>
        <w:rPr/>
        <w:t>）上，是您（指投保人）和我们之间签订的约定保险权利义务关系的协议。本附加合同提供的是重大疾病保险保障。</w:t>
      </w:r>
    </w:p>
    <w:p>
      <w:pPr>
        <w:pStyle w:val="Heading4"/>
        <w:spacing w:before="36"/>
        <w:ind w:left="600"/>
      </w:pPr>
      <w:r>
        <w:rPr/>
        <w:t>除本附加合同另有约定外，主合同条款适用于本附加合同。若主合同的条款</w:t>
      </w:r>
    </w:p>
    <w:p>
      <w:pPr>
        <w:pStyle w:val="Heading4"/>
        <w:spacing w:before="154"/>
      </w:pPr>
      <w:r>
        <w:rPr/>
        <w:t>与本附加合同冲突时，以本附加合同为准。</w:t>
      </w:r>
    </w:p>
    <w:p>
      <w:pPr>
        <w:pStyle w:val="BodyText"/>
        <w:rPr>
          <w:sz w:val="24"/>
        </w:rPr>
      </w:pPr>
    </w:p>
    <w:p>
      <w:pPr>
        <w:pStyle w:val="BodyText"/>
        <w:spacing w:before="3"/>
        <w:rPr>
          <w:sz w:val="32"/>
        </w:rPr>
      </w:pPr>
    </w:p>
    <w:p>
      <w:pPr>
        <w:pStyle w:val="Heading2"/>
      </w:pPr>
      <w:bookmarkStart w:name="_TOC_250016" w:id="3"/>
      <w:bookmarkEnd w:id="3"/>
      <w:r>
        <w:rPr/>
        <w:t>2.本附加合同的构成</w:t>
      </w:r>
    </w:p>
    <w:p>
      <w:pPr>
        <w:pStyle w:val="Heading4"/>
        <w:spacing w:line="357" w:lineRule="auto" w:before="178"/>
        <w:ind w:right="115" w:firstLine="480"/>
        <w:jc w:val="both"/>
      </w:pPr>
      <w:r>
        <w:rPr>
          <w:spacing w:val="-9"/>
        </w:rPr>
        <w:t>主合同所包含的条款、投保书、投保提示及与本附加合同有关的其他投保文</w:t>
      </w:r>
      <w:r>
        <w:rPr>
          <w:spacing w:val="-10"/>
        </w:rPr>
        <w:t>件、合法有效的声明、批注和其他书面协议，凡与本附加合同相关者，均为本附加合同的构成部分。</w:t>
      </w:r>
    </w:p>
    <w:p>
      <w:pPr>
        <w:pStyle w:val="BodyText"/>
        <w:rPr>
          <w:sz w:val="24"/>
        </w:rPr>
      </w:pPr>
    </w:p>
    <w:p>
      <w:pPr>
        <w:pStyle w:val="BodyText"/>
        <w:spacing w:before="2"/>
        <w:rPr>
          <w:sz w:val="23"/>
        </w:rPr>
      </w:pPr>
    </w:p>
    <w:p>
      <w:pPr>
        <w:pStyle w:val="Heading2"/>
      </w:pPr>
      <w:bookmarkStart w:name="_TOC_250015" w:id="4"/>
      <w:bookmarkEnd w:id="4"/>
      <w:r>
        <w:rPr/>
        <w:t>3.投保条件</w:t>
      </w:r>
    </w:p>
    <w:p>
      <w:pPr>
        <w:pStyle w:val="Heading3"/>
        <w:numPr>
          <w:ilvl w:val="1"/>
          <w:numId w:val="1"/>
        </w:numPr>
        <w:tabs>
          <w:tab w:pos="545" w:val="left" w:leader="none"/>
        </w:tabs>
        <w:spacing w:line="240" w:lineRule="auto" w:before="102" w:after="0"/>
        <w:ind w:left="544" w:right="0" w:hanging="424"/>
        <w:jc w:val="left"/>
      </w:pPr>
      <w:r>
        <w:rPr/>
        <w:t>投保人</w:t>
      </w:r>
    </w:p>
    <w:p>
      <w:pPr>
        <w:pStyle w:val="Heading4"/>
        <w:spacing w:before="126"/>
        <w:ind w:left="600"/>
      </w:pPr>
      <w:r>
        <w:rPr/>
        <w:t>本附加合同的投保人应与主合同的投保人为同一人。</w:t>
      </w:r>
    </w:p>
    <w:p>
      <w:pPr>
        <w:pStyle w:val="Heading3"/>
        <w:numPr>
          <w:ilvl w:val="1"/>
          <w:numId w:val="1"/>
        </w:numPr>
        <w:tabs>
          <w:tab w:pos="545" w:val="left" w:leader="none"/>
        </w:tabs>
        <w:spacing w:line="240" w:lineRule="auto" w:before="77" w:after="0"/>
        <w:ind w:left="544" w:right="0" w:hanging="424"/>
        <w:jc w:val="left"/>
      </w:pPr>
      <w:r>
        <w:rPr/>
        <w:t>被保险人</w:t>
      </w:r>
    </w:p>
    <w:p>
      <w:pPr>
        <w:pStyle w:val="Heading4"/>
        <w:spacing w:before="126"/>
        <w:ind w:left="600"/>
      </w:pPr>
      <w:r>
        <w:rPr/>
        <w:t>本附加合同的被保险人应为投保人本人。</w:t>
      </w:r>
    </w:p>
    <w:p>
      <w:pPr>
        <w:pStyle w:val="BodyText"/>
        <w:rPr>
          <w:sz w:val="24"/>
        </w:rPr>
      </w:pPr>
    </w:p>
    <w:p>
      <w:pPr>
        <w:pStyle w:val="BodyText"/>
        <w:spacing w:before="3"/>
        <w:rPr>
          <w:sz w:val="20"/>
        </w:rPr>
      </w:pPr>
    </w:p>
    <w:p>
      <w:pPr>
        <w:pStyle w:val="Heading2"/>
      </w:pPr>
      <w:bookmarkStart w:name="_TOC_250014" w:id="5"/>
      <w:bookmarkEnd w:id="5"/>
      <w:r>
        <w:rPr/>
        <w:t>4.受益人</w:t>
      </w:r>
    </w:p>
    <w:p>
      <w:pPr>
        <w:pStyle w:val="Heading4"/>
        <w:spacing w:before="178"/>
        <w:ind w:left="720"/>
      </w:pPr>
      <w:r>
        <w:rPr/>
        <w:t>除另有约定外，本附加合同的受益人应为被保险人本人。</w:t>
      </w:r>
    </w:p>
    <w:p>
      <w:pPr>
        <w:spacing w:after="0"/>
        <w:sectPr>
          <w:pgSz w:w="11900" w:h="16840"/>
          <w:pgMar w:header="0" w:footer="1007" w:top="1540" w:bottom="1200" w:left="1680" w:right="1680"/>
        </w:sectPr>
      </w:pPr>
    </w:p>
    <w:p>
      <w:pPr>
        <w:pStyle w:val="Heading2"/>
        <w:spacing w:line="386" w:lineRule="exact"/>
      </w:pPr>
      <w:bookmarkStart w:name="_TOC_250013" w:id="6"/>
      <w:bookmarkEnd w:id="6"/>
      <w:r>
        <w:rPr/>
        <w:t>5.保险责任的开始</w:t>
      </w:r>
    </w:p>
    <w:p>
      <w:pPr>
        <w:pStyle w:val="Heading4"/>
        <w:spacing w:line="357" w:lineRule="auto" w:before="179"/>
        <w:ind w:left="600" w:right="119"/>
      </w:pPr>
      <w:r>
        <w:rPr/>
        <w:t>我们在收取首期保险费并同意承保后，将签发保险单或批注作为保险凭证。本附加合同必须与主合同同时投保，即本附加合同的生效日与主合同相同。</w:t>
      </w:r>
    </w:p>
    <w:p>
      <w:pPr>
        <w:pStyle w:val="Heading4"/>
        <w:spacing w:before="36"/>
      </w:pPr>
      <w:r>
        <w:rPr/>
        <w:t>我们自本附加合同生效日零时起承担保险责任。</w:t>
      </w:r>
    </w:p>
    <w:p>
      <w:pPr>
        <w:pStyle w:val="Heading4"/>
        <w:spacing w:line="357" w:lineRule="auto"/>
        <w:ind w:right="211" w:firstLine="480"/>
      </w:pPr>
      <w:r>
        <w:rPr>
          <w:spacing w:val="-6"/>
        </w:rPr>
        <w:t>本附加合同的保单周年日、保单年度、续期期交保险费应交日、合同期满日均以保险单中载明的合同生效日期为准计算。</w:t>
      </w:r>
    </w:p>
    <w:p>
      <w:pPr>
        <w:pStyle w:val="BodyText"/>
        <w:spacing w:before="3"/>
        <w:rPr>
          <w:sz w:val="35"/>
        </w:rPr>
      </w:pPr>
    </w:p>
    <w:p>
      <w:pPr>
        <w:pStyle w:val="Heading2"/>
      </w:pPr>
      <w:bookmarkStart w:name="_TOC_250012" w:id="7"/>
      <w:bookmarkEnd w:id="7"/>
      <w:r>
        <w:rPr/>
        <w:t>6.本附加保险合同的终止</w:t>
      </w:r>
    </w:p>
    <w:p>
      <w:pPr>
        <w:pStyle w:val="Heading4"/>
        <w:spacing w:before="178"/>
        <w:ind w:left="600"/>
      </w:pPr>
      <w:r>
        <w:rPr/>
        <w:t>发生下列情况之一时，本附加合同终止：</w:t>
      </w:r>
    </w:p>
    <w:p>
      <w:pPr>
        <w:pStyle w:val="Heading4"/>
        <w:ind w:left="600"/>
      </w:pPr>
      <w:r>
        <w:rPr/>
        <w:t>1）本附加合同因其他条款所列情况而效力中止，且未按主合同【合同效力</w:t>
      </w:r>
    </w:p>
    <w:p>
      <w:pPr>
        <w:pStyle w:val="Heading4"/>
        <w:ind w:left="475" w:right="4554"/>
        <w:jc w:val="center"/>
      </w:pPr>
      <w:r>
        <w:rPr/>
        <w:t>的恢复】条款办理复效；</w:t>
      </w:r>
    </w:p>
    <w:p>
      <w:pPr>
        <w:pStyle w:val="Heading4"/>
        <w:ind w:left="600"/>
      </w:pPr>
      <w:r>
        <w:rPr/>
        <w:t>2）被保险人患本附加合同约定的重大疾病；</w:t>
      </w:r>
    </w:p>
    <w:p>
      <w:pPr>
        <w:pStyle w:val="Heading4"/>
        <w:ind w:left="600"/>
      </w:pPr>
      <w:r>
        <w:rPr/>
        <w:t>3）本附加合同保险期间届满；</w:t>
      </w:r>
    </w:p>
    <w:p>
      <w:pPr>
        <w:pStyle w:val="Heading4"/>
        <w:spacing w:line="357" w:lineRule="auto"/>
        <w:ind w:left="960" w:right="211" w:hanging="360"/>
      </w:pPr>
      <w:r>
        <w:rPr>
          <w:spacing w:val="-16"/>
        </w:rPr>
        <w:t>4）</w:t>
      </w:r>
      <w:r>
        <w:rPr>
          <w:spacing w:val="-5"/>
        </w:rPr>
        <w:t>自本附加合同生效之日起 </w:t>
      </w:r>
      <w:r>
        <w:rPr/>
        <w:t>30</w:t>
      </w:r>
      <w:r>
        <w:rPr>
          <w:spacing w:val="-12"/>
        </w:rPr>
        <w:t> 日内，如我们未收到您交纳的保险费，本附加合同自始无效；</w:t>
      </w:r>
    </w:p>
    <w:p>
      <w:pPr>
        <w:pStyle w:val="Heading4"/>
        <w:spacing w:before="35"/>
        <w:ind w:left="600"/>
      </w:pPr>
      <w:r>
        <w:rPr/>
        <w:t>5）您申请解除本附加合同；</w:t>
      </w:r>
    </w:p>
    <w:p>
      <w:pPr>
        <w:pStyle w:val="Heading4"/>
        <w:ind w:left="600"/>
      </w:pPr>
      <w:r>
        <w:rPr/>
        <w:t>6）主合同终止；</w:t>
      </w:r>
    </w:p>
    <w:p>
      <w:pPr>
        <w:pStyle w:val="Heading4"/>
        <w:ind w:left="600"/>
      </w:pPr>
      <w:r>
        <w:rPr/>
        <w:t>7）因本附加合同其他条款所列情况而终止。</w:t>
      </w:r>
    </w:p>
    <w:p>
      <w:pPr>
        <w:pStyle w:val="BodyText"/>
        <w:rPr>
          <w:sz w:val="24"/>
        </w:rPr>
      </w:pPr>
    </w:p>
    <w:p>
      <w:pPr>
        <w:pStyle w:val="BodyText"/>
        <w:rPr>
          <w:sz w:val="24"/>
        </w:rPr>
      </w:pPr>
    </w:p>
    <w:p>
      <w:pPr>
        <w:pStyle w:val="BodyText"/>
        <w:spacing w:before="5"/>
        <w:rPr>
          <w:sz w:val="23"/>
        </w:rPr>
      </w:pPr>
    </w:p>
    <w:p>
      <w:pPr>
        <w:pStyle w:val="Heading1"/>
        <w:ind w:right="144"/>
      </w:pPr>
      <w:bookmarkStart w:name="_TOC_250011" w:id="8"/>
      <w:bookmarkEnd w:id="8"/>
      <w:r>
        <w:rPr/>
        <w:t>二、保险费的交纳</w:t>
      </w:r>
    </w:p>
    <w:p>
      <w:pPr>
        <w:pStyle w:val="BodyText"/>
        <w:spacing w:before="2"/>
        <w:rPr>
          <w:rFonts w:ascii="Microsoft JhengHei"/>
          <w:b/>
          <w:sz w:val="29"/>
        </w:rPr>
      </w:pPr>
    </w:p>
    <w:p>
      <w:pPr>
        <w:pStyle w:val="Heading2"/>
      </w:pPr>
      <w:bookmarkStart w:name="_TOC_250010" w:id="9"/>
      <w:bookmarkEnd w:id="9"/>
      <w:r>
        <w:rPr>
          <w:w w:val="95"/>
        </w:rPr>
        <w:t>7．保险费的交纳</w:t>
      </w:r>
    </w:p>
    <w:p>
      <w:pPr>
        <w:pStyle w:val="Heading4"/>
        <w:spacing w:line="357" w:lineRule="auto" w:before="178"/>
        <w:ind w:right="209" w:firstLine="600"/>
        <w:jc w:val="both"/>
      </w:pPr>
      <w:r>
        <w:rPr/>
        <w:t>本附加合同的交费方式及交费期限应与主合同中您与我们约定的交费方式</w:t>
      </w:r>
      <w:r>
        <w:rPr>
          <w:spacing w:val="-7"/>
        </w:rPr>
        <w:t>和交费期限相同，并在保险合同中载明。如果您选择分期交纳保险费，在交纳首</w:t>
      </w:r>
      <w:r>
        <w:rPr>
          <w:spacing w:val="-12"/>
        </w:rPr>
        <w:t>期保险费以后，您应按照约定在每个续期期交保险费应交日向我们交纳续期保险费。</w:t>
      </w:r>
    </w:p>
    <w:p>
      <w:pPr>
        <w:spacing w:after="0" w:line="357" w:lineRule="auto"/>
        <w:jc w:val="both"/>
        <w:sectPr>
          <w:pgSz w:w="11900" w:h="16840"/>
          <w:pgMar w:header="0" w:footer="1007" w:top="1540" w:bottom="1200" w:left="1680" w:right="1580"/>
        </w:sectPr>
      </w:pPr>
    </w:p>
    <w:p>
      <w:pPr>
        <w:spacing w:line="416" w:lineRule="exact" w:before="0"/>
        <w:ind w:left="120" w:right="0" w:firstLine="0"/>
        <w:jc w:val="left"/>
        <w:rPr>
          <w:rFonts w:ascii="Microsoft JhengHei" w:eastAsia="Microsoft JhengHei" w:hint="eastAsia"/>
          <w:b/>
          <w:sz w:val="30"/>
        </w:rPr>
      </w:pPr>
      <w:bookmarkStart w:name="_TOC_250009" w:id="10"/>
      <w:bookmarkEnd w:id="10"/>
      <w:r>
        <w:rPr>
          <w:rFonts w:ascii="Microsoft JhengHei" w:eastAsia="Microsoft JhengHei" w:hint="eastAsia"/>
          <w:b/>
          <w:w w:val="95"/>
          <w:sz w:val="30"/>
        </w:rPr>
        <w:t>8．保险费的调整</w:t>
      </w:r>
    </w:p>
    <w:p>
      <w:pPr>
        <w:pStyle w:val="Heading4"/>
        <w:spacing w:line="357" w:lineRule="auto" w:before="169"/>
        <w:ind w:right="109" w:firstLine="600"/>
        <w:jc w:val="both"/>
      </w:pPr>
      <w:r>
        <w:rPr/>
        <w:t>我们有权利调整本产品保险费率，调整后的费率须符合国务院保险监督管</w:t>
      </w:r>
      <w:r>
        <w:rPr>
          <w:spacing w:val="-10"/>
        </w:rPr>
        <w:t>理机构的相关规定。保险费率的调整针对所有被保险人或同一投保年龄的所有被保险人。</w:t>
      </w:r>
    </w:p>
    <w:p>
      <w:pPr>
        <w:pStyle w:val="Heading4"/>
        <w:spacing w:line="357" w:lineRule="auto" w:before="36"/>
        <w:ind w:right="109" w:firstLine="600"/>
        <w:jc w:val="both"/>
      </w:pPr>
      <w:r>
        <w:rPr/>
        <w:t>我们进行保险费率调整后，将以书面形式于保单周年日前通知您。您须按调整后的保险费率交纳续期保险费。</w:t>
      </w:r>
    </w:p>
    <w:p>
      <w:pPr>
        <w:pStyle w:val="BodyText"/>
        <w:spacing w:before="9"/>
        <w:rPr>
          <w:sz w:val="26"/>
        </w:rPr>
      </w:pPr>
    </w:p>
    <w:p>
      <w:pPr>
        <w:pStyle w:val="Heading1"/>
        <w:ind w:left="2827"/>
        <w:jc w:val="left"/>
      </w:pPr>
      <w:bookmarkStart w:name="_TOC_250008" w:id="11"/>
      <w:bookmarkEnd w:id="11"/>
      <w:r>
        <w:rPr/>
        <w:t>三、我们提供的保障</w:t>
      </w:r>
    </w:p>
    <w:p>
      <w:pPr>
        <w:pStyle w:val="BodyText"/>
        <w:spacing w:before="3"/>
        <w:rPr>
          <w:rFonts w:ascii="Microsoft JhengHei"/>
          <w:b/>
          <w:sz w:val="29"/>
        </w:rPr>
      </w:pPr>
    </w:p>
    <w:p>
      <w:pPr>
        <w:pStyle w:val="Heading2"/>
      </w:pPr>
      <w:bookmarkStart w:name="_TOC_250007" w:id="12"/>
      <w:bookmarkEnd w:id="12"/>
      <w:r>
        <w:rPr/>
        <w:t>9.保险责任</w:t>
      </w:r>
    </w:p>
    <w:p>
      <w:pPr>
        <w:pStyle w:val="Heading4"/>
        <w:spacing w:before="179"/>
        <w:ind w:left="484"/>
      </w:pPr>
      <w:r>
        <w:rPr/>
        <w:t>我们在本合同项下所承担的保险责任是重大疾病保险金给付责任。</w:t>
      </w:r>
    </w:p>
    <w:p>
      <w:pPr>
        <w:pStyle w:val="Heading4"/>
        <w:spacing w:line="357" w:lineRule="auto" w:before="154"/>
        <w:ind w:right="111" w:firstLine="360"/>
        <w:jc w:val="both"/>
      </w:pPr>
      <w:r>
        <w:rPr/>
        <w:t>被保险人经诊断于本附加合同生效（或复效）180 天内初次患有本附加合同</w:t>
      </w:r>
      <w:r>
        <w:rPr>
          <w:spacing w:val="-7"/>
        </w:rPr>
        <w:t>约定的重大疾病中的一项或多项，我们将向受益人无息退还已交的主合同以及附</w:t>
      </w:r>
      <w:r>
        <w:rPr>
          <w:spacing w:val="-4"/>
        </w:rPr>
        <w:t>加合同保险费</w:t>
      </w:r>
      <w:r>
        <w:rPr>
          <w:spacing w:val="1"/>
        </w:rPr>
        <w:t>（</w:t>
      </w:r>
      <w:r>
        <w:rPr/>
        <w:t>复效情况下返还最后一次申请复效时所交保险费</w:t>
      </w:r>
      <w:r>
        <w:rPr>
          <w:spacing w:val="-120"/>
        </w:rPr>
        <w:t>）</w:t>
      </w:r>
      <w:r>
        <w:rPr/>
        <w:t>，本附加合同</w:t>
      </w:r>
      <w:r>
        <w:rPr>
          <w:spacing w:val="-10"/>
        </w:rPr>
        <w:t>及主合同同时终止。我们依据主合同及本附加合同规定所应退还的保险费最高数额不超过您所交的主合同及附加合同保险费之和。</w:t>
      </w:r>
    </w:p>
    <w:p>
      <w:pPr>
        <w:pStyle w:val="Heading4"/>
        <w:spacing w:line="357" w:lineRule="auto" w:before="36"/>
        <w:ind w:right="111" w:firstLine="360"/>
        <w:jc w:val="both"/>
      </w:pPr>
      <w:r>
        <w:rPr/>
        <w:t>被保险人经诊断于本附加合同生效（或复效）180 天后初次患有本附加合同</w:t>
      </w:r>
      <w:r>
        <w:rPr>
          <w:spacing w:val="-7"/>
        </w:rPr>
        <w:t>约定的重大疾病中的一项或多项，我们将按主合同身故保险金的保险金额给付重</w:t>
      </w:r>
      <w:r>
        <w:rPr>
          <w:spacing w:val="-12"/>
        </w:rPr>
        <w:t>大疾病保险金，本附加合同及主合同同时终止。我们依据主合同及本附加合同规</w:t>
      </w:r>
      <w:r>
        <w:rPr>
          <w:spacing w:val="-16"/>
        </w:rPr>
        <w:t>定所应给付的保险金最高数额不超过主合同约定的保险金额</w:t>
      </w:r>
      <w:r>
        <w:rPr/>
        <w:t>（该保险金额如有减少，则以减少后的保险金额为准</w:t>
      </w:r>
      <w:r>
        <w:rPr>
          <w:spacing w:val="-120"/>
        </w:rPr>
        <w:t>）</w:t>
      </w:r>
      <w:r>
        <w:rPr/>
        <w:t>。</w:t>
      </w:r>
    </w:p>
    <w:p>
      <w:pPr>
        <w:pStyle w:val="BodyText"/>
        <w:spacing w:before="3"/>
        <w:rPr>
          <w:sz w:val="35"/>
        </w:rPr>
      </w:pPr>
    </w:p>
    <w:p>
      <w:pPr>
        <w:pStyle w:val="Heading2"/>
        <w:numPr>
          <w:ilvl w:val="0"/>
          <w:numId w:val="2"/>
        </w:numPr>
        <w:tabs>
          <w:tab w:pos="686" w:val="left" w:leader="none"/>
          <w:tab w:pos="687" w:val="left" w:leader="none"/>
        </w:tabs>
        <w:spacing w:line="240" w:lineRule="auto" w:before="1" w:after="0"/>
        <w:ind w:left="686" w:right="0" w:hanging="566"/>
        <w:jc w:val="left"/>
      </w:pPr>
      <w:bookmarkStart w:name="_TOC_250006" w:id="13"/>
      <w:bookmarkEnd w:id="13"/>
      <w:r>
        <w:rPr/>
        <w:t>责任免除</w:t>
      </w:r>
    </w:p>
    <w:p>
      <w:pPr>
        <w:pStyle w:val="Heading3"/>
        <w:spacing w:line="268" w:lineRule="auto" w:before="102"/>
        <w:ind w:left="120" w:right="109" w:firstLine="482"/>
      </w:pPr>
      <w:r>
        <w:rPr/>
        <w:t>因下列情形之一导致被保险人发生疾病、达到疾病状态或进行手术的，我们不承担给付重大疾病保险金的责任：</w:t>
      </w:r>
    </w:p>
    <w:p>
      <w:pPr>
        <w:pStyle w:val="Heading3"/>
        <w:numPr>
          <w:ilvl w:val="1"/>
          <w:numId w:val="2"/>
        </w:numPr>
        <w:tabs>
          <w:tab w:pos="848" w:val="left" w:leader="none"/>
        </w:tabs>
        <w:spacing w:line="268" w:lineRule="auto" w:before="11" w:after="0"/>
        <w:ind w:left="120" w:right="106" w:firstLine="482"/>
        <w:jc w:val="left"/>
      </w:pPr>
      <w:r>
        <w:rPr>
          <w:spacing w:val="0"/>
        </w:rPr>
        <w:t>被保险人故意犯罪、拒捕、斗殴、自杀、自伤身体及服用、吸食或注射</w:t>
      </w:r>
      <w:r>
        <w:rPr/>
        <w:t>毒品；</w:t>
      </w:r>
    </w:p>
    <w:p>
      <w:pPr>
        <w:pStyle w:val="Heading3"/>
        <w:numPr>
          <w:ilvl w:val="1"/>
          <w:numId w:val="2"/>
        </w:numPr>
        <w:tabs>
          <w:tab w:pos="848" w:val="left" w:leader="none"/>
        </w:tabs>
        <w:spacing w:line="240" w:lineRule="auto" w:before="11" w:after="0"/>
        <w:ind w:left="120" w:right="0" w:firstLine="482"/>
        <w:jc w:val="left"/>
      </w:pPr>
      <w:r>
        <w:rPr>
          <w:spacing w:val="0"/>
        </w:rPr>
        <w:t>被保险人酒后驾驶、无合法有效驾驶证驾驶，或驾驶无有效行驶证的机</w:t>
      </w:r>
    </w:p>
    <w:p>
      <w:pPr>
        <w:spacing w:after="0" w:line="240" w:lineRule="auto"/>
        <w:jc w:val="left"/>
        <w:sectPr>
          <w:pgSz w:w="11900" w:h="16840"/>
          <w:pgMar w:header="0" w:footer="1007" w:top="1520" w:bottom="1200" w:left="1680" w:right="1680"/>
        </w:sectPr>
      </w:pPr>
    </w:p>
    <w:p>
      <w:pPr>
        <w:pStyle w:val="Heading3"/>
        <w:spacing w:line="342" w:lineRule="exact"/>
        <w:ind w:left="120" w:firstLine="0"/>
      </w:pPr>
      <w:r>
        <w:rPr/>
        <w:t>动车；</w:t>
      </w:r>
    </w:p>
    <w:p>
      <w:pPr>
        <w:pStyle w:val="Heading3"/>
        <w:numPr>
          <w:ilvl w:val="1"/>
          <w:numId w:val="2"/>
        </w:numPr>
        <w:tabs>
          <w:tab w:pos="845" w:val="left" w:leader="none"/>
        </w:tabs>
        <w:spacing w:line="268" w:lineRule="auto" w:before="50" w:after="0"/>
        <w:ind w:left="120" w:right="111" w:firstLine="482"/>
        <w:jc w:val="left"/>
      </w:pPr>
      <w:r>
        <w:rPr>
          <w:spacing w:val="-1"/>
        </w:rPr>
        <w:t>被保险人感染艾滋病病毒或患艾滋病</w:t>
      </w:r>
      <w:r>
        <w:rPr/>
        <w:t>（</w:t>
      </w:r>
      <w:r>
        <w:rPr>
          <w:spacing w:val="-2"/>
        </w:rPr>
        <w:t>本附加合同释义中第 </w:t>
      </w:r>
      <w:r>
        <w:rPr/>
        <w:t>29</w:t>
      </w:r>
      <w:r>
        <w:rPr>
          <w:spacing w:val="-3"/>
        </w:rPr>
        <w:t> 种疾病除</w:t>
      </w:r>
      <w:r>
        <w:rPr>
          <w:spacing w:val="1"/>
        </w:rPr>
        <w:t>外</w:t>
      </w:r>
      <w:r>
        <w:rPr>
          <w:spacing w:val="-120"/>
        </w:rPr>
        <w:t>）</w:t>
      </w:r>
      <w:r>
        <w:rPr/>
        <w:t>；</w:t>
      </w:r>
    </w:p>
    <w:p>
      <w:pPr>
        <w:pStyle w:val="Heading3"/>
        <w:numPr>
          <w:ilvl w:val="1"/>
          <w:numId w:val="2"/>
        </w:numPr>
        <w:tabs>
          <w:tab w:pos="845" w:val="left" w:leader="none"/>
        </w:tabs>
        <w:spacing w:line="240" w:lineRule="auto" w:before="11" w:after="0"/>
        <w:ind w:left="844" w:right="0" w:hanging="242"/>
        <w:jc w:val="left"/>
      </w:pPr>
      <w:r>
        <w:rPr/>
        <w:t>战争、军事冲突、暴乱或武装叛乱；</w:t>
      </w:r>
    </w:p>
    <w:p>
      <w:pPr>
        <w:pStyle w:val="Heading3"/>
        <w:numPr>
          <w:ilvl w:val="1"/>
          <w:numId w:val="2"/>
        </w:numPr>
        <w:tabs>
          <w:tab w:pos="845" w:val="left" w:leader="none"/>
        </w:tabs>
        <w:spacing w:line="240" w:lineRule="auto" w:before="49" w:after="0"/>
        <w:ind w:left="844" w:right="0" w:hanging="242"/>
        <w:jc w:val="left"/>
      </w:pPr>
      <w:r>
        <w:rPr/>
        <w:t>核爆炸、核辐射或核污染；</w:t>
      </w:r>
    </w:p>
    <w:p>
      <w:pPr>
        <w:pStyle w:val="Heading3"/>
        <w:numPr>
          <w:ilvl w:val="1"/>
          <w:numId w:val="2"/>
        </w:numPr>
        <w:tabs>
          <w:tab w:pos="845" w:val="left" w:leader="none"/>
        </w:tabs>
        <w:spacing w:line="240" w:lineRule="auto" w:before="49" w:after="0"/>
        <w:ind w:left="844" w:right="0" w:hanging="242"/>
        <w:jc w:val="left"/>
      </w:pPr>
      <w:r>
        <w:rPr/>
        <w:t>遗传性疾病，先天性畸形、变形或染色体异常。</w:t>
      </w:r>
    </w:p>
    <w:p>
      <w:pPr>
        <w:pStyle w:val="Heading3"/>
        <w:spacing w:line="268" w:lineRule="auto" w:before="49"/>
        <w:ind w:left="120" w:right="109" w:firstLine="482"/>
        <w:jc w:val="both"/>
      </w:pPr>
      <w:r>
        <w:rPr/>
        <w:t>因上述情形之一导致被保险人发生疾病、达到疾病状态或进行手术时，本附加合同终止。因本条所列情形导致本附加合同终止时，除法律及本附加合同另有规定外，我们将退还本附加合同终止时的现金价值净额。</w:t>
      </w:r>
    </w:p>
    <w:p>
      <w:pPr>
        <w:pStyle w:val="BodyText"/>
        <w:rPr>
          <w:rFonts w:ascii="Microsoft JhengHei"/>
          <w:b/>
          <w:sz w:val="24"/>
        </w:rPr>
      </w:pPr>
    </w:p>
    <w:p>
      <w:pPr>
        <w:pStyle w:val="BodyText"/>
        <w:spacing w:before="7"/>
        <w:rPr>
          <w:rFonts w:ascii="Microsoft JhengHei"/>
          <w:b/>
          <w:sz w:val="23"/>
        </w:rPr>
      </w:pPr>
    </w:p>
    <w:p>
      <w:pPr>
        <w:pStyle w:val="Heading2"/>
      </w:pPr>
      <w:bookmarkStart w:name="_TOC_250005" w:id="14"/>
      <w:bookmarkEnd w:id="14"/>
      <w:r>
        <w:rPr/>
        <w:t>11.保险金额</w:t>
      </w:r>
    </w:p>
    <w:p>
      <w:pPr>
        <w:pStyle w:val="Heading4"/>
        <w:spacing w:line="357" w:lineRule="auto" w:before="178"/>
        <w:ind w:right="109" w:firstLine="480"/>
      </w:pPr>
      <w:r>
        <w:rPr/>
        <w:t>本附加合同的保险金额必须与主合同的保险金额相等，并在保险合同中载明。</w:t>
      </w:r>
    </w:p>
    <w:p>
      <w:pPr>
        <w:pStyle w:val="BodyText"/>
        <w:rPr>
          <w:sz w:val="24"/>
        </w:rPr>
      </w:pPr>
    </w:p>
    <w:p>
      <w:pPr>
        <w:pStyle w:val="BodyText"/>
        <w:rPr>
          <w:sz w:val="24"/>
        </w:rPr>
      </w:pPr>
    </w:p>
    <w:p>
      <w:pPr>
        <w:pStyle w:val="BodyText"/>
        <w:rPr>
          <w:sz w:val="24"/>
        </w:rPr>
      </w:pPr>
    </w:p>
    <w:p>
      <w:pPr>
        <w:pStyle w:val="BodyText"/>
        <w:rPr>
          <w:sz w:val="24"/>
        </w:rPr>
      </w:pPr>
    </w:p>
    <w:p>
      <w:pPr>
        <w:pStyle w:val="Heading1"/>
        <w:spacing w:before="183"/>
        <w:ind w:left="2505"/>
        <w:jc w:val="left"/>
      </w:pPr>
      <w:bookmarkStart w:name="_TOC_250004" w:id="15"/>
      <w:bookmarkEnd w:id="15"/>
      <w:r>
        <w:rPr/>
        <w:t>四、如何申请给付保险金</w:t>
      </w:r>
    </w:p>
    <w:p>
      <w:pPr>
        <w:pStyle w:val="BodyText"/>
        <w:spacing w:before="5"/>
        <w:rPr>
          <w:rFonts w:ascii="Microsoft JhengHei"/>
          <w:b/>
          <w:sz w:val="29"/>
        </w:rPr>
      </w:pPr>
    </w:p>
    <w:p>
      <w:pPr>
        <w:pStyle w:val="Heading2"/>
        <w:spacing w:before="1"/>
      </w:pPr>
      <w:bookmarkStart w:name="_TOC_250003" w:id="16"/>
      <w:bookmarkEnd w:id="16"/>
      <w:r>
        <w:rPr>
          <w:w w:val="95"/>
        </w:rPr>
        <w:t>12．保险金的申请</w:t>
      </w:r>
    </w:p>
    <w:p>
      <w:pPr>
        <w:pStyle w:val="Heading4"/>
        <w:spacing w:line="357" w:lineRule="auto" w:before="179"/>
        <w:ind w:right="111" w:firstLine="480"/>
      </w:pPr>
      <w:r>
        <w:rPr>
          <w:spacing w:val="-5"/>
        </w:rPr>
        <w:t>若被保险人初次患本附加合同约定的重大疾病，申请人需填写保险金给付申请书并凭下列证明材料向我们申请理赔：</w:t>
      </w:r>
    </w:p>
    <w:p>
      <w:pPr>
        <w:pStyle w:val="Heading4"/>
        <w:spacing w:before="36"/>
        <w:ind w:left="600"/>
      </w:pPr>
      <w:r>
        <w:rPr/>
        <w:t>（1）本附加合同；</w:t>
      </w:r>
    </w:p>
    <w:p>
      <w:pPr>
        <w:pStyle w:val="Heading4"/>
        <w:ind w:left="600"/>
      </w:pPr>
      <w:r>
        <w:rPr/>
        <w:t>（2）申请人的身份证明及索赔权利证明；</w:t>
      </w:r>
    </w:p>
    <w:p>
      <w:pPr>
        <w:pStyle w:val="Heading4"/>
        <w:ind w:left="600"/>
      </w:pPr>
      <w:r>
        <w:rPr/>
        <w:t>（3）被保险人的身份证明；</w:t>
      </w:r>
    </w:p>
    <w:p>
      <w:pPr>
        <w:pStyle w:val="Heading4"/>
        <w:spacing w:line="357" w:lineRule="auto"/>
        <w:ind w:right="111" w:firstLine="480"/>
        <w:jc w:val="both"/>
      </w:pPr>
      <w:r>
        <w:rPr/>
        <w:t>（4）由国家卫生部医疗等级分类中的二级或二级以上的医院出具的附有病</w:t>
      </w:r>
      <w:r>
        <w:rPr>
          <w:spacing w:val="-10"/>
        </w:rPr>
        <w:t>历、病理显微镜检查、必需的血液检验及其他科学方法检验报告的被保险人疾病诊断证明,关于重大疾病的释义中所提及的索赔时需要提供的有关证明。</w:t>
      </w:r>
    </w:p>
    <w:p>
      <w:pPr>
        <w:pStyle w:val="Heading4"/>
        <w:spacing w:before="35"/>
        <w:ind w:left="600"/>
      </w:pPr>
      <w:r>
        <w:rPr/>
        <w:t>（5）我们所需的并且被保险人能够提供的与事故有关的其他材料。</w:t>
      </w:r>
    </w:p>
    <w:p>
      <w:pPr>
        <w:spacing w:after="0"/>
        <w:sectPr>
          <w:pgSz w:w="11900" w:h="16840"/>
          <w:pgMar w:header="0" w:footer="1007" w:top="1480" w:bottom="1200" w:left="1680" w:right="1680"/>
        </w:sectPr>
      </w:pPr>
    </w:p>
    <w:p>
      <w:pPr>
        <w:pStyle w:val="Heading4"/>
        <w:spacing w:before="0"/>
        <w:ind w:left="600"/>
      </w:pPr>
      <w:r>
        <w:rPr/>
        <w:t>若被保险人委托他人代为办理，还应提供授权委托书、受托人身份证明等相</w:t>
      </w:r>
    </w:p>
    <w:p>
      <w:pPr>
        <w:pStyle w:val="Heading4"/>
      </w:pPr>
      <w:r>
        <w:rPr/>
        <w:t>关证明文件。</w:t>
      </w:r>
    </w:p>
    <w:p>
      <w:pPr>
        <w:pStyle w:val="Heading4"/>
        <w:ind w:left="840"/>
      </w:pPr>
      <w:r>
        <w:rPr/>
        <w:t>以上证明和资料不完整的，我们将及时一次性通知申请人补充提供有关证</w:t>
      </w:r>
    </w:p>
    <w:p>
      <w:pPr>
        <w:pStyle w:val="Heading4"/>
      </w:pPr>
      <w:r>
        <w:rPr/>
        <w:t>明和资料。</w:t>
      </w:r>
    </w:p>
    <w:p>
      <w:pPr>
        <w:pStyle w:val="BodyText"/>
        <w:rPr>
          <w:sz w:val="24"/>
        </w:rPr>
      </w:pPr>
    </w:p>
    <w:p>
      <w:pPr>
        <w:pStyle w:val="BodyText"/>
        <w:spacing w:before="3"/>
        <w:rPr>
          <w:sz w:val="20"/>
        </w:rPr>
      </w:pPr>
    </w:p>
    <w:p>
      <w:pPr>
        <w:pStyle w:val="Heading2"/>
      </w:pPr>
      <w:bookmarkStart w:name="_TOC_250002" w:id="17"/>
      <w:bookmarkEnd w:id="17"/>
      <w:r>
        <w:rPr>
          <w:w w:val="95"/>
        </w:rPr>
        <w:t>13．保险金的给付</w:t>
      </w:r>
    </w:p>
    <w:p>
      <w:pPr>
        <w:pStyle w:val="Heading4"/>
        <w:spacing w:before="178"/>
        <w:ind w:left="600"/>
      </w:pPr>
      <w:r>
        <w:rPr/>
        <w:t>我们在收到保险金给付申请书及本附加合同约定的证明和资料后，将及时作</w:t>
      </w:r>
    </w:p>
    <w:p>
      <w:pPr>
        <w:pStyle w:val="Heading4"/>
      </w:pPr>
      <w:r>
        <w:rPr/>
        <w:t>出核定；情形复杂的，应当在 30 日内作出核定。</w:t>
      </w:r>
    </w:p>
    <w:p>
      <w:pPr>
        <w:pStyle w:val="Heading4"/>
        <w:ind w:left="600"/>
      </w:pPr>
      <w:r>
        <w:rPr/>
        <w:t>对确定属于保险责任的，在与申请人达成有关给付保险金数额的协议后 10</w:t>
      </w:r>
    </w:p>
    <w:p>
      <w:pPr>
        <w:pStyle w:val="Heading4"/>
      </w:pPr>
      <w:r>
        <w:rPr/>
        <w:t>日内，履行给付保险金义务。</w:t>
      </w:r>
    </w:p>
    <w:p>
      <w:pPr>
        <w:pStyle w:val="Heading4"/>
        <w:spacing w:line="357" w:lineRule="auto"/>
        <w:ind w:right="151" w:firstLine="480"/>
        <w:jc w:val="both"/>
      </w:pPr>
      <w:r>
        <w:rPr>
          <w:spacing w:val="-13"/>
        </w:rPr>
        <w:t>对不属于保险责任的，我们自作出核定之日起 </w:t>
      </w:r>
      <w:r>
        <w:rPr/>
        <w:t>3</w:t>
      </w:r>
      <w:r>
        <w:rPr>
          <w:spacing w:val="-8"/>
        </w:rPr>
        <w:t> 日内向申请人发出拒绝给付保险金通知书，并说明理由。</w:t>
      </w:r>
    </w:p>
    <w:p>
      <w:pPr>
        <w:pStyle w:val="Heading4"/>
        <w:spacing w:line="357" w:lineRule="auto" w:before="36"/>
        <w:ind w:right="151" w:firstLine="480"/>
        <w:jc w:val="both"/>
      </w:pPr>
      <w:r>
        <w:rPr>
          <w:spacing w:val="-2"/>
        </w:rPr>
        <w:t>我们在收到保险金给付申请书及有关证明和资料之日起 </w:t>
      </w:r>
      <w:r>
        <w:rPr/>
        <w:t>60</w:t>
      </w:r>
      <w:r>
        <w:rPr>
          <w:spacing w:val="-7"/>
        </w:rPr>
        <w:t> 日内，对给付保</w:t>
      </w:r>
      <w:r>
        <w:rPr>
          <w:spacing w:val="-13"/>
        </w:rPr>
        <w:t>险金的数额不能确定的，根据已有证明和资料可以确定的数额先予支付；我们最终确定给付保险金的数额后，将支付相应的差额。</w:t>
      </w:r>
    </w:p>
    <w:p>
      <w:pPr>
        <w:pStyle w:val="BodyText"/>
        <w:spacing w:before="4"/>
        <w:rPr>
          <w:sz w:val="35"/>
        </w:rPr>
      </w:pPr>
    </w:p>
    <w:p>
      <w:pPr>
        <w:pStyle w:val="Heading2"/>
      </w:pPr>
      <w:bookmarkStart w:name="_TOC_250001" w:id="18"/>
      <w:bookmarkEnd w:id="18"/>
      <w:r>
        <w:rPr>
          <w:w w:val="95"/>
        </w:rPr>
        <w:t>14．诉讼时效</w:t>
      </w:r>
    </w:p>
    <w:p>
      <w:pPr>
        <w:pStyle w:val="Heading4"/>
        <w:spacing w:line="357" w:lineRule="auto" w:before="178"/>
        <w:ind w:right="151" w:firstLine="480"/>
        <w:jc w:val="both"/>
      </w:pPr>
      <w:r>
        <w:rPr>
          <w:spacing w:val="-4"/>
        </w:rPr>
        <w:t>向我们请求给付保险金的诉讼时效期间为 </w:t>
      </w:r>
      <w:r>
        <w:rPr/>
        <w:t>2</w:t>
      </w:r>
      <w:r>
        <w:rPr>
          <w:spacing w:val="-14"/>
        </w:rPr>
        <w:t> 年，自知道或者应当知道保险事故发生之日起计算。</w:t>
      </w:r>
    </w:p>
    <w:p>
      <w:pPr>
        <w:pStyle w:val="BodyText"/>
        <w:spacing w:before="8"/>
        <w:rPr>
          <w:sz w:val="26"/>
        </w:rPr>
      </w:pPr>
    </w:p>
    <w:p>
      <w:pPr>
        <w:pStyle w:val="Heading1"/>
        <w:spacing w:before="1"/>
        <w:ind w:left="463" w:right="492"/>
      </w:pPr>
      <w:bookmarkStart w:name="_TOC_250000" w:id="19"/>
      <w:bookmarkEnd w:id="19"/>
      <w:r>
        <w:rPr/>
        <w:t>五、释义</w:t>
      </w:r>
    </w:p>
    <w:p>
      <w:pPr>
        <w:pStyle w:val="BodyText"/>
        <w:spacing w:before="4"/>
        <w:rPr>
          <w:rFonts w:ascii="Microsoft JhengHei"/>
          <w:b/>
          <w:sz w:val="29"/>
        </w:rPr>
      </w:pPr>
    </w:p>
    <w:p>
      <w:pPr>
        <w:pStyle w:val="BodyText"/>
        <w:ind w:left="120"/>
      </w:pPr>
      <w:r>
        <w:rPr/>
        <w:t>① </w:t>
      </w:r>
      <w:r>
        <w:rPr>
          <w:rFonts w:ascii="Microsoft JhengHei" w:hAnsi="Microsoft JhengHei" w:eastAsia="Microsoft JhengHei" w:hint="eastAsia"/>
          <w:b/>
        </w:rPr>
        <w:t>现金价值：</w:t>
      </w:r>
      <w:r>
        <w:rPr/>
        <w:t>指保险单所具有的价值，通常体现为解除合同时，根据精算原理计算的，由</w:t>
      </w:r>
    </w:p>
    <w:p>
      <w:pPr>
        <w:pStyle w:val="BodyText"/>
        <w:spacing w:before="169"/>
        <w:ind w:left="463" w:right="5767"/>
        <w:jc w:val="center"/>
      </w:pPr>
      <w:r>
        <w:rPr/>
        <w:t>我们退还的那部分金额。</w:t>
      </w:r>
    </w:p>
    <w:p>
      <w:pPr>
        <w:pStyle w:val="BodyText"/>
        <w:spacing w:before="126"/>
        <w:ind w:left="120"/>
      </w:pPr>
      <w:r>
        <w:rPr/>
        <w:t>② </w:t>
      </w:r>
      <w:r>
        <w:rPr>
          <w:rFonts w:ascii="Microsoft JhengHei" w:hAnsi="Microsoft JhengHei" w:eastAsia="Microsoft JhengHei" w:hint="eastAsia"/>
          <w:b/>
        </w:rPr>
        <w:t>现金价值净额：</w:t>
      </w:r>
      <w:r>
        <w:rPr/>
        <w:t>现金价值扣除保险单借款及利息和欠交的保险费后的余额。</w:t>
      </w:r>
    </w:p>
    <w:p>
      <w:pPr>
        <w:pStyle w:val="BodyText"/>
        <w:spacing w:line="468" w:lineRule="exact" w:before="40"/>
        <w:ind w:left="480" w:right="113" w:hanging="360"/>
        <w:jc w:val="both"/>
      </w:pPr>
      <w:r>
        <w:rPr>
          <w:spacing w:val="33"/>
        </w:rPr>
        <w:t>③ </w:t>
      </w:r>
      <w:r>
        <w:rPr>
          <w:rFonts w:ascii="Microsoft JhengHei" w:hAnsi="Microsoft JhengHei" w:eastAsia="Microsoft JhengHei" w:hint="eastAsia"/>
          <w:b/>
          <w:spacing w:val="5"/>
        </w:rPr>
        <w:t>毒品 </w:t>
      </w:r>
      <w:r>
        <w:rPr>
          <w:spacing w:val="-3"/>
        </w:rPr>
        <w:t>指中华人民共和国刑法规定的鸦片、海洛因、甲基苯丙胺</w:t>
      </w:r>
      <w:r>
        <w:rPr/>
        <w:t>（</w:t>
      </w:r>
      <w:r>
        <w:rPr>
          <w:spacing w:val="-2"/>
        </w:rPr>
        <w:t>冰毒</w:t>
      </w:r>
      <w:r>
        <w:rPr>
          <w:spacing w:val="-108"/>
        </w:rPr>
        <w:t>）</w:t>
      </w:r>
      <w:r>
        <w:rPr>
          <w:spacing w:val="-3"/>
        </w:rPr>
        <w:t>、吗啡、大麻、</w:t>
      </w:r>
      <w:r>
        <w:rPr>
          <w:spacing w:val="-4"/>
        </w:rPr>
        <w:t>可卡因以及国家规定管制的其他能够使人形成瘾癖的麻醉药品和精神药品，但不包括由</w:t>
      </w:r>
      <w:r>
        <w:rPr>
          <w:spacing w:val="-3"/>
        </w:rPr>
        <w:t>医生开具并遵医嘱使用的用于治疗疾病但含有毒品成分的处方药品。</w:t>
      </w:r>
    </w:p>
    <w:p>
      <w:pPr>
        <w:spacing w:before="62"/>
        <w:ind w:left="120" w:right="0" w:firstLine="0"/>
        <w:jc w:val="left"/>
        <w:rPr>
          <w:sz w:val="21"/>
        </w:rPr>
      </w:pPr>
      <w:r>
        <w:rPr>
          <w:rFonts w:ascii="Calibri" w:hAnsi="Calibri" w:eastAsia="Calibri"/>
          <w:b/>
          <w:sz w:val="21"/>
        </w:rPr>
        <w:t>④   </w:t>
      </w:r>
      <w:r>
        <w:rPr>
          <w:rFonts w:ascii="Microsoft JhengHei" w:hAnsi="Microsoft JhengHei" w:eastAsia="Microsoft JhengHei" w:hint="eastAsia"/>
          <w:b/>
          <w:sz w:val="21"/>
        </w:rPr>
        <w:t>酒后驾驶  </w:t>
      </w:r>
      <w:r>
        <w:rPr>
          <w:sz w:val="21"/>
        </w:rPr>
        <w:t>指经检测或鉴定，发生事故时车辆驾驶人员每百毫升血液中的酒精含量达到</w:t>
      </w:r>
    </w:p>
    <w:p>
      <w:pPr>
        <w:spacing w:after="0"/>
        <w:jc w:val="left"/>
        <w:rPr>
          <w:sz w:val="21"/>
        </w:rPr>
        <w:sectPr>
          <w:pgSz w:w="11900" w:h="16840"/>
          <w:pgMar w:header="0" w:footer="1007" w:top="1480" w:bottom="1200" w:left="1680" w:right="1640"/>
        </w:sectPr>
      </w:pPr>
    </w:p>
    <w:p>
      <w:pPr>
        <w:pStyle w:val="BodyText"/>
        <w:spacing w:line="408" w:lineRule="auto" w:before="26"/>
        <w:ind w:left="480" w:right="106"/>
      </w:pPr>
      <w:r>
        <w:rPr>
          <w:spacing w:val="-7"/>
        </w:rPr>
        <w:t>或超过一定的标准，公安机关交通管理部门依据《道路交通安全法》的规定认定为饮酒</w:t>
      </w:r>
      <w:r>
        <w:rPr>
          <w:spacing w:val="-5"/>
        </w:rPr>
        <w:t>后驾驶或醉酒后驾驶。</w:t>
      </w:r>
    </w:p>
    <w:p>
      <w:pPr>
        <w:spacing w:line="348" w:lineRule="exact" w:before="0"/>
        <w:ind w:left="120" w:right="0" w:firstLine="0"/>
        <w:jc w:val="left"/>
        <w:rPr>
          <w:sz w:val="21"/>
        </w:rPr>
      </w:pPr>
      <w:r>
        <w:rPr>
          <w:rFonts w:ascii="Calibri" w:hAnsi="Calibri" w:eastAsia="Calibri"/>
          <w:b/>
          <w:sz w:val="21"/>
        </w:rPr>
        <w:t>⑤  </w:t>
      </w:r>
      <w:r>
        <w:rPr>
          <w:rFonts w:ascii="Microsoft JhengHei" w:hAnsi="Microsoft JhengHei" w:eastAsia="Microsoft JhengHei" w:hint="eastAsia"/>
          <w:b/>
          <w:sz w:val="21"/>
        </w:rPr>
        <w:t>无合法有效驾驶证驾驶 </w:t>
      </w:r>
      <w:r>
        <w:rPr>
          <w:sz w:val="21"/>
        </w:rPr>
        <w:t>指下列情形之一：</w:t>
      </w:r>
    </w:p>
    <w:p>
      <w:pPr>
        <w:pStyle w:val="BodyText"/>
        <w:spacing w:before="166"/>
        <w:ind w:left="540"/>
      </w:pPr>
      <w:r>
        <w:rPr/>
        <w:t>（1） 没有取得驾驶资格；</w:t>
      </w:r>
    </w:p>
    <w:p>
      <w:pPr>
        <w:pStyle w:val="BodyText"/>
        <w:spacing w:before="9"/>
        <w:rPr>
          <w:sz w:val="14"/>
        </w:rPr>
      </w:pPr>
    </w:p>
    <w:p>
      <w:pPr>
        <w:pStyle w:val="BodyText"/>
        <w:ind w:left="540"/>
      </w:pPr>
      <w:r>
        <w:rPr/>
        <w:t>（2）  驾驶与驾驶证准驾车型不相符合的车辆；</w:t>
      </w:r>
    </w:p>
    <w:p>
      <w:pPr>
        <w:pStyle w:val="BodyText"/>
        <w:spacing w:before="9"/>
        <w:rPr>
          <w:sz w:val="14"/>
        </w:rPr>
      </w:pPr>
    </w:p>
    <w:p>
      <w:pPr>
        <w:pStyle w:val="BodyText"/>
        <w:ind w:left="540"/>
      </w:pPr>
      <w:r>
        <w:rPr/>
        <w:t>（3） 持审验不合格的驾驶证驾驶；</w:t>
      </w:r>
    </w:p>
    <w:p>
      <w:pPr>
        <w:pStyle w:val="BodyText"/>
        <w:spacing w:before="9"/>
        <w:rPr>
          <w:sz w:val="14"/>
        </w:rPr>
      </w:pPr>
    </w:p>
    <w:p>
      <w:pPr>
        <w:pStyle w:val="BodyText"/>
        <w:spacing w:line="408" w:lineRule="auto"/>
        <w:ind w:left="1260" w:right="115" w:hanging="720"/>
      </w:pPr>
      <w:r>
        <w:rPr/>
        <w:t>（4）</w:t>
      </w:r>
      <w:r>
        <w:rPr>
          <w:spacing w:val="-3"/>
        </w:rPr>
        <w:t> 持学习驾驶证学习驾车时，无教练员随车指导，或不按指定时间、路线学习驾</w:t>
      </w:r>
      <w:r>
        <w:rPr/>
        <w:t>车；</w:t>
      </w:r>
    </w:p>
    <w:p>
      <w:pPr>
        <w:spacing w:line="348" w:lineRule="exact" w:before="0"/>
        <w:ind w:left="120" w:right="0" w:firstLine="0"/>
        <w:jc w:val="left"/>
        <w:rPr>
          <w:sz w:val="21"/>
        </w:rPr>
      </w:pPr>
      <w:r>
        <w:rPr>
          <w:rFonts w:ascii="Calibri" w:hAnsi="Calibri" w:eastAsia="Calibri"/>
          <w:b/>
          <w:sz w:val="21"/>
        </w:rPr>
        <w:t>⑥  </w:t>
      </w:r>
      <w:r>
        <w:rPr>
          <w:rFonts w:ascii="Microsoft JhengHei" w:hAnsi="Microsoft JhengHei" w:eastAsia="Microsoft JhengHei" w:hint="eastAsia"/>
          <w:b/>
          <w:sz w:val="21"/>
        </w:rPr>
        <w:t>无有效行驶证 </w:t>
      </w:r>
      <w:r>
        <w:rPr>
          <w:sz w:val="21"/>
        </w:rPr>
        <w:t>指下列情形之一：</w:t>
      </w:r>
    </w:p>
    <w:p>
      <w:pPr>
        <w:pStyle w:val="BodyText"/>
        <w:spacing w:before="167"/>
        <w:ind w:left="540"/>
      </w:pPr>
      <w:r>
        <w:rPr/>
        <w:t>（1） 机动车被依法注销登记的；</w:t>
      </w:r>
    </w:p>
    <w:p>
      <w:pPr>
        <w:pStyle w:val="BodyText"/>
        <w:spacing w:before="9"/>
        <w:rPr>
          <w:sz w:val="14"/>
        </w:rPr>
      </w:pPr>
    </w:p>
    <w:p>
      <w:pPr>
        <w:pStyle w:val="BodyText"/>
        <w:spacing w:before="1"/>
        <w:ind w:left="540"/>
      </w:pPr>
      <w:r>
        <w:rPr/>
        <w:t>（2）  未依法按时进行或通过机动车安全技术检验。</w:t>
      </w:r>
    </w:p>
    <w:p>
      <w:pPr>
        <w:pStyle w:val="Heading5"/>
        <w:spacing w:before="126"/>
      </w:pPr>
      <w:r>
        <w:rPr>
          <w:rFonts w:ascii="Calibri" w:hAnsi="Calibri" w:eastAsia="Calibri"/>
        </w:rPr>
        <w:t>⑦  </w:t>
      </w:r>
      <w:r>
        <w:rPr/>
        <w:t>本附加合同所称重大疾病，仅指下列疾病之一：</w:t>
      </w:r>
    </w:p>
    <w:p>
      <w:pPr>
        <w:pStyle w:val="Heading3"/>
        <w:numPr>
          <w:ilvl w:val="0"/>
          <w:numId w:val="3"/>
        </w:numPr>
        <w:tabs>
          <w:tab w:pos="363" w:val="left" w:leader="none"/>
        </w:tabs>
        <w:spacing w:line="240" w:lineRule="auto" w:before="64" w:after="0"/>
        <w:ind w:left="362" w:right="0" w:hanging="242"/>
        <w:jc w:val="left"/>
      </w:pPr>
      <w:r>
        <w:rPr/>
        <w:t>恶性肿瘤</w:t>
      </w:r>
    </w:p>
    <w:p>
      <w:pPr>
        <w:pStyle w:val="BodyText"/>
        <w:spacing w:line="408" w:lineRule="auto" w:before="152"/>
        <w:ind w:left="120" w:right="106" w:firstLine="420"/>
      </w:pPr>
      <w:r>
        <w:rPr>
          <w:spacing w:val="-7"/>
        </w:rPr>
        <w:t>指恶性细胞不受控制的进行性增长和扩散，浸润和破坏周围正常组织，可以经血管、淋</w:t>
      </w:r>
      <w:r>
        <w:rPr>
          <w:spacing w:val="-5"/>
        </w:rPr>
        <w:t>巴管和体腔扩散转移到身体其它部位的疾病。</w:t>
      </w:r>
    </w:p>
    <w:p>
      <w:pPr>
        <w:pStyle w:val="BodyText"/>
        <w:spacing w:line="408" w:lineRule="auto" w:before="46"/>
        <w:ind w:left="120" w:right="106" w:firstLine="420"/>
      </w:pPr>
      <w:r>
        <w:rPr>
          <w:spacing w:val="-9"/>
        </w:rPr>
        <w:t>经病理学检查结果明确诊断，临床诊断属于世界卫生组织《疾病和有关健康问题的国际</w:t>
      </w:r>
      <w:r>
        <w:rPr>
          <w:spacing w:val="-24"/>
        </w:rPr>
        <w:t>统计分类》</w:t>
      </w:r>
      <w:r>
        <w:rPr>
          <w:spacing w:val="-1"/>
        </w:rPr>
        <w:t>（ICD-10）</w:t>
      </w:r>
      <w:r>
        <w:rPr>
          <w:spacing w:val="-3"/>
        </w:rPr>
        <w:t>的恶性肿瘤范畴。</w:t>
      </w:r>
    </w:p>
    <w:p>
      <w:pPr>
        <w:pStyle w:val="BodyText"/>
        <w:spacing w:before="46"/>
        <w:ind w:left="540"/>
      </w:pPr>
      <w:r>
        <w:rPr/>
        <w:t>下列疾病不在保障范围内：</w:t>
      </w:r>
    </w:p>
    <w:p>
      <w:pPr>
        <w:pStyle w:val="BodyText"/>
        <w:spacing w:before="10"/>
        <w:rPr>
          <w:sz w:val="14"/>
        </w:rPr>
      </w:pPr>
    </w:p>
    <w:p>
      <w:pPr>
        <w:pStyle w:val="BodyText"/>
        <w:ind w:left="480"/>
      </w:pPr>
      <w:r>
        <w:rPr/>
        <w:t>（1）原位癌；</w:t>
      </w:r>
    </w:p>
    <w:p>
      <w:pPr>
        <w:pStyle w:val="BodyText"/>
        <w:spacing w:before="9"/>
        <w:rPr>
          <w:sz w:val="14"/>
        </w:rPr>
      </w:pPr>
    </w:p>
    <w:p>
      <w:pPr>
        <w:pStyle w:val="BodyText"/>
        <w:spacing w:before="1"/>
        <w:ind w:left="468"/>
      </w:pPr>
      <w:r>
        <w:rPr/>
        <w:t>（2）相当于Binet 分期方案A 期程度的慢性淋巴细胞白血病；</w:t>
      </w:r>
    </w:p>
    <w:p>
      <w:pPr>
        <w:pStyle w:val="BodyText"/>
        <w:spacing w:before="10"/>
        <w:rPr>
          <w:sz w:val="14"/>
        </w:rPr>
      </w:pPr>
    </w:p>
    <w:p>
      <w:pPr>
        <w:pStyle w:val="BodyText"/>
        <w:ind w:left="434"/>
      </w:pPr>
      <w:r>
        <w:rPr/>
        <w:t>（3）相当于Ann Arbor 分期方案I 期程度的何杰金氏病；</w:t>
      </w:r>
    </w:p>
    <w:p>
      <w:pPr>
        <w:pStyle w:val="BodyText"/>
        <w:spacing w:before="9"/>
        <w:rPr>
          <w:sz w:val="14"/>
        </w:rPr>
      </w:pPr>
    </w:p>
    <w:p>
      <w:pPr>
        <w:pStyle w:val="BodyText"/>
        <w:spacing w:before="1"/>
        <w:ind w:left="434"/>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10"/>
        <w:rPr>
          <w:sz w:val="14"/>
        </w:rPr>
      </w:pPr>
    </w:p>
    <w:p>
      <w:pPr>
        <w:pStyle w:val="BodyText"/>
        <w:ind w:left="434"/>
      </w:pPr>
      <w:r>
        <w:rPr/>
        <w:t>（5）TNM分期为T1N0M0期或更轻分期的前列腺癌；</w:t>
      </w:r>
    </w:p>
    <w:p>
      <w:pPr>
        <w:pStyle w:val="BodyText"/>
        <w:spacing w:before="9"/>
        <w:rPr>
          <w:sz w:val="14"/>
        </w:rPr>
      </w:pPr>
    </w:p>
    <w:p>
      <w:pPr>
        <w:pStyle w:val="BodyText"/>
        <w:spacing w:before="1"/>
        <w:ind w:left="434"/>
      </w:pPr>
      <w:r>
        <w:rPr/>
        <w:t>（6）感染艾滋病病毒或患艾滋病期间所患恶性肿瘤。</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急性心肌梗塞</w:t>
      </w:r>
    </w:p>
    <w:p>
      <w:pPr>
        <w:pStyle w:val="BodyText"/>
        <w:spacing w:line="408" w:lineRule="auto" w:before="151"/>
        <w:ind w:left="120" w:right="2113" w:firstLine="420"/>
      </w:pPr>
      <w:r>
        <w:rPr/>
        <w:t>指因冠状动脉阻塞导致的相应区域供血不足造成部分心肌坏死。须满足下列至少三项条件：</w:t>
      </w:r>
    </w:p>
    <w:p>
      <w:pPr>
        <w:pStyle w:val="BodyText"/>
        <w:spacing w:before="46"/>
        <w:ind w:left="434"/>
      </w:pPr>
      <w:r>
        <w:rPr/>
        <w:t>（1）典型临床表现，例如急性胸痛等；</w:t>
      </w:r>
    </w:p>
    <w:p>
      <w:pPr>
        <w:pStyle w:val="BodyText"/>
        <w:spacing w:before="10"/>
        <w:rPr>
          <w:sz w:val="14"/>
        </w:rPr>
      </w:pPr>
    </w:p>
    <w:p>
      <w:pPr>
        <w:pStyle w:val="BodyText"/>
        <w:ind w:left="434"/>
      </w:pPr>
      <w:r>
        <w:rPr/>
        <w:t>（2）新近的心电图改变提示急性心肌梗塞；</w:t>
      </w:r>
    </w:p>
    <w:p>
      <w:pPr>
        <w:spacing w:after="0"/>
        <w:sectPr>
          <w:pgSz w:w="11900" w:h="16840"/>
          <w:pgMar w:header="0" w:footer="1007" w:top="1480" w:bottom="1200" w:left="1680" w:right="1680"/>
        </w:sectPr>
      </w:pPr>
    </w:p>
    <w:p>
      <w:pPr>
        <w:pStyle w:val="BodyText"/>
        <w:spacing w:before="26"/>
        <w:ind w:left="434"/>
      </w:pPr>
      <w:r>
        <w:rPr/>
        <w:t>（3）心肌酶或肌钙蛋白有诊断意义的升高，或呈符合急性心肌梗塞的动态性变化；</w:t>
      </w:r>
    </w:p>
    <w:p>
      <w:pPr>
        <w:pStyle w:val="BodyText"/>
        <w:spacing w:before="10"/>
        <w:rPr>
          <w:sz w:val="14"/>
        </w:rPr>
      </w:pPr>
    </w:p>
    <w:p>
      <w:pPr>
        <w:pStyle w:val="BodyText"/>
        <w:ind w:left="434"/>
      </w:pPr>
      <w:r>
        <w:rPr/>
        <w:drawing>
          <wp:anchor distT="0" distB="0" distL="0" distR="0" allowOverlap="1" layoutInCell="1" locked="0" behindDoc="1" simplePos="0" relativeHeight="268417871">
            <wp:simplePos x="0" y="0"/>
            <wp:positionH relativeFrom="page">
              <wp:posOffset>5748654</wp:posOffset>
            </wp:positionH>
            <wp:positionV relativeFrom="paragraph">
              <wp:posOffset>54148</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325" cy="104775"/>
                    </a:xfrm>
                    <a:prstGeom prst="rect">
                      <a:avLst/>
                    </a:prstGeom>
                  </pic:spPr>
                </pic:pic>
              </a:graphicData>
            </a:graphic>
          </wp:anchor>
        </w:drawing>
      </w:r>
      <w:r>
        <w:rPr/>
        <w:t>（4）发病90 天后，经检查证实左心室功能降低，如左心室射血分数低于50。</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脑中风后遗症</w:t>
      </w:r>
    </w:p>
    <w:p>
      <w:pPr>
        <w:pStyle w:val="BodyText"/>
        <w:spacing w:before="151"/>
        <w:ind w:left="540"/>
      </w:pPr>
      <w:r>
        <w:rPr/>
        <w:t>指因脑血管的突发病变引起脑血管出血、栓塞或梗塞，并导致神经系统永久性的功能障</w:t>
      </w:r>
    </w:p>
    <w:p>
      <w:pPr>
        <w:pStyle w:val="BodyText"/>
        <w:spacing w:before="9"/>
        <w:rPr>
          <w:sz w:val="14"/>
        </w:rPr>
      </w:pPr>
    </w:p>
    <w:p>
      <w:pPr>
        <w:pStyle w:val="BodyText"/>
        <w:ind w:left="120"/>
      </w:pPr>
      <w:r>
        <w:rPr/>
        <w:t>碍。神经系统永久性的功能障碍，指疾病确诊180 天后，仍遗留下列一种或一种以上障碍：</w:t>
      </w:r>
    </w:p>
    <w:p>
      <w:pPr>
        <w:pStyle w:val="BodyText"/>
        <w:spacing w:before="9"/>
        <w:rPr>
          <w:sz w:val="14"/>
        </w:rPr>
      </w:pPr>
    </w:p>
    <w:p>
      <w:pPr>
        <w:pStyle w:val="BodyText"/>
        <w:ind w:left="434"/>
      </w:pPr>
      <w:r>
        <w:rPr/>
        <w:t>（1）一肢或一肢以上肢体机能完全丧失；</w:t>
      </w:r>
    </w:p>
    <w:p>
      <w:pPr>
        <w:pStyle w:val="BodyText"/>
        <w:spacing w:before="9"/>
        <w:rPr>
          <w:sz w:val="14"/>
        </w:rPr>
      </w:pPr>
    </w:p>
    <w:p>
      <w:pPr>
        <w:pStyle w:val="BodyText"/>
        <w:ind w:left="434"/>
      </w:pPr>
      <w:r>
        <w:rPr/>
        <w:t>（2）语言能力或咀嚼吞咽能力完全丧失；</w:t>
      </w:r>
    </w:p>
    <w:p>
      <w:pPr>
        <w:pStyle w:val="BodyText"/>
        <w:spacing w:before="9"/>
        <w:rPr>
          <w:sz w:val="14"/>
        </w:rPr>
      </w:pPr>
    </w:p>
    <w:p>
      <w:pPr>
        <w:pStyle w:val="BodyText"/>
        <w:ind w:left="434"/>
      </w:pPr>
      <w:r>
        <w:rPr>
          <w:w w:val="100"/>
        </w:rPr>
        <w:t>（</w:t>
      </w:r>
      <w:r>
        <w:rPr>
          <w:spacing w:val="-3"/>
          <w:w w:val="100"/>
        </w:rPr>
        <w:t>3</w:t>
      </w:r>
      <w:r>
        <w:rPr>
          <w:spacing w:val="-99"/>
          <w:w w:val="100"/>
        </w:rPr>
        <w:t>）</w:t>
      </w:r>
      <w:r>
        <w:rPr>
          <w:spacing w:val="-11"/>
          <w:w w:val="100"/>
        </w:rPr>
        <w:t>自主生活能力完全丧失，无法独立完成六项基本日常生活活动中的三项或三项以上。</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重大器官移植术或造血干细胞移植术</w:t>
      </w:r>
    </w:p>
    <w:p>
      <w:pPr>
        <w:pStyle w:val="BodyText"/>
        <w:spacing w:before="151"/>
        <w:ind w:left="540"/>
      </w:pPr>
      <w:r>
        <w:rPr/>
        <w:t>重大器官移植术，指因相应器官功能衰竭，已经实施了肾脏、肝脏、心脏或肺脏的异体</w:t>
      </w:r>
    </w:p>
    <w:p>
      <w:pPr>
        <w:pStyle w:val="BodyText"/>
        <w:spacing w:before="9"/>
        <w:rPr>
          <w:sz w:val="14"/>
        </w:rPr>
      </w:pPr>
    </w:p>
    <w:p>
      <w:pPr>
        <w:pStyle w:val="BodyText"/>
        <w:ind w:left="120"/>
      </w:pPr>
      <w:r>
        <w:rPr/>
        <w:t>移植手术。</w:t>
      </w:r>
    </w:p>
    <w:p>
      <w:pPr>
        <w:pStyle w:val="BodyText"/>
        <w:spacing w:before="9"/>
        <w:rPr>
          <w:sz w:val="14"/>
        </w:rPr>
      </w:pPr>
    </w:p>
    <w:p>
      <w:pPr>
        <w:pStyle w:val="BodyText"/>
        <w:ind w:left="540"/>
      </w:pPr>
      <w:r>
        <w:rPr>
          <w:spacing w:val="-19"/>
        </w:rPr>
        <w:t>造血干细胞移植术，指因造血功能损害或造血系统恶性肿瘤，已经实施了造血干细胞</w:t>
      </w:r>
      <w:r>
        <w:rPr/>
        <w:t>（包</w:t>
      </w:r>
    </w:p>
    <w:p>
      <w:pPr>
        <w:pStyle w:val="BodyText"/>
        <w:spacing w:before="9"/>
        <w:rPr>
          <w:sz w:val="14"/>
        </w:rPr>
      </w:pPr>
    </w:p>
    <w:p>
      <w:pPr>
        <w:pStyle w:val="BodyText"/>
        <w:ind w:left="120"/>
      </w:pPr>
      <w:r>
        <w:rPr/>
        <w:t>括骨髓造血干细胞、外周血造血干细胞和脐血造血干细胞）的异体移植手术。</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冠状动脉搭桥术（或称冠状动脉旁路移植术）</w:t>
      </w:r>
    </w:p>
    <w:p>
      <w:pPr>
        <w:pStyle w:val="BodyText"/>
        <w:spacing w:before="151"/>
        <w:ind w:left="540"/>
      </w:pPr>
      <w:r>
        <w:rPr/>
        <w:t>指为治疗严重的冠心病，实际实施了开胸进行的冠状动脉血管旁路移植的手术。</w:t>
      </w:r>
    </w:p>
    <w:p>
      <w:pPr>
        <w:pStyle w:val="BodyText"/>
        <w:spacing w:before="9"/>
        <w:rPr>
          <w:sz w:val="14"/>
        </w:rPr>
      </w:pPr>
    </w:p>
    <w:p>
      <w:pPr>
        <w:pStyle w:val="BodyText"/>
        <w:spacing w:line="408" w:lineRule="auto"/>
        <w:ind w:left="120" w:right="206"/>
      </w:pPr>
      <w:r>
        <w:rPr>
          <w:spacing w:val="-9"/>
        </w:rPr>
        <w:t>冠状动脉支架植入术、心导管球囊扩张术、激光射频技术及其它非开胸的介入手术、腔镜手</w:t>
      </w:r>
      <w:r>
        <w:rPr>
          <w:spacing w:val="-5"/>
        </w:rPr>
        <w:t>术不在保障范围内。</w:t>
      </w:r>
    </w:p>
    <w:p>
      <w:pPr>
        <w:pStyle w:val="BodyText"/>
        <w:rPr>
          <w:sz w:val="20"/>
        </w:rPr>
      </w:pPr>
    </w:p>
    <w:p>
      <w:pPr>
        <w:pStyle w:val="Heading3"/>
        <w:numPr>
          <w:ilvl w:val="0"/>
          <w:numId w:val="3"/>
        </w:numPr>
        <w:tabs>
          <w:tab w:pos="363" w:val="left" w:leader="none"/>
        </w:tabs>
        <w:spacing w:line="240" w:lineRule="auto" w:before="150" w:after="0"/>
        <w:ind w:left="362" w:right="0" w:hanging="242"/>
        <w:jc w:val="left"/>
      </w:pPr>
      <w:r>
        <w:rPr/>
        <w:t>终末期肾病（或称慢性肾功能衰竭尿毒症期）</w:t>
      </w:r>
    </w:p>
    <w:p>
      <w:pPr>
        <w:pStyle w:val="BodyText"/>
        <w:spacing w:before="151"/>
        <w:ind w:left="540"/>
      </w:pPr>
      <w:r>
        <w:rPr/>
        <w:t>指双肾功能慢性不可逆性衰竭，达到尿毒症期，经诊断后已经进行了至少90 天的规律</w:t>
      </w:r>
    </w:p>
    <w:p>
      <w:pPr>
        <w:pStyle w:val="BodyText"/>
        <w:spacing w:before="9"/>
        <w:rPr>
          <w:sz w:val="14"/>
        </w:rPr>
      </w:pPr>
    </w:p>
    <w:p>
      <w:pPr>
        <w:pStyle w:val="BodyText"/>
        <w:ind w:left="120"/>
      </w:pPr>
      <w:r>
        <w:rPr/>
        <w:t>性透析治疗或实施了肾脏移植手术。</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0" w:after="0"/>
        <w:ind w:left="362" w:right="0" w:hanging="242"/>
        <w:jc w:val="left"/>
      </w:pPr>
      <w:r>
        <w:rPr/>
        <w:t>多个肢体缺失</w:t>
      </w:r>
    </w:p>
    <w:p>
      <w:pPr>
        <w:pStyle w:val="BodyText"/>
        <w:spacing w:line="408" w:lineRule="auto" w:before="151"/>
        <w:ind w:left="120" w:right="254" w:firstLine="420"/>
      </w:pPr>
      <w:r>
        <w:rPr>
          <w:spacing w:val="-5"/>
        </w:rPr>
        <w:t>指因疾病或意外伤害导致两个或两个以上肢体自腕关节或踝关节近端</w:t>
      </w:r>
      <w:r>
        <w:rPr>
          <w:spacing w:val="-3"/>
        </w:rPr>
        <w:t>（靠近躯干端</w:t>
      </w:r>
      <w:r>
        <w:rPr>
          <w:spacing w:val="-48"/>
        </w:rPr>
        <w:t>）以</w:t>
      </w:r>
      <w:r>
        <w:rPr>
          <w:spacing w:val="-2"/>
        </w:rPr>
        <w:t>上完全性断离。</w:t>
      </w:r>
    </w:p>
    <w:p>
      <w:pPr>
        <w:spacing w:after="0" w:line="408" w:lineRule="auto"/>
        <w:sectPr>
          <w:footerReference w:type="default" r:id="rId7"/>
          <w:pgSz w:w="11900" w:h="16840"/>
          <w:pgMar w:footer="1007" w:header="0" w:top="1480" w:bottom="1200" w:left="1680" w:right="1580"/>
          <w:pgNumType w:start="10"/>
        </w:sectPr>
      </w:pPr>
    </w:p>
    <w:p>
      <w:pPr>
        <w:pStyle w:val="Heading3"/>
        <w:numPr>
          <w:ilvl w:val="0"/>
          <w:numId w:val="3"/>
        </w:numPr>
        <w:tabs>
          <w:tab w:pos="363" w:val="left" w:leader="none"/>
        </w:tabs>
        <w:spacing w:line="342" w:lineRule="exact" w:before="0" w:after="0"/>
        <w:ind w:left="362" w:right="0" w:hanging="242"/>
        <w:jc w:val="left"/>
      </w:pPr>
      <w:r>
        <w:rPr/>
        <w:t>急性或亚急性重症肝炎</w:t>
      </w:r>
    </w:p>
    <w:p>
      <w:pPr>
        <w:pStyle w:val="BodyText"/>
        <w:spacing w:before="152"/>
        <w:ind w:left="540"/>
      </w:pPr>
      <w:r>
        <w:rPr/>
        <w:t>指因肝炎病毒感染引起肝脏组织弥漫性坏死，导致急性肝功能衰竭，且经血清学或病毒</w:t>
      </w:r>
    </w:p>
    <w:p>
      <w:pPr>
        <w:pStyle w:val="BodyText"/>
        <w:spacing w:before="9"/>
        <w:rPr>
          <w:sz w:val="14"/>
        </w:rPr>
      </w:pPr>
    </w:p>
    <w:p>
      <w:pPr>
        <w:pStyle w:val="BodyText"/>
        <w:spacing w:before="1"/>
        <w:ind w:left="120"/>
      </w:pPr>
      <w:r>
        <w:rPr/>
        <w:t>学检查证实，并须满足下列全部条件：</w:t>
      </w:r>
    </w:p>
    <w:p>
      <w:pPr>
        <w:pStyle w:val="BodyText"/>
        <w:spacing w:before="10"/>
        <w:rPr>
          <w:sz w:val="14"/>
        </w:rPr>
      </w:pPr>
    </w:p>
    <w:p>
      <w:pPr>
        <w:pStyle w:val="BodyText"/>
        <w:ind w:left="434"/>
      </w:pPr>
      <w:r>
        <w:rPr/>
        <w:t>（1）重度黄疸或黄疸迅速加重；</w:t>
      </w:r>
    </w:p>
    <w:p>
      <w:pPr>
        <w:pStyle w:val="BodyText"/>
        <w:spacing w:before="9"/>
        <w:rPr>
          <w:sz w:val="14"/>
        </w:rPr>
      </w:pPr>
    </w:p>
    <w:p>
      <w:pPr>
        <w:pStyle w:val="BodyText"/>
        <w:spacing w:before="1"/>
        <w:ind w:left="434"/>
      </w:pPr>
      <w:r>
        <w:rPr/>
        <w:t>（2）肝性脑病；</w:t>
      </w:r>
    </w:p>
    <w:p>
      <w:pPr>
        <w:pStyle w:val="BodyText"/>
        <w:spacing w:before="10"/>
        <w:rPr>
          <w:sz w:val="14"/>
        </w:rPr>
      </w:pPr>
    </w:p>
    <w:p>
      <w:pPr>
        <w:pStyle w:val="BodyText"/>
        <w:ind w:left="434"/>
      </w:pPr>
      <w:r>
        <w:rPr/>
        <w:t>（3）B 超或其它影像学检查显示肝脏体积急速萎缩；</w:t>
      </w:r>
    </w:p>
    <w:p>
      <w:pPr>
        <w:pStyle w:val="BodyText"/>
        <w:spacing w:before="9"/>
        <w:rPr>
          <w:sz w:val="14"/>
        </w:rPr>
      </w:pPr>
    </w:p>
    <w:p>
      <w:pPr>
        <w:pStyle w:val="BodyText"/>
        <w:spacing w:before="1"/>
        <w:ind w:left="434"/>
      </w:pPr>
      <w:r>
        <w:rPr/>
        <w:t>（4）肝功能指标进行性恶化。</w:t>
      </w:r>
    </w:p>
    <w:p>
      <w:pPr>
        <w:pStyle w:val="BodyText"/>
        <w:rPr>
          <w:sz w:val="20"/>
        </w:rPr>
      </w:pPr>
    </w:p>
    <w:p>
      <w:pPr>
        <w:pStyle w:val="BodyText"/>
        <w:spacing w:before="9"/>
        <w:rPr>
          <w:sz w:val="22"/>
        </w:rPr>
      </w:pPr>
    </w:p>
    <w:p>
      <w:pPr>
        <w:pStyle w:val="Heading3"/>
        <w:numPr>
          <w:ilvl w:val="0"/>
          <w:numId w:val="3"/>
        </w:numPr>
        <w:tabs>
          <w:tab w:pos="363" w:val="left" w:leader="none"/>
        </w:tabs>
        <w:spacing w:line="240" w:lineRule="auto" w:before="1" w:after="0"/>
        <w:ind w:left="362" w:right="0" w:hanging="242"/>
        <w:jc w:val="left"/>
      </w:pPr>
      <w:r>
        <w:rPr/>
        <w:t>良性脑肿瘤</w:t>
      </w:r>
    </w:p>
    <w:p>
      <w:pPr>
        <w:pStyle w:val="BodyText"/>
        <w:spacing w:line="408" w:lineRule="auto" w:before="152"/>
        <w:ind w:left="120" w:right="206" w:firstLine="420"/>
        <w:jc w:val="both"/>
      </w:pPr>
      <w:r>
        <w:rPr>
          <w:spacing w:val="-10"/>
        </w:rPr>
        <w:t>指脑的良性肿瘤，已经引起颅内压增高，临床表现为视神经乳头水肿、精神症状、癫痫</w:t>
      </w:r>
      <w:r>
        <w:rPr>
          <w:spacing w:val="-9"/>
          <w:w w:val="100"/>
        </w:rPr>
        <w:t>及运动感觉障碍等，并危及生命。须由头颅断层扫描</w:t>
      </w:r>
      <w:r>
        <w:rPr>
          <w:w w:val="100"/>
        </w:rPr>
        <w:t>（CT</w:t>
      </w:r>
      <w:r>
        <w:rPr>
          <w:spacing w:val="-106"/>
          <w:w w:val="100"/>
        </w:rPr>
        <w:t>）</w:t>
      </w:r>
      <w:r>
        <w:rPr>
          <w:spacing w:val="-7"/>
          <w:w w:val="100"/>
        </w:rPr>
        <w:t>、核磁共振检查</w:t>
      </w:r>
      <w:r>
        <w:rPr>
          <w:spacing w:val="-3"/>
          <w:w w:val="100"/>
        </w:rPr>
        <w:t>（</w:t>
      </w:r>
      <w:r>
        <w:rPr>
          <w:w w:val="100"/>
        </w:rPr>
        <w:t>MRI</w:t>
      </w:r>
      <w:r>
        <w:rPr>
          <w:spacing w:val="-17"/>
          <w:w w:val="100"/>
        </w:rPr>
        <w:t>）</w:t>
      </w:r>
      <w:r>
        <w:rPr>
          <w:spacing w:val="-3"/>
          <w:w w:val="100"/>
        </w:rPr>
        <w:t>或正电子</w:t>
      </w:r>
      <w:r>
        <w:rPr>
          <w:spacing w:val="-3"/>
        </w:rPr>
        <w:t>发射断层扫描</w:t>
      </w:r>
      <w:r>
        <w:rPr>
          <w:spacing w:val="-1"/>
        </w:rPr>
        <w:t>（PET）</w:t>
      </w:r>
      <w:r>
        <w:rPr>
          <w:spacing w:val="-3"/>
        </w:rPr>
        <w:t>等影像学检查证实，并须满足下列至少一项条件：</w:t>
      </w:r>
    </w:p>
    <w:p>
      <w:pPr>
        <w:pStyle w:val="BodyText"/>
        <w:spacing w:before="46"/>
        <w:ind w:left="434"/>
      </w:pPr>
      <w:r>
        <w:rPr/>
        <w:t>（1）实际实施了开颅进行的脑肿瘤完全切除或部分切除的手术；</w:t>
      </w:r>
    </w:p>
    <w:p>
      <w:pPr>
        <w:pStyle w:val="BodyText"/>
        <w:spacing w:before="10"/>
        <w:rPr>
          <w:sz w:val="14"/>
        </w:rPr>
      </w:pPr>
    </w:p>
    <w:p>
      <w:pPr>
        <w:pStyle w:val="BodyText"/>
        <w:ind w:left="434"/>
      </w:pPr>
      <w:r>
        <w:rPr/>
        <w:t>（2）实际实施了对脑肿瘤进行的放射治疗。</w:t>
      </w:r>
    </w:p>
    <w:p>
      <w:pPr>
        <w:pStyle w:val="BodyText"/>
        <w:spacing w:before="9"/>
        <w:rPr>
          <w:sz w:val="14"/>
        </w:rPr>
      </w:pPr>
    </w:p>
    <w:p>
      <w:pPr>
        <w:pStyle w:val="BodyText"/>
        <w:spacing w:before="1"/>
        <w:ind w:left="540"/>
      </w:pPr>
      <w:r>
        <w:rPr/>
        <w:t>脑垂体瘤、脑囊肿、脑血管性疾病不在保障范围内。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慢性肝功能衰竭失代偿期</w:t>
      </w:r>
    </w:p>
    <w:p>
      <w:pPr>
        <w:pStyle w:val="BodyText"/>
        <w:spacing w:before="151"/>
        <w:ind w:left="540"/>
      </w:pPr>
      <w:r>
        <w:rPr/>
        <w:t>指因慢性肝脏疾病导致肝功能衰竭。须满足下列全部条件：</w:t>
      </w:r>
    </w:p>
    <w:p>
      <w:pPr>
        <w:pStyle w:val="BodyText"/>
        <w:spacing w:before="9"/>
        <w:rPr>
          <w:sz w:val="14"/>
        </w:rPr>
      </w:pPr>
    </w:p>
    <w:p>
      <w:pPr>
        <w:pStyle w:val="BodyText"/>
        <w:ind w:left="434"/>
      </w:pPr>
      <w:r>
        <w:rPr/>
        <w:t>（1）持续性黄疸；</w:t>
      </w:r>
    </w:p>
    <w:p>
      <w:pPr>
        <w:pStyle w:val="BodyText"/>
        <w:spacing w:before="9"/>
        <w:rPr>
          <w:sz w:val="14"/>
        </w:rPr>
      </w:pPr>
    </w:p>
    <w:p>
      <w:pPr>
        <w:pStyle w:val="BodyText"/>
        <w:ind w:left="434"/>
      </w:pPr>
      <w:r>
        <w:rPr/>
        <w:t>（2）腹水；</w:t>
      </w:r>
    </w:p>
    <w:p>
      <w:pPr>
        <w:pStyle w:val="BodyText"/>
        <w:spacing w:before="9"/>
        <w:rPr>
          <w:sz w:val="14"/>
        </w:rPr>
      </w:pPr>
    </w:p>
    <w:p>
      <w:pPr>
        <w:pStyle w:val="BodyText"/>
        <w:ind w:left="434"/>
      </w:pPr>
      <w:r>
        <w:rPr/>
        <w:t>（3）肝性脑病；</w:t>
      </w:r>
    </w:p>
    <w:p>
      <w:pPr>
        <w:pStyle w:val="BodyText"/>
        <w:spacing w:before="9"/>
        <w:rPr>
          <w:sz w:val="14"/>
        </w:rPr>
      </w:pPr>
    </w:p>
    <w:p>
      <w:pPr>
        <w:pStyle w:val="BodyText"/>
        <w:spacing w:line="408" w:lineRule="auto"/>
        <w:ind w:left="540" w:right="3053" w:hanging="106"/>
      </w:pPr>
      <w:r>
        <w:rPr/>
        <w:t>（4）充血性脾肿大伴脾功能亢进或食管胃底静脉曲张。因酗酒或药物滥用导致的肝功能衰竭不在保障范围内。</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脑炎后遗症或脑膜炎后遗症</w:t>
      </w:r>
    </w:p>
    <w:p>
      <w:pPr>
        <w:pStyle w:val="BodyText"/>
        <w:spacing w:line="408" w:lineRule="auto" w:before="151"/>
        <w:ind w:left="120" w:right="113" w:firstLine="420"/>
        <w:jc w:val="both"/>
      </w:pPr>
      <w:r>
        <w:rPr/>
        <w:t>指因患脑炎或脑膜炎导致的神经系统永久性的功能障碍。神经系统永久性的功能障碍， 指疾病确诊180 天后，仍遗留下列一种或一种以上障碍：</w:t>
      </w:r>
    </w:p>
    <w:p>
      <w:pPr>
        <w:pStyle w:val="BodyText"/>
        <w:spacing w:before="45"/>
        <w:ind w:left="434"/>
      </w:pPr>
      <w:r>
        <w:rPr/>
        <w:t>（1）一肢或一肢以上肢体机能完全丧失；</w:t>
      </w:r>
    </w:p>
    <w:p>
      <w:pPr>
        <w:pStyle w:val="BodyText"/>
        <w:spacing w:before="9"/>
        <w:rPr>
          <w:sz w:val="14"/>
        </w:rPr>
      </w:pPr>
    </w:p>
    <w:p>
      <w:pPr>
        <w:pStyle w:val="BodyText"/>
        <w:ind w:left="434"/>
      </w:pPr>
      <w:r>
        <w:rPr/>
        <w:t>（2）语言能力或咀嚼吞咽能力完全丧失；</w:t>
      </w:r>
    </w:p>
    <w:p>
      <w:pPr>
        <w:pStyle w:val="BodyText"/>
        <w:spacing w:before="9"/>
        <w:rPr>
          <w:sz w:val="14"/>
        </w:rPr>
      </w:pPr>
    </w:p>
    <w:p>
      <w:pPr>
        <w:pStyle w:val="BodyText"/>
        <w:ind w:left="434"/>
      </w:pPr>
      <w:r>
        <w:rPr>
          <w:w w:val="100"/>
        </w:rPr>
        <w:t>（</w:t>
      </w:r>
      <w:r>
        <w:rPr>
          <w:spacing w:val="-3"/>
          <w:w w:val="100"/>
        </w:rPr>
        <w:t>3</w:t>
      </w:r>
      <w:r>
        <w:rPr>
          <w:spacing w:val="-99"/>
          <w:w w:val="100"/>
        </w:rPr>
        <w:t>）</w:t>
      </w:r>
      <w:r>
        <w:rPr>
          <w:spacing w:val="-11"/>
          <w:w w:val="100"/>
        </w:rPr>
        <w:t>自主生活能力完全丧失，无法独立完成六项基本日常生活活动中的三项或三项以上。</w:t>
      </w:r>
    </w:p>
    <w:p>
      <w:pPr>
        <w:spacing w:after="0"/>
        <w:sectPr>
          <w:pgSz w:w="11900" w:h="16840"/>
          <w:pgMar w:header="0" w:footer="1007" w:top="1480" w:bottom="1200" w:left="1680" w:right="1580"/>
        </w:sectPr>
      </w:pPr>
    </w:p>
    <w:p>
      <w:pPr>
        <w:pStyle w:val="BodyText"/>
        <w:spacing w:before="8"/>
        <w:rPr>
          <w:sz w:val="24"/>
        </w:rPr>
      </w:pPr>
    </w:p>
    <w:p>
      <w:pPr>
        <w:pStyle w:val="Heading3"/>
        <w:numPr>
          <w:ilvl w:val="0"/>
          <w:numId w:val="3"/>
        </w:numPr>
        <w:tabs>
          <w:tab w:pos="483" w:val="left" w:leader="none"/>
        </w:tabs>
        <w:spacing w:line="368" w:lineRule="exact" w:before="0" w:after="0"/>
        <w:ind w:left="482" w:right="0" w:hanging="362"/>
        <w:jc w:val="left"/>
      </w:pPr>
      <w:r>
        <w:rPr/>
        <w:t>深度昏迷</w:t>
      </w:r>
    </w:p>
    <w:p>
      <w:pPr>
        <w:pStyle w:val="BodyText"/>
        <w:spacing w:line="408" w:lineRule="auto" w:before="152"/>
        <w:ind w:left="120" w:right="165" w:firstLine="420"/>
      </w:pPr>
      <w:r>
        <w:rPr>
          <w:spacing w:val="-3"/>
        </w:rPr>
        <w:t>指因疾病或意外伤害导致意识丧失,对外界刺激和体内需求均无反应,昏迷程度按照格拉斯哥昏迷分级</w:t>
      </w:r>
      <w:r>
        <w:rPr/>
        <w:t>（Glasgow coma scale）</w:t>
      </w:r>
      <w:r>
        <w:rPr>
          <w:spacing w:val="-2"/>
        </w:rPr>
        <w:t>结果为</w:t>
      </w:r>
      <w:r>
        <w:rPr>
          <w:spacing w:val="-3"/>
        </w:rPr>
        <w:t>5</w:t>
      </w:r>
      <w:r>
        <w:rPr>
          <w:spacing w:val="-2"/>
        </w:rPr>
        <w:t>分或</w:t>
      </w:r>
      <w:r>
        <w:rPr/>
        <w:t>5</w:t>
      </w:r>
      <w:r>
        <w:rPr>
          <w:spacing w:val="-3"/>
        </w:rPr>
        <w:t>分以下，且已经持续使用呼吸机及其它生命维持系统</w:t>
      </w:r>
      <w:r>
        <w:rPr/>
        <w:t>96</w:t>
      </w:r>
      <w:r>
        <w:rPr>
          <w:spacing w:val="-3"/>
        </w:rPr>
        <w:t>小时以上。</w:t>
      </w:r>
    </w:p>
    <w:p>
      <w:pPr>
        <w:pStyle w:val="BodyText"/>
        <w:spacing w:before="46"/>
        <w:ind w:left="540"/>
      </w:pPr>
      <w:r>
        <w:rPr/>
        <w:t>因酗酒或药物滥用导致的深度昏迷不在保障范围内。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双耳失聪</w:t>
      </w:r>
    </w:p>
    <w:p>
      <w:pPr>
        <w:pStyle w:val="BodyText"/>
        <w:spacing w:line="408" w:lineRule="auto" w:before="151"/>
        <w:ind w:left="120" w:right="218" w:firstLine="420"/>
        <w:jc w:val="both"/>
      </w:pPr>
      <w:r>
        <w:rPr>
          <w:spacing w:val="-3"/>
        </w:rPr>
        <w:t>指因疾病或意外伤害导致双耳听力永久不可逆性丧失，在</w:t>
      </w:r>
      <w:r>
        <w:rPr/>
        <w:t>500</w:t>
      </w:r>
      <w:r>
        <w:rPr>
          <w:spacing w:val="1"/>
        </w:rPr>
        <w:t> 赫兹、</w:t>
      </w:r>
      <w:r>
        <w:rPr/>
        <w:t>1000</w:t>
      </w:r>
      <w:r>
        <w:rPr>
          <w:spacing w:val="1"/>
        </w:rPr>
        <w:t> 赫兹和</w:t>
      </w:r>
      <w:r>
        <w:rPr/>
        <w:t>2000 </w:t>
      </w:r>
      <w:r>
        <w:rPr>
          <w:spacing w:val="-3"/>
        </w:rPr>
        <w:t>赫兹语音频率下，平均听阈大于</w:t>
      </w:r>
      <w:r>
        <w:rPr/>
        <w:t>90</w:t>
      </w:r>
      <w:r>
        <w:rPr>
          <w:spacing w:val="-3"/>
        </w:rPr>
        <w:t> 分贝，且经纯音听力测试、声导抗检测或听觉诱发电位</w:t>
      </w:r>
      <w:r>
        <w:rPr>
          <w:spacing w:val="-2"/>
        </w:rPr>
        <w:t>检测等证实。</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双目失明</w:t>
      </w:r>
    </w:p>
    <w:p>
      <w:pPr>
        <w:pStyle w:val="BodyText"/>
        <w:spacing w:before="152"/>
        <w:ind w:left="540"/>
      </w:pPr>
      <w:r>
        <w:rPr/>
        <w:t>指因疾病或意外伤害导致双眼视力永久不可逆性丧失，双眼中较好眼须满足下列至少一</w:t>
      </w:r>
    </w:p>
    <w:p>
      <w:pPr>
        <w:pStyle w:val="BodyText"/>
        <w:spacing w:before="10"/>
        <w:rPr>
          <w:sz w:val="14"/>
        </w:rPr>
      </w:pPr>
    </w:p>
    <w:p>
      <w:pPr>
        <w:pStyle w:val="BodyText"/>
        <w:ind w:left="120"/>
      </w:pPr>
      <w:r>
        <w:rPr/>
        <w:t>项条件：</w:t>
      </w:r>
    </w:p>
    <w:p>
      <w:pPr>
        <w:pStyle w:val="BodyText"/>
        <w:spacing w:before="9"/>
        <w:rPr>
          <w:sz w:val="14"/>
        </w:rPr>
      </w:pPr>
    </w:p>
    <w:p>
      <w:pPr>
        <w:pStyle w:val="BodyText"/>
        <w:spacing w:before="1"/>
        <w:ind w:left="434"/>
      </w:pPr>
      <w:r>
        <w:rPr/>
        <w:t>（1）眼球缺失或摘除；</w:t>
      </w:r>
    </w:p>
    <w:p>
      <w:pPr>
        <w:pStyle w:val="BodyText"/>
        <w:spacing w:before="10"/>
        <w:rPr>
          <w:sz w:val="14"/>
        </w:rPr>
      </w:pPr>
    </w:p>
    <w:p>
      <w:pPr>
        <w:pStyle w:val="BodyText"/>
        <w:ind w:left="434"/>
      </w:pPr>
      <w:r>
        <w:rPr>
          <w:w w:val="100"/>
        </w:rPr>
        <w:t>（2</w:t>
      </w:r>
      <w:r>
        <w:rPr>
          <w:spacing w:val="-3"/>
          <w:w w:val="100"/>
        </w:rPr>
        <w:t>）矫正视力低于0</w:t>
      </w:r>
      <w:r>
        <w:rPr>
          <w:w w:val="100"/>
        </w:rPr>
        <w:t>.0</w:t>
      </w:r>
      <w:r>
        <w:rPr>
          <w:spacing w:val="-3"/>
          <w:w w:val="100"/>
        </w:rPr>
        <w:t>2（采用国际标准视力表，如果使用其它视力表应进行换算</w:t>
      </w:r>
      <w:r>
        <w:rPr>
          <w:spacing w:val="-108"/>
          <w:w w:val="100"/>
        </w:rPr>
        <w:t>）</w:t>
      </w:r>
      <w:r>
        <w:rPr>
          <w:w w:val="100"/>
        </w:rPr>
        <w:t>；</w:t>
      </w:r>
    </w:p>
    <w:p>
      <w:pPr>
        <w:pStyle w:val="BodyText"/>
        <w:spacing w:before="9"/>
        <w:rPr>
          <w:sz w:val="14"/>
        </w:rPr>
      </w:pPr>
    </w:p>
    <w:p>
      <w:pPr>
        <w:pStyle w:val="BodyText"/>
        <w:spacing w:before="1"/>
        <w:ind w:left="434"/>
      </w:pPr>
      <w:r>
        <w:rPr/>
        <w:t>（3）视野半径小于5 度。</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瘫痪</w:t>
      </w:r>
    </w:p>
    <w:p>
      <w:pPr>
        <w:pStyle w:val="BodyText"/>
        <w:spacing w:line="408" w:lineRule="auto" w:before="152"/>
        <w:ind w:left="120" w:right="101" w:firstLine="420"/>
      </w:pPr>
      <w:r>
        <w:rPr>
          <w:spacing w:val="-7"/>
        </w:rPr>
        <w:t>指因疾病或意外伤害导致两肢或两肢以上肢体机能永久完全丧失。肢体机能永久完全丧</w:t>
      </w:r>
      <w:r>
        <w:rPr>
          <w:spacing w:val="-18"/>
        </w:rPr>
        <w:t>失，指疾病确诊</w:t>
      </w:r>
      <w:r>
        <w:rPr/>
        <w:t>180</w:t>
      </w:r>
      <w:r>
        <w:rPr>
          <w:spacing w:val="-3"/>
        </w:rPr>
        <w:t>天后或意外伤害发生</w:t>
      </w:r>
      <w:r>
        <w:rPr/>
        <w:t>180</w:t>
      </w:r>
      <w:r>
        <w:rPr>
          <w:spacing w:val="-12"/>
        </w:rPr>
        <w:t>天后，每肢三大关节中的两大关节仍然完全僵硬， </w:t>
      </w:r>
      <w:r>
        <w:rPr>
          <w:spacing w:val="-6"/>
        </w:rPr>
        <w:t>或不能随意识活动。</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心脏瓣膜手术</w:t>
      </w:r>
    </w:p>
    <w:p>
      <w:pPr>
        <w:pStyle w:val="BodyText"/>
        <w:spacing w:before="151"/>
        <w:ind w:left="540"/>
      </w:pPr>
      <w:r>
        <w:rPr/>
        <w:t>指为治疗心脏瓣膜疾病，实际实施了开胸进行的心脏瓣膜置换或修复的手术。</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严重阿尔茨海默病</w:t>
      </w:r>
    </w:p>
    <w:p>
      <w:pPr>
        <w:pStyle w:val="BodyText"/>
        <w:spacing w:before="11"/>
        <w:rPr>
          <w:rFonts w:ascii="Microsoft JhengHei"/>
          <w:b/>
          <w:sz w:val="17"/>
        </w:rPr>
      </w:pPr>
    </w:p>
    <w:p>
      <w:pPr>
        <w:pStyle w:val="BodyText"/>
        <w:spacing w:before="1"/>
        <w:ind w:left="540"/>
      </w:pPr>
      <w:r>
        <w:rPr/>
        <w:t>指因大脑进行性、不可逆性改变导致智能严重衰退或丧失，临床表现为明显的认知能力</w:t>
      </w:r>
    </w:p>
    <w:p>
      <w:pPr>
        <w:spacing w:after="0"/>
        <w:sectPr>
          <w:pgSz w:w="11900" w:h="16840"/>
          <w:pgMar w:header="0" w:footer="1007" w:top="1600" w:bottom="1200" w:left="1680" w:right="1580"/>
        </w:sectPr>
      </w:pPr>
    </w:p>
    <w:p>
      <w:pPr>
        <w:pStyle w:val="BodyText"/>
        <w:spacing w:before="26"/>
        <w:ind w:left="120"/>
      </w:pPr>
      <w:r>
        <w:rPr/>
        <w:t>障碍、行为异常和社交能力减退，其日常生活必须持续受到他人监护。须由头颅断层扫描</w:t>
      </w:r>
    </w:p>
    <w:p>
      <w:pPr>
        <w:pStyle w:val="BodyText"/>
        <w:spacing w:before="10"/>
        <w:rPr>
          <w:sz w:val="14"/>
        </w:rPr>
      </w:pPr>
    </w:p>
    <w:p>
      <w:pPr>
        <w:pStyle w:val="BodyText"/>
        <w:ind w:left="120"/>
      </w:pP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r>
        <w:rPr>
          <w:w w:val="100"/>
        </w:rPr>
        <w:t>（PE</w:t>
      </w:r>
      <w:r>
        <w:rPr>
          <w:spacing w:val="-3"/>
          <w:w w:val="100"/>
        </w:rPr>
        <w:t>T</w:t>
      </w:r>
      <w:r>
        <w:rPr>
          <w:w w:val="100"/>
        </w:rPr>
        <w:t>）</w:t>
      </w:r>
      <w:r>
        <w:rPr>
          <w:spacing w:val="-3"/>
          <w:w w:val="100"/>
        </w:rPr>
        <w:t>等影像学检查证实，自主生活</w:t>
      </w:r>
    </w:p>
    <w:p>
      <w:pPr>
        <w:pStyle w:val="BodyText"/>
        <w:spacing w:before="9"/>
        <w:rPr>
          <w:sz w:val="14"/>
        </w:rPr>
      </w:pPr>
    </w:p>
    <w:p>
      <w:pPr>
        <w:pStyle w:val="BodyText"/>
        <w:spacing w:before="1"/>
        <w:ind w:left="120"/>
      </w:pPr>
      <w:r>
        <w:rPr/>
        <w:t>能力完全丧失，无法独立完成六项基本日常生活活动中的三项或三项以上。</w:t>
      </w:r>
    </w:p>
    <w:p>
      <w:pPr>
        <w:pStyle w:val="BodyText"/>
        <w:spacing w:before="10"/>
        <w:rPr>
          <w:sz w:val="14"/>
        </w:rPr>
      </w:pPr>
    </w:p>
    <w:p>
      <w:pPr>
        <w:pStyle w:val="BodyText"/>
        <w:ind w:left="540"/>
      </w:pPr>
      <w:r>
        <w:rPr/>
        <w:t>神经官能症和精神疾病不在保障范围内。</w:t>
      </w:r>
    </w:p>
    <w:p>
      <w:pPr>
        <w:pStyle w:val="BodyText"/>
        <w:rPr>
          <w:sz w:val="20"/>
        </w:rPr>
      </w:pPr>
    </w:p>
    <w:p>
      <w:pPr>
        <w:pStyle w:val="BodyText"/>
        <w:spacing w:before="9"/>
        <w:rPr>
          <w:sz w:val="22"/>
        </w:rPr>
      </w:pPr>
    </w:p>
    <w:p>
      <w:pPr>
        <w:pStyle w:val="Heading3"/>
        <w:numPr>
          <w:ilvl w:val="0"/>
          <w:numId w:val="3"/>
        </w:numPr>
        <w:tabs>
          <w:tab w:pos="423" w:val="left" w:leader="none"/>
        </w:tabs>
        <w:spacing w:line="240" w:lineRule="auto" w:before="0" w:after="0"/>
        <w:ind w:left="422" w:right="0" w:hanging="302"/>
        <w:jc w:val="left"/>
      </w:pPr>
      <w:r>
        <w:rPr/>
        <w:t>严重脑损伤</w:t>
      </w:r>
    </w:p>
    <w:p>
      <w:pPr>
        <w:pStyle w:val="BodyText"/>
        <w:spacing w:before="11"/>
        <w:rPr>
          <w:rFonts w:ascii="Microsoft JhengHei"/>
          <w:b/>
          <w:sz w:val="17"/>
        </w:rPr>
      </w:pPr>
    </w:p>
    <w:p>
      <w:pPr>
        <w:pStyle w:val="BodyText"/>
        <w:spacing w:line="408" w:lineRule="auto"/>
        <w:ind w:left="120" w:right="218" w:firstLine="420"/>
        <w:jc w:val="both"/>
      </w:pPr>
      <w:r>
        <w:rPr>
          <w:spacing w:val="-10"/>
        </w:rPr>
        <w:t>指因头部遭受机械性外力，引起脑重要部位损伤，导致神经系统永久性的功能障碍。须</w:t>
      </w:r>
      <w:r>
        <w:rPr>
          <w:spacing w:val="-3"/>
          <w:w w:val="100"/>
        </w:rPr>
        <w:t>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w w:val="100"/>
        </w:rPr>
        <w:t>I</w:t>
      </w:r>
      <w:r>
        <w:rPr>
          <w:spacing w:val="-3"/>
          <w:w w:val="100"/>
        </w:rPr>
        <w:t>）或正电子发射断层扫描</w:t>
      </w:r>
      <w:r>
        <w:rPr>
          <w:w w:val="100"/>
        </w:rPr>
        <w:t>（P</w:t>
      </w:r>
      <w:r>
        <w:rPr>
          <w:spacing w:val="-3"/>
          <w:w w:val="100"/>
        </w:rPr>
        <w:t>E</w:t>
      </w:r>
      <w:r>
        <w:rPr>
          <w:w w:val="100"/>
        </w:rPr>
        <w:t>T</w:t>
      </w:r>
      <w:r>
        <w:rPr>
          <w:spacing w:val="-3"/>
          <w:w w:val="100"/>
        </w:rPr>
        <w:t>）等影像学检查</w:t>
      </w:r>
      <w:r>
        <w:rPr>
          <w:spacing w:val="-3"/>
        </w:rPr>
        <w:t>证实。神经系统永久性的功能障碍，指脑损伤</w:t>
      </w:r>
      <w:r>
        <w:rPr/>
        <w:t>180</w:t>
      </w:r>
      <w:r>
        <w:rPr>
          <w:spacing w:val="-3"/>
        </w:rPr>
        <w:t>天后，仍遗留下列一种或一种以上障碍：</w:t>
      </w:r>
    </w:p>
    <w:p>
      <w:pPr>
        <w:pStyle w:val="BodyText"/>
        <w:spacing w:before="45"/>
        <w:ind w:left="434"/>
      </w:pPr>
      <w:r>
        <w:rPr/>
        <w:t>（1）一肢或一肢以上肢体机能完全丧失；</w:t>
      </w:r>
    </w:p>
    <w:p>
      <w:pPr>
        <w:pStyle w:val="BodyText"/>
        <w:spacing w:before="9"/>
        <w:rPr>
          <w:sz w:val="14"/>
        </w:rPr>
      </w:pPr>
    </w:p>
    <w:p>
      <w:pPr>
        <w:pStyle w:val="BodyText"/>
        <w:ind w:left="434"/>
      </w:pPr>
      <w:r>
        <w:rPr/>
        <w:t>（2）语言能力或咀嚼吞咽能力完全丧失；</w:t>
      </w:r>
    </w:p>
    <w:p>
      <w:pPr>
        <w:pStyle w:val="BodyText"/>
        <w:spacing w:before="9"/>
        <w:rPr>
          <w:sz w:val="14"/>
        </w:rPr>
      </w:pPr>
    </w:p>
    <w:p>
      <w:pPr>
        <w:pStyle w:val="BodyText"/>
        <w:ind w:left="434"/>
      </w:pPr>
      <w:r>
        <w:rPr>
          <w:w w:val="100"/>
        </w:rPr>
        <w:t>（</w:t>
      </w:r>
      <w:r>
        <w:rPr>
          <w:spacing w:val="-3"/>
          <w:w w:val="100"/>
        </w:rPr>
        <w:t>3</w:t>
      </w:r>
      <w:r>
        <w:rPr>
          <w:spacing w:val="-99"/>
          <w:w w:val="100"/>
        </w:rPr>
        <w:t>）</w:t>
      </w:r>
      <w:r>
        <w:rPr>
          <w:spacing w:val="-11"/>
          <w:w w:val="100"/>
        </w:rPr>
        <w:t>自主生活能力完全丧失，无法独立完成六项基本日常生活活动中的三项或三项以上。</w:t>
      </w:r>
    </w:p>
    <w:p>
      <w:pPr>
        <w:pStyle w:val="BodyText"/>
        <w:rPr>
          <w:sz w:val="20"/>
        </w:rPr>
      </w:pPr>
    </w:p>
    <w:p>
      <w:pPr>
        <w:pStyle w:val="BodyText"/>
        <w:spacing w:before="7"/>
        <w:rPr>
          <w:sz w:val="28"/>
        </w:rPr>
      </w:pPr>
    </w:p>
    <w:p>
      <w:pPr>
        <w:pStyle w:val="Heading3"/>
        <w:numPr>
          <w:ilvl w:val="0"/>
          <w:numId w:val="3"/>
        </w:numPr>
        <w:tabs>
          <w:tab w:pos="423" w:val="left" w:leader="none"/>
        </w:tabs>
        <w:spacing w:line="240" w:lineRule="auto" w:before="0" w:after="0"/>
        <w:ind w:left="422" w:right="0" w:hanging="302"/>
        <w:jc w:val="left"/>
      </w:pPr>
      <w:r>
        <w:rPr/>
        <w:t>严重帕金森病</w:t>
      </w:r>
    </w:p>
    <w:p>
      <w:pPr>
        <w:pStyle w:val="BodyText"/>
        <w:spacing w:before="2"/>
        <w:rPr>
          <w:rFonts w:ascii="Microsoft JhengHei"/>
          <w:b/>
          <w:sz w:val="13"/>
        </w:rPr>
      </w:pPr>
    </w:p>
    <w:p>
      <w:pPr>
        <w:pStyle w:val="BodyText"/>
        <w:ind w:left="475" w:right="144"/>
        <w:jc w:val="center"/>
      </w:pPr>
      <w:r>
        <w:rPr/>
        <w:t>指一种中枢神经系统的退行性疾病，临床表现为震颤麻痹、共济失调等。须满足下列全</w:t>
      </w:r>
    </w:p>
    <w:p>
      <w:pPr>
        <w:pStyle w:val="BodyText"/>
        <w:spacing w:before="9"/>
        <w:rPr>
          <w:sz w:val="14"/>
        </w:rPr>
      </w:pPr>
    </w:p>
    <w:p>
      <w:pPr>
        <w:pStyle w:val="BodyText"/>
        <w:ind w:left="120"/>
      </w:pPr>
      <w:r>
        <w:rPr/>
        <w:t>部条件：</w:t>
      </w:r>
    </w:p>
    <w:p>
      <w:pPr>
        <w:pStyle w:val="BodyText"/>
        <w:spacing w:before="9"/>
        <w:rPr>
          <w:sz w:val="14"/>
        </w:rPr>
      </w:pPr>
    </w:p>
    <w:p>
      <w:pPr>
        <w:pStyle w:val="BodyText"/>
        <w:ind w:left="434"/>
      </w:pPr>
      <w:r>
        <w:rPr/>
        <w:t>（1）药物治疗无法控制病情；</w:t>
      </w:r>
    </w:p>
    <w:p>
      <w:pPr>
        <w:pStyle w:val="BodyText"/>
        <w:spacing w:before="9"/>
        <w:rPr>
          <w:sz w:val="14"/>
        </w:rPr>
      </w:pPr>
    </w:p>
    <w:p>
      <w:pPr>
        <w:pStyle w:val="BodyText"/>
        <w:ind w:left="434"/>
      </w:pPr>
      <w:r>
        <w:rPr>
          <w:w w:val="100"/>
        </w:rPr>
        <w:t>（</w:t>
      </w:r>
      <w:r>
        <w:rPr>
          <w:spacing w:val="-3"/>
          <w:w w:val="100"/>
        </w:rPr>
        <w:t>2</w:t>
      </w:r>
      <w:r>
        <w:rPr>
          <w:spacing w:val="-99"/>
          <w:w w:val="100"/>
        </w:rPr>
        <w:t>）</w:t>
      </w:r>
      <w:r>
        <w:rPr>
          <w:spacing w:val="-11"/>
          <w:w w:val="100"/>
        </w:rPr>
        <w:t>自主生活能力完全丧失，无法独立完成六项基本日常生活活动中的三项或三项以上。</w:t>
      </w:r>
    </w:p>
    <w:p>
      <w:pPr>
        <w:pStyle w:val="BodyText"/>
        <w:spacing w:before="9"/>
        <w:rPr>
          <w:sz w:val="14"/>
        </w:rPr>
      </w:pPr>
    </w:p>
    <w:p>
      <w:pPr>
        <w:pStyle w:val="BodyText"/>
        <w:ind w:left="120"/>
      </w:pPr>
      <w:r>
        <w:rPr/>
        <w:t>继发性帕金森综合征不在保障范围内。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严重Ⅲ度烧伤</w:t>
      </w:r>
    </w:p>
    <w:p>
      <w:pPr>
        <w:pStyle w:val="BodyText"/>
        <w:spacing w:before="151"/>
        <w:ind w:left="475" w:right="144"/>
        <w:jc w:val="center"/>
      </w:pPr>
      <w:r>
        <w:rPr/>
        <w:t>指烧伤程度为Ⅲ度，且Ⅲ度烧伤的面积达到全身体表面积的20％或20％以上。体表面积</w:t>
      </w:r>
    </w:p>
    <w:p>
      <w:pPr>
        <w:pStyle w:val="BodyText"/>
        <w:spacing w:before="9"/>
        <w:rPr>
          <w:sz w:val="14"/>
        </w:rPr>
      </w:pPr>
    </w:p>
    <w:p>
      <w:pPr>
        <w:pStyle w:val="BodyText"/>
        <w:ind w:left="120"/>
      </w:pPr>
      <w:r>
        <w:rPr/>
        <w:t>根据《中国新九分法》计算。</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严重原发性肺动脉高压</w:t>
      </w:r>
    </w:p>
    <w:p>
      <w:pPr>
        <w:pStyle w:val="BodyText"/>
        <w:spacing w:line="408" w:lineRule="auto" w:before="151"/>
        <w:ind w:left="120" w:right="206" w:firstLine="420"/>
        <w:jc w:val="both"/>
      </w:pPr>
      <w:r>
        <w:rPr>
          <w:spacing w:val="-8"/>
        </w:rPr>
        <w:t>指不明原因的肺动脉压力持续性增高，进行性发展而导致的慢性疾病，已经造成永久不</w:t>
      </w:r>
      <w:r>
        <w:rPr>
          <w:spacing w:val="-5"/>
        </w:rPr>
        <w:t>可逆性的体力活动能力受限，达到美国纽约心脏病学会心功能状态分级</w:t>
      </w:r>
      <w:r>
        <w:rPr/>
        <w:t>IV</w:t>
      </w:r>
      <w:r>
        <w:rPr>
          <w:spacing w:val="0"/>
        </w:rPr>
        <w:t> 级，且静息状态</w:t>
      </w:r>
      <w:r>
        <w:rPr>
          <w:spacing w:val="-3"/>
        </w:rPr>
        <w:t>下肺动脉平均压超过</w:t>
      </w:r>
      <w:r>
        <w:rPr>
          <w:spacing w:val="-1"/>
        </w:rPr>
        <w:t>30mmHg</w:t>
      </w:r>
      <w:r>
        <w:rPr/>
        <w:t>。</w:t>
      </w:r>
    </w:p>
    <w:p>
      <w:pPr>
        <w:spacing w:after="0" w:line="408" w:lineRule="auto"/>
        <w:jc w:val="both"/>
        <w:sectPr>
          <w:pgSz w:w="11900" w:h="16840"/>
          <w:pgMar w:header="0" w:footer="1007" w:top="1480" w:bottom="1200" w:left="1680" w:right="1580"/>
        </w:sectPr>
      </w:pPr>
    </w:p>
    <w:p>
      <w:pPr>
        <w:pStyle w:val="Heading3"/>
        <w:numPr>
          <w:ilvl w:val="0"/>
          <w:numId w:val="3"/>
        </w:numPr>
        <w:tabs>
          <w:tab w:pos="483" w:val="left" w:leader="none"/>
        </w:tabs>
        <w:spacing w:line="342" w:lineRule="exact" w:before="0" w:after="0"/>
        <w:ind w:left="482" w:right="0" w:hanging="362"/>
        <w:jc w:val="left"/>
      </w:pPr>
      <w:r>
        <w:rPr/>
        <w:t>严重运动神经元病</w:t>
      </w:r>
    </w:p>
    <w:p>
      <w:pPr>
        <w:pStyle w:val="BodyText"/>
        <w:spacing w:line="408" w:lineRule="auto" w:before="152"/>
        <w:ind w:left="120" w:right="206" w:firstLine="420"/>
        <w:jc w:val="both"/>
      </w:pPr>
      <w:r>
        <w:rPr>
          <w:spacing w:val="-7"/>
        </w:rPr>
        <w:t>是一组中枢神经系统运动神经元的进行性变性疾病，包括进行性脊肌萎缩症、进行性延</w:t>
      </w:r>
      <w:r>
        <w:rPr>
          <w:spacing w:val="-12"/>
        </w:rPr>
        <w:t>髓麻痹症、原发性侧索硬化症、肌萎缩性侧索硬化症。须满足自主生活能力完全丧失，无法</w:t>
      </w:r>
      <w:r>
        <w:rPr>
          <w:spacing w:val="-6"/>
        </w:rPr>
        <w:t>独立完成六项基本日常生活活动中的三项或三项以上的条件。</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语言能力丧失</w:t>
      </w:r>
    </w:p>
    <w:p>
      <w:pPr>
        <w:pStyle w:val="BodyText"/>
        <w:spacing w:before="151"/>
        <w:ind w:left="540"/>
      </w:pPr>
      <w:r>
        <w:rPr/>
        <w:t>指因疾病或意外伤害导致完全丧失语言能力，经过积极治疗至少12个月（声带完全切除</w:t>
      </w:r>
    </w:p>
    <w:p>
      <w:pPr>
        <w:pStyle w:val="BodyText"/>
        <w:spacing w:before="9"/>
        <w:rPr>
          <w:sz w:val="14"/>
        </w:rPr>
      </w:pPr>
    </w:p>
    <w:p>
      <w:pPr>
        <w:pStyle w:val="BodyText"/>
        <w:ind w:left="120"/>
      </w:pPr>
      <w:r>
        <w:rPr>
          <w:spacing w:val="-3"/>
          <w:w w:val="100"/>
        </w:rPr>
        <w:t>不受此时间限制</w:t>
      </w:r>
      <w:r>
        <w:rPr>
          <w:spacing w:val="-106"/>
          <w:w w:val="100"/>
        </w:rPr>
        <w:t>）</w:t>
      </w:r>
      <w:r>
        <w:rPr>
          <w:spacing w:val="-3"/>
          <w:w w:val="100"/>
        </w:rPr>
        <w:t>，仍无法通过现有医疗手段恢复。</w:t>
      </w:r>
    </w:p>
    <w:p>
      <w:pPr>
        <w:pStyle w:val="BodyText"/>
        <w:spacing w:before="9"/>
        <w:rPr>
          <w:sz w:val="14"/>
        </w:rPr>
      </w:pPr>
    </w:p>
    <w:p>
      <w:pPr>
        <w:pStyle w:val="BodyText"/>
        <w:ind w:left="540"/>
      </w:pPr>
      <w:r>
        <w:rPr/>
        <w:t>精神心理因素所致的语言能力丧失不在保障范围内。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重型再生障碍性贫血</w:t>
      </w:r>
    </w:p>
    <w:p>
      <w:pPr>
        <w:pStyle w:val="BodyText"/>
        <w:spacing w:line="408" w:lineRule="auto" w:before="151"/>
        <w:ind w:left="120" w:right="206" w:firstLine="420"/>
      </w:pPr>
      <w:r>
        <w:rPr>
          <w:spacing w:val="-8"/>
        </w:rPr>
        <w:t>指因骨髓造血功能慢性持续性衰竭导致的贫血、中性粒细胞减少及血小板减少。须满足</w:t>
      </w:r>
      <w:r>
        <w:rPr>
          <w:spacing w:val="-5"/>
        </w:rPr>
        <w:t>下列全部条件：</w:t>
      </w:r>
    </w:p>
    <w:p>
      <w:pPr>
        <w:pStyle w:val="BodyText"/>
        <w:spacing w:before="45"/>
        <w:ind w:left="434"/>
      </w:pPr>
      <w:r>
        <w:rPr/>
        <w:t>（1）骨髓穿刺检查或骨髓活检结果支持诊断；</w:t>
      </w:r>
    </w:p>
    <w:p>
      <w:pPr>
        <w:pStyle w:val="BodyText"/>
        <w:spacing w:before="9"/>
        <w:rPr>
          <w:sz w:val="14"/>
        </w:rPr>
      </w:pPr>
    </w:p>
    <w:p>
      <w:pPr>
        <w:pStyle w:val="BodyText"/>
        <w:ind w:left="434"/>
      </w:pPr>
      <w:r>
        <w:rPr/>
        <w:t>（2）外周血象须具备以下三项条件：</w:t>
      </w:r>
    </w:p>
    <w:p>
      <w:pPr>
        <w:pStyle w:val="BodyText"/>
        <w:spacing w:before="9"/>
        <w:rPr>
          <w:sz w:val="14"/>
        </w:rPr>
      </w:pPr>
    </w:p>
    <w:p>
      <w:pPr>
        <w:pStyle w:val="BodyText"/>
        <w:ind w:left="540"/>
      </w:pPr>
      <w:r>
        <w:rPr/>
        <w:t>① 中性粒细胞绝对值≤0.5×109/L ；</w:t>
      </w:r>
    </w:p>
    <w:p>
      <w:pPr>
        <w:pStyle w:val="BodyText"/>
        <w:spacing w:before="9"/>
        <w:rPr>
          <w:sz w:val="14"/>
        </w:rPr>
      </w:pPr>
    </w:p>
    <w:p>
      <w:pPr>
        <w:pStyle w:val="BodyText"/>
        <w:ind w:left="540"/>
      </w:pPr>
      <w:r>
        <w:rPr/>
        <w:drawing>
          <wp:anchor distT="0" distB="0" distL="0" distR="0" allowOverlap="1" layoutInCell="1" locked="0" behindDoc="1" simplePos="0" relativeHeight="268417895">
            <wp:simplePos x="0" y="0"/>
            <wp:positionH relativeFrom="page">
              <wp:posOffset>2481198</wp:posOffset>
            </wp:positionH>
            <wp:positionV relativeFrom="paragraph">
              <wp:posOffset>54148</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60325" cy="104775"/>
                    </a:xfrm>
                    <a:prstGeom prst="rect">
                      <a:avLst/>
                    </a:prstGeom>
                  </pic:spPr>
                </pic:pic>
              </a:graphicData>
            </a:graphic>
          </wp:anchor>
        </w:drawing>
      </w:r>
      <w:r>
        <w:rPr/>
        <w:t>② 网织红细胞＜1；</w:t>
      </w:r>
    </w:p>
    <w:p>
      <w:pPr>
        <w:pStyle w:val="BodyText"/>
        <w:spacing w:before="9"/>
        <w:rPr>
          <w:sz w:val="14"/>
        </w:rPr>
      </w:pPr>
    </w:p>
    <w:p>
      <w:pPr>
        <w:pStyle w:val="BodyText"/>
        <w:ind w:left="540"/>
      </w:pPr>
      <w:r>
        <w:rPr/>
        <w:t>③ 血小板绝对值≤20×109/L。</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主动脉手术</w:t>
      </w:r>
    </w:p>
    <w:p>
      <w:pPr>
        <w:pStyle w:val="BodyText"/>
        <w:spacing w:line="408" w:lineRule="auto" w:before="151"/>
        <w:ind w:left="120" w:right="206" w:firstLine="420"/>
      </w:pPr>
      <w:r>
        <w:rPr>
          <w:spacing w:val="-9"/>
        </w:rPr>
        <w:t>指为治疗主动脉疾病，实际实施了开胸或开腹进行的切除、置换、修补病损主动脉血管</w:t>
      </w:r>
      <w:r>
        <w:rPr>
          <w:spacing w:val="-5"/>
        </w:rPr>
        <w:t>的手术。主动脉指胸主动脉和腹主动脉，不包括胸主动脉和腹主动脉的分支血管。</w:t>
      </w:r>
    </w:p>
    <w:p>
      <w:pPr>
        <w:pStyle w:val="BodyText"/>
        <w:spacing w:before="45"/>
        <w:ind w:left="120"/>
      </w:pPr>
      <w:r>
        <w:rPr/>
        <w:t>动脉内血管成形术不在保障范围内。</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严重的系统性硬化症</w:t>
      </w:r>
    </w:p>
    <w:p>
      <w:pPr>
        <w:pStyle w:val="BodyText"/>
        <w:spacing w:line="408" w:lineRule="auto" w:before="151"/>
        <w:ind w:left="120" w:right="113" w:firstLine="420"/>
      </w:pPr>
      <w:r>
        <w:rPr>
          <w:spacing w:val="-3"/>
        </w:rPr>
        <w:t>是一种以皮肤、血管和内脏器官的进行性、弥漫性纤维化为特点的系统性结缔组织病。须经专科医生根据组织活检和血清学检查结果作出明确诊断并提供下列一项或一项以上内 脏器官受累的检查报告及诊疗记录：</w:t>
      </w:r>
    </w:p>
    <w:p>
      <w:pPr>
        <w:pStyle w:val="BodyText"/>
        <w:spacing w:before="45"/>
        <w:ind w:left="540"/>
      </w:pPr>
      <w:r>
        <w:rPr/>
        <w:t>肺脏：肺纤维化，已经发展为肺动脉高压、肺心病；</w:t>
      </w:r>
    </w:p>
    <w:p>
      <w:pPr>
        <w:pStyle w:val="BodyText"/>
        <w:spacing w:before="9"/>
        <w:rPr>
          <w:sz w:val="14"/>
        </w:rPr>
      </w:pPr>
    </w:p>
    <w:p>
      <w:pPr>
        <w:pStyle w:val="BodyText"/>
        <w:ind w:left="540"/>
      </w:pPr>
      <w:r>
        <w:rPr/>
        <w:t>心脏：心室功能受损，至少达到美国纽约心脏病学会心功能状态分级Ⅲ级；</w:t>
      </w:r>
    </w:p>
    <w:p>
      <w:pPr>
        <w:spacing w:after="0"/>
        <w:sectPr>
          <w:pgSz w:w="11900" w:h="16840"/>
          <w:pgMar w:header="0" w:footer="1007" w:top="1480" w:bottom="1200" w:left="1680" w:right="1580"/>
        </w:sectPr>
      </w:pPr>
    </w:p>
    <w:p>
      <w:pPr>
        <w:pStyle w:val="BodyText"/>
        <w:spacing w:before="26"/>
        <w:ind w:left="540"/>
      </w:pPr>
      <w:r>
        <w:rPr/>
        <w:t>肾脏：肾脏受损，已经出现肾功能不全。</w:t>
      </w:r>
    </w:p>
    <w:p>
      <w:pPr>
        <w:pStyle w:val="BodyText"/>
        <w:spacing w:before="10"/>
        <w:rPr>
          <w:sz w:val="14"/>
        </w:rPr>
      </w:pPr>
    </w:p>
    <w:p>
      <w:pPr>
        <w:pStyle w:val="BodyText"/>
        <w:ind w:left="540"/>
      </w:pPr>
      <w:r>
        <w:rPr/>
        <w:t>下列疾病不在保障范围内：</w:t>
      </w:r>
    </w:p>
    <w:p>
      <w:pPr>
        <w:pStyle w:val="BodyText"/>
        <w:spacing w:before="9"/>
        <w:rPr>
          <w:sz w:val="14"/>
        </w:rPr>
      </w:pPr>
    </w:p>
    <w:p>
      <w:pPr>
        <w:pStyle w:val="BodyText"/>
        <w:spacing w:before="1"/>
        <w:ind w:left="434"/>
      </w:pPr>
      <w:r>
        <w:rPr>
          <w:w w:val="100"/>
        </w:rPr>
        <w:t>（1</w:t>
      </w:r>
      <w:r>
        <w:rPr>
          <w:spacing w:val="-3"/>
          <w:w w:val="100"/>
        </w:rPr>
        <w:t>）局部性硬皮病</w:t>
      </w:r>
      <w:r>
        <w:rPr>
          <w:w w:val="100"/>
        </w:rPr>
        <w:t>（</w:t>
      </w:r>
      <w:r>
        <w:rPr>
          <w:spacing w:val="-3"/>
          <w:w w:val="100"/>
        </w:rPr>
        <w:t>如：带状硬皮病、硬斑病</w:t>
      </w:r>
      <w:r>
        <w:rPr>
          <w:spacing w:val="-106"/>
          <w:w w:val="100"/>
        </w:rPr>
        <w:t>）</w:t>
      </w:r>
      <w:r>
        <w:rPr>
          <w:w w:val="100"/>
        </w:rPr>
        <w:t>；</w:t>
      </w:r>
    </w:p>
    <w:p>
      <w:pPr>
        <w:pStyle w:val="BodyText"/>
        <w:spacing w:before="10"/>
        <w:rPr>
          <w:sz w:val="14"/>
        </w:rPr>
      </w:pPr>
    </w:p>
    <w:p>
      <w:pPr>
        <w:pStyle w:val="BodyText"/>
        <w:ind w:left="434"/>
      </w:pPr>
      <w:r>
        <w:rPr/>
        <w:t>（2）嗜酸性粒细胞性筋膜炎；</w:t>
      </w:r>
    </w:p>
    <w:p>
      <w:pPr>
        <w:pStyle w:val="BodyText"/>
        <w:spacing w:before="9"/>
        <w:rPr>
          <w:sz w:val="14"/>
        </w:rPr>
      </w:pPr>
    </w:p>
    <w:p>
      <w:pPr>
        <w:pStyle w:val="BodyText"/>
        <w:spacing w:before="1"/>
        <w:ind w:left="434"/>
      </w:pPr>
      <w:r>
        <w:rPr/>
        <w:t>（3）CREST综合征。</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严重的原发性心肌病</w:t>
      </w:r>
    </w:p>
    <w:p>
      <w:pPr>
        <w:pStyle w:val="BodyText"/>
        <w:spacing w:line="408" w:lineRule="auto" w:before="152"/>
        <w:ind w:left="120" w:right="113" w:firstLine="420"/>
      </w:pPr>
      <w:r>
        <w:rPr>
          <w:spacing w:val="-8"/>
        </w:rPr>
        <w:t>是指不明原因引起的一类心肌病变，包括原发性扩张型心肌病、原发性肥厚型心肌病及</w:t>
      </w:r>
      <w:r>
        <w:rPr>
          <w:spacing w:val="-5"/>
        </w:rPr>
        <w:t>原发性限制型心肌病三种，病变必须已造成事实上心室功能障碍而出现明显的心功能衰竭， </w:t>
      </w:r>
      <w:r>
        <w:rPr>
          <w:spacing w:val="-4"/>
        </w:rPr>
        <w:t>达到美国纽约心脏病协会心功能状态分级</w:t>
      </w:r>
      <w:r>
        <w:rPr/>
        <w:t>IV</w:t>
      </w:r>
      <w:r>
        <w:rPr>
          <w:spacing w:val="-12"/>
        </w:rPr>
        <w:t>级，且有相关住院医疗记录显示</w:t>
      </w:r>
      <w:r>
        <w:rPr/>
        <w:t>IV</w:t>
      </w:r>
      <w:r>
        <w:rPr>
          <w:spacing w:val="-2"/>
        </w:rPr>
        <w:t>级心功能状态</w:t>
      </w:r>
      <w:r>
        <w:rPr>
          <w:spacing w:val="-3"/>
        </w:rPr>
        <w:t>持续至少</w:t>
      </w:r>
      <w:r>
        <w:rPr/>
        <w:t>180</w:t>
      </w:r>
      <w:r>
        <w:rPr>
          <w:spacing w:val="-3"/>
        </w:rPr>
        <w:t>天。该疾病索赔时须要经专科医师做出明确诊断。继发于全身性疾病或其它器官系统疾病不属本保障范围。</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肾髓质囊性病</w:t>
      </w:r>
    </w:p>
    <w:p>
      <w:pPr>
        <w:pStyle w:val="BodyText"/>
        <w:spacing w:before="151"/>
        <w:ind w:left="540"/>
      </w:pPr>
      <w:r>
        <w:rPr/>
        <w:t>肾髓质囊性病的诊断必须同时符合下列要求：</w:t>
      </w:r>
    </w:p>
    <w:p>
      <w:pPr>
        <w:pStyle w:val="BodyText"/>
        <w:spacing w:before="9"/>
        <w:rPr>
          <w:sz w:val="14"/>
        </w:rPr>
      </w:pPr>
    </w:p>
    <w:p>
      <w:pPr>
        <w:pStyle w:val="BodyText"/>
        <w:ind w:left="434"/>
      </w:pPr>
      <w:r>
        <w:rPr/>
        <w:t>（1）肾髓质有囊肿、肾小管萎缩及间质纤维化等病理改变；</w:t>
      </w:r>
    </w:p>
    <w:p>
      <w:pPr>
        <w:pStyle w:val="BodyText"/>
        <w:spacing w:before="9"/>
        <w:rPr>
          <w:sz w:val="14"/>
        </w:rPr>
      </w:pPr>
    </w:p>
    <w:p>
      <w:pPr>
        <w:pStyle w:val="BodyText"/>
        <w:ind w:left="434"/>
      </w:pPr>
      <w:r>
        <w:rPr/>
        <w:t>（2）贫血、多尿及肾功能衰竭等临床表现；</w:t>
      </w:r>
    </w:p>
    <w:p>
      <w:pPr>
        <w:pStyle w:val="BodyText"/>
        <w:spacing w:before="9"/>
        <w:rPr>
          <w:sz w:val="14"/>
        </w:rPr>
      </w:pPr>
    </w:p>
    <w:p>
      <w:pPr>
        <w:pStyle w:val="BodyText"/>
        <w:ind w:left="434"/>
      </w:pPr>
      <w:r>
        <w:rPr/>
        <w:t>（3）诊断须由肾组织活检确定。</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因输血感染艾滋病</w:t>
      </w:r>
    </w:p>
    <w:p>
      <w:pPr>
        <w:pStyle w:val="BodyText"/>
        <w:spacing w:before="151"/>
        <w:ind w:left="542"/>
      </w:pPr>
      <w:r>
        <w:rPr/>
        <w:t>被保险人感染上人类免疫缺陷病毒（HIV）并且符合下列所有条件：</w:t>
      </w:r>
    </w:p>
    <w:p>
      <w:pPr>
        <w:pStyle w:val="BodyText"/>
        <w:spacing w:before="9"/>
        <w:rPr>
          <w:sz w:val="14"/>
        </w:rPr>
      </w:pPr>
    </w:p>
    <w:p>
      <w:pPr>
        <w:pStyle w:val="BodyText"/>
        <w:ind w:left="434"/>
      </w:pPr>
      <w:r>
        <w:rPr/>
        <w:t>（1）在保障起始日或复效日之后，被保险人因治疗必需而接受输血，并且因输血而感染</w:t>
      </w:r>
    </w:p>
    <w:p>
      <w:pPr>
        <w:pStyle w:val="BodyText"/>
        <w:spacing w:before="9"/>
        <w:rPr>
          <w:sz w:val="14"/>
        </w:rPr>
      </w:pPr>
    </w:p>
    <w:p>
      <w:pPr>
        <w:pStyle w:val="BodyText"/>
        <w:ind w:left="120"/>
      </w:pPr>
      <w:r>
        <w:rPr/>
        <w:t>HIV；</w:t>
      </w:r>
    </w:p>
    <w:p>
      <w:pPr>
        <w:pStyle w:val="BodyText"/>
        <w:spacing w:before="9"/>
        <w:rPr>
          <w:sz w:val="14"/>
        </w:rPr>
      </w:pPr>
    </w:p>
    <w:p>
      <w:pPr>
        <w:pStyle w:val="BodyText"/>
        <w:ind w:left="434"/>
      </w:pPr>
      <w:r>
        <w:rPr/>
        <w:t>（2） 提供输血治疗的输血中心或医院出具该项输血感染属医疗责任事故的报告</w:t>
      </w:r>
    </w:p>
    <w:p>
      <w:pPr>
        <w:pStyle w:val="BodyText"/>
        <w:spacing w:before="9"/>
        <w:rPr>
          <w:sz w:val="14"/>
        </w:rPr>
      </w:pPr>
    </w:p>
    <w:p>
      <w:pPr>
        <w:pStyle w:val="BodyText"/>
        <w:ind w:left="434"/>
      </w:pPr>
      <w:r>
        <w:rPr/>
        <w:t>（3）提供输血治疗的输血中心或医院必须拥有合法经营执照；</w:t>
      </w:r>
    </w:p>
    <w:p>
      <w:pPr>
        <w:pStyle w:val="BodyText"/>
        <w:spacing w:before="9"/>
        <w:rPr>
          <w:sz w:val="14"/>
        </w:rPr>
      </w:pPr>
    </w:p>
    <w:p>
      <w:pPr>
        <w:pStyle w:val="BodyText"/>
        <w:ind w:left="434"/>
      </w:pPr>
      <w:r>
        <w:rPr/>
        <w:t>（4）受感染的被保险人不是血友病患者；</w:t>
      </w:r>
    </w:p>
    <w:p>
      <w:pPr>
        <w:pStyle w:val="BodyText"/>
        <w:spacing w:before="9"/>
        <w:rPr>
          <w:sz w:val="14"/>
        </w:rPr>
      </w:pPr>
    </w:p>
    <w:p>
      <w:pPr>
        <w:pStyle w:val="BodyText"/>
        <w:ind w:left="540"/>
      </w:pPr>
      <w:r>
        <w:rPr/>
        <w:t>任何因其他传播方式（包括：性传播或静脉注射毒品）导致的HIV感染不在本保单保障</w:t>
      </w:r>
    </w:p>
    <w:p>
      <w:pPr>
        <w:pStyle w:val="BodyText"/>
        <w:spacing w:before="9"/>
        <w:rPr>
          <w:sz w:val="14"/>
        </w:rPr>
      </w:pPr>
    </w:p>
    <w:p>
      <w:pPr>
        <w:pStyle w:val="BodyText"/>
        <w:ind w:left="120"/>
      </w:pPr>
      <w:r>
        <w:rPr/>
        <w:t>范围内。</w:t>
      </w:r>
    </w:p>
    <w:p>
      <w:pPr>
        <w:spacing w:after="0"/>
        <w:sectPr>
          <w:pgSz w:w="11900" w:h="16840"/>
          <w:pgMar w:header="0" w:footer="1007" w:top="1480" w:bottom="1200" w:left="1680" w:right="1580"/>
        </w:sectPr>
      </w:pPr>
    </w:p>
    <w:p>
      <w:pPr>
        <w:pStyle w:val="Heading3"/>
        <w:numPr>
          <w:ilvl w:val="0"/>
          <w:numId w:val="3"/>
        </w:numPr>
        <w:tabs>
          <w:tab w:pos="483" w:val="left" w:leader="none"/>
        </w:tabs>
        <w:spacing w:line="342" w:lineRule="exact" w:before="0" w:after="0"/>
        <w:ind w:left="482" w:right="0" w:hanging="362"/>
        <w:jc w:val="left"/>
      </w:pPr>
      <w:r>
        <w:rPr/>
        <w:t>重症肌无力</w:t>
      </w:r>
    </w:p>
    <w:p>
      <w:pPr>
        <w:pStyle w:val="BodyText"/>
        <w:spacing w:line="408" w:lineRule="auto" w:before="152"/>
        <w:ind w:left="120" w:right="206" w:firstLine="420"/>
        <w:jc w:val="both"/>
      </w:pPr>
      <w:r>
        <w:rPr>
          <w:spacing w:val="-7"/>
        </w:rPr>
        <w:t>是指一种神经与肌肉接头部位传递障碍的自身免疫性疾病，临床特征是局部或全身横纹</w:t>
      </w:r>
      <w:r>
        <w:rPr>
          <w:spacing w:val="-9"/>
        </w:rPr>
        <w:t>肌于活动时易于疲劳无力，颅神经眼外肌最易累及，也可涉及呼吸肌、下肢近端肌群乃至全</w:t>
      </w:r>
      <w:r>
        <w:rPr>
          <w:spacing w:val="-5"/>
        </w:rPr>
        <w:t>身肌肉，须经本公司认可的神经科医师确诊。其诊断必须同时具有下列情况：</w:t>
      </w:r>
    </w:p>
    <w:p>
      <w:pPr>
        <w:pStyle w:val="BodyText"/>
        <w:spacing w:before="46"/>
        <w:ind w:left="434"/>
      </w:pPr>
      <w:r>
        <w:rPr/>
        <w:t>（1）经药物、胸腺手术治疗一年以上无法控制病情，丧失正常工作能力；</w:t>
      </w:r>
    </w:p>
    <w:p>
      <w:pPr>
        <w:pStyle w:val="BodyText"/>
        <w:spacing w:before="9"/>
        <w:rPr>
          <w:sz w:val="14"/>
        </w:rPr>
      </w:pPr>
    </w:p>
    <w:p>
      <w:pPr>
        <w:pStyle w:val="BodyText"/>
        <w:spacing w:before="1"/>
        <w:ind w:left="434"/>
      </w:pPr>
      <w:r>
        <w:rPr/>
        <w:t>（2）出现眼睑下垂，或延髓肌受累引起的构音困难、进食呛咳，或由于肌无力累及延髓</w:t>
      </w:r>
    </w:p>
    <w:p>
      <w:pPr>
        <w:pStyle w:val="BodyText"/>
        <w:spacing w:before="10"/>
        <w:rPr>
          <w:sz w:val="14"/>
        </w:rPr>
      </w:pPr>
    </w:p>
    <w:p>
      <w:pPr>
        <w:pStyle w:val="BodyText"/>
        <w:ind w:left="120"/>
      </w:pPr>
      <w:r>
        <w:rPr/>
        <w:t>肌、呼吸肌而致机体呼吸功能不正常的危急状态即肌无力危象；</w:t>
      </w:r>
    </w:p>
    <w:p>
      <w:pPr>
        <w:pStyle w:val="BodyText"/>
        <w:spacing w:before="9"/>
        <w:rPr>
          <w:sz w:val="14"/>
        </w:rPr>
      </w:pPr>
    </w:p>
    <w:p>
      <w:pPr>
        <w:pStyle w:val="BodyText"/>
        <w:spacing w:before="1"/>
        <w:ind w:left="434"/>
      </w:pPr>
      <w:r>
        <w:rPr>
          <w:spacing w:val="-23"/>
        </w:rPr>
        <w:t>（3）</w:t>
      </w:r>
      <w:r>
        <w:rPr>
          <w:spacing w:val="-14"/>
        </w:rPr>
        <w:t>症状缓解、复发及恶化交替出现，临床接受新斯的明等抗胆碱酯酶药物治疗的病史。</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急性脊髓灰质炎</w:t>
      </w:r>
    </w:p>
    <w:p>
      <w:pPr>
        <w:pStyle w:val="BodyText"/>
        <w:spacing w:line="408" w:lineRule="auto" w:before="152"/>
        <w:ind w:left="120" w:right="206" w:firstLine="420"/>
      </w:pPr>
      <w:r>
        <w:rPr>
          <w:spacing w:val="-6"/>
        </w:rPr>
        <w:t>是指由于脊髓灰质炎病毒感染所导致的运动功能障碍或呼吸功能减弱的瘫痪性疾病。诊</w:t>
      </w:r>
      <w:r>
        <w:rPr>
          <w:spacing w:val="-4"/>
        </w:rPr>
        <w:t>断必须由本公司认可的神经科专科主任医师确认并提供相关的脊髓灰质炎病毒感染的证据</w:t>
      </w:r>
    </w:p>
    <w:p>
      <w:pPr>
        <w:pStyle w:val="BodyText"/>
        <w:spacing w:line="408" w:lineRule="auto" w:before="46"/>
        <w:ind w:left="120" w:right="209"/>
        <w:jc w:val="both"/>
      </w:pPr>
      <w:r>
        <w:rPr/>
        <w:t>（</w:t>
      </w:r>
      <w:r>
        <w:rPr>
          <w:spacing w:val="-7"/>
        </w:rPr>
        <w:t>例如：脑脊液检查或血清学抗体检查报告</w:t>
      </w:r>
      <w:r>
        <w:rPr>
          <w:spacing w:val="-34"/>
        </w:rPr>
        <w:t>）</w:t>
      </w:r>
      <w:r>
        <w:rPr>
          <w:spacing w:val="-5"/>
        </w:rPr>
        <w:t>被保险人若无因此感染而导致的瘫痪，则不符</w:t>
      </w:r>
      <w:r>
        <w:rPr>
          <w:spacing w:val="-3"/>
        </w:rPr>
        <w:t>合理赔条件。未导致肢体瘫痪及其它病因所致的瘫痪，例如格林一巴利综合症(急性感染性多神经炎)则不在此保障范围以内。</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严重的类风湿性关节炎</w:t>
      </w:r>
    </w:p>
    <w:p>
      <w:pPr>
        <w:pStyle w:val="BodyText"/>
        <w:spacing w:line="408" w:lineRule="auto" w:before="151"/>
        <w:ind w:left="120" w:right="206" w:firstLine="420"/>
        <w:jc w:val="both"/>
      </w:pPr>
      <w:r>
        <w:rPr>
          <w:spacing w:val="-8"/>
        </w:rPr>
        <w:t>是指广泛的慢性渐进性的关节损害，伴有明显的关节畸形，至少累及三个或三个以上关节（</w:t>
      </w:r>
      <w:r>
        <w:rPr>
          <w:spacing w:val="-3"/>
        </w:rPr>
        <w:t>如：手，腕，肘，髋，膝，踝关节</w:t>
      </w:r>
      <w:r>
        <w:rPr>
          <w:spacing w:val="-108"/>
        </w:rPr>
        <w:t>）</w:t>
      </w:r>
      <w:r>
        <w:rPr>
          <w:spacing w:val="-3"/>
        </w:rPr>
        <w:t>。此疾病必须已经导致了自主生活能力完全丧失， 不能独立完成六项基本日常生活活动中的三项或三项以上的情形。</w:t>
      </w:r>
    </w:p>
    <w:p>
      <w:pPr>
        <w:pStyle w:val="BodyText"/>
        <w:spacing w:before="45"/>
        <w:ind w:left="540"/>
      </w:pPr>
      <w:r>
        <w:rPr/>
        <w:t>上述疾病需由专科医生确诊，并提供相应医疗记录以证实上述病情已经存在至少3个月。</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系统性红斑狼疮</w:t>
      </w:r>
    </w:p>
    <w:p>
      <w:pPr>
        <w:pStyle w:val="BodyText"/>
        <w:spacing w:line="408" w:lineRule="auto" w:before="152"/>
        <w:ind w:left="120" w:right="206" w:firstLine="420"/>
      </w:pPr>
      <w:r>
        <w:rPr>
          <w:spacing w:val="-3"/>
        </w:rPr>
        <w:t>红斑狼疮是指由于自身抗体和免疫复合物的沉积破坏了血管和细胞而导致的累及多系</w:t>
      </w:r>
      <w:r>
        <w:rPr>
          <w:spacing w:val="-10"/>
        </w:rPr>
        <w:t>统损害的一种自体免疫性疾病。本保障仅限于被保险人因系统性红斑狼疮并发狼疮性肾炎并</w:t>
      </w:r>
      <w:r>
        <w:rPr>
          <w:spacing w:val="-5"/>
        </w:rPr>
        <w:t>引起肾功能损害，且肾脏病理诊断符合以下列明的世界卫生组织</w:t>
      </w:r>
      <w:r>
        <w:rPr/>
        <w:t>（WHO）</w:t>
      </w:r>
      <w:r>
        <w:rPr>
          <w:spacing w:val="-3"/>
        </w:rPr>
        <w:t>对狼疮性肾炎所分</w:t>
      </w:r>
      <w:r>
        <w:rPr>
          <w:spacing w:val="-2"/>
        </w:rPr>
        <w:t>类中的第</w:t>
      </w:r>
      <w:r>
        <w:rPr>
          <w:spacing w:val="-1"/>
        </w:rPr>
        <w:t>III、IV</w:t>
      </w:r>
      <w:r>
        <w:rPr/>
        <w:t>、</w:t>
      </w:r>
      <w:r>
        <w:rPr>
          <w:spacing w:val="-3"/>
        </w:rPr>
        <w:t>V</w:t>
      </w:r>
      <w:r>
        <w:rPr/>
        <w:t>、VI</w:t>
      </w:r>
      <w:r>
        <w:rPr>
          <w:spacing w:val="-3"/>
        </w:rPr>
        <w:t>型。诊断须由有资格的风湿和免疫病专科医生确认。</w:t>
      </w:r>
    </w:p>
    <w:p>
      <w:pPr>
        <w:pStyle w:val="BodyText"/>
        <w:spacing w:before="46"/>
        <w:ind w:left="540"/>
      </w:pPr>
      <w:r>
        <w:rPr/>
        <w:t>世界卫生组织（WHO）对狼疮性肾炎的分类标准：</w:t>
      </w:r>
    </w:p>
    <w:p>
      <w:pPr>
        <w:pStyle w:val="BodyText"/>
        <w:spacing w:before="9"/>
        <w:rPr>
          <w:sz w:val="14"/>
        </w:rPr>
      </w:pPr>
    </w:p>
    <w:p>
      <w:pPr>
        <w:pStyle w:val="BodyText"/>
        <w:tabs>
          <w:tab w:pos="1276" w:val="left" w:leader="none"/>
        </w:tabs>
        <w:spacing w:before="1"/>
        <w:ind w:left="540"/>
      </w:pPr>
      <w:r>
        <w:rPr/>
        <w:t>I 型</w:t>
        <w:tab/>
      </w:r>
      <w:r>
        <w:rPr>
          <w:spacing w:val="-3"/>
        </w:rPr>
        <w:t>正</w:t>
      </w:r>
      <w:r>
        <w:rPr/>
        <w:t>常</w:t>
      </w:r>
      <w:r>
        <w:rPr>
          <w:spacing w:val="-3"/>
        </w:rPr>
        <w:t>肾</w:t>
      </w:r>
      <w:r>
        <w:rPr/>
        <w:t>小</w:t>
      </w:r>
      <w:r>
        <w:rPr>
          <w:spacing w:val="-3"/>
        </w:rPr>
        <w:t>球</w:t>
      </w:r>
      <w:r>
        <w:rPr/>
        <w:t>型；</w:t>
      </w:r>
    </w:p>
    <w:p>
      <w:pPr>
        <w:pStyle w:val="BodyText"/>
        <w:spacing w:before="10"/>
        <w:rPr>
          <w:sz w:val="14"/>
        </w:rPr>
      </w:pPr>
    </w:p>
    <w:p>
      <w:pPr>
        <w:pStyle w:val="BodyText"/>
        <w:tabs>
          <w:tab w:pos="1276" w:val="left" w:leader="none"/>
        </w:tabs>
        <w:ind w:left="540"/>
      </w:pPr>
      <w:r>
        <w:rPr/>
        <w:t>II型</w:t>
        <w:tab/>
      </w:r>
      <w:r>
        <w:rPr>
          <w:spacing w:val="-3"/>
        </w:rPr>
        <w:t>系</w:t>
      </w:r>
      <w:r>
        <w:rPr/>
        <w:t>膜</w:t>
      </w:r>
      <w:r>
        <w:rPr>
          <w:spacing w:val="-3"/>
        </w:rPr>
        <w:t>增</w:t>
      </w:r>
      <w:r>
        <w:rPr/>
        <w:t>生</w:t>
      </w:r>
      <w:r>
        <w:rPr>
          <w:spacing w:val="-3"/>
        </w:rPr>
        <w:t>型</w:t>
      </w:r>
      <w:r>
        <w:rPr/>
        <w:t>；</w:t>
      </w:r>
    </w:p>
    <w:p>
      <w:pPr>
        <w:spacing w:after="0"/>
        <w:sectPr>
          <w:pgSz w:w="11900" w:h="16840"/>
          <w:pgMar w:header="0" w:footer="1007" w:top="1480" w:bottom="1200" w:left="1680" w:right="1580"/>
        </w:sectPr>
      </w:pPr>
    </w:p>
    <w:p>
      <w:pPr>
        <w:pStyle w:val="BodyText"/>
        <w:tabs>
          <w:tab w:pos="1276" w:val="left" w:leader="none"/>
        </w:tabs>
        <w:spacing w:before="26"/>
        <w:ind w:left="540"/>
      </w:pPr>
      <w:r>
        <w:rPr/>
        <w:t>III型</w:t>
        <w:tab/>
      </w:r>
      <w:r>
        <w:rPr>
          <w:spacing w:val="-3"/>
        </w:rPr>
        <w:t>局</w:t>
      </w:r>
      <w:r>
        <w:rPr/>
        <w:t>灶</w:t>
      </w:r>
      <w:r>
        <w:rPr>
          <w:spacing w:val="-3"/>
        </w:rPr>
        <w:t>及</w:t>
      </w:r>
      <w:r>
        <w:rPr/>
        <w:t>节</w:t>
      </w:r>
      <w:r>
        <w:rPr>
          <w:spacing w:val="-3"/>
        </w:rPr>
        <w:t>段</w:t>
      </w:r>
      <w:r>
        <w:rPr/>
        <w:t>增</w:t>
      </w:r>
      <w:r>
        <w:rPr>
          <w:spacing w:val="-3"/>
        </w:rPr>
        <w:t>生型</w:t>
      </w:r>
      <w:r>
        <w:rPr/>
        <w:t>；</w:t>
      </w:r>
    </w:p>
    <w:p>
      <w:pPr>
        <w:pStyle w:val="BodyText"/>
        <w:spacing w:before="10"/>
        <w:rPr>
          <w:sz w:val="14"/>
        </w:rPr>
      </w:pPr>
    </w:p>
    <w:p>
      <w:pPr>
        <w:pStyle w:val="BodyText"/>
        <w:tabs>
          <w:tab w:pos="1276" w:val="left" w:leader="none"/>
        </w:tabs>
        <w:ind w:left="540"/>
      </w:pPr>
      <w:r>
        <w:rPr/>
        <w:t>IV型</w:t>
        <w:tab/>
      </w:r>
      <w:r>
        <w:rPr>
          <w:spacing w:val="-3"/>
        </w:rPr>
        <w:t>弥</w:t>
      </w:r>
      <w:r>
        <w:rPr/>
        <w:t>漫</w:t>
      </w:r>
      <w:r>
        <w:rPr>
          <w:spacing w:val="-3"/>
        </w:rPr>
        <w:t>增</w:t>
      </w:r>
      <w:r>
        <w:rPr/>
        <w:t>生</w:t>
      </w:r>
      <w:r>
        <w:rPr>
          <w:spacing w:val="-3"/>
        </w:rPr>
        <w:t>型</w:t>
      </w:r>
      <w:r>
        <w:rPr/>
        <w:t>；</w:t>
      </w:r>
    </w:p>
    <w:p>
      <w:pPr>
        <w:pStyle w:val="BodyText"/>
        <w:spacing w:before="9"/>
        <w:rPr>
          <w:sz w:val="14"/>
        </w:rPr>
      </w:pPr>
    </w:p>
    <w:p>
      <w:pPr>
        <w:pStyle w:val="BodyText"/>
        <w:tabs>
          <w:tab w:pos="1276" w:val="left" w:leader="none"/>
        </w:tabs>
        <w:spacing w:before="1"/>
        <w:ind w:left="540"/>
      </w:pPr>
      <w:r>
        <w:rPr/>
        <w:t>V型</w:t>
        <w:tab/>
      </w:r>
      <w:r>
        <w:rPr>
          <w:spacing w:val="-3"/>
        </w:rPr>
        <w:t>膜</w:t>
      </w:r>
      <w:r>
        <w:rPr/>
        <w:t>型；</w:t>
      </w:r>
    </w:p>
    <w:p>
      <w:pPr>
        <w:pStyle w:val="BodyText"/>
        <w:spacing w:before="10"/>
        <w:rPr>
          <w:sz w:val="14"/>
        </w:rPr>
      </w:pPr>
    </w:p>
    <w:p>
      <w:pPr>
        <w:pStyle w:val="BodyText"/>
        <w:tabs>
          <w:tab w:pos="1276" w:val="left" w:leader="none"/>
        </w:tabs>
        <w:ind w:left="540"/>
      </w:pPr>
      <w:r>
        <w:rPr/>
        <w:t>VI型</w:t>
        <w:tab/>
      </w:r>
      <w:r>
        <w:rPr>
          <w:spacing w:val="-3"/>
        </w:rPr>
        <w:t>肾</w:t>
      </w:r>
      <w:r>
        <w:rPr/>
        <w:t>小</w:t>
      </w:r>
      <w:r>
        <w:rPr>
          <w:spacing w:val="-3"/>
        </w:rPr>
        <w:t>球</w:t>
      </w:r>
      <w:r>
        <w:rPr/>
        <w:t>硬</w:t>
      </w:r>
      <w:r>
        <w:rPr>
          <w:spacing w:val="-3"/>
        </w:rPr>
        <w:t>化</w:t>
      </w:r>
      <w:r>
        <w:rPr/>
        <w:t>型。</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慢性复发性胰腺炎</w:t>
      </w:r>
    </w:p>
    <w:p>
      <w:pPr>
        <w:pStyle w:val="BodyText"/>
        <w:spacing w:line="408" w:lineRule="auto" w:before="151"/>
        <w:ind w:left="120" w:right="206" w:firstLine="420"/>
        <w:jc w:val="both"/>
      </w:pPr>
      <w:r>
        <w:rPr>
          <w:spacing w:val="-8"/>
        </w:rPr>
        <w:t>有腹痛等典型症状的胰腺炎反复发作，导致胰腺进行性破坏，并导致胰腺功能紊乱而导</w:t>
      </w:r>
      <w:r>
        <w:rPr>
          <w:spacing w:val="-10"/>
        </w:rPr>
        <w:t>致严重糖尿病以及营养不良、恶液质。</w:t>
      </w:r>
      <w:r>
        <w:rPr/>
        <w:t>CT</w:t>
      </w:r>
      <w:r>
        <w:rPr>
          <w:spacing w:val="-6"/>
        </w:rPr>
        <w:t>检查证实胰腺存在广泛钙化，且必须接受酶替代以</w:t>
      </w:r>
      <w:r>
        <w:rPr>
          <w:spacing w:val="-4"/>
        </w:rPr>
        <w:t>及胰岛素替代治疗</w:t>
      </w:r>
      <w:r>
        <w:rPr>
          <w:spacing w:val="-3"/>
        </w:rPr>
        <w:t>6个月以上。诊断必须由消化科专科医生确诊。</w:t>
      </w:r>
    </w:p>
    <w:p>
      <w:pPr>
        <w:pStyle w:val="BodyText"/>
        <w:spacing w:before="46"/>
        <w:ind w:left="120"/>
      </w:pPr>
      <w:r>
        <w:rPr/>
        <w:t>酒精导致的慢性复发性胰腺炎除外。</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严重的多发性硬化</w:t>
      </w:r>
    </w:p>
    <w:p>
      <w:pPr>
        <w:pStyle w:val="BodyText"/>
        <w:spacing w:line="408" w:lineRule="auto" w:before="152"/>
        <w:ind w:left="120" w:right="206" w:firstLine="420"/>
        <w:jc w:val="both"/>
      </w:pPr>
      <w:r>
        <w:rPr>
          <w:spacing w:val="-7"/>
        </w:rPr>
        <w:t>多发性硬化症为中枢神经系统白质多灶性脱髓鞘病变，病变有时累及灰质。多发性硬化</w:t>
      </w:r>
      <w:r>
        <w:rPr>
          <w:spacing w:val="-10"/>
        </w:rPr>
        <w:t>症必须由我们认可的医院的神经专科医生确诊。必须伴有典型的脱髓鞘症状和运动及感觉功</w:t>
      </w:r>
      <w:r>
        <w:rPr>
          <w:spacing w:val="-5"/>
        </w:rPr>
        <w:t>能障碍的证据并有</w:t>
      </w:r>
      <w:r>
        <w:rPr/>
        <w:t>MRI</w:t>
      </w:r>
      <w:r>
        <w:rPr>
          <w:spacing w:val="-3"/>
        </w:rPr>
        <w:t>和脑脊液检查的典型改变。多发性硬化症必须造成神经系统永久性功</w:t>
      </w:r>
      <w:r>
        <w:rPr>
          <w:spacing w:val="-8"/>
        </w:rPr>
        <w:t>能损害并且已导致被保险人自主生活能力完全丧失，无法独立完成六项基本日常生活活动中</w:t>
      </w:r>
      <w:r>
        <w:rPr>
          <w:spacing w:val="-3"/>
        </w:rPr>
        <w:t>的三项或三项以上持续达</w:t>
      </w:r>
      <w:r>
        <w:rPr/>
        <w:t>180</w:t>
      </w:r>
      <w:r>
        <w:rPr>
          <w:spacing w:val="-2"/>
        </w:rPr>
        <w:t>天以上。</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终末期慢性呼吸功能衰竭</w:t>
      </w:r>
    </w:p>
    <w:p>
      <w:pPr>
        <w:pStyle w:val="BodyText"/>
        <w:spacing w:before="151"/>
        <w:ind w:left="434"/>
      </w:pPr>
      <w:r>
        <w:rPr/>
        <w:t>指因慢性呼吸系统疾病导致呼吸功能衰竭，且诊断必须满足以下所有条件：</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3"/>
          <w:sz w:val="21"/>
        </w:rPr>
        <w:t>第一秒末用力呼气量</w:t>
      </w:r>
      <w:r>
        <w:rPr>
          <w:rFonts w:ascii="宋体" w:eastAsia="宋体" w:hint="eastAsia"/>
          <w:spacing w:val="-1"/>
          <w:sz w:val="21"/>
        </w:rPr>
        <w:t>（FEV1）</w:t>
      </w:r>
      <w:r>
        <w:rPr>
          <w:rFonts w:ascii="宋体" w:eastAsia="宋体" w:hint="eastAsia"/>
          <w:spacing w:val="-2"/>
          <w:sz w:val="21"/>
        </w:rPr>
        <w:t>小于</w:t>
      </w:r>
      <w:r>
        <w:rPr>
          <w:rFonts w:ascii="宋体" w:eastAsia="宋体" w:hint="eastAsia"/>
          <w:sz w:val="21"/>
        </w:rPr>
        <w:t>1</w:t>
      </w:r>
      <w:r>
        <w:rPr>
          <w:rFonts w:ascii="宋体" w:eastAsia="宋体" w:hint="eastAsia"/>
          <w:spacing w:val="-2"/>
          <w:sz w:val="21"/>
        </w:rPr>
        <w:t>升；</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3"/>
          <w:sz w:val="21"/>
        </w:rPr>
        <w:t>气道内阻力增加，至少达到</w:t>
      </w:r>
      <w:r>
        <w:rPr>
          <w:rFonts w:ascii="宋体" w:eastAsia="宋体" w:hint="eastAsia"/>
          <w:sz w:val="21"/>
        </w:rPr>
        <w:t>0.5</w:t>
      </w:r>
      <w:r>
        <w:rPr>
          <w:rFonts w:ascii="宋体" w:eastAsia="宋体" w:hint="eastAsia"/>
          <w:spacing w:val="11"/>
          <w:sz w:val="21"/>
        </w:rPr>
        <w:t> </w:t>
      </w:r>
      <w:r>
        <w:rPr>
          <w:rFonts w:ascii="宋体" w:eastAsia="宋体" w:hint="eastAsia"/>
          <w:sz w:val="21"/>
        </w:rPr>
        <w:t>kPa/l/s；</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hAnsi="宋体" w:eastAsia="宋体" w:hint="eastAsia"/>
          <w:sz w:val="21"/>
        </w:rPr>
      </w:pPr>
      <w:r>
        <w:rPr/>
        <w:drawing>
          <wp:anchor distT="0" distB="0" distL="0" distR="0" allowOverlap="1" layoutInCell="1" locked="0" behindDoc="1" simplePos="0" relativeHeight="268417919">
            <wp:simplePos x="0" y="0"/>
            <wp:positionH relativeFrom="page">
              <wp:posOffset>3214242</wp:posOffset>
            </wp:positionH>
            <wp:positionV relativeFrom="paragraph">
              <wp:posOffset>54148</wp:posOffset>
            </wp:positionV>
            <wp:extent cx="60325" cy="1047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8" cstate="print"/>
                    <a:stretch>
                      <a:fillRect/>
                    </a:stretch>
                  </pic:blipFill>
                  <pic:spPr>
                    <a:xfrm>
                      <a:off x="0" y="0"/>
                      <a:ext cx="60325" cy="104775"/>
                    </a:xfrm>
                    <a:prstGeom prst="rect">
                      <a:avLst/>
                    </a:prstGeom>
                  </pic:spPr>
                </pic:pic>
              </a:graphicData>
            </a:graphic>
          </wp:anchor>
        </w:drawing>
      </w:r>
      <w:r>
        <w:rPr>
          <w:rFonts w:ascii="宋体" w:hAnsi="宋体" w:eastAsia="宋体" w:hint="eastAsia"/>
          <w:spacing w:val="-3"/>
          <w:sz w:val="21"/>
        </w:rPr>
        <w:t>残气容积占肺总量</w:t>
      </w:r>
      <w:r>
        <w:rPr>
          <w:rFonts w:ascii="宋体" w:hAnsi="宋体" w:eastAsia="宋体" w:hint="eastAsia"/>
          <w:spacing w:val="-1"/>
          <w:sz w:val="21"/>
        </w:rPr>
        <w:t>(TLC)的</w:t>
      </w:r>
      <w:r>
        <w:rPr>
          <w:rFonts w:ascii="宋体" w:hAnsi="宋体" w:eastAsia="宋体" w:hint="eastAsia"/>
          <w:sz w:val="21"/>
        </w:rPr>
        <w:t>60</w:t>
      </w:r>
      <w:r>
        <w:rPr>
          <w:rFonts w:ascii="宋体" w:hAnsi="宋体" w:eastAsia="宋体" w:hint="eastAsia"/>
          <w:spacing w:val="-2"/>
          <w:sz w:val="21"/>
        </w:rPr>
        <w:t>以上；</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3"/>
          <w:sz w:val="21"/>
        </w:rPr>
        <w:t>胸内气体容积升高，超过</w:t>
      </w:r>
      <w:r>
        <w:rPr>
          <w:rFonts w:ascii="宋体" w:eastAsia="宋体" w:hint="eastAsia"/>
          <w:sz w:val="21"/>
        </w:rPr>
        <w:t>170</w:t>
      </w:r>
      <w:r>
        <w:rPr>
          <w:rFonts w:ascii="宋体" w:eastAsia="宋体" w:hint="eastAsia"/>
          <w:spacing w:val="-1"/>
          <w:sz w:val="21"/>
        </w:rPr>
        <w:t> (基值的百分比)；</w:t>
      </w:r>
    </w:p>
    <w:p>
      <w:pPr>
        <w:pStyle w:val="BodyText"/>
        <w:spacing w:before="9"/>
        <w:rPr>
          <w:sz w:val="14"/>
        </w:rPr>
      </w:pPr>
    </w:p>
    <w:p>
      <w:pPr>
        <w:pStyle w:val="ListParagraph"/>
        <w:numPr>
          <w:ilvl w:val="1"/>
          <w:numId w:val="3"/>
        </w:numPr>
        <w:tabs>
          <w:tab w:pos="752" w:val="left" w:leader="none"/>
        </w:tabs>
        <w:spacing w:line="240" w:lineRule="auto" w:before="0" w:after="0"/>
        <w:ind w:left="751" w:right="0" w:hanging="317"/>
        <w:jc w:val="left"/>
        <w:rPr>
          <w:rFonts w:ascii="宋体" w:eastAsia="宋体" w:hint="eastAsia"/>
          <w:sz w:val="21"/>
        </w:rPr>
      </w:pPr>
      <w:r>
        <w:rPr>
          <w:rFonts w:ascii="宋体" w:eastAsia="宋体" w:hint="eastAsia"/>
          <w:spacing w:val="-1"/>
          <w:sz w:val="21"/>
        </w:rPr>
        <w:t>PaO2&lt;60mmHg，PaCO2&gt;50mmHg</w:t>
      </w:r>
      <w:r>
        <w:rPr>
          <w:rFonts w:ascii="宋体" w:eastAsia="宋体" w:hint="eastAsia"/>
          <w:sz w:val="21"/>
        </w:rPr>
        <w:t>。</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0" w:after="0"/>
        <w:ind w:left="482" w:right="0" w:hanging="362"/>
        <w:jc w:val="left"/>
      </w:pPr>
      <w:r>
        <w:rPr/>
        <w:t>肌营养不良症</w:t>
      </w:r>
    </w:p>
    <w:p>
      <w:pPr>
        <w:pStyle w:val="BodyText"/>
        <w:spacing w:line="408" w:lineRule="auto" w:before="151"/>
        <w:ind w:left="120" w:right="113" w:firstLine="420"/>
        <w:jc w:val="both"/>
      </w:pPr>
      <w:r>
        <w:rPr/>
        <w:t>指一组原发于肌肉的遗传性疾病，临床表现为与神经系统无关的肌肉无力和肌肉萎缩。且须满足下列全部条件：</w:t>
      </w:r>
    </w:p>
    <w:p>
      <w:pPr>
        <w:pStyle w:val="BodyText"/>
        <w:spacing w:before="45"/>
        <w:ind w:left="540"/>
      </w:pPr>
      <w:r>
        <w:rPr/>
        <w:t>1）肌肉组织活检结果满足肌营养不良症的肌肉细胞变性、坏死等阳性改变；</w:t>
      </w:r>
    </w:p>
    <w:p>
      <w:pPr>
        <w:spacing w:after="0"/>
        <w:sectPr>
          <w:pgSz w:w="11900" w:h="16840"/>
          <w:pgMar w:header="0" w:footer="1007" w:top="1480" w:bottom="1200" w:left="1680" w:right="1580"/>
        </w:sectPr>
      </w:pPr>
    </w:p>
    <w:p>
      <w:pPr>
        <w:pStyle w:val="BodyText"/>
        <w:spacing w:before="26"/>
        <w:ind w:left="540"/>
      </w:pPr>
      <w:r>
        <w:rPr/>
        <w:t>2）自主生活能力完全丧失，无法独立完成六项基本日常生活活动中的三项或三项以上。</w:t>
      </w:r>
    </w:p>
    <w:p>
      <w:pPr>
        <w:pStyle w:val="BodyText"/>
        <w:rPr>
          <w:sz w:val="20"/>
        </w:rPr>
      </w:pPr>
    </w:p>
    <w:p>
      <w:pPr>
        <w:pStyle w:val="BodyText"/>
        <w:spacing w:before="9"/>
        <w:rPr>
          <w:sz w:val="22"/>
        </w:rPr>
      </w:pPr>
    </w:p>
    <w:p>
      <w:pPr>
        <w:pStyle w:val="Heading3"/>
        <w:numPr>
          <w:ilvl w:val="0"/>
          <w:numId w:val="3"/>
        </w:numPr>
        <w:tabs>
          <w:tab w:pos="483" w:val="left" w:leader="none"/>
        </w:tabs>
        <w:spacing w:line="240" w:lineRule="auto" w:before="1" w:after="0"/>
        <w:ind w:left="482" w:right="0" w:hanging="362"/>
        <w:jc w:val="left"/>
      </w:pPr>
      <w:r>
        <w:rPr/>
        <w:t>肌萎缩性（脊髓）侧索硬化症</w:t>
      </w:r>
    </w:p>
    <w:p>
      <w:pPr>
        <w:pStyle w:val="BodyText"/>
        <w:tabs>
          <w:tab w:pos="4845" w:val="left" w:leader="none"/>
        </w:tabs>
        <w:spacing w:line="408" w:lineRule="auto" w:before="152"/>
        <w:ind w:left="120" w:right="206" w:firstLine="420"/>
      </w:pPr>
      <w:r>
        <w:rPr/>
        <w:t>是指</w:t>
      </w:r>
      <w:r>
        <w:rPr>
          <w:spacing w:val="-3"/>
        </w:rPr>
        <w:t>持</w:t>
      </w:r>
      <w:r>
        <w:rPr/>
        <w:t>续</w:t>
      </w:r>
      <w:r>
        <w:rPr>
          <w:spacing w:val="-3"/>
        </w:rPr>
        <w:t>的</w:t>
      </w:r>
      <w:r>
        <w:rPr/>
        <w:t>神</w:t>
      </w:r>
      <w:r>
        <w:rPr>
          <w:spacing w:val="-3"/>
        </w:rPr>
        <w:t>经</w:t>
      </w:r>
      <w:r>
        <w:rPr/>
        <w:t>变</w:t>
      </w:r>
      <w:r>
        <w:rPr>
          <w:spacing w:val="-3"/>
        </w:rPr>
        <w:t>性</w:t>
      </w:r>
      <w:r>
        <w:rPr/>
        <w:t>累</w:t>
      </w:r>
      <w:r>
        <w:rPr>
          <w:spacing w:val="-3"/>
        </w:rPr>
        <w:t>及</w:t>
      </w:r>
      <w:r>
        <w:rPr/>
        <w:t>脊髓</w:t>
      </w:r>
      <w:r>
        <w:rPr>
          <w:spacing w:val="-3"/>
        </w:rPr>
        <w:t>神</w:t>
      </w:r>
      <w:r>
        <w:rPr/>
        <w:t>经</w:t>
      </w:r>
      <w:r>
        <w:rPr>
          <w:spacing w:val="-3"/>
        </w:rPr>
        <w:t>及</w:t>
      </w:r>
      <w:r>
        <w:rPr/>
        <w:t>脑</w:t>
      </w:r>
      <w:r>
        <w:rPr>
          <w:spacing w:val="-3"/>
        </w:rPr>
        <w:t>干</w:t>
      </w:r>
      <w:r>
        <w:rPr/>
        <w:t>运</w:t>
      </w:r>
      <w:r>
        <w:rPr>
          <w:spacing w:val="-3"/>
        </w:rPr>
        <w:t>动</w:t>
      </w:r>
      <w:r>
        <w:rPr/>
        <w:t>神</w:t>
      </w:r>
      <w:r>
        <w:rPr>
          <w:spacing w:val="-3"/>
        </w:rPr>
        <w:t>经</w:t>
      </w:r>
      <w:r>
        <w:rPr/>
        <w:t>元</w:t>
      </w:r>
      <w:r>
        <w:rPr>
          <w:spacing w:val="-34"/>
        </w:rPr>
        <w:t>，</w:t>
      </w:r>
      <w:r>
        <w:rPr/>
        <w:t>出</w:t>
      </w:r>
      <w:r>
        <w:rPr>
          <w:spacing w:val="-3"/>
        </w:rPr>
        <w:t>现</w:t>
      </w:r>
      <w:r>
        <w:rPr/>
        <w:t>肌</w:t>
      </w:r>
      <w:r>
        <w:rPr>
          <w:spacing w:val="-3"/>
        </w:rPr>
        <w:t>肉</w:t>
      </w:r>
      <w:r>
        <w:rPr/>
        <w:t>无</w:t>
      </w:r>
      <w:r>
        <w:rPr>
          <w:spacing w:val="-3"/>
        </w:rPr>
        <w:t>力</w:t>
      </w:r>
      <w:r>
        <w:rPr>
          <w:spacing w:val="-32"/>
        </w:rPr>
        <w:t>、</w:t>
      </w:r>
      <w:r>
        <w:rPr>
          <w:spacing w:val="-3"/>
        </w:rPr>
        <w:t>挛</w:t>
      </w:r>
      <w:r>
        <w:rPr/>
        <w:t>缩</w:t>
      </w:r>
      <w:r>
        <w:rPr>
          <w:spacing w:val="-34"/>
        </w:rPr>
        <w:t>、</w:t>
      </w:r>
      <w:r>
        <w:rPr/>
        <w:t>肌束</w:t>
      </w:r>
      <w:r>
        <w:rPr>
          <w:spacing w:val="-3"/>
        </w:rPr>
        <w:t>颤</w:t>
      </w:r>
      <w:r>
        <w:rPr/>
        <w:t>动及萎</w:t>
      </w:r>
      <w:r>
        <w:rPr>
          <w:spacing w:val="-3"/>
        </w:rPr>
        <w:t>缩</w:t>
      </w:r>
      <w:r>
        <w:rPr/>
        <w:t>症</w:t>
      </w:r>
      <w:r>
        <w:rPr>
          <w:spacing w:val="-3"/>
        </w:rPr>
        <w:t>状</w:t>
      </w:r>
      <w:r>
        <w:rPr/>
        <w:t>和</w:t>
      </w:r>
      <w:r>
        <w:rPr>
          <w:spacing w:val="-3"/>
        </w:rPr>
        <w:t>体</w:t>
      </w:r>
      <w:r>
        <w:rPr/>
        <w:t>征</w:t>
      </w:r>
      <w:r>
        <w:rPr>
          <w:spacing w:val="-51"/>
        </w:rPr>
        <w:t>。</w:t>
      </w:r>
      <w:r>
        <w:rPr/>
        <w:t>须</w:t>
      </w:r>
      <w:r>
        <w:rPr>
          <w:spacing w:val="-3"/>
        </w:rPr>
        <w:t>经</w:t>
      </w:r>
      <w:r>
        <w:rPr/>
        <w:t>神经</w:t>
      </w:r>
      <w:r>
        <w:rPr>
          <w:spacing w:val="-3"/>
        </w:rPr>
        <w:t>专</w:t>
      </w:r>
      <w:r>
        <w:rPr/>
        <w:t>科</w:t>
      </w:r>
      <w:r>
        <w:rPr>
          <w:spacing w:val="-3"/>
        </w:rPr>
        <w:t>医</w:t>
      </w:r>
      <w:r>
        <w:rPr/>
        <w:t>师</w:t>
      </w:r>
      <w:r>
        <w:rPr>
          <w:spacing w:val="-3"/>
        </w:rPr>
        <w:t>做</w:t>
      </w:r>
      <w:r>
        <w:rPr/>
        <w:t>出</w:t>
      </w:r>
      <w:r>
        <w:rPr>
          <w:spacing w:val="-3"/>
        </w:rPr>
        <w:t>明</w:t>
      </w:r>
      <w:r>
        <w:rPr/>
        <w:t>确</w:t>
      </w:r>
      <w:r>
        <w:rPr>
          <w:spacing w:val="-3"/>
        </w:rPr>
        <w:t>诊</w:t>
      </w:r>
      <w:r>
        <w:rPr/>
        <w:t>断</w:t>
      </w:r>
      <w:r>
        <w:rPr>
          <w:spacing w:val="-48"/>
        </w:rPr>
        <w:t>，</w:t>
      </w:r>
      <w:r>
        <w:rPr>
          <w:spacing w:val="-3"/>
        </w:rPr>
        <w:t>且</w:t>
      </w:r>
      <w:r>
        <w:rPr/>
        <w:t>疾</w:t>
      </w:r>
      <w:r>
        <w:rPr>
          <w:spacing w:val="-3"/>
        </w:rPr>
        <w:t>病</w:t>
      </w:r>
      <w:r>
        <w:rPr/>
        <w:t>进</w:t>
      </w:r>
      <w:r>
        <w:rPr>
          <w:spacing w:val="-3"/>
        </w:rPr>
        <w:t>行</w:t>
      </w:r>
      <w:r>
        <w:rPr/>
        <w:t>性</w:t>
      </w:r>
      <w:r>
        <w:rPr>
          <w:spacing w:val="-3"/>
        </w:rPr>
        <w:t>发</w:t>
      </w:r>
      <w:r>
        <w:rPr/>
        <w:t>展</w:t>
      </w:r>
      <w:r>
        <w:rPr>
          <w:spacing w:val="-3"/>
        </w:rPr>
        <w:t>已</w:t>
      </w:r>
      <w:r>
        <w:rPr/>
        <w:t>导致</w:t>
      </w:r>
      <w:r>
        <w:rPr>
          <w:spacing w:val="-3"/>
        </w:rPr>
        <w:t>不</w:t>
      </w:r>
      <w:r>
        <w:rPr/>
        <w:t>可</w:t>
      </w:r>
      <w:r>
        <w:rPr>
          <w:spacing w:val="-3"/>
        </w:rPr>
        <w:t>逆</w:t>
      </w:r>
      <w:r>
        <w:rPr/>
        <w:t>转的永久</w:t>
      </w:r>
      <w:r>
        <w:rPr>
          <w:spacing w:val="-3"/>
        </w:rPr>
        <w:t>性</w:t>
      </w:r>
      <w:r>
        <w:rPr/>
        <w:t>神</w:t>
      </w:r>
      <w:r>
        <w:rPr>
          <w:spacing w:val="-3"/>
        </w:rPr>
        <w:t>经</w:t>
      </w:r>
      <w:r>
        <w:rPr/>
        <w:t>系</w:t>
      </w:r>
      <w:r>
        <w:rPr>
          <w:spacing w:val="-3"/>
        </w:rPr>
        <w:t>统</w:t>
      </w:r>
      <w:r>
        <w:rPr/>
        <w:t>功</w:t>
      </w:r>
      <w:r>
        <w:rPr>
          <w:spacing w:val="-3"/>
        </w:rPr>
        <w:t>能</w:t>
      </w:r>
      <w:r>
        <w:rPr/>
        <w:t>障</w:t>
      </w:r>
      <w:r>
        <w:rPr>
          <w:spacing w:val="-3"/>
        </w:rPr>
        <w:t>碍</w:t>
      </w:r>
      <w:r>
        <w:rPr/>
        <w:t>。永</w:t>
      </w:r>
      <w:r>
        <w:rPr>
          <w:spacing w:val="-3"/>
        </w:rPr>
        <w:t>久</w:t>
      </w:r>
      <w:r>
        <w:rPr/>
        <w:t>性</w:t>
      </w:r>
      <w:r>
        <w:rPr>
          <w:spacing w:val="-3"/>
        </w:rPr>
        <w:t>神</w:t>
      </w:r>
      <w:r>
        <w:rPr/>
        <w:t>经</w:t>
      </w:r>
      <w:r>
        <w:rPr>
          <w:spacing w:val="-3"/>
        </w:rPr>
        <w:t>系</w:t>
      </w:r>
      <w:r>
        <w:rPr/>
        <w:t>统</w:t>
      </w:r>
      <w:r>
        <w:rPr>
          <w:spacing w:val="-3"/>
        </w:rPr>
        <w:t>功</w:t>
      </w:r>
      <w:r>
        <w:rPr/>
        <w:t>能</w:t>
      </w:r>
      <w:r>
        <w:rPr>
          <w:spacing w:val="-3"/>
        </w:rPr>
        <w:t>障</w:t>
      </w:r>
      <w:r>
        <w:rPr/>
        <w:t>碍是</w:t>
      </w:r>
      <w:r>
        <w:rPr>
          <w:spacing w:val="-3"/>
        </w:rPr>
        <w:t>指</w:t>
      </w:r>
      <w:r>
        <w:rPr/>
        <w:t>以</w:t>
      </w:r>
      <w:r>
        <w:rPr>
          <w:spacing w:val="-3"/>
        </w:rPr>
        <w:t>下</w:t>
      </w:r>
      <w:r>
        <w:rPr/>
        <w:t>六</w:t>
      </w:r>
      <w:r>
        <w:rPr>
          <w:spacing w:val="-3"/>
        </w:rPr>
        <w:t>项</w:t>
      </w:r>
      <w:r>
        <w:rPr/>
        <w:t>条</w:t>
      </w:r>
      <w:r>
        <w:rPr>
          <w:spacing w:val="-3"/>
        </w:rPr>
        <w:t>件</w:t>
      </w:r>
      <w:r>
        <w:rPr/>
        <w:t>中</w:t>
      </w:r>
      <w:r>
        <w:rPr>
          <w:spacing w:val="-3"/>
        </w:rPr>
        <w:t>的</w:t>
      </w:r>
      <w:r>
        <w:rPr/>
        <w:t>一项</w:t>
      </w:r>
      <w:r>
        <w:rPr>
          <w:spacing w:val="-3"/>
        </w:rPr>
        <w:t>或</w:t>
      </w:r>
      <w:r>
        <w:rPr/>
        <w:t>一</w:t>
      </w:r>
      <w:r>
        <w:rPr>
          <w:spacing w:val="-3"/>
        </w:rPr>
        <w:t>项</w:t>
      </w:r>
      <w:r>
        <w:rPr/>
        <w:t>以</w:t>
      </w:r>
      <w:r>
        <w:rPr>
          <w:w w:val="100"/>
        </w:rPr>
        <w:t>上</w:t>
      </w:r>
      <w:r>
        <w:rPr>
          <w:spacing w:val="-94"/>
          <w:w w:val="100"/>
        </w:rPr>
        <w:t>：</w:t>
      </w:r>
      <w:r>
        <w:rPr>
          <w:spacing w:val="-3"/>
          <w:w w:val="100"/>
        </w:rPr>
        <w:t>1</w:t>
      </w:r>
      <w:r>
        <w:rPr>
          <w:w w:val="100"/>
        </w:rPr>
        <w:t>)</w:t>
      </w:r>
      <w:r>
        <w:rPr/>
        <w:t> </w:t>
      </w:r>
      <w:r>
        <w:rPr>
          <w:spacing w:val="-3"/>
          <w:w w:val="100"/>
        </w:rPr>
        <w:t>一</w:t>
      </w:r>
      <w:r>
        <w:rPr>
          <w:w w:val="100"/>
        </w:rPr>
        <w:t>上</w:t>
      </w:r>
      <w:r>
        <w:rPr>
          <w:spacing w:val="-3"/>
          <w:w w:val="100"/>
        </w:rPr>
        <w:t>肢</w:t>
      </w:r>
      <w:r>
        <w:rPr>
          <w:w w:val="100"/>
        </w:rPr>
        <w:t>或</w:t>
      </w:r>
      <w:r>
        <w:rPr>
          <w:spacing w:val="-3"/>
          <w:w w:val="100"/>
        </w:rPr>
        <w:t>双</w:t>
      </w:r>
      <w:r>
        <w:rPr>
          <w:w w:val="100"/>
        </w:rPr>
        <w:t>上</w:t>
      </w:r>
      <w:r>
        <w:rPr>
          <w:spacing w:val="-3"/>
          <w:w w:val="100"/>
        </w:rPr>
        <w:t>肢手</w:t>
      </w:r>
      <w:r>
        <w:rPr>
          <w:w w:val="100"/>
        </w:rPr>
        <w:t>腕以</w:t>
      </w:r>
      <w:r>
        <w:rPr>
          <w:spacing w:val="-3"/>
          <w:w w:val="100"/>
        </w:rPr>
        <w:t>上</w:t>
      </w:r>
      <w:r>
        <w:rPr>
          <w:w w:val="100"/>
        </w:rPr>
        <w:t>部</w:t>
      </w:r>
      <w:r>
        <w:rPr>
          <w:spacing w:val="-3"/>
          <w:w w:val="100"/>
        </w:rPr>
        <w:t>分</w:t>
      </w:r>
      <w:r>
        <w:rPr>
          <w:w w:val="100"/>
        </w:rPr>
        <w:t>的</w:t>
      </w:r>
      <w:r>
        <w:rPr>
          <w:spacing w:val="-3"/>
          <w:w w:val="100"/>
        </w:rPr>
        <w:t>完</w:t>
      </w:r>
      <w:r>
        <w:rPr>
          <w:w w:val="100"/>
        </w:rPr>
        <w:t>全</w:t>
      </w:r>
      <w:r>
        <w:rPr>
          <w:spacing w:val="-3"/>
          <w:w w:val="100"/>
        </w:rPr>
        <w:t>及</w:t>
      </w:r>
      <w:r>
        <w:rPr>
          <w:w w:val="100"/>
        </w:rPr>
        <w:t>永</w:t>
      </w:r>
      <w:r>
        <w:rPr>
          <w:spacing w:val="-3"/>
          <w:w w:val="100"/>
        </w:rPr>
        <w:t>久</w:t>
      </w:r>
      <w:r>
        <w:rPr>
          <w:w w:val="100"/>
        </w:rPr>
        <w:t>瘫痪2)</w:t>
      </w:r>
      <w:r>
        <w:rPr>
          <w:spacing w:val="-2"/>
        </w:rPr>
        <w:t> </w:t>
      </w:r>
      <w:r>
        <w:rPr>
          <w:spacing w:val="-3"/>
          <w:w w:val="100"/>
        </w:rPr>
        <w:t>一</w:t>
      </w:r>
      <w:r>
        <w:rPr>
          <w:w w:val="100"/>
        </w:rPr>
        <w:t>下</w:t>
      </w:r>
      <w:r>
        <w:rPr>
          <w:spacing w:val="-3"/>
          <w:w w:val="100"/>
        </w:rPr>
        <w:t>肢</w:t>
      </w:r>
      <w:r>
        <w:rPr>
          <w:w w:val="100"/>
        </w:rPr>
        <w:t>或</w:t>
      </w:r>
      <w:r>
        <w:rPr>
          <w:spacing w:val="-3"/>
          <w:w w:val="100"/>
        </w:rPr>
        <w:t>双</w:t>
      </w:r>
      <w:r>
        <w:rPr>
          <w:w w:val="100"/>
        </w:rPr>
        <w:t>下</w:t>
      </w:r>
      <w:r>
        <w:rPr>
          <w:spacing w:val="-3"/>
          <w:w w:val="100"/>
        </w:rPr>
        <w:t>肢足</w:t>
      </w:r>
      <w:r>
        <w:rPr>
          <w:w w:val="100"/>
        </w:rPr>
        <w:t>踝以</w:t>
      </w:r>
      <w:r>
        <w:rPr>
          <w:spacing w:val="-3"/>
          <w:w w:val="100"/>
        </w:rPr>
        <w:t>上</w:t>
      </w:r>
      <w:r>
        <w:rPr>
          <w:w w:val="100"/>
        </w:rPr>
        <w:t>部</w:t>
      </w:r>
      <w:r>
        <w:rPr>
          <w:spacing w:val="-3"/>
          <w:w w:val="100"/>
        </w:rPr>
        <w:t>分</w:t>
      </w:r>
      <w:r>
        <w:rPr>
          <w:w w:val="100"/>
        </w:rPr>
        <w:t>的</w:t>
      </w:r>
      <w:r>
        <w:rPr/>
        <w:t>完全</w:t>
      </w:r>
      <w:r>
        <w:rPr>
          <w:spacing w:val="-3"/>
        </w:rPr>
        <w:t>及</w:t>
      </w:r>
      <w:r>
        <w:rPr/>
        <w:t>永</w:t>
      </w:r>
      <w:r>
        <w:rPr>
          <w:spacing w:val="-3"/>
        </w:rPr>
        <w:t>久</w:t>
      </w:r>
      <w:r>
        <w:rPr/>
        <w:t>瘫痪</w:t>
      </w:r>
      <w:r>
        <w:rPr>
          <w:spacing w:val="3"/>
        </w:rPr>
        <w:t> </w:t>
      </w:r>
      <w:r>
        <w:rPr/>
        <w:t>3)</w:t>
      </w:r>
      <w:r>
        <w:rPr>
          <w:spacing w:val="3"/>
        </w:rPr>
        <w:t> </w:t>
      </w:r>
      <w:r>
        <w:rPr/>
        <w:t>四</w:t>
      </w:r>
      <w:r>
        <w:rPr>
          <w:spacing w:val="-3"/>
        </w:rPr>
        <w:t>肢</w:t>
      </w:r>
      <w:r>
        <w:rPr/>
        <w:t>机能</w:t>
      </w:r>
      <w:r>
        <w:rPr>
          <w:spacing w:val="-3"/>
        </w:rPr>
        <w:t>完</w:t>
      </w:r>
      <w:r>
        <w:rPr/>
        <w:t>全</w:t>
      </w:r>
      <w:r>
        <w:rPr>
          <w:spacing w:val="-3"/>
        </w:rPr>
        <w:t>及</w:t>
      </w:r>
      <w:r>
        <w:rPr/>
        <w:t>永</w:t>
      </w:r>
      <w:r>
        <w:rPr>
          <w:spacing w:val="-3"/>
        </w:rPr>
        <w:t>久</w:t>
      </w:r>
      <w:r>
        <w:rPr/>
        <w:t>丧失</w:t>
        <w:tab/>
        <w:t>4)</w:t>
      </w:r>
      <w:r>
        <w:rPr>
          <w:spacing w:val="8"/>
        </w:rPr>
        <w:t> </w:t>
      </w:r>
      <w:r>
        <w:rPr>
          <w:spacing w:val="-3"/>
        </w:rPr>
        <w:t>完</w:t>
      </w:r>
      <w:r>
        <w:rPr/>
        <w:t>全</w:t>
      </w:r>
      <w:r>
        <w:rPr>
          <w:spacing w:val="-3"/>
        </w:rPr>
        <w:t>及</w:t>
      </w:r>
      <w:r>
        <w:rPr/>
        <w:t>永</w:t>
      </w:r>
      <w:r>
        <w:rPr>
          <w:spacing w:val="-3"/>
        </w:rPr>
        <w:t>久</w:t>
      </w:r>
      <w:r>
        <w:rPr/>
        <w:t>丧</w:t>
      </w:r>
      <w:r>
        <w:rPr>
          <w:spacing w:val="-3"/>
        </w:rPr>
        <w:t>失</w:t>
      </w:r>
      <w:r>
        <w:rPr/>
        <w:t>语</w:t>
      </w:r>
      <w:r>
        <w:rPr>
          <w:spacing w:val="-3"/>
        </w:rPr>
        <w:t>言能</w:t>
      </w:r>
      <w:r>
        <w:rPr/>
        <w:t>力5)</w:t>
      </w:r>
      <w:r>
        <w:rPr>
          <w:spacing w:val="6"/>
        </w:rPr>
        <w:t> </w:t>
      </w:r>
      <w:r>
        <w:rPr/>
        <w:t>完</w:t>
      </w:r>
      <w:r>
        <w:rPr>
          <w:spacing w:val="-3"/>
        </w:rPr>
        <w:t>全</w:t>
      </w:r>
      <w:r>
        <w:rPr/>
        <w:t>及永久</w:t>
      </w:r>
      <w:r>
        <w:rPr>
          <w:spacing w:val="-3"/>
        </w:rPr>
        <w:t>丧</w:t>
      </w:r>
      <w:r>
        <w:rPr/>
        <w:t>失</w:t>
      </w:r>
      <w:r>
        <w:rPr>
          <w:spacing w:val="-3"/>
        </w:rPr>
        <w:t>吞</w:t>
      </w:r>
      <w:r>
        <w:rPr/>
        <w:t>咽</w:t>
      </w:r>
      <w:r>
        <w:rPr>
          <w:spacing w:val="-3"/>
        </w:rPr>
        <w:t>能</w:t>
      </w:r>
      <w:r>
        <w:rPr>
          <w:spacing w:val="-48"/>
        </w:rPr>
        <w:t>力</w:t>
      </w:r>
      <w:r>
        <w:rPr>
          <w:spacing w:val="-3"/>
        </w:rPr>
        <w:t>（</w:t>
      </w:r>
      <w:r>
        <w:rPr/>
        <w:t>吞</w:t>
      </w:r>
      <w:r>
        <w:rPr>
          <w:spacing w:val="-3"/>
        </w:rPr>
        <w:t>咽</w:t>
      </w:r>
      <w:r>
        <w:rPr/>
        <w:t>困难</w:t>
      </w:r>
      <w:r>
        <w:rPr>
          <w:spacing w:val="-79"/>
        </w:rPr>
        <w:t>），</w:t>
      </w:r>
      <w:r>
        <w:rPr/>
        <w:t>必</w:t>
      </w:r>
      <w:r>
        <w:rPr>
          <w:spacing w:val="-3"/>
        </w:rPr>
        <w:t>须</w:t>
      </w:r>
      <w:r>
        <w:rPr/>
        <w:t>永</w:t>
      </w:r>
      <w:r>
        <w:rPr>
          <w:spacing w:val="-3"/>
        </w:rPr>
        <w:t>久</w:t>
      </w:r>
      <w:r>
        <w:rPr/>
        <w:t>使</w:t>
      </w:r>
      <w:r>
        <w:rPr>
          <w:spacing w:val="-3"/>
        </w:rPr>
        <w:t>用</w:t>
      </w:r>
      <w:r>
        <w:rPr/>
        <w:t>喂</w:t>
      </w:r>
      <w:r>
        <w:rPr>
          <w:spacing w:val="-3"/>
        </w:rPr>
        <w:t>饲</w:t>
      </w:r>
      <w:r>
        <w:rPr/>
        <w:t>管6)</w:t>
      </w:r>
      <w:r>
        <w:rPr>
          <w:spacing w:val="40"/>
        </w:rPr>
        <w:t> </w:t>
      </w:r>
      <w:r>
        <w:rPr/>
        <w:t>无</w:t>
      </w:r>
      <w:r>
        <w:rPr>
          <w:spacing w:val="-3"/>
        </w:rPr>
        <w:t>法</w:t>
      </w:r>
      <w:r>
        <w:rPr/>
        <w:t>独</w:t>
      </w:r>
      <w:r>
        <w:rPr>
          <w:spacing w:val="-3"/>
        </w:rPr>
        <w:t>立</w:t>
      </w:r>
      <w:r>
        <w:rPr/>
        <w:t>进</w:t>
      </w:r>
      <w:r>
        <w:rPr>
          <w:spacing w:val="-3"/>
        </w:rPr>
        <w:t>行</w:t>
      </w:r>
      <w:r>
        <w:rPr/>
        <w:t>六</w:t>
      </w:r>
      <w:r>
        <w:rPr>
          <w:spacing w:val="-3"/>
        </w:rPr>
        <w:t>项日</w:t>
      </w:r>
      <w:r>
        <w:rPr/>
        <w:t>常生</w:t>
      </w:r>
      <w:r>
        <w:rPr>
          <w:spacing w:val="-3"/>
        </w:rPr>
        <w:t>活</w:t>
      </w:r>
      <w:r>
        <w:rPr/>
        <w:t>活</w:t>
      </w:r>
      <w:r>
        <w:rPr>
          <w:spacing w:val="-3"/>
        </w:rPr>
        <w:t>动</w:t>
      </w:r>
      <w:r>
        <w:rPr/>
        <w:t>即穿衣</w:t>
      </w:r>
      <w:r>
        <w:rPr>
          <w:spacing w:val="-20"/>
        </w:rPr>
        <w:t>、</w:t>
      </w:r>
      <w:r>
        <w:rPr/>
        <w:t>移动</w:t>
      </w:r>
      <w:r>
        <w:rPr>
          <w:spacing w:val="-20"/>
        </w:rPr>
        <w:t>、</w:t>
      </w:r>
      <w:r>
        <w:rPr/>
        <w:t>行动</w:t>
      </w:r>
      <w:r>
        <w:rPr>
          <w:spacing w:val="-20"/>
        </w:rPr>
        <w:t>、</w:t>
      </w:r>
      <w:r>
        <w:rPr/>
        <w:t>卫</w:t>
      </w:r>
      <w:r>
        <w:rPr>
          <w:spacing w:val="-3"/>
        </w:rPr>
        <w:t>生</w:t>
      </w:r>
      <w:r>
        <w:rPr>
          <w:spacing w:val="-17"/>
        </w:rPr>
        <w:t>、</w:t>
      </w:r>
      <w:r>
        <w:rPr/>
        <w:t>进食</w:t>
      </w:r>
      <w:r>
        <w:rPr>
          <w:spacing w:val="-20"/>
        </w:rPr>
        <w:t>、</w:t>
      </w:r>
      <w:r>
        <w:rPr/>
        <w:t>洗</w:t>
      </w:r>
      <w:r>
        <w:rPr>
          <w:spacing w:val="-3"/>
        </w:rPr>
        <w:t>澡</w:t>
      </w:r>
      <w:r>
        <w:rPr/>
        <w:t>中三</w:t>
      </w:r>
      <w:r>
        <w:rPr>
          <w:spacing w:val="-3"/>
        </w:rPr>
        <w:t>项</w:t>
      </w:r>
      <w:r>
        <w:rPr/>
        <w:t>或</w:t>
      </w:r>
      <w:r>
        <w:rPr>
          <w:spacing w:val="-3"/>
        </w:rPr>
        <w:t>三</w:t>
      </w:r>
      <w:r>
        <w:rPr/>
        <w:t>项以上</w:t>
      </w:r>
      <w:r>
        <w:rPr>
          <w:spacing w:val="-20"/>
        </w:rPr>
        <w:t>，</w:t>
      </w:r>
      <w:r>
        <w:rPr/>
        <w:t>且</w:t>
      </w:r>
      <w:r>
        <w:rPr>
          <w:spacing w:val="-3"/>
        </w:rPr>
        <w:t>上</w:t>
      </w:r>
      <w:r>
        <w:rPr/>
        <w:t>述</w:t>
      </w:r>
      <w:r>
        <w:rPr>
          <w:spacing w:val="-3"/>
        </w:rPr>
        <w:t>日</w:t>
      </w:r>
      <w:r>
        <w:rPr/>
        <w:t>常</w:t>
      </w:r>
      <w:r>
        <w:rPr>
          <w:spacing w:val="-3"/>
        </w:rPr>
        <w:t>生活</w:t>
      </w:r>
      <w:r>
        <w:rPr/>
        <w:t>活动</w:t>
      </w:r>
      <w:r>
        <w:rPr>
          <w:spacing w:val="-3"/>
        </w:rPr>
        <w:t>经</w:t>
      </w:r>
      <w:r>
        <w:rPr/>
        <w:t>过</w:t>
      </w:r>
      <w:r>
        <w:rPr>
          <w:spacing w:val="-3"/>
        </w:rPr>
        <w:t>三</w:t>
      </w:r>
      <w:r>
        <w:rPr/>
        <w:t>个月的持</w:t>
      </w:r>
      <w:r>
        <w:rPr>
          <w:spacing w:val="-3"/>
        </w:rPr>
        <w:t>续</w:t>
      </w:r>
      <w:r>
        <w:rPr/>
        <w:t>治</w:t>
      </w:r>
      <w:r>
        <w:rPr>
          <w:spacing w:val="-3"/>
        </w:rPr>
        <w:t>疗</w:t>
      </w:r>
      <w:r>
        <w:rPr/>
        <w:t>后</w:t>
      </w:r>
      <w:r>
        <w:rPr>
          <w:spacing w:val="-3"/>
        </w:rPr>
        <w:t>仍</w:t>
      </w:r>
      <w:r>
        <w:rPr/>
        <w:t>无</w:t>
      </w:r>
      <w:r>
        <w:rPr>
          <w:spacing w:val="-3"/>
        </w:rPr>
        <w:t>法</w:t>
      </w:r>
      <w:r>
        <w:rPr/>
        <w:t>完</w:t>
      </w:r>
      <w:r>
        <w:rPr>
          <w:spacing w:val="-3"/>
        </w:rPr>
        <w:t>成</w:t>
      </w:r>
      <w:r>
        <w:rPr/>
        <w:t>。</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植物人状态</w:t>
      </w:r>
    </w:p>
    <w:p>
      <w:pPr>
        <w:pStyle w:val="BodyText"/>
        <w:spacing w:line="408" w:lineRule="auto" w:before="151"/>
        <w:ind w:left="120" w:right="101" w:firstLine="420"/>
      </w:pPr>
      <w:r>
        <w:rPr>
          <w:spacing w:val="-3"/>
        </w:rPr>
        <w:t>指脑皮质广泛性坏死而导致对自身及周边的认知能力完全丧失,但脑干功能依然存在， </w:t>
      </w:r>
      <w:r>
        <w:rPr>
          <w:spacing w:val="-3"/>
          <w:w w:val="100"/>
        </w:rPr>
        <w:t>必须经神经科专科医生明确诊断,并有头颅断层扫描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w:t>
      </w:r>
      <w:r>
        <w:rPr>
          <w:spacing w:val="-9"/>
        </w:rPr>
        <w:t>发射断层扫描</w:t>
      </w:r>
      <w:r>
        <w:rPr>
          <w:spacing w:val="-7"/>
        </w:rPr>
        <w:t>（PET）等影像学检查证实。上述情况必须有至少一个月的病历记录加以证实。</w:t>
      </w:r>
      <w:r>
        <w:rPr>
          <w:spacing w:val="-5"/>
        </w:rPr>
        <w:t>由于酗酒或滥用药物所致的植物人状态不在保障范围内。</w:t>
      </w:r>
    </w:p>
    <w:p>
      <w:pPr>
        <w:pStyle w:val="BodyText"/>
        <w:rPr>
          <w:sz w:val="20"/>
        </w:rPr>
      </w:pPr>
    </w:p>
    <w:p>
      <w:pPr>
        <w:pStyle w:val="Heading3"/>
        <w:numPr>
          <w:ilvl w:val="0"/>
          <w:numId w:val="3"/>
        </w:numPr>
        <w:tabs>
          <w:tab w:pos="483" w:val="left" w:leader="none"/>
        </w:tabs>
        <w:spacing w:line="240" w:lineRule="auto" w:before="150" w:after="0"/>
        <w:ind w:left="482" w:right="0" w:hanging="362"/>
        <w:jc w:val="left"/>
      </w:pPr>
      <w:r>
        <w:rPr/>
        <w:t>克隆病</w:t>
      </w:r>
    </w:p>
    <w:p>
      <w:pPr>
        <w:pStyle w:val="BodyText"/>
        <w:spacing w:before="152"/>
        <w:ind w:left="540"/>
      </w:pPr>
      <w:r>
        <w:rPr/>
        <w:t>克隆病是一种慢性肉芽肿性肠炎。被保险人所患的克隆病必须已经造成瘘管形成并伴有</w:t>
      </w:r>
    </w:p>
    <w:p>
      <w:pPr>
        <w:pStyle w:val="BodyText"/>
        <w:spacing w:before="9"/>
        <w:rPr>
          <w:sz w:val="14"/>
        </w:rPr>
      </w:pPr>
    </w:p>
    <w:p>
      <w:pPr>
        <w:pStyle w:val="BodyText"/>
        <w:spacing w:before="1"/>
        <w:ind w:left="120"/>
      </w:pPr>
      <w:r>
        <w:rPr/>
        <w:t>肠梗阻或肠穿孔。诊断必须由病理检查结果证实存在特征性的克隆病病理组织学变。</w:t>
      </w:r>
    </w:p>
    <w:p>
      <w:pPr>
        <w:pStyle w:val="BodyText"/>
        <w:rPr>
          <w:sz w:val="20"/>
        </w:rPr>
      </w:pPr>
    </w:p>
    <w:p>
      <w:pPr>
        <w:pStyle w:val="BodyText"/>
        <w:spacing w:before="9"/>
        <w:rPr>
          <w:sz w:val="22"/>
        </w:rPr>
      </w:pPr>
    </w:p>
    <w:p>
      <w:pPr>
        <w:pStyle w:val="Heading3"/>
        <w:spacing w:line="268" w:lineRule="auto"/>
        <w:ind w:left="120" w:right="211" w:firstLine="472"/>
      </w:pPr>
      <w:r>
        <w:rPr/>
        <w:t>被保险人发生符合以上疾病定义所述条件的疾病，应当由专科医生明确诊</w:t>
      </w:r>
      <w:r>
        <w:rPr>
          <w:spacing w:val="-3"/>
          <w:w w:val="95"/>
        </w:rPr>
        <w:t>断。第</w:t>
      </w:r>
      <w:r>
        <w:rPr>
          <w:w w:val="95"/>
        </w:rPr>
        <w:t>1至第25项为中国保险行业协会与中国医师协会共同制定的重大疾病保险   的疾病定义，第26至第40项为我公司增加的疾病种类并自行制定的疾病定义。</w:t>
      </w:r>
    </w:p>
    <w:p>
      <w:pPr>
        <w:pStyle w:val="BodyText"/>
        <w:rPr>
          <w:rFonts w:ascii="Microsoft JhengHei"/>
          <w:b/>
          <w:sz w:val="20"/>
        </w:rPr>
      </w:pPr>
    </w:p>
    <w:p>
      <w:pPr>
        <w:pStyle w:val="BodyText"/>
        <w:spacing w:before="7"/>
        <w:rPr>
          <w:rFonts w:ascii="Microsoft JhengHei"/>
          <w:b/>
          <w:sz w:val="10"/>
        </w:rPr>
      </w:pPr>
    </w:p>
    <w:p>
      <w:pPr>
        <w:pStyle w:val="Heading3"/>
        <w:spacing w:line="368" w:lineRule="exact"/>
        <w:ind w:left="120" w:firstLine="0"/>
      </w:pPr>
      <w:r>
        <w:rPr>
          <w:rFonts w:ascii="宋体" w:hAnsi="宋体" w:eastAsia="宋体" w:hint="eastAsia"/>
          <w:b w:val="0"/>
        </w:rPr>
        <w:t>※ </w:t>
      </w:r>
      <w:r>
        <w:rPr/>
        <w:t>本重大疾病释义中所提及的术语，其解释如下：</w:t>
      </w:r>
    </w:p>
    <w:p>
      <w:pPr>
        <w:pStyle w:val="BodyText"/>
        <w:spacing w:before="12"/>
        <w:rPr>
          <w:rFonts w:ascii="Microsoft JhengHei"/>
          <w:b/>
          <w:sz w:val="17"/>
        </w:rPr>
      </w:pPr>
    </w:p>
    <w:p>
      <w:pPr>
        <w:pStyle w:val="ListParagraph"/>
        <w:numPr>
          <w:ilvl w:val="0"/>
          <w:numId w:val="4"/>
        </w:numPr>
        <w:tabs>
          <w:tab w:pos="332" w:val="left" w:leader="none"/>
        </w:tabs>
        <w:spacing w:line="240" w:lineRule="auto" w:before="0" w:after="0"/>
        <w:ind w:left="331" w:right="0" w:hanging="211"/>
        <w:jc w:val="left"/>
        <w:rPr>
          <w:rFonts w:ascii="宋体" w:eastAsia="宋体" w:hint="eastAsia"/>
          <w:sz w:val="21"/>
        </w:rPr>
      </w:pPr>
      <w:r>
        <w:rPr>
          <w:rFonts w:ascii="宋体" w:eastAsia="宋体" w:hint="eastAsia"/>
          <w:spacing w:val="-3"/>
          <w:sz w:val="21"/>
        </w:rPr>
        <w:t>.六项基本日常生活活动</w:t>
      </w:r>
    </w:p>
    <w:p>
      <w:pPr>
        <w:pStyle w:val="BodyText"/>
        <w:spacing w:before="9"/>
        <w:rPr>
          <w:sz w:val="14"/>
        </w:rPr>
      </w:pPr>
    </w:p>
    <w:p>
      <w:pPr>
        <w:pStyle w:val="BodyText"/>
        <w:spacing w:before="1"/>
        <w:ind w:left="540"/>
      </w:pPr>
      <w:r>
        <w:rPr>
          <w:spacing w:val="-3"/>
          <w:w w:val="100"/>
        </w:rPr>
        <w:t>六项基本日常生活活动是指</w:t>
      </w:r>
      <w:r>
        <w:rPr>
          <w:spacing w:val="-123"/>
          <w:w w:val="100"/>
        </w:rPr>
        <w:t>：</w:t>
      </w:r>
      <w:r>
        <w:rPr>
          <w:w w:val="100"/>
        </w:rPr>
        <w:t>（1</w:t>
      </w:r>
      <w:r>
        <w:rPr>
          <w:spacing w:val="-20"/>
          <w:w w:val="100"/>
        </w:rPr>
        <w:t>）</w:t>
      </w:r>
      <w:r>
        <w:rPr>
          <w:spacing w:val="-5"/>
          <w:w w:val="100"/>
        </w:rPr>
        <w:t>穿衣：自己能够穿衣及脱衣</w:t>
      </w:r>
      <w:r>
        <w:rPr>
          <w:spacing w:val="-123"/>
          <w:w w:val="100"/>
        </w:rPr>
        <w:t>；</w:t>
      </w:r>
      <w:r>
        <w:rPr>
          <w:w w:val="100"/>
        </w:rPr>
        <w:t>（2</w:t>
      </w:r>
      <w:r>
        <w:rPr>
          <w:spacing w:val="-17"/>
          <w:w w:val="100"/>
        </w:rPr>
        <w:t>）</w:t>
      </w:r>
      <w:r>
        <w:rPr>
          <w:spacing w:val="-5"/>
          <w:w w:val="100"/>
        </w:rPr>
        <w:t>移动：自己从一个</w:t>
      </w:r>
    </w:p>
    <w:p>
      <w:pPr>
        <w:spacing w:after="0"/>
        <w:sectPr>
          <w:pgSz w:w="11900" w:h="16840"/>
          <w:pgMar w:header="0" w:footer="1007" w:top="1480" w:bottom="1200" w:left="1680" w:right="1580"/>
        </w:sectPr>
      </w:pPr>
    </w:p>
    <w:p>
      <w:pPr>
        <w:pStyle w:val="BodyText"/>
        <w:spacing w:before="26"/>
        <w:ind w:left="120"/>
      </w:pPr>
      <w:r>
        <w:rPr>
          <w:spacing w:val="-15"/>
          <w:w w:val="100"/>
        </w:rPr>
        <w:t>房间到另一个房间；</w:t>
      </w:r>
      <w:r>
        <w:rPr>
          <w:w w:val="100"/>
        </w:rPr>
        <w:t>（3</w:t>
      </w:r>
      <w:r>
        <w:rPr>
          <w:spacing w:val="-3"/>
          <w:w w:val="100"/>
        </w:rPr>
        <w:t>）</w:t>
      </w:r>
      <w:r>
        <w:rPr>
          <w:spacing w:val="-11"/>
          <w:w w:val="100"/>
        </w:rPr>
        <w:t>行动：自己上下床或上下轮椅；</w:t>
      </w:r>
      <w:r>
        <w:rPr>
          <w:w w:val="100"/>
        </w:rPr>
        <w:t>（4</w:t>
      </w:r>
      <w:r>
        <w:rPr>
          <w:spacing w:val="-3"/>
          <w:w w:val="100"/>
        </w:rPr>
        <w:t>）如厕：自己控制进行大小便；</w:t>
      </w:r>
    </w:p>
    <w:p>
      <w:pPr>
        <w:pStyle w:val="BodyText"/>
        <w:spacing w:before="10"/>
        <w:rPr>
          <w:sz w:val="14"/>
        </w:rPr>
      </w:pPr>
    </w:p>
    <w:p>
      <w:pPr>
        <w:pStyle w:val="BodyText"/>
        <w:ind w:left="120"/>
      </w:pPr>
      <w:r>
        <w:rPr>
          <w:w w:val="100"/>
        </w:rPr>
        <w:t>（5</w:t>
      </w:r>
      <w:r>
        <w:rPr>
          <w:spacing w:val="-22"/>
          <w:w w:val="100"/>
        </w:rPr>
        <w:t>）</w:t>
      </w:r>
      <w:r>
        <w:rPr>
          <w:spacing w:val="-5"/>
          <w:w w:val="100"/>
        </w:rPr>
        <w:t>进食：自己从已准备好的碗或碟中取食物放入口中</w:t>
      </w:r>
      <w:r>
        <w:rPr>
          <w:spacing w:val="-128"/>
          <w:w w:val="100"/>
        </w:rPr>
        <w:t>；</w:t>
      </w:r>
      <w:r>
        <w:rPr>
          <w:w w:val="100"/>
        </w:rPr>
        <w:t>（6</w:t>
      </w:r>
      <w:r>
        <w:rPr>
          <w:spacing w:val="-22"/>
          <w:w w:val="100"/>
        </w:rPr>
        <w:t>）</w:t>
      </w:r>
      <w:r>
        <w:rPr>
          <w:spacing w:val="-6"/>
          <w:w w:val="100"/>
        </w:rPr>
        <w:t>洗澡：自己进行淋浴或盆浴。</w:t>
      </w:r>
    </w:p>
    <w:p>
      <w:pPr>
        <w:pStyle w:val="BodyText"/>
        <w:spacing w:before="9"/>
        <w:rPr>
          <w:sz w:val="14"/>
        </w:rPr>
      </w:pPr>
    </w:p>
    <w:p>
      <w:pPr>
        <w:pStyle w:val="ListParagraph"/>
        <w:numPr>
          <w:ilvl w:val="0"/>
          <w:numId w:val="4"/>
        </w:numPr>
        <w:tabs>
          <w:tab w:pos="332" w:val="left" w:leader="none"/>
        </w:tabs>
        <w:spacing w:line="240" w:lineRule="auto" w:before="1" w:after="0"/>
        <w:ind w:left="331" w:right="0" w:hanging="211"/>
        <w:jc w:val="left"/>
        <w:rPr>
          <w:rFonts w:ascii="宋体" w:eastAsia="宋体" w:hint="eastAsia"/>
          <w:sz w:val="21"/>
        </w:rPr>
      </w:pPr>
      <w:r>
        <w:rPr>
          <w:rFonts w:ascii="宋体" w:eastAsia="宋体" w:hint="eastAsia"/>
          <w:spacing w:val="-3"/>
          <w:sz w:val="21"/>
        </w:rPr>
        <w:t>.肢体机能完全丧失</w:t>
      </w:r>
    </w:p>
    <w:p>
      <w:pPr>
        <w:pStyle w:val="BodyText"/>
        <w:spacing w:before="10"/>
        <w:rPr>
          <w:sz w:val="14"/>
        </w:rPr>
      </w:pPr>
    </w:p>
    <w:p>
      <w:pPr>
        <w:pStyle w:val="BodyText"/>
        <w:spacing w:line="408" w:lineRule="auto"/>
        <w:ind w:left="120" w:right="206" w:firstLine="420"/>
      </w:pPr>
      <w:r>
        <w:rPr>
          <w:spacing w:val="-8"/>
        </w:rPr>
        <w:t>指肢体的三大关节中的两大关节僵硬，或不能随意识活动。肢体是指包括肩关节的整个</w:t>
      </w:r>
      <w:r>
        <w:rPr>
          <w:spacing w:val="-5"/>
        </w:rPr>
        <w:t>上肢或包括髋关节的整个下肢。</w:t>
      </w:r>
    </w:p>
    <w:p>
      <w:pPr>
        <w:pStyle w:val="ListParagraph"/>
        <w:numPr>
          <w:ilvl w:val="0"/>
          <w:numId w:val="5"/>
        </w:numPr>
        <w:tabs>
          <w:tab w:pos="437" w:val="left" w:leader="none"/>
        </w:tabs>
        <w:spacing w:line="240" w:lineRule="auto" w:before="46" w:after="0"/>
        <w:ind w:left="436" w:right="0" w:hanging="316"/>
        <w:jc w:val="left"/>
        <w:rPr>
          <w:rFonts w:ascii="宋体" w:eastAsia="宋体" w:hint="eastAsia"/>
          <w:sz w:val="21"/>
        </w:rPr>
      </w:pPr>
      <w:r>
        <w:rPr>
          <w:rFonts w:ascii="宋体" w:eastAsia="宋体" w:hint="eastAsia"/>
          <w:spacing w:val="-3"/>
          <w:sz w:val="21"/>
        </w:rPr>
        <w:t>语言能力或咀嚼吞咽能力完全丧失</w:t>
      </w:r>
    </w:p>
    <w:p>
      <w:pPr>
        <w:pStyle w:val="BodyText"/>
        <w:spacing w:before="9"/>
        <w:rPr>
          <w:sz w:val="14"/>
        </w:rPr>
      </w:pPr>
    </w:p>
    <w:p>
      <w:pPr>
        <w:pStyle w:val="BodyText"/>
        <w:spacing w:line="408" w:lineRule="auto" w:before="1"/>
        <w:ind w:left="120" w:right="227" w:firstLine="420"/>
      </w:pPr>
      <w:r>
        <w:rPr>
          <w:spacing w:val="-7"/>
        </w:rPr>
        <w:t>语言能力完全丧失，指无法发出四种语音</w:t>
      </w:r>
      <w:r>
        <w:rPr/>
        <w:t>（</w:t>
      </w:r>
      <w:r>
        <w:rPr>
          <w:spacing w:val="-8"/>
        </w:rPr>
        <w:t>包括口唇音、齿舌音、口盖音和喉头音</w:t>
      </w:r>
      <w:r>
        <w:rPr>
          <w:spacing w:val="-20"/>
        </w:rPr>
        <w:t>）中</w:t>
      </w:r>
      <w:r>
        <w:rPr>
          <w:spacing w:val="-3"/>
        </w:rPr>
        <w:t>的任何三种、或声带全部切除，或因大脑语言中枢受伤害而患失语症。</w:t>
      </w:r>
    </w:p>
    <w:p>
      <w:pPr>
        <w:pStyle w:val="BodyText"/>
        <w:spacing w:line="408" w:lineRule="auto" w:before="46"/>
        <w:ind w:left="120" w:right="206"/>
      </w:pPr>
      <w:r>
        <w:rPr>
          <w:spacing w:val="-10"/>
        </w:rPr>
        <w:t>咀嚼吞咽能力完全丧失，指因牙齿以外的原因导致器质障碍或机能障碍，以致不能作咀嚼吞</w:t>
      </w:r>
      <w:r>
        <w:rPr>
          <w:spacing w:val="-5"/>
        </w:rPr>
        <w:t>咽运动，除流质食物外不能摄取或吞咽的状态。</w:t>
      </w:r>
    </w:p>
    <w:p>
      <w:pPr>
        <w:pStyle w:val="ListParagraph"/>
        <w:numPr>
          <w:ilvl w:val="0"/>
          <w:numId w:val="5"/>
        </w:numPr>
        <w:tabs>
          <w:tab w:pos="437" w:val="left" w:leader="none"/>
        </w:tabs>
        <w:spacing w:line="240" w:lineRule="auto" w:before="46" w:after="0"/>
        <w:ind w:left="436" w:right="0" w:hanging="316"/>
        <w:jc w:val="left"/>
        <w:rPr>
          <w:rFonts w:ascii="宋体" w:eastAsia="宋体" w:hint="eastAsia"/>
          <w:sz w:val="21"/>
        </w:rPr>
      </w:pPr>
      <w:r>
        <w:rPr>
          <w:rFonts w:ascii="宋体" w:eastAsia="宋体" w:hint="eastAsia"/>
          <w:spacing w:val="-3"/>
          <w:sz w:val="21"/>
        </w:rPr>
        <w:t>永久不可逆</w:t>
      </w:r>
    </w:p>
    <w:p>
      <w:pPr>
        <w:pStyle w:val="BodyText"/>
        <w:spacing w:before="10"/>
        <w:rPr>
          <w:sz w:val="14"/>
        </w:rPr>
      </w:pPr>
    </w:p>
    <w:p>
      <w:pPr>
        <w:pStyle w:val="BodyText"/>
        <w:ind w:left="540"/>
      </w:pPr>
      <w:r>
        <w:rPr/>
        <w:t>指自疾病确诊或意外伤害发生之日起，经过积极治疗180 天后，仍无法通过现有医疗手</w:t>
      </w:r>
    </w:p>
    <w:p>
      <w:pPr>
        <w:pStyle w:val="BodyText"/>
        <w:spacing w:before="9"/>
        <w:rPr>
          <w:sz w:val="14"/>
        </w:rPr>
      </w:pPr>
    </w:p>
    <w:p>
      <w:pPr>
        <w:pStyle w:val="BodyText"/>
        <w:spacing w:before="1"/>
        <w:ind w:left="120"/>
      </w:pPr>
      <w:r>
        <w:rPr/>
        <w:t>段恢复。</w:t>
      </w:r>
    </w:p>
    <w:p>
      <w:pPr>
        <w:pStyle w:val="BodyText"/>
        <w:spacing w:before="10"/>
        <w:rPr>
          <w:sz w:val="14"/>
        </w:rPr>
      </w:pPr>
    </w:p>
    <w:p>
      <w:pPr>
        <w:pStyle w:val="BodyText"/>
        <w:ind w:left="120"/>
      </w:pPr>
      <w:r>
        <w:rPr/>
        <w:t>5.专科医生</w:t>
      </w:r>
    </w:p>
    <w:p>
      <w:pPr>
        <w:pStyle w:val="BodyText"/>
        <w:spacing w:before="9"/>
        <w:rPr>
          <w:sz w:val="14"/>
        </w:rPr>
      </w:pPr>
    </w:p>
    <w:p>
      <w:pPr>
        <w:pStyle w:val="BodyText"/>
        <w:spacing w:line="408" w:lineRule="auto" w:before="1"/>
        <w:ind w:left="120" w:right="103" w:firstLine="420"/>
      </w:pPr>
      <w:r>
        <w:rPr>
          <w:spacing w:val="-3"/>
          <w:w w:val="100"/>
        </w:rPr>
        <w:t>专科医生应当同时满足以下四项资格条件</w:t>
      </w:r>
      <w:r>
        <w:rPr>
          <w:spacing w:val="-137"/>
          <w:w w:val="100"/>
        </w:rPr>
        <w:t>：</w:t>
      </w:r>
      <w:r>
        <w:rPr>
          <w:w w:val="100"/>
        </w:rPr>
        <w:t>（</w:t>
      </w:r>
      <w:r>
        <w:rPr>
          <w:spacing w:val="-3"/>
          <w:w w:val="100"/>
        </w:rPr>
        <w:t>1</w:t>
      </w:r>
      <w:r>
        <w:rPr>
          <w:spacing w:val="-34"/>
          <w:w w:val="100"/>
        </w:rPr>
        <w:t>）</w:t>
      </w:r>
      <w:r>
        <w:rPr>
          <w:spacing w:val="-6"/>
          <w:w w:val="100"/>
        </w:rPr>
        <w:t>具有有效的中华人民共和国《医师资格</w:t>
      </w:r>
      <w:r>
        <w:rPr>
          <w:spacing w:val="-65"/>
          <w:w w:val="100"/>
        </w:rPr>
        <w:t>证书》；</w:t>
      </w:r>
      <w:r>
        <w:rPr>
          <w:w w:val="100"/>
        </w:rPr>
        <w:t>（2</w:t>
      </w:r>
      <w:r>
        <w:rPr>
          <w:spacing w:val="-41"/>
          <w:w w:val="100"/>
        </w:rPr>
        <w:t>）</w:t>
      </w:r>
      <w:r>
        <w:rPr>
          <w:spacing w:val="-14"/>
          <w:w w:val="100"/>
        </w:rPr>
        <w:t>具有有效的中华人民共和国《医师执业证书》，并按期到相关部门登记注册</w:t>
      </w:r>
      <w:r>
        <w:rPr>
          <w:spacing w:val="-147"/>
          <w:w w:val="100"/>
        </w:rPr>
        <w:t>；</w:t>
      </w:r>
      <w:r>
        <w:rPr>
          <w:spacing w:val="-3"/>
          <w:w w:val="100"/>
        </w:rPr>
        <w:t>（</w:t>
      </w:r>
      <w:r>
        <w:rPr>
          <w:w w:val="100"/>
        </w:rPr>
        <w:t>3）</w:t>
      </w:r>
      <w:r>
        <w:rPr>
          <w:spacing w:val="-10"/>
          <w:w w:val="100"/>
        </w:rPr>
        <w:t>具有有效的中华人民共和国主治医师或主治医师以上职称的《医师职称证书》；</w:t>
      </w:r>
      <w:r>
        <w:rPr>
          <w:w w:val="100"/>
        </w:rPr>
        <w:t>（4</w:t>
      </w:r>
      <w:r>
        <w:rPr>
          <w:spacing w:val="-3"/>
          <w:w w:val="100"/>
        </w:rPr>
        <w:t>）在二级</w:t>
      </w:r>
      <w:r>
        <w:rPr>
          <w:spacing w:val="-3"/>
        </w:rPr>
        <w:t>或二级以上医院的相应科室从事临床工作三年以上。</w:t>
      </w:r>
    </w:p>
    <w:p>
      <w:pPr>
        <w:pStyle w:val="ListParagraph"/>
        <w:numPr>
          <w:ilvl w:val="0"/>
          <w:numId w:val="6"/>
        </w:numPr>
        <w:tabs>
          <w:tab w:pos="437" w:val="left" w:leader="none"/>
        </w:tabs>
        <w:spacing w:line="240" w:lineRule="auto" w:before="46" w:after="0"/>
        <w:ind w:left="436" w:right="0" w:hanging="316"/>
        <w:jc w:val="left"/>
        <w:rPr>
          <w:rFonts w:ascii="宋体" w:eastAsia="宋体" w:hint="eastAsia"/>
          <w:sz w:val="21"/>
        </w:rPr>
      </w:pPr>
      <w:r>
        <w:rPr>
          <w:rFonts w:ascii="宋体" w:eastAsia="宋体" w:hint="eastAsia"/>
          <w:spacing w:val="-3"/>
          <w:sz w:val="21"/>
        </w:rPr>
        <w:t>感染艾滋病病毒或患艾滋病</w:t>
      </w:r>
    </w:p>
    <w:p>
      <w:pPr>
        <w:pStyle w:val="BodyText"/>
        <w:spacing w:before="9"/>
        <w:rPr>
          <w:sz w:val="14"/>
        </w:rPr>
      </w:pPr>
    </w:p>
    <w:p>
      <w:pPr>
        <w:pStyle w:val="BodyText"/>
        <w:spacing w:line="408" w:lineRule="auto"/>
        <w:ind w:left="120" w:right="206" w:firstLine="420"/>
        <w:jc w:val="both"/>
      </w:pPr>
      <w:r>
        <w:rPr>
          <w:spacing w:val="-3"/>
        </w:rPr>
        <w:t>艾滋病病毒指人类免疫缺陷病毒，英文缩写为</w:t>
      </w:r>
      <w:r>
        <w:rPr/>
        <w:t>HIV</w:t>
      </w:r>
      <w:r>
        <w:rPr>
          <w:spacing w:val="-3"/>
        </w:rPr>
        <w:t>。艾滋病指人类免疫缺陷病毒引起的</w:t>
      </w:r>
      <w:r>
        <w:rPr>
          <w:spacing w:val="-8"/>
        </w:rPr>
        <w:t>获得性免疫缺陷综合征，英文缩写为</w:t>
      </w:r>
      <w:r>
        <w:rPr/>
        <w:t>AIDS</w:t>
      </w:r>
      <w:r>
        <w:rPr>
          <w:spacing w:val="-8"/>
        </w:rPr>
        <w:t>。在人体血液或其它样本中检测到艾滋病病毒或其</w:t>
      </w:r>
      <w:r>
        <w:rPr>
          <w:spacing w:val="-12"/>
        </w:rPr>
        <w:t>抗体呈阳性，没有出现临床症状或体征的，为感染艾滋病病毒；如果同时出现了明显临床症</w:t>
      </w:r>
      <w:r>
        <w:rPr>
          <w:spacing w:val="-6"/>
        </w:rPr>
        <w:t>状或体征的，为患艾滋病。</w:t>
      </w:r>
    </w:p>
    <w:p>
      <w:pPr>
        <w:pStyle w:val="ListParagraph"/>
        <w:numPr>
          <w:ilvl w:val="0"/>
          <w:numId w:val="6"/>
        </w:numPr>
        <w:tabs>
          <w:tab w:pos="437" w:val="left" w:leader="none"/>
        </w:tabs>
        <w:spacing w:line="240" w:lineRule="auto" w:before="45" w:after="0"/>
        <w:ind w:left="436" w:right="0" w:hanging="316"/>
        <w:jc w:val="left"/>
        <w:rPr>
          <w:rFonts w:ascii="宋体" w:eastAsia="宋体" w:hint="eastAsia"/>
          <w:sz w:val="21"/>
        </w:rPr>
      </w:pPr>
      <w:r>
        <w:rPr>
          <w:rFonts w:ascii="宋体" w:eastAsia="宋体" w:hint="eastAsia"/>
          <w:spacing w:val="-3"/>
          <w:sz w:val="21"/>
        </w:rPr>
        <w:t>遗传性疾病</w:t>
      </w:r>
    </w:p>
    <w:p>
      <w:pPr>
        <w:pStyle w:val="BodyText"/>
        <w:spacing w:before="9"/>
        <w:rPr>
          <w:sz w:val="14"/>
        </w:rPr>
      </w:pPr>
    </w:p>
    <w:p>
      <w:pPr>
        <w:pStyle w:val="BodyText"/>
        <w:ind w:left="540"/>
      </w:pPr>
      <w:r>
        <w:rPr/>
        <w:t>指生殖细胞或受精卵的遗传物质（染色体和基因）发生突变或畸变所引起的疾病，通常</w:t>
      </w:r>
    </w:p>
    <w:p>
      <w:pPr>
        <w:pStyle w:val="BodyText"/>
        <w:spacing w:before="9"/>
        <w:rPr>
          <w:sz w:val="14"/>
        </w:rPr>
      </w:pPr>
    </w:p>
    <w:p>
      <w:pPr>
        <w:pStyle w:val="BodyText"/>
        <w:ind w:left="120"/>
      </w:pPr>
      <w:r>
        <w:rPr/>
        <w:t>具有由亲代传至后代的垂直传递的特征。</w:t>
      </w:r>
    </w:p>
    <w:p>
      <w:pPr>
        <w:pStyle w:val="BodyText"/>
        <w:spacing w:before="9"/>
        <w:rPr>
          <w:sz w:val="14"/>
        </w:rPr>
      </w:pPr>
    </w:p>
    <w:p>
      <w:pPr>
        <w:pStyle w:val="ListParagraph"/>
        <w:numPr>
          <w:ilvl w:val="0"/>
          <w:numId w:val="6"/>
        </w:numPr>
        <w:tabs>
          <w:tab w:pos="437" w:val="left" w:leader="none"/>
        </w:tabs>
        <w:spacing w:line="240" w:lineRule="auto" w:before="0" w:after="0"/>
        <w:ind w:left="436" w:right="0" w:hanging="316"/>
        <w:jc w:val="left"/>
        <w:rPr>
          <w:rFonts w:ascii="宋体" w:eastAsia="宋体" w:hint="eastAsia"/>
          <w:sz w:val="21"/>
        </w:rPr>
      </w:pPr>
      <w:r>
        <w:rPr>
          <w:rFonts w:ascii="宋体" w:eastAsia="宋体" w:hint="eastAsia"/>
          <w:spacing w:val="-3"/>
          <w:sz w:val="21"/>
        </w:rPr>
        <w:t>先天性畸形、变形或染色体异常</w:t>
      </w:r>
    </w:p>
    <w:p>
      <w:pPr>
        <w:pStyle w:val="BodyText"/>
        <w:spacing w:before="9"/>
        <w:rPr>
          <w:sz w:val="14"/>
        </w:rPr>
      </w:pPr>
    </w:p>
    <w:p>
      <w:pPr>
        <w:pStyle w:val="BodyText"/>
        <w:ind w:left="540"/>
      </w:pPr>
      <w:r>
        <w:rPr/>
        <w:t>指被保险人出生时就具有的畸形、变形或染色体异常。先天性畸形、变形和染色体异常</w:t>
      </w:r>
    </w:p>
    <w:p>
      <w:pPr>
        <w:pStyle w:val="BodyText"/>
        <w:spacing w:before="9"/>
        <w:rPr>
          <w:sz w:val="14"/>
        </w:rPr>
      </w:pPr>
    </w:p>
    <w:p>
      <w:pPr>
        <w:pStyle w:val="BodyText"/>
        <w:ind w:left="120"/>
      </w:pPr>
      <w:r>
        <w:rPr/>
        <w:t>依照世界卫生组织《疾病和有关健康问题的国际统计分类》（ICD-10）确定。</w:t>
      </w:r>
    </w:p>
    <w:sectPr>
      <w:pgSz w:w="11900" w:h="16840"/>
      <w:pgMar w:header="0" w:footer="1007" w:top="148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onstantia">
    <w:altName w:val="Constant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600006pt;margin-top:780.659973pt;width:74.150pt;height:12pt;mso-position-horizontal-relative:page;mso-position-vertical-relative:page;z-index:-176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19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20007pt;margin-top:780.659973pt;width:78.7pt;height:12pt;mso-position-horizontal-relative:page;mso-position-vertical-relative:page;z-index:-1760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19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6"/>
      <w:numFmt w:val="decimal"/>
      <w:lvlText w:val="%1."/>
      <w:lvlJc w:val="left"/>
      <w:pPr>
        <w:ind w:left="436" w:hanging="317"/>
        <w:jc w:val="left"/>
      </w:pPr>
      <w:rPr>
        <w:rFonts w:hint="default" w:ascii="宋体" w:hAnsi="宋体" w:eastAsia="宋体" w:cs="宋体"/>
        <w:w w:val="100"/>
        <w:sz w:val="21"/>
        <w:szCs w:val="21"/>
      </w:rPr>
    </w:lvl>
    <w:lvl w:ilvl="1">
      <w:start w:val="0"/>
      <w:numFmt w:val="bullet"/>
      <w:lvlText w:val="•"/>
      <w:lvlJc w:val="left"/>
      <w:pPr>
        <w:ind w:left="1260" w:hanging="317"/>
      </w:pPr>
      <w:rPr>
        <w:rFonts w:hint="default"/>
      </w:rPr>
    </w:lvl>
    <w:lvl w:ilvl="2">
      <w:start w:val="0"/>
      <w:numFmt w:val="bullet"/>
      <w:lvlText w:val="•"/>
      <w:lvlJc w:val="left"/>
      <w:pPr>
        <w:ind w:left="2080" w:hanging="317"/>
      </w:pPr>
      <w:rPr>
        <w:rFonts w:hint="default"/>
      </w:rPr>
    </w:lvl>
    <w:lvl w:ilvl="3">
      <w:start w:val="0"/>
      <w:numFmt w:val="bullet"/>
      <w:lvlText w:val="•"/>
      <w:lvlJc w:val="left"/>
      <w:pPr>
        <w:ind w:left="2900" w:hanging="317"/>
      </w:pPr>
      <w:rPr>
        <w:rFonts w:hint="default"/>
      </w:rPr>
    </w:lvl>
    <w:lvl w:ilvl="4">
      <w:start w:val="0"/>
      <w:numFmt w:val="bullet"/>
      <w:lvlText w:val="•"/>
      <w:lvlJc w:val="left"/>
      <w:pPr>
        <w:ind w:left="3720" w:hanging="317"/>
      </w:pPr>
      <w:rPr>
        <w:rFonts w:hint="default"/>
      </w:rPr>
    </w:lvl>
    <w:lvl w:ilvl="5">
      <w:start w:val="0"/>
      <w:numFmt w:val="bullet"/>
      <w:lvlText w:val="•"/>
      <w:lvlJc w:val="left"/>
      <w:pPr>
        <w:ind w:left="4540" w:hanging="317"/>
      </w:pPr>
      <w:rPr>
        <w:rFonts w:hint="default"/>
      </w:rPr>
    </w:lvl>
    <w:lvl w:ilvl="6">
      <w:start w:val="0"/>
      <w:numFmt w:val="bullet"/>
      <w:lvlText w:val="•"/>
      <w:lvlJc w:val="left"/>
      <w:pPr>
        <w:ind w:left="5360" w:hanging="317"/>
      </w:pPr>
      <w:rPr>
        <w:rFonts w:hint="default"/>
      </w:rPr>
    </w:lvl>
    <w:lvl w:ilvl="7">
      <w:start w:val="0"/>
      <w:numFmt w:val="bullet"/>
      <w:lvlText w:val="•"/>
      <w:lvlJc w:val="left"/>
      <w:pPr>
        <w:ind w:left="6180" w:hanging="317"/>
      </w:pPr>
      <w:rPr>
        <w:rFonts w:hint="default"/>
      </w:rPr>
    </w:lvl>
    <w:lvl w:ilvl="8">
      <w:start w:val="0"/>
      <w:numFmt w:val="bullet"/>
      <w:lvlText w:val="•"/>
      <w:lvlJc w:val="left"/>
      <w:pPr>
        <w:ind w:left="7000" w:hanging="317"/>
      </w:pPr>
      <w:rPr>
        <w:rFonts w:hint="default"/>
      </w:rPr>
    </w:lvl>
  </w:abstractNum>
  <w:abstractNum w:abstractNumId="4">
    <w:multiLevelType w:val="hybridMultilevel"/>
    <w:lvl w:ilvl="0">
      <w:start w:val="3"/>
      <w:numFmt w:val="decimal"/>
      <w:lvlText w:val="%1."/>
      <w:lvlJc w:val="left"/>
      <w:pPr>
        <w:ind w:left="436" w:hanging="317"/>
        <w:jc w:val="left"/>
      </w:pPr>
      <w:rPr>
        <w:rFonts w:hint="default" w:ascii="宋体" w:hAnsi="宋体" w:eastAsia="宋体" w:cs="宋体"/>
        <w:w w:val="100"/>
        <w:sz w:val="21"/>
        <w:szCs w:val="21"/>
      </w:rPr>
    </w:lvl>
    <w:lvl w:ilvl="1">
      <w:start w:val="0"/>
      <w:numFmt w:val="bullet"/>
      <w:lvlText w:val="•"/>
      <w:lvlJc w:val="left"/>
      <w:pPr>
        <w:ind w:left="1260" w:hanging="317"/>
      </w:pPr>
      <w:rPr>
        <w:rFonts w:hint="default"/>
      </w:rPr>
    </w:lvl>
    <w:lvl w:ilvl="2">
      <w:start w:val="0"/>
      <w:numFmt w:val="bullet"/>
      <w:lvlText w:val="•"/>
      <w:lvlJc w:val="left"/>
      <w:pPr>
        <w:ind w:left="2080" w:hanging="317"/>
      </w:pPr>
      <w:rPr>
        <w:rFonts w:hint="default"/>
      </w:rPr>
    </w:lvl>
    <w:lvl w:ilvl="3">
      <w:start w:val="0"/>
      <w:numFmt w:val="bullet"/>
      <w:lvlText w:val="•"/>
      <w:lvlJc w:val="left"/>
      <w:pPr>
        <w:ind w:left="2900" w:hanging="317"/>
      </w:pPr>
      <w:rPr>
        <w:rFonts w:hint="default"/>
      </w:rPr>
    </w:lvl>
    <w:lvl w:ilvl="4">
      <w:start w:val="0"/>
      <w:numFmt w:val="bullet"/>
      <w:lvlText w:val="•"/>
      <w:lvlJc w:val="left"/>
      <w:pPr>
        <w:ind w:left="3720" w:hanging="317"/>
      </w:pPr>
      <w:rPr>
        <w:rFonts w:hint="default"/>
      </w:rPr>
    </w:lvl>
    <w:lvl w:ilvl="5">
      <w:start w:val="0"/>
      <w:numFmt w:val="bullet"/>
      <w:lvlText w:val="•"/>
      <w:lvlJc w:val="left"/>
      <w:pPr>
        <w:ind w:left="4540" w:hanging="317"/>
      </w:pPr>
      <w:rPr>
        <w:rFonts w:hint="default"/>
      </w:rPr>
    </w:lvl>
    <w:lvl w:ilvl="6">
      <w:start w:val="0"/>
      <w:numFmt w:val="bullet"/>
      <w:lvlText w:val="•"/>
      <w:lvlJc w:val="left"/>
      <w:pPr>
        <w:ind w:left="5360" w:hanging="317"/>
      </w:pPr>
      <w:rPr>
        <w:rFonts w:hint="default"/>
      </w:rPr>
    </w:lvl>
    <w:lvl w:ilvl="7">
      <w:start w:val="0"/>
      <w:numFmt w:val="bullet"/>
      <w:lvlText w:val="•"/>
      <w:lvlJc w:val="left"/>
      <w:pPr>
        <w:ind w:left="6180" w:hanging="317"/>
      </w:pPr>
      <w:rPr>
        <w:rFonts w:hint="default"/>
      </w:rPr>
    </w:lvl>
    <w:lvl w:ilvl="8">
      <w:start w:val="0"/>
      <w:numFmt w:val="bullet"/>
      <w:lvlText w:val="•"/>
      <w:lvlJc w:val="left"/>
      <w:pPr>
        <w:ind w:left="7000" w:hanging="317"/>
      </w:pPr>
      <w:rPr>
        <w:rFonts w:hint="default"/>
      </w:rPr>
    </w:lvl>
  </w:abstractNum>
  <w:abstractNum w:abstractNumId="3">
    <w:multiLevelType w:val="hybridMultilevel"/>
    <w:lvl w:ilvl="0">
      <w:start w:val="1"/>
      <w:numFmt w:val="decimal"/>
      <w:lvlText w:val="%1"/>
      <w:lvlJc w:val="left"/>
      <w:pPr>
        <w:ind w:left="331" w:hanging="212"/>
        <w:jc w:val="left"/>
      </w:pPr>
      <w:rPr>
        <w:rFonts w:hint="default" w:ascii="宋体" w:hAnsi="宋体" w:eastAsia="宋体" w:cs="宋体"/>
        <w:w w:val="100"/>
        <w:sz w:val="21"/>
        <w:szCs w:val="21"/>
      </w:rPr>
    </w:lvl>
    <w:lvl w:ilvl="1">
      <w:start w:val="0"/>
      <w:numFmt w:val="bullet"/>
      <w:lvlText w:val="•"/>
      <w:lvlJc w:val="left"/>
      <w:pPr>
        <w:ind w:left="1170" w:hanging="212"/>
      </w:pPr>
      <w:rPr>
        <w:rFonts w:hint="default"/>
      </w:rPr>
    </w:lvl>
    <w:lvl w:ilvl="2">
      <w:start w:val="0"/>
      <w:numFmt w:val="bullet"/>
      <w:lvlText w:val="•"/>
      <w:lvlJc w:val="left"/>
      <w:pPr>
        <w:ind w:left="2000" w:hanging="212"/>
      </w:pPr>
      <w:rPr>
        <w:rFonts w:hint="default"/>
      </w:rPr>
    </w:lvl>
    <w:lvl w:ilvl="3">
      <w:start w:val="0"/>
      <w:numFmt w:val="bullet"/>
      <w:lvlText w:val="•"/>
      <w:lvlJc w:val="left"/>
      <w:pPr>
        <w:ind w:left="2830" w:hanging="212"/>
      </w:pPr>
      <w:rPr>
        <w:rFonts w:hint="default"/>
      </w:rPr>
    </w:lvl>
    <w:lvl w:ilvl="4">
      <w:start w:val="0"/>
      <w:numFmt w:val="bullet"/>
      <w:lvlText w:val="•"/>
      <w:lvlJc w:val="left"/>
      <w:pPr>
        <w:ind w:left="3660" w:hanging="212"/>
      </w:pPr>
      <w:rPr>
        <w:rFonts w:hint="default"/>
      </w:rPr>
    </w:lvl>
    <w:lvl w:ilvl="5">
      <w:start w:val="0"/>
      <w:numFmt w:val="bullet"/>
      <w:lvlText w:val="•"/>
      <w:lvlJc w:val="left"/>
      <w:pPr>
        <w:ind w:left="4490" w:hanging="212"/>
      </w:pPr>
      <w:rPr>
        <w:rFonts w:hint="default"/>
      </w:rPr>
    </w:lvl>
    <w:lvl w:ilvl="6">
      <w:start w:val="0"/>
      <w:numFmt w:val="bullet"/>
      <w:lvlText w:val="•"/>
      <w:lvlJc w:val="left"/>
      <w:pPr>
        <w:ind w:left="5320" w:hanging="212"/>
      </w:pPr>
      <w:rPr>
        <w:rFonts w:hint="default"/>
      </w:rPr>
    </w:lvl>
    <w:lvl w:ilvl="7">
      <w:start w:val="0"/>
      <w:numFmt w:val="bullet"/>
      <w:lvlText w:val="•"/>
      <w:lvlJc w:val="left"/>
      <w:pPr>
        <w:ind w:left="6150" w:hanging="212"/>
      </w:pPr>
      <w:rPr>
        <w:rFonts w:hint="default"/>
      </w:rPr>
    </w:lvl>
    <w:lvl w:ilvl="8">
      <w:start w:val="0"/>
      <w:numFmt w:val="bullet"/>
      <w:lvlText w:val="•"/>
      <w:lvlJc w:val="left"/>
      <w:pPr>
        <w:ind w:left="6980" w:hanging="212"/>
      </w:pPr>
      <w:rPr>
        <w:rFonts w:hint="default"/>
      </w:rPr>
    </w:lvl>
  </w:abstractNum>
  <w:abstractNum w:abstractNumId="2">
    <w:multiLevelType w:val="hybridMultilevel"/>
    <w:lvl w:ilvl="0">
      <w:start w:val="1"/>
      <w:numFmt w:val="decimal"/>
      <w:lvlText w:val="%1"/>
      <w:lvlJc w:val="left"/>
      <w:pPr>
        <w:ind w:left="362" w:hanging="243"/>
        <w:jc w:val="left"/>
      </w:pPr>
      <w:rPr>
        <w:rFonts w:hint="default" w:ascii="Microsoft JhengHei" w:hAnsi="Microsoft JhengHei" w:eastAsia="Microsoft JhengHei" w:cs="Microsoft JhengHei"/>
        <w:b/>
        <w:bCs/>
        <w:w w:val="83"/>
        <w:sz w:val="24"/>
        <w:szCs w:val="24"/>
      </w:rPr>
    </w:lvl>
    <w:lvl w:ilvl="1">
      <w:start w:val="1"/>
      <w:numFmt w:val="decimal"/>
      <w:lvlText w:val="%2)"/>
      <w:lvlJc w:val="left"/>
      <w:pPr>
        <w:ind w:left="751" w:hanging="317"/>
        <w:jc w:val="left"/>
      </w:pPr>
      <w:rPr>
        <w:rFonts w:hint="default" w:ascii="宋体" w:hAnsi="宋体" w:eastAsia="宋体" w:cs="宋体"/>
        <w:w w:val="100"/>
        <w:sz w:val="21"/>
        <w:szCs w:val="21"/>
      </w:rPr>
    </w:lvl>
    <w:lvl w:ilvl="2">
      <w:start w:val="0"/>
      <w:numFmt w:val="bullet"/>
      <w:lvlText w:val="•"/>
      <w:lvlJc w:val="left"/>
      <w:pPr>
        <w:ind w:left="960" w:hanging="317"/>
      </w:pPr>
      <w:rPr>
        <w:rFonts w:hint="default"/>
      </w:rPr>
    </w:lvl>
    <w:lvl w:ilvl="3">
      <w:start w:val="0"/>
      <w:numFmt w:val="bullet"/>
      <w:lvlText w:val="•"/>
      <w:lvlJc w:val="left"/>
      <w:pPr>
        <w:ind w:left="1060" w:hanging="317"/>
      </w:pPr>
      <w:rPr>
        <w:rFonts w:hint="default"/>
      </w:rPr>
    </w:lvl>
    <w:lvl w:ilvl="4">
      <w:start w:val="0"/>
      <w:numFmt w:val="bullet"/>
      <w:lvlText w:val="•"/>
      <w:lvlJc w:val="left"/>
      <w:pPr>
        <w:ind w:left="2128" w:hanging="317"/>
      </w:pPr>
      <w:rPr>
        <w:rFonts w:hint="default"/>
      </w:rPr>
    </w:lvl>
    <w:lvl w:ilvl="5">
      <w:start w:val="0"/>
      <w:numFmt w:val="bullet"/>
      <w:lvlText w:val="•"/>
      <w:lvlJc w:val="left"/>
      <w:pPr>
        <w:ind w:left="3197" w:hanging="317"/>
      </w:pPr>
      <w:rPr>
        <w:rFonts w:hint="default"/>
      </w:rPr>
    </w:lvl>
    <w:lvl w:ilvl="6">
      <w:start w:val="0"/>
      <w:numFmt w:val="bullet"/>
      <w:lvlText w:val="•"/>
      <w:lvlJc w:val="left"/>
      <w:pPr>
        <w:ind w:left="4265" w:hanging="317"/>
      </w:pPr>
      <w:rPr>
        <w:rFonts w:hint="default"/>
      </w:rPr>
    </w:lvl>
    <w:lvl w:ilvl="7">
      <w:start w:val="0"/>
      <w:numFmt w:val="bullet"/>
      <w:lvlText w:val="•"/>
      <w:lvlJc w:val="left"/>
      <w:pPr>
        <w:ind w:left="5334" w:hanging="317"/>
      </w:pPr>
      <w:rPr>
        <w:rFonts w:hint="default"/>
      </w:rPr>
    </w:lvl>
    <w:lvl w:ilvl="8">
      <w:start w:val="0"/>
      <w:numFmt w:val="bullet"/>
      <w:lvlText w:val="•"/>
      <w:lvlJc w:val="left"/>
      <w:pPr>
        <w:ind w:left="6402" w:hanging="317"/>
      </w:pPr>
      <w:rPr>
        <w:rFonts w:hint="default"/>
      </w:rPr>
    </w:lvl>
  </w:abstractNum>
  <w:abstractNum w:abstractNumId="1">
    <w:multiLevelType w:val="hybridMultilevel"/>
    <w:lvl w:ilvl="0">
      <w:start w:val="10"/>
      <w:numFmt w:val="decimal"/>
      <w:lvlText w:val="%1."/>
      <w:lvlJc w:val="left"/>
      <w:pPr>
        <w:ind w:left="686" w:hanging="567"/>
        <w:jc w:val="left"/>
      </w:pPr>
      <w:rPr>
        <w:rFonts w:hint="default" w:ascii="Microsoft JhengHei" w:hAnsi="Microsoft JhengHei" w:eastAsia="Microsoft JhengHei" w:cs="Microsoft JhengHei"/>
        <w:b/>
        <w:bCs/>
        <w:w w:val="84"/>
        <w:sz w:val="28"/>
        <w:szCs w:val="28"/>
      </w:rPr>
    </w:lvl>
    <w:lvl w:ilvl="1">
      <w:start w:val="1"/>
      <w:numFmt w:val="decimal"/>
      <w:lvlText w:val="%2)"/>
      <w:lvlJc w:val="left"/>
      <w:pPr>
        <w:ind w:left="120" w:hanging="245"/>
        <w:jc w:val="left"/>
      </w:pPr>
      <w:rPr>
        <w:rFonts w:hint="default" w:ascii="Microsoft JhengHei" w:hAnsi="Microsoft JhengHei" w:eastAsia="Microsoft JhengHei" w:cs="Microsoft JhengHei"/>
        <w:b/>
        <w:bCs/>
        <w:spacing w:val="0"/>
        <w:w w:val="84"/>
        <w:sz w:val="24"/>
        <w:szCs w:val="24"/>
      </w:rPr>
    </w:lvl>
    <w:lvl w:ilvl="2">
      <w:start w:val="0"/>
      <w:numFmt w:val="bullet"/>
      <w:lvlText w:val="•"/>
      <w:lvlJc w:val="left"/>
      <w:pPr>
        <w:ind w:left="1553" w:hanging="245"/>
      </w:pPr>
      <w:rPr>
        <w:rFonts w:hint="default"/>
      </w:rPr>
    </w:lvl>
    <w:lvl w:ilvl="3">
      <w:start w:val="0"/>
      <w:numFmt w:val="bullet"/>
      <w:lvlText w:val="•"/>
      <w:lvlJc w:val="left"/>
      <w:pPr>
        <w:ind w:left="2426" w:hanging="245"/>
      </w:pPr>
      <w:rPr>
        <w:rFonts w:hint="default"/>
      </w:rPr>
    </w:lvl>
    <w:lvl w:ilvl="4">
      <w:start w:val="0"/>
      <w:numFmt w:val="bullet"/>
      <w:lvlText w:val="•"/>
      <w:lvlJc w:val="left"/>
      <w:pPr>
        <w:ind w:left="3300" w:hanging="245"/>
      </w:pPr>
      <w:rPr>
        <w:rFonts w:hint="default"/>
      </w:rPr>
    </w:lvl>
    <w:lvl w:ilvl="5">
      <w:start w:val="0"/>
      <w:numFmt w:val="bullet"/>
      <w:lvlText w:val="•"/>
      <w:lvlJc w:val="left"/>
      <w:pPr>
        <w:ind w:left="4173" w:hanging="245"/>
      </w:pPr>
      <w:rPr>
        <w:rFonts w:hint="default"/>
      </w:rPr>
    </w:lvl>
    <w:lvl w:ilvl="6">
      <w:start w:val="0"/>
      <w:numFmt w:val="bullet"/>
      <w:lvlText w:val="•"/>
      <w:lvlJc w:val="left"/>
      <w:pPr>
        <w:ind w:left="5046" w:hanging="245"/>
      </w:pPr>
      <w:rPr>
        <w:rFonts w:hint="default"/>
      </w:rPr>
    </w:lvl>
    <w:lvl w:ilvl="7">
      <w:start w:val="0"/>
      <w:numFmt w:val="bullet"/>
      <w:lvlText w:val="•"/>
      <w:lvlJc w:val="left"/>
      <w:pPr>
        <w:ind w:left="5920" w:hanging="245"/>
      </w:pPr>
      <w:rPr>
        <w:rFonts w:hint="default"/>
      </w:rPr>
    </w:lvl>
    <w:lvl w:ilvl="8">
      <w:start w:val="0"/>
      <w:numFmt w:val="bullet"/>
      <w:lvlText w:val="•"/>
      <w:lvlJc w:val="left"/>
      <w:pPr>
        <w:ind w:left="6793" w:hanging="245"/>
      </w:pPr>
      <w:rPr>
        <w:rFonts w:hint="default"/>
      </w:rPr>
    </w:lvl>
  </w:abstractNum>
  <w:abstractNum w:abstractNumId="0">
    <w:multiLevelType w:val="hybridMultilevel"/>
    <w:lvl w:ilvl="0">
      <w:start w:val="3"/>
      <w:numFmt w:val="decimal"/>
      <w:lvlText w:val="%1"/>
      <w:lvlJc w:val="left"/>
      <w:pPr>
        <w:ind w:left="544" w:hanging="425"/>
        <w:jc w:val="left"/>
      </w:pPr>
      <w:rPr>
        <w:rFonts w:hint="default"/>
      </w:rPr>
    </w:lvl>
    <w:lvl w:ilvl="1">
      <w:start w:val="1"/>
      <w:numFmt w:val="decimal"/>
      <w:lvlText w:val="%1.%2"/>
      <w:lvlJc w:val="left"/>
      <w:pPr>
        <w:ind w:left="544" w:hanging="425"/>
        <w:jc w:val="left"/>
      </w:pPr>
      <w:rPr>
        <w:rFonts w:hint="default" w:ascii="Microsoft JhengHei" w:hAnsi="Microsoft JhengHei" w:eastAsia="Microsoft JhengHei" w:cs="Microsoft JhengHei"/>
        <w:b/>
        <w:bCs/>
        <w:spacing w:val="0"/>
        <w:w w:val="83"/>
        <w:sz w:val="24"/>
        <w:szCs w:val="24"/>
      </w:rPr>
    </w:lvl>
    <w:lvl w:ilvl="2">
      <w:start w:val="0"/>
      <w:numFmt w:val="bullet"/>
      <w:lvlText w:val="•"/>
      <w:lvlJc w:val="left"/>
      <w:pPr>
        <w:ind w:left="2140" w:hanging="425"/>
      </w:pPr>
      <w:rPr>
        <w:rFonts w:hint="default"/>
      </w:rPr>
    </w:lvl>
    <w:lvl w:ilvl="3">
      <w:start w:val="0"/>
      <w:numFmt w:val="bullet"/>
      <w:lvlText w:val="•"/>
      <w:lvlJc w:val="left"/>
      <w:pPr>
        <w:ind w:left="2940" w:hanging="425"/>
      </w:pPr>
      <w:rPr>
        <w:rFonts w:hint="default"/>
      </w:rPr>
    </w:lvl>
    <w:lvl w:ilvl="4">
      <w:start w:val="0"/>
      <w:numFmt w:val="bullet"/>
      <w:lvlText w:val="•"/>
      <w:lvlJc w:val="left"/>
      <w:pPr>
        <w:ind w:left="3740" w:hanging="425"/>
      </w:pPr>
      <w:rPr>
        <w:rFonts w:hint="default"/>
      </w:rPr>
    </w:lvl>
    <w:lvl w:ilvl="5">
      <w:start w:val="0"/>
      <w:numFmt w:val="bullet"/>
      <w:lvlText w:val="•"/>
      <w:lvlJc w:val="left"/>
      <w:pPr>
        <w:ind w:left="4540" w:hanging="425"/>
      </w:pPr>
      <w:rPr>
        <w:rFonts w:hint="default"/>
      </w:rPr>
    </w:lvl>
    <w:lvl w:ilvl="6">
      <w:start w:val="0"/>
      <w:numFmt w:val="bullet"/>
      <w:lvlText w:val="•"/>
      <w:lvlJc w:val="left"/>
      <w:pPr>
        <w:ind w:left="5340" w:hanging="425"/>
      </w:pPr>
      <w:rPr>
        <w:rFonts w:hint="default"/>
      </w:rPr>
    </w:lvl>
    <w:lvl w:ilvl="7">
      <w:start w:val="0"/>
      <w:numFmt w:val="bullet"/>
      <w:lvlText w:val="•"/>
      <w:lvlJc w:val="left"/>
      <w:pPr>
        <w:ind w:left="6140" w:hanging="425"/>
      </w:pPr>
      <w:rPr>
        <w:rFonts w:hint="default"/>
      </w:rPr>
    </w:lvl>
    <w:lvl w:ilvl="8">
      <w:start w:val="0"/>
      <w:numFmt w:val="bullet"/>
      <w:lvlText w:val="•"/>
      <w:lvlJc w:val="left"/>
      <w:pPr>
        <w:ind w:left="6940" w:hanging="425"/>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91"/>
      <w:ind w:left="120"/>
    </w:pPr>
    <w:rPr>
      <w:rFonts w:ascii="Microsoft JhengHei" w:hAnsi="Microsoft JhengHei" w:eastAsia="Microsoft JhengHei" w:cs="Microsoft JhengHei"/>
      <w:b/>
      <w:bCs/>
      <w:sz w:val="20"/>
      <w:szCs w:val="20"/>
    </w:rPr>
  </w:style>
  <w:style w:styleId="TOC2" w:type="paragraph">
    <w:name w:val="TOC 2"/>
    <w:basedOn w:val="Normal"/>
    <w:uiPriority w:val="1"/>
    <w:qFormat/>
    <w:pPr>
      <w:spacing w:before="35"/>
      <w:ind w:left="331"/>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9"/>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ind w:left="120"/>
      <w:outlineLvl w:val="2"/>
    </w:pPr>
    <w:rPr>
      <w:rFonts w:ascii="Microsoft JhengHei" w:hAnsi="Microsoft JhengHei" w:eastAsia="Microsoft JhengHei" w:cs="Microsoft JhengHei"/>
      <w:b/>
      <w:bCs/>
      <w:sz w:val="28"/>
      <w:szCs w:val="28"/>
    </w:rPr>
  </w:style>
  <w:style w:styleId="Heading3" w:type="paragraph">
    <w:name w:val="Heading 3"/>
    <w:basedOn w:val="Normal"/>
    <w:uiPriority w:val="1"/>
    <w:qFormat/>
    <w:pPr>
      <w:ind w:left="482" w:hanging="362"/>
      <w:outlineLvl w:val="3"/>
    </w:pPr>
    <w:rPr>
      <w:rFonts w:ascii="Microsoft JhengHei" w:hAnsi="Microsoft JhengHei" w:eastAsia="Microsoft JhengHei" w:cs="Microsoft JhengHei"/>
      <w:b/>
      <w:bCs/>
      <w:sz w:val="24"/>
      <w:szCs w:val="24"/>
    </w:rPr>
  </w:style>
  <w:style w:styleId="Heading4" w:type="paragraph">
    <w:name w:val="Heading 4"/>
    <w:basedOn w:val="Normal"/>
    <w:uiPriority w:val="1"/>
    <w:qFormat/>
    <w:pPr>
      <w:spacing w:before="153"/>
      <w:ind w:left="120"/>
      <w:outlineLvl w:val="4"/>
    </w:pPr>
    <w:rPr>
      <w:rFonts w:ascii="宋体" w:hAnsi="宋体" w:eastAsia="宋体" w:cs="宋体"/>
      <w:sz w:val="24"/>
      <w:szCs w:val="24"/>
    </w:rPr>
  </w:style>
  <w:style w:styleId="Heading5" w:type="paragraph">
    <w:name w:val="Heading 5"/>
    <w:basedOn w:val="Normal"/>
    <w:uiPriority w:val="1"/>
    <w:qFormat/>
    <w:pPr>
      <w:ind w:left="120"/>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482" w:hanging="362"/>
    </w:pPr>
    <w:rPr>
      <w:rFonts w:ascii="Microsoft JhengHei" w:hAnsi="Microsoft JhengHei" w:eastAsia="Microsoft JhengHei" w:cs="Microsoft JhengHe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3 瑞泰附加健康之选重大疾病保险条款</dc:title>
  <dcterms:created xsi:type="dcterms:W3CDTF">2018-10-20T03:33:29Z</dcterms:created>
  <dcterms:modified xsi:type="dcterms:W3CDTF">2018-10-20T03:33:29Z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2014-05-18T00:00:00Z</vt:filetime>
  </property>
  <property fmtid="{D5CDD505-2E9C-101B-9397-08002B2CF9AE}" pid="3" name="Creator">
    <vt:lpwstr>pdfFactory Pro www.fineprint.cn</vt:lpwstr>
  </property>
  <property fmtid="{D5CDD505-2E9C-101B-9397-08002B2CF9AE}" pid="4" name="LastSaved">
    <vt:filetime>2014-05-18T00:00:00Z</vt:filetime>
  </property>
</Properties>
</file>