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487"/>
      </w:pPr>
      <w:r>
        <w:rPr/>
        <w:drawing>
          <wp:anchor distT="0" distB="0" distL="0" distR="0" allowOverlap="1" layoutInCell="1" locked="0" behindDoc="0" simplePos="0" relativeHeight="0">
            <wp:simplePos x="0" y="0"/>
            <wp:positionH relativeFrom="page">
              <wp:posOffset>5182234</wp:posOffset>
            </wp:positionH>
            <wp:positionV relativeFrom="paragraph">
              <wp:posOffset>244395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瑞泰人寿[2014]疾病保险 023 号</w:t>
      </w:r>
    </w:p>
    <w:p>
      <w:pPr>
        <w:pStyle w:val="BodyText"/>
        <w:spacing w:before="15"/>
        <w:ind w:left="6013"/>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Heading1"/>
        <w:spacing w:line="196" w:lineRule="auto" w:before="1"/>
        <w:ind w:left="1181" w:right="1180"/>
      </w:pPr>
      <w:r>
        <w:rPr/>
        <w:t>瑞泰附加保费豁免重大疾病保险合同条款</w:t>
      </w: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spacing w:before="2"/>
        <w:rPr>
          <w:rFonts w:ascii="微软雅黑"/>
          <w:b/>
          <w:sz w:val="40"/>
        </w:rPr>
      </w:pPr>
    </w:p>
    <w:p>
      <w:pPr>
        <w:spacing w:before="0"/>
        <w:ind w:left="1181" w:right="1180" w:firstLine="0"/>
        <w:jc w:val="center"/>
        <w:rPr>
          <w:rFonts w:ascii="微软雅黑" w:eastAsia="微软雅黑" w:hint="eastAsia"/>
          <w:b/>
          <w:sz w:val="28"/>
        </w:rPr>
      </w:pPr>
      <w:r>
        <w:rPr>
          <w:rFonts w:ascii="微软雅黑" w:eastAsia="微软雅黑" w:hint="eastAsia"/>
          <w:b/>
          <w:sz w:val="28"/>
        </w:rPr>
        <w:t>瑞泰人寿保险有限公司</w:t>
      </w:r>
    </w:p>
    <w:p>
      <w:pPr>
        <w:spacing w:before="140"/>
        <w:ind w:left="1181" w:right="1180" w:firstLine="0"/>
        <w:jc w:val="center"/>
        <w:rPr>
          <w:rFonts w:ascii="微软雅黑" w:eastAsia="微软雅黑" w:hint="eastAsia"/>
          <w:b/>
          <w:sz w:val="28"/>
        </w:rPr>
      </w:pPr>
      <w:r>
        <w:rPr>
          <w:rFonts w:ascii="微软雅黑" w:eastAsia="微软雅黑" w:hint="eastAsia"/>
          <w:b/>
          <w:w w:val="95"/>
          <w:sz w:val="28"/>
        </w:rPr>
        <w:t>2014 年 12 月</w:t>
      </w:r>
    </w:p>
    <w:p>
      <w:pPr>
        <w:spacing w:after="0"/>
        <w:jc w:val="center"/>
        <w:rPr>
          <w:rFonts w:ascii="微软雅黑" w:eastAsia="微软雅黑" w:hint="eastAsia"/>
          <w:sz w:val="28"/>
        </w:rPr>
        <w:sectPr>
          <w:footerReference w:type="default" r:id="rId5"/>
          <w:type w:val="continuous"/>
          <w:pgSz w:w="11910" w:h="16840"/>
          <w:pgMar w:footer="1005" w:top="1400" w:bottom="1200" w:left="1680" w:right="1680"/>
          <w:pgNumType w:start="1"/>
        </w:sectPr>
      </w:pPr>
    </w:p>
    <w:p>
      <w:pPr>
        <w:tabs>
          <w:tab w:pos="662" w:val="left" w:leader="none"/>
        </w:tabs>
        <w:spacing w:line="548" w:lineRule="exact" w:before="0"/>
        <w:ind w:left="0" w:right="0" w:firstLine="0"/>
        <w:jc w:val="center"/>
        <w:rPr>
          <w:rFonts w:ascii="微软雅黑" w:eastAsia="微软雅黑" w:hint="eastAsia"/>
          <w:b/>
          <w:sz w:val="44"/>
        </w:rPr>
      </w:pPr>
      <w:r>
        <w:rPr>
          <w:rFonts w:ascii="微软雅黑" w:eastAsia="微软雅黑" w:hint="eastAsia"/>
          <w:b/>
          <w:sz w:val="44"/>
        </w:rPr>
        <w:t>目</w:t>
        <w:tab/>
        <w:t>录</w:t>
      </w:r>
    </w:p>
    <w:sdt>
      <w:sdtPr>
        <w:docPartObj>
          <w:docPartGallery w:val="Table of Contents"/>
          <w:docPartUnique/>
        </w:docPartObj>
      </w:sdtPr>
      <w:sdtEndPr/>
      <w:sdtContent>
        <w:p>
          <w:pPr>
            <w:pStyle w:val="TOC1"/>
            <w:tabs>
              <w:tab w:pos="8418" w:val="right" w:leader="dot"/>
            </w:tabs>
            <w:spacing w:line="320" w:lineRule="exact"/>
            <w:rPr>
              <w:rFonts w:ascii="Times New Roman" w:eastAsia="Times New Roman"/>
              <w:b w:val="0"/>
            </w:rPr>
          </w:pPr>
          <w:hyperlink w:history="true" w:anchor="_bookmark0">
            <w:r>
              <w:rPr/>
              <w:t>一、基本条款</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hAnsi="Times New Roman" w:eastAsia="Times New Roman"/>
              <w:b w:val="0"/>
            </w:rPr>
          </w:pPr>
          <w:hyperlink w:history="true" w:anchor="_bookmark1">
            <w:r>
              <w:rPr>
                <w:w w:val="100"/>
              </w:rPr>
              <w:t>关于瑞泰附加保费</w:t>
            </w:r>
            <w:r>
              <w:rPr>
                <w:spacing w:val="-3"/>
                <w:w w:val="100"/>
              </w:rPr>
              <w:t>豁</w:t>
            </w:r>
            <w:r>
              <w:rPr>
                <w:w w:val="100"/>
              </w:rPr>
              <w:t>免</w:t>
            </w:r>
            <w:r>
              <w:rPr>
                <w:spacing w:val="-3"/>
                <w:w w:val="100"/>
              </w:rPr>
              <w:t>重</w:t>
            </w:r>
            <w:r>
              <w:rPr>
                <w:w w:val="100"/>
              </w:rPr>
              <w:t>大疾病保险合同（</w:t>
            </w:r>
            <w:r>
              <w:rPr>
                <w:spacing w:val="-3"/>
                <w:w w:val="100"/>
              </w:rPr>
              <w:t>以</w:t>
            </w:r>
            <w:r>
              <w:rPr>
                <w:w w:val="100"/>
              </w:rPr>
              <w:t>下</w:t>
            </w:r>
            <w:r>
              <w:rPr>
                <w:spacing w:val="-3"/>
                <w:w w:val="100"/>
              </w:rPr>
              <w:t>简</w:t>
            </w:r>
            <w:r>
              <w:rPr>
                <w:w w:val="100"/>
              </w:rPr>
              <w:t>称“本附加合同</w:t>
            </w:r>
            <w:r>
              <w:rPr>
                <w:spacing w:val="-106"/>
                <w:w w:val="100"/>
              </w:rPr>
              <w:t>”</w:t>
            </w:r>
            <w:r>
              <w:rPr>
                <w:w w:val="100"/>
              </w:rPr>
              <w:t>）</w:t>
            </w:r>
            <w:r>
              <w:rPr>
                <w:rFonts w:ascii="Times New Roman" w:hAnsi="Times New Roman" w:eastAsia="Times New Roman"/>
                <w:b w:val="0"/>
                <w:w w:val="100"/>
              </w:rPr>
              <w:t> </w:t>
            </w:r>
            <w:r>
              <w:rPr>
                <w:rFonts w:ascii="Times New Roman" w:hAnsi="Times New Roman" w:eastAsia="Times New Roman"/>
                <w:b w:val="0"/>
              </w:rPr>
              <w:tab/>
            </w:r>
            <w:r>
              <w:rPr>
                <w:rFonts w:ascii="Times New Roman" w:hAnsi="Times New Roman" w:eastAsia="Times New Roman"/>
                <w:b w:val="0"/>
                <w:w w:val="10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2">
            <w:r>
              <w:rPr/>
              <w:t>本附加合同的构成</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3">
            <w:r>
              <w:rPr/>
              <w:t>投保条件</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4">
            <w:r>
              <w:rPr/>
              <w:t>本附加合同的成立</w:t>
            </w:r>
            <w:r>
              <w:rPr>
                <w:spacing w:val="-3"/>
              </w:rPr>
              <w:t>与</w:t>
            </w:r>
            <w:r>
              <w:rPr/>
              <w:t>生效</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5">
            <w:r>
              <w:rPr/>
              <w:t>保险期间</w:t>
              <w:tab/>
            </w:r>
            <w:r>
              <w:rPr>
                <w:rFonts w:ascii="Times New Roman" w:eastAsia="Times New Roman"/>
                <w:b w:val="0"/>
              </w:rPr>
              <w:t>4</w:t>
            </w:r>
          </w:hyperlink>
        </w:p>
        <w:p>
          <w:pPr>
            <w:pStyle w:val="TOC1"/>
            <w:tabs>
              <w:tab w:pos="8418" w:val="right" w:leader="dot"/>
            </w:tabs>
            <w:rPr>
              <w:rFonts w:ascii="Times New Roman" w:eastAsia="Times New Roman"/>
              <w:b w:val="0"/>
            </w:rPr>
          </w:pPr>
          <w:hyperlink w:history="true" w:anchor="_bookmark6">
            <w:r>
              <w:rPr/>
              <w:t>二、保险费条款</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7">
            <w:r>
              <w:rPr/>
              <w:t>保险费的交纳</w:t>
              <w:tab/>
            </w:r>
            <w:r>
              <w:rPr>
                <w:rFonts w:ascii="Times New Roman" w:eastAsia="Times New Roman"/>
                <w:b w:val="0"/>
              </w:rPr>
              <w:t>4</w:t>
            </w:r>
          </w:hyperlink>
        </w:p>
        <w:p>
          <w:pPr>
            <w:pStyle w:val="TOC1"/>
            <w:tabs>
              <w:tab w:pos="8418" w:val="right" w:leader="dot"/>
            </w:tabs>
            <w:rPr>
              <w:rFonts w:ascii="Times New Roman" w:eastAsia="Times New Roman"/>
              <w:b w:val="0"/>
            </w:rPr>
          </w:pPr>
          <w:hyperlink w:history="true" w:anchor="_bookmark8">
            <w:r>
              <w:rPr/>
              <w:t>三、保障条款</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9">
            <w:r>
              <w:rPr/>
              <w:t>基本保险金额</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0">
            <w:r>
              <w:rPr/>
              <w:t>保险责任</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1">
            <w:r>
              <w:rPr/>
              <w:t>责任免除</w:t>
              <w:tab/>
            </w:r>
            <w:r>
              <w:rPr>
                <w:rFonts w:ascii="Times New Roman" w:eastAsia="Times New Roman"/>
                <w:b w:val="0"/>
              </w:rPr>
              <w:t>5</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2">
            <w:r>
              <w:rPr/>
              <w:t>豁免保费保险金的</w:t>
            </w:r>
            <w:r>
              <w:rPr>
                <w:spacing w:val="-3"/>
              </w:rPr>
              <w:t>申</w:t>
            </w:r>
            <w:r>
              <w:rPr/>
              <w:t>请</w:t>
              <w:tab/>
            </w:r>
            <w:r>
              <w:rPr>
                <w:rFonts w:ascii="Times New Roman" w:eastAsia="Times New Roman"/>
                <w:b w:val="0"/>
              </w:rPr>
              <w:t>6</w:t>
            </w:r>
          </w:hyperlink>
        </w:p>
        <w:p>
          <w:pPr>
            <w:pStyle w:val="TOC1"/>
            <w:tabs>
              <w:tab w:pos="8418" w:val="right" w:leader="dot"/>
            </w:tabs>
            <w:rPr>
              <w:rFonts w:ascii="Times New Roman" w:eastAsia="Times New Roman"/>
              <w:b w:val="0"/>
            </w:rPr>
          </w:pPr>
          <w:hyperlink w:history="true" w:anchor="_bookmark13">
            <w:r>
              <w:rPr/>
              <w:t>四、其他</w:t>
              <w:tab/>
            </w:r>
            <w:r>
              <w:rPr>
                <w:rFonts w:ascii="Times New Roman" w:eastAsia="Times New Roman"/>
                <w:b w:val="0"/>
              </w:rPr>
              <w:t>7</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4">
            <w:r>
              <w:rPr/>
              <w:t>本附加合同的解除</w:t>
              <w:tab/>
            </w:r>
            <w:r>
              <w:rPr>
                <w:rFonts w:ascii="Times New Roman" w:eastAsia="Times New Roman"/>
                <w:b w:val="0"/>
              </w:rPr>
              <w:t>7</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5">
            <w:r>
              <w:rPr/>
              <w:t>本附加合同的终止</w:t>
              <w:tab/>
            </w:r>
            <w:r>
              <w:rPr>
                <w:rFonts w:ascii="Times New Roman" w:eastAsia="Times New Roman"/>
                <w:b w:val="0"/>
              </w:rPr>
              <w:t>7</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6">
            <w:r>
              <w:rPr/>
              <w:t>诉讼时效</w:t>
              <w:tab/>
            </w:r>
            <w:r>
              <w:rPr>
                <w:rFonts w:ascii="Times New Roman" w:eastAsia="Times New Roman"/>
                <w:b w:val="0"/>
              </w:rPr>
              <w:t>7</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7">
            <w:r>
              <w:rPr/>
              <w:t>司法鉴定</w:t>
              <w:tab/>
            </w:r>
            <w:r>
              <w:rPr>
                <w:rFonts w:ascii="Times New Roman" w:eastAsia="Times New Roman"/>
                <w:b w:val="0"/>
              </w:rPr>
              <w:t>8</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525"/>
            <w:jc w:val="left"/>
            <w:rPr>
              <w:rFonts w:ascii="Times New Roman" w:eastAsia="Times New Roman"/>
              <w:b w:val="0"/>
            </w:rPr>
          </w:pPr>
          <w:hyperlink w:history="true" w:anchor="_bookmark18">
            <w:r>
              <w:rPr/>
              <w:t>适用主合同条款</w:t>
              <w:tab/>
            </w:r>
            <w:r>
              <w:rPr>
                <w:rFonts w:ascii="Times New Roman" w:eastAsia="Times New Roman"/>
                <w:b w:val="0"/>
              </w:rPr>
              <w:t>8</w:t>
            </w:r>
          </w:hyperlink>
        </w:p>
        <w:p>
          <w:pPr>
            <w:pStyle w:val="TOC2"/>
            <w:tabs>
              <w:tab w:pos="8418" w:val="right" w:leader="dot"/>
            </w:tabs>
            <w:rPr>
              <w:rFonts w:ascii="Times New Roman" w:eastAsia="Times New Roman"/>
              <w:b w:val="0"/>
              <w:i w:val="0"/>
              <w:sz w:val="21"/>
            </w:rPr>
          </w:pPr>
          <w:hyperlink w:history="true" w:anchor="_bookmark19">
            <w:r>
              <w:rPr>
                <w:i w:val="0"/>
                <w:sz w:val="21"/>
              </w:rPr>
              <w:t>释义</w:t>
              <w:tab/>
            </w:r>
            <w:r>
              <w:rPr>
                <w:rFonts w:ascii="Times New Roman" w:eastAsia="Times New Roman"/>
                <w:b w:val="0"/>
                <w:i w:val="0"/>
                <w:sz w:val="21"/>
              </w:rPr>
              <w:t>8</w:t>
            </w:r>
          </w:hyperlink>
        </w:p>
      </w:sdtContent>
    </w:sdt>
    <w:p>
      <w:pPr>
        <w:spacing w:after="0"/>
        <w:rPr>
          <w:rFonts w:ascii="Times New Roman" w:eastAsia="Times New Roman"/>
          <w:sz w:val="21"/>
        </w:rPr>
        <w:sectPr>
          <w:pgSz w:w="11910" w:h="16840"/>
          <w:pgMar w:header="0" w:footer="1005" w:top="1440" w:bottom="1200" w:left="1680" w:right="1680"/>
        </w:sectPr>
      </w:pPr>
    </w:p>
    <w:p>
      <w:pPr>
        <w:spacing w:line="388" w:lineRule="exact" w:before="0"/>
        <w:ind w:left="1742" w:right="0" w:firstLine="0"/>
        <w:jc w:val="left"/>
        <w:rPr>
          <w:rFonts w:ascii="微软雅黑" w:eastAsia="微软雅黑" w:hint="eastAsia"/>
          <w:b/>
          <w:sz w:val="28"/>
        </w:rPr>
      </w:pPr>
      <w:r>
        <w:rPr>
          <w:rFonts w:ascii="微软雅黑" w:eastAsia="微软雅黑" w:hint="eastAsia"/>
          <w:b/>
          <w:sz w:val="28"/>
        </w:rPr>
        <w:t>瑞泰附加保费豁免重大疾病保险合同条款</w:t>
      </w:r>
    </w:p>
    <w:p>
      <w:pPr>
        <w:pStyle w:val="BodyText"/>
        <w:spacing w:before="2"/>
        <w:rPr>
          <w:rFonts w:ascii="微软雅黑"/>
          <w:b/>
          <w:sz w:val="30"/>
        </w:rPr>
      </w:pPr>
    </w:p>
    <w:p>
      <w:pPr>
        <w:spacing w:before="0"/>
        <w:ind w:left="1180" w:right="1180" w:firstLine="0"/>
        <w:jc w:val="center"/>
        <w:rPr>
          <w:rFonts w:ascii="微软雅黑" w:eastAsia="微软雅黑" w:hint="eastAsia"/>
          <w:b/>
          <w:sz w:val="28"/>
        </w:rPr>
      </w:pPr>
      <w:bookmarkStart w:name="_bookmark0" w:id="1"/>
      <w:bookmarkEnd w:id="1"/>
      <w:r>
        <w:rPr/>
      </w:r>
      <w:r>
        <w:rPr>
          <w:rFonts w:ascii="微软雅黑" w:eastAsia="微软雅黑" w:hint="eastAsia"/>
          <w:b/>
          <w:sz w:val="36"/>
        </w:rPr>
        <w:t>一、</w:t>
      </w:r>
      <w:r>
        <w:rPr>
          <w:rFonts w:ascii="微软雅黑" w:eastAsia="微软雅黑" w:hint="eastAsia"/>
          <w:b/>
          <w:sz w:val="28"/>
        </w:rPr>
        <w:t>基本条款</w:t>
      </w:r>
    </w:p>
    <w:p>
      <w:pPr>
        <w:pStyle w:val="BodyText"/>
        <w:spacing w:before="5"/>
        <w:rPr>
          <w:rFonts w:ascii="微软雅黑"/>
          <w:b/>
          <w:sz w:val="41"/>
        </w:rPr>
      </w:pPr>
    </w:p>
    <w:p>
      <w:pPr>
        <w:pStyle w:val="Heading4"/>
        <w:numPr>
          <w:ilvl w:val="0"/>
          <w:numId w:val="2"/>
        </w:numPr>
        <w:tabs>
          <w:tab w:pos="481" w:val="left" w:leader="none"/>
        </w:tabs>
        <w:spacing w:line="240" w:lineRule="auto" w:before="0" w:after="0"/>
        <w:ind w:left="480" w:right="0" w:hanging="360"/>
        <w:jc w:val="left"/>
      </w:pPr>
      <w:bookmarkStart w:name="_bookmark1" w:id="2"/>
      <w:bookmarkEnd w:id="2"/>
      <w:r>
        <w:rPr>
          <w:b w:val="0"/>
        </w:rPr>
      </w:r>
      <w:bookmarkStart w:name="_bookmark1" w:id="3"/>
      <w:bookmarkEnd w:id="3"/>
      <w:r>
        <w:rPr>
          <w:spacing w:val="-2"/>
          <w:w w:val="100"/>
        </w:rPr>
        <w:t>关于瑞泰附加保费豁免重大疾病保险合同</w:t>
      </w:r>
      <w:r>
        <w:rPr>
          <w:w w:val="100"/>
        </w:rPr>
        <w:t>（</w:t>
      </w:r>
      <w:r>
        <w:rPr>
          <w:spacing w:val="-13"/>
          <w:w w:val="100"/>
        </w:rPr>
        <w:t>以下简称“本附加合同”</w:t>
      </w:r>
      <w:r>
        <w:rPr>
          <w:w w:val="100"/>
        </w:rPr>
        <w:t>）</w:t>
      </w:r>
    </w:p>
    <w:p>
      <w:pPr>
        <w:pStyle w:val="BodyText"/>
        <w:spacing w:line="408" w:lineRule="auto" w:before="167"/>
        <w:ind w:left="120" w:right="111" w:firstLine="419"/>
      </w:pPr>
      <w:r>
        <w:rPr>
          <w:spacing w:val="-6"/>
        </w:rPr>
        <w:t>本附加合同可附加于我们指定的主险合同</w:t>
      </w:r>
      <w:r>
        <w:rPr/>
        <w:t>（</w:t>
      </w:r>
      <w:r>
        <w:rPr>
          <w:spacing w:val="-16"/>
        </w:rPr>
        <w:t>以下简称“主合同”</w:t>
      </w:r>
      <w:r>
        <w:rPr>
          <w:spacing w:val="-75"/>
        </w:rPr>
        <w:t>）</w:t>
      </w:r>
      <w:r>
        <w:rPr>
          <w:spacing w:val="-22"/>
        </w:rPr>
        <w:t>上，是您</w:t>
      </w:r>
      <w:r>
        <w:rPr>
          <w:spacing w:val="-3"/>
        </w:rPr>
        <w:t>（</w:t>
      </w:r>
      <w:r>
        <w:rPr>
          <w:spacing w:val="-1"/>
        </w:rPr>
        <w:t>指投保人</w:t>
      </w:r>
      <w:r>
        <w:rPr/>
        <w:t>） </w:t>
      </w:r>
      <w:r>
        <w:rPr>
          <w:spacing w:val="-3"/>
        </w:rPr>
        <w:t>和我们之间签订的约定保险权利义务关系的协议。</w:t>
      </w:r>
    </w:p>
    <w:p>
      <w:pPr>
        <w:pStyle w:val="BodyText"/>
        <w:spacing w:line="410" w:lineRule="auto" w:before="46"/>
        <w:ind w:left="120" w:right="111" w:firstLine="419"/>
      </w:pPr>
      <w:r>
        <w:rPr>
          <w:spacing w:val="-9"/>
        </w:rPr>
        <w:t>除本附加合同另有约定外，主合同条款适用于本附加合同。若主合同的条款与本附加合</w:t>
      </w:r>
      <w:r>
        <w:rPr>
          <w:spacing w:val="-5"/>
        </w:rPr>
        <w:t>同冲突时，以本附加合同为准。</w:t>
      </w:r>
    </w:p>
    <w:p>
      <w:pPr>
        <w:pStyle w:val="BodyText"/>
        <w:rPr>
          <w:sz w:val="20"/>
        </w:rPr>
      </w:pPr>
    </w:p>
    <w:p>
      <w:pPr>
        <w:pStyle w:val="BodyText"/>
        <w:spacing w:before="4"/>
        <w:rPr>
          <w:sz w:val="14"/>
        </w:rPr>
      </w:pPr>
    </w:p>
    <w:p>
      <w:pPr>
        <w:pStyle w:val="Heading4"/>
        <w:numPr>
          <w:ilvl w:val="0"/>
          <w:numId w:val="2"/>
        </w:numPr>
        <w:tabs>
          <w:tab w:pos="481" w:val="left" w:leader="none"/>
        </w:tabs>
        <w:spacing w:line="240" w:lineRule="auto" w:before="0" w:after="0"/>
        <w:ind w:left="480" w:right="0" w:hanging="360"/>
        <w:jc w:val="left"/>
      </w:pPr>
      <w:bookmarkStart w:name="_bookmark2" w:id="4"/>
      <w:bookmarkEnd w:id="4"/>
      <w:r>
        <w:rPr>
          <w:b w:val="0"/>
        </w:rPr>
      </w:r>
      <w:bookmarkStart w:name="_bookmark2" w:id="5"/>
      <w:bookmarkEnd w:id="5"/>
      <w:r>
        <w:rPr/>
        <w:t>本附加合同的构成</w:t>
      </w:r>
    </w:p>
    <w:p>
      <w:pPr>
        <w:pStyle w:val="BodyText"/>
        <w:spacing w:line="408" w:lineRule="auto" w:before="167"/>
        <w:ind w:left="120" w:right="111" w:firstLine="419"/>
      </w:pPr>
      <w:r>
        <w:rPr>
          <w:spacing w:val="-9"/>
        </w:rPr>
        <w:t>主合同所包含的条款、投保单、投保提示及与本附加合同有关的其他投保文件、合法有</w:t>
      </w:r>
      <w:r>
        <w:rPr>
          <w:spacing w:val="-5"/>
        </w:rPr>
        <w:t>效的声明、批注和其他书面协议，凡与本附加合同相关者，均为本附加合同的构成部分。</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0" w:after="0"/>
        <w:ind w:left="480" w:right="0" w:hanging="360"/>
        <w:jc w:val="left"/>
      </w:pPr>
      <w:bookmarkStart w:name="_bookmark3" w:id="6"/>
      <w:bookmarkEnd w:id="6"/>
      <w:r>
        <w:rPr>
          <w:b w:val="0"/>
        </w:rPr>
      </w:r>
      <w:bookmarkStart w:name="_bookmark3" w:id="7"/>
      <w:bookmarkEnd w:id="7"/>
      <w:r>
        <w:rPr/>
        <w:t>投保条件</w:t>
      </w:r>
    </w:p>
    <w:p>
      <w:pPr>
        <w:pStyle w:val="ListParagraph"/>
        <w:numPr>
          <w:ilvl w:val="1"/>
          <w:numId w:val="2"/>
        </w:numPr>
        <w:tabs>
          <w:tab w:pos="1014" w:val="left" w:leader="none"/>
        </w:tabs>
        <w:spacing w:line="240" w:lineRule="auto" w:before="167" w:after="0"/>
        <w:ind w:left="1013" w:right="0" w:hanging="367"/>
        <w:jc w:val="left"/>
        <w:rPr>
          <w:sz w:val="21"/>
        </w:rPr>
      </w:pPr>
      <w:r>
        <w:rPr>
          <w:spacing w:val="-2"/>
          <w:sz w:val="21"/>
        </w:rPr>
        <w:t>投保人</w:t>
      </w:r>
    </w:p>
    <w:p>
      <w:pPr>
        <w:pStyle w:val="BodyText"/>
        <w:spacing w:before="10"/>
        <w:rPr>
          <w:sz w:val="14"/>
        </w:rPr>
      </w:pPr>
    </w:p>
    <w:p>
      <w:pPr>
        <w:pStyle w:val="BodyText"/>
        <w:ind w:left="540"/>
      </w:pPr>
      <w:r>
        <w:rPr/>
        <w:t>本附加合同的投保人应与主合同的投保人为同一人。</w:t>
      </w:r>
    </w:p>
    <w:p>
      <w:pPr>
        <w:pStyle w:val="BodyText"/>
        <w:spacing w:before="9"/>
        <w:rPr>
          <w:sz w:val="14"/>
        </w:rPr>
      </w:pPr>
    </w:p>
    <w:p>
      <w:pPr>
        <w:pStyle w:val="ListParagraph"/>
        <w:numPr>
          <w:ilvl w:val="1"/>
          <w:numId w:val="2"/>
        </w:numPr>
        <w:tabs>
          <w:tab w:pos="1014" w:val="left" w:leader="none"/>
        </w:tabs>
        <w:spacing w:line="240" w:lineRule="auto" w:before="0" w:after="0"/>
        <w:ind w:left="1013" w:right="0" w:hanging="367"/>
        <w:jc w:val="left"/>
        <w:rPr>
          <w:sz w:val="21"/>
        </w:rPr>
      </w:pPr>
      <w:r>
        <w:rPr>
          <w:spacing w:val="-2"/>
          <w:sz w:val="21"/>
        </w:rPr>
        <w:t>被保险人</w:t>
      </w:r>
    </w:p>
    <w:p>
      <w:pPr>
        <w:pStyle w:val="BodyText"/>
        <w:spacing w:before="9"/>
        <w:rPr>
          <w:sz w:val="14"/>
        </w:rPr>
      </w:pPr>
    </w:p>
    <w:p>
      <w:pPr>
        <w:pStyle w:val="BodyText"/>
        <w:ind w:left="540"/>
      </w:pPr>
      <w:r>
        <w:rPr/>
        <w:t>本附加合同的被保险人应与主合同的投保人为同一人。</w:t>
      </w:r>
    </w:p>
    <w:p>
      <w:pPr>
        <w:pStyle w:val="BodyText"/>
        <w:spacing w:before="9"/>
        <w:rPr>
          <w:sz w:val="14"/>
        </w:rPr>
      </w:pPr>
    </w:p>
    <w:p>
      <w:pPr>
        <w:pStyle w:val="BodyText"/>
        <w:ind w:left="540"/>
      </w:pPr>
      <w:r>
        <w:rPr/>
        <w:t>以下本附加合同中未做特定说明的被保险人，均指本附加合同的被保险人。</w:t>
      </w:r>
    </w:p>
    <w:p>
      <w:pPr>
        <w:pStyle w:val="BodyText"/>
        <w:rPr>
          <w:sz w:val="20"/>
        </w:rPr>
      </w:pPr>
    </w:p>
    <w:p>
      <w:pPr>
        <w:pStyle w:val="BodyText"/>
        <w:spacing w:before="9"/>
        <w:rPr>
          <w:sz w:val="25"/>
        </w:rPr>
      </w:pPr>
    </w:p>
    <w:p>
      <w:pPr>
        <w:pStyle w:val="Heading4"/>
        <w:numPr>
          <w:ilvl w:val="0"/>
          <w:numId w:val="2"/>
        </w:numPr>
        <w:tabs>
          <w:tab w:pos="481" w:val="left" w:leader="none"/>
        </w:tabs>
        <w:spacing w:line="240" w:lineRule="auto" w:before="0" w:after="0"/>
        <w:ind w:left="480" w:right="0" w:hanging="360"/>
        <w:jc w:val="left"/>
      </w:pPr>
      <w:bookmarkStart w:name="_bookmark4" w:id="8"/>
      <w:bookmarkEnd w:id="8"/>
      <w:r>
        <w:rPr>
          <w:b w:val="0"/>
        </w:rPr>
      </w:r>
      <w:bookmarkStart w:name="_bookmark4" w:id="9"/>
      <w:bookmarkEnd w:id="9"/>
      <w:r>
        <w:rPr>
          <w:spacing w:val="-1"/>
        </w:rPr>
        <w:t>本附加合同的成立与生效</w:t>
      </w:r>
    </w:p>
    <w:p>
      <w:pPr>
        <w:pStyle w:val="BodyText"/>
        <w:spacing w:before="167"/>
        <w:ind w:left="540"/>
      </w:pPr>
      <w:r>
        <w:rPr/>
        <w:t>您向我们完整提交投保单等相关投保文件、我们同意承保，本附加合同成立。</w:t>
      </w:r>
    </w:p>
    <w:p>
      <w:pPr>
        <w:pStyle w:val="BodyText"/>
        <w:spacing w:before="9"/>
        <w:rPr>
          <w:sz w:val="14"/>
        </w:rPr>
      </w:pPr>
    </w:p>
    <w:p>
      <w:pPr>
        <w:pStyle w:val="BodyText"/>
        <w:spacing w:line="408" w:lineRule="auto"/>
        <w:ind w:left="120" w:right="111" w:firstLine="419"/>
        <w:jc w:val="both"/>
      </w:pPr>
      <w:r>
        <w:rPr>
          <w:spacing w:val="-8"/>
        </w:rPr>
        <w:t>我们同意承保并收到您交纳的保险费，本附加合同生效。该生效日期在保单中载明。我</w:t>
      </w:r>
      <w:r>
        <w:rPr>
          <w:spacing w:val="-12"/>
        </w:rPr>
        <w:t>们将及时签发保单作为保险凭证。我们从本附加合同生效日起开始承担本附加合同约定的保</w:t>
      </w:r>
      <w:r>
        <w:rPr>
          <w:spacing w:val="-7"/>
        </w:rPr>
        <w:t>险责任。</w:t>
      </w:r>
    </w:p>
    <w:p>
      <w:pPr>
        <w:pStyle w:val="BodyText"/>
        <w:spacing w:line="408" w:lineRule="auto" w:before="46"/>
        <w:ind w:left="120" w:right="111" w:firstLine="419"/>
      </w:pPr>
      <w:r>
        <w:rPr>
          <w:spacing w:val="-9"/>
        </w:rPr>
        <w:t>除另有约定外，本附加合同须与主合同同时投保、同时成立、同时生效。本附加合同所</w:t>
      </w:r>
      <w:r>
        <w:rPr>
          <w:spacing w:val="-3"/>
        </w:rPr>
        <w:t>豁免保险费的保险合同(以下简称“被豁免合同”)在保险单上载明。</w:t>
      </w:r>
    </w:p>
    <w:p>
      <w:pPr>
        <w:pStyle w:val="BodyText"/>
        <w:spacing w:before="46"/>
        <w:ind w:left="540"/>
      </w:pPr>
      <w:r>
        <w:rPr/>
        <w:t>本附加合同的保单周年日、保单年度、保险费约定交纳日、保险合同满期日均以保单中</w:t>
      </w:r>
    </w:p>
    <w:p>
      <w:pPr>
        <w:spacing w:after="0"/>
        <w:sectPr>
          <w:pgSz w:w="11910" w:h="16840"/>
          <w:pgMar w:header="0" w:footer="1005" w:top="1520" w:bottom="1200" w:left="1680" w:right="1680"/>
        </w:sectPr>
      </w:pPr>
    </w:p>
    <w:p>
      <w:pPr>
        <w:pStyle w:val="BodyText"/>
        <w:spacing w:before="26"/>
        <w:ind w:left="120"/>
      </w:pPr>
      <w:r>
        <w:rPr/>
        <w:t>载明的生效日期为准计算。如果当月无对应的同一日，则以该月最后一日为对应日。</w:t>
      </w:r>
    </w:p>
    <w:p>
      <w:pPr>
        <w:pStyle w:val="BodyText"/>
        <w:rPr>
          <w:sz w:val="20"/>
        </w:rPr>
      </w:pPr>
    </w:p>
    <w:p>
      <w:pPr>
        <w:pStyle w:val="BodyText"/>
        <w:spacing w:before="10"/>
        <w:rPr>
          <w:sz w:val="25"/>
        </w:rPr>
      </w:pPr>
    </w:p>
    <w:p>
      <w:pPr>
        <w:pStyle w:val="Heading4"/>
        <w:numPr>
          <w:ilvl w:val="0"/>
          <w:numId w:val="2"/>
        </w:numPr>
        <w:tabs>
          <w:tab w:pos="481" w:val="left" w:leader="none"/>
        </w:tabs>
        <w:spacing w:line="240" w:lineRule="auto" w:before="0" w:after="0"/>
        <w:ind w:left="480" w:right="0" w:hanging="360"/>
        <w:jc w:val="left"/>
      </w:pPr>
      <w:bookmarkStart w:name="_bookmark5" w:id="10"/>
      <w:bookmarkEnd w:id="10"/>
      <w:r>
        <w:rPr>
          <w:b w:val="0"/>
        </w:rPr>
      </w:r>
      <w:bookmarkStart w:name="_bookmark5" w:id="11"/>
      <w:bookmarkEnd w:id="11"/>
      <w:r>
        <w:rPr/>
        <w:t>保险期间</w:t>
      </w:r>
    </w:p>
    <w:p>
      <w:pPr>
        <w:pStyle w:val="BodyText"/>
        <w:spacing w:before="167"/>
        <w:ind w:left="540"/>
      </w:pPr>
      <w:r>
        <w:rPr/>
        <w:t>本附加合同的保险期间与主合同的交费期间一致，该保险期间在保单中载明。</w:t>
      </w:r>
    </w:p>
    <w:p>
      <w:pPr>
        <w:pStyle w:val="BodyText"/>
        <w:rPr>
          <w:sz w:val="20"/>
        </w:rPr>
      </w:pPr>
    </w:p>
    <w:p>
      <w:pPr>
        <w:pStyle w:val="BodyText"/>
        <w:rPr>
          <w:sz w:val="19"/>
        </w:rPr>
      </w:pPr>
    </w:p>
    <w:p>
      <w:pPr>
        <w:pStyle w:val="Heading2"/>
      </w:pPr>
      <w:bookmarkStart w:name="_bookmark6" w:id="12"/>
      <w:bookmarkEnd w:id="12"/>
      <w:r>
        <w:rPr>
          <w:b w:val="0"/>
        </w:rPr>
      </w:r>
      <w:r>
        <w:rPr/>
        <w:t>二、保险费条款</w:t>
      </w:r>
    </w:p>
    <w:p>
      <w:pPr>
        <w:pStyle w:val="BodyText"/>
        <w:spacing w:before="5"/>
        <w:rPr>
          <w:rFonts w:ascii="微软雅黑"/>
          <w:b/>
          <w:sz w:val="41"/>
        </w:rPr>
      </w:pPr>
    </w:p>
    <w:p>
      <w:pPr>
        <w:pStyle w:val="Heading4"/>
        <w:numPr>
          <w:ilvl w:val="0"/>
          <w:numId w:val="2"/>
        </w:numPr>
        <w:tabs>
          <w:tab w:pos="481" w:val="left" w:leader="none"/>
        </w:tabs>
        <w:spacing w:line="240" w:lineRule="auto" w:before="0" w:after="0"/>
        <w:ind w:left="480" w:right="0" w:hanging="360"/>
        <w:jc w:val="left"/>
      </w:pPr>
      <w:bookmarkStart w:name="_bookmark7" w:id="13"/>
      <w:bookmarkEnd w:id="13"/>
      <w:r>
        <w:rPr>
          <w:b w:val="0"/>
        </w:rPr>
      </w:r>
      <w:bookmarkStart w:name="_bookmark7" w:id="14"/>
      <w:bookmarkEnd w:id="14"/>
      <w:r>
        <w:rPr/>
        <w:t>保险费的交纳</w:t>
      </w:r>
    </w:p>
    <w:p>
      <w:pPr>
        <w:pStyle w:val="BodyText"/>
        <w:spacing w:line="408" w:lineRule="auto" w:before="167"/>
        <w:ind w:left="120" w:right="108" w:firstLine="419"/>
      </w:pPr>
      <w:r>
        <w:rPr/>
        <w:t>本附加合同的交费方式分为趸交和期交，期交交费期间与本附加合同的保险期间一致， 并在保单中载明。</w:t>
      </w:r>
    </w:p>
    <w:p>
      <w:pPr>
        <w:pStyle w:val="BodyText"/>
        <w:spacing w:line="408" w:lineRule="auto" w:before="45"/>
        <w:ind w:left="120" w:right="211" w:firstLine="419"/>
        <w:jc w:val="both"/>
      </w:pPr>
      <w:r>
        <w:rPr>
          <w:spacing w:val="-11"/>
        </w:rPr>
        <w:t>在交纳首期保险费后，您应当按照约定，在每个保险费约定交纳日交纳其余各期的保险费。</w:t>
      </w:r>
    </w:p>
    <w:p>
      <w:pPr>
        <w:pStyle w:val="BodyText"/>
        <w:spacing w:before="9"/>
        <w:rPr>
          <w:sz w:val="27"/>
        </w:rPr>
      </w:pPr>
    </w:p>
    <w:p>
      <w:pPr>
        <w:pStyle w:val="Heading2"/>
        <w:spacing w:before="1"/>
      </w:pPr>
      <w:bookmarkStart w:name="_bookmark8" w:id="15"/>
      <w:bookmarkEnd w:id="15"/>
      <w:r>
        <w:rPr>
          <w:b w:val="0"/>
        </w:rPr>
      </w:r>
      <w:r>
        <w:rPr/>
        <w:t>三、保障条款</w:t>
      </w:r>
    </w:p>
    <w:p>
      <w:pPr>
        <w:pStyle w:val="BodyText"/>
        <w:spacing w:before="5"/>
        <w:rPr>
          <w:rFonts w:ascii="微软雅黑"/>
          <w:b/>
          <w:sz w:val="41"/>
        </w:rPr>
      </w:pPr>
    </w:p>
    <w:p>
      <w:pPr>
        <w:pStyle w:val="Heading4"/>
        <w:numPr>
          <w:ilvl w:val="0"/>
          <w:numId w:val="2"/>
        </w:numPr>
        <w:tabs>
          <w:tab w:pos="481" w:val="left" w:leader="none"/>
        </w:tabs>
        <w:spacing w:line="240" w:lineRule="auto" w:before="1" w:after="0"/>
        <w:ind w:left="480" w:right="0" w:hanging="360"/>
        <w:jc w:val="left"/>
      </w:pPr>
      <w:bookmarkStart w:name="_bookmark9" w:id="16"/>
      <w:bookmarkEnd w:id="16"/>
      <w:r>
        <w:rPr>
          <w:b w:val="0"/>
        </w:rPr>
      </w:r>
      <w:bookmarkStart w:name="_bookmark9" w:id="17"/>
      <w:bookmarkEnd w:id="17"/>
      <w:r>
        <w:rPr/>
        <w:t>基本保险金额</w:t>
      </w:r>
    </w:p>
    <w:p>
      <w:pPr>
        <w:pStyle w:val="BodyText"/>
        <w:spacing w:before="168"/>
        <w:ind w:left="540"/>
      </w:pPr>
      <w:r>
        <w:rPr/>
        <w:t>本附加合同的基本保险金额为您应交纳的被豁免合同的每年期交保险费金额。</w:t>
      </w:r>
    </w:p>
    <w:p>
      <w:pPr>
        <w:pStyle w:val="BodyText"/>
        <w:rPr>
          <w:sz w:val="20"/>
        </w:rPr>
      </w:pPr>
    </w:p>
    <w:p>
      <w:pPr>
        <w:pStyle w:val="BodyText"/>
        <w:spacing w:before="9"/>
        <w:rPr>
          <w:sz w:val="25"/>
        </w:rPr>
      </w:pPr>
    </w:p>
    <w:p>
      <w:pPr>
        <w:pStyle w:val="Heading4"/>
        <w:numPr>
          <w:ilvl w:val="0"/>
          <w:numId w:val="2"/>
        </w:numPr>
        <w:tabs>
          <w:tab w:pos="481" w:val="left" w:leader="none"/>
        </w:tabs>
        <w:spacing w:line="240" w:lineRule="auto" w:before="0" w:after="0"/>
        <w:ind w:left="480" w:right="0" w:hanging="360"/>
        <w:jc w:val="left"/>
      </w:pPr>
      <w:bookmarkStart w:name="_bookmark10" w:id="18"/>
      <w:bookmarkEnd w:id="18"/>
      <w:r>
        <w:rPr>
          <w:b w:val="0"/>
        </w:rPr>
      </w:r>
      <w:bookmarkStart w:name="_bookmark10" w:id="19"/>
      <w:bookmarkEnd w:id="19"/>
      <w:r>
        <w:rPr/>
        <w:t>保险责任</w:t>
      </w:r>
    </w:p>
    <w:p>
      <w:pPr>
        <w:pStyle w:val="BodyText"/>
        <w:spacing w:before="167"/>
        <w:ind w:left="540"/>
      </w:pPr>
      <w:r>
        <w:rPr/>
        <w:t>在本附加合同保险期间内，我们承担下列保险责任：</w:t>
      </w:r>
    </w:p>
    <w:p>
      <w:pPr>
        <w:pStyle w:val="Heading4"/>
        <w:numPr>
          <w:ilvl w:val="1"/>
          <w:numId w:val="2"/>
        </w:numPr>
        <w:tabs>
          <w:tab w:pos="913" w:val="left" w:leader="none"/>
        </w:tabs>
        <w:spacing w:line="240" w:lineRule="auto" w:before="130" w:after="0"/>
        <w:ind w:left="912" w:right="0" w:hanging="370"/>
        <w:jc w:val="left"/>
      </w:pPr>
      <w:r>
        <w:rPr/>
        <w:t>身故豁免保费保险金</w:t>
      </w:r>
    </w:p>
    <w:p>
      <w:pPr>
        <w:pStyle w:val="BodyText"/>
        <w:spacing w:line="331" w:lineRule="auto" w:before="104"/>
        <w:ind w:left="120" w:right="213" w:firstLine="419"/>
        <w:jc w:val="both"/>
      </w:pPr>
      <w:r>
        <w:rPr>
          <w:spacing w:val="-5"/>
        </w:rPr>
        <w:t>若被保险人于本附加合同生效</w:t>
      </w:r>
      <w:r>
        <w:rPr>
          <w:spacing w:val="-3"/>
        </w:rPr>
        <w:t>（或最后一次复效</w:t>
      </w:r>
      <w:r>
        <w:rPr>
          <w:spacing w:val="-26"/>
        </w:rPr>
        <w:t>）</w:t>
      </w:r>
      <w:r>
        <w:rPr>
          <w:spacing w:val="-13"/>
        </w:rPr>
        <w:t>之日起 </w:t>
      </w:r>
      <w:r>
        <w:rPr/>
        <w:t>180</w:t>
      </w:r>
      <w:r>
        <w:rPr>
          <w:spacing w:val="-25"/>
        </w:rPr>
        <w:t> 日内</w:t>
      </w:r>
      <w:r>
        <w:rPr/>
        <w:t>（</w:t>
      </w:r>
      <w:r>
        <w:rPr>
          <w:spacing w:val="-16"/>
        </w:rPr>
        <w:t>含第 </w:t>
      </w:r>
      <w:r>
        <w:rPr/>
        <w:t>180</w:t>
      </w:r>
      <w:r>
        <w:rPr>
          <w:spacing w:val="-22"/>
        </w:rPr>
        <w:t> 日</w:t>
      </w:r>
      <w:r>
        <w:rPr>
          <w:spacing w:val="-26"/>
        </w:rPr>
        <w:t>）</w:t>
      </w:r>
      <w:r>
        <w:rPr>
          <w:spacing w:val="-3"/>
        </w:rPr>
        <w:t>因</w:t>
      </w:r>
      <w:r>
        <w:rPr>
          <w:rFonts w:ascii="微软雅黑" w:eastAsia="微软雅黑" w:hint="eastAsia"/>
          <w:b/>
        </w:rPr>
        <w:t>意</w:t>
      </w:r>
      <w:r>
        <w:rPr>
          <w:rFonts w:ascii="微软雅黑" w:eastAsia="微软雅黑" w:hint="eastAsia"/>
          <w:b/>
          <w:spacing w:val="-5"/>
        </w:rPr>
        <w:t>外伤害</w:t>
      </w:r>
      <w:r>
        <w:rPr/>
        <w:t>（</w:t>
      </w:r>
      <w:r>
        <w:rPr>
          <w:spacing w:val="-9"/>
        </w:rPr>
        <w:t>释义 </w:t>
      </w:r>
      <w:r>
        <w:rPr>
          <w:spacing w:val="-6"/>
        </w:rPr>
        <w:t>1）</w:t>
      </w:r>
      <w:r>
        <w:rPr>
          <w:spacing w:val="-5"/>
        </w:rPr>
        <w:t>以外的原因导致身故，我们不承担豁免保险费的责任，同时我们向被豁免</w:t>
      </w:r>
      <w:r>
        <w:rPr>
          <w:spacing w:val="-3"/>
        </w:rPr>
        <w:t>合同的被保险人无息返还本附加合同已交保险费，本附加合同终止。</w:t>
      </w:r>
    </w:p>
    <w:p>
      <w:pPr>
        <w:pStyle w:val="BodyText"/>
        <w:spacing w:line="408" w:lineRule="auto" w:before="113"/>
        <w:ind w:left="120" w:right="211" w:firstLine="419"/>
        <w:jc w:val="both"/>
      </w:pPr>
      <w:r>
        <w:rPr>
          <w:spacing w:val="-8"/>
        </w:rPr>
        <w:t>若被保险人因意外伤害，或于本附加合同生效</w:t>
      </w:r>
      <w:r>
        <w:rPr/>
        <w:t>（</w:t>
      </w:r>
      <w:r>
        <w:rPr>
          <w:spacing w:val="-3"/>
        </w:rPr>
        <w:t>或最后一次复效</w:t>
      </w:r>
      <w:r>
        <w:rPr>
          <w:spacing w:val="-32"/>
        </w:rPr>
        <w:t>）</w:t>
      </w:r>
      <w:r>
        <w:rPr>
          <w:spacing w:val="-11"/>
        </w:rPr>
        <w:t>之日起 </w:t>
      </w:r>
      <w:r>
        <w:rPr/>
        <w:t>180</w:t>
      </w:r>
      <w:r>
        <w:rPr>
          <w:spacing w:val="-9"/>
        </w:rPr>
        <w:t> 日后因意</w:t>
      </w:r>
      <w:r>
        <w:rPr>
          <w:spacing w:val="-13"/>
        </w:rPr>
        <w:t>外伤害以外的原因导致身故，我们将豁免您应交纳的自被保险人身故之日以后被豁免合同的</w:t>
      </w:r>
      <w:r>
        <w:rPr>
          <w:spacing w:val="-3"/>
        </w:rPr>
        <w:t>各期保险费，被豁免合同继续有效，同时本附加合同终止。</w:t>
      </w:r>
    </w:p>
    <w:p>
      <w:pPr>
        <w:spacing w:after="0" w:line="408" w:lineRule="auto"/>
        <w:jc w:val="both"/>
        <w:sectPr>
          <w:pgSz w:w="11910" w:h="16840"/>
          <w:pgMar w:header="0" w:footer="1005" w:top="1460" w:bottom="1200" w:left="1680" w:right="1580"/>
        </w:sectPr>
      </w:pPr>
    </w:p>
    <w:p>
      <w:pPr>
        <w:pStyle w:val="Heading4"/>
        <w:numPr>
          <w:ilvl w:val="1"/>
          <w:numId w:val="2"/>
        </w:numPr>
        <w:tabs>
          <w:tab w:pos="913" w:val="left" w:leader="none"/>
        </w:tabs>
        <w:spacing w:line="326" w:lineRule="exact" w:before="0" w:after="0"/>
        <w:ind w:left="912" w:right="0" w:hanging="370"/>
        <w:jc w:val="left"/>
      </w:pPr>
      <w:r>
        <w:rPr>
          <w:spacing w:val="-1"/>
        </w:rPr>
        <w:t>重大疾病豁免保费保险金</w:t>
      </w:r>
    </w:p>
    <w:p>
      <w:pPr>
        <w:pStyle w:val="BodyText"/>
        <w:spacing w:line="468" w:lineRule="exact" w:before="39"/>
        <w:ind w:left="120" w:right="211" w:firstLine="419"/>
        <w:jc w:val="both"/>
      </w:pPr>
      <w:r>
        <w:rPr>
          <w:spacing w:val="-3"/>
        </w:rPr>
        <w:t>若被保险人于本附加合同生效（或最后一次复效</w:t>
      </w:r>
      <w:r>
        <w:rPr/>
        <w:t>）</w:t>
      </w:r>
      <w:r>
        <w:rPr>
          <w:spacing w:val="-12"/>
        </w:rPr>
        <w:t>之日起 </w:t>
      </w:r>
      <w:r>
        <w:rPr/>
        <w:t>180</w:t>
      </w:r>
      <w:r>
        <w:rPr>
          <w:spacing w:val="-17"/>
        </w:rPr>
        <w:t> 日内</w:t>
      </w:r>
      <w:r>
        <w:rPr/>
        <w:t>（</w:t>
      </w:r>
      <w:r>
        <w:rPr>
          <w:spacing w:val="-16"/>
        </w:rPr>
        <w:t>含第 </w:t>
      </w:r>
      <w:r>
        <w:rPr/>
        <w:t>180</w:t>
      </w:r>
      <w:r>
        <w:rPr>
          <w:spacing w:val="-21"/>
        </w:rPr>
        <w:t> 日</w:t>
      </w:r>
      <w:r>
        <w:rPr/>
        <w:t>）,因</w:t>
      </w:r>
      <w:r>
        <w:rPr>
          <w:spacing w:val="-3"/>
        </w:rPr>
        <w:t>意外伤害以外的原因导致的，由我们</w:t>
      </w:r>
      <w:r>
        <w:rPr>
          <w:rFonts w:ascii="微软雅黑" w:eastAsia="微软雅黑" w:hint="eastAsia"/>
          <w:b/>
        </w:rPr>
        <w:t>认可医院</w:t>
      </w:r>
      <w:r>
        <w:rPr>
          <w:spacing w:val="-3"/>
        </w:rPr>
        <w:t>（</w:t>
      </w:r>
      <w:r>
        <w:rPr>
          <w:spacing w:val="-13"/>
        </w:rPr>
        <w:t>释义 </w:t>
      </w:r>
      <w:r>
        <w:rPr/>
        <w:t>2）</w:t>
      </w:r>
      <w:r>
        <w:rPr>
          <w:spacing w:val="-3"/>
        </w:rPr>
        <w:t>的</w:t>
      </w:r>
      <w:r>
        <w:rPr>
          <w:rFonts w:ascii="微软雅黑" w:eastAsia="微软雅黑" w:hint="eastAsia"/>
          <w:b/>
        </w:rPr>
        <w:t>专科医生</w:t>
      </w:r>
      <w:r>
        <w:rPr>
          <w:spacing w:val="-3"/>
        </w:rPr>
        <w:t>（</w:t>
      </w:r>
      <w:r>
        <w:rPr>
          <w:spacing w:val="-11"/>
        </w:rPr>
        <w:t>释义 </w:t>
      </w:r>
      <w:r>
        <w:rPr/>
        <w:t>3）</w:t>
      </w:r>
      <w:r>
        <w:rPr>
          <w:spacing w:val="-3"/>
        </w:rPr>
        <w:t>初次确诊本</w:t>
      </w:r>
      <w:r>
        <w:rPr>
          <w:spacing w:val="-3"/>
          <w:w w:val="100"/>
        </w:rPr>
        <w:t>附加合同所定义的</w:t>
      </w:r>
      <w:r>
        <w:rPr>
          <w:rFonts w:ascii="微软雅黑" w:eastAsia="微软雅黑" w:hint="eastAsia"/>
          <w:b/>
          <w:w w:val="100"/>
        </w:rPr>
        <w:t>重大疾病</w:t>
      </w:r>
      <w:r>
        <w:rPr>
          <w:spacing w:val="-3"/>
          <w:w w:val="100"/>
        </w:rPr>
        <w:t>（</w:t>
      </w:r>
      <w:r>
        <w:rPr>
          <w:spacing w:val="-2"/>
          <w:w w:val="100"/>
        </w:rPr>
        <w:t>释义</w:t>
      </w:r>
      <w:r>
        <w:rPr>
          <w:spacing w:val="-2"/>
        </w:rPr>
        <w:t> </w:t>
      </w:r>
      <w:r>
        <w:rPr>
          <w:spacing w:val="-2"/>
          <w:w w:val="100"/>
        </w:rPr>
        <w:t>4</w:t>
      </w:r>
      <w:r>
        <w:rPr>
          <w:spacing w:val="-106"/>
          <w:w w:val="100"/>
        </w:rPr>
        <w:t>）</w:t>
      </w:r>
      <w:r>
        <w:rPr>
          <w:spacing w:val="-3"/>
          <w:w w:val="100"/>
        </w:rPr>
        <w:t>，我们不承担豁免保险费的责任，同时我们向您无息</w:t>
      </w:r>
      <w:r>
        <w:rPr>
          <w:spacing w:val="-3"/>
        </w:rPr>
        <w:t>返还本附加合同已交保险费，本附加合同终止。</w:t>
      </w:r>
    </w:p>
    <w:p>
      <w:pPr>
        <w:pStyle w:val="BodyText"/>
        <w:spacing w:line="408" w:lineRule="auto" w:before="129"/>
        <w:ind w:left="120" w:right="211" w:firstLine="419"/>
        <w:jc w:val="both"/>
      </w:pPr>
      <w:r>
        <w:rPr>
          <w:spacing w:val="-8"/>
        </w:rPr>
        <w:t>若被保险人因意外伤害，或于本附加合同生效</w:t>
      </w:r>
      <w:r>
        <w:rPr/>
        <w:t>（</w:t>
      </w:r>
      <w:r>
        <w:rPr>
          <w:spacing w:val="-3"/>
        </w:rPr>
        <w:t>或最后一次复效</w:t>
      </w:r>
      <w:r>
        <w:rPr>
          <w:spacing w:val="-32"/>
        </w:rPr>
        <w:t>）</w:t>
      </w:r>
      <w:r>
        <w:rPr>
          <w:spacing w:val="-11"/>
        </w:rPr>
        <w:t>之日起 </w:t>
      </w:r>
      <w:r>
        <w:rPr/>
        <w:t>180</w:t>
      </w:r>
      <w:r>
        <w:rPr>
          <w:spacing w:val="-9"/>
        </w:rPr>
        <w:t> 日后因意</w:t>
      </w:r>
      <w:r>
        <w:rPr>
          <w:spacing w:val="-12"/>
        </w:rPr>
        <w:t>外伤害以外的原因导致的，由我们认可医院的专科医生初次确诊本附加合同所定义的重大疾</w:t>
      </w:r>
      <w:r>
        <w:rPr>
          <w:spacing w:val="-7"/>
        </w:rPr>
        <w:t>病,我们将豁免您应交纳的自被保险人确诊患重大疾病之日以后被豁免合同的各期保险费， </w:t>
      </w:r>
      <w:r>
        <w:rPr>
          <w:spacing w:val="-3"/>
        </w:rPr>
        <w:t>被豁免合同继续有效，同时本附加合同终止。</w:t>
      </w:r>
    </w:p>
    <w:p>
      <w:pPr>
        <w:pStyle w:val="BodyText"/>
        <w:rPr>
          <w:sz w:val="20"/>
        </w:rPr>
      </w:pPr>
    </w:p>
    <w:p>
      <w:pPr>
        <w:pStyle w:val="BodyText"/>
        <w:spacing w:before="5"/>
        <w:rPr>
          <w:sz w:val="17"/>
        </w:rPr>
      </w:pPr>
    </w:p>
    <w:p>
      <w:pPr>
        <w:pStyle w:val="ListParagraph"/>
        <w:numPr>
          <w:ilvl w:val="0"/>
          <w:numId w:val="2"/>
        </w:numPr>
        <w:tabs>
          <w:tab w:pos="481" w:val="left" w:leader="none"/>
        </w:tabs>
        <w:spacing w:line="240" w:lineRule="auto" w:before="0" w:after="0"/>
        <w:ind w:left="480" w:right="0" w:hanging="360"/>
        <w:jc w:val="left"/>
        <w:rPr>
          <w:rFonts w:ascii="黑体" w:eastAsia="黑体" w:hint="eastAsia"/>
          <w:b/>
          <w:sz w:val="24"/>
        </w:rPr>
      </w:pPr>
      <w:bookmarkStart w:name="_bookmark11" w:id="20"/>
      <w:bookmarkEnd w:id="20"/>
      <w:r>
        <w:rPr/>
      </w:r>
      <w:bookmarkStart w:name="_bookmark11" w:id="21"/>
      <w:bookmarkEnd w:id="21"/>
      <w:r>
        <w:rPr>
          <w:rFonts w:ascii="黑体" w:eastAsia="黑体" w:hint="eastAsia"/>
          <w:b/>
          <w:sz w:val="24"/>
        </w:rPr>
        <w:t>责任免除</w:t>
      </w:r>
    </w:p>
    <w:p>
      <w:pPr>
        <w:spacing w:line="357" w:lineRule="auto" w:before="154"/>
        <w:ind w:left="120" w:right="104" w:firstLine="470"/>
        <w:jc w:val="left"/>
        <w:rPr>
          <w:rFonts w:ascii="黑体" w:eastAsia="黑体" w:hint="eastAsia"/>
          <w:sz w:val="24"/>
        </w:rPr>
      </w:pPr>
      <w:r>
        <w:rPr>
          <w:rFonts w:ascii="黑体" w:eastAsia="黑体" w:hint="eastAsia"/>
          <w:spacing w:val="-5"/>
          <w:sz w:val="24"/>
        </w:rPr>
        <w:t>因下列第</w:t>
      </w:r>
      <w:r>
        <w:rPr>
          <w:rFonts w:ascii="黑体" w:eastAsia="黑体" w:hint="eastAsia"/>
          <w:spacing w:val="-6"/>
          <w:sz w:val="24"/>
        </w:rPr>
        <w:t>（1）</w:t>
      </w:r>
      <w:r>
        <w:rPr>
          <w:rFonts w:ascii="黑体" w:eastAsia="黑体" w:hint="eastAsia"/>
          <w:spacing w:val="-9"/>
          <w:sz w:val="24"/>
        </w:rPr>
        <w:t>至第</w:t>
      </w:r>
      <w:r>
        <w:rPr>
          <w:rFonts w:ascii="黑体" w:eastAsia="黑体" w:hint="eastAsia"/>
          <w:spacing w:val="-6"/>
          <w:sz w:val="24"/>
        </w:rPr>
        <w:t>（6）</w:t>
      </w:r>
      <w:r>
        <w:rPr>
          <w:rFonts w:ascii="黑体" w:eastAsia="黑体" w:hint="eastAsia"/>
          <w:spacing w:val="-2"/>
          <w:sz w:val="24"/>
        </w:rPr>
        <w:t>项情形之一导致被保险人身故的，我们不承担本附</w:t>
      </w:r>
      <w:r>
        <w:rPr>
          <w:rFonts w:ascii="黑体" w:eastAsia="黑体" w:hint="eastAsia"/>
          <w:spacing w:val="-9"/>
          <w:sz w:val="24"/>
        </w:rPr>
        <w:t>加合同约定的身故豁免保费保险金责任，同时对该被保险人的保险责任终止；因</w:t>
      </w:r>
      <w:r>
        <w:rPr>
          <w:rFonts w:ascii="黑体" w:eastAsia="黑体" w:hint="eastAsia"/>
          <w:sz w:val="24"/>
        </w:rPr>
        <w:t>下列第（2）至第（9）项情形之一导致被保险人发Th本合同定义的重大疾病的， </w:t>
      </w:r>
      <w:r>
        <w:rPr>
          <w:rFonts w:ascii="黑体" w:eastAsia="黑体" w:hint="eastAsia"/>
          <w:spacing w:val="-4"/>
          <w:sz w:val="24"/>
        </w:rPr>
        <w:t>我们不承担本附加合同约定的重大疾病豁免保费保险金责任，同时对该被保险人的保险责任终止：</w:t>
      </w:r>
    </w:p>
    <w:p>
      <w:pPr>
        <w:pStyle w:val="ListParagraph"/>
        <w:numPr>
          <w:ilvl w:val="0"/>
          <w:numId w:val="3"/>
        </w:numPr>
        <w:tabs>
          <w:tab w:pos="1254" w:val="left" w:leader="none"/>
        </w:tabs>
        <w:spacing w:line="357" w:lineRule="auto" w:before="36" w:after="0"/>
        <w:ind w:left="1253" w:right="219" w:hanging="706"/>
        <w:jc w:val="left"/>
        <w:rPr>
          <w:rFonts w:ascii="黑体" w:eastAsia="黑体" w:hint="eastAsia"/>
          <w:sz w:val="24"/>
        </w:rPr>
      </w:pPr>
      <w:r>
        <w:rPr>
          <w:rFonts w:ascii="黑体" w:eastAsia="黑体" w:hint="eastAsia"/>
          <w:sz w:val="24"/>
        </w:rPr>
        <w:t>被保险人自本合同Th</w:t>
      </w:r>
      <w:r>
        <w:rPr>
          <w:rFonts w:ascii="黑体" w:eastAsia="黑体" w:hint="eastAsia"/>
          <w:spacing w:val="-5"/>
          <w:sz w:val="24"/>
        </w:rPr>
        <w:t>效(或最后一次复效)之日起 </w:t>
      </w:r>
      <w:r>
        <w:rPr>
          <w:rFonts w:ascii="黑体" w:eastAsia="黑体" w:hint="eastAsia"/>
          <w:sz w:val="24"/>
        </w:rPr>
        <w:t>2</w:t>
      </w:r>
      <w:r>
        <w:rPr>
          <w:rFonts w:ascii="黑体" w:eastAsia="黑体" w:hint="eastAsia"/>
          <w:spacing w:val="-11"/>
          <w:sz w:val="24"/>
        </w:rPr>
        <w:t> 年内自杀，但被保险人自杀时为无民事行为能力人的除外；</w:t>
      </w:r>
    </w:p>
    <w:p>
      <w:pPr>
        <w:pStyle w:val="ListParagraph"/>
        <w:numPr>
          <w:ilvl w:val="0"/>
          <w:numId w:val="3"/>
        </w:numPr>
        <w:tabs>
          <w:tab w:pos="1254" w:val="left" w:leader="none"/>
        </w:tabs>
        <w:spacing w:line="240" w:lineRule="auto" w:before="36" w:after="0"/>
        <w:ind w:left="1253" w:right="0" w:hanging="706"/>
        <w:jc w:val="left"/>
        <w:rPr>
          <w:rFonts w:ascii="黑体" w:eastAsia="黑体" w:hint="eastAsia"/>
          <w:sz w:val="24"/>
        </w:rPr>
      </w:pPr>
      <w:r>
        <w:rPr>
          <w:rFonts w:ascii="黑体" w:eastAsia="黑体" w:hint="eastAsia"/>
          <w:sz w:val="24"/>
        </w:rPr>
        <w:t>被保险人故意犯罪或者抗拒依法采取的刑事强制措施；</w:t>
      </w:r>
    </w:p>
    <w:p>
      <w:pPr>
        <w:pStyle w:val="ListParagraph"/>
        <w:numPr>
          <w:ilvl w:val="0"/>
          <w:numId w:val="3"/>
        </w:numPr>
        <w:tabs>
          <w:tab w:pos="1254" w:val="left" w:leader="none"/>
        </w:tabs>
        <w:spacing w:line="240" w:lineRule="auto" w:before="154" w:after="0"/>
        <w:ind w:left="1253" w:right="0" w:hanging="706"/>
        <w:jc w:val="left"/>
        <w:rPr>
          <w:rFonts w:ascii="黑体" w:eastAsia="黑体" w:hint="eastAsia"/>
          <w:sz w:val="24"/>
        </w:rPr>
      </w:pPr>
      <w:r>
        <w:rPr>
          <w:rFonts w:ascii="黑体" w:eastAsia="黑体" w:hint="eastAsia"/>
          <w:sz w:val="24"/>
        </w:rPr>
        <w:t>被保险人主动吸食或注射</w:t>
      </w:r>
      <w:r>
        <w:rPr>
          <w:rFonts w:ascii="黑体" w:eastAsia="黑体" w:hint="eastAsia"/>
          <w:b/>
          <w:spacing w:val="1"/>
          <w:w w:val="99"/>
          <w:sz w:val="24"/>
        </w:rPr>
        <w:t>毒品</w:t>
      </w:r>
      <w:r>
        <w:rPr>
          <w:rFonts w:ascii="黑体" w:eastAsia="黑体" w:hint="eastAsia"/>
          <w:sz w:val="24"/>
        </w:rPr>
        <w:t>（</w:t>
      </w:r>
      <w:r>
        <w:rPr>
          <w:rFonts w:ascii="黑体" w:eastAsia="黑体" w:hint="eastAsia"/>
          <w:spacing w:val="-20"/>
          <w:sz w:val="24"/>
        </w:rPr>
        <w:t>释义 </w:t>
      </w:r>
      <w:r>
        <w:rPr>
          <w:rFonts w:ascii="黑体" w:eastAsia="黑体" w:hint="eastAsia"/>
          <w:sz w:val="24"/>
        </w:rPr>
        <w:t>5</w:t>
      </w:r>
      <w:r>
        <w:rPr>
          <w:rFonts w:ascii="黑体" w:eastAsia="黑体" w:hint="eastAsia"/>
          <w:spacing w:val="-120"/>
          <w:sz w:val="24"/>
        </w:rPr>
        <w:t>）；</w:t>
      </w:r>
    </w:p>
    <w:p>
      <w:pPr>
        <w:pStyle w:val="ListParagraph"/>
        <w:numPr>
          <w:ilvl w:val="0"/>
          <w:numId w:val="3"/>
        </w:numPr>
        <w:tabs>
          <w:tab w:pos="1254" w:val="left" w:leader="none"/>
        </w:tabs>
        <w:spacing w:line="240" w:lineRule="auto" w:before="154" w:after="0"/>
        <w:ind w:left="1253" w:right="0" w:hanging="706"/>
        <w:jc w:val="left"/>
        <w:rPr>
          <w:rFonts w:ascii="黑体" w:eastAsia="黑体" w:hint="eastAsia"/>
          <w:sz w:val="24"/>
        </w:rPr>
      </w:pPr>
      <w:r>
        <w:rPr>
          <w:rFonts w:ascii="黑体" w:eastAsia="黑体" w:hint="eastAsia"/>
          <w:sz w:val="24"/>
        </w:rPr>
        <w:t>战争、军事冲突、暴乱或武装叛乱；</w:t>
      </w:r>
    </w:p>
    <w:p>
      <w:pPr>
        <w:pStyle w:val="ListParagraph"/>
        <w:numPr>
          <w:ilvl w:val="0"/>
          <w:numId w:val="3"/>
        </w:numPr>
        <w:tabs>
          <w:tab w:pos="1254" w:val="left" w:leader="none"/>
        </w:tabs>
        <w:spacing w:line="240" w:lineRule="auto" w:before="154" w:after="0"/>
        <w:ind w:left="1253" w:right="0" w:hanging="706"/>
        <w:jc w:val="left"/>
        <w:rPr>
          <w:rFonts w:ascii="黑体" w:eastAsia="黑体" w:hint="eastAsia"/>
          <w:sz w:val="24"/>
        </w:rPr>
      </w:pPr>
      <w:r>
        <w:rPr>
          <w:rFonts w:ascii="黑体" w:eastAsia="黑体" w:hint="eastAsia"/>
          <w:sz w:val="24"/>
        </w:rPr>
        <w:t>核爆炸、核辐射或核污染；</w:t>
      </w:r>
    </w:p>
    <w:p>
      <w:pPr>
        <w:pStyle w:val="ListParagraph"/>
        <w:numPr>
          <w:ilvl w:val="0"/>
          <w:numId w:val="3"/>
        </w:numPr>
        <w:tabs>
          <w:tab w:pos="1254" w:val="left" w:leader="none"/>
        </w:tabs>
        <w:spacing w:line="357" w:lineRule="auto" w:before="154" w:after="0"/>
        <w:ind w:left="1253" w:right="216" w:hanging="706"/>
        <w:jc w:val="left"/>
        <w:rPr>
          <w:rFonts w:ascii="黑体" w:eastAsia="黑体" w:hint="eastAsia"/>
          <w:sz w:val="24"/>
        </w:rPr>
      </w:pPr>
      <w:r>
        <w:rPr>
          <w:rFonts w:ascii="黑体" w:eastAsia="黑体" w:hint="eastAsia"/>
          <w:sz w:val="24"/>
        </w:rPr>
        <w:t>被保险人</w:t>
      </w:r>
      <w:r>
        <w:rPr>
          <w:rFonts w:ascii="黑体" w:eastAsia="黑体" w:hint="eastAsia"/>
          <w:b/>
          <w:w w:val="99"/>
          <w:sz w:val="24"/>
        </w:rPr>
        <w:t>酒后驾驶</w:t>
      </w:r>
      <w:r>
        <w:rPr>
          <w:rFonts w:ascii="黑体" w:eastAsia="黑体" w:hint="eastAsia"/>
          <w:sz w:val="24"/>
        </w:rPr>
        <w:t>（</w:t>
      </w:r>
      <w:r>
        <w:rPr>
          <w:rFonts w:ascii="黑体" w:eastAsia="黑体" w:hint="eastAsia"/>
          <w:spacing w:val="-9"/>
          <w:sz w:val="24"/>
        </w:rPr>
        <w:t>释义 </w:t>
      </w:r>
      <w:r>
        <w:rPr>
          <w:rFonts w:ascii="黑体" w:eastAsia="黑体" w:hint="eastAsia"/>
          <w:sz w:val="24"/>
        </w:rPr>
        <w:t>6</w:t>
      </w:r>
      <w:r>
        <w:rPr>
          <w:rFonts w:ascii="黑体" w:eastAsia="黑体" w:hint="eastAsia"/>
          <w:spacing w:val="-120"/>
          <w:sz w:val="24"/>
        </w:rPr>
        <w:t>）</w:t>
      </w:r>
      <w:r>
        <w:rPr>
          <w:rFonts w:ascii="黑体" w:eastAsia="黑体" w:hint="eastAsia"/>
          <w:sz w:val="24"/>
        </w:rPr>
        <w:t>、</w:t>
      </w:r>
      <w:r>
        <w:rPr>
          <w:rFonts w:ascii="黑体" w:eastAsia="黑体" w:hint="eastAsia"/>
          <w:b/>
          <w:w w:val="99"/>
          <w:sz w:val="24"/>
        </w:rPr>
        <w:t>无合法有效驾驶证驾驶</w:t>
      </w:r>
      <w:r>
        <w:rPr>
          <w:rFonts w:ascii="黑体" w:eastAsia="黑体" w:hint="eastAsia"/>
          <w:sz w:val="24"/>
        </w:rPr>
        <w:t>（</w:t>
      </w:r>
      <w:r>
        <w:rPr>
          <w:rFonts w:ascii="黑体" w:eastAsia="黑体" w:hint="eastAsia"/>
          <w:spacing w:val="-7"/>
          <w:sz w:val="24"/>
        </w:rPr>
        <w:t>释义 </w:t>
      </w:r>
      <w:r>
        <w:rPr>
          <w:rFonts w:ascii="黑体" w:eastAsia="黑体" w:hint="eastAsia"/>
          <w:sz w:val="24"/>
        </w:rPr>
        <w:t>7</w:t>
      </w:r>
      <w:r>
        <w:rPr>
          <w:rFonts w:ascii="黑体" w:eastAsia="黑体" w:hint="eastAsia"/>
          <w:spacing w:val="-120"/>
          <w:sz w:val="24"/>
        </w:rPr>
        <w:t>）</w:t>
      </w:r>
      <w:r>
        <w:rPr>
          <w:rFonts w:ascii="黑体" w:eastAsia="黑体" w:hint="eastAsia"/>
          <w:spacing w:val="-2"/>
          <w:sz w:val="24"/>
        </w:rPr>
        <w:t>，或驾驶</w:t>
      </w:r>
      <w:r>
        <w:rPr>
          <w:rFonts w:ascii="黑体" w:eastAsia="黑体" w:hint="eastAsia"/>
          <w:b/>
          <w:spacing w:val="-2"/>
          <w:sz w:val="24"/>
        </w:rPr>
        <w:t>无有效行驶证</w:t>
      </w:r>
      <w:r>
        <w:rPr>
          <w:rFonts w:ascii="黑体" w:eastAsia="黑体" w:hint="eastAsia"/>
          <w:spacing w:val="-2"/>
          <w:sz w:val="24"/>
        </w:rPr>
        <w:t>（</w:t>
      </w:r>
      <w:r>
        <w:rPr>
          <w:rFonts w:ascii="黑体" w:eastAsia="黑体" w:hint="eastAsia"/>
          <w:spacing w:val="-21"/>
          <w:sz w:val="24"/>
        </w:rPr>
        <w:t>释义 </w:t>
      </w:r>
      <w:r>
        <w:rPr>
          <w:rFonts w:ascii="黑体" w:eastAsia="黑体" w:hint="eastAsia"/>
          <w:sz w:val="24"/>
        </w:rPr>
        <w:t>8）的机动车；</w:t>
      </w:r>
    </w:p>
    <w:p>
      <w:pPr>
        <w:pStyle w:val="Heading3"/>
        <w:numPr>
          <w:ilvl w:val="0"/>
          <w:numId w:val="3"/>
        </w:numPr>
        <w:tabs>
          <w:tab w:pos="1254" w:val="left" w:leader="none"/>
        </w:tabs>
        <w:spacing w:line="240" w:lineRule="auto" w:before="36" w:after="0"/>
        <w:ind w:left="1253" w:right="0" w:hanging="706"/>
        <w:jc w:val="left"/>
      </w:pPr>
      <w:r>
        <w:rPr/>
        <w:t>被保险人故意自伤；</w:t>
      </w:r>
    </w:p>
    <w:p>
      <w:pPr>
        <w:pStyle w:val="ListParagraph"/>
        <w:numPr>
          <w:ilvl w:val="0"/>
          <w:numId w:val="3"/>
        </w:numPr>
        <w:tabs>
          <w:tab w:pos="1254" w:val="left" w:leader="none"/>
        </w:tabs>
        <w:spacing w:line="357" w:lineRule="auto" w:before="154" w:after="0"/>
        <w:ind w:left="1253" w:right="218" w:hanging="706"/>
        <w:jc w:val="left"/>
        <w:rPr>
          <w:rFonts w:ascii="黑体" w:eastAsia="黑体" w:hint="eastAsia"/>
          <w:sz w:val="24"/>
        </w:rPr>
      </w:pPr>
      <w:r>
        <w:rPr>
          <w:rFonts w:ascii="黑体" w:eastAsia="黑体" w:hint="eastAsia"/>
          <w:sz w:val="24"/>
        </w:rPr>
        <w:t>被保险人</w:t>
      </w:r>
      <w:r>
        <w:rPr>
          <w:rFonts w:ascii="黑体" w:eastAsia="黑体" w:hint="eastAsia"/>
          <w:b/>
          <w:sz w:val="24"/>
        </w:rPr>
        <w:t>感染艾滋病病毒或患艾滋病</w:t>
      </w:r>
      <w:r>
        <w:rPr>
          <w:rFonts w:ascii="黑体" w:eastAsia="黑体" w:hint="eastAsia"/>
          <w:sz w:val="24"/>
        </w:rPr>
        <w:t>（</w:t>
      </w:r>
      <w:r>
        <w:rPr>
          <w:rFonts w:ascii="黑体" w:eastAsia="黑体" w:hint="eastAsia"/>
          <w:spacing w:val="-4"/>
          <w:sz w:val="24"/>
        </w:rPr>
        <w:t>本附加合同释义中第 </w:t>
      </w:r>
      <w:r>
        <w:rPr>
          <w:rFonts w:ascii="黑体" w:eastAsia="黑体" w:hint="eastAsia"/>
          <w:sz w:val="24"/>
        </w:rPr>
        <w:t>29</w:t>
      </w:r>
      <w:r>
        <w:rPr>
          <w:rFonts w:ascii="黑体" w:eastAsia="黑体" w:hint="eastAsia"/>
          <w:spacing w:val="-8"/>
          <w:sz w:val="24"/>
        </w:rPr>
        <w:t> 种疾病除外</w:t>
      </w:r>
      <w:r>
        <w:rPr>
          <w:rFonts w:ascii="黑体" w:eastAsia="黑体" w:hint="eastAsia"/>
          <w:spacing w:val="-120"/>
          <w:sz w:val="24"/>
        </w:rPr>
        <w:t>）</w:t>
      </w:r>
      <w:r>
        <w:rPr>
          <w:rFonts w:ascii="黑体" w:eastAsia="黑体" w:hint="eastAsia"/>
          <w:sz w:val="24"/>
        </w:rPr>
        <w:t>；</w:t>
      </w:r>
    </w:p>
    <w:p>
      <w:pPr>
        <w:pStyle w:val="ListParagraph"/>
        <w:numPr>
          <w:ilvl w:val="0"/>
          <w:numId w:val="3"/>
        </w:numPr>
        <w:tabs>
          <w:tab w:pos="1254" w:val="left" w:leader="none"/>
        </w:tabs>
        <w:spacing w:line="357" w:lineRule="auto" w:before="36" w:after="0"/>
        <w:ind w:left="590" w:right="216" w:hanging="43"/>
        <w:jc w:val="left"/>
        <w:rPr>
          <w:rFonts w:ascii="黑体" w:eastAsia="黑体" w:hint="eastAsia"/>
          <w:sz w:val="24"/>
        </w:rPr>
      </w:pPr>
      <w:r>
        <w:rPr>
          <w:rFonts w:ascii="黑体" w:eastAsia="黑体" w:hint="eastAsia"/>
          <w:b/>
          <w:spacing w:val="1"/>
          <w:w w:val="99"/>
          <w:sz w:val="24"/>
        </w:rPr>
        <w:t>遗传性疾病</w:t>
      </w:r>
      <w:r>
        <w:rPr>
          <w:rFonts w:ascii="黑体" w:eastAsia="黑体" w:hint="eastAsia"/>
          <w:spacing w:val="1"/>
          <w:sz w:val="24"/>
        </w:rPr>
        <w:t>（</w:t>
      </w:r>
      <w:r>
        <w:rPr>
          <w:rFonts w:ascii="黑体" w:eastAsia="黑体" w:hint="eastAsia"/>
          <w:spacing w:val="-20"/>
          <w:sz w:val="24"/>
        </w:rPr>
        <w:t>释义 </w:t>
      </w:r>
      <w:r>
        <w:rPr>
          <w:rFonts w:ascii="黑体" w:eastAsia="黑体" w:hint="eastAsia"/>
          <w:spacing w:val="1"/>
          <w:sz w:val="24"/>
        </w:rPr>
        <w:t>9</w:t>
      </w:r>
      <w:r>
        <w:rPr>
          <w:rFonts w:ascii="黑体" w:eastAsia="黑体" w:hint="eastAsia"/>
          <w:spacing w:val="-120"/>
          <w:sz w:val="24"/>
        </w:rPr>
        <w:t>）</w:t>
      </w:r>
      <w:r>
        <w:rPr>
          <w:rFonts w:ascii="黑体" w:eastAsia="黑体" w:hint="eastAsia"/>
          <w:spacing w:val="1"/>
          <w:sz w:val="24"/>
        </w:rPr>
        <w:t>，</w:t>
      </w:r>
      <w:r>
        <w:rPr>
          <w:rFonts w:ascii="黑体" w:eastAsia="黑体" w:hint="eastAsia"/>
          <w:b/>
          <w:spacing w:val="1"/>
          <w:w w:val="99"/>
          <w:sz w:val="24"/>
        </w:rPr>
        <w:t>先天性畸形、变形或染色体异常</w:t>
      </w:r>
      <w:r>
        <w:rPr>
          <w:rFonts w:ascii="黑体" w:eastAsia="黑体" w:hint="eastAsia"/>
          <w:spacing w:val="1"/>
          <w:sz w:val="24"/>
        </w:rPr>
        <w:t>（</w:t>
      </w:r>
      <w:r>
        <w:rPr>
          <w:rFonts w:ascii="黑体" w:eastAsia="黑体" w:hint="eastAsia"/>
          <w:spacing w:val="-19"/>
          <w:sz w:val="24"/>
        </w:rPr>
        <w:t>释义 </w:t>
      </w:r>
      <w:r>
        <w:rPr>
          <w:rFonts w:ascii="黑体" w:eastAsia="黑体" w:hint="eastAsia"/>
          <w:spacing w:val="1"/>
          <w:sz w:val="24"/>
        </w:rPr>
        <w:t>10</w:t>
      </w:r>
      <w:r>
        <w:rPr>
          <w:rFonts w:ascii="黑体" w:eastAsia="黑体" w:hint="eastAsia"/>
          <w:spacing w:val="-120"/>
          <w:sz w:val="24"/>
        </w:rPr>
        <w:t>）。</w:t>
      </w:r>
      <w:r>
        <w:rPr>
          <w:rFonts w:ascii="黑体" w:eastAsia="黑体" w:hint="eastAsia"/>
          <w:sz w:val="24"/>
        </w:rPr>
        <w:t>发Th</w:t>
      </w:r>
      <w:r>
        <w:rPr>
          <w:rFonts w:ascii="黑体" w:eastAsia="黑体" w:hint="eastAsia"/>
          <w:spacing w:val="-6"/>
          <w:sz w:val="24"/>
        </w:rPr>
        <w:t>上述第（1）</w:t>
      </w:r>
      <w:r>
        <w:rPr>
          <w:rFonts w:ascii="黑体" w:eastAsia="黑体" w:hint="eastAsia"/>
          <w:spacing w:val="-9"/>
          <w:sz w:val="24"/>
        </w:rPr>
        <w:t>至第</w:t>
      </w:r>
      <w:r>
        <w:rPr>
          <w:rFonts w:ascii="黑体" w:eastAsia="黑体" w:hint="eastAsia"/>
          <w:spacing w:val="-6"/>
          <w:sz w:val="24"/>
        </w:rPr>
        <w:t>（6）</w:t>
      </w:r>
      <w:r>
        <w:rPr>
          <w:rFonts w:ascii="黑体" w:eastAsia="黑体" w:hint="eastAsia"/>
          <w:spacing w:val="-2"/>
          <w:sz w:val="24"/>
        </w:rPr>
        <w:t>项中任一情形导致被保险人身故，本附加合同终</w:t>
      </w:r>
    </w:p>
    <w:p>
      <w:pPr>
        <w:spacing w:after="0" w:line="357" w:lineRule="auto"/>
        <w:jc w:val="left"/>
        <w:rPr>
          <w:rFonts w:ascii="黑体" w:eastAsia="黑体" w:hint="eastAsia"/>
          <w:sz w:val="24"/>
        </w:rPr>
        <w:sectPr>
          <w:pgSz w:w="11910" w:h="16840"/>
          <w:pgMar w:header="0" w:footer="1005" w:top="1460" w:bottom="1200" w:left="1680" w:right="1580"/>
        </w:sectPr>
      </w:pPr>
    </w:p>
    <w:p>
      <w:pPr>
        <w:pStyle w:val="Heading3"/>
        <w:spacing w:before="0"/>
        <w:ind w:left="120" w:firstLine="0"/>
        <w:rPr>
          <w:b/>
        </w:rPr>
      </w:pPr>
      <w:r>
        <w:rPr>
          <w:w w:val="95"/>
        </w:rPr>
        <w:t>止，我们向被豁免合同的被保险人退还本附加合同终止时的本附加合同</w:t>
      </w:r>
      <w:r>
        <w:rPr>
          <w:b/>
          <w:w w:val="95"/>
        </w:rPr>
        <w:t>现金价值</w:t>
      </w:r>
    </w:p>
    <w:p>
      <w:pPr>
        <w:spacing w:before="154"/>
        <w:ind w:left="120" w:right="0" w:firstLine="0"/>
        <w:jc w:val="left"/>
        <w:rPr>
          <w:rFonts w:ascii="黑体" w:eastAsia="黑体" w:hint="eastAsia"/>
          <w:sz w:val="24"/>
        </w:rPr>
      </w:pPr>
      <w:r>
        <w:rPr>
          <w:rFonts w:ascii="黑体" w:eastAsia="黑体" w:hint="eastAsia"/>
          <w:sz w:val="24"/>
        </w:rPr>
        <w:t>（</w:t>
      </w:r>
      <w:r>
        <w:rPr>
          <w:rFonts w:ascii="黑体" w:eastAsia="黑体" w:hint="eastAsia"/>
          <w:spacing w:val="-21"/>
          <w:sz w:val="24"/>
        </w:rPr>
        <w:t>释义 </w:t>
      </w:r>
      <w:r>
        <w:rPr>
          <w:rFonts w:ascii="黑体" w:eastAsia="黑体" w:hint="eastAsia"/>
          <w:sz w:val="24"/>
        </w:rPr>
        <w:t>11</w:t>
      </w:r>
      <w:r>
        <w:rPr>
          <w:rFonts w:ascii="黑体" w:eastAsia="黑体" w:hint="eastAsia"/>
          <w:spacing w:val="-120"/>
          <w:sz w:val="24"/>
        </w:rPr>
        <w:t>）</w:t>
      </w:r>
      <w:r>
        <w:rPr>
          <w:rFonts w:ascii="黑体" w:eastAsia="黑体" w:hint="eastAsia"/>
          <w:sz w:val="24"/>
        </w:rPr>
        <w:t>。</w:t>
      </w:r>
    </w:p>
    <w:p>
      <w:pPr>
        <w:spacing w:line="357" w:lineRule="auto" w:before="154"/>
        <w:ind w:left="120" w:right="114" w:firstLine="470"/>
        <w:jc w:val="both"/>
        <w:rPr>
          <w:rFonts w:ascii="黑体" w:eastAsia="黑体" w:hint="eastAsia"/>
          <w:sz w:val="24"/>
        </w:rPr>
      </w:pPr>
      <w:r>
        <w:rPr>
          <w:rFonts w:ascii="黑体" w:eastAsia="黑体" w:hint="eastAsia"/>
          <w:sz w:val="24"/>
        </w:rPr>
        <w:t>发Th</w:t>
      </w:r>
      <w:r>
        <w:rPr>
          <w:rFonts w:ascii="黑体" w:eastAsia="黑体" w:hint="eastAsia"/>
          <w:spacing w:val="-8"/>
          <w:sz w:val="24"/>
        </w:rPr>
        <w:t>上述第（2）</w:t>
      </w:r>
      <w:r>
        <w:rPr>
          <w:rFonts w:ascii="黑体" w:eastAsia="黑体" w:hint="eastAsia"/>
          <w:spacing w:val="-10"/>
          <w:sz w:val="24"/>
        </w:rPr>
        <w:t>至第</w:t>
      </w:r>
      <w:r>
        <w:rPr>
          <w:rFonts w:ascii="黑体" w:eastAsia="黑体" w:hint="eastAsia"/>
          <w:spacing w:val="-8"/>
          <w:sz w:val="24"/>
        </w:rPr>
        <w:t>（9）</w:t>
      </w:r>
      <w:r>
        <w:rPr>
          <w:rFonts w:ascii="黑体" w:eastAsia="黑体" w:hint="eastAsia"/>
          <w:sz w:val="24"/>
        </w:rPr>
        <w:t>项中任一情形导致被保险人确诊患本附加合同所</w:t>
      </w:r>
      <w:r>
        <w:rPr>
          <w:rFonts w:ascii="黑体" w:eastAsia="黑体" w:hint="eastAsia"/>
          <w:spacing w:val="-9"/>
          <w:sz w:val="24"/>
        </w:rPr>
        <w:t>定义的重大疾病，本附加合同终止，我们向您退还本附加合同终止时的本附加合</w:t>
      </w:r>
      <w:r>
        <w:rPr>
          <w:rFonts w:ascii="黑体" w:eastAsia="黑体" w:hint="eastAsia"/>
          <w:spacing w:val="-1"/>
          <w:sz w:val="24"/>
        </w:rPr>
        <w:t>同现金价值。</w:t>
      </w:r>
    </w:p>
    <w:p>
      <w:pPr>
        <w:pStyle w:val="BodyText"/>
        <w:spacing w:before="9"/>
        <w:rPr>
          <w:rFonts w:ascii="黑体"/>
          <w:sz w:val="35"/>
        </w:rPr>
      </w:pPr>
    </w:p>
    <w:p>
      <w:pPr>
        <w:pStyle w:val="Heading4"/>
        <w:numPr>
          <w:ilvl w:val="0"/>
          <w:numId w:val="2"/>
        </w:numPr>
        <w:tabs>
          <w:tab w:pos="481" w:val="left" w:leader="none"/>
        </w:tabs>
        <w:spacing w:line="240" w:lineRule="auto" w:before="0" w:after="0"/>
        <w:ind w:left="480" w:right="0" w:hanging="360"/>
        <w:jc w:val="left"/>
      </w:pPr>
      <w:bookmarkStart w:name="_bookmark12" w:id="22"/>
      <w:bookmarkEnd w:id="22"/>
      <w:r>
        <w:rPr>
          <w:b w:val="0"/>
        </w:rPr>
      </w:r>
      <w:bookmarkStart w:name="_bookmark12" w:id="23"/>
      <w:bookmarkEnd w:id="23"/>
      <w:r>
        <w:rPr>
          <w:spacing w:val="-2"/>
        </w:rPr>
        <w:t>豁免保费保险金的申请</w:t>
      </w:r>
    </w:p>
    <w:p>
      <w:pPr>
        <w:pStyle w:val="ListParagraph"/>
        <w:numPr>
          <w:ilvl w:val="1"/>
          <w:numId w:val="2"/>
        </w:numPr>
        <w:tabs>
          <w:tab w:pos="1071" w:val="left" w:leader="none"/>
        </w:tabs>
        <w:spacing w:line="240" w:lineRule="auto" w:before="105" w:after="0"/>
        <w:ind w:left="1070" w:right="0" w:hanging="528"/>
        <w:jc w:val="left"/>
        <w:rPr>
          <w:rFonts w:ascii="微软雅黑" w:eastAsia="微软雅黑" w:hint="eastAsia"/>
          <w:b/>
          <w:sz w:val="21"/>
        </w:rPr>
      </w:pPr>
      <w:r>
        <w:rPr>
          <w:rFonts w:ascii="微软雅黑" w:eastAsia="微软雅黑" w:hint="eastAsia"/>
          <w:b/>
          <w:sz w:val="21"/>
        </w:rPr>
        <w:t>身故豁免保费保险金</w:t>
      </w:r>
    </w:p>
    <w:p>
      <w:pPr>
        <w:pStyle w:val="BodyText"/>
        <w:spacing w:line="410" w:lineRule="auto" w:before="167"/>
        <w:ind w:left="120" w:right="111" w:firstLine="419"/>
      </w:pPr>
      <w:r>
        <w:rPr>
          <w:spacing w:val="-8"/>
        </w:rPr>
        <w:t>由被豁免合同的被保险人作为申请人，填写申请书，并提供下列证明、资料向我们申请</w:t>
      </w:r>
      <w:r>
        <w:rPr>
          <w:spacing w:val="-3"/>
        </w:rPr>
        <w:t>身故豁免保费保险金：</w:t>
      </w:r>
    </w:p>
    <w:p>
      <w:pPr>
        <w:pStyle w:val="BodyText"/>
        <w:spacing w:before="43"/>
        <w:ind w:left="434"/>
      </w:pPr>
      <w:r>
        <w:rPr/>
        <w:t>（1）保险合同；</w:t>
      </w:r>
    </w:p>
    <w:p>
      <w:pPr>
        <w:spacing w:before="130"/>
        <w:ind w:left="434" w:right="0" w:firstLine="0"/>
        <w:jc w:val="left"/>
        <w:rPr>
          <w:sz w:val="21"/>
        </w:rPr>
      </w:pPr>
      <w:r>
        <w:rPr>
          <w:w w:val="100"/>
          <w:sz w:val="21"/>
        </w:rPr>
        <w:t>（2</w:t>
      </w:r>
      <w:r>
        <w:rPr>
          <w:spacing w:val="-3"/>
          <w:w w:val="100"/>
          <w:sz w:val="21"/>
        </w:rPr>
        <w:t>）申请人的</w:t>
      </w:r>
      <w:r>
        <w:rPr>
          <w:rFonts w:ascii="微软雅黑" w:eastAsia="微软雅黑" w:hint="eastAsia"/>
          <w:b/>
          <w:spacing w:val="-1"/>
          <w:w w:val="100"/>
          <w:sz w:val="21"/>
        </w:rPr>
        <w:t>有效身份证件</w:t>
      </w:r>
      <w:r>
        <w:rPr>
          <w:w w:val="100"/>
          <w:sz w:val="21"/>
        </w:rPr>
        <w:t>（</w:t>
      </w:r>
      <w:r>
        <w:rPr>
          <w:spacing w:val="-2"/>
          <w:w w:val="100"/>
          <w:sz w:val="21"/>
        </w:rPr>
        <w:t>释义</w:t>
      </w:r>
      <w:r>
        <w:rPr>
          <w:spacing w:val="-53"/>
          <w:sz w:val="21"/>
        </w:rPr>
        <w:t> </w:t>
      </w:r>
      <w:r>
        <w:rPr>
          <w:w w:val="100"/>
          <w:sz w:val="21"/>
        </w:rPr>
        <w:t>12</w:t>
      </w:r>
      <w:r>
        <w:rPr>
          <w:spacing w:val="-108"/>
          <w:w w:val="100"/>
          <w:sz w:val="21"/>
        </w:rPr>
        <w:t>）</w:t>
      </w:r>
      <w:r>
        <w:rPr>
          <w:w w:val="100"/>
          <w:sz w:val="21"/>
        </w:rPr>
        <w:t>；</w:t>
      </w:r>
    </w:p>
    <w:p>
      <w:pPr>
        <w:pStyle w:val="BodyText"/>
        <w:spacing w:line="408" w:lineRule="auto" w:before="167"/>
        <w:ind w:left="960" w:right="111" w:hanging="526"/>
      </w:pPr>
      <w:r>
        <w:rPr>
          <w:spacing w:val="-16"/>
        </w:rPr>
        <w:t>（3）</w:t>
      </w:r>
      <w:r>
        <w:rPr>
          <w:spacing w:val="-6"/>
        </w:rPr>
        <w:t>国家卫生行政部门认定的医疗机构、公安部门或其他相关机构出具的被保险人死亡证明。</w:t>
      </w:r>
    </w:p>
    <w:p>
      <w:pPr>
        <w:pStyle w:val="BodyText"/>
        <w:spacing w:before="45"/>
        <w:ind w:left="434"/>
      </w:pPr>
      <w:r>
        <w:rPr/>
        <w:t>（4）被保险人的户籍注销证明；</w:t>
      </w:r>
    </w:p>
    <w:p>
      <w:pPr>
        <w:pStyle w:val="BodyText"/>
        <w:spacing w:before="9"/>
        <w:rPr>
          <w:sz w:val="14"/>
        </w:rPr>
      </w:pPr>
    </w:p>
    <w:p>
      <w:pPr>
        <w:pStyle w:val="BodyText"/>
        <w:ind w:left="434"/>
      </w:pPr>
      <w:r>
        <w:rPr/>
        <w:t>（5）所能提供的与确认保险事故的性质、原因等有关的其他证明和资料。</w:t>
      </w:r>
    </w:p>
    <w:p>
      <w:pPr>
        <w:pStyle w:val="Heading4"/>
        <w:numPr>
          <w:ilvl w:val="1"/>
          <w:numId w:val="2"/>
        </w:numPr>
        <w:tabs>
          <w:tab w:pos="1071" w:val="left" w:leader="none"/>
        </w:tabs>
        <w:spacing w:line="240" w:lineRule="auto" w:before="130" w:after="0"/>
        <w:ind w:left="1070" w:right="0" w:hanging="528"/>
        <w:jc w:val="left"/>
      </w:pPr>
      <w:r>
        <w:rPr>
          <w:spacing w:val="-1"/>
        </w:rPr>
        <w:t>重大疾病豁免保费保险金</w:t>
      </w:r>
    </w:p>
    <w:p>
      <w:pPr>
        <w:pStyle w:val="BodyText"/>
        <w:spacing w:line="408" w:lineRule="auto" w:before="167"/>
        <w:ind w:left="120" w:right="111" w:firstLine="419"/>
      </w:pPr>
      <w:r>
        <w:rPr>
          <w:spacing w:val="-8"/>
        </w:rPr>
        <w:t>由您或被豁免合同的被保险人作为申请人，填写申请书，并提供下列证明、资料向我们</w:t>
      </w:r>
      <w:r>
        <w:rPr>
          <w:spacing w:val="-3"/>
        </w:rPr>
        <w:t>申请重大疾病豁免保费保险金：</w:t>
      </w:r>
    </w:p>
    <w:p>
      <w:pPr>
        <w:pStyle w:val="BodyText"/>
        <w:spacing w:before="45"/>
        <w:ind w:left="434"/>
      </w:pPr>
      <w:r>
        <w:rPr/>
        <w:t>（1）保险合同；</w:t>
      </w:r>
    </w:p>
    <w:p>
      <w:pPr>
        <w:pStyle w:val="BodyText"/>
        <w:spacing w:before="9"/>
        <w:rPr>
          <w:sz w:val="14"/>
        </w:rPr>
      </w:pPr>
    </w:p>
    <w:p>
      <w:pPr>
        <w:pStyle w:val="BodyText"/>
        <w:ind w:left="434"/>
      </w:pPr>
      <w:r>
        <w:rPr/>
        <w:t>（2）申请人的有效身份证件；</w:t>
      </w:r>
    </w:p>
    <w:p>
      <w:pPr>
        <w:pStyle w:val="BodyText"/>
        <w:spacing w:before="9"/>
        <w:rPr>
          <w:sz w:val="14"/>
        </w:rPr>
      </w:pPr>
    </w:p>
    <w:p>
      <w:pPr>
        <w:pStyle w:val="BodyText"/>
        <w:spacing w:line="408" w:lineRule="auto"/>
        <w:ind w:left="972" w:right="111" w:hanging="538"/>
        <w:jc w:val="both"/>
      </w:pPr>
      <w:r>
        <w:rPr>
          <w:spacing w:val="1"/>
        </w:rPr>
        <w:t>（3）</w:t>
      </w:r>
      <w:r>
        <w:rPr>
          <w:spacing w:val="-7"/>
        </w:rPr>
        <w:t>由国家卫生部医疗等级分类中的二级或二级以上的医院出具的附有病历、病理显微</w:t>
      </w:r>
      <w:r>
        <w:rPr>
          <w:spacing w:val="-5"/>
        </w:rPr>
        <w:t>镜检查、必需的血液检验及其他科学方法检验报告的被保险人疾病诊断证明,关于</w:t>
      </w:r>
      <w:r>
        <w:rPr>
          <w:spacing w:val="-4"/>
        </w:rPr>
        <w:t>重大疾病的释义中所提及的索赔时需要提供的有关证明；</w:t>
      </w:r>
    </w:p>
    <w:p>
      <w:pPr>
        <w:pStyle w:val="BodyText"/>
        <w:spacing w:before="45"/>
        <w:ind w:left="434"/>
      </w:pPr>
      <w:r>
        <w:rPr/>
        <w:t>（4）所能提供的与确认保险事故的性质、原因等有关的其他证明和资料。</w:t>
      </w:r>
    </w:p>
    <w:p>
      <w:pPr>
        <w:pStyle w:val="BodyText"/>
        <w:rPr>
          <w:sz w:val="20"/>
        </w:rPr>
      </w:pPr>
    </w:p>
    <w:p>
      <w:pPr>
        <w:pStyle w:val="BodyText"/>
        <w:rPr>
          <w:sz w:val="20"/>
        </w:rPr>
      </w:pPr>
    </w:p>
    <w:p>
      <w:pPr>
        <w:pStyle w:val="BodyText"/>
        <w:spacing w:line="408" w:lineRule="auto" w:before="137"/>
        <w:ind w:left="120" w:right="111" w:firstLine="419"/>
      </w:pPr>
      <w:r>
        <w:rPr>
          <w:spacing w:val="-8"/>
        </w:rPr>
        <w:t>若申请人委托他人代为申请豁免保险费，还应提供授权委托书、受托人有效身份证件等</w:t>
      </w:r>
      <w:r>
        <w:rPr>
          <w:spacing w:val="-5"/>
        </w:rPr>
        <w:t>相关证明文件。</w:t>
      </w:r>
    </w:p>
    <w:p>
      <w:pPr>
        <w:pStyle w:val="BodyText"/>
        <w:spacing w:before="45"/>
        <w:ind w:left="525"/>
      </w:pPr>
      <w:r>
        <w:rPr/>
        <w:t>以上证明和资料不完整的，我们将及时一次性通知申请人补充提供有关证明和资料。</w:t>
      </w:r>
    </w:p>
    <w:p>
      <w:pPr>
        <w:spacing w:after="0"/>
        <w:sectPr>
          <w:pgSz w:w="11910" w:h="16840"/>
          <w:pgMar w:header="0" w:footer="1005" w:top="1460" w:bottom="1200" w:left="1680" w:right="1680"/>
        </w:sectPr>
      </w:pPr>
    </w:p>
    <w:p>
      <w:pPr>
        <w:pStyle w:val="BodyText"/>
        <w:spacing w:before="26"/>
        <w:ind w:left="540"/>
      </w:pPr>
      <w:r>
        <w:rPr/>
        <w:t>我们在收到申请书及本附加合同约定的证明和资料后，将在 5 日内作出核定；情形复杂</w:t>
      </w:r>
    </w:p>
    <w:p>
      <w:pPr>
        <w:pStyle w:val="BodyText"/>
        <w:spacing w:before="10"/>
        <w:rPr>
          <w:sz w:val="14"/>
        </w:rPr>
      </w:pPr>
    </w:p>
    <w:p>
      <w:pPr>
        <w:pStyle w:val="BodyText"/>
        <w:ind w:left="120"/>
      </w:pPr>
      <w:r>
        <w:rPr/>
        <w:t>的，在 30 日内作出核定。</w:t>
      </w:r>
    </w:p>
    <w:p>
      <w:pPr>
        <w:pStyle w:val="BodyText"/>
        <w:spacing w:before="9"/>
        <w:rPr>
          <w:sz w:val="14"/>
        </w:rPr>
      </w:pPr>
    </w:p>
    <w:p>
      <w:pPr>
        <w:pStyle w:val="BodyText"/>
        <w:ind w:left="540"/>
      </w:pPr>
      <w:r>
        <w:rPr/>
        <w:t>对确定属于保险责任的，我们按合同约定履行豁免保险费的义务。</w:t>
      </w:r>
    </w:p>
    <w:p>
      <w:pPr>
        <w:pStyle w:val="BodyText"/>
        <w:spacing w:before="9"/>
        <w:rPr>
          <w:sz w:val="14"/>
        </w:rPr>
      </w:pPr>
    </w:p>
    <w:p>
      <w:pPr>
        <w:pStyle w:val="BodyText"/>
        <w:spacing w:line="408" w:lineRule="auto"/>
        <w:ind w:left="120" w:right="211" w:firstLine="419"/>
      </w:pPr>
      <w:r>
        <w:rPr>
          <w:spacing w:val="-14"/>
        </w:rPr>
        <w:t>对不属于保险责任的，我们自作出核定之日起 </w:t>
      </w:r>
      <w:r>
        <w:rPr/>
        <w:t>3</w:t>
      </w:r>
      <w:r>
        <w:rPr>
          <w:spacing w:val="-7"/>
        </w:rPr>
        <w:t> 日内向申请人发出拒绝履行豁免保险费</w:t>
      </w:r>
      <w:r>
        <w:rPr>
          <w:spacing w:val="-3"/>
        </w:rPr>
        <w:t>的通知书，并说明理由。</w:t>
      </w:r>
    </w:p>
    <w:p>
      <w:pPr>
        <w:pStyle w:val="BodyText"/>
        <w:spacing w:before="10"/>
        <w:rPr>
          <w:sz w:val="27"/>
        </w:rPr>
      </w:pPr>
    </w:p>
    <w:p>
      <w:pPr>
        <w:pStyle w:val="Heading2"/>
        <w:ind w:right="3093"/>
      </w:pPr>
      <w:bookmarkStart w:name="_bookmark13" w:id="24"/>
      <w:bookmarkEnd w:id="24"/>
      <w:r>
        <w:rPr>
          <w:b w:val="0"/>
        </w:rPr>
      </w:r>
      <w:r>
        <w:rPr/>
        <w:t>四、其他</w:t>
      </w:r>
    </w:p>
    <w:p>
      <w:pPr>
        <w:pStyle w:val="BodyText"/>
        <w:spacing w:before="5"/>
        <w:rPr>
          <w:rFonts w:ascii="微软雅黑"/>
          <w:b/>
          <w:sz w:val="32"/>
        </w:rPr>
      </w:pPr>
    </w:p>
    <w:p>
      <w:pPr>
        <w:pStyle w:val="Heading4"/>
        <w:numPr>
          <w:ilvl w:val="0"/>
          <w:numId w:val="2"/>
        </w:numPr>
        <w:tabs>
          <w:tab w:pos="481" w:val="left" w:leader="none"/>
        </w:tabs>
        <w:spacing w:line="240" w:lineRule="auto" w:before="0" w:after="0"/>
        <w:ind w:left="480" w:right="0" w:hanging="360"/>
        <w:jc w:val="left"/>
      </w:pPr>
      <w:bookmarkStart w:name="_bookmark14" w:id="25"/>
      <w:bookmarkEnd w:id="25"/>
      <w:r>
        <w:rPr>
          <w:b w:val="0"/>
        </w:rPr>
      </w:r>
      <w:bookmarkStart w:name="_bookmark14" w:id="26"/>
      <w:bookmarkEnd w:id="26"/>
      <w:r>
        <w:rPr/>
        <w:t>本附加合同的解除</w:t>
      </w:r>
    </w:p>
    <w:p>
      <w:pPr>
        <w:pStyle w:val="BodyText"/>
        <w:spacing w:line="408" w:lineRule="auto" w:before="168"/>
        <w:ind w:left="120" w:right="105" w:firstLine="419"/>
      </w:pPr>
      <w:r>
        <w:rPr>
          <w:spacing w:val="-13"/>
        </w:rPr>
        <w:t>在本附加合同规定的犹豫期后，您可以书面形式通知我们要求解除本附加合同，即退保。</w:t>
      </w:r>
      <w:r>
        <w:rPr>
          <w:spacing w:val="-3"/>
        </w:rPr>
        <w:t>我们收到您解除本附加合同书面通知当日，本附加合同解除，保险责任终止。</w:t>
      </w:r>
    </w:p>
    <w:p>
      <w:pPr>
        <w:pStyle w:val="BodyText"/>
        <w:spacing w:before="46"/>
        <w:ind w:left="540"/>
      </w:pPr>
      <w:r>
        <w:rPr/>
        <w:t>您要求退保时，应向我们提供下列证明和资料：</w:t>
      </w:r>
    </w:p>
    <w:p>
      <w:pPr>
        <w:pStyle w:val="BodyText"/>
        <w:spacing w:before="9"/>
        <w:rPr>
          <w:sz w:val="14"/>
        </w:rPr>
      </w:pPr>
    </w:p>
    <w:p>
      <w:pPr>
        <w:pStyle w:val="ListParagraph"/>
        <w:numPr>
          <w:ilvl w:val="0"/>
          <w:numId w:val="4"/>
        </w:numPr>
        <w:tabs>
          <w:tab w:pos="961" w:val="left" w:leader="none"/>
        </w:tabs>
        <w:spacing w:line="240" w:lineRule="auto" w:before="1" w:after="0"/>
        <w:ind w:left="120" w:right="0" w:firstLine="283"/>
        <w:jc w:val="left"/>
        <w:rPr>
          <w:sz w:val="21"/>
        </w:rPr>
      </w:pPr>
      <w:r>
        <w:rPr>
          <w:spacing w:val="-1"/>
          <w:sz w:val="21"/>
        </w:rPr>
        <w:t>保险合同；</w:t>
      </w:r>
    </w:p>
    <w:p>
      <w:pPr>
        <w:pStyle w:val="BodyText"/>
        <w:spacing w:before="10"/>
        <w:rPr>
          <w:sz w:val="14"/>
        </w:rPr>
      </w:pPr>
    </w:p>
    <w:p>
      <w:pPr>
        <w:pStyle w:val="ListParagraph"/>
        <w:numPr>
          <w:ilvl w:val="0"/>
          <w:numId w:val="4"/>
        </w:numPr>
        <w:tabs>
          <w:tab w:pos="961" w:val="left" w:leader="none"/>
        </w:tabs>
        <w:spacing w:line="240" w:lineRule="auto" w:before="0" w:after="0"/>
        <w:ind w:left="120" w:right="0" w:firstLine="283"/>
        <w:jc w:val="left"/>
        <w:rPr>
          <w:sz w:val="21"/>
        </w:rPr>
      </w:pPr>
      <w:r>
        <w:rPr>
          <w:spacing w:val="-1"/>
          <w:sz w:val="21"/>
        </w:rPr>
        <w:t>退保申请；</w:t>
      </w:r>
    </w:p>
    <w:p>
      <w:pPr>
        <w:pStyle w:val="BodyText"/>
        <w:spacing w:before="9"/>
        <w:rPr>
          <w:sz w:val="14"/>
        </w:rPr>
      </w:pPr>
    </w:p>
    <w:p>
      <w:pPr>
        <w:pStyle w:val="ListParagraph"/>
        <w:numPr>
          <w:ilvl w:val="0"/>
          <w:numId w:val="4"/>
        </w:numPr>
        <w:tabs>
          <w:tab w:pos="961" w:val="left" w:leader="none"/>
        </w:tabs>
        <w:spacing w:line="240" w:lineRule="auto" w:before="1" w:after="0"/>
        <w:ind w:left="120" w:right="0" w:firstLine="283"/>
        <w:jc w:val="left"/>
        <w:rPr>
          <w:sz w:val="21"/>
        </w:rPr>
      </w:pPr>
      <w:r>
        <w:rPr>
          <w:spacing w:val="-3"/>
          <w:sz w:val="21"/>
        </w:rPr>
        <w:t>您的有效身份证件；</w:t>
      </w:r>
    </w:p>
    <w:p>
      <w:pPr>
        <w:pStyle w:val="BodyText"/>
        <w:spacing w:before="10"/>
        <w:rPr>
          <w:sz w:val="14"/>
        </w:rPr>
      </w:pPr>
    </w:p>
    <w:p>
      <w:pPr>
        <w:pStyle w:val="ListParagraph"/>
        <w:numPr>
          <w:ilvl w:val="0"/>
          <w:numId w:val="4"/>
        </w:numPr>
        <w:tabs>
          <w:tab w:pos="961" w:val="left" w:leader="none"/>
        </w:tabs>
        <w:spacing w:line="408" w:lineRule="auto" w:before="0" w:after="0"/>
        <w:ind w:left="120" w:right="211" w:firstLine="283"/>
        <w:jc w:val="left"/>
        <w:rPr>
          <w:sz w:val="21"/>
        </w:rPr>
      </w:pPr>
      <w:r>
        <w:rPr>
          <w:spacing w:val="-10"/>
          <w:sz w:val="21"/>
        </w:rPr>
        <w:t>若您委托他人代为办理，还应提供授权委托书、受托人有效身份证件等相关证明文件。</w:t>
      </w:r>
    </w:p>
    <w:p>
      <w:pPr>
        <w:spacing w:line="355" w:lineRule="auto" w:before="46"/>
        <w:ind w:left="542" w:right="326" w:hanging="3"/>
        <w:jc w:val="left"/>
        <w:rPr>
          <w:rFonts w:ascii="微软雅黑" w:eastAsia="微软雅黑" w:hint="eastAsia"/>
          <w:b/>
          <w:sz w:val="21"/>
        </w:rPr>
      </w:pPr>
      <w:r>
        <w:rPr>
          <w:sz w:val="21"/>
        </w:rPr>
        <w:t>我们在收到上述证明和资料后将向您退还本附加合同解除时的本附加合同现金价值。</w:t>
      </w:r>
      <w:r>
        <w:rPr>
          <w:rFonts w:ascii="微软雅黑" w:eastAsia="微软雅黑" w:hint="eastAsia"/>
          <w:b/>
          <w:sz w:val="21"/>
        </w:rPr>
        <w:t>您在犹豫期后解除合同会遭受一定损失。</w:t>
      </w:r>
    </w:p>
    <w:p>
      <w:pPr>
        <w:pStyle w:val="BodyText"/>
        <w:spacing w:before="7"/>
        <w:rPr>
          <w:rFonts w:ascii="微软雅黑"/>
          <w:b/>
          <w:sz w:val="25"/>
        </w:rPr>
      </w:pPr>
    </w:p>
    <w:p>
      <w:pPr>
        <w:pStyle w:val="Heading4"/>
        <w:numPr>
          <w:ilvl w:val="0"/>
          <w:numId w:val="2"/>
        </w:numPr>
        <w:tabs>
          <w:tab w:pos="481" w:val="left" w:leader="none"/>
        </w:tabs>
        <w:spacing w:line="240" w:lineRule="auto" w:before="1" w:after="0"/>
        <w:ind w:left="480" w:right="0" w:hanging="360"/>
        <w:jc w:val="left"/>
      </w:pPr>
      <w:bookmarkStart w:name="_bookmark15" w:id="27"/>
      <w:bookmarkEnd w:id="27"/>
      <w:r>
        <w:rPr>
          <w:b w:val="0"/>
        </w:rPr>
      </w:r>
      <w:bookmarkStart w:name="_bookmark15" w:id="28"/>
      <w:bookmarkEnd w:id="28"/>
      <w:r>
        <w:rPr/>
        <w:t>本附加合同的终止</w:t>
      </w:r>
    </w:p>
    <w:p>
      <w:pPr>
        <w:pStyle w:val="BodyText"/>
        <w:spacing w:before="168"/>
        <w:ind w:left="540"/>
      </w:pPr>
      <w:r>
        <w:rPr/>
        <w:t>发生下列情况之一时，本附加合同终止：</w:t>
      </w:r>
    </w:p>
    <w:p>
      <w:pPr>
        <w:pStyle w:val="BodyText"/>
        <w:spacing w:before="10"/>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在本合同有效期内，被保险人身故或重大疾病；</w:t>
      </w:r>
    </w:p>
    <w:p>
      <w:pPr>
        <w:pStyle w:val="BodyText"/>
        <w:spacing w:before="9"/>
        <w:rPr>
          <w:sz w:val="14"/>
        </w:rPr>
      </w:pPr>
    </w:p>
    <w:p>
      <w:pPr>
        <w:pStyle w:val="ListParagraph"/>
        <w:numPr>
          <w:ilvl w:val="0"/>
          <w:numId w:val="5"/>
        </w:numPr>
        <w:tabs>
          <w:tab w:pos="961" w:val="left" w:leader="none"/>
        </w:tabs>
        <w:spacing w:line="240" w:lineRule="auto" w:before="1" w:after="0"/>
        <w:ind w:left="960" w:right="0" w:hanging="557"/>
        <w:jc w:val="left"/>
        <w:rPr>
          <w:sz w:val="21"/>
        </w:rPr>
      </w:pPr>
      <w:r>
        <w:rPr>
          <w:spacing w:val="-3"/>
          <w:sz w:val="21"/>
        </w:rPr>
        <w:t>主合同满期、解除或主合同约定的其他终止情形；</w:t>
      </w:r>
    </w:p>
    <w:p>
      <w:pPr>
        <w:pStyle w:val="BodyText"/>
        <w:spacing w:before="10"/>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本附加合同期满或本附加合同约定的其他终止情形。</w:t>
      </w:r>
    </w:p>
    <w:p>
      <w:pPr>
        <w:pStyle w:val="BodyText"/>
        <w:rPr>
          <w:sz w:val="20"/>
        </w:rPr>
      </w:pPr>
    </w:p>
    <w:p>
      <w:pPr>
        <w:pStyle w:val="BodyText"/>
        <w:spacing w:before="11"/>
        <w:rPr>
          <w:sz w:val="13"/>
        </w:rPr>
      </w:pPr>
    </w:p>
    <w:p>
      <w:pPr>
        <w:pStyle w:val="Heading4"/>
        <w:numPr>
          <w:ilvl w:val="0"/>
          <w:numId w:val="2"/>
        </w:numPr>
        <w:tabs>
          <w:tab w:pos="481" w:val="left" w:leader="none"/>
        </w:tabs>
        <w:spacing w:line="240" w:lineRule="auto" w:before="0" w:after="0"/>
        <w:ind w:left="480" w:right="0" w:hanging="360"/>
        <w:jc w:val="left"/>
      </w:pPr>
      <w:bookmarkStart w:name="_bookmark16" w:id="29"/>
      <w:bookmarkEnd w:id="29"/>
      <w:r>
        <w:rPr>
          <w:b w:val="0"/>
        </w:rPr>
      </w:r>
      <w:bookmarkStart w:name="_bookmark16" w:id="30"/>
      <w:bookmarkEnd w:id="30"/>
      <w:r>
        <w:rPr/>
        <w:t>诉讼时效</w:t>
      </w:r>
    </w:p>
    <w:p>
      <w:pPr>
        <w:pStyle w:val="BodyText"/>
        <w:spacing w:line="408" w:lineRule="auto" w:before="167"/>
        <w:ind w:left="120" w:right="211" w:firstLine="419"/>
      </w:pPr>
      <w:r>
        <w:rPr>
          <w:spacing w:val="-5"/>
        </w:rPr>
        <w:t>您或被豁免合同的被保险人向我们请求豁免保险费的诉讼时效期间为 </w:t>
      </w:r>
      <w:r>
        <w:rPr/>
        <w:t>2</w:t>
      </w:r>
      <w:r>
        <w:rPr>
          <w:spacing w:val="-20"/>
        </w:rPr>
        <w:t> 年，自其知道或</w:t>
      </w:r>
      <w:r>
        <w:rPr>
          <w:spacing w:val="-8"/>
        </w:rPr>
        <w:t>应当知道保险事故发生之日起计算。</w:t>
      </w:r>
    </w:p>
    <w:p>
      <w:pPr>
        <w:spacing w:after="0" w:line="408" w:lineRule="auto"/>
        <w:sectPr>
          <w:pgSz w:w="11910" w:h="16840"/>
          <w:pgMar w:header="0" w:footer="1005" w:top="1460" w:bottom="1200" w:left="1680" w:right="1580"/>
        </w:sectPr>
      </w:pPr>
    </w:p>
    <w:p>
      <w:pPr>
        <w:pStyle w:val="Heading4"/>
        <w:numPr>
          <w:ilvl w:val="0"/>
          <w:numId w:val="2"/>
        </w:numPr>
        <w:tabs>
          <w:tab w:pos="478" w:val="left" w:leader="none"/>
        </w:tabs>
        <w:spacing w:line="326" w:lineRule="exact" w:before="0" w:after="0"/>
        <w:ind w:left="478" w:right="0" w:hanging="358"/>
        <w:jc w:val="left"/>
      </w:pPr>
      <w:bookmarkStart w:name="_bookmark17" w:id="31"/>
      <w:bookmarkEnd w:id="31"/>
      <w:r>
        <w:rPr>
          <w:b w:val="0"/>
        </w:rPr>
      </w:r>
      <w:bookmarkStart w:name="_bookmark17" w:id="32"/>
      <w:bookmarkEnd w:id="32"/>
      <w:r>
        <w:rPr/>
        <w:t>司法鉴定</w:t>
      </w:r>
    </w:p>
    <w:p>
      <w:pPr>
        <w:pStyle w:val="BodyText"/>
        <w:spacing w:line="408" w:lineRule="auto" w:before="168"/>
        <w:ind w:left="120" w:right="111" w:firstLine="419"/>
      </w:pPr>
      <w:r>
        <w:rPr>
          <w:spacing w:val="-10"/>
        </w:rPr>
        <w:t>若被保险人发生身故，在必要时我们可要求司法鉴定机构对被保险人进行鉴定，以确定</w:t>
      </w:r>
      <w:r>
        <w:rPr>
          <w:spacing w:val="-5"/>
        </w:rPr>
        <w:t>被保险人发生身故的原因。</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0" w:after="0"/>
        <w:ind w:left="480" w:right="0" w:hanging="360"/>
        <w:jc w:val="left"/>
      </w:pPr>
      <w:bookmarkStart w:name="_bookmark18" w:id="33"/>
      <w:bookmarkEnd w:id="33"/>
      <w:r>
        <w:rPr>
          <w:b w:val="0"/>
        </w:rPr>
      </w:r>
      <w:bookmarkStart w:name="_bookmark18" w:id="34"/>
      <w:bookmarkEnd w:id="34"/>
      <w:r>
        <w:rPr/>
        <w:t>适用主合同条款</w:t>
      </w:r>
    </w:p>
    <w:p>
      <w:pPr>
        <w:pStyle w:val="BodyText"/>
        <w:spacing w:before="167"/>
        <w:ind w:left="540"/>
      </w:pPr>
      <w:r>
        <w:rPr/>
        <w:t>主合同订立的下列各项条款适用于本附加合同：</w:t>
      </w:r>
    </w:p>
    <w:p>
      <w:pPr>
        <w:pStyle w:val="BodyText"/>
        <w:spacing w:before="9"/>
        <w:rPr>
          <w:sz w:val="14"/>
        </w:rPr>
      </w:pPr>
    </w:p>
    <w:p>
      <w:pPr>
        <w:pStyle w:val="ListParagraph"/>
        <w:numPr>
          <w:ilvl w:val="0"/>
          <w:numId w:val="6"/>
        </w:numPr>
        <w:tabs>
          <w:tab w:pos="1124" w:val="left" w:leader="none"/>
        </w:tabs>
        <w:spacing w:line="240" w:lineRule="auto" w:before="1" w:after="0"/>
        <w:ind w:left="1123" w:right="0" w:hanging="720"/>
        <w:jc w:val="left"/>
        <w:rPr>
          <w:sz w:val="21"/>
        </w:rPr>
      </w:pPr>
      <w:r>
        <w:rPr>
          <w:spacing w:val="-2"/>
          <w:sz w:val="21"/>
        </w:rPr>
        <w:t>犹豫期</w:t>
      </w:r>
      <w:r>
        <w:rPr>
          <w:sz w:val="21"/>
        </w:rPr>
        <w:t>（</w:t>
      </w:r>
      <w:r>
        <w:rPr>
          <w:spacing w:val="-3"/>
          <w:sz w:val="21"/>
        </w:rPr>
        <w:t>撤销本合同</w:t>
      </w:r>
      <w:r>
        <w:rPr>
          <w:sz w:val="21"/>
        </w:rPr>
        <w:t>）</w:t>
      </w:r>
    </w:p>
    <w:p>
      <w:pPr>
        <w:pStyle w:val="BodyText"/>
        <w:spacing w:before="10"/>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z w:val="21"/>
        </w:rPr>
        <w:t>宽限期</w:t>
      </w:r>
    </w:p>
    <w:p>
      <w:pPr>
        <w:pStyle w:val="BodyText"/>
        <w:spacing w:before="9"/>
        <w:rPr>
          <w:sz w:val="14"/>
        </w:rPr>
      </w:pPr>
    </w:p>
    <w:p>
      <w:pPr>
        <w:pStyle w:val="ListParagraph"/>
        <w:numPr>
          <w:ilvl w:val="0"/>
          <w:numId w:val="6"/>
        </w:numPr>
        <w:tabs>
          <w:tab w:pos="1124" w:val="left" w:leader="none"/>
        </w:tabs>
        <w:spacing w:line="240" w:lineRule="auto" w:before="1" w:after="0"/>
        <w:ind w:left="1123" w:right="0" w:hanging="720"/>
        <w:jc w:val="left"/>
        <w:rPr>
          <w:sz w:val="21"/>
        </w:rPr>
      </w:pPr>
      <w:r>
        <w:rPr>
          <w:spacing w:val="-2"/>
          <w:sz w:val="21"/>
        </w:rPr>
        <w:t>保险事故的通知</w:t>
      </w:r>
    </w:p>
    <w:p>
      <w:pPr>
        <w:pStyle w:val="BodyText"/>
        <w:spacing w:before="10"/>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3"/>
          <w:sz w:val="21"/>
        </w:rPr>
        <w:t>明确说明与如实告知</w:t>
      </w:r>
    </w:p>
    <w:p>
      <w:pPr>
        <w:pStyle w:val="BodyText"/>
        <w:spacing w:before="9"/>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3"/>
          <w:sz w:val="21"/>
        </w:rPr>
        <w:t>年龄性别错误处理</w:t>
      </w:r>
    </w:p>
    <w:p>
      <w:pPr>
        <w:pStyle w:val="BodyText"/>
        <w:spacing w:before="9"/>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3"/>
          <w:sz w:val="21"/>
        </w:rPr>
        <w:t>我们行使合同解除权的限制</w:t>
      </w:r>
    </w:p>
    <w:p>
      <w:pPr>
        <w:pStyle w:val="BodyText"/>
        <w:spacing w:before="9"/>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2"/>
          <w:sz w:val="21"/>
        </w:rPr>
        <w:t>联系方式变更</w:t>
      </w:r>
    </w:p>
    <w:p>
      <w:pPr>
        <w:pStyle w:val="BodyText"/>
        <w:spacing w:before="9"/>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2"/>
          <w:sz w:val="21"/>
        </w:rPr>
        <w:t>本合同内容变更</w:t>
      </w:r>
    </w:p>
    <w:p>
      <w:pPr>
        <w:pStyle w:val="BodyText"/>
        <w:spacing w:before="9"/>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3"/>
          <w:sz w:val="21"/>
        </w:rPr>
        <w:t>本合同效力的中止及恢复</w:t>
      </w:r>
    </w:p>
    <w:p>
      <w:pPr>
        <w:pStyle w:val="BodyText"/>
        <w:spacing w:before="9"/>
        <w:rPr>
          <w:sz w:val="14"/>
        </w:rPr>
      </w:pPr>
    </w:p>
    <w:p>
      <w:pPr>
        <w:pStyle w:val="ListParagraph"/>
        <w:numPr>
          <w:ilvl w:val="0"/>
          <w:numId w:val="6"/>
        </w:numPr>
        <w:tabs>
          <w:tab w:pos="1124" w:val="left" w:leader="none"/>
        </w:tabs>
        <w:spacing w:line="240" w:lineRule="auto" w:before="0" w:after="0"/>
        <w:ind w:left="1123" w:right="0" w:hanging="720"/>
        <w:jc w:val="left"/>
        <w:rPr>
          <w:sz w:val="21"/>
        </w:rPr>
      </w:pPr>
      <w:r>
        <w:rPr>
          <w:spacing w:val="-1"/>
          <w:sz w:val="21"/>
        </w:rPr>
        <w:t>争议的处理</w:t>
      </w:r>
    </w:p>
    <w:p>
      <w:pPr>
        <w:pStyle w:val="BodyText"/>
        <w:rPr>
          <w:sz w:val="20"/>
        </w:rPr>
      </w:pPr>
    </w:p>
    <w:p>
      <w:pPr>
        <w:pStyle w:val="BodyText"/>
        <w:spacing w:before="9"/>
        <w:rPr>
          <w:sz w:val="25"/>
        </w:rPr>
      </w:pPr>
    </w:p>
    <w:p>
      <w:pPr>
        <w:pStyle w:val="Heading4"/>
        <w:ind w:left="120" w:firstLine="0"/>
      </w:pPr>
      <w:bookmarkStart w:name="_bookmark19" w:id="35"/>
      <w:bookmarkEnd w:id="35"/>
      <w:r>
        <w:rPr>
          <w:b w:val="0"/>
        </w:rPr>
      </w:r>
      <w:r>
        <w:rPr/>
        <w:t>释义</w:t>
      </w:r>
    </w:p>
    <w:p>
      <w:pPr>
        <w:pStyle w:val="ListParagraph"/>
        <w:numPr>
          <w:ilvl w:val="0"/>
          <w:numId w:val="7"/>
        </w:numPr>
        <w:tabs>
          <w:tab w:pos="540" w:val="left" w:leader="none"/>
          <w:tab w:pos="541" w:val="left" w:leader="none"/>
        </w:tabs>
        <w:spacing w:line="350" w:lineRule="auto" w:before="104" w:after="0"/>
        <w:ind w:left="540" w:right="116"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指外来的、突然的、非本意的、非疾病的使被保险人身体受到伤害的客观事件。</w:t>
      </w:r>
    </w:p>
    <w:p>
      <w:pPr>
        <w:pStyle w:val="ListParagraph"/>
        <w:numPr>
          <w:ilvl w:val="0"/>
          <w:numId w:val="7"/>
        </w:numPr>
        <w:tabs>
          <w:tab w:pos="540" w:val="left" w:leader="none"/>
          <w:tab w:pos="541" w:val="left" w:leader="none"/>
        </w:tabs>
        <w:spacing w:line="350" w:lineRule="auto" w:before="33" w:after="0"/>
        <w:ind w:left="540" w:right="116" w:hanging="420"/>
        <w:jc w:val="left"/>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指卫生行政部门认定的二级及以上非盈利性医院、二级及以上社保定点医院或我们认可的其他医院。</w:t>
      </w:r>
    </w:p>
    <w:p>
      <w:pPr>
        <w:pStyle w:val="ListParagraph"/>
        <w:numPr>
          <w:ilvl w:val="0"/>
          <w:numId w:val="7"/>
        </w:numPr>
        <w:tabs>
          <w:tab w:pos="540" w:val="left" w:leader="none"/>
          <w:tab w:pos="541" w:val="left" w:leader="none"/>
        </w:tabs>
        <w:spacing w:line="240" w:lineRule="auto" w:before="33"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7"/>
        </w:numPr>
        <w:tabs>
          <w:tab w:pos="826" w:val="left" w:leader="none"/>
        </w:tabs>
        <w:spacing w:line="240" w:lineRule="auto" w:before="167" w:after="0"/>
        <w:ind w:left="826" w:right="0" w:hanging="288"/>
        <w:jc w:val="left"/>
        <w:rPr>
          <w:sz w:val="21"/>
        </w:rPr>
      </w:pPr>
      <w:r>
        <w:rPr>
          <w:spacing w:val="-3"/>
          <w:sz w:val="21"/>
        </w:rPr>
        <w:t>具有有效的中华人民共和国《医师资格证书》；</w:t>
      </w:r>
    </w:p>
    <w:p>
      <w:pPr>
        <w:pStyle w:val="BodyText"/>
        <w:spacing w:before="9"/>
        <w:rPr>
          <w:sz w:val="14"/>
        </w:rPr>
      </w:pPr>
    </w:p>
    <w:p>
      <w:pPr>
        <w:pStyle w:val="ListParagraph"/>
        <w:numPr>
          <w:ilvl w:val="1"/>
          <w:numId w:val="7"/>
        </w:numPr>
        <w:tabs>
          <w:tab w:pos="826" w:val="left" w:leader="none"/>
        </w:tabs>
        <w:spacing w:line="240" w:lineRule="auto" w:before="1" w:after="0"/>
        <w:ind w:left="826" w:right="0" w:hanging="288"/>
        <w:jc w:val="left"/>
        <w:rPr>
          <w:sz w:val="21"/>
        </w:rPr>
      </w:pPr>
      <w:r>
        <w:rPr>
          <w:spacing w:val="-3"/>
          <w:sz w:val="21"/>
        </w:rPr>
        <w:t>具有有效的中华人民共和国《医师执业证书》，并按期到相关部门登记注册；</w:t>
      </w:r>
    </w:p>
    <w:p>
      <w:pPr>
        <w:pStyle w:val="BodyText"/>
        <w:spacing w:before="10"/>
        <w:rPr>
          <w:sz w:val="14"/>
        </w:rPr>
      </w:pPr>
    </w:p>
    <w:p>
      <w:pPr>
        <w:pStyle w:val="ListParagraph"/>
        <w:numPr>
          <w:ilvl w:val="1"/>
          <w:numId w:val="7"/>
        </w:numPr>
        <w:tabs>
          <w:tab w:pos="826" w:val="left" w:leader="none"/>
        </w:tabs>
        <w:spacing w:line="240" w:lineRule="auto" w:before="0" w:after="0"/>
        <w:ind w:left="826" w:right="0" w:hanging="288"/>
        <w:jc w:val="left"/>
        <w:rPr>
          <w:sz w:val="21"/>
        </w:rPr>
      </w:pPr>
      <w:r>
        <w:rPr>
          <w:spacing w:val="-3"/>
          <w:sz w:val="21"/>
        </w:rPr>
        <w:t>具有有效的中华人民共和国主治医师或主治医师以上职称的《医师职称证书》；</w:t>
      </w:r>
    </w:p>
    <w:p>
      <w:pPr>
        <w:pStyle w:val="BodyText"/>
        <w:spacing w:before="9"/>
        <w:rPr>
          <w:sz w:val="14"/>
        </w:rPr>
      </w:pPr>
    </w:p>
    <w:p>
      <w:pPr>
        <w:pStyle w:val="ListParagraph"/>
        <w:numPr>
          <w:ilvl w:val="1"/>
          <w:numId w:val="7"/>
        </w:numPr>
        <w:tabs>
          <w:tab w:pos="826" w:val="left" w:leader="none"/>
        </w:tabs>
        <w:spacing w:line="240" w:lineRule="auto" w:before="0" w:after="0"/>
        <w:ind w:left="826" w:right="0" w:hanging="288"/>
        <w:jc w:val="left"/>
        <w:rPr>
          <w:sz w:val="21"/>
        </w:rPr>
      </w:pPr>
      <w:r>
        <w:rPr>
          <w:spacing w:val="-3"/>
          <w:sz w:val="21"/>
        </w:rPr>
        <w:t>在二级或二级以上医院的相应科室从事临床工作三年以上。</w:t>
      </w:r>
    </w:p>
    <w:p>
      <w:pPr>
        <w:pStyle w:val="Heading4"/>
        <w:numPr>
          <w:ilvl w:val="0"/>
          <w:numId w:val="7"/>
        </w:numPr>
        <w:tabs>
          <w:tab w:pos="540" w:val="left" w:leader="none"/>
          <w:tab w:pos="541" w:val="left" w:leader="none"/>
        </w:tabs>
        <w:spacing w:line="240" w:lineRule="auto" w:before="130" w:after="0"/>
        <w:ind w:left="540" w:right="0" w:hanging="420"/>
        <w:jc w:val="left"/>
      </w:pPr>
      <w:r>
        <w:rPr>
          <w:spacing w:val="-3"/>
        </w:rPr>
        <w:t>本附加合同所称重大疾病，仅指下列疾病之一：</w:t>
      </w:r>
    </w:p>
    <w:p>
      <w:pPr>
        <w:pStyle w:val="ListParagraph"/>
        <w:numPr>
          <w:ilvl w:val="0"/>
          <w:numId w:val="8"/>
        </w:numPr>
        <w:tabs>
          <w:tab w:pos="548" w:val="left" w:leader="none"/>
        </w:tabs>
        <w:spacing w:line="240" w:lineRule="auto" w:before="105" w:after="0"/>
        <w:ind w:left="547" w:right="0" w:hanging="427"/>
        <w:jc w:val="left"/>
        <w:rPr>
          <w:rFonts w:ascii="微软雅黑" w:eastAsia="微软雅黑" w:hint="eastAsia"/>
          <w:b/>
          <w:sz w:val="21"/>
        </w:rPr>
      </w:pPr>
      <w:r>
        <w:rPr>
          <w:rFonts w:ascii="微软雅黑" w:eastAsia="微软雅黑" w:hint="eastAsia"/>
          <w:b/>
          <w:sz w:val="21"/>
        </w:rPr>
        <w:t>恶性肿瘤</w:t>
      </w:r>
    </w:p>
    <w:p>
      <w:pPr>
        <w:pStyle w:val="BodyText"/>
        <w:spacing w:before="168"/>
        <w:ind w:left="993"/>
      </w:pPr>
      <w:r>
        <w:rPr/>
        <w:t>指恶性细胞不受控制的进行性增长和扩散，浸润和破坏周围正常组织，可以经血</w:t>
      </w:r>
    </w:p>
    <w:p>
      <w:pPr>
        <w:spacing w:after="0"/>
        <w:sectPr>
          <w:pgSz w:w="11910" w:h="16840"/>
          <w:pgMar w:header="0" w:footer="1005" w:top="1460" w:bottom="1200" w:left="1680" w:right="1680"/>
        </w:sectPr>
      </w:pPr>
    </w:p>
    <w:p>
      <w:pPr>
        <w:pStyle w:val="BodyText"/>
        <w:spacing w:before="26"/>
        <w:ind w:left="545"/>
      </w:pPr>
      <w:r>
        <w:rPr/>
        <w:t>管、淋巴管和体腔扩散转移到身体其它部位的疾病。</w:t>
      </w:r>
    </w:p>
    <w:p>
      <w:pPr>
        <w:pStyle w:val="BodyText"/>
        <w:spacing w:before="10"/>
        <w:rPr>
          <w:sz w:val="14"/>
        </w:rPr>
      </w:pPr>
    </w:p>
    <w:p>
      <w:pPr>
        <w:pStyle w:val="BodyText"/>
        <w:spacing w:line="408" w:lineRule="auto"/>
        <w:ind w:left="545" w:right="293" w:firstLine="448"/>
      </w:pPr>
      <w:r>
        <w:rPr/>
        <w:t>经病理学检查结果明确诊断，临床诊断属于世界卫生组织《疾病和有关健康问题的国际统计分类》（ICD-10）的恶性肿瘤范畴。</w:t>
      </w:r>
    </w:p>
    <w:p>
      <w:pPr>
        <w:pStyle w:val="BodyText"/>
        <w:spacing w:before="45"/>
        <w:ind w:left="993"/>
      </w:pPr>
      <w:r>
        <w:rPr/>
        <w:t>下列疾病不在保障范围内：</w:t>
      </w:r>
    </w:p>
    <w:p>
      <w:pPr>
        <w:pStyle w:val="BodyText"/>
        <w:spacing w:before="9"/>
        <w:rPr>
          <w:sz w:val="14"/>
        </w:rPr>
      </w:pPr>
    </w:p>
    <w:p>
      <w:pPr>
        <w:pStyle w:val="BodyText"/>
        <w:ind w:left="993"/>
      </w:pPr>
      <w:r>
        <w:rPr/>
        <w:t>1）原位癌；</w:t>
      </w:r>
    </w:p>
    <w:p>
      <w:pPr>
        <w:pStyle w:val="BodyText"/>
        <w:spacing w:before="9"/>
        <w:rPr>
          <w:sz w:val="14"/>
        </w:rPr>
      </w:pPr>
    </w:p>
    <w:p>
      <w:pPr>
        <w:pStyle w:val="BodyText"/>
        <w:ind w:left="993"/>
      </w:pPr>
      <w:r>
        <w:rPr/>
        <w:t>2）相当于Binet 分期方案A 期程度的慢性淋巴细胞白血病；</w:t>
      </w:r>
    </w:p>
    <w:p>
      <w:pPr>
        <w:pStyle w:val="BodyText"/>
        <w:spacing w:before="9"/>
        <w:rPr>
          <w:sz w:val="14"/>
        </w:rPr>
      </w:pPr>
    </w:p>
    <w:p>
      <w:pPr>
        <w:pStyle w:val="BodyText"/>
        <w:ind w:left="993"/>
      </w:pPr>
      <w:r>
        <w:rPr/>
        <w:t>3）相当于Ann Arbor 分期方案I 期程度的何杰金氏病；</w:t>
      </w:r>
    </w:p>
    <w:p>
      <w:pPr>
        <w:pStyle w:val="BodyText"/>
        <w:spacing w:before="9"/>
        <w:rPr>
          <w:sz w:val="14"/>
        </w:rPr>
      </w:pPr>
    </w:p>
    <w:p>
      <w:pPr>
        <w:pStyle w:val="BodyText"/>
        <w:ind w:left="993"/>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9"/>
        <w:rPr>
          <w:sz w:val="14"/>
        </w:rPr>
      </w:pPr>
    </w:p>
    <w:p>
      <w:pPr>
        <w:pStyle w:val="BodyText"/>
        <w:ind w:left="993"/>
      </w:pPr>
      <w:r>
        <w:rPr/>
        <w:t>5）TNM分期为T1N0M0期或更轻分期的前列腺癌；</w:t>
      </w:r>
    </w:p>
    <w:p>
      <w:pPr>
        <w:pStyle w:val="BodyText"/>
        <w:spacing w:before="10"/>
        <w:rPr>
          <w:sz w:val="14"/>
        </w:rPr>
      </w:pPr>
    </w:p>
    <w:p>
      <w:pPr>
        <w:pStyle w:val="BodyText"/>
        <w:ind w:left="993"/>
      </w:pPr>
      <w:r>
        <w:rPr/>
        <w:t>6）感染艾滋病病毒或患艾滋病期间所患恶性肿瘤。</w:t>
      </w:r>
    </w:p>
    <w:p>
      <w:pPr>
        <w:pStyle w:val="Heading4"/>
        <w:numPr>
          <w:ilvl w:val="0"/>
          <w:numId w:val="8"/>
        </w:numPr>
        <w:tabs>
          <w:tab w:pos="548" w:val="left" w:leader="none"/>
        </w:tabs>
        <w:spacing w:line="240" w:lineRule="auto" w:before="130" w:after="0"/>
        <w:ind w:left="547" w:right="0" w:hanging="427"/>
        <w:jc w:val="left"/>
      </w:pPr>
      <w:r>
        <w:rPr/>
        <w:t>急性心肌梗塞</w:t>
      </w:r>
    </w:p>
    <w:p>
      <w:pPr>
        <w:pStyle w:val="BodyText"/>
        <w:spacing w:line="408" w:lineRule="auto" w:before="167"/>
        <w:ind w:left="993" w:right="1764"/>
      </w:pPr>
      <w:r>
        <w:rPr/>
        <w:t>指因冠状动脉阻塞导致的相应区域供血不足造成部分心肌坏死。须满足下列至少三项条件：</w:t>
      </w:r>
    </w:p>
    <w:p>
      <w:pPr>
        <w:pStyle w:val="ListParagraph"/>
        <w:numPr>
          <w:ilvl w:val="1"/>
          <w:numId w:val="8"/>
        </w:numPr>
        <w:tabs>
          <w:tab w:pos="1254" w:val="left" w:leader="none"/>
        </w:tabs>
        <w:spacing w:line="240" w:lineRule="auto" w:before="46" w:after="0"/>
        <w:ind w:left="1253" w:right="0" w:hanging="259"/>
        <w:jc w:val="left"/>
        <w:rPr>
          <w:sz w:val="21"/>
        </w:rPr>
      </w:pPr>
      <w:r>
        <w:rPr>
          <w:spacing w:val="-3"/>
          <w:sz w:val="21"/>
        </w:rPr>
        <w:t>典型临床表现，例如急性胸痛等；</w:t>
      </w:r>
    </w:p>
    <w:p>
      <w:pPr>
        <w:pStyle w:val="BodyText"/>
        <w:spacing w:before="10"/>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3"/>
          <w:sz w:val="21"/>
        </w:rPr>
        <w:t>新近的心电图改变提示急性心肌梗塞；</w:t>
      </w:r>
    </w:p>
    <w:p>
      <w:pPr>
        <w:pStyle w:val="BodyText"/>
        <w:spacing w:before="9"/>
        <w:rPr>
          <w:sz w:val="14"/>
        </w:rPr>
      </w:pPr>
    </w:p>
    <w:p>
      <w:pPr>
        <w:pStyle w:val="ListParagraph"/>
        <w:numPr>
          <w:ilvl w:val="1"/>
          <w:numId w:val="8"/>
        </w:numPr>
        <w:tabs>
          <w:tab w:pos="1254" w:val="left" w:leader="none"/>
        </w:tabs>
        <w:spacing w:line="240" w:lineRule="auto" w:before="1" w:after="0"/>
        <w:ind w:left="1253" w:right="0" w:hanging="259"/>
        <w:jc w:val="left"/>
        <w:rPr>
          <w:sz w:val="21"/>
        </w:rPr>
      </w:pPr>
      <w:r>
        <w:rPr>
          <w:spacing w:val="-3"/>
          <w:sz w:val="21"/>
        </w:rPr>
        <w:t>心肌酶或肌钙蛋白有诊断意义的升高，或呈符合急性心肌梗塞的动态性变化；</w:t>
      </w:r>
    </w:p>
    <w:p>
      <w:pPr>
        <w:pStyle w:val="BodyText"/>
        <w:spacing w:before="10"/>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drawing>
          <wp:anchor distT="0" distB="0" distL="0" distR="0" allowOverlap="1" layoutInCell="1" locked="0" behindDoc="1" simplePos="0" relativeHeight="268419047">
            <wp:simplePos x="0" y="0"/>
            <wp:positionH relativeFrom="page">
              <wp:posOffset>5935471</wp:posOffset>
            </wp:positionH>
            <wp:positionV relativeFrom="paragraph">
              <wp:posOffset>54148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104775"/>
                    </a:xfrm>
                    <a:prstGeom prst="rect">
                      <a:avLst/>
                    </a:prstGeom>
                  </pic:spPr>
                </pic:pic>
              </a:graphicData>
            </a:graphic>
          </wp:anchor>
        </w:drawing>
      </w:r>
      <w:r>
        <w:rPr>
          <w:sz w:val="21"/>
        </w:rPr>
        <w:t>发病90</w:t>
      </w:r>
      <w:r>
        <w:rPr>
          <w:spacing w:val="-3"/>
          <w:sz w:val="21"/>
        </w:rPr>
        <w:t> 天后，经检查证实左心室功能降低，如左心室射血分数低于</w:t>
      </w:r>
      <w:r>
        <w:rPr>
          <w:sz w:val="21"/>
        </w:rPr>
        <w:t>50。</w:t>
      </w:r>
    </w:p>
    <w:p>
      <w:pPr>
        <w:pStyle w:val="Heading4"/>
        <w:numPr>
          <w:ilvl w:val="0"/>
          <w:numId w:val="8"/>
        </w:numPr>
        <w:tabs>
          <w:tab w:pos="548" w:val="left" w:leader="none"/>
        </w:tabs>
        <w:spacing w:line="240" w:lineRule="auto" w:before="131" w:after="0"/>
        <w:ind w:left="547" w:right="0" w:hanging="427"/>
        <w:jc w:val="left"/>
      </w:pPr>
      <w:r>
        <w:rPr/>
        <w:t>脑中风后遗症</w:t>
      </w:r>
    </w:p>
    <w:p>
      <w:pPr>
        <w:pStyle w:val="BodyText"/>
        <w:spacing w:line="408" w:lineRule="auto" w:before="167"/>
        <w:ind w:left="545" w:right="211" w:firstLine="448"/>
      </w:pPr>
      <w:r>
        <w:rPr>
          <w:spacing w:val="-3"/>
        </w:rPr>
        <w:t>指因脑血管的突发病变引起脑血管出血、栓塞或梗塞，并导致神经系统永久性的</w:t>
      </w:r>
      <w:r>
        <w:rPr>
          <w:spacing w:val="-10"/>
        </w:rPr>
        <w:t>功能障碍。神经系统永久性的功能障碍，指疾病确诊</w:t>
      </w:r>
      <w:r>
        <w:rPr/>
        <w:t>180</w:t>
      </w:r>
      <w:r>
        <w:rPr>
          <w:spacing w:val="-3"/>
        </w:rPr>
        <w:t> 天后，仍遗留下列一种或一种以上障碍：</w:t>
      </w:r>
    </w:p>
    <w:p>
      <w:pPr>
        <w:pStyle w:val="ListParagraph"/>
        <w:numPr>
          <w:ilvl w:val="1"/>
          <w:numId w:val="8"/>
        </w:numPr>
        <w:tabs>
          <w:tab w:pos="1254" w:val="left" w:leader="none"/>
        </w:tabs>
        <w:spacing w:line="240" w:lineRule="auto" w:before="45" w:after="0"/>
        <w:ind w:left="1253" w:right="0" w:hanging="259"/>
        <w:jc w:val="left"/>
        <w:rPr>
          <w:sz w:val="21"/>
        </w:rPr>
      </w:pPr>
      <w:r>
        <w:rPr>
          <w:spacing w:val="-3"/>
          <w:sz w:val="21"/>
        </w:rPr>
        <w:t>一肢或一肢以上肢体机能完全丧失；</w:t>
      </w:r>
    </w:p>
    <w:p>
      <w:pPr>
        <w:pStyle w:val="BodyText"/>
        <w:spacing w:before="9"/>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3"/>
          <w:sz w:val="21"/>
        </w:rPr>
        <w:t>语言能力或咀嚼吞咽能力完全丧失；</w:t>
      </w:r>
    </w:p>
    <w:p>
      <w:pPr>
        <w:pStyle w:val="BodyText"/>
        <w:spacing w:before="9"/>
        <w:rPr>
          <w:sz w:val="14"/>
        </w:rPr>
      </w:pPr>
    </w:p>
    <w:p>
      <w:pPr>
        <w:pStyle w:val="ListParagraph"/>
        <w:numPr>
          <w:ilvl w:val="1"/>
          <w:numId w:val="8"/>
        </w:numPr>
        <w:tabs>
          <w:tab w:pos="1254" w:val="left" w:leader="none"/>
        </w:tabs>
        <w:spacing w:line="408" w:lineRule="auto" w:before="0" w:after="0"/>
        <w:ind w:left="1253" w:right="245" w:hanging="259"/>
        <w:jc w:val="left"/>
        <w:rPr>
          <w:sz w:val="21"/>
        </w:rPr>
      </w:pPr>
      <w:r>
        <w:rPr>
          <w:spacing w:val="-3"/>
          <w:sz w:val="21"/>
        </w:rPr>
        <w:t>自主生活能力完全丧失，无法独立完成六项基本日常生活活动中的三项或三项以上。</w:t>
      </w:r>
    </w:p>
    <w:p>
      <w:pPr>
        <w:pStyle w:val="Heading4"/>
        <w:numPr>
          <w:ilvl w:val="0"/>
          <w:numId w:val="8"/>
        </w:numPr>
        <w:tabs>
          <w:tab w:pos="548" w:val="left" w:leader="none"/>
        </w:tabs>
        <w:spacing w:line="347" w:lineRule="exact" w:before="0" w:after="0"/>
        <w:ind w:left="547" w:right="0" w:hanging="427"/>
        <w:jc w:val="left"/>
      </w:pPr>
      <w:r>
        <w:rPr>
          <w:spacing w:val="-2"/>
        </w:rPr>
        <w:t>重大器官移植术或造血干细胞移植术</w:t>
      </w:r>
    </w:p>
    <w:p>
      <w:pPr>
        <w:pStyle w:val="BodyText"/>
        <w:spacing w:line="408" w:lineRule="auto" w:before="168"/>
        <w:ind w:left="545" w:right="293" w:firstLine="448"/>
      </w:pPr>
      <w:r>
        <w:rPr/>
        <w:t>重大器官移植术，指因相应器官功能衰竭，已经实施了肾脏、肝脏、心脏或肺脏的异体移植手术。</w:t>
      </w:r>
    </w:p>
    <w:p>
      <w:pPr>
        <w:pStyle w:val="BodyText"/>
        <w:spacing w:line="408" w:lineRule="auto" w:before="46"/>
        <w:ind w:left="545" w:right="110"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spacing w:after="0" w:line="408" w:lineRule="auto"/>
        <w:sectPr>
          <w:pgSz w:w="11910" w:h="16840"/>
          <w:pgMar w:header="0" w:footer="1005" w:top="1460" w:bottom="1200" w:left="1680" w:right="1580"/>
        </w:sectPr>
      </w:pPr>
    </w:p>
    <w:p>
      <w:pPr>
        <w:pStyle w:val="Heading4"/>
        <w:numPr>
          <w:ilvl w:val="0"/>
          <w:numId w:val="8"/>
        </w:numPr>
        <w:tabs>
          <w:tab w:pos="548" w:val="left" w:leader="none"/>
        </w:tabs>
        <w:spacing w:line="326" w:lineRule="exact" w:before="0" w:after="0"/>
        <w:ind w:left="547" w:right="0" w:hanging="427"/>
        <w:jc w:val="left"/>
      </w:pPr>
      <w:r>
        <w:rPr/>
        <w:t>冠状动脉搭桥术（</w:t>
      </w:r>
      <w:r>
        <w:rPr>
          <w:spacing w:val="-3"/>
        </w:rPr>
        <w:t>或称冠状动脉旁路移植术</w:t>
      </w:r>
      <w:r>
        <w:rPr/>
        <w:t>）</w:t>
      </w:r>
    </w:p>
    <w:p>
      <w:pPr>
        <w:pStyle w:val="BodyText"/>
        <w:spacing w:line="408" w:lineRule="auto" w:before="168"/>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Heading4"/>
        <w:numPr>
          <w:ilvl w:val="0"/>
          <w:numId w:val="8"/>
        </w:numPr>
        <w:tabs>
          <w:tab w:pos="548" w:val="left" w:leader="none"/>
        </w:tabs>
        <w:spacing w:line="240" w:lineRule="auto" w:before="130" w:after="0"/>
        <w:ind w:left="547" w:right="0" w:hanging="427"/>
        <w:jc w:val="left"/>
      </w:pPr>
      <w:r>
        <w:rPr/>
        <w:t>终末期肾病（</w:t>
      </w:r>
      <w:r>
        <w:rPr>
          <w:spacing w:val="-2"/>
        </w:rPr>
        <w:t>或称慢性肾功能衰竭尿毒症期</w:t>
      </w:r>
      <w:r>
        <w:rPr/>
        <w:t>）</w:t>
      </w:r>
    </w:p>
    <w:p>
      <w:pPr>
        <w:pStyle w:val="BodyText"/>
        <w:spacing w:line="408" w:lineRule="auto" w:before="167"/>
        <w:ind w:left="545" w:right="167" w:firstLine="448"/>
      </w:pPr>
      <w:r>
        <w:rPr/>
        <w:t>指双肾功能慢性不可逆性衰竭，达到尿毒症期，经诊断后已经进行了至少90 天的规律性透析治疗或实施了肾脏移植手术。</w:t>
      </w:r>
    </w:p>
    <w:p>
      <w:pPr>
        <w:pStyle w:val="Heading4"/>
        <w:numPr>
          <w:ilvl w:val="0"/>
          <w:numId w:val="8"/>
        </w:numPr>
        <w:tabs>
          <w:tab w:pos="548" w:val="left" w:leader="none"/>
        </w:tabs>
        <w:spacing w:line="346" w:lineRule="exact" w:before="0" w:after="0"/>
        <w:ind w:left="547" w:right="0" w:hanging="427"/>
        <w:jc w:val="left"/>
      </w:pPr>
      <w:r>
        <w:rPr/>
        <w:t>多个肢体缺失</w:t>
      </w:r>
    </w:p>
    <w:p>
      <w:pPr>
        <w:pStyle w:val="BodyText"/>
        <w:spacing w:line="410" w:lineRule="auto" w:before="168"/>
        <w:ind w:left="545" w:right="293" w:firstLine="448"/>
      </w:pPr>
      <w:r>
        <w:rPr/>
        <w:t>指因疾病或意外伤害导致两个或两个以上肢体自腕关节或踝关节近端（靠近躯干端）以上完全性断离。</w:t>
      </w:r>
    </w:p>
    <w:p>
      <w:pPr>
        <w:pStyle w:val="Heading4"/>
        <w:numPr>
          <w:ilvl w:val="0"/>
          <w:numId w:val="8"/>
        </w:numPr>
        <w:tabs>
          <w:tab w:pos="548" w:val="left" w:leader="none"/>
        </w:tabs>
        <w:spacing w:line="344" w:lineRule="exact" w:before="0" w:after="0"/>
        <w:ind w:left="547" w:right="0" w:hanging="427"/>
        <w:jc w:val="left"/>
      </w:pPr>
      <w:r>
        <w:rPr>
          <w:spacing w:val="-1"/>
        </w:rPr>
        <w:t>急性或亚急性重症肝炎</w:t>
      </w:r>
    </w:p>
    <w:p>
      <w:pPr>
        <w:pStyle w:val="BodyText"/>
        <w:spacing w:line="408" w:lineRule="auto" w:before="167"/>
        <w:ind w:left="545" w:right="293" w:firstLine="448"/>
      </w:pPr>
      <w:r>
        <w:rPr/>
        <w:t>指因肝炎病毒感染引起肝脏组织弥漫性坏死，导致急性肝功能衰竭，且经血清学或病毒学检查证实，并须满足下列全部条件：</w:t>
      </w:r>
    </w:p>
    <w:p>
      <w:pPr>
        <w:pStyle w:val="ListParagraph"/>
        <w:numPr>
          <w:ilvl w:val="1"/>
          <w:numId w:val="8"/>
        </w:numPr>
        <w:tabs>
          <w:tab w:pos="1254" w:val="left" w:leader="none"/>
        </w:tabs>
        <w:spacing w:line="240" w:lineRule="auto" w:before="45" w:after="0"/>
        <w:ind w:left="1253" w:right="0" w:hanging="259"/>
        <w:jc w:val="left"/>
        <w:rPr>
          <w:sz w:val="21"/>
        </w:rPr>
      </w:pPr>
      <w:r>
        <w:rPr>
          <w:spacing w:val="-3"/>
          <w:sz w:val="21"/>
        </w:rPr>
        <w:t>重度黄疸或黄疸迅速加重；</w:t>
      </w:r>
    </w:p>
    <w:p>
      <w:pPr>
        <w:pStyle w:val="BodyText"/>
        <w:spacing w:before="9"/>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1"/>
          <w:sz w:val="21"/>
        </w:rPr>
        <w:t>肝性脑病；</w:t>
      </w:r>
    </w:p>
    <w:p>
      <w:pPr>
        <w:pStyle w:val="BodyText"/>
        <w:spacing w:before="9"/>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z w:val="21"/>
        </w:rPr>
        <w:t>B</w:t>
      </w:r>
      <w:r>
        <w:rPr>
          <w:spacing w:val="-3"/>
          <w:sz w:val="21"/>
        </w:rPr>
        <w:t> 超或其它影像学检查显示肝脏体积急速萎缩；</w:t>
      </w:r>
    </w:p>
    <w:p>
      <w:pPr>
        <w:pStyle w:val="BodyText"/>
        <w:spacing w:before="9"/>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3"/>
          <w:sz w:val="21"/>
        </w:rPr>
        <w:t>肝功能指标进行性恶化。</w:t>
      </w:r>
    </w:p>
    <w:p>
      <w:pPr>
        <w:pStyle w:val="Heading4"/>
        <w:numPr>
          <w:ilvl w:val="0"/>
          <w:numId w:val="8"/>
        </w:numPr>
        <w:tabs>
          <w:tab w:pos="548" w:val="left" w:leader="none"/>
        </w:tabs>
        <w:spacing w:line="240" w:lineRule="auto" w:before="130" w:after="0"/>
        <w:ind w:left="547" w:right="0" w:hanging="427"/>
        <w:jc w:val="left"/>
      </w:pPr>
      <w:r>
        <w:rPr/>
        <w:t>良性脑肿瘤</w:t>
      </w:r>
    </w:p>
    <w:p>
      <w:pPr>
        <w:pStyle w:val="BodyText"/>
        <w:spacing w:line="408" w:lineRule="auto" w:before="167"/>
        <w:ind w:left="545" w:right="110" w:firstLine="448"/>
      </w:pPr>
      <w:r>
        <w:rPr>
          <w:spacing w:val="-14"/>
        </w:rPr>
        <w:t>指脑的良性肿瘤，已经引起颅内压增高，临床表现为视神经乳头水肿、精神症状、</w:t>
      </w:r>
      <w:r>
        <w:rPr>
          <w:spacing w:val="-7"/>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1"/>
          <w:numId w:val="8"/>
        </w:numPr>
        <w:tabs>
          <w:tab w:pos="1254" w:val="left" w:leader="none"/>
        </w:tabs>
        <w:spacing w:line="240" w:lineRule="auto" w:before="46" w:after="0"/>
        <w:ind w:left="1253" w:right="0" w:hanging="259"/>
        <w:jc w:val="left"/>
        <w:rPr>
          <w:sz w:val="21"/>
        </w:rPr>
      </w:pPr>
      <w:r>
        <w:rPr>
          <w:spacing w:val="-3"/>
          <w:sz w:val="21"/>
        </w:rPr>
        <w:t>实际实施了开颅进行的脑肿瘤完全切除或部分切除的手术；</w:t>
      </w:r>
    </w:p>
    <w:p>
      <w:pPr>
        <w:pStyle w:val="BodyText"/>
        <w:spacing w:before="9"/>
        <w:rPr>
          <w:sz w:val="14"/>
        </w:rPr>
      </w:pPr>
    </w:p>
    <w:p>
      <w:pPr>
        <w:pStyle w:val="ListParagraph"/>
        <w:numPr>
          <w:ilvl w:val="1"/>
          <w:numId w:val="8"/>
        </w:numPr>
        <w:tabs>
          <w:tab w:pos="1254" w:val="left" w:leader="none"/>
        </w:tabs>
        <w:spacing w:line="240" w:lineRule="auto" w:before="1" w:after="0"/>
        <w:ind w:left="1253" w:right="0" w:hanging="259"/>
        <w:jc w:val="left"/>
        <w:rPr>
          <w:sz w:val="21"/>
        </w:rPr>
      </w:pPr>
      <w:r>
        <w:rPr>
          <w:spacing w:val="-3"/>
          <w:sz w:val="21"/>
        </w:rPr>
        <w:t>实际实施了对脑肿瘤进行的放射治疗。</w:t>
      </w:r>
    </w:p>
    <w:p>
      <w:pPr>
        <w:pStyle w:val="BodyText"/>
        <w:spacing w:before="10"/>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3"/>
          <w:sz w:val="21"/>
        </w:rPr>
        <w:t>脑垂体瘤、脑囊肿、脑血管性疾病不在保障范围内。</w:t>
      </w:r>
    </w:p>
    <w:p>
      <w:pPr>
        <w:pStyle w:val="Heading4"/>
        <w:numPr>
          <w:ilvl w:val="0"/>
          <w:numId w:val="8"/>
        </w:numPr>
        <w:tabs>
          <w:tab w:pos="654" w:val="left" w:leader="none"/>
        </w:tabs>
        <w:spacing w:line="240" w:lineRule="auto" w:before="130" w:after="0"/>
        <w:ind w:left="653" w:right="0" w:hanging="533"/>
        <w:jc w:val="left"/>
      </w:pPr>
      <w:r>
        <w:rPr>
          <w:spacing w:val="-1"/>
        </w:rPr>
        <w:t>慢性肝功能衰竭失代偿期</w:t>
      </w:r>
    </w:p>
    <w:p>
      <w:pPr>
        <w:pStyle w:val="BodyText"/>
        <w:spacing w:before="168"/>
        <w:ind w:left="993"/>
      </w:pPr>
      <w:r>
        <w:rPr/>
        <w:t>指因慢性肝脏疾病导致肝功能衰竭。须满足下列全部条件：</w:t>
      </w:r>
    </w:p>
    <w:p>
      <w:pPr>
        <w:pStyle w:val="BodyText"/>
        <w:spacing w:before="10"/>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2"/>
          <w:sz w:val="21"/>
        </w:rPr>
        <w:t>持续性黄疸；</w:t>
      </w:r>
    </w:p>
    <w:p>
      <w:pPr>
        <w:pStyle w:val="BodyText"/>
        <w:spacing w:before="9"/>
        <w:rPr>
          <w:sz w:val="14"/>
        </w:rPr>
      </w:pPr>
    </w:p>
    <w:p>
      <w:pPr>
        <w:pStyle w:val="ListParagraph"/>
        <w:numPr>
          <w:ilvl w:val="1"/>
          <w:numId w:val="8"/>
        </w:numPr>
        <w:tabs>
          <w:tab w:pos="1254" w:val="left" w:leader="none"/>
        </w:tabs>
        <w:spacing w:line="240" w:lineRule="auto" w:before="1" w:after="0"/>
        <w:ind w:left="1253" w:right="0" w:hanging="259"/>
        <w:jc w:val="left"/>
        <w:rPr>
          <w:sz w:val="21"/>
        </w:rPr>
      </w:pPr>
      <w:r>
        <w:rPr>
          <w:sz w:val="21"/>
        </w:rPr>
        <w:t>腹水；</w:t>
      </w:r>
    </w:p>
    <w:p>
      <w:pPr>
        <w:pStyle w:val="BodyText"/>
        <w:spacing w:before="10"/>
        <w:rPr>
          <w:sz w:val="14"/>
        </w:rPr>
      </w:pPr>
    </w:p>
    <w:p>
      <w:pPr>
        <w:pStyle w:val="ListParagraph"/>
        <w:numPr>
          <w:ilvl w:val="1"/>
          <w:numId w:val="8"/>
        </w:numPr>
        <w:tabs>
          <w:tab w:pos="1254" w:val="left" w:leader="none"/>
        </w:tabs>
        <w:spacing w:line="240" w:lineRule="auto" w:before="0" w:after="0"/>
        <w:ind w:left="1253" w:right="0" w:hanging="259"/>
        <w:jc w:val="left"/>
        <w:rPr>
          <w:sz w:val="21"/>
        </w:rPr>
      </w:pPr>
      <w:r>
        <w:rPr>
          <w:spacing w:val="-1"/>
          <w:sz w:val="21"/>
        </w:rPr>
        <w:t>肝性脑病；</w:t>
      </w:r>
    </w:p>
    <w:p>
      <w:pPr>
        <w:pStyle w:val="BodyText"/>
        <w:spacing w:before="9"/>
        <w:rPr>
          <w:sz w:val="14"/>
        </w:rPr>
      </w:pPr>
    </w:p>
    <w:p>
      <w:pPr>
        <w:pStyle w:val="ListParagraph"/>
        <w:numPr>
          <w:ilvl w:val="1"/>
          <w:numId w:val="8"/>
        </w:numPr>
        <w:tabs>
          <w:tab w:pos="1254" w:val="left" w:leader="none"/>
        </w:tabs>
        <w:spacing w:line="240" w:lineRule="auto" w:before="1" w:after="0"/>
        <w:ind w:left="1253" w:right="0" w:hanging="259"/>
        <w:jc w:val="left"/>
        <w:rPr>
          <w:sz w:val="21"/>
        </w:rPr>
      </w:pPr>
      <w:r>
        <w:rPr>
          <w:spacing w:val="-3"/>
          <w:sz w:val="21"/>
        </w:rPr>
        <w:t>充血性脾肿大伴脾功能亢进或食管胃底静脉曲张。</w:t>
      </w:r>
    </w:p>
    <w:p>
      <w:pPr>
        <w:spacing w:after="0" w:line="240" w:lineRule="auto"/>
        <w:jc w:val="left"/>
        <w:rPr>
          <w:sz w:val="21"/>
        </w:rPr>
        <w:sectPr>
          <w:pgSz w:w="11910" w:h="16840"/>
          <w:pgMar w:header="0" w:footer="1005" w:top="1460" w:bottom="1200" w:left="1680" w:right="1580"/>
        </w:sectPr>
      </w:pPr>
    </w:p>
    <w:p>
      <w:pPr>
        <w:pStyle w:val="BodyText"/>
        <w:spacing w:before="26"/>
        <w:ind w:left="993"/>
      </w:pPr>
      <w:r>
        <w:rPr/>
        <w:t>因酗酒或药物滥用导致的肝功能衰竭不在保障范围内。</w:t>
      </w:r>
    </w:p>
    <w:p>
      <w:pPr>
        <w:pStyle w:val="Heading4"/>
        <w:numPr>
          <w:ilvl w:val="0"/>
          <w:numId w:val="8"/>
        </w:numPr>
        <w:tabs>
          <w:tab w:pos="654" w:val="left" w:leader="none"/>
        </w:tabs>
        <w:spacing w:line="240" w:lineRule="auto" w:before="131" w:after="0"/>
        <w:ind w:left="653" w:right="0" w:hanging="533"/>
        <w:jc w:val="left"/>
      </w:pPr>
      <w:r>
        <w:rPr>
          <w:spacing w:val="-2"/>
        </w:rPr>
        <w:t>脑炎后遗症或脑膜炎后遗症</w:t>
      </w:r>
    </w:p>
    <w:p>
      <w:pPr>
        <w:pStyle w:val="BodyText"/>
        <w:spacing w:line="408" w:lineRule="auto" w:before="167"/>
        <w:ind w:left="545" w:right="193" w:firstLine="448"/>
      </w:pPr>
      <w:r>
        <w:rPr/>
        <w:t>指因患脑炎或脑膜炎导致的神经系统永久性的功能障碍。神经系统永久性的功能障碍，指疾病确诊180 天后，仍遗留下列一种或一种以上障碍：</w:t>
      </w:r>
    </w:p>
    <w:p>
      <w:pPr>
        <w:pStyle w:val="BodyText"/>
        <w:spacing w:before="45"/>
        <w:ind w:left="993"/>
      </w:pPr>
      <w:r>
        <w:rPr/>
        <w:t>1）一肢或一肢以上肢体机能完全丧失；</w:t>
      </w:r>
    </w:p>
    <w:p>
      <w:pPr>
        <w:pStyle w:val="BodyText"/>
        <w:spacing w:before="9"/>
        <w:rPr>
          <w:sz w:val="14"/>
        </w:rPr>
      </w:pPr>
    </w:p>
    <w:p>
      <w:pPr>
        <w:pStyle w:val="BodyText"/>
        <w:ind w:left="993"/>
      </w:pPr>
      <w:r>
        <w:rPr/>
        <w:t>2）语言能力或咀嚼吞咽能力完全丧失；</w:t>
      </w:r>
    </w:p>
    <w:p>
      <w:pPr>
        <w:pStyle w:val="BodyText"/>
        <w:spacing w:before="9"/>
        <w:rPr>
          <w:sz w:val="14"/>
        </w:rPr>
      </w:pPr>
    </w:p>
    <w:p>
      <w:pPr>
        <w:pStyle w:val="BodyText"/>
        <w:spacing w:line="408" w:lineRule="auto"/>
        <w:ind w:left="545" w:right="73" w:firstLine="448"/>
      </w:pPr>
      <w:r>
        <w:rPr/>
        <w:t>3）自主生活能力完全丧失，无法独立完成六项基本日常生活活动中的三项或三项以上。</w:t>
      </w:r>
    </w:p>
    <w:p>
      <w:pPr>
        <w:pStyle w:val="Heading4"/>
        <w:numPr>
          <w:ilvl w:val="0"/>
          <w:numId w:val="8"/>
        </w:numPr>
        <w:tabs>
          <w:tab w:pos="654" w:val="left" w:leader="none"/>
        </w:tabs>
        <w:spacing w:line="346" w:lineRule="exact" w:before="0" w:after="0"/>
        <w:ind w:left="653" w:right="0" w:hanging="533"/>
        <w:jc w:val="left"/>
      </w:pPr>
      <w:r>
        <w:rPr/>
        <w:t>深度昏迷</w:t>
      </w:r>
    </w:p>
    <w:p>
      <w:pPr>
        <w:pStyle w:val="BodyText"/>
        <w:spacing w:line="408" w:lineRule="auto" w:before="169"/>
        <w:ind w:left="545" w:right="113" w:firstLine="448"/>
      </w:pPr>
      <w:r>
        <w:rPr>
          <w:spacing w:val="-3"/>
        </w:rPr>
        <w:t>指因疾病或意外伤害导致意识丧失,对外界刺激和体内需求均无反应,昏迷程度按照格拉斯哥昏迷分级</w:t>
      </w:r>
      <w:r>
        <w:rPr/>
        <w:t>（Glasgow</w:t>
      </w:r>
      <w:r>
        <w:rPr>
          <w:spacing w:val="-38"/>
        </w:rPr>
        <w:t> </w:t>
      </w:r>
      <w:r>
        <w:rPr/>
        <w:t>coma</w:t>
      </w:r>
      <w:r>
        <w:rPr>
          <w:spacing w:val="-38"/>
        </w:rPr>
        <w:t> </w:t>
      </w:r>
      <w:r>
        <w:rPr/>
        <w:t>scale）</w:t>
      </w:r>
      <w:r>
        <w:rPr>
          <w:spacing w:val="-2"/>
        </w:rPr>
        <w:t>结果为</w:t>
      </w:r>
      <w:r>
        <w:rPr>
          <w:spacing w:val="-3"/>
        </w:rPr>
        <w:t>5</w:t>
      </w:r>
      <w:r>
        <w:rPr/>
        <w:t>分或</w:t>
      </w:r>
      <w:r>
        <w:rPr>
          <w:spacing w:val="-3"/>
        </w:rPr>
        <w:t>5分以下，且已经持续使用呼吸机及其它生命维持系统</w:t>
      </w:r>
      <w:r>
        <w:rPr/>
        <w:t>96</w:t>
      </w:r>
      <w:r>
        <w:rPr>
          <w:spacing w:val="-3"/>
        </w:rPr>
        <w:t>小时以上。</w:t>
      </w:r>
    </w:p>
    <w:p>
      <w:pPr>
        <w:pStyle w:val="BodyText"/>
        <w:spacing w:before="46"/>
        <w:ind w:left="993"/>
      </w:pPr>
      <w:r>
        <w:rPr/>
        <w:t>因酗酒或药物滥用导致的深度昏迷不在保障范围内。</w:t>
      </w:r>
    </w:p>
    <w:p>
      <w:pPr>
        <w:pStyle w:val="Heading4"/>
        <w:numPr>
          <w:ilvl w:val="0"/>
          <w:numId w:val="8"/>
        </w:numPr>
        <w:tabs>
          <w:tab w:pos="654" w:val="left" w:leader="none"/>
        </w:tabs>
        <w:spacing w:line="240" w:lineRule="auto" w:before="130" w:after="0"/>
        <w:ind w:left="653" w:right="0" w:hanging="533"/>
        <w:jc w:val="left"/>
      </w:pPr>
      <w:r>
        <w:rPr/>
        <w:t>双耳失聪</w:t>
      </w:r>
    </w:p>
    <w:p>
      <w:pPr>
        <w:pStyle w:val="BodyText"/>
        <w:spacing w:before="167"/>
        <w:ind w:left="993"/>
      </w:pPr>
      <w:r>
        <w:rPr/>
        <w:t>指因疾病或意外伤害导致双耳听力永久不可逆性丧失，在500 赫兹、1000 赫兹和</w:t>
      </w:r>
    </w:p>
    <w:p>
      <w:pPr>
        <w:pStyle w:val="BodyText"/>
        <w:spacing w:before="9"/>
        <w:rPr>
          <w:sz w:val="14"/>
        </w:rPr>
      </w:pPr>
    </w:p>
    <w:p>
      <w:pPr>
        <w:pStyle w:val="BodyText"/>
        <w:spacing w:line="408" w:lineRule="auto"/>
        <w:ind w:left="545" w:right="111"/>
      </w:pPr>
      <w:r>
        <w:rPr/>
        <w:t>2000</w:t>
      </w:r>
      <w:r>
        <w:rPr>
          <w:spacing w:val="-5"/>
        </w:rPr>
        <w:t> 赫兹语音频率下，平均听阈大于</w:t>
      </w:r>
      <w:r>
        <w:rPr/>
        <w:t>90</w:t>
      </w:r>
      <w:r>
        <w:rPr>
          <w:spacing w:val="-8"/>
        </w:rPr>
        <w:t> 分贝，且经纯音听力测试、声导抗检测或听觉</w:t>
      </w:r>
      <w:r>
        <w:rPr>
          <w:spacing w:val="-5"/>
        </w:rPr>
        <w:t>诱发电位检测等证实。</w:t>
      </w:r>
    </w:p>
    <w:p>
      <w:pPr>
        <w:pStyle w:val="Heading4"/>
        <w:numPr>
          <w:ilvl w:val="0"/>
          <w:numId w:val="8"/>
        </w:numPr>
        <w:tabs>
          <w:tab w:pos="654" w:val="left" w:leader="none"/>
        </w:tabs>
        <w:spacing w:line="347" w:lineRule="exact" w:before="0" w:after="0"/>
        <w:ind w:left="653" w:right="0" w:hanging="533"/>
        <w:jc w:val="left"/>
      </w:pPr>
      <w:r>
        <w:rPr/>
        <w:t>双目失明</w:t>
      </w:r>
    </w:p>
    <w:p>
      <w:pPr>
        <w:pStyle w:val="BodyText"/>
        <w:spacing w:line="408" w:lineRule="auto" w:before="168"/>
        <w:ind w:left="545" w:right="193" w:firstLine="448"/>
      </w:pPr>
      <w:r>
        <w:rPr/>
        <w:t>指因疾病或意外伤害导致双眼视力永久不可逆性丧失，双眼中较好眼须满足下列至少一项条件：</w:t>
      </w:r>
    </w:p>
    <w:p>
      <w:pPr>
        <w:pStyle w:val="BodyText"/>
        <w:spacing w:before="45"/>
        <w:ind w:left="993"/>
      </w:pPr>
      <w:r>
        <w:rPr/>
        <w:t>1）眼球缺失或摘除；</w:t>
      </w:r>
    </w:p>
    <w:p>
      <w:pPr>
        <w:pStyle w:val="BodyText"/>
        <w:spacing w:before="9"/>
        <w:rPr>
          <w:sz w:val="14"/>
        </w:rPr>
      </w:pPr>
    </w:p>
    <w:p>
      <w:pPr>
        <w:pStyle w:val="BodyText"/>
        <w:ind w:left="993"/>
      </w:pPr>
      <w:r>
        <w:rPr>
          <w:w w:val="100"/>
        </w:rPr>
        <w:t>2</w:t>
      </w:r>
      <w:r>
        <w:rPr>
          <w:spacing w:val="-44"/>
          <w:w w:val="100"/>
        </w:rPr>
        <w:t>）</w:t>
      </w:r>
      <w:r>
        <w:rPr>
          <w:spacing w:val="-3"/>
          <w:w w:val="100"/>
        </w:rPr>
        <w:t>矫正视力低于</w:t>
      </w:r>
      <w:r>
        <w:rPr>
          <w:w w:val="100"/>
        </w:rPr>
        <w:t>0.0</w:t>
      </w:r>
      <w:r>
        <w:rPr>
          <w:spacing w:val="-44"/>
          <w:w w:val="100"/>
        </w:rPr>
        <w:t>2</w:t>
      </w:r>
      <w:r>
        <w:rPr>
          <w:spacing w:val="-3"/>
          <w:w w:val="100"/>
        </w:rPr>
        <w:t>（</w:t>
      </w:r>
      <w:r>
        <w:rPr>
          <w:spacing w:val="-8"/>
          <w:w w:val="100"/>
        </w:rPr>
        <w:t>采用国际标准视力表，如果使用其它视力表应进行换算</w:t>
      </w:r>
      <w:r>
        <w:rPr>
          <w:spacing w:val="-108"/>
          <w:w w:val="100"/>
        </w:rPr>
        <w:t>）</w:t>
      </w:r>
      <w:r>
        <w:rPr>
          <w:w w:val="100"/>
        </w:rPr>
        <w:t>；</w:t>
      </w:r>
    </w:p>
    <w:p>
      <w:pPr>
        <w:pStyle w:val="BodyText"/>
        <w:spacing w:before="9"/>
        <w:rPr>
          <w:sz w:val="14"/>
        </w:rPr>
      </w:pPr>
    </w:p>
    <w:p>
      <w:pPr>
        <w:pStyle w:val="BodyText"/>
        <w:ind w:left="993"/>
      </w:pPr>
      <w:r>
        <w:rPr/>
        <w:t>3）视野半径小于5 度。</w:t>
      </w:r>
    </w:p>
    <w:p>
      <w:pPr>
        <w:pStyle w:val="Heading4"/>
        <w:numPr>
          <w:ilvl w:val="0"/>
          <w:numId w:val="8"/>
        </w:numPr>
        <w:tabs>
          <w:tab w:pos="654" w:val="left" w:leader="none"/>
        </w:tabs>
        <w:spacing w:line="240" w:lineRule="auto" w:before="130" w:after="0"/>
        <w:ind w:left="653" w:right="0" w:hanging="533"/>
        <w:jc w:val="left"/>
      </w:pPr>
      <w:r>
        <w:rPr/>
        <w:t>瘫痪</w:t>
      </w:r>
    </w:p>
    <w:p>
      <w:pPr>
        <w:pStyle w:val="BodyText"/>
        <w:spacing w:line="408" w:lineRule="auto" w:before="167"/>
        <w:ind w:left="545" w:right="113" w:firstLine="448"/>
      </w:pPr>
      <w:r>
        <w:rPr>
          <w:spacing w:val="-3"/>
        </w:rPr>
        <w:t>指因疾病或意外伤害导致两肢或两肢以上肢体机能永久完全丧失。肢体机能永久</w:t>
      </w:r>
      <w:r>
        <w:rPr>
          <w:spacing w:val="-9"/>
        </w:rPr>
        <w:t>完全丧失，指疾病确诊</w:t>
      </w:r>
      <w:r>
        <w:rPr/>
        <w:t>180</w:t>
      </w:r>
      <w:r>
        <w:rPr>
          <w:spacing w:val="-3"/>
        </w:rPr>
        <w:t>天后或意外伤害发生</w:t>
      </w:r>
      <w:r>
        <w:rPr/>
        <w:t>180</w:t>
      </w:r>
      <w:r>
        <w:rPr>
          <w:spacing w:val="-9"/>
        </w:rPr>
        <w:t>天后，每肢三大关节中的两大关节仍</w:t>
      </w:r>
      <w:r>
        <w:rPr>
          <w:spacing w:val="-5"/>
        </w:rPr>
        <w:t>然完全僵硬，或不能随意识活动。</w:t>
      </w:r>
    </w:p>
    <w:p>
      <w:pPr>
        <w:pStyle w:val="Heading4"/>
        <w:numPr>
          <w:ilvl w:val="0"/>
          <w:numId w:val="8"/>
        </w:numPr>
        <w:tabs>
          <w:tab w:pos="654" w:val="left" w:leader="none"/>
        </w:tabs>
        <w:spacing w:line="346" w:lineRule="exact" w:before="0" w:after="0"/>
        <w:ind w:left="653" w:right="0" w:hanging="533"/>
        <w:jc w:val="left"/>
      </w:pPr>
      <w:r>
        <w:rPr/>
        <w:t>心脏瓣膜手术</w:t>
      </w:r>
    </w:p>
    <w:p>
      <w:pPr>
        <w:pStyle w:val="BodyText"/>
        <w:spacing w:before="168"/>
        <w:ind w:left="993"/>
      </w:pPr>
      <w:r>
        <w:rPr/>
        <w:t>指为治疗心脏瓣膜疾病，实际实施了开胸进行的心脏瓣膜置换或修复的手术。</w:t>
      </w:r>
    </w:p>
    <w:p>
      <w:pPr>
        <w:pStyle w:val="Heading4"/>
        <w:numPr>
          <w:ilvl w:val="0"/>
          <w:numId w:val="8"/>
        </w:numPr>
        <w:tabs>
          <w:tab w:pos="654" w:val="left" w:leader="none"/>
        </w:tabs>
        <w:spacing w:line="240" w:lineRule="auto" w:before="130" w:after="0"/>
        <w:ind w:left="653" w:right="0" w:hanging="533"/>
        <w:jc w:val="left"/>
      </w:pPr>
      <w:r>
        <w:rPr/>
        <w:t>严重阿尔茨海默病</w:t>
      </w:r>
    </w:p>
    <w:p>
      <w:pPr>
        <w:spacing w:after="0" w:line="240" w:lineRule="auto"/>
        <w:jc w:val="left"/>
        <w:sectPr>
          <w:pgSz w:w="11910" w:h="16840"/>
          <w:pgMar w:header="0" w:footer="1005" w:top="1460" w:bottom="1200" w:left="1680" w:right="1680"/>
        </w:sectPr>
      </w:pPr>
    </w:p>
    <w:p>
      <w:pPr>
        <w:pStyle w:val="BodyText"/>
        <w:spacing w:line="408" w:lineRule="auto" w:before="26"/>
        <w:ind w:left="545" w:right="108"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7"/>
          <w:w w:val="100"/>
        </w:rPr>
        <w:t>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46"/>
        <w:ind w:left="993"/>
      </w:pPr>
      <w:r>
        <w:rPr/>
        <w:t>神经官能症和精神疾病不在保障范围内。</w:t>
      </w:r>
    </w:p>
    <w:p>
      <w:pPr>
        <w:pStyle w:val="Heading4"/>
        <w:numPr>
          <w:ilvl w:val="0"/>
          <w:numId w:val="8"/>
        </w:numPr>
        <w:tabs>
          <w:tab w:pos="654" w:val="left" w:leader="none"/>
        </w:tabs>
        <w:spacing w:line="240" w:lineRule="auto" w:before="130" w:after="0"/>
        <w:ind w:left="653" w:right="0" w:hanging="533"/>
        <w:jc w:val="left"/>
      </w:pPr>
      <w:r>
        <w:rPr/>
        <w:t>严重脑损伤</w:t>
      </w:r>
    </w:p>
    <w:p>
      <w:pPr>
        <w:pStyle w:val="BodyText"/>
        <w:spacing w:line="408" w:lineRule="auto" w:before="167"/>
        <w:ind w:left="545" w:right="218" w:firstLine="448"/>
      </w:pPr>
      <w:r>
        <w:rPr>
          <w:spacing w:val="-3"/>
        </w:rPr>
        <w:t>指因头部遭受机械性外力，引起脑重要部位损伤，导致神经系统永久性的功能障</w:t>
      </w:r>
      <w:r>
        <w:rPr>
          <w:spacing w:val="-3"/>
          <w:w w:val="100"/>
        </w:rPr>
        <w:t>碍。须由头颅断层扫描（C</w:t>
      </w:r>
      <w:r>
        <w:rPr>
          <w:w w:val="100"/>
        </w:rPr>
        <w:t>T</w:t>
      </w:r>
      <w:r>
        <w:rPr>
          <w:spacing w:val="-106"/>
          <w:w w:val="100"/>
        </w:rPr>
        <w:t>）</w:t>
      </w:r>
      <w:r>
        <w:rPr>
          <w:spacing w:val="-3"/>
          <w:w w:val="100"/>
        </w:rPr>
        <w:t>、核磁共振检查（</w:t>
      </w:r>
      <w:r>
        <w:rPr>
          <w:w w:val="100"/>
        </w:rPr>
        <w:t>MR</w:t>
      </w:r>
      <w:r>
        <w:rPr>
          <w:spacing w:val="-2"/>
          <w:w w:val="100"/>
        </w:rPr>
        <w:t>I</w:t>
      </w:r>
      <w:r>
        <w:rPr>
          <w:spacing w:val="-3"/>
          <w:w w:val="100"/>
        </w:rPr>
        <w:t>）或正电子发射断层扫描（P</w:t>
      </w:r>
      <w:r>
        <w:rPr>
          <w:w w:val="100"/>
        </w:rPr>
        <w:t>E</w:t>
      </w:r>
      <w:r>
        <w:rPr>
          <w:spacing w:val="-1"/>
          <w:w w:val="100"/>
        </w:rPr>
        <w:t>T</w:t>
      </w:r>
      <w:r>
        <w:rPr>
          <w:w w:val="100"/>
        </w:rPr>
        <w:t>）等</w:t>
      </w:r>
      <w:r>
        <w:rPr>
          <w:spacing w:val="-3"/>
        </w:rPr>
        <w:t>影像学检查证实。神经系统永久性的功能障碍，指脑损伤</w:t>
      </w:r>
      <w:r>
        <w:rPr/>
        <w:t>180</w:t>
      </w:r>
      <w:r>
        <w:rPr>
          <w:spacing w:val="-3"/>
        </w:rPr>
        <w:t>天后，仍遗留下列一种或一种以上障碍：</w:t>
      </w:r>
    </w:p>
    <w:p>
      <w:pPr>
        <w:pStyle w:val="BodyText"/>
        <w:spacing w:before="46"/>
        <w:ind w:left="993"/>
      </w:pPr>
      <w:r>
        <w:rPr/>
        <w:t>1）一肢或一肢以上肢体机能完全丧失；</w:t>
      </w:r>
    </w:p>
    <w:p>
      <w:pPr>
        <w:pStyle w:val="BodyText"/>
        <w:spacing w:before="10"/>
        <w:rPr>
          <w:sz w:val="14"/>
        </w:rPr>
      </w:pPr>
    </w:p>
    <w:p>
      <w:pPr>
        <w:pStyle w:val="BodyText"/>
        <w:ind w:left="993"/>
      </w:pPr>
      <w:r>
        <w:rPr/>
        <w:t>2）语言能力或咀嚼吞咽能力完全丧失；</w:t>
      </w:r>
    </w:p>
    <w:p>
      <w:pPr>
        <w:pStyle w:val="BodyText"/>
        <w:spacing w:before="9"/>
        <w:rPr>
          <w:sz w:val="14"/>
        </w:rPr>
      </w:pPr>
    </w:p>
    <w:p>
      <w:pPr>
        <w:pStyle w:val="BodyText"/>
        <w:spacing w:line="408" w:lineRule="auto" w:before="1"/>
        <w:ind w:left="545" w:right="173" w:firstLine="448"/>
      </w:pPr>
      <w:r>
        <w:rPr/>
        <w:t>3）自主生活能力完全丧失，无法独立完成六项基本日常生活活动中的三项或三项以上。</w:t>
      </w:r>
    </w:p>
    <w:p>
      <w:pPr>
        <w:pStyle w:val="Heading4"/>
        <w:numPr>
          <w:ilvl w:val="0"/>
          <w:numId w:val="8"/>
        </w:numPr>
        <w:tabs>
          <w:tab w:pos="654" w:val="left" w:leader="none"/>
        </w:tabs>
        <w:spacing w:line="346" w:lineRule="exact" w:before="0" w:after="0"/>
        <w:ind w:left="653" w:right="0" w:hanging="533"/>
        <w:jc w:val="left"/>
      </w:pPr>
      <w:r>
        <w:rPr/>
        <w:t>严重帕金森病</w:t>
      </w:r>
    </w:p>
    <w:p>
      <w:pPr>
        <w:pStyle w:val="BodyText"/>
        <w:spacing w:line="408" w:lineRule="auto" w:before="167"/>
        <w:ind w:left="545" w:right="293" w:firstLine="448"/>
      </w:pPr>
      <w:r>
        <w:rPr/>
        <w:t>指一种中枢神经系统的退行性疾病，临床表现为震颤麻痹、共济失调等。须满足下列全部条件：</w:t>
      </w:r>
    </w:p>
    <w:p>
      <w:pPr>
        <w:pStyle w:val="BodyText"/>
        <w:spacing w:before="46"/>
        <w:ind w:left="993"/>
      </w:pPr>
      <w:r>
        <w:rPr/>
        <w:t>1）药物治疗无法控制病情；</w:t>
      </w:r>
    </w:p>
    <w:p>
      <w:pPr>
        <w:pStyle w:val="BodyText"/>
        <w:spacing w:before="10"/>
        <w:rPr>
          <w:sz w:val="14"/>
        </w:rPr>
      </w:pPr>
    </w:p>
    <w:p>
      <w:pPr>
        <w:pStyle w:val="BodyText"/>
        <w:spacing w:line="408" w:lineRule="auto"/>
        <w:ind w:left="545" w:right="173" w:firstLine="448"/>
      </w:pPr>
      <w:r>
        <w:rPr/>
        <w:t>2）自主生活能力完全丧失，无法独立完成六项基本日常生活活动中的三项或三项以上。</w:t>
      </w:r>
    </w:p>
    <w:p>
      <w:pPr>
        <w:pStyle w:val="BodyText"/>
        <w:spacing w:before="46"/>
        <w:ind w:left="993"/>
      </w:pPr>
      <w:r>
        <w:rPr/>
        <w:t>继发性帕金森综合征不在保障范围内。</w:t>
      </w:r>
    </w:p>
    <w:p>
      <w:pPr>
        <w:pStyle w:val="Heading4"/>
        <w:numPr>
          <w:ilvl w:val="0"/>
          <w:numId w:val="8"/>
        </w:numPr>
        <w:tabs>
          <w:tab w:pos="654" w:val="left" w:leader="none"/>
        </w:tabs>
        <w:spacing w:line="240" w:lineRule="auto" w:before="130" w:after="0"/>
        <w:ind w:left="653" w:right="0" w:hanging="533"/>
        <w:jc w:val="left"/>
      </w:pPr>
      <w:r>
        <w:rPr/>
        <w:t>严重Ⅲ度烧伤</w:t>
      </w:r>
    </w:p>
    <w:p>
      <w:pPr>
        <w:pStyle w:val="BodyText"/>
        <w:spacing w:line="408" w:lineRule="auto" w:before="167"/>
        <w:ind w:left="545" w:right="293" w:firstLine="448"/>
      </w:pPr>
      <w:r>
        <w:rPr/>
        <w:t>指烧伤程度为Ⅲ度，且Ⅲ度烧伤的面积达到全身体表面积的20％或20％以上。体表面积根据《中国新九分法》计算。</w:t>
      </w:r>
    </w:p>
    <w:p>
      <w:pPr>
        <w:pStyle w:val="Heading4"/>
        <w:numPr>
          <w:ilvl w:val="0"/>
          <w:numId w:val="8"/>
        </w:numPr>
        <w:tabs>
          <w:tab w:pos="654" w:val="left" w:leader="none"/>
        </w:tabs>
        <w:spacing w:line="346" w:lineRule="exact" w:before="0" w:after="0"/>
        <w:ind w:left="653" w:right="0" w:hanging="533"/>
        <w:jc w:val="left"/>
      </w:pPr>
      <w:r>
        <w:rPr>
          <w:spacing w:val="-1"/>
        </w:rPr>
        <w:t>严重原发性肺动脉高压</w:t>
      </w:r>
    </w:p>
    <w:p>
      <w:pPr>
        <w:pStyle w:val="BodyText"/>
        <w:spacing w:line="408" w:lineRule="auto" w:before="168"/>
        <w:ind w:left="545" w:right="216" w:firstLine="448"/>
      </w:pPr>
      <w:r>
        <w:rPr/>
        <w:t>指不明原因的肺动脉压力持续性增高，进行性发展而导致的慢性疾病，已经造成永久不可逆性的体力活动能力受限，达到美国纽约心脏病学会心功能状态分级IV 级， 且静息状态下肺动脉平均压超过30mmHg。</w:t>
      </w:r>
    </w:p>
    <w:p>
      <w:pPr>
        <w:pStyle w:val="Heading4"/>
        <w:numPr>
          <w:ilvl w:val="0"/>
          <w:numId w:val="8"/>
        </w:numPr>
        <w:tabs>
          <w:tab w:pos="654" w:val="left" w:leader="none"/>
        </w:tabs>
        <w:spacing w:line="346" w:lineRule="exact" w:before="0" w:after="0"/>
        <w:ind w:left="653" w:right="0" w:hanging="533"/>
        <w:jc w:val="left"/>
      </w:pPr>
      <w:r>
        <w:rPr/>
        <w:t>严重运动神经元病</w:t>
      </w:r>
    </w:p>
    <w:p>
      <w:pPr>
        <w:pStyle w:val="BodyText"/>
        <w:spacing w:before="168"/>
        <w:ind w:left="993"/>
      </w:pPr>
      <w:r>
        <w:rPr/>
        <w:t>是一组中枢神经系统运动神经元的进行性变性疾病，包括进行性脊肌萎缩症、进</w:t>
      </w:r>
    </w:p>
    <w:p>
      <w:pPr>
        <w:spacing w:after="0"/>
        <w:sectPr>
          <w:pgSz w:w="11910" w:h="16840"/>
          <w:pgMar w:header="0" w:footer="1005" w:top="1460" w:bottom="1200" w:left="1680" w:right="1580"/>
        </w:sectPr>
      </w:pPr>
    </w:p>
    <w:p>
      <w:pPr>
        <w:pStyle w:val="BodyText"/>
        <w:spacing w:line="408" w:lineRule="auto" w:before="26"/>
        <w:ind w:left="545" w:right="211"/>
      </w:pP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Heading4"/>
        <w:numPr>
          <w:ilvl w:val="0"/>
          <w:numId w:val="8"/>
        </w:numPr>
        <w:tabs>
          <w:tab w:pos="654" w:val="left" w:leader="none"/>
        </w:tabs>
        <w:spacing w:line="346" w:lineRule="exact" w:before="0" w:after="0"/>
        <w:ind w:left="653" w:right="0" w:hanging="533"/>
        <w:jc w:val="left"/>
      </w:pPr>
      <w:r>
        <w:rPr/>
        <w:t>语言能力丧失</w:t>
      </w:r>
    </w:p>
    <w:p>
      <w:pPr>
        <w:pStyle w:val="BodyText"/>
        <w:spacing w:line="408" w:lineRule="auto" w:before="167"/>
        <w:ind w:left="545" w:right="293" w:firstLine="448"/>
      </w:pPr>
      <w:r>
        <w:rPr>
          <w:spacing w:val="-3"/>
        </w:rPr>
        <w:t>指因疾病或意外伤害导致完全丧失语言能力，经过积极治疗至少</w:t>
      </w:r>
      <w:r>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45"/>
        <w:ind w:left="993"/>
      </w:pPr>
      <w:r>
        <w:rPr/>
        <w:t>精神心理因素所致的语言能力丧失不在保障范围内。</w:t>
      </w:r>
    </w:p>
    <w:p>
      <w:pPr>
        <w:pStyle w:val="Heading4"/>
        <w:numPr>
          <w:ilvl w:val="0"/>
          <w:numId w:val="8"/>
        </w:numPr>
        <w:tabs>
          <w:tab w:pos="654" w:val="left" w:leader="none"/>
        </w:tabs>
        <w:spacing w:line="240" w:lineRule="auto" w:before="130" w:after="0"/>
        <w:ind w:left="653" w:right="0" w:hanging="533"/>
        <w:jc w:val="left"/>
      </w:pPr>
      <w:r>
        <w:rPr/>
        <w:t>重型再生障碍性贫血</w:t>
      </w:r>
    </w:p>
    <w:p>
      <w:pPr>
        <w:pStyle w:val="BodyText"/>
        <w:spacing w:line="408" w:lineRule="auto" w:before="167"/>
        <w:ind w:left="545" w:right="293" w:firstLine="448"/>
      </w:pPr>
      <w:r>
        <w:rPr/>
        <w:t>指因骨髓造血功能慢性持续性衰竭导致的贫血、中性粒细胞减少及血小板减少。须满足下列全部条件：</w:t>
      </w:r>
    </w:p>
    <w:p>
      <w:pPr>
        <w:pStyle w:val="BodyText"/>
        <w:spacing w:before="46"/>
        <w:ind w:left="993"/>
      </w:pPr>
      <w:r>
        <w:rPr/>
        <w:t>1）骨髓穿刺检查或骨髓活检结果支持诊断；</w:t>
      </w:r>
    </w:p>
    <w:p>
      <w:pPr>
        <w:pStyle w:val="BodyText"/>
        <w:spacing w:before="9"/>
        <w:rPr>
          <w:sz w:val="14"/>
        </w:rPr>
      </w:pPr>
    </w:p>
    <w:p>
      <w:pPr>
        <w:pStyle w:val="BodyText"/>
        <w:ind w:left="993"/>
      </w:pPr>
      <w:r>
        <w:rPr/>
        <w:t>2）外周血象须具备以下三项条件：</w:t>
      </w:r>
    </w:p>
    <w:p>
      <w:pPr>
        <w:pStyle w:val="BodyText"/>
        <w:spacing w:before="9"/>
        <w:rPr>
          <w:sz w:val="14"/>
        </w:rPr>
      </w:pPr>
    </w:p>
    <w:p>
      <w:pPr>
        <w:pStyle w:val="BodyText"/>
        <w:ind w:left="1202"/>
      </w:pPr>
      <w:r>
        <w:rPr/>
        <w:t>① 中性粒细胞绝对值≤0.5×109/L ；</w:t>
      </w:r>
    </w:p>
    <w:p>
      <w:pPr>
        <w:pStyle w:val="BodyText"/>
        <w:spacing w:before="9"/>
        <w:rPr>
          <w:sz w:val="14"/>
        </w:rPr>
      </w:pPr>
    </w:p>
    <w:p>
      <w:pPr>
        <w:pStyle w:val="BodyText"/>
        <w:ind w:left="1202"/>
      </w:pPr>
      <w:r>
        <w:rPr/>
        <w:drawing>
          <wp:anchor distT="0" distB="0" distL="0" distR="0" allowOverlap="1" layoutInCell="1" locked="0" behindDoc="1" simplePos="0" relativeHeight="268419071">
            <wp:simplePos x="0" y="0"/>
            <wp:positionH relativeFrom="page">
              <wp:posOffset>2902457</wp:posOffset>
            </wp:positionH>
            <wp:positionV relativeFrom="paragraph">
              <wp:posOffset>54148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9"/>
        <w:rPr>
          <w:sz w:val="14"/>
        </w:rPr>
      </w:pPr>
    </w:p>
    <w:p>
      <w:pPr>
        <w:pStyle w:val="BodyText"/>
        <w:ind w:left="1202"/>
      </w:pPr>
      <w:r>
        <w:rPr/>
        <w:t>③ 血小板绝对值≤20×109/L。</w:t>
      </w:r>
    </w:p>
    <w:p>
      <w:pPr>
        <w:pStyle w:val="Heading4"/>
        <w:numPr>
          <w:ilvl w:val="0"/>
          <w:numId w:val="8"/>
        </w:numPr>
        <w:tabs>
          <w:tab w:pos="654" w:val="left" w:leader="none"/>
        </w:tabs>
        <w:spacing w:line="240" w:lineRule="auto" w:before="130" w:after="0"/>
        <w:ind w:left="653" w:right="0" w:hanging="533"/>
        <w:jc w:val="left"/>
      </w:pPr>
      <w:r>
        <w:rPr/>
        <w:t>主动脉手术</w:t>
      </w:r>
    </w:p>
    <w:p>
      <w:pPr>
        <w:pStyle w:val="BodyText"/>
        <w:spacing w:line="408" w:lineRule="auto" w:before="167"/>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6"/>
        <w:ind w:left="993"/>
      </w:pPr>
      <w:r>
        <w:rPr/>
        <w:t>动脉内血管成形术不在保障范围内。</w:t>
      </w:r>
    </w:p>
    <w:p>
      <w:pPr>
        <w:pStyle w:val="Heading4"/>
        <w:numPr>
          <w:ilvl w:val="0"/>
          <w:numId w:val="8"/>
        </w:numPr>
        <w:tabs>
          <w:tab w:pos="654" w:val="left" w:leader="none"/>
        </w:tabs>
        <w:spacing w:line="240" w:lineRule="auto" w:before="130" w:after="0"/>
        <w:ind w:left="653" w:right="0" w:hanging="533"/>
        <w:jc w:val="left"/>
      </w:pPr>
      <w:r>
        <w:rPr/>
        <w:t>严重的系统性硬化症</w:t>
      </w:r>
    </w:p>
    <w:p>
      <w:pPr>
        <w:pStyle w:val="BodyText"/>
        <w:spacing w:line="408" w:lineRule="auto" w:before="167"/>
        <w:ind w:left="545" w:right="211"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6"/>
        <w:ind w:left="993"/>
      </w:pPr>
      <w:r>
        <w:rPr/>
        <w:t>肺脏：肺纤维化，已经发展为肺动脉高压、肺心病；</w:t>
      </w:r>
    </w:p>
    <w:p>
      <w:pPr>
        <w:pStyle w:val="BodyText"/>
        <w:spacing w:before="10"/>
        <w:rPr>
          <w:sz w:val="14"/>
        </w:rPr>
      </w:pPr>
    </w:p>
    <w:p>
      <w:pPr>
        <w:pStyle w:val="BodyText"/>
        <w:spacing w:line="408" w:lineRule="auto"/>
        <w:ind w:left="993" w:right="713"/>
      </w:pPr>
      <w:r>
        <w:rPr/>
        <w:t>心脏：心室功能受损，至少达到美国纽约心脏病学会心功能状态分级Ⅲ级； 肾脏：肾脏受损，已经出现肾功能不全。</w:t>
      </w:r>
    </w:p>
    <w:p>
      <w:pPr>
        <w:pStyle w:val="BodyText"/>
        <w:spacing w:before="46"/>
        <w:ind w:left="993"/>
      </w:pPr>
      <w:r>
        <w:rPr/>
        <w:t>下列疾病不在保障范围内：</w:t>
      </w:r>
    </w:p>
    <w:p>
      <w:pPr>
        <w:pStyle w:val="BodyText"/>
        <w:spacing w:before="9"/>
        <w:rPr>
          <w:sz w:val="14"/>
        </w:rPr>
      </w:pPr>
    </w:p>
    <w:p>
      <w:pPr>
        <w:pStyle w:val="BodyText"/>
        <w:ind w:left="993"/>
      </w:pPr>
      <w:r>
        <w:rPr>
          <w:w w:val="100"/>
        </w:rPr>
        <w:t>1）</w:t>
      </w:r>
      <w:r>
        <w:rPr>
          <w:spacing w:val="-3"/>
          <w:w w:val="100"/>
        </w:rPr>
        <w:t>局部性硬皮病（如：带状硬皮病、硬斑病</w:t>
      </w:r>
      <w:r>
        <w:rPr>
          <w:spacing w:val="-108"/>
          <w:w w:val="100"/>
        </w:rPr>
        <w:t>）</w:t>
      </w:r>
      <w:r>
        <w:rPr>
          <w:w w:val="100"/>
        </w:rPr>
        <w:t>；</w:t>
      </w:r>
    </w:p>
    <w:p>
      <w:pPr>
        <w:pStyle w:val="BodyText"/>
        <w:spacing w:before="9"/>
        <w:rPr>
          <w:sz w:val="14"/>
        </w:rPr>
      </w:pPr>
    </w:p>
    <w:p>
      <w:pPr>
        <w:pStyle w:val="BodyText"/>
        <w:ind w:left="993"/>
      </w:pPr>
      <w:r>
        <w:rPr/>
        <w:t>2）嗜酸性粒细胞性筋膜炎；</w:t>
      </w:r>
    </w:p>
    <w:p>
      <w:pPr>
        <w:pStyle w:val="BodyText"/>
        <w:spacing w:before="9"/>
        <w:rPr>
          <w:sz w:val="14"/>
        </w:rPr>
      </w:pPr>
    </w:p>
    <w:p>
      <w:pPr>
        <w:pStyle w:val="BodyText"/>
        <w:ind w:left="993"/>
      </w:pPr>
      <w:r>
        <w:rPr/>
        <w:t>3）CREST综合征。</w:t>
      </w:r>
    </w:p>
    <w:p>
      <w:pPr>
        <w:pStyle w:val="Heading4"/>
        <w:numPr>
          <w:ilvl w:val="0"/>
          <w:numId w:val="8"/>
        </w:numPr>
        <w:tabs>
          <w:tab w:pos="654" w:val="left" w:leader="none"/>
        </w:tabs>
        <w:spacing w:line="240" w:lineRule="auto" w:before="130" w:after="0"/>
        <w:ind w:left="653" w:right="0" w:hanging="533"/>
        <w:jc w:val="left"/>
      </w:pPr>
      <w:r>
        <w:rPr/>
        <w:t>严重的原发性心肌病</w:t>
      </w:r>
    </w:p>
    <w:p>
      <w:pPr>
        <w:spacing w:after="0" w:line="240" w:lineRule="auto"/>
        <w:jc w:val="left"/>
        <w:sectPr>
          <w:pgSz w:w="11910" w:h="16840"/>
          <w:pgMar w:header="0" w:footer="1005" w:top="1460" w:bottom="1200" w:left="1680" w:right="1580"/>
        </w:sectPr>
      </w:pPr>
    </w:p>
    <w:p>
      <w:pPr>
        <w:pStyle w:val="BodyText"/>
        <w:spacing w:line="408" w:lineRule="auto" w:before="26"/>
        <w:ind w:left="545" w:right="2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肌病及原发性限制型心肌病三种，病变必须已造成事实上心室功能障碍而出现明显的心功能衰竭，达到美国纽约心脏病协会心功能状态分级</w:t>
      </w:r>
      <w:r>
        <w:rPr/>
        <w:t>IV</w:t>
      </w:r>
      <w:r>
        <w:rPr>
          <w:spacing w:val="-9"/>
        </w:rPr>
        <w:t>级，且有相关住院医疗记录显示</w:t>
      </w:r>
    </w:p>
    <w:p>
      <w:pPr>
        <w:pStyle w:val="BodyText"/>
        <w:spacing w:line="408" w:lineRule="auto" w:before="46"/>
        <w:ind w:left="545" w:right="218"/>
      </w:pPr>
      <w:r>
        <w:rPr/>
        <w:t>IV级心功能状态持续至少180天。该疾病索赔时须要经专科医师做出明确诊断。继发于全身性疾病或其它器官系统疾病不属本保障范围。</w:t>
      </w:r>
    </w:p>
    <w:p>
      <w:pPr>
        <w:pStyle w:val="Heading4"/>
        <w:numPr>
          <w:ilvl w:val="0"/>
          <w:numId w:val="8"/>
        </w:numPr>
        <w:tabs>
          <w:tab w:pos="654" w:val="left" w:leader="none"/>
        </w:tabs>
        <w:spacing w:line="346" w:lineRule="exact" w:before="0" w:after="0"/>
        <w:ind w:left="653" w:right="0" w:hanging="533"/>
        <w:jc w:val="left"/>
      </w:pPr>
      <w:r>
        <w:rPr/>
        <w:t>肾髓质囊性病</w:t>
      </w:r>
    </w:p>
    <w:p>
      <w:pPr>
        <w:pStyle w:val="BodyText"/>
        <w:spacing w:before="168"/>
        <w:ind w:left="993"/>
      </w:pPr>
      <w:r>
        <w:rPr/>
        <w:t>肾髓质囊性病的诊断必须同时符合下列要求：</w:t>
      </w:r>
    </w:p>
    <w:p>
      <w:pPr>
        <w:pStyle w:val="BodyText"/>
        <w:spacing w:before="9"/>
        <w:rPr>
          <w:sz w:val="14"/>
        </w:rPr>
      </w:pPr>
    </w:p>
    <w:p>
      <w:pPr>
        <w:pStyle w:val="BodyText"/>
        <w:spacing w:before="1"/>
        <w:ind w:left="993"/>
      </w:pPr>
      <w:r>
        <w:rPr/>
        <w:t>1）肾髓质有囊肿、肾小管萎缩及间质纤维化等病理改变；</w:t>
      </w:r>
    </w:p>
    <w:p>
      <w:pPr>
        <w:pStyle w:val="BodyText"/>
        <w:spacing w:before="10"/>
        <w:rPr>
          <w:sz w:val="14"/>
        </w:rPr>
      </w:pPr>
    </w:p>
    <w:p>
      <w:pPr>
        <w:pStyle w:val="BodyText"/>
        <w:ind w:left="993"/>
      </w:pPr>
      <w:r>
        <w:rPr/>
        <w:t>2）贫血、多尿及肾功能衰竭等临床表现；</w:t>
      </w:r>
    </w:p>
    <w:p>
      <w:pPr>
        <w:pStyle w:val="BodyText"/>
        <w:spacing w:before="10"/>
        <w:rPr>
          <w:sz w:val="14"/>
        </w:rPr>
      </w:pPr>
    </w:p>
    <w:p>
      <w:pPr>
        <w:pStyle w:val="BodyText"/>
        <w:ind w:left="993"/>
      </w:pPr>
      <w:r>
        <w:rPr/>
        <w:t>3）诊断须由肾组织活检确定。</w:t>
      </w:r>
    </w:p>
    <w:p>
      <w:pPr>
        <w:pStyle w:val="Heading4"/>
        <w:numPr>
          <w:ilvl w:val="0"/>
          <w:numId w:val="8"/>
        </w:numPr>
        <w:tabs>
          <w:tab w:pos="654" w:val="left" w:leader="none"/>
        </w:tabs>
        <w:spacing w:line="240" w:lineRule="auto" w:before="130" w:after="0"/>
        <w:ind w:left="653" w:right="0" w:hanging="533"/>
        <w:jc w:val="left"/>
      </w:pPr>
      <w:r>
        <w:rPr/>
        <w:t>因输血感染艾滋病</w:t>
      </w:r>
    </w:p>
    <w:p>
      <w:pPr>
        <w:pStyle w:val="BodyText"/>
        <w:spacing w:before="167"/>
        <w:ind w:left="993"/>
      </w:pPr>
      <w:r>
        <w:rPr/>
        <w:t>被保险人感染上人类免疫缺陷病毒（HIV）并且符合下列所有条件：</w:t>
      </w:r>
    </w:p>
    <w:p>
      <w:pPr>
        <w:pStyle w:val="BodyText"/>
        <w:spacing w:before="9"/>
        <w:rPr>
          <w:sz w:val="14"/>
        </w:rPr>
      </w:pPr>
    </w:p>
    <w:p>
      <w:pPr>
        <w:pStyle w:val="BodyText"/>
        <w:spacing w:line="408" w:lineRule="auto"/>
        <w:ind w:left="545" w:right="185" w:firstLine="448"/>
      </w:pPr>
      <w:r>
        <w:rPr/>
        <w:t>1）在保障起始日或复效日之后，被保险人因治疗必需而接受输血，并且因输血而感染HIV；</w:t>
      </w:r>
    </w:p>
    <w:p>
      <w:pPr>
        <w:pStyle w:val="BodyText"/>
        <w:spacing w:before="45"/>
        <w:ind w:left="993"/>
      </w:pPr>
      <w:r>
        <w:rPr/>
        <w:t>2） 提供输血治疗的输血中心或医院出具该项输血感染属医疗责任事故的报告</w:t>
      </w:r>
    </w:p>
    <w:p>
      <w:pPr>
        <w:pStyle w:val="BodyText"/>
        <w:spacing w:before="9"/>
        <w:rPr>
          <w:sz w:val="14"/>
        </w:rPr>
      </w:pPr>
    </w:p>
    <w:p>
      <w:pPr>
        <w:pStyle w:val="BodyText"/>
        <w:ind w:left="993"/>
      </w:pPr>
      <w:r>
        <w:rPr/>
        <w:t>3）提供输血治疗的输血中心或医院必须拥有合法经营执照；</w:t>
      </w:r>
    </w:p>
    <w:p>
      <w:pPr>
        <w:pStyle w:val="BodyText"/>
        <w:spacing w:before="9"/>
        <w:rPr>
          <w:sz w:val="14"/>
        </w:rPr>
      </w:pPr>
    </w:p>
    <w:p>
      <w:pPr>
        <w:pStyle w:val="BodyText"/>
        <w:ind w:left="993"/>
      </w:pPr>
      <w:r>
        <w:rPr/>
        <w:t>4）受感染的被保险人不是血友病患者；</w:t>
      </w:r>
    </w:p>
    <w:p>
      <w:pPr>
        <w:pStyle w:val="BodyText"/>
        <w:spacing w:before="9"/>
        <w:rPr>
          <w:sz w:val="14"/>
        </w:rPr>
      </w:pPr>
    </w:p>
    <w:p>
      <w:pPr>
        <w:pStyle w:val="BodyText"/>
        <w:spacing w:line="408" w:lineRule="auto"/>
        <w:ind w:left="545" w:right="166" w:firstLine="448"/>
      </w:pPr>
      <w:r>
        <w:rPr/>
        <w:t>任何因其他传播方式（包括：性传播或静脉注射毒品）导致的HIV感染不在本保单保障范围内。</w:t>
      </w:r>
    </w:p>
    <w:p>
      <w:pPr>
        <w:pStyle w:val="Heading4"/>
        <w:numPr>
          <w:ilvl w:val="0"/>
          <w:numId w:val="8"/>
        </w:numPr>
        <w:tabs>
          <w:tab w:pos="654" w:val="left" w:leader="none"/>
        </w:tabs>
        <w:spacing w:line="346" w:lineRule="exact" w:before="0" w:after="0"/>
        <w:ind w:left="653" w:right="0" w:hanging="533"/>
        <w:jc w:val="left"/>
      </w:pPr>
      <w:r>
        <w:rPr/>
        <w:t>重症肌无力</w:t>
      </w:r>
    </w:p>
    <w:p>
      <w:pPr>
        <w:pStyle w:val="BodyText"/>
        <w:spacing w:line="408" w:lineRule="auto" w:before="168"/>
        <w:ind w:left="545" w:right="108" w:firstLine="448"/>
      </w:pPr>
      <w:r>
        <w:rPr>
          <w:spacing w:val="-3"/>
        </w:rPr>
        <w:t>是指一种神经与肌肉接头部位传递障碍的自身免疫性疾病，临床特征是局部或全 </w:t>
      </w:r>
      <w:r>
        <w:rPr>
          <w:spacing w:val="-9"/>
        </w:rPr>
        <w:t>身横纹肌于活动时易于疲劳无力，颅神经眼外肌最易累及，也可涉及呼吸肌、下肢近端</w:t>
      </w:r>
      <w:r>
        <w:rPr>
          <w:spacing w:val="-17"/>
        </w:rPr>
        <w:t>肌群乃至全身肌肉，须经本公司认可的神经科医师确诊。其诊断必须同时具有下列情况：</w:t>
      </w:r>
    </w:p>
    <w:p>
      <w:pPr>
        <w:pStyle w:val="BodyText"/>
        <w:spacing w:before="46"/>
        <w:ind w:left="993"/>
      </w:pPr>
      <w:r>
        <w:rPr/>
        <w:t>1）经药物、胸腺手术治疗一年以上无法控制病情，丧失正常工作能力；</w:t>
      </w:r>
    </w:p>
    <w:p>
      <w:pPr>
        <w:pStyle w:val="BodyText"/>
        <w:spacing w:before="10"/>
        <w:rPr>
          <w:sz w:val="14"/>
        </w:rPr>
      </w:pPr>
    </w:p>
    <w:p>
      <w:pPr>
        <w:pStyle w:val="BodyText"/>
        <w:spacing w:line="410" w:lineRule="auto"/>
        <w:ind w:left="545" w:right="187" w:firstLine="448"/>
      </w:pPr>
      <w:r>
        <w:rPr/>
        <w:t>2）出现眼睑下垂，或延髓肌受累引起的构音困难、进食呛咳，或由于肌无力累及延髓肌、呼吸肌而致机体呼吸功能不正常的危急状态即肌无力危象；</w:t>
      </w:r>
    </w:p>
    <w:p>
      <w:pPr>
        <w:pStyle w:val="BodyText"/>
        <w:spacing w:line="408" w:lineRule="auto" w:before="44"/>
        <w:ind w:left="545" w:right="211" w:firstLine="448"/>
      </w:pPr>
      <w:r>
        <w:rPr>
          <w:spacing w:val="-4"/>
        </w:rPr>
        <w:t>3）</w:t>
      </w:r>
      <w:r>
        <w:rPr>
          <w:spacing w:val="-6"/>
        </w:rPr>
        <w:t>症状缓解、复发及恶化交替出现，临床接受新斯的明等抗胆碱酯酶药物治疗的病史。</w:t>
      </w:r>
    </w:p>
    <w:p>
      <w:pPr>
        <w:pStyle w:val="Heading4"/>
        <w:numPr>
          <w:ilvl w:val="0"/>
          <w:numId w:val="8"/>
        </w:numPr>
        <w:tabs>
          <w:tab w:pos="654" w:val="left" w:leader="none"/>
        </w:tabs>
        <w:spacing w:line="346" w:lineRule="exact" w:before="0" w:after="0"/>
        <w:ind w:left="653" w:right="0" w:hanging="533"/>
        <w:jc w:val="left"/>
      </w:pPr>
      <w:r>
        <w:rPr/>
        <w:t>急性脊髓灰质炎</w:t>
      </w:r>
    </w:p>
    <w:p>
      <w:pPr>
        <w:pStyle w:val="BodyText"/>
        <w:spacing w:before="167"/>
        <w:ind w:left="993"/>
      </w:pPr>
      <w:r>
        <w:rPr/>
        <w:t>是指由于脊髓灰质炎病毒感染所导致的运动功能障碍或呼吸功能减弱的瘫痪性疾</w:t>
      </w:r>
    </w:p>
    <w:p>
      <w:pPr>
        <w:spacing w:after="0"/>
        <w:sectPr>
          <w:pgSz w:w="11910" w:h="16840"/>
          <w:pgMar w:header="0" w:footer="1005" w:top="1460" w:bottom="1200" w:left="1680" w:right="1580"/>
        </w:sectPr>
      </w:pPr>
    </w:p>
    <w:p>
      <w:pPr>
        <w:pStyle w:val="BodyText"/>
        <w:spacing w:line="408" w:lineRule="auto" w:before="26"/>
        <w:ind w:left="545" w:right="111"/>
        <w:jc w:val="both"/>
      </w:pPr>
      <w:r>
        <w:rPr>
          <w:spacing w:val="-12"/>
        </w:rPr>
        <w:t>病。诊断必须由本公司认可的神经科专科主任医师确认并提供相关的脊髓灰质炎病毒感</w:t>
      </w:r>
      <w:r>
        <w:rPr>
          <w:spacing w:val="-16"/>
        </w:rPr>
        <w:t>染的证据</w:t>
      </w:r>
      <w:r>
        <w:rPr>
          <w:spacing w:val="-3"/>
        </w:rPr>
        <w:t>（</w:t>
      </w:r>
      <w:r>
        <w:rPr>
          <w:spacing w:val="-7"/>
        </w:rPr>
        <w:t>例如：脑脊液检查或血清学抗体检查报告</w:t>
      </w:r>
      <w:r>
        <w:rPr>
          <w:spacing w:val="-34"/>
        </w:rPr>
        <w:t>）</w:t>
      </w:r>
      <w:r>
        <w:rPr>
          <w:spacing w:val="-3"/>
        </w:rPr>
        <w:t>被保险人若无因此感染而导致的</w:t>
      </w:r>
      <w:r>
        <w:rPr>
          <w:spacing w:val="-12"/>
        </w:rPr>
        <w:t>瘫痪，则不符合理赔条件。未导致肢体瘫痪及其它病因所致的瘫痪，例如格林一巴利综</w:t>
      </w:r>
      <w:r>
        <w:rPr>
          <w:spacing w:val="-6"/>
        </w:rPr>
        <w:t>合症(急性感染性多神经炎)则不在此保障范围以内。</w:t>
      </w:r>
    </w:p>
    <w:p>
      <w:pPr>
        <w:pStyle w:val="Heading4"/>
        <w:numPr>
          <w:ilvl w:val="0"/>
          <w:numId w:val="8"/>
        </w:numPr>
        <w:tabs>
          <w:tab w:pos="654" w:val="left" w:leader="none"/>
        </w:tabs>
        <w:spacing w:line="346" w:lineRule="exact" w:before="0" w:after="0"/>
        <w:ind w:left="653" w:right="0" w:hanging="533"/>
        <w:jc w:val="left"/>
      </w:pPr>
      <w:r>
        <w:rPr>
          <w:spacing w:val="-1"/>
        </w:rPr>
        <w:t>严重的类风湿性关节炎</w:t>
      </w:r>
    </w:p>
    <w:p>
      <w:pPr>
        <w:pStyle w:val="BodyText"/>
        <w:spacing w:line="408" w:lineRule="auto" w:before="167"/>
        <w:ind w:left="545" w:right="1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410" w:lineRule="auto" w:before="45"/>
        <w:ind w:left="545" w:right="84" w:firstLine="448"/>
      </w:pPr>
      <w:r>
        <w:rPr/>
        <w:t>上述疾病需由专科医生确诊，并提供相应医疗记录以证实上述病情已经存在至少3 个月。</w:t>
      </w:r>
    </w:p>
    <w:p>
      <w:pPr>
        <w:pStyle w:val="Heading4"/>
        <w:numPr>
          <w:ilvl w:val="0"/>
          <w:numId w:val="8"/>
        </w:numPr>
        <w:tabs>
          <w:tab w:pos="654" w:val="left" w:leader="none"/>
        </w:tabs>
        <w:spacing w:line="344" w:lineRule="exact" w:before="0" w:after="0"/>
        <w:ind w:left="653" w:right="0" w:hanging="533"/>
        <w:jc w:val="left"/>
      </w:pPr>
      <w:r>
        <w:rPr/>
        <w:t>系统性红斑狼疮</w:t>
      </w:r>
    </w:p>
    <w:p>
      <w:pPr>
        <w:pStyle w:val="BodyText"/>
        <w:spacing w:line="408" w:lineRule="auto" w:before="168"/>
        <w:ind w:left="545" w:right="1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（WHO）</w:t>
      </w:r>
      <w:r>
        <w:rPr>
          <w:spacing w:val="-2"/>
        </w:rPr>
        <w:t>对狼</w:t>
      </w:r>
      <w:r>
        <w:rPr>
          <w:spacing w:val="-3"/>
        </w:rPr>
        <w:t>疮性肾炎所分类中的第</w:t>
      </w:r>
      <w:r>
        <w:rPr/>
        <w:t>III</w:t>
      </w:r>
      <w:r>
        <w:rPr>
          <w:spacing w:val="-24"/>
        </w:rPr>
        <w:t>、</w:t>
      </w:r>
      <w:r>
        <w:rPr/>
        <w:t>IV</w:t>
      </w:r>
      <w:r>
        <w:rPr>
          <w:spacing w:val="-24"/>
        </w:rPr>
        <w:t>、</w:t>
      </w:r>
      <w:r>
        <w:rPr>
          <w:spacing w:val="-3"/>
        </w:rPr>
        <w:t>V</w:t>
      </w:r>
      <w:r>
        <w:rPr>
          <w:spacing w:val="-24"/>
        </w:rPr>
        <w:t>、</w:t>
      </w:r>
      <w:r>
        <w:rPr/>
        <w:t>VI</w:t>
      </w:r>
      <w:r>
        <w:rPr>
          <w:spacing w:val="-7"/>
        </w:rPr>
        <w:t>型。诊断须由有资格的风湿和免疫病专科医生确认。</w:t>
      </w:r>
    </w:p>
    <w:p>
      <w:pPr>
        <w:pStyle w:val="BodyText"/>
        <w:spacing w:before="46"/>
        <w:ind w:left="993"/>
      </w:pPr>
      <w:r>
        <w:rPr/>
        <w:t>世界卫生组织（WHO）对狼疮性肾炎的分类标准：</w:t>
      </w:r>
    </w:p>
    <w:p>
      <w:pPr>
        <w:pStyle w:val="BodyText"/>
        <w:spacing w:before="10"/>
        <w:rPr>
          <w:sz w:val="14"/>
        </w:rPr>
      </w:pPr>
    </w:p>
    <w:p>
      <w:pPr>
        <w:pStyle w:val="BodyText"/>
        <w:tabs>
          <w:tab w:pos="1730" w:val="left" w:leader="none"/>
        </w:tabs>
        <w:ind w:left="993"/>
      </w:pPr>
      <w:r>
        <w:rPr/>
        <w:t>I 型</w:t>
        <w:tab/>
      </w:r>
      <w:r>
        <w:rPr>
          <w:spacing w:val="-3"/>
        </w:rPr>
        <w:t>正</w:t>
      </w:r>
      <w:r>
        <w:rPr/>
        <w:t>常</w:t>
      </w:r>
      <w:r>
        <w:rPr>
          <w:spacing w:val="-3"/>
        </w:rPr>
        <w:t>肾</w:t>
      </w:r>
      <w:r>
        <w:rPr/>
        <w:t>小</w:t>
      </w:r>
      <w:r>
        <w:rPr>
          <w:spacing w:val="-3"/>
        </w:rPr>
        <w:t>球</w:t>
      </w:r>
      <w:r>
        <w:rPr/>
        <w:t>型；</w:t>
      </w:r>
    </w:p>
    <w:p>
      <w:pPr>
        <w:pStyle w:val="BodyText"/>
        <w:spacing w:before="9"/>
        <w:rPr>
          <w:sz w:val="14"/>
        </w:rPr>
      </w:pPr>
    </w:p>
    <w:p>
      <w:pPr>
        <w:pStyle w:val="BodyText"/>
        <w:tabs>
          <w:tab w:pos="1730" w:val="left" w:leader="none"/>
        </w:tabs>
        <w:ind w:left="993"/>
      </w:pPr>
      <w:r>
        <w:rPr/>
        <w:t>II型</w:t>
        <w:tab/>
      </w:r>
      <w:r>
        <w:rPr>
          <w:spacing w:val="-3"/>
        </w:rPr>
        <w:t>系</w:t>
      </w:r>
      <w:r>
        <w:rPr/>
        <w:t>膜</w:t>
      </w:r>
      <w:r>
        <w:rPr>
          <w:spacing w:val="-3"/>
        </w:rPr>
        <w:t>增</w:t>
      </w:r>
      <w:r>
        <w:rPr/>
        <w:t>生</w:t>
      </w:r>
      <w:r>
        <w:rPr>
          <w:spacing w:val="-3"/>
        </w:rPr>
        <w:t>型</w:t>
      </w:r>
      <w:r>
        <w:rPr/>
        <w:t>；</w:t>
      </w:r>
    </w:p>
    <w:p>
      <w:pPr>
        <w:pStyle w:val="BodyText"/>
        <w:spacing w:before="9"/>
        <w:rPr>
          <w:sz w:val="14"/>
        </w:rPr>
      </w:pPr>
    </w:p>
    <w:p>
      <w:pPr>
        <w:pStyle w:val="BodyText"/>
        <w:tabs>
          <w:tab w:pos="1730" w:val="left" w:leader="none"/>
        </w:tabs>
        <w:ind w:left="993"/>
      </w:pPr>
      <w:r>
        <w:rPr/>
        <w:t>III型</w:t>
        <w:tab/>
      </w:r>
      <w:r>
        <w:rPr>
          <w:spacing w:val="-3"/>
        </w:rPr>
        <w:t>局</w:t>
      </w:r>
      <w:r>
        <w:rPr/>
        <w:t>灶</w:t>
      </w:r>
      <w:r>
        <w:rPr>
          <w:spacing w:val="-3"/>
        </w:rPr>
        <w:t>及</w:t>
      </w:r>
      <w:r>
        <w:rPr/>
        <w:t>节</w:t>
      </w:r>
      <w:r>
        <w:rPr>
          <w:spacing w:val="-3"/>
        </w:rPr>
        <w:t>段</w:t>
      </w:r>
      <w:r>
        <w:rPr/>
        <w:t>增</w:t>
      </w:r>
      <w:r>
        <w:rPr>
          <w:spacing w:val="-3"/>
        </w:rPr>
        <w:t>生型</w:t>
      </w:r>
      <w:r>
        <w:rPr/>
        <w:t>；</w:t>
      </w:r>
    </w:p>
    <w:p>
      <w:pPr>
        <w:pStyle w:val="BodyText"/>
        <w:spacing w:before="9"/>
        <w:rPr>
          <w:sz w:val="14"/>
        </w:rPr>
      </w:pPr>
    </w:p>
    <w:p>
      <w:pPr>
        <w:pStyle w:val="BodyText"/>
        <w:tabs>
          <w:tab w:pos="1730" w:val="left" w:leader="none"/>
        </w:tabs>
        <w:ind w:left="993"/>
      </w:pPr>
      <w:r>
        <w:rPr/>
        <w:t>IV型</w:t>
        <w:tab/>
      </w:r>
      <w:r>
        <w:rPr>
          <w:spacing w:val="-3"/>
        </w:rPr>
        <w:t>弥</w:t>
      </w:r>
      <w:r>
        <w:rPr/>
        <w:t>漫</w:t>
      </w:r>
      <w:r>
        <w:rPr>
          <w:spacing w:val="-3"/>
        </w:rPr>
        <w:t>增</w:t>
      </w:r>
      <w:r>
        <w:rPr/>
        <w:t>生</w:t>
      </w:r>
      <w:r>
        <w:rPr>
          <w:spacing w:val="-3"/>
        </w:rPr>
        <w:t>型</w:t>
      </w:r>
      <w:r>
        <w:rPr/>
        <w:t>；</w:t>
      </w:r>
    </w:p>
    <w:p>
      <w:pPr>
        <w:pStyle w:val="BodyText"/>
        <w:spacing w:before="9"/>
        <w:rPr>
          <w:sz w:val="14"/>
        </w:rPr>
      </w:pPr>
    </w:p>
    <w:p>
      <w:pPr>
        <w:pStyle w:val="BodyText"/>
        <w:tabs>
          <w:tab w:pos="1730" w:val="left" w:leader="none"/>
        </w:tabs>
        <w:ind w:left="993"/>
      </w:pPr>
      <w:r>
        <w:rPr/>
        <w:t>V型</w:t>
        <w:tab/>
      </w:r>
      <w:r>
        <w:rPr>
          <w:spacing w:val="-3"/>
        </w:rPr>
        <w:t>膜</w:t>
      </w:r>
      <w:r>
        <w:rPr/>
        <w:t>型；</w:t>
      </w:r>
    </w:p>
    <w:p>
      <w:pPr>
        <w:pStyle w:val="BodyText"/>
        <w:spacing w:before="9"/>
        <w:rPr>
          <w:sz w:val="14"/>
        </w:rPr>
      </w:pPr>
    </w:p>
    <w:p>
      <w:pPr>
        <w:pStyle w:val="BodyText"/>
        <w:tabs>
          <w:tab w:pos="1730" w:val="left" w:leader="none"/>
        </w:tabs>
        <w:ind w:left="993"/>
      </w:pPr>
      <w:r>
        <w:rPr/>
        <w:t>VI型</w:t>
        <w:tab/>
      </w:r>
      <w:r>
        <w:rPr>
          <w:spacing w:val="-3"/>
        </w:rPr>
        <w:t>肾</w:t>
      </w:r>
      <w:r>
        <w:rPr/>
        <w:t>小</w:t>
      </w:r>
      <w:r>
        <w:rPr>
          <w:spacing w:val="-3"/>
        </w:rPr>
        <w:t>球</w:t>
      </w:r>
      <w:r>
        <w:rPr/>
        <w:t>硬</w:t>
      </w:r>
      <w:r>
        <w:rPr>
          <w:spacing w:val="-3"/>
        </w:rPr>
        <w:t>化</w:t>
      </w:r>
      <w:r>
        <w:rPr/>
        <w:t>型。</w:t>
      </w:r>
    </w:p>
    <w:p>
      <w:pPr>
        <w:pStyle w:val="Heading4"/>
        <w:numPr>
          <w:ilvl w:val="0"/>
          <w:numId w:val="8"/>
        </w:numPr>
        <w:tabs>
          <w:tab w:pos="654" w:val="left" w:leader="none"/>
        </w:tabs>
        <w:spacing w:line="240" w:lineRule="auto" w:before="130" w:after="0"/>
        <w:ind w:left="653" w:right="0" w:hanging="533"/>
        <w:jc w:val="left"/>
      </w:pPr>
      <w:r>
        <w:rPr/>
        <w:t>慢性复发性胰腺炎</w:t>
      </w:r>
    </w:p>
    <w:p>
      <w:pPr>
        <w:pStyle w:val="BodyText"/>
        <w:spacing w:line="408" w:lineRule="auto" w:before="167"/>
        <w:ind w:left="545" w:right="111" w:firstLine="448"/>
      </w:pPr>
      <w:r>
        <w:rPr>
          <w:spacing w:val="-3"/>
        </w:rPr>
        <w:t>有腹痛等典型症状的胰腺炎反复发作，导致胰腺进行性破坏，并导致胰腺功能紊</w:t>
      </w:r>
      <w:r>
        <w:rPr>
          <w:spacing w:val="-8"/>
        </w:rPr>
        <w:t>乱而导致严重糖尿病以及营养不良、恶液质。</w:t>
      </w:r>
      <w:r>
        <w:rPr/>
        <w:t>CT</w:t>
      </w:r>
      <w:r>
        <w:rPr>
          <w:spacing w:val="-6"/>
        </w:rPr>
        <w:t>检查证实胰腺存在广泛钙化，且必须接</w:t>
      </w:r>
      <w:r>
        <w:rPr>
          <w:spacing w:val="-4"/>
        </w:rPr>
        <w:t>受酶替代以及胰岛素替代治疗</w:t>
      </w:r>
      <w:r>
        <w:rPr>
          <w:spacing w:val="-3"/>
        </w:rPr>
        <w:t>6个月以上。诊断必须由消化科专科医生确诊。</w:t>
      </w:r>
    </w:p>
    <w:p>
      <w:pPr>
        <w:pStyle w:val="BodyText"/>
        <w:spacing w:before="45"/>
        <w:ind w:left="993"/>
      </w:pPr>
      <w:r>
        <w:rPr/>
        <w:t>酒精导致的慢性复发性胰腺炎除外。</w:t>
      </w:r>
    </w:p>
    <w:p>
      <w:pPr>
        <w:pStyle w:val="Heading4"/>
        <w:numPr>
          <w:ilvl w:val="0"/>
          <w:numId w:val="8"/>
        </w:numPr>
        <w:tabs>
          <w:tab w:pos="654" w:val="left" w:leader="none"/>
        </w:tabs>
        <w:spacing w:line="240" w:lineRule="auto" w:before="130" w:after="0"/>
        <w:ind w:left="653" w:right="0" w:hanging="533"/>
        <w:jc w:val="left"/>
      </w:pPr>
      <w:r>
        <w:rPr/>
        <w:t>严重的多发性硬化</w:t>
      </w:r>
    </w:p>
    <w:p>
      <w:pPr>
        <w:pStyle w:val="BodyText"/>
        <w:spacing w:before="167"/>
        <w:ind w:left="993"/>
      </w:pPr>
      <w:r>
        <w:rPr/>
        <w:t>多发性硬化症为中枢神经系统白质多灶性脱髓鞘病变，病变有时累及灰质。多发</w:t>
      </w:r>
    </w:p>
    <w:p>
      <w:pPr>
        <w:spacing w:after="0"/>
        <w:sectPr>
          <w:pgSz w:w="11910" w:h="16840"/>
          <w:pgMar w:header="0" w:footer="1005" w:top="1460" w:bottom="1200" w:left="1680" w:right="1680"/>
        </w:sectPr>
      </w:pPr>
    </w:p>
    <w:p>
      <w:pPr>
        <w:pStyle w:val="BodyText"/>
        <w:spacing w:line="408" w:lineRule="auto" w:before="26"/>
        <w:ind w:left="545" w:right="111"/>
        <w:jc w:val="both"/>
      </w:pPr>
      <w:r>
        <w:rPr>
          <w:spacing w:val="-7"/>
        </w:rPr>
        <w:t>性硬化症必须由我们认可的医院的神经专科医生确诊。必须伴有典型的脱髓鞘症状和运</w:t>
      </w:r>
      <w:r>
        <w:rPr>
          <w:spacing w:val="-5"/>
        </w:rPr>
        <w:t>动及感觉功能障碍的证据并有</w:t>
      </w:r>
      <w:r>
        <w:rPr/>
        <w:t>MRI</w:t>
      </w:r>
      <w:r>
        <w:rPr>
          <w:spacing w:val="-3"/>
        </w:rPr>
        <w:t>和脑脊液检查的典型改变。多发性硬化症必须造成神</w:t>
      </w:r>
      <w:r>
        <w:rPr>
          <w:spacing w:val="-7"/>
        </w:rPr>
        <w:t>经系统永久性功能损害并且已导致被保险人自主生活能力完全丧失，无法独立完成六项</w:t>
      </w:r>
      <w:r>
        <w:rPr>
          <w:spacing w:val="-3"/>
        </w:rPr>
        <w:t>基本日常生活活动中的三项或三项以上持续达</w:t>
      </w:r>
      <w:r>
        <w:rPr/>
        <w:t>180</w:t>
      </w:r>
      <w:r>
        <w:rPr>
          <w:spacing w:val="-2"/>
        </w:rPr>
        <w:t>天以上。</w:t>
      </w:r>
    </w:p>
    <w:p>
      <w:pPr>
        <w:pStyle w:val="Heading4"/>
        <w:numPr>
          <w:ilvl w:val="0"/>
          <w:numId w:val="8"/>
        </w:numPr>
        <w:tabs>
          <w:tab w:pos="654" w:val="left" w:leader="none"/>
        </w:tabs>
        <w:spacing w:line="346" w:lineRule="exact" w:before="0" w:after="0"/>
        <w:ind w:left="653" w:right="0" w:hanging="533"/>
        <w:jc w:val="left"/>
      </w:pPr>
      <w:r>
        <w:rPr>
          <w:spacing w:val="-1"/>
        </w:rPr>
        <w:t>终末期慢性呼吸功能衰竭</w:t>
      </w:r>
    </w:p>
    <w:p>
      <w:pPr>
        <w:pStyle w:val="BodyText"/>
        <w:spacing w:before="167"/>
        <w:ind w:left="993"/>
      </w:pPr>
      <w:r>
        <w:rPr/>
        <w:t>指因慢性呼吸系统疾病导致呼吸功能衰竭，且诊断必须满足以下所有条件：</w:t>
      </w:r>
    </w:p>
    <w:p>
      <w:pPr>
        <w:pStyle w:val="BodyText"/>
        <w:spacing w:before="9"/>
        <w:rPr>
          <w:sz w:val="14"/>
        </w:rPr>
      </w:pPr>
    </w:p>
    <w:p>
      <w:pPr>
        <w:pStyle w:val="ListParagraph"/>
        <w:numPr>
          <w:ilvl w:val="1"/>
          <w:numId w:val="8"/>
        </w:numPr>
        <w:tabs>
          <w:tab w:pos="1311" w:val="left" w:leader="none"/>
        </w:tabs>
        <w:spacing w:line="240" w:lineRule="auto" w:before="0" w:after="0"/>
        <w:ind w:left="1310" w:right="0" w:hanging="316"/>
        <w:jc w:val="left"/>
        <w:rPr>
          <w:sz w:val="21"/>
        </w:rPr>
      </w:pPr>
      <w:r>
        <w:rPr>
          <w:spacing w:val="-3"/>
          <w:sz w:val="21"/>
        </w:rPr>
        <w:t>第一秒末用力呼气量</w:t>
      </w:r>
      <w:r>
        <w:rPr>
          <w:spacing w:val="-1"/>
          <w:sz w:val="21"/>
        </w:rPr>
        <w:t>（FEV1）</w:t>
      </w:r>
      <w:r>
        <w:rPr>
          <w:spacing w:val="-2"/>
          <w:sz w:val="21"/>
        </w:rPr>
        <w:t>小于</w:t>
      </w:r>
      <w:r>
        <w:rPr>
          <w:sz w:val="21"/>
        </w:rPr>
        <w:t>1</w:t>
      </w:r>
      <w:r>
        <w:rPr>
          <w:spacing w:val="-3"/>
          <w:sz w:val="21"/>
        </w:rPr>
        <w:t>升；</w:t>
      </w:r>
    </w:p>
    <w:p>
      <w:pPr>
        <w:pStyle w:val="BodyText"/>
        <w:spacing w:before="9"/>
        <w:rPr>
          <w:sz w:val="14"/>
        </w:rPr>
      </w:pPr>
    </w:p>
    <w:p>
      <w:pPr>
        <w:pStyle w:val="ListParagraph"/>
        <w:numPr>
          <w:ilvl w:val="1"/>
          <w:numId w:val="8"/>
        </w:numPr>
        <w:tabs>
          <w:tab w:pos="1311" w:val="left" w:leader="none"/>
        </w:tabs>
        <w:spacing w:line="240" w:lineRule="auto" w:before="0" w:after="0"/>
        <w:ind w:left="1310" w:right="0" w:hanging="316"/>
        <w:jc w:val="left"/>
        <w:rPr>
          <w:sz w:val="21"/>
        </w:rPr>
      </w:pPr>
      <w:r>
        <w:rPr>
          <w:spacing w:val="-3"/>
          <w:sz w:val="21"/>
        </w:rPr>
        <w:t>气道内阻力增加，至少达到</w:t>
      </w:r>
      <w:r>
        <w:rPr>
          <w:sz w:val="21"/>
        </w:rPr>
        <w:t>0.5</w:t>
      </w:r>
      <w:r>
        <w:rPr>
          <w:spacing w:val="10"/>
          <w:sz w:val="21"/>
        </w:rPr>
        <w:t> </w:t>
      </w:r>
      <w:r>
        <w:rPr>
          <w:sz w:val="21"/>
        </w:rPr>
        <w:t>kPa/l/s；</w:t>
      </w:r>
    </w:p>
    <w:p>
      <w:pPr>
        <w:pStyle w:val="BodyText"/>
        <w:spacing w:before="9"/>
        <w:rPr>
          <w:sz w:val="14"/>
        </w:rPr>
      </w:pPr>
    </w:p>
    <w:p>
      <w:pPr>
        <w:pStyle w:val="ListParagraph"/>
        <w:numPr>
          <w:ilvl w:val="1"/>
          <w:numId w:val="8"/>
        </w:numPr>
        <w:tabs>
          <w:tab w:pos="1311" w:val="left" w:leader="none"/>
        </w:tabs>
        <w:spacing w:line="240" w:lineRule="auto" w:before="0" w:after="0"/>
        <w:ind w:left="1310" w:right="0" w:hanging="316"/>
        <w:jc w:val="left"/>
        <w:rPr>
          <w:sz w:val="21"/>
        </w:rPr>
      </w:pPr>
      <w:r>
        <w:rPr/>
        <w:drawing>
          <wp:anchor distT="0" distB="0" distL="0" distR="0" allowOverlap="1" layoutInCell="1" locked="0" behindDoc="1" simplePos="0" relativeHeight="268419095">
            <wp:simplePos x="0" y="0"/>
            <wp:positionH relativeFrom="page">
              <wp:posOffset>3569970</wp:posOffset>
            </wp:positionH>
            <wp:positionV relativeFrom="paragraph">
              <wp:posOffset>54148</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0325" cy="104775"/>
                    </a:xfrm>
                    <a:prstGeom prst="rect">
                      <a:avLst/>
                    </a:prstGeom>
                  </pic:spPr>
                </pic:pic>
              </a:graphicData>
            </a:graphic>
          </wp:anchor>
        </w:drawing>
      </w:r>
      <w:r>
        <w:rPr>
          <w:spacing w:val="-3"/>
          <w:sz w:val="21"/>
        </w:rPr>
        <w:t>残气容积占肺总量</w:t>
      </w:r>
      <w:r>
        <w:rPr>
          <w:spacing w:val="-1"/>
          <w:sz w:val="21"/>
        </w:rPr>
        <w:t>(TLC)的</w:t>
      </w:r>
      <w:r>
        <w:rPr>
          <w:sz w:val="21"/>
        </w:rPr>
        <w:t>60</w:t>
      </w:r>
      <w:r>
        <w:rPr>
          <w:spacing w:val="-2"/>
          <w:sz w:val="21"/>
        </w:rPr>
        <w:t>以上；</w:t>
      </w:r>
    </w:p>
    <w:p>
      <w:pPr>
        <w:pStyle w:val="BodyText"/>
        <w:spacing w:before="10"/>
        <w:rPr>
          <w:sz w:val="14"/>
        </w:rPr>
      </w:pPr>
    </w:p>
    <w:p>
      <w:pPr>
        <w:pStyle w:val="ListParagraph"/>
        <w:numPr>
          <w:ilvl w:val="1"/>
          <w:numId w:val="8"/>
        </w:numPr>
        <w:tabs>
          <w:tab w:pos="1311" w:val="left" w:leader="none"/>
        </w:tabs>
        <w:spacing w:line="240" w:lineRule="auto" w:before="0" w:after="0"/>
        <w:ind w:left="1310" w:right="0" w:hanging="316"/>
        <w:jc w:val="left"/>
        <w:rPr>
          <w:sz w:val="21"/>
        </w:rPr>
      </w:pPr>
      <w:r>
        <w:rPr>
          <w:spacing w:val="-3"/>
          <w:sz w:val="21"/>
        </w:rPr>
        <w:t>胸内气体容积升高，超过</w:t>
      </w:r>
      <w:r>
        <w:rPr>
          <w:sz w:val="21"/>
        </w:rPr>
        <w:t>170</w:t>
      </w:r>
      <w:r>
        <w:rPr>
          <w:spacing w:val="-1"/>
          <w:sz w:val="21"/>
        </w:rPr>
        <w:t> (基值的百分比)；</w:t>
      </w:r>
    </w:p>
    <w:p>
      <w:pPr>
        <w:pStyle w:val="BodyText"/>
        <w:spacing w:before="9"/>
        <w:rPr>
          <w:sz w:val="14"/>
        </w:rPr>
      </w:pPr>
    </w:p>
    <w:p>
      <w:pPr>
        <w:pStyle w:val="ListParagraph"/>
        <w:numPr>
          <w:ilvl w:val="1"/>
          <w:numId w:val="8"/>
        </w:numPr>
        <w:tabs>
          <w:tab w:pos="1311" w:val="left" w:leader="none"/>
        </w:tabs>
        <w:spacing w:line="240" w:lineRule="auto" w:before="0" w:after="0"/>
        <w:ind w:left="1310" w:right="0" w:hanging="316"/>
        <w:jc w:val="left"/>
        <w:rPr>
          <w:sz w:val="21"/>
        </w:rPr>
      </w:pPr>
      <w:r>
        <w:rPr>
          <w:spacing w:val="-1"/>
          <w:sz w:val="21"/>
        </w:rPr>
        <w:t>PaO2&lt;60mmHg，PaCO2&gt;50mmHg</w:t>
      </w:r>
      <w:r>
        <w:rPr>
          <w:sz w:val="21"/>
        </w:rPr>
        <w:t>。</w:t>
      </w:r>
    </w:p>
    <w:p>
      <w:pPr>
        <w:pStyle w:val="Heading4"/>
        <w:numPr>
          <w:ilvl w:val="0"/>
          <w:numId w:val="8"/>
        </w:numPr>
        <w:tabs>
          <w:tab w:pos="654" w:val="left" w:leader="none"/>
        </w:tabs>
        <w:spacing w:line="240" w:lineRule="auto" w:before="130" w:after="0"/>
        <w:ind w:left="653" w:right="0" w:hanging="533"/>
        <w:jc w:val="left"/>
      </w:pPr>
      <w:r>
        <w:rPr/>
        <w:t>肌营养不良症</w:t>
      </w:r>
    </w:p>
    <w:p>
      <w:pPr>
        <w:pStyle w:val="BodyText"/>
        <w:spacing w:line="408" w:lineRule="auto" w:before="167"/>
        <w:ind w:left="545" w:right="193" w:firstLine="448"/>
      </w:pPr>
      <w:r>
        <w:rPr/>
        <w:t>指一组原发于肌肉的遗传性疾病，临床表现为与神经系统无关的肌肉无力和肌肉萎缩。且须满足下列全部条件：</w:t>
      </w:r>
    </w:p>
    <w:p>
      <w:pPr>
        <w:pStyle w:val="BodyText"/>
        <w:spacing w:before="45"/>
        <w:ind w:left="993"/>
      </w:pPr>
      <w:r>
        <w:rPr/>
        <w:t>1）肌肉组织活检结果满足肌营养不良症的肌肉细胞变性、坏死等阳性改变；</w:t>
      </w:r>
    </w:p>
    <w:p>
      <w:pPr>
        <w:pStyle w:val="BodyText"/>
        <w:spacing w:before="9"/>
        <w:rPr>
          <w:sz w:val="14"/>
        </w:rPr>
      </w:pPr>
    </w:p>
    <w:p>
      <w:pPr>
        <w:pStyle w:val="BodyText"/>
        <w:spacing w:line="408" w:lineRule="auto"/>
        <w:ind w:left="545" w:right="73" w:firstLine="448"/>
      </w:pPr>
      <w:r>
        <w:rPr/>
        <w:t>2）自主生活能力完全丧失，无法独立完成六项基本日常生活活动中的三项或三项以上。</w:t>
      </w:r>
    </w:p>
    <w:p>
      <w:pPr>
        <w:pStyle w:val="Heading4"/>
        <w:numPr>
          <w:ilvl w:val="0"/>
          <w:numId w:val="8"/>
        </w:numPr>
        <w:tabs>
          <w:tab w:pos="654" w:val="left" w:leader="none"/>
        </w:tabs>
        <w:spacing w:line="347" w:lineRule="exact" w:before="0" w:after="0"/>
        <w:ind w:left="653" w:right="0" w:hanging="533"/>
        <w:jc w:val="left"/>
      </w:pPr>
      <w:r>
        <w:rPr/>
        <w:t>肌萎缩性（脊髓）</w:t>
      </w:r>
      <w:r>
        <w:rPr>
          <w:spacing w:val="-3"/>
        </w:rPr>
        <w:t>侧索硬化症</w:t>
      </w:r>
    </w:p>
    <w:p>
      <w:pPr>
        <w:pStyle w:val="BodyText"/>
        <w:spacing w:line="408" w:lineRule="auto" w:before="168"/>
        <w:ind w:left="545" w:right="111" w:firstLine="448"/>
      </w:pPr>
      <w:r>
        <w:rPr>
          <w:spacing w:val="-3"/>
        </w:rPr>
        <w:t>是指持续的神经变性累及脊髓神经及脑干运动神经元，出现肌肉无力、挛缩、肌</w:t>
      </w:r>
      <w:r>
        <w:rPr>
          <w:spacing w:val="-9"/>
        </w:rPr>
        <w:t>束颤动及萎缩症状和体征。须经神经专科医师做出明确诊断，且疾病进行性发展已导致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1"/>
          <w:numId w:val="8"/>
        </w:numPr>
        <w:tabs>
          <w:tab w:pos="1311" w:val="left" w:leader="none"/>
        </w:tabs>
        <w:spacing w:line="240" w:lineRule="auto" w:before="46" w:after="0"/>
        <w:ind w:left="545" w:right="0" w:firstLine="449"/>
        <w:jc w:val="left"/>
        <w:rPr>
          <w:sz w:val="21"/>
        </w:rPr>
      </w:pPr>
      <w:r>
        <w:rPr>
          <w:spacing w:val="-3"/>
          <w:sz w:val="21"/>
        </w:rPr>
        <w:t>一上肢或双上肢手腕以上部分的完全及永久瘫痪；</w:t>
      </w:r>
    </w:p>
    <w:p>
      <w:pPr>
        <w:pStyle w:val="BodyText"/>
        <w:spacing w:before="10"/>
        <w:rPr>
          <w:sz w:val="14"/>
        </w:rPr>
      </w:pPr>
    </w:p>
    <w:p>
      <w:pPr>
        <w:pStyle w:val="ListParagraph"/>
        <w:numPr>
          <w:ilvl w:val="1"/>
          <w:numId w:val="8"/>
        </w:numPr>
        <w:tabs>
          <w:tab w:pos="1311" w:val="left" w:leader="none"/>
        </w:tabs>
        <w:spacing w:line="240" w:lineRule="auto" w:before="0" w:after="0"/>
        <w:ind w:left="545" w:right="0" w:firstLine="449"/>
        <w:jc w:val="left"/>
        <w:rPr>
          <w:sz w:val="21"/>
        </w:rPr>
      </w:pPr>
      <w:r>
        <w:rPr>
          <w:spacing w:val="-3"/>
          <w:sz w:val="21"/>
        </w:rPr>
        <w:t>一下肢或双下肢足踝以上部分的完全及永久瘫痪；</w:t>
      </w:r>
    </w:p>
    <w:p>
      <w:pPr>
        <w:pStyle w:val="BodyText"/>
        <w:spacing w:before="9"/>
        <w:rPr>
          <w:sz w:val="14"/>
        </w:rPr>
      </w:pPr>
    </w:p>
    <w:p>
      <w:pPr>
        <w:pStyle w:val="ListParagraph"/>
        <w:numPr>
          <w:ilvl w:val="1"/>
          <w:numId w:val="8"/>
        </w:numPr>
        <w:tabs>
          <w:tab w:pos="1311" w:val="left" w:leader="none"/>
        </w:tabs>
        <w:spacing w:line="240" w:lineRule="auto" w:before="1" w:after="0"/>
        <w:ind w:left="545" w:right="0" w:firstLine="449"/>
        <w:jc w:val="left"/>
        <w:rPr>
          <w:sz w:val="21"/>
        </w:rPr>
      </w:pPr>
      <w:r>
        <w:rPr>
          <w:spacing w:val="-3"/>
          <w:sz w:val="21"/>
        </w:rPr>
        <w:t>四肢机能完全及永久丧失；</w:t>
      </w:r>
    </w:p>
    <w:p>
      <w:pPr>
        <w:pStyle w:val="BodyText"/>
        <w:spacing w:before="10"/>
        <w:rPr>
          <w:sz w:val="14"/>
        </w:rPr>
      </w:pPr>
    </w:p>
    <w:p>
      <w:pPr>
        <w:pStyle w:val="ListParagraph"/>
        <w:numPr>
          <w:ilvl w:val="1"/>
          <w:numId w:val="8"/>
        </w:numPr>
        <w:tabs>
          <w:tab w:pos="1311" w:val="left" w:leader="none"/>
        </w:tabs>
        <w:spacing w:line="240" w:lineRule="auto" w:before="0" w:after="0"/>
        <w:ind w:left="545" w:right="0" w:firstLine="449"/>
        <w:jc w:val="left"/>
        <w:rPr>
          <w:sz w:val="21"/>
        </w:rPr>
      </w:pPr>
      <w:r>
        <w:rPr>
          <w:spacing w:val="-3"/>
          <w:sz w:val="21"/>
        </w:rPr>
        <w:t>完全及永久丧失语言能力；</w:t>
      </w:r>
    </w:p>
    <w:p>
      <w:pPr>
        <w:pStyle w:val="BodyText"/>
        <w:spacing w:before="9"/>
        <w:rPr>
          <w:sz w:val="14"/>
        </w:rPr>
      </w:pPr>
    </w:p>
    <w:p>
      <w:pPr>
        <w:pStyle w:val="ListParagraph"/>
        <w:numPr>
          <w:ilvl w:val="1"/>
          <w:numId w:val="8"/>
        </w:numPr>
        <w:tabs>
          <w:tab w:pos="1311" w:val="left" w:leader="none"/>
        </w:tabs>
        <w:spacing w:line="240" w:lineRule="auto" w:before="0" w:after="0"/>
        <w:ind w:left="545" w:right="0" w:firstLine="449"/>
        <w:jc w:val="left"/>
        <w:rPr>
          <w:sz w:val="21"/>
        </w:rPr>
      </w:pPr>
      <w:r>
        <w:rPr>
          <w:spacing w:val="-3"/>
          <w:w w:val="100"/>
          <w:sz w:val="21"/>
        </w:rPr>
        <w:t>完全及永久丧失吞咽能力</w:t>
      </w:r>
      <w:r>
        <w:rPr>
          <w:w w:val="100"/>
          <w:sz w:val="21"/>
        </w:rPr>
        <w:t>（</w:t>
      </w:r>
      <w:r>
        <w:rPr>
          <w:spacing w:val="-3"/>
          <w:w w:val="100"/>
          <w:sz w:val="21"/>
        </w:rPr>
        <w:t>吞咽困难</w:t>
      </w:r>
      <w:r>
        <w:rPr>
          <w:spacing w:val="-108"/>
          <w:w w:val="100"/>
          <w:sz w:val="21"/>
        </w:rPr>
        <w:t>）</w:t>
      </w:r>
      <w:r>
        <w:rPr>
          <w:spacing w:val="-3"/>
          <w:w w:val="100"/>
          <w:sz w:val="21"/>
        </w:rPr>
        <w:t>，必须永久使用喂饲管；</w:t>
      </w:r>
    </w:p>
    <w:p>
      <w:pPr>
        <w:pStyle w:val="BodyText"/>
        <w:spacing w:before="9"/>
        <w:rPr>
          <w:sz w:val="14"/>
        </w:rPr>
      </w:pPr>
    </w:p>
    <w:p>
      <w:pPr>
        <w:pStyle w:val="ListParagraph"/>
        <w:numPr>
          <w:ilvl w:val="1"/>
          <w:numId w:val="8"/>
        </w:numPr>
        <w:tabs>
          <w:tab w:pos="1311" w:val="left" w:leader="none"/>
        </w:tabs>
        <w:spacing w:line="408" w:lineRule="auto" w:before="0" w:after="0"/>
        <w:ind w:left="545" w:right="114" w:firstLine="449"/>
        <w:jc w:val="left"/>
        <w:rPr>
          <w:sz w:val="21"/>
        </w:rPr>
      </w:pPr>
      <w:r>
        <w:rPr>
          <w:spacing w:val="-6"/>
          <w:sz w:val="21"/>
        </w:rPr>
        <w:t>无法独立进行六项日常生活活动即穿衣、移动、行动、卫生、进食、洗澡中三</w:t>
      </w:r>
      <w:r>
        <w:rPr>
          <w:spacing w:val="-4"/>
          <w:sz w:val="21"/>
        </w:rPr>
        <w:t>项或三项以上，且上述日常生活活动经过三个月的持续治疗后仍无法完成。</w:t>
      </w:r>
    </w:p>
    <w:p>
      <w:pPr>
        <w:pStyle w:val="Heading4"/>
        <w:numPr>
          <w:ilvl w:val="0"/>
          <w:numId w:val="8"/>
        </w:numPr>
        <w:tabs>
          <w:tab w:pos="654" w:val="left" w:leader="none"/>
        </w:tabs>
        <w:spacing w:line="346" w:lineRule="exact" w:before="0" w:after="0"/>
        <w:ind w:left="653" w:right="0" w:hanging="533"/>
        <w:jc w:val="left"/>
      </w:pPr>
      <w:r>
        <w:rPr/>
        <w:t>植物人状态</w:t>
      </w:r>
    </w:p>
    <w:p>
      <w:pPr>
        <w:spacing w:after="0" w:line="346" w:lineRule="exact"/>
        <w:jc w:val="left"/>
        <w:sectPr>
          <w:pgSz w:w="11910" w:h="16840"/>
          <w:pgMar w:header="0" w:footer="1005" w:top="1460" w:bottom="1200" w:left="1680" w:right="1680"/>
        </w:sectPr>
      </w:pPr>
    </w:p>
    <w:p>
      <w:pPr>
        <w:pStyle w:val="BodyText"/>
        <w:spacing w:line="408" w:lineRule="auto" w:before="26"/>
        <w:ind w:left="545" w:right="113" w:firstLine="448"/>
      </w:pPr>
      <w:r>
        <w:rPr>
          <w:spacing w:val="-3"/>
        </w:rPr>
        <w:t>指脑皮质广泛性坏死而导致对自身及周边的认知能力完全丧失,但脑干功能依然</w:t>
      </w:r>
      <w:r>
        <w:rPr>
          <w:w w:val="100"/>
        </w:rPr>
        <w:t>存</w:t>
      </w:r>
      <w:r>
        <w:rPr>
          <w:spacing w:val="-11"/>
          <w:w w:val="100"/>
        </w:rPr>
        <w:t>在，必须经神经科专科医生明确诊断,并有头颅断层扫描</w:t>
      </w:r>
      <w:r>
        <w:rPr>
          <w:w w:val="100"/>
        </w:rPr>
        <w:t>（</w:t>
      </w:r>
      <w:r>
        <w:rPr>
          <w:spacing w:val="-3"/>
          <w:w w:val="100"/>
        </w:rPr>
        <w:t>C</w:t>
      </w:r>
      <w:r>
        <w:rPr>
          <w:w w:val="100"/>
        </w:rPr>
        <w:t>T</w:t>
      </w:r>
      <w:r>
        <w:rPr>
          <w:spacing w:val="-108"/>
          <w:w w:val="100"/>
        </w:rPr>
        <w:t>）</w:t>
      </w:r>
      <w:r>
        <w:rPr>
          <w:spacing w:val="-18"/>
          <w:w w:val="100"/>
        </w:rPr>
        <w:t>，核磁共振检查</w:t>
      </w:r>
      <w:r>
        <w:rPr>
          <w:w w:val="100"/>
        </w:rPr>
        <w:t>（</w:t>
      </w:r>
      <w:r>
        <w:rPr>
          <w:spacing w:val="-3"/>
          <w:w w:val="100"/>
        </w:rPr>
        <w:t>M</w:t>
      </w:r>
      <w:r>
        <w:rPr>
          <w:w w:val="100"/>
        </w:rPr>
        <w:t>R</w:t>
      </w:r>
      <w:r>
        <w:rPr>
          <w:spacing w:val="-1"/>
          <w:w w:val="100"/>
        </w:rPr>
        <w:t>I</w:t>
      </w:r>
      <w:r>
        <w:rPr>
          <w:w w:val="100"/>
        </w:rPr>
        <w:t>）</w:t>
      </w:r>
      <w:r>
        <w:rPr/>
        <w:t>或</w:t>
      </w:r>
      <w:r>
        <w:rPr>
          <w:spacing w:val="-3"/>
        </w:rPr>
        <w:t>正电子发射断层扫描</w:t>
      </w:r>
      <w:r>
        <w:rPr/>
        <w:t>（PET）</w:t>
      </w:r>
      <w:r>
        <w:rPr>
          <w:spacing w:val="-3"/>
        </w:rPr>
        <w:t>等影像学检查证实。上述情况必须有至少一个月的病历记录加以证实。由于酗酒或滥用药物所致的植物人状态不在保障范围内。</w:t>
      </w:r>
    </w:p>
    <w:p>
      <w:pPr>
        <w:pStyle w:val="Heading4"/>
        <w:numPr>
          <w:ilvl w:val="0"/>
          <w:numId w:val="8"/>
        </w:numPr>
        <w:tabs>
          <w:tab w:pos="654" w:val="left" w:leader="none"/>
        </w:tabs>
        <w:spacing w:line="346" w:lineRule="exact" w:before="0" w:after="0"/>
        <w:ind w:left="653" w:right="0" w:hanging="533"/>
        <w:jc w:val="left"/>
      </w:pPr>
      <w:r>
        <w:rPr/>
        <w:t>克隆病</w:t>
      </w:r>
    </w:p>
    <w:p>
      <w:pPr>
        <w:pStyle w:val="BodyText"/>
        <w:spacing w:line="408" w:lineRule="auto" w:before="167"/>
        <w:ind w:left="545" w:right="1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pStyle w:val="Heading4"/>
        <w:spacing w:line="346" w:lineRule="exact"/>
        <w:ind w:left="533" w:firstLine="0"/>
      </w:pPr>
      <w:r>
        <w:rPr/>
        <w:t>被保险人发生符合以上疾病定义所述条件的疾病，应当由专科医生明确诊断。第1至第</w:t>
      </w:r>
    </w:p>
    <w:p>
      <w:pPr>
        <w:spacing w:before="106"/>
        <w:ind w:left="120" w:right="0" w:firstLine="0"/>
        <w:jc w:val="left"/>
        <w:rPr>
          <w:rFonts w:ascii="微软雅黑" w:eastAsia="微软雅黑" w:hint="eastAsia"/>
          <w:b/>
          <w:sz w:val="21"/>
        </w:rPr>
      </w:pPr>
      <w:r>
        <w:rPr>
          <w:rFonts w:ascii="微软雅黑" w:eastAsia="微软雅黑" w:hint="eastAsia"/>
          <w:b/>
          <w:w w:val="95"/>
          <w:sz w:val="21"/>
        </w:rPr>
        <w:t>25项为中国保险行业协会与中国医师协会共同制定的重大疾病保险的疾病定义，第26至第</w:t>
      </w:r>
    </w:p>
    <w:p>
      <w:pPr>
        <w:spacing w:before="104"/>
        <w:ind w:left="120" w:right="0" w:firstLine="0"/>
        <w:jc w:val="left"/>
        <w:rPr>
          <w:rFonts w:ascii="微软雅黑" w:eastAsia="微软雅黑" w:hint="eastAsia"/>
          <w:b/>
          <w:sz w:val="21"/>
        </w:rPr>
      </w:pPr>
      <w:r>
        <w:rPr>
          <w:rFonts w:ascii="微软雅黑" w:eastAsia="微软雅黑" w:hint="eastAsia"/>
          <w:b/>
          <w:w w:val="95"/>
          <w:sz w:val="21"/>
        </w:rPr>
        <w:t>40项为我公司增加的疾病种类并自行制定的疾病定义。</w:t>
      </w:r>
    </w:p>
    <w:p>
      <w:pPr>
        <w:pStyle w:val="BodyText"/>
        <w:rPr>
          <w:rFonts w:ascii="微软雅黑"/>
          <w:b/>
          <w:sz w:val="20"/>
        </w:rPr>
      </w:pPr>
    </w:p>
    <w:p>
      <w:pPr>
        <w:pStyle w:val="BodyText"/>
        <w:spacing w:before="2"/>
        <w:rPr>
          <w:rFonts w:ascii="微软雅黑"/>
          <w:b/>
          <w:sz w:val="13"/>
        </w:rPr>
      </w:pPr>
    </w:p>
    <w:p>
      <w:pPr>
        <w:spacing w:before="0"/>
        <w:ind w:left="120" w:right="0" w:firstLine="0"/>
        <w:jc w:val="left"/>
        <w:rPr>
          <w:rFonts w:ascii="微软雅黑" w:hAnsi="微软雅黑" w:eastAsia="微软雅黑" w:hint="eastAsia"/>
          <w:b/>
          <w:sz w:val="21"/>
        </w:rPr>
      </w:pPr>
      <w:r>
        <w:rPr>
          <w:sz w:val="21"/>
        </w:rPr>
        <w:t>※ </w:t>
      </w:r>
      <w:r>
        <w:rPr>
          <w:rFonts w:ascii="微软雅黑" w:hAnsi="微软雅黑" w:eastAsia="微软雅黑" w:hint="eastAsia"/>
          <w:b/>
          <w:sz w:val="21"/>
        </w:rPr>
        <w:t>本重大疾病释义中所提及的术语，其解释如下：</w:t>
      </w:r>
    </w:p>
    <w:p>
      <w:pPr>
        <w:pStyle w:val="BodyText"/>
        <w:spacing w:before="12"/>
        <w:rPr>
          <w:rFonts w:ascii="微软雅黑"/>
          <w:b/>
          <w:sz w:val="18"/>
        </w:rPr>
      </w:pPr>
    </w:p>
    <w:p>
      <w:pPr>
        <w:pStyle w:val="ListParagraph"/>
        <w:numPr>
          <w:ilvl w:val="0"/>
          <w:numId w:val="9"/>
        </w:numPr>
        <w:tabs>
          <w:tab w:pos="541" w:val="left" w:leader="none"/>
        </w:tabs>
        <w:spacing w:line="240" w:lineRule="auto" w:before="0" w:after="0"/>
        <w:ind w:left="540" w:right="0" w:hanging="420"/>
        <w:jc w:val="left"/>
        <w:rPr>
          <w:sz w:val="21"/>
        </w:rPr>
      </w:pPr>
      <w:r>
        <w:rPr>
          <w:spacing w:val="-3"/>
          <w:sz w:val="21"/>
        </w:rPr>
        <w:t>六项基本日常生活活动</w:t>
      </w:r>
    </w:p>
    <w:p>
      <w:pPr>
        <w:pStyle w:val="BodyText"/>
        <w:spacing w:before="9"/>
        <w:rPr>
          <w:sz w:val="14"/>
        </w:rPr>
      </w:pPr>
    </w:p>
    <w:p>
      <w:pPr>
        <w:pStyle w:val="BodyText"/>
        <w:spacing w:line="408" w:lineRule="auto"/>
        <w:ind w:left="120" w:right="111" w:firstLine="419"/>
        <w:jc w:val="both"/>
      </w:pPr>
      <w:r>
        <w:rPr>
          <w:spacing w:val="-4"/>
        </w:rPr>
        <w:t>六项基本日常生活活动是指：</w:t>
      </w:r>
      <w:r>
        <w:rPr>
          <w:spacing w:val="-12"/>
        </w:rPr>
        <w:t>1）</w:t>
      </w:r>
      <w:r>
        <w:rPr>
          <w:spacing w:val="-6"/>
        </w:rPr>
        <w:t>穿衣：自己能够穿衣及脱衣；</w:t>
      </w:r>
      <w:r>
        <w:rPr>
          <w:spacing w:val="-13"/>
        </w:rPr>
        <w:t>2）</w:t>
      </w:r>
      <w:r>
        <w:rPr>
          <w:spacing w:val="-5"/>
        </w:rPr>
        <w:t>移动：自己从一个房</w:t>
      </w:r>
      <w:r>
        <w:rPr>
          <w:spacing w:val="-4"/>
        </w:rPr>
        <w:t>间到另一个房间；</w:t>
      </w:r>
      <w:r>
        <w:rPr/>
        <w:t>3）</w:t>
      </w:r>
      <w:r>
        <w:rPr>
          <w:spacing w:val="-3"/>
        </w:rPr>
        <w:t>行动：自己上下床或上下轮椅</w:t>
      </w:r>
      <w:r>
        <w:rPr/>
        <w:t>；4）</w:t>
      </w:r>
      <w:r>
        <w:rPr>
          <w:spacing w:val="-3"/>
        </w:rPr>
        <w:t>如厕：自己控制进行大小便；</w:t>
      </w:r>
      <w:r>
        <w:rPr/>
        <w:t>5） </w:t>
      </w:r>
      <w:r>
        <w:rPr>
          <w:spacing w:val="-3"/>
        </w:rPr>
        <w:t>进食：自己从已准备好的碗或碟中取食物放入口中；</w:t>
      </w:r>
      <w:r>
        <w:rPr/>
        <w:t>6）</w:t>
      </w:r>
      <w:r>
        <w:rPr>
          <w:spacing w:val="-3"/>
        </w:rPr>
        <w:t>洗澡：自己进行淋浴或盆浴。</w:t>
      </w:r>
    </w:p>
    <w:p>
      <w:pPr>
        <w:pStyle w:val="ListParagraph"/>
        <w:numPr>
          <w:ilvl w:val="0"/>
          <w:numId w:val="9"/>
        </w:numPr>
        <w:tabs>
          <w:tab w:pos="541" w:val="left" w:leader="none"/>
        </w:tabs>
        <w:spacing w:line="240" w:lineRule="auto" w:before="46" w:after="0"/>
        <w:ind w:left="540" w:right="0" w:hanging="420"/>
        <w:jc w:val="left"/>
        <w:rPr>
          <w:sz w:val="21"/>
        </w:rPr>
      </w:pPr>
      <w:r>
        <w:rPr>
          <w:spacing w:val="-3"/>
          <w:sz w:val="21"/>
        </w:rPr>
        <w:t>肢体机能完全丧失</w:t>
      </w:r>
    </w:p>
    <w:p>
      <w:pPr>
        <w:pStyle w:val="BodyText"/>
        <w:spacing w:before="10"/>
        <w:rPr>
          <w:sz w:val="14"/>
        </w:rPr>
      </w:pPr>
    </w:p>
    <w:p>
      <w:pPr>
        <w:pStyle w:val="BodyText"/>
        <w:spacing w:line="408" w:lineRule="auto"/>
        <w:ind w:left="120" w:right="111" w:firstLine="419"/>
        <w:jc w:val="both"/>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9"/>
        </w:numPr>
        <w:tabs>
          <w:tab w:pos="541" w:val="left" w:leader="none"/>
        </w:tabs>
        <w:spacing w:line="240" w:lineRule="auto" w:before="46" w:after="0"/>
        <w:ind w:left="540" w:right="0" w:hanging="420"/>
        <w:jc w:val="left"/>
        <w:rPr>
          <w:sz w:val="21"/>
        </w:rPr>
      </w:pPr>
      <w:r>
        <w:rPr>
          <w:spacing w:val="-3"/>
          <w:sz w:val="21"/>
        </w:rPr>
        <w:t>语言能力或咀嚼吞咽能力完全丧失</w:t>
      </w:r>
    </w:p>
    <w:p>
      <w:pPr>
        <w:pStyle w:val="BodyText"/>
        <w:spacing w:before="9"/>
        <w:rPr>
          <w:sz w:val="14"/>
        </w:rPr>
      </w:pPr>
    </w:p>
    <w:p>
      <w:pPr>
        <w:pStyle w:val="BodyText"/>
        <w:spacing w:line="408" w:lineRule="auto" w:before="1"/>
        <w:ind w:left="120" w:right="111" w:firstLine="419"/>
        <w:jc w:val="both"/>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408" w:lineRule="auto" w:before="46"/>
        <w:ind w:left="120" w:right="111" w:firstLine="419"/>
        <w:jc w:val="both"/>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9"/>
        </w:numPr>
        <w:tabs>
          <w:tab w:pos="541" w:val="left" w:leader="none"/>
        </w:tabs>
        <w:spacing w:line="240" w:lineRule="auto" w:before="46" w:after="0"/>
        <w:ind w:left="540" w:right="0" w:hanging="420"/>
        <w:jc w:val="left"/>
        <w:rPr>
          <w:sz w:val="21"/>
        </w:rPr>
      </w:pPr>
      <w:r>
        <w:rPr>
          <w:spacing w:val="-1"/>
          <w:sz w:val="21"/>
        </w:rPr>
        <w:t>永久不可逆</w:t>
      </w:r>
    </w:p>
    <w:p>
      <w:pPr>
        <w:pStyle w:val="BodyText"/>
        <w:spacing w:before="9"/>
        <w:rPr>
          <w:sz w:val="14"/>
        </w:rPr>
      </w:pPr>
    </w:p>
    <w:p>
      <w:pPr>
        <w:pStyle w:val="BodyText"/>
        <w:spacing w:line="408" w:lineRule="auto"/>
        <w:ind w:left="120" w:right="111" w:firstLine="419"/>
        <w:jc w:val="both"/>
      </w:pPr>
      <w:r>
        <w:rPr>
          <w:spacing w:val="-6"/>
        </w:rPr>
        <w:t>指自疾病确诊或意外伤害发生之日起，经过积极治疗</w:t>
      </w:r>
      <w:r>
        <w:rPr/>
        <w:t>180</w:t>
      </w:r>
      <w:r>
        <w:rPr>
          <w:spacing w:val="-5"/>
        </w:rPr>
        <w:t> 天后，仍无法通过现有医疗手</w:t>
      </w:r>
      <w:r>
        <w:rPr>
          <w:spacing w:val="-4"/>
        </w:rPr>
        <w:t>段恢复。</w:t>
      </w:r>
    </w:p>
    <w:p>
      <w:pPr>
        <w:pStyle w:val="ListParagraph"/>
        <w:numPr>
          <w:ilvl w:val="0"/>
          <w:numId w:val="9"/>
        </w:numPr>
        <w:tabs>
          <w:tab w:pos="541" w:val="left" w:leader="none"/>
        </w:tabs>
        <w:spacing w:line="240" w:lineRule="auto" w:before="45" w:after="0"/>
        <w:ind w:left="540" w:right="0" w:hanging="420"/>
        <w:jc w:val="left"/>
        <w:rPr>
          <w:sz w:val="21"/>
        </w:rPr>
      </w:pPr>
      <w:r>
        <w:rPr>
          <w:spacing w:val="-3"/>
          <w:sz w:val="21"/>
        </w:rPr>
        <w:t>感染艾滋病病毒或患艾滋病</w:t>
      </w:r>
    </w:p>
    <w:p>
      <w:pPr>
        <w:spacing w:after="0" w:line="240" w:lineRule="auto"/>
        <w:jc w:val="left"/>
        <w:rPr>
          <w:sz w:val="21"/>
        </w:rPr>
        <w:sectPr>
          <w:pgSz w:w="11910" w:h="16840"/>
          <w:pgMar w:header="0" w:footer="1005" w:top="1460" w:bottom="1200" w:left="1680" w:right="1680"/>
        </w:sectPr>
      </w:pPr>
    </w:p>
    <w:p>
      <w:pPr>
        <w:pStyle w:val="BodyText"/>
        <w:spacing w:line="408" w:lineRule="auto" w:before="26"/>
        <w:ind w:left="120" w:right="311" w:firstLine="419"/>
        <w:jc w:val="both"/>
      </w:pPr>
      <w:r>
        <w:rPr>
          <w:spacing w:val="-3"/>
        </w:rPr>
        <w:t>艾滋病病毒指人类免疫缺陷病毒，英文缩写为</w:t>
      </w:r>
      <w:r>
        <w:rPr/>
        <w:t>HIV</w:t>
      </w:r>
      <w:r>
        <w:rPr>
          <w:spacing w:val="-3"/>
        </w:rPr>
        <w:t>。艾滋病指人类免疫缺陷病毒引起的</w:t>
      </w:r>
      <w:r>
        <w:rPr>
          <w:spacing w:val="-8"/>
        </w:rPr>
        <w:t>获得性免疫缺陷综合征，英文缩写为</w:t>
      </w:r>
      <w:r>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7"/>
        </w:numPr>
        <w:tabs>
          <w:tab w:pos="540" w:val="left" w:leader="none"/>
          <w:tab w:pos="541" w:val="left" w:leader="none"/>
        </w:tabs>
        <w:spacing w:line="346" w:lineRule="exact" w:before="0" w:after="0"/>
        <w:ind w:left="540" w:right="0" w:hanging="420"/>
        <w:jc w:val="left"/>
        <w:rPr>
          <w:sz w:val="21"/>
        </w:rPr>
      </w:pPr>
      <w:r>
        <w:rPr>
          <w:rFonts w:ascii="微软雅黑" w:eastAsia="微软雅黑" w:hint="eastAsia"/>
          <w:b/>
          <w:spacing w:val="5"/>
          <w:sz w:val="21"/>
        </w:rPr>
        <w:t>毒品  </w:t>
      </w:r>
      <w:r>
        <w:rPr>
          <w:spacing w:val="-3"/>
          <w:sz w:val="21"/>
        </w:rPr>
        <w:t>指中华人民共和国刑法规定的鸦片、海洛因、甲基苯丙胺（</w:t>
      </w:r>
      <w:r>
        <w:rPr>
          <w:sz w:val="21"/>
        </w:rPr>
        <w:t>冰毒</w:t>
      </w:r>
      <w:r>
        <w:rPr>
          <w:spacing w:val="-108"/>
          <w:sz w:val="21"/>
        </w:rPr>
        <w:t>）</w:t>
      </w:r>
      <w:r>
        <w:rPr>
          <w:spacing w:val="-1"/>
          <w:sz w:val="21"/>
        </w:rPr>
        <w:t>、吗啡、大麻、</w:t>
      </w:r>
    </w:p>
    <w:p>
      <w:pPr>
        <w:pStyle w:val="BodyText"/>
        <w:spacing w:line="408" w:lineRule="auto" w:before="167"/>
        <w:ind w:left="540" w:right="311"/>
      </w:pPr>
      <w:r>
        <w:rPr>
          <w:spacing w:val="-6"/>
        </w:rPr>
        <w:t>可卡因以及国家规定管制的其他能够使人形成瘾癖的麻醉药品和精神药品，但不包括由</w:t>
      </w:r>
      <w:r>
        <w:rPr>
          <w:spacing w:val="-4"/>
        </w:rPr>
        <w:t>医生开具并遵医嘱使用的用于治疗疾病但含有毒品成分的处方药品。</w:t>
      </w:r>
    </w:p>
    <w:p>
      <w:pPr>
        <w:pStyle w:val="ListParagraph"/>
        <w:numPr>
          <w:ilvl w:val="0"/>
          <w:numId w:val="7"/>
        </w:numPr>
        <w:tabs>
          <w:tab w:pos="540" w:val="left" w:leader="none"/>
          <w:tab w:pos="541" w:val="left" w:leader="none"/>
        </w:tabs>
        <w:spacing w:line="346" w:lineRule="exact" w:before="0" w:after="0"/>
        <w:ind w:left="540" w:right="0" w:hanging="420"/>
        <w:jc w:val="left"/>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p>
    <w:p>
      <w:pPr>
        <w:pStyle w:val="BodyText"/>
        <w:spacing w:line="410" w:lineRule="auto" w:before="168"/>
        <w:ind w:left="540" w:right="313"/>
      </w:pPr>
      <w:r>
        <w:rPr>
          <w:spacing w:val="-10"/>
        </w:rPr>
        <w:t>或超过一定的标准，公安机关交通管理部门依据《道路交通安全法》的规定认定为饮酒</w:t>
      </w:r>
      <w:r>
        <w:rPr>
          <w:spacing w:val="-3"/>
        </w:rPr>
        <w:t>后驾驶或醉酒后驾驶。</w:t>
      </w:r>
    </w:p>
    <w:p>
      <w:pPr>
        <w:pStyle w:val="ListParagraph"/>
        <w:numPr>
          <w:ilvl w:val="0"/>
          <w:numId w:val="7"/>
        </w:numPr>
        <w:tabs>
          <w:tab w:pos="540" w:val="left" w:leader="none"/>
          <w:tab w:pos="541" w:val="left" w:leader="none"/>
        </w:tabs>
        <w:spacing w:line="344" w:lineRule="exact" w:before="0"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10"/>
        </w:numPr>
        <w:tabs>
          <w:tab w:pos="541" w:val="left" w:leader="none"/>
        </w:tabs>
        <w:spacing w:line="240" w:lineRule="auto" w:before="168" w:after="0"/>
        <w:ind w:left="540" w:right="0" w:hanging="420"/>
        <w:jc w:val="left"/>
        <w:rPr>
          <w:sz w:val="21"/>
        </w:rPr>
      </w:pPr>
      <w:r>
        <w:rPr>
          <w:spacing w:val="-3"/>
          <w:sz w:val="21"/>
        </w:rPr>
        <w:t>没有取得驾驶资格；</w:t>
      </w:r>
    </w:p>
    <w:p>
      <w:pPr>
        <w:pStyle w:val="BodyText"/>
        <w:spacing w:before="9"/>
        <w:rPr>
          <w:sz w:val="14"/>
        </w:rPr>
      </w:pPr>
    </w:p>
    <w:p>
      <w:pPr>
        <w:pStyle w:val="ListParagraph"/>
        <w:numPr>
          <w:ilvl w:val="0"/>
          <w:numId w:val="10"/>
        </w:numPr>
        <w:tabs>
          <w:tab w:pos="541" w:val="left" w:leader="none"/>
        </w:tabs>
        <w:spacing w:line="240" w:lineRule="auto" w:before="0" w:after="0"/>
        <w:ind w:left="540" w:right="0" w:hanging="420"/>
        <w:jc w:val="left"/>
        <w:rPr>
          <w:sz w:val="21"/>
        </w:rPr>
      </w:pPr>
      <w:r>
        <w:rPr>
          <w:spacing w:val="-3"/>
          <w:sz w:val="21"/>
        </w:rPr>
        <w:t>驾驶与驾驶证准驾车型不相符合的车辆；</w:t>
      </w:r>
    </w:p>
    <w:p>
      <w:pPr>
        <w:pStyle w:val="BodyText"/>
        <w:spacing w:before="9"/>
        <w:rPr>
          <w:sz w:val="14"/>
        </w:rPr>
      </w:pPr>
    </w:p>
    <w:p>
      <w:pPr>
        <w:pStyle w:val="ListParagraph"/>
        <w:numPr>
          <w:ilvl w:val="0"/>
          <w:numId w:val="10"/>
        </w:numPr>
        <w:tabs>
          <w:tab w:pos="541" w:val="left" w:leader="none"/>
        </w:tabs>
        <w:spacing w:line="240" w:lineRule="auto" w:before="0" w:after="0"/>
        <w:ind w:left="540" w:right="0" w:hanging="420"/>
        <w:jc w:val="left"/>
        <w:rPr>
          <w:sz w:val="21"/>
        </w:rPr>
      </w:pPr>
      <w:r>
        <w:rPr>
          <w:spacing w:val="-3"/>
          <w:sz w:val="21"/>
        </w:rPr>
        <w:t>持审验不合格的驾驶证驾驶；</w:t>
      </w:r>
    </w:p>
    <w:p>
      <w:pPr>
        <w:pStyle w:val="BodyText"/>
        <w:spacing w:before="9"/>
        <w:rPr>
          <w:sz w:val="14"/>
        </w:rPr>
      </w:pPr>
    </w:p>
    <w:p>
      <w:pPr>
        <w:pStyle w:val="ListParagraph"/>
        <w:numPr>
          <w:ilvl w:val="0"/>
          <w:numId w:val="10"/>
        </w:numPr>
        <w:tabs>
          <w:tab w:pos="541" w:val="left" w:leader="none"/>
        </w:tabs>
        <w:spacing w:line="240" w:lineRule="auto" w:before="0" w:after="0"/>
        <w:ind w:left="540" w:right="0" w:hanging="420"/>
        <w:jc w:val="left"/>
        <w:rPr>
          <w:sz w:val="21"/>
        </w:rPr>
      </w:pPr>
      <w:r>
        <w:rPr>
          <w:spacing w:val="-3"/>
          <w:sz w:val="21"/>
        </w:rPr>
        <w:t>持学习驾驶证学习驾车时，无教练员随车指导，或不按指定时间、路线学习驾车。</w:t>
      </w:r>
    </w:p>
    <w:p>
      <w:pPr>
        <w:pStyle w:val="ListParagraph"/>
        <w:numPr>
          <w:ilvl w:val="0"/>
          <w:numId w:val="7"/>
        </w:numPr>
        <w:tabs>
          <w:tab w:pos="540" w:val="left" w:leader="none"/>
          <w:tab w:pos="541" w:val="left" w:leader="none"/>
        </w:tabs>
        <w:spacing w:line="240" w:lineRule="auto" w:before="130"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11"/>
        </w:numPr>
        <w:tabs>
          <w:tab w:pos="541" w:val="left" w:leader="none"/>
        </w:tabs>
        <w:spacing w:line="240" w:lineRule="auto" w:before="167" w:after="0"/>
        <w:ind w:left="540" w:right="0" w:hanging="420"/>
        <w:jc w:val="left"/>
        <w:rPr>
          <w:sz w:val="21"/>
        </w:rPr>
      </w:pPr>
      <w:r>
        <w:rPr>
          <w:spacing w:val="-3"/>
          <w:sz w:val="21"/>
        </w:rPr>
        <w:t>机动车被依法注销登记的；</w:t>
      </w:r>
    </w:p>
    <w:p>
      <w:pPr>
        <w:pStyle w:val="BodyText"/>
        <w:spacing w:before="9"/>
        <w:rPr>
          <w:sz w:val="14"/>
        </w:rPr>
      </w:pPr>
    </w:p>
    <w:p>
      <w:pPr>
        <w:pStyle w:val="ListParagraph"/>
        <w:numPr>
          <w:ilvl w:val="0"/>
          <w:numId w:val="11"/>
        </w:numPr>
        <w:tabs>
          <w:tab w:pos="541" w:val="left" w:leader="none"/>
        </w:tabs>
        <w:spacing w:line="240" w:lineRule="auto" w:before="0" w:after="0"/>
        <w:ind w:left="540" w:right="0" w:hanging="420"/>
        <w:jc w:val="left"/>
        <w:rPr>
          <w:sz w:val="21"/>
        </w:rPr>
      </w:pPr>
      <w:r>
        <w:rPr>
          <w:spacing w:val="-3"/>
          <w:sz w:val="21"/>
        </w:rPr>
        <w:t>未依法按时进行或通过机动车安全技术检验。</w:t>
      </w:r>
    </w:p>
    <w:p>
      <w:pPr>
        <w:pStyle w:val="ListParagraph"/>
        <w:numPr>
          <w:ilvl w:val="0"/>
          <w:numId w:val="7"/>
        </w:numPr>
        <w:tabs>
          <w:tab w:pos="540" w:val="left" w:leader="none"/>
          <w:tab w:pos="541" w:val="left" w:leader="none"/>
        </w:tabs>
        <w:spacing w:line="350" w:lineRule="auto" w:before="130" w:after="0"/>
        <w:ind w:left="540" w:right="318" w:hanging="420"/>
        <w:jc w:val="left"/>
        <w:rPr>
          <w:sz w:val="21"/>
        </w:rPr>
      </w:pPr>
      <w:r>
        <w:rPr>
          <w:rFonts w:ascii="微软雅黑" w:eastAsia="微软雅黑" w:hint="eastAsia"/>
          <w:b/>
          <w:spacing w:val="1"/>
          <w:sz w:val="21"/>
        </w:rPr>
        <w:t>遗传性疾病 </w:t>
      </w:r>
      <w:r>
        <w:rPr>
          <w:spacing w:val="-3"/>
          <w:sz w:val="21"/>
        </w:rPr>
        <w:t>指生殖细胞或受精卵的遗传物质（染色体和基因）发生突变或畸变所引起的疾病，通常具有由亲代传至后代的垂直传递的特征。</w:t>
      </w:r>
    </w:p>
    <w:p>
      <w:pPr>
        <w:pStyle w:val="ListParagraph"/>
        <w:numPr>
          <w:ilvl w:val="0"/>
          <w:numId w:val="7"/>
        </w:numPr>
        <w:tabs>
          <w:tab w:pos="541" w:val="left" w:leader="none"/>
        </w:tabs>
        <w:spacing w:line="350" w:lineRule="auto" w:before="34" w:after="0"/>
        <w:ind w:left="540" w:right="311" w:hanging="420"/>
        <w:jc w:val="left"/>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r>
        <w:rPr>
          <w:spacing w:val="-11"/>
          <w:sz w:val="21"/>
        </w:rPr>
        <w:t>常。先天性畸形、变形和染色体异常依照世界卫生组织《疾病和有关健康问题的国际统</w:t>
      </w:r>
    </w:p>
    <w:p>
      <w:pPr>
        <w:pStyle w:val="BodyText"/>
        <w:spacing w:before="96"/>
        <w:ind w:left="540"/>
      </w:pPr>
      <w:r>
        <w:rPr/>
        <w:t>计分类》（ICD-10）确定。</w:t>
      </w:r>
    </w:p>
    <w:p>
      <w:pPr>
        <w:pStyle w:val="ListParagraph"/>
        <w:numPr>
          <w:ilvl w:val="0"/>
          <w:numId w:val="7"/>
        </w:numPr>
        <w:tabs>
          <w:tab w:pos="541" w:val="left" w:leader="none"/>
        </w:tabs>
        <w:spacing w:line="350" w:lineRule="auto" w:before="130" w:after="0"/>
        <w:ind w:left="540" w:right="102" w:hanging="420"/>
        <w:jc w:val="left"/>
        <w:rPr>
          <w:sz w:val="21"/>
        </w:rPr>
      </w:pPr>
      <w:r>
        <w:rPr>
          <w:rFonts w:ascii="微软雅黑" w:eastAsia="微软雅黑" w:hint="eastAsia"/>
          <w:b/>
          <w:spacing w:val="6"/>
          <w:sz w:val="21"/>
        </w:rPr>
        <w:t>现金价值  </w:t>
      </w:r>
      <w:r>
        <w:rPr>
          <w:spacing w:val="-3"/>
          <w:sz w:val="21"/>
        </w:rPr>
        <w:t>指保险单所具有的价值，通常体现为解除合同时，根据精算原理计算的，由我</w:t>
      </w:r>
      <w:r>
        <w:rPr>
          <w:spacing w:val="-12"/>
          <w:sz w:val="21"/>
        </w:rPr>
        <w:t>们退还的那部分金额。我们会在保险单或批注上载明本合同保险单年度末的现金价值。</w:t>
      </w:r>
    </w:p>
    <w:p>
      <w:pPr>
        <w:pStyle w:val="BodyText"/>
        <w:spacing w:before="97"/>
        <w:ind w:left="540"/>
      </w:pPr>
      <w:r>
        <w:rPr/>
        <w:t>如果您需要了解保险单年度内的现金价值，可向我们查询。</w:t>
      </w:r>
    </w:p>
    <w:p>
      <w:pPr>
        <w:pStyle w:val="ListParagraph"/>
        <w:numPr>
          <w:ilvl w:val="0"/>
          <w:numId w:val="7"/>
        </w:numPr>
        <w:tabs>
          <w:tab w:pos="541" w:val="left" w:leader="none"/>
        </w:tabs>
        <w:spacing w:line="350" w:lineRule="auto" w:before="130" w:after="0"/>
        <w:ind w:left="540" w:right="316" w:hanging="420"/>
        <w:jc w:val="left"/>
        <w:rPr>
          <w:sz w:val="21"/>
        </w:rPr>
      </w:pPr>
      <w:r>
        <w:rPr>
          <w:rFonts w:ascii="微软雅黑" w:eastAsia="微软雅黑" w:hint="eastAsia"/>
          <w:b/>
          <w:spacing w:val="1"/>
          <w:sz w:val="21"/>
        </w:rPr>
        <w:t>有效身份证件 </w:t>
      </w:r>
      <w:r>
        <w:rPr>
          <w:spacing w:val="-3"/>
          <w:sz w:val="21"/>
        </w:rPr>
        <w:t>包括由政府主管部门规定的证明其身份的证件，如：身份证、按规定可使用的有效护照、军官证、警官证、士兵证等证件。</w:t>
      </w:r>
    </w:p>
    <w:p>
      <w:pPr>
        <w:pStyle w:val="BodyText"/>
        <w:spacing w:before="96"/>
        <w:ind w:left="2940" w:right="3039"/>
        <w:jc w:val="center"/>
      </w:pPr>
      <w:r>
        <w:rPr/>
        <w:t>（本附加合同条款内容结束）</w:t>
      </w:r>
    </w:p>
    <w:sectPr>
      <w:pgSz w:w="11910" w:h="16840"/>
      <w:pgMar w:header="0" w:footer="1005" w:top="1460" w:bottom="120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164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60" w:hanging="420"/>
      </w:pPr>
      <w:rPr>
        <w:rFonts w:hint="default"/>
      </w:rPr>
    </w:lvl>
    <w:lvl w:ilvl="2">
      <w:start w:val="0"/>
      <w:numFmt w:val="bullet"/>
      <w:lvlText w:val="•"/>
      <w:lvlJc w:val="left"/>
      <w:pPr>
        <w:ind w:left="2181" w:hanging="420"/>
      </w:pPr>
      <w:rPr>
        <w:rFonts w:hint="default"/>
      </w:rPr>
    </w:lvl>
    <w:lvl w:ilvl="3">
      <w:start w:val="0"/>
      <w:numFmt w:val="bullet"/>
      <w:lvlText w:val="•"/>
      <w:lvlJc w:val="left"/>
      <w:pPr>
        <w:ind w:left="3001" w:hanging="420"/>
      </w:pPr>
      <w:rPr>
        <w:rFonts w:hint="default"/>
      </w:rPr>
    </w:lvl>
    <w:lvl w:ilvl="4">
      <w:start w:val="0"/>
      <w:numFmt w:val="bullet"/>
      <w:lvlText w:val="•"/>
      <w:lvlJc w:val="left"/>
      <w:pPr>
        <w:ind w:left="3822" w:hanging="420"/>
      </w:pPr>
      <w:rPr>
        <w:rFonts w:hint="default"/>
      </w:rPr>
    </w:lvl>
    <w:lvl w:ilvl="5">
      <w:start w:val="0"/>
      <w:numFmt w:val="bullet"/>
      <w:lvlText w:val="•"/>
      <w:lvlJc w:val="left"/>
      <w:pPr>
        <w:ind w:left="4643" w:hanging="420"/>
      </w:pPr>
      <w:rPr>
        <w:rFonts w:hint="default"/>
      </w:rPr>
    </w:lvl>
    <w:lvl w:ilvl="6">
      <w:start w:val="0"/>
      <w:numFmt w:val="bullet"/>
      <w:lvlText w:val="•"/>
      <w:lvlJc w:val="left"/>
      <w:pPr>
        <w:ind w:left="5463" w:hanging="420"/>
      </w:pPr>
      <w:rPr>
        <w:rFonts w:hint="default"/>
      </w:rPr>
    </w:lvl>
    <w:lvl w:ilvl="7">
      <w:start w:val="0"/>
      <w:numFmt w:val="bullet"/>
      <w:lvlText w:val="•"/>
      <w:lvlJc w:val="left"/>
      <w:pPr>
        <w:ind w:left="6284" w:hanging="420"/>
      </w:pPr>
      <w:rPr>
        <w:rFonts w:hint="default"/>
      </w:rPr>
    </w:lvl>
    <w:lvl w:ilvl="8">
      <w:start w:val="0"/>
      <w:numFmt w:val="bullet"/>
      <w:lvlText w:val="•"/>
      <w:lvlJc w:val="left"/>
      <w:pPr>
        <w:ind w:left="7105" w:hanging="420"/>
      </w:pPr>
      <w:rPr>
        <w:rFonts w:hint="default"/>
      </w:rPr>
    </w:lvl>
  </w:abstractNum>
  <w:abstractNum w:abstractNumId="9">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60" w:hanging="420"/>
      </w:pPr>
      <w:rPr>
        <w:rFonts w:hint="default"/>
      </w:rPr>
    </w:lvl>
    <w:lvl w:ilvl="2">
      <w:start w:val="0"/>
      <w:numFmt w:val="bullet"/>
      <w:lvlText w:val="•"/>
      <w:lvlJc w:val="left"/>
      <w:pPr>
        <w:ind w:left="2181" w:hanging="420"/>
      </w:pPr>
      <w:rPr>
        <w:rFonts w:hint="default"/>
      </w:rPr>
    </w:lvl>
    <w:lvl w:ilvl="3">
      <w:start w:val="0"/>
      <w:numFmt w:val="bullet"/>
      <w:lvlText w:val="•"/>
      <w:lvlJc w:val="left"/>
      <w:pPr>
        <w:ind w:left="3001" w:hanging="420"/>
      </w:pPr>
      <w:rPr>
        <w:rFonts w:hint="default"/>
      </w:rPr>
    </w:lvl>
    <w:lvl w:ilvl="4">
      <w:start w:val="0"/>
      <w:numFmt w:val="bullet"/>
      <w:lvlText w:val="•"/>
      <w:lvlJc w:val="left"/>
      <w:pPr>
        <w:ind w:left="3822" w:hanging="420"/>
      </w:pPr>
      <w:rPr>
        <w:rFonts w:hint="default"/>
      </w:rPr>
    </w:lvl>
    <w:lvl w:ilvl="5">
      <w:start w:val="0"/>
      <w:numFmt w:val="bullet"/>
      <w:lvlText w:val="•"/>
      <w:lvlJc w:val="left"/>
      <w:pPr>
        <w:ind w:left="4643" w:hanging="420"/>
      </w:pPr>
      <w:rPr>
        <w:rFonts w:hint="default"/>
      </w:rPr>
    </w:lvl>
    <w:lvl w:ilvl="6">
      <w:start w:val="0"/>
      <w:numFmt w:val="bullet"/>
      <w:lvlText w:val="•"/>
      <w:lvlJc w:val="left"/>
      <w:pPr>
        <w:ind w:left="5463" w:hanging="420"/>
      </w:pPr>
      <w:rPr>
        <w:rFonts w:hint="default"/>
      </w:rPr>
    </w:lvl>
    <w:lvl w:ilvl="7">
      <w:start w:val="0"/>
      <w:numFmt w:val="bullet"/>
      <w:lvlText w:val="•"/>
      <w:lvlJc w:val="left"/>
      <w:pPr>
        <w:ind w:left="6284" w:hanging="420"/>
      </w:pPr>
      <w:rPr>
        <w:rFonts w:hint="default"/>
      </w:rPr>
    </w:lvl>
    <w:lvl w:ilvl="8">
      <w:start w:val="0"/>
      <w:numFmt w:val="bullet"/>
      <w:lvlText w:val="•"/>
      <w:lvlJc w:val="left"/>
      <w:pPr>
        <w:ind w:left="7105" w:hanging="420"/>
      </w:pPr>
      <w:rPr>
        <w:rFonts w:hint="default"/>
      </w:rPr>
    </w:lvl>
  </w:abstractNum>
  <w:abstractNum w:abstractNumId="8">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7">
    <w:multiLevelType w:val="hybridMultilevel"/>
    <w:lvl w:ilvl="0">
      <w:start w:val="1"/>
      <w:numFmt w:val="decimal"/>
      <w:lvlText w:val="(%1)"/>
      <w:lvlJc w:val="left"/>
      <w:pPr>
        <w:ind w:left="547" w:hanging="428"/>
        <w:jc w:val="left"/>
      </w:pPr>
      <w:rPr>
        <w:rFonts w:hint="default" w:ascii="微软雅黑" w:hAnsi="微软雅黑" w:eastAsia="微软雅黑" w:cs="微软雅黑"/>
        <w:b/>
        <w:bCs/>
        <w:w w:val="108"/>
        <w:sz w:val="21"/>
        <w:szCs w:val="21"/>
      </w:rPr>
    </w:lvl>
    <w:lvl w:ilvl="1">
      <w:start w:val="1"/>
      <w:numFmt w:val="decimal"/>
      <w:lvlText w:val="%2)"/>
      <w:lvlJc w:val="left"/>
      <w:pPr>
        <w:ind w:left="1253" w:hanging="260"/>
        <w:jc w:val="left"/>
      </w:pPr>
      <w:rPr>
        <w:rFonts w:hint="default" w:ascii="宋体" w:hAnsi="宋体" w:eastAsia="宋体" w:cs="宋体"/>
        <w:w w:val="100"/>
        <w:sz w:val="21"/>
        <w:szCs w:val="21"/>
      </w:rPr>
    </w:lvl>
    <w:lvl w:ilvl="2">
      <w:start w:val="0"/>
      <w:numFmt w:val="bullet"/>
      <w:lvlText w:val="•"/>
      <w:lvlJc w:val="left"/>
      <w:pPr>
        <w:ind w:left="1320" w:hanging="260"/>
      </w:pPr>
      <w:rPr>
        <w:rFonts w:hint="default"/>
      </w:rPr>
    </w:lvl>
    <w:lvl w:ilvl="3">
      <w:start w:val="0"/>
      <w:numFmt w:val="bullet"/>
      <w:lvlText w:val="•"/>
      <w:lvlJc w:val="left"/>
      <w:pPr>
        <w:ind w:left="2223" w:hanging="260"/>
      </w:pPr>
      <w:rPr>
        <w:rFonts w:hint="default"/>
      </w:rPr>
    </w:lvl>
    <w:lvl w:ilvl="4">
      <w:start w:val="0"/>
      <w:numFmt w:val="bullet"/>
      <w:lvlText w:val="•"/>
      <w:lvlJc w:val="left"/>
      <w:pPr>
        <w:ind w:left="3126" w:hanging="260"/>
      </w:pPr>
      <w:rPr>
        <w:rFonts w:hint="default"/>
      </w:rPr>
    </w:lvl>
    <w:lvl w:ilvl="5">
      <w:start w:val="0"/>
      <w:numFmt w:val="bullet"/>
      <w:lvlText w:val="•"/>
      <w:lvlJc w:val="left"/>
      <w:pPr>
        <w:ind w:left="4029" w:hanging="260"/>
      </w:pPr>
      <w:rPr>
        <w:rFonts w:hint="default"/>
      </w:rPr>
    </w:lvl>
    <w:lvl w:ilvl="6">
      <w:start w:val="0"/>
      <w:numFmt w:val="bullet"/>
      <w:lvlText w:val="•"/>
      <w:lvlJc w:val="left"/>
      <w:pPr>
        <w:ind w:left="4933" w:hanging="260"/>
      </w:pPr>
      <w:rPr>
        <w:rFonts w:hint="default"/>
      </w:rPr>
    </w:lvl>
    <w:lvl w:ilvl="7">
      <w:start w:val="0"/>
      <w:numFmt w:val="bullet"/>
      <w:lvlText w:val="•"/>
      <w:lvlJc w:val="left"/>
      <w:pPr>
        <w:ind w:left="5836" w:hanging="260"/>
      </w:pPr>
      <w:rPr>
        <w:rFonts w:hint="default"/>
      </w:rPr>
    </w:lvl>
    <w:lvl w:ilvl="8">
      <w:start w:val="0"/>
      <w:numFmt w:val="bullet"/>
      <w:lvlText w:val="•"/>
      <w:lvlJc w:val="left"/>
      <w:pPr>
        <w:ind w:left="6739" w:hanging="260"/>
      </w:pPr>
      <w:rPr>
        <w:rFonts w:hint="default"/>
      </w:rPr>
    </w:lvl>
  </w:abstractNum>
  <w:abstractNum w:abstractNumId="6">
    <w:multiLevelType w:val="hybridMultilevel"/>
    <w:lvl w:ilvl="0">
      <w:start w:val="1"/>
      <w:numFmt w:val="decimal"/>
      <w:lvlText w:val="%1."/>
      <w:lvlJc w:val="left"/>
      <w:pPr>
        <w:ind w:left="540" w:hanging="420"/>
        <w:jc w:val="left"/>
      </w:pPr>
      <w:rPr>
        <w:rFonts w:hint="default" w:ascii="微软雅黑" w:hAnsi="微软雅黑" w:eastAsia="微软雅黑" w:cs="微软雅黑"/>
        <w:b/>
        <w:bCs/>
        <w:w w:val="111"/>
        <w:sz w:val="21"/>
        <w:szCs w:val="21"/>
      </w:rPr>
    </w:lvl>
    <w:lvl w:ilvl="1">
      <w:start w:val="1"/>
      <w:numFmt w:val="decimal"/>
      <w:lvlText w:val="%2)"/>
      <w:lvlJc w:val="left"/>
      <w:pPr>
        <w:ind w:left="826" w:hanging="288"/>
        <w:jc w:val="left"/>
      </w:pPr>
      <w:rPr>
        <w:rFonts w:hint="default" w:ascii="宋体" w:hAnsi="宋体" w:eastAsia="宋体" w:cs="宋体"/>
        <w:w w:val="100"/>
        <w:sz w:val="21"/>
        <w:szCs w:val="21"/>
      </w:rPr>
    </w:lvl>
    <w:lvl w:ilvl="2">
      <w:start w:val="0"/>
      <w:numFmt w:val="bullet"/>
      <w:lvlText w:val="•"/>
      <w:lvlJc w:val="left"/>
      <w:pPr>
        <w:ind w:left="1678" w:hanging="288"/>
      </w:pPr>
      <w:rPr>
        <w:rFonts w:hint="default"/>
      </w:rPr>
    </w:lvl>
    <w:lvl w:ilvl="3">
      <w:start w:val="0"/>
      <w:numFmt w:val="bullet"/>
      <w:lvlText w:val="•"/>
      <w:lvlJc w:val="left"/>
      <w:pPr>
        <w:ind w:left="2536" w:hanging="288"/>
      </w:pPr>
      <w:rPr>
        <w:rFonts w:hint="default"/>
      </w:rPr>
    </w:lvl>
    <w:lvl w:ilvl="4">
      <w:start w:val="0"/>
      <w:numFmt w:val="bullet"/>
      <w:lvlText w:val="•"/>
      <w:lvlJc w:val="left"/>
      <w:pPr>
        <w:ind w:left="3395" w:hanging="288"/>
      </w:pPr>
      <w:rPr>
        <w:rFonts w:hint="default"/>
      </w:rPr>
    </w:lvl>
    <w:lvl w:ilvl="5">
      <w:start w:val="0"/>
      <w:numFmt w:val="bullet"/>
      <w:lvlText w:val="•"/>
      <w:lvlJc w:val="left"/>
      <w:pPr>
        <w:ind w:left="4253" w:hanging="288"/>
      </w:pPr>
      <w:rPr>
        <w:rFonts w:hint="default"/>
      </w:rPr>
    </w:lvl>
    <w:lvl w:ilvl="6">
      <w:start w:val="0"/>
      <w:numFmt w:val="bullet"/>
      <w:lvlText w:val="•"/>
      <w:lvlJc w:val="left"/>
      <w:pPr>
        <w:ind w:left="5112" w:hanging="288"/>
      </w:pPr>
      <w:rPr>
        <w:rFonts w:hint="default"/>
      </w:rPr>
    </w:lvl>
    <w:lvl w:ilvl="7">
      <w:start w:val="0"/>
      <w:numFmt w:val="bullet"/>
      <w:lvlText w:val="•"/>
      <w:lvlJc w:val="left"/>
      <w:pPr>
        <w:ind w:left="5970" w:hanging="288"/>
      </w:pPr>
      <w:rPr>
        <w:rFonts w:hint="default"/>
      </w:rPr>
    </w:lvl>
    <w:lvl w:ilvl="8">
      <w:start w:val="0"/>
      <w:numFmt w:val="bullet"/>
      <w:lvlText w:val="•"/>
      <w:lvlJc w:val="left"/>
      <w:pPr>
        <w:ind w:left="6829" w:hanging="288"/>
      </w:pPr>
      <w:rPr>
        <w:rFonts w:hint="default"/>
      </w:rPr>
    </w:lvl>
  </w:abstractNum>
  <w:abstractNum w:abstractNumId="5">
    <w:multiLevelType w:val="hybridMultilevel"/>
    <w:lvl w:ilvl="0">
      <w:start w:val="1"/>
      <w:numFmt w:val="decimal"/>
      <w:lvlText w:val="（%1）"/>
      <w:lvlJc w:val="left"/>
      <w:pPr>
        <w:ind w:left="1123" w:hanging="720"/>
        <w:jc w:val="left"/>
      </w:pPr>
      <w:rPr>
        <w:rFonts w:hint="default" w:ascii="宋体" w:hAnsi="宋体" w:eastAsia="宋体" w:cs="宋体"/>
        <w:w w:val="100"/>
        <w:sz w:val="21"/>
        <w:szCs w:val="21"/>
      </w:rPr>
    </w:lvl>
    <w:lvl w:ilvl="1">
      <w:start w:val="0"/>
      <w:numFmt w:val="bullet"/>
      <w:lvlText w:val="•"/>
      <w:lvlJc w:val="left"/>
      <w:pPr>
        <w:ind w:left="1862" w:hanging="720"/>
      </w:pPr>
      <w:rPr>
        <w:rFonts w:hint="default"/>
      </w:rPr>
    </w:lvl>
    <w:lvl w:ilvl="2">
      <w:start w:val="0"/>
      <w:numFmt w:val="bullet"/>
      <w:lvlText w:val="•"/>
      <w:lvlJc w:val="left"/>
      <w:pPr>
        <w:ind w:left="2605" w:hanging="720"/>
      </w:pPr>
      <w:rPr>
        <w:rFonts w:hint="default"/>
      </w:rPr>
    </w:lvl>
    <w:lvl w:ilvl="3">
      <w:start w:val="0"/>
      <w:numFmt w:val="bullet"/>
      <w:lvlText w:val="•"/>
      <w:lvlJc w:val="left"/>
      <w:pPr>
        <w:ind w:left="3347" w:hanging="720"/>
      </w:pPr>
      <w:rPr>
        <w:rFonts w:hint="default"/>
      </w:rPr>
    </w:lvl>
    <w:lvl w:ilvl="4">
      <w:start w:val="0"/>
      <w:numFmt w:val="bullet"/>
      <w:lvlText w:val="•"/>
      <w:lvlJc w:val="left"/>
      <w:pPr>
        <w:ind w:left="4090"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57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061" w:hanging="720"/>
      </w:pPr>
      <w:rPr>
        <w:rFonts w:hint="default"/>
      </w:rPr>
    </w:lvl>
  </w:abstractNum>
  <w:abstractNum w:abstractNumId="4">
    <w:multiLevelType w:val="hybridMultilevel"/>
    <w:lvl w:ilvl="0">
      <w:start w:val="1"/>
      <w:numFmt w:val="decimal"/>
      <w:lvlText w:val="（%1）"/>
      <w:lvlJc w:val="left"/>
      <w:pPr>
        <w:ind w:left="960" w:hanging="557"/>
        <w:jc w:val="left"/>
      </w:pPr>
      <w:rPr>
        <w:rFonts w:hint="default" w:ascii="宋体" w:hAnsi="宋体" w:eastAsia="宋体" w:cs="宋体"/>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3">
    <w:multiLevelType w:val="hybridMultilevel"/>
    <w:lvl w:ilvl="0">
      <w:start w:val="1"/>
      <w:numFmt w:val="decimal"/>
      <w:lvlText w:val="（%1）"/>
      <w:lvlJc w:val="left"/>
      <w:pPr>
        <w:ind w:left="120" w:hanging="557"/>
        <w:jc w:val="left"/>
      </w:pPr>
      <w:rPr>
        <w:rFonts w:hint="default" w:ascii="宋体" w:hAnsi="宋体" w:eastAsia="宋体" w:cs="宋体"/>
        <w:w w:val="100"/>
        <w:sz w:val="21"/>
        <w:szCs w:val="21"/>
      </w:rPr>
    </w:lvl>
    <w:lvl w:ilvl="1">
      <w:start w:val="0"/>
      <w:numFmt w:val="bullet"/>
      <w:lvlText w:val="•"/>
      <w:lvlJc w:val="left"/>
      <w:pPr>
        <w:ind w:left="972" w:hanging="557"/>
      </w:pPr>
      <w:rPr>
        <w:rFonts w:hint="default"/>
      </w:rPr>
    </w:lvl>
    <w:lvl w:ilvl="2">
      <w:start w:val="0"/>
      <w:numFmt w:val="bullet"/>
      <w:lvlText w:val="•"/>
      <w:lvlJc w:val="left"/>
      <w:pPr>
        <w:ind w:left="1825" w:hanging="557"/>
      </w:pPr>
      <w:rPr>
        <w:rFonts w:hint="default"/>
      </w:rPr>
    </w:lvl>
    <w:lvl w:ilvl="3">
      <w:start w:val="0"/>
      <w:numFmt w:val="bullet"/>
      <w:lvlText w:val="•"/>
      <w:lvlJc w:val="left"/>
      <w:pPr>
        <w:ind w:left="2677" w:hanging="557"/>
      </w:pPr>
      <w:rPr>
        <w:rFonts w:hint="default"/>
      </w:rPr>
    </w:lvl>
    <w:lvl w:ilvl="4">
      <w:start w:val="0"/>
      <w:numFmt w:val="bullet"/>
      <w:lvlText w:val="•"/>
      <w:lvlJc w:val="left"/>
      <w:pPr>
        <w:ind w:left="3530" w:hanging="557"/>
      </w:pPr>
      <w:rPr>
        <w:rFonts w:hint="default"/>
      </w:rPr>
    </w:lvl>
    <w:lvl w:ilvl="5">
      <w:start w:val="0"/>
      <w:numFmt w:val="bullet"/>
      <w:lvlText w:val="•"/>
      <w:lvlJc w:val="left"/>
      <w:pPr>
        <w:ind w:left="4383" w:hanging="557"/>
      </w:pPr>
      <w:rPr>
        <w:rFonts w:hint="default"/>
      </w:rPr>
    </w:lvl>
    <w:lvl w:ilvl="6">
      <w:start w:val="0"/>
      <w:numFmt w:val="bullet"/>
      <w:lvlText w:val="•"/>
      <w:lvlJc w:val="left"/>
      <w:pPr>
        <w:ind w:left="5235" w:hanging="557"/>
      </w:pPr>
      <w:rPr>
        <w:rFonts w:hint="default"/>
      </w:rPr>
    </w:lvl>
    <w:lvl w:ilvl="7">
      <w:start w:val="0"/>
      <w:numFmt w:val="bullet"/>
      <w:lvlText w:val="•"/>
      <w:lvlJc w:val="left"/>
      <w:pPr>
        <w:ind w:left="6088" w:hanging="557"/>
      </w:pPr>
      <w:rPr>
        <w:rFonts w:hint="default"/>
      </w:rPr>
    </w:lvl>
    <w:lvl w:ilvl="8">
      <w:start w:val="0"/>
      <w:numFmt w:val="bullet"/>
      <w:lvlText w:val="•"/>
      <w:lvlJc w:val="left"/>
      <w:pPr>
        <w:ind w:left="6941" w:hanging="557"/>
      </w:pPr>
      <w:rPr>
        <w:rFonts w:hint="default"/>
      </w:rPr>
    </w:lvl>
  </w:abstractNum>
  <w:abstractNum w:abstractNumId="2">
    <w:multiLevelType w:val="hybridMultilevel"/>
    <w:lvl w:ilvl="0">
      <w:start w:val="1"/>
      <w:numFmt w:val="decimal"/>
      <w:lvlText w:val="（%1）"/>
      <w:lvlJc w:val="left"/>
      <w:pPr>
        <w:ind w:left="1253" w:hanging="706"/>
        <w:jc w:val="left"/>
      </w:pPr>
      <w:rPr>
        <w:rFonts w:hint="default" w:ascii="黑体" w:hAnsi="黑体" w:eastAsia="黑体" w:cs="黑体"/>
        <w:w w:val="100"/>
        <w:sz w:val="24"/>
        <w:szCs w:val="24"/>
      </w:rPr>
    </w:lvl>
    <w:lvl w:ilvl="1">
      <w:start w:val="0"/>
      <w:numFmt w:val="bullet"/>
      <w:lvlText w:val="•"/>
      <w:lvlJc w:val="left"/>
      <w:pPr>
        <w:ind w:left="1998" w:hanging="706"/>
      </w:pPr>
      <w:rPr>
        <w:rFonts w:hint="default"/>
      </w:rPr>
    </w:lvl>
    <w:lvl w:ilvl="2">
      <w:start w:val="0"/>
      <w:numFmt w:val="bullet"/>
      <w:lvlText w:val="•"/>
      <w:lvlJc w:val="left"/>
      <w:pPr>
        <w:ind w:left="2737" w:hanging="706"/>
      </w:pPr>
      <w:rPr>
        <w:rFonts w:hint="default"/>
      </w:rPr>
    </w:lvl>
    <w:lvl w:ilvl="3">
      <w:start w:val="0"/>
      <w:numFmt w:val="bullet"/>
      <w:lvlText w:val="•"/>
      <w:lvlJc w:val="left"/>
      <w:pPr>
        <w:ind w:left="3475" w:hanging="706"/>
      </w:pPr>
      <w:rPr>
        <w:rFonts w:hint="default"/>
      </w:rPr>
    </w:lvl>
    <w:lvl w:ilvl="4">
      <w:start w:val="0"/>
      <w:numFmt w:val="bullet"/>
      <w:lvlText w:val="•"/>
      <w:lvlJc w:val="left"/>
      <w:pPr>
        <w:ind w:left="4214" w:hanging="706"/>
      </w:pPr>
      <w:rPr>
        <w:rFonts w:hint="default"/>
      </w:rPr>
    </w:lvl>
    <w:lvl w:ilvl="5">
      <w:start w:val="0"/>
      <w:numFmt w:val="bullet"/>
      <w:lvlText w:val="•"/>
      <w:lvlJc w:val="left"/>
      <w:pPr>
        <w:ind w:left="4953" w:hanging="706"/>
      </w:pPr>
      <w:rPr>
        <w:rFonts w:hint="default"/>
      </w:rPr>
    </w:lvl>
    <w:lvl w:ilvl="6">
      <w:start w:val="0"/>
      <w:numFmt w:val="bullet"/>
      <w:lvlText w:val="•"/>
      <w:lvlJc w:val="left"/>
      <w:pPr>
        <w:ind w:left="5691" w:hanging="706"/>
      </w:pPr>
      <w:rPr>
        <w:rFonts w:hint="default"/>
      </w:rPr>
    </w:lvl>
    <w:lvl w:ilvl="7">
      <w:start w:val="0"/>
      <w:numFmt w:val="bullet"/>
      <w:lvlText w:val="•"/>
      <w:lvlJc w:val="left"/>
      <w:pPr>
        <w:ind w:left="6430" w:hanging="706"/>
      </w:pPr>
      <w:rPr>
        <w:rFonts w:hint="default"/>
      </w:rPr>
    </w:lvl>
    <w:lvl w:ilvl="8">
      <w:start w:val="0"/>
      <w:numFmt w:val="bullet"/>
      <w:lvlText w:val="•"/>
      <w:lvlJc w:val="left"/>
      <w:pPr>
        <w:ind w:left="7169" w:hanging="706"/>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11"/>
      </w:rPr>
    </w:lvl>
    <w:lvl w:ilvl="1">
      <w:start w:val="1"/>
      <w:numFmt w:val="decimal"/>
      <w:lvlText w:val="%1.%2"/>
      <w:lvlJc w:val="left"/>
      <w:pPr>
        <w:ind w:left="1070" w:hanging="528"/>
        <w:jc w:val="left"/>
      </w:pPr>
      <w:rPr>
        <w:rFonts w:hint="default"/>
        <w:b/>
        <w:bCs/>
        <w:w w:val="81"/>
      </w:rPr>
    </w:lvl>
    <w:lvl w:ilvl="2">
      <w:start w:val="0"/>
      <w:numFmt w:val="bullet"/>
      <w:lvlText w:val="•"/>
      <w:lvlJc w:val="left"/>
      <w:pPr>
        <w:ind w:left="1020" w:hanging="528"/>
      </w:pPr>
      <w:rPr>
        <w:rFonts w:hint="default"/>
      </w:rPr>
    </w:lvl>
    <w:lvl w:ilvl="3">
      <w:start w:val="0"/>
      <w:numFmt w:val="bullet"/>
      <w:lvlText w:val="•"/>
      <w:lvlJc w:val="left"/>
      <w:pPr>
        <w:ind w:left="1080" w:hanging="528"/>
      </w:pPr>
      <w:rPr>
        <w:rFonts w:hint="default"/>
      </w:rPr>
    </w:lvl>
    <w:lvl w:ilvl="4">
      <w:start w:val="0"/>
      <w:numFmt w:val="bullet"/>
      <w:lvlText w:val="•"/>
      <w:lvlJc w:val="left"/>
      <w:pPr>
        <w:ind w:left="2146" w:hanging="528"/>
      </w:pPr>
      <w:rPr>
        <w:rFonts w:hint="default"/>
      </w:rPr>
    </w:lvl>
    <w:lvl w:ilvl="5">
      <w:start w:val="0"/>
      <w:numFmt w:val="bullet"/>
      <w:lvlText w:val="•"/>
      <w:lvlJc w:val="left"/>
      <w:pPr>
        <w:ind w:left="3213" w:hanging="528"/>
      </w:pPr>
      <w:rPr>
        <w:rFonts w:hint="default"/>
      </w:rPr>
    </w:lvl>
    <w:lvl w:ilvl="6">
      <w:start w:val="0"/>
      <w:numFmt w:val="bullet"/>
      <w:lvlText w:val="•"/>
      <w:lvlJc w:val="left"/>
      <w:pPr>
        <w:ind w:left="4279" w:hanging="528"/>
      </w:pPr>
      <w:rPr>
        <w:rFonts w:hint="default"/>
      </w:rPr>
    </w:lvl>
    <w:lvl w:ilvl="7">
      <w:start w:val="0"/>
      <w:numFmt w:val="bullet"/>
      <w:lvlText w:val="•"/>
      <w:lvlJc w:val="left"/>
      <w:pPr>
        <w:ind w:left="5346" w:hanging="528"/>
      </w:pPr>
      <w:rPr>
        <w:rFonts w:hint="default"/>
      </w:rPr>
    </w:lvl>
    <w:lvl w:ilvl="8">
      <w:start w:val="0"/>
      <w:numFmt w:val="bullet"/>
      <w:lvlText w:val="•"/>
      <w:lvlJc w:val="left"/>
      <w:pPr>
        <w:ind w:left="6413" w:hanging="528"/>
      </w:pPr>
      <w:rPr>
        <w:rFonts w:hint="default"/>
      </w:rPr>
    </w:lvl>
  </w:abstractNum>
  <w:abstractNum w:abstractNumId="0">
    <w:multiLevelType w:val="hybridMultilevel"/>
    <w:lvl w:ilvl="0">
      <w:start w:val="1"/>
      <w:numFmt w:val="decimal"/>
      <w:lvlText w:val="%1."/>
      <w:lvlJc w:val="left"/>
      <w:pPr>
        <w:ind w:left="1171" w:hanging="526"/>
        <w:jc w:val="left"/>
      </w:pPr>
      <w:rPr>
        <w:rFonts w:hint="default" w:ascii="微软雅黑" w:hAnsi="微软雅黑" w:eastAsia="微软雅黑" w:cs="微软雅黑"/>
        <w:b/>
        <w:bCs/>
        <w:w w:val="111"/>
        <w:sz w:val="21"/>
        <w:szCs w:val="21"/>
      </w:rPr>
    </w:lvl>
    <w:lvl w:ilvl="1">
      <w:start w:val="0"/>
      <w:numFmt w:val="bullet"/>
      <w:lvlText w:val="•"/>
      <w:lvlJc w:val="left"/>
      <w:pPr>
        <w:ind w:left="1916" w:hanging="526"/>
      </w:pPr>
      <w:rPr>
        <w:rFonts w:hint="default"/>
      </w:rPr>
    </w:lvl>
    <w:lvl w:ilvl="2">
      <w:start w:val="0"/>
      <w:numFmt w:val="bullet"/>
      <w:lvlText w:val="•"/>
      <w:lvlJc w:val="left"/>
      <w:pPr>
        <w:ind w:left="2653" w:hanging="526"/>
      </w:pPr>
      <w:rPr>
        <w:rFonts w:hint="default"/>
      </w:rPr>
    </w:lvl>
    <w:lvl w:ilvl="3">
      <w:start w:val="0"/>
      <w:numFmt w:val="bullet"/>
      <w:lvlText w:val="•"/>
      <w:lvlJc w:val="left"/>
      <w:pPr>
        <w:ind w:left="3389" w:hanging="526"/>
      </w:pPr>
      <w:rPr>
        <w:rFonts w:hint="default"/>
      </w:rPr>
    </w:lvl>
    <w:lvl w:ilvl="4">
      <w:start w:val="0"/>
      <w:numFmt w:val="bullet"/>
      <w:lvlText w:val="•"/>
      <w:lvlJc w:val="left"/>
      <w:pPr>
        <w:ind w:left="4126" w:hanging="526"/>
      </w:pPr>
      <w:rPr>
        <w:rFonts w:hint="default"/>
      </w:rPr>
    </w:lvl>
    <w:lvl w:ilvl="5">
      <w:start w:val="0"/>
      <w:numFmt w:val="bullet"/>
      <w:lvlText w:val="•"/>
      <w:lvlJc w:val="left"/>
      <w:pPr>
        <w:ind w:left="4863" w:hanging="526"/>
      </w:pPr>
      <w:rPr>
        <w:rFonts w:hint="default"/>
      </w:rPr>
    </w:lvl>
    <w:lvl w:ilvl="6">
      <w:start w:val="0"/>
      <w:numFmt w:val="bullet"/>
      <w:lvlText w:val="•"/>
      <w:lvlJc w:val="left"/>
      <w:pPr>
        <w:ind w:left="5599" w:hanging="526"/>
      </w:pPr>
      <w:rPr>
        <w:rFonts w:hint="default"/>
      </w:rPr>
    </w:lvl>
    <w:lvl w:ilvl="7">
      <w:start w:val="0"/>
      <w:numFmt w:val="bullet"/>
      <w:lvlText w:val="•"/>
      <w:lvlJc w:val="left"/>
      <w:pPr>
        <w:ind w:left="6336" w:hanging="526"/>
      </w:pPr>
      <w:rPr>
        <w:rFonts w:hint="default"/>
      </w:rPr>
    </w:lvl>
    <w:lvl w:ilvl="8">
      <w:start w:val="0"/>
      <w:numFmt w:val="bullet"/>
      <w:lvlText w:val="•"/>
      <w:lvlJc w:val="left"/>
      <w:pPr>
        <w:ind w:left="7073" w:hanging="526"/>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20"/>
    </w:pPr>
    <w:rPr>
      <w:rFonts w:ascii="微软雅黑" w:hAnsi="微软雅黑" w:eastAsia="微软雅黑" w:cs="微软雅黑"/>
      <w:b/>
      <w:bCs/>
      <w:sz w:val="21"/>
      <w:szCs w:val="21"/>
    </w:rPr>
  </w:style>
  <w:style w:styleId="TOC2" w:type="paragraph">
    <w:name w:val="TOC 2"/>
    <w:basedOn w:val="Normal"/>
    <w:uiPriority w:val="1"/>
    <w:qFormat/>
    <w:pPr>
      <w:spacing w:line="337" w:lineRule="exact"/>
      <w:ind w:left="120"/>
    </w:pPr>
    <w:rPr>
      <w:rFonts w:ascii="微软雅黑" w:hAnsi="微软雅黑" w:eastAsia="微软雅黑" w:cs="微软雅黑"/>
      <w:b/>
      <w:bCs/>
      <w:i/>
    </w:rPr>
  </w:style>
  <w:style w:styleId="TOC3" w:type="paragraph">
    <w:name w:val="TOC 3"/>
    <w:basedOn w:val="Normal"/>
    <w:uiPriority w:val="1"/>
    <w:qFormat/>
    <w:pPr>
      <w:spacing w:line="312" w:lineRule="exact"/>
      <w:ind w:left="1171" w:hanging="525"/>
    </w:pPr>
    <w:rPr>
      <w:rFonts w:ascii="微软雅黑" w:hAnsi="微软雅黑" w:eastAsia="微软雅黑" w:cs="微软雅黑"/>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44"/>
      <w:szCs w:val="44"/>
    </w:rPr>
  </w:style>
  <w:style w:styleId="Heading2" w:type="paragraph">
    <w:name w:val="Heading 2"/>
    <w:basedOn w:val="Normal"/>
    <w:uiPriority w:val="1"/>
    <w:qFormat/>
    <w:pPr>
      <w:ind w:left="2995" w:right="3094"/>
      <w:jc w:val="center"/>
      <w:outlineLvl w:val="2"/>
    </w:pPr>
    <w:rPr>
      <w:rFonts w:ascii="微软雅黑" w:hAnsi="微软雅黑" w:eastAsia="微软雅黑" w:cs="微软雅黑"/>
      <w:b/>
      <w:bCs/>
      <w:sz w:val="36"/>
      <w:szCs w:val="36"/>
    </w:rPr>
  </w:style>
  <w:style w:styleId="Heading3" w:type="paragraph">
    <w:name w:val="Heading 3"/>
    <w:basedOn w:val="Normal"/>
    <w:uiPriority w:val="1"/>
    <w:qFormat/>
    <w:pPr>
      <w:spacing w:before="154"/>
      <w:ind w:left="1253" w:hanging="706"/>
      <w:outlineLvl w:val="3"/>
    </w:pPr>
    <w:rPr>
      <w:rFonts w:ascii="黑体" w:hAnsi="黑体" w:eastAsia="黑体" w:cs="黑体"/>
      <w:sz w:val="24"/>
      <w:szCs w:val="24"/>
    </w:rPr>
  </w:style>
  <w:style w:styleId="Heading4" w:type="paragraph">
    <w:name w:val="Heading 4"/>
    <w:basedOn w:val="Normal"/>
    <w:uiPriority w:val="1"/>
    <w:qFormat/>
    <w:pPr>
      <w:ind w:left="653" w:hanging="533"/>
      <w:outlineLvl w:val="4"/>
    </w:pPr>
    <w:rPr>
      <w:rFonts w:ascii="微软雅黑" w:hAnsi="微软雅黑" w:eastAsia="微软雅黑" w:cs="微软雅黑"/>
      <w:b/>
      <w:bCs/>
      <w:sz w:val="21"/>
      <w:szCs w:val="21"/>
    </w:rPr>
  </w:style>
  <w:style w:styleId="ListParagraph" w:type="paragraph">
    <w:name w:val="List Paragraph"/>
    <w:basedOn w:val="Normal"/>
    <w:uiPriority w:val="1"/>
    <w:qFormat/>
    <w:pPr>
      <w:ind w:left="653" w:hanging="53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2018-10-20T03:24:46Z</dcterms:created>
  <dcterms:modified xsi:type="dcterms:W3CDTF">2018-10-20T03:24:46Z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2014-12-03T00:00:00Z</vt:filetime>
  </property>
  <property fmtid="{D5CDD505-2E9C-101B-9397-08002B2CF9AE}" pid="3" name="Creator">
    <vt:lpwstr>Microsoft® Office Word 2007</vt:lpwstr>
  </property>
  <property fmtid="{D5CDD505-2E9C-101B-9397-08002B2CF9AE}" pid="4" name="LastSaved">
    <vt:filetime>2018-10-19T00:00:00Z</vt:filetime>
  </property>
</Properties>
</file>