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2650" w:right="131" w:firstLine="0"/>
        <w:jc w:val="center"/>
        <w:rPr>
          <w:b/>
          <w:sz w:val="30"/>
        </w:rPr>
      </w:pPr>
      <w:r>
        <w:rPr>
          <w:b/>
          <w:w w:val="95"/>
          <w:sz w:val="30"/>
        </w:rPr>
        <w:t>太平附加财富安泰提前给付重大疾病保险条款</w:t>
      </w:r>
    </w:p>
    <w:p>
      <w:pPr>
        <w:pStyle w:val="BodyText"/>
        <w:rPr>
          <w:b/>
          <w:sz w:val="30"/>
        </w:rPr>
      </w:pPr>
    </w:p>
    <w:p>
      <w:pPr>
        <w:pStyle w:val="BodyText"/>
        <w:spacing w:before="6"/>
        <w:rPr>
          <w:b/>
          <w:sz w:val="44"/>
        </w:rPr>
      </w:pPr>
    </w:p>
    <w:p>
      <w:pPr>
        <w:spacing w:before="0"/>
        <w:ind w:left="2649" w:right="131" w:firstLine="0"/>
        <w:jc w:val="center"/>
        <w:rPr>
          <w:b/>
          <w:sz w:val="28"/>
        </w:rPr>
      </w:pPr>
      <w:r>
        <w:rPr>
          <w:b/>
          <w:sz w:val="28"/>
        </w:rPr>
        <w:t>特别提示</w:t>
      </w:r>
    </w:p>
    <w:p>
      <w:pPr>
        <w:spacing w:before="38"/>
        <w:ind w:left="-3" w:right="102" w:firstLine="0"/>
        <w:jc w:val="center"/>
        <w:rPr>
          <w:sz w:val="18"/>
        </w:rPr>
      </w:pPr>
      <w:r>
        <w:rPr/>
        <w:br w:type="column"/>
      </w:r>
      <w:r>
        <w:rPr>
          <w:sz w:val="18"/>
        </w:rPr>
        <w:t>太平人寿</w:t>
      </w:r>
      <w:r>
        <w:rPr>
          <w:rFonts w:ascii="Times New Roman" w:eastAsia="Times New Roman"/>
          <w:sz w:val="18"/>
        </w:rPr>
        <w:t>[2014]</w:t>
      </w:r>
      <w:r>
        <w:rPr>
          <w:spacing w:val="-10"/>
          <w:sz w:val="18"/>
        </w:rPr>
        <w:t>疾病保险 </w:t>
      </w:r>
      <w:r>
        <w:rPr>
          <w:rFonts w:ascii="Times New Roman" w:eastAsia="Times New Roman"/>
          <w:sz w:val="18"/>
        </w:rPr>
        <w:t>008</w:t>
      </w:r>
      <w:r>
        <w:rPr>
          <w:rFonts w:ascii="Times New Roman" w:eastAsia="Times New Roman"/>
          <w:spacing w:val="-2"/>
          <w:sz w:val="18"/>
        </w:rPr>
        <w:t> </w:t>
      </w:r>
      <w:r>
        <w:rPr>
          <w:sz w:val="18"/>
        </w:rPr>
        <w:t>号</w:t>
      </w:r>
    </w:p>
    <w:p>
      <w:pPr>
        <w:pStyle w:val="BodyText"/>
        <w:spacing w:before="6"/>
        <w:rPr>
          <w:sz w:val="5"/>
        </w:rPr>
      </w:pPr>
    </w:p>
    <w:p>
      <w:pPr>
        <w:pStyle w:val="BodyText"/>
        <w:ind w:left="700"/>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22"/>
        <w:ind w:left="311" w:right="414" w:firstLine="0"/>
        <w:jc w:val="center"/>
        <w:rPr>
          <w:sz w:val="18"/>
        </w:rPr>
      </w:pPr>
      <w:r>
        <w:rPr>
          <w:sz w:val="18"/>
        </w:rPr>
        <w:t>请扫描以查询验证条款</w:t>
      </w:r>
    </w:p>
    <w:p>
      <w:pPr>
        <w:spacing w:after="0"/>
        <w:jc w:val="center"/>
        <w:rPr>
          <w:sz w:val="18"/>
        </w:rPr>
        <w:sectPr>
          <w:type w:val="continuous"/>
          <w:pgSz w:w="11910" w:h="16160"/>
          <w:pgMar w:top="560" w:bottom="280" w:left="500" w:right="260"/>
          <w:cols w:num="2" w:equalWidth="0">
            <w:col w:w="8544" w:space="40"/>
            <w:col w:w="2566"/>
          </w:cols>
        </w:sectPr>
      </w:pPr>
    </w:p>
    <w:p>
      <w:pPr>
        <w:pStyle w:val="BodyText"/>
        <w:rPr>
          <w:sz w:val="20"/>
        </w:rPr>
      </w:pPr>
    </w:p>
    <w:p>
      <w:pPr>
        <w:pStyle w:val="BodyText"/>
        <w:rPr>
          <w:sz w:val="20"/>
        </w:rPr>
      </w:pPr>
    </w:p>
    <w:p>
      <w:pPr>
        <w:pStyle w:val="BodyText"/>
        <w:spacing w:before="1"/>
        <w:rPr>
          <w:sz w:val="16"/>
        </w:rPr>
      </w:pPr>
    </w:p>
    <w:p>
      <w:pPr>
        <w:spacing w:before="27"/>
        <w:ind w:left="1058" w:right="0" w:firstLine="0"/>
        <w:jc w:val="left"/>
        <w:rPr>
          <w:sz w:val="24"/>
        </w:rPr>
      </w:pPr>
      <w:r>
        <w:rPr>
          <w:sz w:val="24"/>
        </w:rPr>
        <w:t>感谢您选择了太平人寿保险有限公司。</w:t>
      </w:r>
    </w:p>
    <w:p>
      <w:pPr>
        <w:spacing w:line="549" w:lineRule="auto" w:before="46"/>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rPr>
          <w:b/>
          <w:sz w:val="26"/>
        </w:rPr>
      </w:pPr>
    </w:p>
    <w:p>
      <w:pPr>
        <w:pStyle w:val="BodyText"/>
        <w:spacing w:before="8"/>
        <w:rPr>
          <w:b/>
          <w:sz w:val="29"/>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BodyText"/>
        <w:spacing w:before="44"/>
        <w:ind w:left="4833" w:right="4912"/>
        <w:jc w:val="center"/>
      </w:pPr>
      <w:r>
        <w:rPr/>
        <w:t>第</w:t>
      </w:r>
      <w:r>
        <w:rPr>
          <w:rFonts w:ascii="Times New Roman" w:eastAsia="Times New Roman"/>
        </w:rPr>
        <w:t>1</w:t>
      </w:r>
      <w:r>
        <w:rPr/>
        <w:t>页，共</w:t>
      </w:r>
      <w:r>
        <w:rPr>
          <w:rFonts w:ascii="Times New Roman" w:eastAsia="Times New Roman"/>
        </w:rPr>
        <w:t>15</w:t>
      </w:r>
      <w:r>
        <w:rPr/>
        <w:t>页</w:t>
      </w:r>
    </w:p>
    <w:p>
      <w:pPr>
        <w:spacing w:after="0"/>
        <w:jc w:val="center"/>
        <w:sectPr>
          <w:type w:val="continuous"/>
          <w:pgSz w:w="11910" w:h="16160"/>
          <w:pgMar w:top="560" w:bottom="280" w:left="500" w:right="26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5" w:val="right" w:leader="dot"/>
            </w:tabs>
            <w:spacing w:before="41"/>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原位癌的定义</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2">
            <w:r>
              <w:rPr/>
              <w:t>第十七条</w:t>
              <w:tab/>
              <w:t>重大疾病的种类及定义</w:t>
              <w:tab/>
            </w:r>
            <w:r>
              <w:rPr>
                <w:rFonts w:ascii="Times New Roman" w:eastAsia="Times New Roman"/>
              </w:rPr>
              <w:t>6</w:t>
            </w:r>
          </w:hyperlink>
        </w:p>
        <w:p>
          <w:pPr/>
          <w:r>
            <w:fldChar w:fldCharType="end"/>
          </w:r>
        </w:p>
      </w:sdtContent>
    </w:sdt>
    <w:p>
      <w:pPr>
        <w:spacing w:after="0"/>
        <w:sectPr>
          <w:footerReference w:type="default" r:id="rId8"/>
          <w:pgSz w:w="11910" w:h="16160"/>
          <w:pgMar w:footer="670" w:header="0" w:top="1520" w:bottom="86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114" w:firstLine="420"/>
      </w:pPr>
      <w:r>
        <w:rPr>
          <w:spacing w:val="-10"/>
        </w:rPr>
        <w:t>本附加合同依您的申请，可附加于我们提供的主合同《太平财富安泰终身寿险</w:t>
      </w:r>
      <w:r>
        <w:rPr/>
        <w:t>（</w:t>
      </w:r>
      <w:r>
        <w:rPr>
          <w:spacing w:val="-2"/>
        </w:rPr>
        <w:t>分红型</w:t>
      </w:r>
      <w:r>
        <w:rPr>
          <w:spacing w:val="-106"/>
        </w:rPr>
        <w:t>）</w:t>
      </w:r>
      <w:r>
        <w:rPr>
          <w:spacing w:val="-142"/>
        </w:rPr>
        <w:t>》</w:t>
      </w:r>
      <w:r>
        <w:rPr>
          <w:spacing w:val="-3"/>
        </w:rPr>
        <w:t>（</w:t>
      </w:r>
      <w:r>
        <w:rPr>
          <w:spacing w:val="-9"/>
        </w:rPr>
        <w:t>以下简称“主</w:t>
      </w:r>
      <w:r>
        <w:rPr>
          <w:spacing w:val="-42"/>
          <w:w w:val="100"/>
        </w:rPr>
        <w:t>合同”</w:t>
      </w:r>
      <w:r>
        <w:rPr>
          <w:w w:val="100"/>
        </w:rPr>
        <w:t>）</w:t>
      </w:r>
      <w:r>
        <w:rPr>
          <w:spacing w:val="-3"/>
          <w:w w:val="100"/>
        </w:rPr>
        <w:t>之上，经我们审核同意，并在保险单或批注中列明后生效。</w:t>
      </w:r>
    </w:p>
    <w:p>
      <w:pPr>
        <w:pStyle w:val="BodyText"/>
        <w:spacing w:line="273" w:lineRule="auto" w:before="7"/>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55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before="37"/>
        <w:ind w:left="538"/>
      </w:pPr>
      <w:r>
        <w:rPr/>
        <w:t>本附加合同的保险期间与主合同保持一致。</w:t>
      </w:r>
    </w:p>
    <w:p>
      <w:pPr>
        <w:pStyle w:val="BodyText"/>
        <w:spacing w:before="7"/>
        <w:rPr>
          <w:sz w:val="24"/>
        </w:rPr>
      </w:pPr>
    </w:p>
    <w:p>
      <w:pPr>
        <w:pStyle w:val="Heading1"/>
        <w:tabs>
          <w:tab w:pos="1418" w:val="left" w:leader="none"/>
        </w:tabs>
        <w:ind w:right="2"/>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在本附加合同保险期间内，本附加合同的基本保险金额与主合同的基本保险金额保持一致。</w:t>
      </w:r>
    </w:p>
    <w:p>
      <w:pPr>
        <w:pStyle w:val="BodyText"/>
        <w:spacing w:before="8"/>
        <w:rPr>
          <w:sz w:val="26"/>
        </w:rPr>
      </w:pPr>
    </w:p>
    <w:p>
      <w:pPr>
        <w:pStyle w:val="Heading2"/>
        <w:tabs>
          <w:tab w:pos="957" w:val="left" w:leader="none"/>
        </w:tabs>
        <w:spacing w:before="1"/>
      </w:pPr>
      <w:bookmarkStart w:name="_bookmark7" w:id="8"/>
      <w:bookmarkEnd w:id="8"/>
      <w:r>
        <w:rPr>
          <w:b w:val="0"/>
        </w:rPr>
      </w:r>
      <w:r>
        <w:rPr/>
        <w:t>第六条</w:t>
        <w:tab/>
        <w:t>等待期</w:t>
      </w:r>
    </w:p>
    <w:p>
      <w:pPr>
        <w:pStyle w:val="BodyText"/>
        <w:spacing w:before="37"/>
        <w:ind w:left="538"/>
      </w:pPr>
      <w:r>
        <w:rPr/>
        <w:t>自本附加合同生效日零时起 </w:t>
      </w:r>
      <w:r>
        <w:rPr>
          <w:rFonts w:ascii="Times New Roman" w:eastAsia="Times New Roman"/>
        </w:rPr>
        <w:t>180 </w:t>
      </w:r>
      <w:r>
        <w:rPr/>
        <w:t>日为等待期。如果本附加合同曾一次或多次恢复效力，则自每次合同效</w:t>
      </w:r>
    </w:p>
    <w:p>
      <w:pPr>
        <w:pStyle w:val="BodyText"/>
        <w:spacing w:before="21"/>
        <w:ind w:left="117"/>
      </w:pPr>
      <w:r>
        <w:rPr/>
        <w:t>力恢复之日零时起 </w:t>
      </w:r>
      <w:r>
        <w:rPr>
          <w:rFonts w:ascii="Times New Roman" w:eastAsia="Times New Roman"/>
        </w:rPr>
        <w:t>180 </w:t>
      </w:r>
      <w:r>
        <w:rPr/>
        <w:t>日均为等待期。</w:t>
      </w:r>
    </w:p>
    <w:p>
      <w:pPr>
        <w:pStyle w:val="BodyText"/>
        <w:spacing w:before="6"/>
        <w:rPr>
          <w:sz w:val="25"/>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7"/>
        <w:ind w:left="538" w:right="9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56" w:lineRule="auto" w:before="7" w:after="0"/>
        <w:ind w:left="117" w:right="110" w:firstLine="421"/>
        <w:jc w:val="left"/>
        <w:rPr>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5"/>
          <w:sz w:val="21"/>
          <w:vertAlign w:val="baseline"/>
        </w:rPr>
        <w:t>确诊</w:t>
      </w:r>
      <w:r>
        <w:rPr>
          <w:spacing w:val="-3"/>
          <w:sz w:val="21"/>
          <w:vertAlign w:val="baseline"/>
        </w:rPr>
        <w:t>初次患上一种或多种本附加合同第十七条所定义的重大疾病，我们按本附加合同基本保险金额给付重大疾病</w:t>
      </w:r>
    </w:p>
    <w:p>
      <w:pPr>
        <w:pStyle w:val="BodyText"/>
        <w:rPr>
          <w:sz w:val="20"/>
        </w:rPr>
      </w:pPr>
    </w:p>
    <w:p>
      <w:pPr>
        <w:pStyle w:val="BodyText"/>
        <w:spacing w:before="1"/>
        <w:rPr>
          <w:sz w:val="12"/>
        </w:rPr>
      </w:pPr>
      <w:r>
        <w:rPr/>
        <w:pict>
          <v:line style="position:absolute;mso-position-horizontal-relative:page;mso-position-vertical-relative:paragraph;z-index:1072;mso-wrap-distance-left:0;mso-wrap-distance-right:0" from="53.880001pt,10.134725pt" to="197.930001pt,10.134725pt" stroked="true" strokeweight=".47998pt" strokecolor="#000000">
            <v:stroke dashstyle="solid"/>
            <w10:wrap type="topAndBottom"/>
          </v:line>
        </w:pict>
      </w:r>
    </w:p>
    <w:p>
      <w:pPr>
        <w:pStyle w:val="BodyText"/>
        <w:spacing w:line="287"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5" w:lineRule="exact"/>
        <w:ind w:left="117"/>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ind w:left="117"/>
      </w:pPr>
      <w:r>
        <w:rPr/>
        <w:t>度。如果当月无对应的同一日，则以该月最后一日为对应日。</w:t>
      </w:r>
    </w:p>
    <w:p>
      <w:pPr>
        <w:spacing w:line="318"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指在本附加合同交费期限内，保险单或批注上列明的合同生效日在每月、每季、每半年</w:t>
      </w:r>
    </w:p>
    <w:p>
      <w:pPr>
        <w:pStyle w:val="BodyText"/>
        <w:spacing w:line="227" w:lineRule="exact"/>
        <w:ind w:left="117"/>
      </w:pPr>
      <w:r>
        <w:rPr/>
        <w:t>或每年（根据交费方式确定）的对应日。如果当月无对应的同一日，则以该月最后一日作为对应日。</w:t>
      </w:r>
    </w:p>
    <w:p>
      <w:pPr>
        <w:spacing w:line="284" w:lineRule="exact" w:before="0"/>
        <w:ind w:left="117" w:right="0" w:firstLine="0"/>
        <w:jc w:val="left"/>
        <w:rPr>
          <w:sz w:val="21"/>
        </w:rPr>
      </w:pPr>
      <w:r>
        <w:rPr>
          <w:rFonts w:ascii="Times New Roman" w:eastAsia="Times New Roman"/>
          <w:position w:val="10"/>
          <w:sz w:val="14"/>
        </w:rPr>
        <w:t>4</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ind w:left="117"/>
      </w:pPr>
      <w:r>
        <w:rPr>
          <w:rFonts w:ascii="Times New Roman" w:eastAsia="Times New Roman"/>
          <w:position w:val="10"/>
          <w:sz w:val="14"/>
        </w:rPr>
        <w:t>5</w:t>
      </w:r>
      <w:r>
        <w:rPr>
          <w:rFonts w:ascii="Microsoft JhengHei" w:eastAsia="Microsoft JhengHei" w:hint="eastAsia"/>
          <w:b/>
        </w:rPr>
        <w:t>发病：</w:t>
      </w:r>
      <w:r>
        <w:rPr/>
        <w:t>指被保险人出现本附加合同所界定疾病的前兆或异常的身体状况，或已经显现足以使一般人士引起注</w:t>
      </w:r>
    </w:p>
    <w:p>
      <w:pPr>
        <w:pStyle w:val="BodyText"/>
        <w:spacing w:line="227" w:lineRule="exact"/>
        <w:ind w:left="117"/>
      </w:pPr>
      <w:r>
        <w:rPr/>
        <w:t>意并寻求诊断、治疗或护理的病症，但不包括本附加合同生效或恢复效力前的任何疾病或症状。</w:t>
      </w:r>
    </w:p>
    <w:p>
      <w:pPr>
        <w:pStyle w:val="BodyText"/>
        <w:spacing w:line="318" w:lineRule="exact"/>
        <w:ind w:left="117"/>
      </w:pPr>
      <w:r>
        <w:rPr>
          <w:rFonts w:ascii="Times New Roman" w:eastAsia="Times New Roman"/>
          <w:position w:val="10"/>
          <w:sz w:val="14"/>
        </w:rPr>
        <w:t>6</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1" w:lineRule="exact"/>
        <w:ind w:left="117"/>
      </w:pPr>
      <w:r>
        <w:rPr/>
        <w:t>酒、戒毒或相类似的医疗机构。同时该医院必须具有符合有关医院管理规定设臵标准的医疗设备，并且提供</w:t>
      </w:r>
    </w:p>
    <w:p>
      <w:pPr>
        <w:pStyle w:val="BodyText"/>
        <w:spacing w:line="289" w:lineRule="exact"/>
        <w:ind w:left="117"/>
      </w:pPr>
      <w:r>
        <w:rPr>
          <w:rFonts w:ascii="Times New Roman" w:eastAsia="Times New Roman"/>
        </w:rPr>
        <w:t>24 </w:t>
      </w:r>
      <w:r>
        <w:rPr/>
        <w:t>小时有合格医师及护士驻院的医疗和护理等服务。</w:t>
      </w:r>
    </w:p>
    <w:p>
      <w:pPr>
        <w:spacing w:after="0" w:line="289" w:lineRule="exact"/>
        <w:sectPr>
          <w:pgSz w:w="11910" w:h="16160"/>
          <w:pgMar w:header="0" w:footer="670" w:top="1520" w:bottom="860" w:left="960" w:right="800"/>
        </w:sectPr>
      </w:pPr>
    </w:p>
    <w:p>
      <w:pPr>
        <w:spacing w:before="67"/>
        <w:ind w:left="117" w:right="0" w:firstLine="0"/>
        <w:jc w:val="left"/>
        <w:rPr>
          <w:sz w:val="21"/>
        </w:rPr>
      </w:pPr>
      <w:r>
        <w:rPr>
          <w:sz w:val="21"/>
        </w:rPr>
        <w:t>保险金，同时我们将给付</w:t>
      </w:r>
      <w:r>
        <w:rPr>
          <w:b/>
          <w:sz w:val="21"/>
        </w:rPr>
        <w:t>主合同累积红利保险金额对应的现金价值</w:t>
      </w:r>
      <w:r>
        <w:rPr>
          <w:rFonts w:ascii="Times New Roman" w:eastAsia="Times New Roman"/>
          <w:b/>
          <w:sz w:val="21"/>
          <w:vertAlign w:val="superscript"/>
        </w:rPr>
        <w:t>7</w:t>
      </w:r>
      <w:r>
        <w:rPr>
          <w:rFonts w:ascii="Times New Roman" w:eastAsia="Times New Roman"/>
          <w:b/>
          <w:sz w:val="21"/>
          <w:vertAlign w:val="baseline"/>
        </w:rPr>
      </w:r>
      <w:r>
        <w:rPr>
          <w:sz w:val="21"/>
          <w:vertAlign w:val="baseline"/>
        </w:rPr>
        <w:t>。</w:t>
      </w:r>
    </w:p>
    <w:p>
      <w:pPr>
        <w:pStyle w:val="ListParagraph"/>
        <w:numPr>
          <w:ilvl w:val="0"/>
          <w:numId w:val="2"/>
        </w:numPr>
        <w:tabs>
          <w:tab w:pos="807" w:val="left" w:leader="none"/>
        </w:tabs>
        <w:spacing w:line="264" w:lineRule="auto" w:before="21" w:after="0"/>
        <w:ind w:left="117" w:right="217" w:firstLine="421"/>
        <w:jc w:val="both"/>
        <w:rPr>
          <w:sz w:val="21"/>
        </w:rPr>
      </w:pPr>
      <w:r>
        <w:rPr>
          <w:sz w:val="21"/>
        </w:rPr>
        <w:t>如果被保险人因意外伤害事故以外的原因经医院确诊初次患上一种或多种本附加合同第十七条所定</w:t>
      </w:r>
      <w:r>
        <w:rPr>
          <w:spacing w:val="-3"/>
          <w:sz w:val="21"/>
        </w:rPr>
        <w:t>义的重大疾病，并且首次发病时间在等待期内，我们按主合同及本附加合同的已交保险费给付重大疾病保险金，同时我们将给付主合同累积红利保险金额对应的现金价值，主合同及本附加合同同时终止。</w:t>
      </w:r>
    </w:p>
    <w:p>
      <w:pPr>
        <w:pStyle w:val="BodyText"/>
        <w:spacing w:before="16"/>
        <w:ind w:left="538"/>
      </w:pPr>
      <w:r>
        <w:rPr/>
        <w:t>二、重大疾病康复金</w:t>
      </w:r>
    </w:p>
    <w:p>
      <w:pPr>
        <w:pStyle w:val="ListParagraph"/>
        <w:numPr>
          <w:ilvl w:val="0"/>
          <w:numId w:val="3"/>
        </w:numPr>
        <w:tabs>
          <w:tab w:pos="807" w:val="left" w:leader="none"/>
        </w:tabs>
        <w:spacing w:line="256" w:lineRule="auto" w:before="37" w:after="0"/>
        <w:ind w:left="117" w:right="212" w:firstLine="421"/>
        <w:jc w:val="both"/>
        <w:rPr>
          <w:sz w:val="21"/>
        </w:rPr>
      </w:pPr>
      <w:r>
        <w:rPr>
          <w:sz w:val="21"/>
        </w:rPr>
        <w:t>如果被保险人因意外伤害事故或等待期后因意外伤害事故以外的原因导致首次发病并经医院确诊初</w:t>
      </w:r>
      <w:r>
        <w:rPr>
          <w:spacing w:val="-4"/>
          <w:sz w:val="21"/>
        </w:rPr>
        <w:t>次患上一种或多种本附加合同第十七条所定义的重大疾病，我们将保证且累积给付 </w:t>
      </w:r>
      <w:r>
        <w:rPr>
          <w:rFonts w:ascii="Times New Roman" w:eastAsia="Times New Roman"/>
          <w:sz w:val="21"/>
        </w:rPr>
        <w:t>3</w:t>
      </w:r>
      <w:r>
        <w:rPr>
          <w:rFonts w:ascii="Times New Roman" w:eastAsia="Times New Roman"/>
          <w:spacing w:val="40"/>
          <w:sz w:val="21"/>
        </w:rPr>
        <w:t> </w:t>
      </w:r>
      <w:r>
        <w:rPr>
          <w:spacing w:val="-3"/>
          <w:sz w:val="21"/>
        </w:rPr>
        <w:t>笔重大疾病康复金，每</w:t>
      </w:r>
      <w:r>
        <w:rPr>
          <w:spacing w:val="-5"/>
          <w:sz w:val="21"/>
        </w:rPr>
        <w:t>笔给付金额为本附加合同基本保险金额的 </w:t>
      </w:r>
      <w:r>
        <w:rPr>
          <w:rFonts w:ascii="Times New Roman" w:eastAsia="Times New Roman"/>
          <w:sz w:val="21"/>
        </w:rPr>
        <w:t>10%</w:t>
      </w:r>
      <w:r>
        <w:rPr>
          <w:sz w:val="21"/>
        </w:rPr>
        <w:t>。</w:t>
      </w:r>
    </w:p>
    <w:p>
      <w:pPr>
        <w:pStyle w:val="BodyText"/>
        <w:spacing w:line="264" w:lineRule="auto" w:before="5"/>
        <w:ind w:left="117" w:right="109" w:firstLine="420"/>
        <w:jc w:val="both"/>
      </w:pPr>
      <w:r>
        <w:rPr>
          <w:spacing w:val="-3"/>
        </w:rPr>
        <w:t>我们将在给付本条第一项责任重大疾病保险金时给付第一笔重大疾病康复金，同时主合同及本附加合同</w:t>
      </w:r>
      <w:r>
        <w:rPr>
          <w:spacing w:val="-12"/>
        </w:rPr>
        <w:t>终止。剩余 </w:t>
      </w:r>
      <w:r>
        <w:rPr/>
        <w:t>2</w:t>
      </w:r>
      <w:r>
        <w:rPr>
          <w:spacing w:val="-8"/>
        </w:rPr>
        <w:t> 笔的重大疾病康复金将在确诊后的第一个及第二个</w:t>
      </w:r>
      <w:r>
        <w:rPr>
          <w:b/>
          <w:spacing w:val="-1"/>
        </w:rPr>
        <w:t>重大疾病康复金领取日</w:t>
      </w:r>
      <w:r>
        <w:rPr>
          <w:rFonts w:ascii="Times New Roman" w:eastAsia="Times New Roman"/>
          <w:b/>
          <w:vertAlign w:val="superscript"/>
        </w:rPr>
        <w:t>8</w:t>
      </w:r>
      <w:r>
        <w:rPr>
          <w:rFonts w:ascii="Times New Roman" w:eastAsia="Times New Roman"/>
          <w:b/>
          <w:vertAlign w:val="baseline"/>
        </w:rPr>
      </w:r>
      <w:r>
        <w:rPr>
          <w:spacing w:val="-6"/>
          <w:vertAlign w:val="baseline"/>
        </w:rPr>
        <w:t>分别给付。如果被保</w:t>
      </w:r>
      <w:r>
        <w:rPr>
          <w:spacing w:val="-7"/>
          <w:vertAlign w:val="baseline"/>
        </w:rPr>
        <w:t>险人于第二个重大疾病康复金领取日零时前身故，我们将重大疾病康复金给付至主合同的身故保险金受益人。</w:t>
      </w:r>
    </w:p>
    <w:p>
      <w:pPr>
        <w:pStyle w:val="ListParagraph"/>
        <w:numPr>
          <w:ilvl w:val="0"/>
          <w:numId w:val="3"/>
        </w:numPr>
        <w:tabs>
          <w:tab w:pos="807" w:val="left" w:leader="none"/>
        </w:tabs>
        <w:spacing w:line="256" w:lineRule="auto" w:before="17" w:after="0"/>
        <w:ind w:left="117" w:right="217" w:firstLine="421"/>
        <w:jc w:val="left"/>
        <w:rPr>
          <w:sz w:val="21"/>
        </w:rPr>
      </w:pPr>
      <w:r>
        <w:rPr>
          <w:sz w:val="21"/>
        </w:rPr>
        <w:t>如果被保险人因意外伤害事故以外的原因经医院确诊初次患上一种或多种本附加合同第十七条所定</w:t>
      </w:r>
      <w:r>
        <w:rPr>
          <w:spacing w:val="-3"/>
          <w:sz w:val="21"/>
        </w:rPr>
        <w:t>义的重大疾病，并且首次发病时间在等待期内，我们不承担此项责任。</w:t>
      </w:r>
    </w:p>
    <w:p>
      <w:pPr>
        <w:pStyle w:val="BodyText"/>
        <w:spacing w:before="22"/>
        <w:ind w:left="538"/>
      </w:pPr>
      <w:r>
        <w:rPr/>
        <w:t>三、原位癌特别保险金</w:t>
      </w:r>
    </w:p>
    <w:p>
      <w:pPr>
        <w:pStyle w:val="ListParagraph"/>
        <w:numPr>
          <w:ilvl w:val="0"/>
          <w:numId w:val="4"/>
        </w:numPr>
        <w:tabs>
          <w:tab w:pos="803" w:val="left" w:leader="none"/>
        </w:tabs>
        <w:spacing w:line="256" w:lineRule="auto" w:before="36" w:after="0"/>
        <w:ind w:left="117" w:right="214" w:firstLine="421"/>
        <w:jc w:val="left"/>
        <w:rPr>
          <w:sz w:val="21"/>
        </w:rPr>
      </w:pPr>
      <w:r>
        <w:rPr>
          <w:spacing w:val="-4"/>
          <w:sz w:val="21"/>
        </w:rPr>
        <w:t>如果被保险人等待期后首次发病并经医院确诊初次患上本附加合同第十六条所定义的原位癌，我们按本附加合同基本保险金额的 </w:t>
      </w:r>
      <w:r>
        <w:rPr>
          <w:rFonts w:ascii="Times New Roman" w:eastAsia="Times New Roman"/>
          <w:sz w:val="21"/>
        </w:rPr>
        <w:t>10%</w:t>
      </w:r>
      <w:r>
        <w:rPr>
          <w:spacing w:val="-3"/>
          <w:sz w:val="21"/>
        </w:rPr>
        <w:t>额外给付原位癌特别保险金，给付以一次为限，同时本项责任终止。</w:t>
      </w:r>
    </w:p>
    <w:p>
      <w:pPr>
        <w:pStyle w:val="ListParagraph"/>
        <w:numPr>
          <w:ilvl w:val="0"/>
          <w:numId w:val="4"/>
        </w:numPr>
        <w:tabs>
          <w:tab w:pos="803" w:val="left" w:leader="none"/>
        </w:tabs>
        <w:spacing w:line="256" w:lineRule="auto" w:before="4" w:after="0"/>
        <w:ind w:left="117" w:right="214" w:firstLine="421"/>
        <w:jc w:val="left"/>
        <w:rPr>
          <w:sz w:val="21"/>
        </w:rPr>
      </w:pPr>
      <w:r>
        <w:rPr>
          <w:spacing w:val="-4"/>
          <w:sz w:val="21"/>
        </w:rPr>
        <w:t>如果被保险人经医院确诊初次患上本附加合同第十六条所定义的原位癌，并且首次发病时间在等待期</w:t>
      </w:r>
      <w:r>
        <w:rPr>
          <w:spacing w:val="-3"/>
          <w:sz w:val="21"/>
        </w:rPr>
        <w:t>内，我们不承担本项责任，同时本项责任终止。</w:t>
      </w:r>
    </w:p>
    <w:p>
      <w:pPr>
        <w:pStyle w:val="BodyText"/>
        <w:spacing w:before="6"/>
        <w:rPr>
          <w:sz w:val="25"/>
        </w:rPr>
      </w:pPr>
    </w:p>
    <w:p>
      <w:pPr>
        <w:pStyle w:val="BodyText"/>
        <w:spacing w:line="273" w:lineRule="auto" w:before="1"/>
        <w:ind w:left="117" w:right="219" w:firstLine="420"/>
      </w:pPr>
      <w:r>
        <w:rPr/>
        <w:t>我们只给付主合同及本附加合同保险责任中约定的身故保险金和重大疾病保险金的其中一项保险金，且以一次为限。</w:t>
      </w:r>
    </w:p>
    <w:p>
      <w:pPr>
        <w:pStyle w:val="BodyText"/>
        <w:spacing w:line="273" w:lineRule="auto" w:before="8"/>
        <w:ind w:left="117" w:right="109" w:firstLine="420"/>
      </w:pPr>
      <w:r>
        <w:rPr>
          <w:spacing w:val="-6"/>
        </w:rPr>
        <w:t>因本附加合同的终止导致主合同终止的，关于主合同终了红利的处理参见主合同条款第七条“红利分配” </w:t>
      </w:r>
      <w:r>
        <w:rPr>
          <w:spacing w:val="-15"/>
        </w:rPr>
        <w:t>第二项“终了红利”。</w:t>
      </w:r>
    </w:p>
    <w:p>
      <w:pPr>
        <w:pStyle w:val="BodyText"/>
        <w:spacing w:before="5"/>
        <w:rPr>
          <w:sz w:val="24"/>
        </w:rPr>
      </w:pPr>
    </w:p>
    <w:p>
      <w:pPr>
        <w:pStyle w:val="Heading2"/>
        <w:tabs>
          <w:tab w:pos="969" w:val="left" w:leader="none"/>
        </w:tabs>
        <w:spacing w:before="1"/>
      </w:pPr>
      <w:bookmarkStart w:name="_bookmark9" w:id="10"/>
      <w:bookmarkEnd w:id="10"/>
      <w:r>
        <w:rPr>
          <w:b w:val="0"/>
        </w:rPr>
      </w:r>
      <w:r>
        <w:rPr/>
        <w:t>第八条</w:t>
        <w:tab/>
        <w:t>责任免除</w:t>
      </w:r>
    </w:p>
    <w:p>
      <w:pPr>
        <w:pStyle w:val="BodyText"/>
        <w:spacing w:before="15"/>
        <w:ind w:left="117" w:right="222" w:firstLine="420"/>
        <w:rPr>
          <w:rFonts w:ascii="黑体" w:eastAsia="黑体" w:hint="eastAsia"/>
        </w:rPr>
      </w:pPr>
      <w:r>
        <w:rPr>
          <w:rFonts w:ascii="黑体" w:eastAsia="黑体" w:hint="eastAsia"/>
        </w:rPr>
        <w:t>因下列情形之一导致被保险人患上本附加合同所定义的重大疾病或原位癌的，我们不承担给付相应保险金的责任：</w:t>
      </w:r>
    </w:p>
    <w:p>
      <w:pPr>
        <w:pStyle w:val="ListParagraph"/>
        <w:numPr>
          <w:ilvl w:val="0"/>
          <w:numId w:val="5"/>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酒后驾驶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1"/>
          <w:sz w:val="21"/>
          <w:vertAlign w:val="baseline"/>
        </w:rPr>
        <w:t>的机动车；</w:t>
      </w:r>
    </w:p>
    <w:p>
      <w:pPr>
        <w:pStyle w:val="BodyText"/>
        <w:spacing w:before="10"/>
        <w:rPr>
          <w:rFonts w:ascii="黑体"/>
          <w:sz w:val="27"/>
        </w:rPr>
      </w:pPr>
      <w:r>
        <w:rPr/>
        <w:pict>
          <v:line style="position:absolute;mso-position-horizontal-relative:page;mso-position-vertical-relative:paragraph;z-index:1096;mso-wrap-distance-left:0;mso-wrap-distance-right:0" from="53.880001pt,20.374386pt" to="197.930001pt,20.374386pt" stroked="true" strokeweight=".47998pt" strokecolor="#000000">
            <v:stroke dashstyle="solid"/>
            <w10:wrap type="topAndBottom"/>
          </v:line>
        </w:pict>
      </w:r>
    </w:p>
    <w:p>
      <w:pPr>
        <w:spacing w:line="322" w:lineRule="exact" w:before="0"/>
        <w:ind w:left="117" w:right="0" w:firstLine="0"/>
        <w:jc w:val="left"/>
        <w:rPr>
          <w:sz w:val="21"/>
        </w:rPr>
      </w:pPr>
      <w:r>
        <w:rPr>
          <w:rFonts w:ascii="Times New Roman" w:eastAsia="Times New Roman"/>
          <w:position w:val="10"/>
          <w:sz w:val="14"/>
        </w:rPr>
        <w:t>7</w:t>
      </w:r>
      <w:r>
        <w:rPr>
          <w:rFonts w:ascii="Microsoft JhengHei" w:eastAsia="Microsoft JhengHei" w:hint="eastAsia"/>
          <w:b/>
          <w:sz w:val="21"/>
        </w:rPr>
        <w:t>主合同累积红利保险金额对应的现金价值：</w:t>
      </w:r>
      <w:r>
        <w:rPr>
          <w:sz w:val="21"/>
        </w:rPr>
        <w:t>是指根据精算原理计算的主合同《太平财富安泰终身寿险（分红</w:t>
      </w:r>
    </w:p>
    <w:p>
      <w:pPr>
        <w:pStyle w:val="BodyText"/>
        <w:spacing w:line="238" w:lineRule="exact"/>
        <w:ind w:left="117"/>
      </w:pPr>
      <w:r>
        <w:rPr>
          <w:spacing w:val="-1"/>
        </w:rPr>
        <w:t>型</w:t>
      </w:r>
      <w:r>
        <w:rPr>
          <w:spacing w:val="-106"/>
        </w:rPr>
        <w:t>）</w:t>
      </w:r>
      <w:r>
        <w:rPr>
          <w:spacing w:val="-3"/>
        </w:rPr>
        <w:t>》累积红利保险金额所具有的价值。</w:t>
      </w:r>
    </w:p>
    <w:p>
      <w:pPr>
        <w:spacing w:line="341" w:lineRule="exact" w:before="0"/>
        <w:ind w:left="117" w:right="0" w:firstLine="0"/>
        <w:jc w:val="left"/>
        <w:rPr>
          <w:sz w:val="21"/>
        </w:rPr>
      </w:pPr>
      <w:r>
        <w:rPr>
          <w:rFonts w:ascii="Times New Roman" w:eastAsia="Times New Roman"/>
          <w:position w:val="10"/>
          <w:sz w:val="14"/>
        </w:rPr>
        <w:t>8</w:t>
      </w:r>
      <w:r>
        <w:rPr>
          <w:rFonts w:ascii="Microsoft JhengHei" w:eastAsia="Microsoft JhengHei" w:hint="eastAsia"/>
          <w:b/>
          <w:sz w:val="21"/>
        </w:rPr>
        <w:t>重大疾病康复金领取日：</w:t>
      </w:r>
      <w:r>
        <w:rPr>
          <w:sz w:val="21"/>
        </w:rPr>
        <w:t>指按本附加合同第七条第一项确定的重大疾病确诊日的年对应日，如果当月无对应</w:t>
      </w:r>
    </w:p>
    <w:p>
      <w:pPr>
        <w:pStyle w:val="BodyText"/>
        <w:spacing w:line="249" w:lineRule="exact" w:before="13"/>
        <w:ind w:left="117"/>
      </w:pPr>
      <w:r>
        <w:rPr/>
        <w:t>的同一日，则以该月最后一日作为对应日。</w:t>
      </w:r>
    </w:p>
    <w:p>
      <w:pPr>
        <w:pStyle w:val="BodyText"/>
        <w:spacing w:line="326" w:lineRule="exact"/>
        <w:ind w:left="117"/>
      </w:pPr>
      <w:r>
        <w:rPr>
          <w:rFonts w:ascii="Times New Roman" w:eastAsia="Times New Roman"/>
          <w:position w:val="10"/>
          <w:sz w:val="14"/>
        </w:rPr>
        <w:t>9</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74" w:lineRule="exact" w:before="12"/>
        <w:ind w:left="117" w:right="246"/>
      </w:pPr>
      <w:r>
        <w:rPr/>
        <w:t>定管制的其他能够使人形成瘾癖的麻醉药品和精神药品，但不包括由医生开具并遵医嘱使用的用于治疗疾病但含有毒品成分的处方药品。</w:t>
      </w:r>
    </w:p>
    <w:p>
      <w:pPr>
        <w:pStyle w:val="BodyText"/>
        <w:spacing w:line="257" w:lineRule="exact"/>
        <w:ind w:left="117"/>
      </w:pPr>
      <w:r>
        <w:rPr>
          <w:rFonts w:ascii="Times New Roman" w:eastAsia="Times New Roman"/>
          <w:position w:val="10"/>
          <w:sz w:val="14"/>
        </w:rPr>
        <w:t>10</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11</w:t>
      </w:r>
      <w:r>
        <w:rPr>
          <w:rFonts w:ascii="Microsoft JhengHei" w:eastAsia="Microsoft JhengHei" w:hint="eastAsia"/>
          <w:b/>
          <w:spacing w:val="-2"/>
          <w:w w:val="100"/>
          <w:sz w:val="21"/>
        </w:rPr>
        <w:t>无合法有效驾驶证驾驶：</w:t>
      </w:r>
      <w:r>
        <w:rPr>
          <w:spacing w:val="-16"/>
          <w:w w:val="100"/>
          <w:sz w:val="21"/>
        </w:rPr>
        <w:t>指下列情形之一：</w:t>
      </w:r>
      <w:r>
        <w:rPr>
          <w:spacing w:val="-1"/>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2"/>
          <w:w w:val="100"/>
          <w:sz w:val="21"/>
        </w:rPr>
        <w:t>2</w:t>
      </w:r>
      <w:r>
        <w:rPr>
          <w:w w:val="100"/>
          <w:sz w:val="21"/>
        </w:rPr>
        <w:t>）</w:t>
      </w:r>
      <w:r>
        <w:rPr>
          <w:spacing w:val="-3"/>
          <w:w w:val="100"/>
          <w:sz w:val="21"/>
        </w:rPr>
        <w:t>驾驶与驾驶证准驾车型不相符合</w:t>
      </w:r>
    </w:p>
    <w:p>
      <w:pPr>
        <w:pStyle w:val="BodyText"/>
        <w:spacing w:line="223" w:lineRule="auto" w:before="8"/>
        <w:ind w:left="117"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4" w:lineRule="exact"/>
        <w:ind w:left="117"/>
      </w:pPr>
      <w:r>
        <w:rPr>
          <w:rFonts w:ascii="Times New Roman" w:eastAsia="Times New Roman"/>
          <w:w w:val="99"/>
          <w:position w:val="10"/>
          <w:sz w:val="14"/>
        </w:rPr>
        <w:t>12</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61" w:lineRule="exact"/>
        <w:ind w:left="117"/>
      </w:pPr>
      <w:r>
        <w:rPr/>
        <w:t>技术检验。</w:t>
      </w:r>
    </w:p>
    <w:p>
      <w:pPr>
        <w:spacing w:after="0" w:line="261" w:lineRule="exact"/>
        <w:sectPr>
          <w:footerReference w:type="default" r:id="rId9"/>
          <w:pgSz w:w="11910" w:h="16160"/>
          <w:pgMar w:footer="631" w:header="0" w:top="1300" w:bottom="820" w:left="960" w:right="700"/>
          <w:pgNumType w:start="4"/>
        </w:sectPr>
      </w:pPr>
    </w:p>
    <w:p>
      <w:pPr>
        <w:pStyle w:val="ListParagraph"/>
        <w:numPr>
          <w:ilvl w:val="0"/>
          <w:numId w:val="5"/>
        </w:numPr>
        <w:tabs>
          <w:tab w:pos="803" w:val="left" w:leader="none"/>
        </w:tabs>
        <w:spacing w:line="282" w:lineRule="exact" w:before="66"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5"/>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BodyText"/>
        <w:spacing w:before="2"/>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项情形导致被保险人患上本附加合同所定义的重大疾病或原位癌的，本附加合同终止，您</w:t>
      </w:r>
    </w:p>
    <w:p>
      <w:pPr>
        <w:pStyle w:val="BodyText"/>
        <w:spacing w:before="21"/>
        <w:ind w:left="117"/>
        <w:rPr>
          <w:rFonts w:ascii="黑体" w:eastAsia="黑体" w:hint="eastAsia"/>
        </w:rPr>
      </w:pPr>
      <w:r>
        <w:rPr>
          <w:rFonts w:ascii="黑体" w:eastAsia="黑体" w:hint="eastAsia"/>
        </w:rPr>
        <w:t>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16</w:t>
      </w:r>
      <w:r>
        <w:rPr>
          <w:rFonts w:ascii="Times New Roman" w:eastAsia="Times New Roman"/>
          <w:b/>
          <w:vertAlign w:val="baseline"/>
        </w:rPr>
      </w:r>
      <w:r>
        <w:rPr>
          <w:rFonts w:ascii="黑体" w:eastAsia="黑体" w:hint="eastAsia"/>
          <w:vertAlign w:val="baseline"/>
        </w:rPr>
        <w:t>。</w:t>
      </w:r>
    </w:p>
    <w:p>
      <w:pPr>
        <w:pStyle w:val="BodyText"/>
        <w:spacing w:line="273" w:lineRule="auto" w:before="21"/>
        <w:ind w:left="117" w:right="119" w:firstLine="420"/>
        <w:rPr>
          <w:rFonts w:ascii="黑体" w:eastAsia="黑体" w:hint="eastAsia"/>
        </w:rPr>
      </w:pPr>
      <w:r>
        <w:rPr>
          <w:rFonts w:ascii="黑体" w:eastAsia="黑体" w:hint="eastAsia"/>
        </w:rPr>
        <w:t>发Th上述其他情形导致被保险人患上本附加合同所定义的重大疾病或原位癌的，本附加合同终止，我们向您退还保险单的现金价值。</w:t>
      </w:r>
    </w:p>
    <w:p>
      <w:pPr>
        <w:pStyle w:val="BodyText"/>
        <w:spacing w:before="4"/>
        <w:rPr>
          <w:rFonts w:ascii="黑体"/>
          <w:sz w:val="22"/>
        </w:rPr>
      </w:pPr>
    </w:p>
    <w:p>
      <w:pPr>
        <w:pStyle w:val="Heading1"/>
        <w:tabs>
          <w:tab w:pos="1418" w:val="left" w:leader="none"/>
        </w:tabs>
        <w:ind w:right="1"/>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7"/>
        <w:rPr>
          <w:sz w:val="24"/>
        </w:rPr>
      </w:pPr>
    </w:p>
    <w:p>
      <w:pPr>
        <w:pStyle w:val="Heading1"/>
        <w:tabs>
          <w:tab w:pos="1418" w:val="left" w:leader="none"/>
        </w:tabs>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1286" w:val="left" w:leader="none"/>
        </w:tabs>
      </w:pPr>
      <w:r>
        <w:rPr/>
        <w:t>第十条</w:t>
        <w:tab/>
      </w:r>
      <w:bookmarkStart w:name="_bookmark13" w:id="14"/>
      <w:bookmarkEnd w:id="14"/>
      <w:r>
        <w:rPr/>
        <w:t>受</w:t>
      </w:r>
      <w:r>
        <w:rPr/>
        <w:t>益人</w:t>
      </w:r>
    </w:p>
    <w:p>
      <w:pPr>
        <w:pStyle w:val="BodyText"/>
        <w:spacing w:before="36"/>
        <w:ind w:left="538"/>
      </w:pPr>
      <w:r>
        <w:rPr/>
        <w:t>除另有约定外，重大疾病保险金、重大疾病康复金及原位癌特别保险金的受益人为被保险人本人。</w:t>
      </w:r>
    </w:p>
    <w:p>
      <w:pPr>
        <w:pStyle w:val="BodyText"/>
        <w:spacing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7"/>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17</w:t>
      </w:r>
      <w:r>
        <w:rPr>
          <w:rFonts w:ascii="Times New Roman" w:eastAsia="Times New Roman"/>
          <w:b/>
          <w:vertAlign w:val="baseline"/>
        </w:rPr>
      </w:r>
      <w:r>
        <w:rPr>
          <w:vertAlign w:val="baseline"/>
        </w:rPr>
        <w:t>发生之日起计算。</w:t>
      </w:r>
    </w:p>
    <w:p>
      <w:pPr>
        <w:pStyle w:val="BodyText"/>
        <w:spacing w:before="7"/>
        <w:rPr>
          <w:sz w:val="25"/>
        </w:rPr>
      </w:pPr>
    </w:p>
    <w:p>
      <w:pPr>
        <w:pStyle w:val="Heading2"/>
        <w:tabs>
          <w:tab w:pos="1197" w:val="left" w:leader="none"/>
        </w:tabs>
        <w:spacing w:before="1"/>
      </w:pPr>
      <w:bookmarkStart w:name="_bookmark15" w:id="16"/>
      <w:bookmarkEnd w:id="16"/>
      <w:r>
        <w:rPr>
          <w:b w:val="0"/>
        </w:rPr>
      </w:r>
      <w:r>
        <w:rPr/>
        <w:t>第十二条</w:t>
        <w:tab/>
        <w:t>保险金申请</w:t>
      </w:r>
    </w:p>
    <w:p>
      <w:pPr>
        <w:pStyle w:val="BodyText"/>
        <w:spacing w:line="273" w:lineRule="auto" w:before="37"/>
        <w:ind w:left="117" w:right="119" w:firstLine="420"/>
      </w:pPr>
      <w:r>
        <w:rPr/>
        <w:t>在申请本附加合同重大疾病保险金、重大疾病康复金或原位癌特别保险金时，由相应保险金的受益人作为申请人填写保险金给付申请书，并提供下列证明和资料：</w:t>
      </w:r>
    </w:p>
    <w:p>
      <w:pPr>
        <w:pStyle w:val="ListParagraph"/>
        <w:numPr>
          <w:ilvl w:val="0"/>
          <w:numId w:val="6"/>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6"/>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6"/>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6"/>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rPr>
          <w:sz w:val="20"/>
        </w:rPr>
      </w:pPr>
    </w:p>
    <w:p>
      <w:pPr>
        <w:pStyle w:val="BodyText"/>
        <w:spacing w:before="1"/>
        <w:rPr>
          <w:sz w:val="27"/>
        </w:rPr>
      </w:pPr>
      <w:r>
        <w:rPr/>
        <w:pict>
          <v:line style="position:absolute;mso-position-horizontal-relative:page;mso-position-vertical-relative:paragraph;z-index:1120;mso-wrap-distance-left:0;mso-wrap-distance-right:0" from="53.880001pt,19.930349pt" to="197.930001pt,19.930349pt" stroked="true" strokeweight=".47998pt" strokecolor="#000000">
            <v:stroke dashstyle="solid"/>
            <w10:wrap type="topAndBottom"/>
          </v:line>
        </w:pict>
      </w:r>
    </w:p>
    <w:p>
      <w:pPr>
        <w:pStyle w:val="BodyText"/>
        <w:spacing w:line="220" w:lineRule="auto"/>
        <w:ind w:left="117" w:right="112"/>
      </w:pPr>
      <w:r>
        <w:rPr>
          <w:rFonts w:ascii="Times New Roman" w:eastAsia="Times New Roman"/>
          <w:position w:val="10"/>
          <w:sz w:val="14"/>
        </w:rPr>
        <w:t>13</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6"/>
        </w:rPr>
        <w:t>病毒引起的获得性免疫缺陷综合征，英文缩写为 </w:t>
      </w:r>
      <w:r>
        <w:rPr>
          <w:rFonts w:ascii="Times New Roman" w:eastAsia="Times New Roman"/>
        </w:rPr>
        <w:t>AIDS</w:t>
      </w:r>
      <w:r>
        <w:rPr>
          <w:spacing w:val="-8"/>
        </w:rPr>
        <w:t>。在人体血液或其他样本中检测到艾滋病病毒或其抗体</w:t>
      </w:r>
    </w:p>
    <w:p>
      <w:pPr>
        <w:pStyle w:val="BodyText"/>
        <w:spacing w:line="272" w:lineRule="exact" w:before="10"/>
        <w:ind w:left="117" w:right="146"/>
      </w:pPr>
      <w:r>
        <w:rPr/>
        <w:t>呈阳性，没有出现临床症状或体征的，为感染艾滋病病毒；如果同时出现了明显临床症状或体征的，为患艾滋病。</w:t>
      </w:r>
    </w:p>
    <w:p>
      <w:pPr>
        <w:pStyle w:val="BodyText"/>
        <w:spacing w:line="259" w:lineRule="exact"/>
        <w:ind w:left="117"/>
      </w:pPr>
      <w:r>
        <w:rPr>
          <w:rFonts w:ascii="Times New Roman" w:eastAsia="Times New Roman"/>
          <w:position w:val="10"/>
          <w:sz w:val="14"/>
        </w:rPr>
        <w:t>14</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ind w:left="117"/>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ind w:left="117"/>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16</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74" w:lineRule="exact" w:before="13"/>
        <w:ind w:left="117" w:right="146"/>
      </w:pPr>
      <w:r>
        <w:rPr/>
        <w:t>金额。保单年度末本附加合同所具有的现金价值在保险单或批注上列明。每个保单年度中，本附加合同所具有的现金价值根据本附加合同实际经过的日数计算。</w:t>
      </w:r>
    </w:p>
    <w:p>
      <w:pPr>
        <w:spacing w:line="235" w:lineRule="exact" w:before="0"/>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保险事故：</w:t>
      </w:r>
      <w:r>
        <w:rPr>
          <w:sz w:val="21"/>
        </w:rPr>
        <w:t>指本附加合同约定的保险责任范围内的事故。</w:t>
      </w:r>
    </w:p>
    <w:p>
      <w:pPr>
        <w:pStyle w:val="BodyText"/>
        <w:spacing w:line="330" w:lineRule="exact"/>
        <w:ind w:left="117"/>
      </w:pPr>
      <w:r>
        <w:rPr>
          <w:rFonts w:ascii="Times New Roman" w:eastAsia="Times New Roman"/>
          <w:position w:val="10"/>
          <w:sz w:val="14"/>
        </w:rPr>
        <w:t>18</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before="14"/>
        <w:ind w:left="117"/>
      </w:pPr>
      <w:r>
        <w:rPr/>
        <w:t>的未成年人。</w:t>
      </w:r>
    </w:p>
    <w:p>
      <w:pPr>
        <w:spacing w:after="0"/>
        <w:sectPr>
          <w:pgSz w:w="11910" w:h="16160"/>
          <w:pgMar w:header="0" w:footer="631" w:top="1280" w:bottom="900" w:left="960" w:right="800"/>
        </w:sectPr>
      </w:pPr>
    </w:p>
    <w:p>
      <w:pPr>
        <w:pStyle w:val="BodyText"/>
        <w:spacing w:line="268" w:lineRule="auto" w:before="7"/>
        <w:ind w:left="117" w:right="117"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9</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7"/>
        <w:rPr>
          <w:sz w:val="22"/>
        </w:rPr>
      </w:pPr>
    </w:p>
    <w:p>
      <w:pPr>
        <w:pStyle w:val="Heading1"/>
        <w:tabs>
          <w:tab w:pos="1418" w:val="left" w:leader="none"/>
        </w:tabs>
      </w:pPr>
      <w:bookmarkStart w:name="_bookmark16" w:id="17"/>
      <w:bookmarkEnd w:id="17"/>
      <w:r>
        <w:rPr>
          <w:b w:val="0"/>
        </w:rPr>
      </w:r>
      <w:r>
        <w:rPr/>
        <w:t>第五部分</w:t>
        <w:tab/>
      </w:r>
      <w:r>
        <w:rPr>
          <w:w w:val="95"/>
        </w:rPr>
        <w:t>您还享有哪些权益</w:t>
      </w:r>
    </w:p>
    <w:p>
      <w:pPr>
        <w:pStyle w:val="BodyText"/>
        <w:spacing w:before="9"/>
        <w:rPr>
          <w:b/>
          <w:sz w:val="25"/>
        </w:rPr>
      </w:pPr>
    </w:p>
    <w:p>
      <w:pPr>
        <w:pStyle w:val="Heading2"/>
        <w:tabs>
          <w:tab w:pos="1197" w:val="left" w:leader="none"/>
        </w:tabs>
        <w:spacing w:before="1"/>
      </w:pPr>
      <w:bookmarkStart w:name="_bookmark17" w:id="18"/>
      <w:bookmarkEnd w:id="18"/>
      <w:r>
        <w:rPr>
          <w:b w:val="0"/>
        </w:rPr>
      </w:r>
      <w:r>
        <w:rPr/>
        <w:t>第十三条</w:t>
        <w:tab/>
        <w:t>犹豫期</w:t>
      </w:r>
    </w:p>
    <w:p>
      <w:pPr>
        <w:pStyle w:val="BodyText"/>
        <w:spacing w:before="37"/>
        <w:ind w:left="538"/>
      </w:pPr>
      <w:r>
        <w:rPr/>
        <w:t>您在收到本附加合同并书面签收之日起可享有 </w:t>
      </w:r>
      <w:r>
        <w:rPr>
          <w:rFonts w:ascii="Times New Roman" w:eastAsia="Times New Roman"/>
        </w:rPr>
        <w:t>15 </w:t>
      </w:r>
      <w:r>
        <w:rPr/>
        <w:t>日的犹豫期，在犹豫期内要求解除本附加合同的，在我</w:t>
      </w:r>
    </w:p>
    <w:p>
      <w:pPr>
        <w:pStyle w:val="BodyText"/>
        <w:spacing w:line="259" w:lineRule="auto" w:before="21"/>
        <w:ind w:left="117" w:right="11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5"/>
        <w:rPr>
          <w:sz w:val="25"/>
        </w:rPr>
      </w:pPr>
    </w:p>
    <w:p>
      <w:pPr>
        <w:pStyle w:val="Heading2"/>
        <w:tabs>
          <w:tab w:pos="1197" w:val="left" w:leader="none"/>
        </w:tabs>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538" w:right="1617"/>
      </w:pPr>
      <w:r>
        <w:rPr/>
        <w:t>如您在犹豫期后申请解除本附加合同，请填写解除合同申请书并向我们提供下列资料： 一、保险合同；</w:t>
      </w:r>
    </w:p>
    <w:p>
      <w:pPr>
        <w:pStyle w:val="BodyText"/>
        <w:spacing w:before="8"/>
        <w:ind w:left="538"/>
      </w:pPr>
      <w:r>
        <w:rPr/>
        <w:t>二、您的有效身份证件。</w:t>
      </w:r>
    </w:p>
    <w:p>
      <w:pPr>
        <w:pStyle w:val="BodyText"/>
        <w:spacing w:line="256" w:lineRule="auto" w:before="37"/>
        <w:ind w:left="117" w:right="1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7"/>
        <w:rPr>
          <w:sz w:val="24"/>
        </w:rPr>
      </w:pPr>
    </w:p>
    <w:p>
      <w:pPr>
        <w:pStyle w:val="Heading1"/>
        <w:tabs>
          <w:tab w:pos="1418" w:val="left" w:leader="none"/>
        </w:tabs>
        <w:ind w:right="2"/>
      </w:pPr>
      <w:bookmarkStart w:name="_bookmark19" w:id="20"/>
      <w:bookmarkEnd w:id="20"/>
      <w:r>
        <w:rPr>
          <w:b w:val="0"/>
        </w:rPr>
      </w:r>
      <w:r>
        <w:rPr/>
        <w:t>第六部分</w:t>
        <w:tab/>
      </w:r>
      <w:r>
        <w:rPr>
          <w:w w:val="95"/>
        </w:rPr>
        <w:t>您必须了解的其他事项</w:t>
      </w:r>
    </w:p>
    <w:p>
      <w:pPr>
        <w:pStyle w:val="BodyText"/>
        <w:spacing w:before="10"/>
        <w:rPr>
          <w:b/>
          <w:sz w:val="25"/>
        </w:rPr>
      </w:pPr>
    </w:p>
    <w:p>
      <w:pPr>
        <w:pStyle w:val="Heading2"/>
        <w:tabs>
          <w:tab w:pos="1197" w:val="left" w:leader="none"/>
        </w:tabs>
        <w:spacing w:before="1"/>
      </w:pPr>
      <w:bookmarkStart w:name="_bookmark20" w:id="21"/>
      <w:bookmarkEnd w:id="21"/>
      <w:r>
        <w:rPr>
          <w:b w:val="0"/>
        </w:rPr>
      </w:r>
      <w:r>
        <w:rPr/>
        <w:t>第十五条</w:t>
        <w:tab/>
        <w:t>保险合同的终止</w:t>
      </w:r>
    </w:p>
    <w:p>
      <w:pPr>
        <w:pStyle w:val="BodyText"/>
        <w:spacing w:before="37"/>
        <w:ind w:left="538"/>
      </w:pPr>
      <w:r>
        <w:rPr/>
        <w:t>除本附加合同另有约定外，本附加合同在发生下列情况之一时自动终止：</w:t>
      </w:r>
    </w:p>
    <w:p>
      <w:pPr>
        <w:pStyle w:val="BodyText"/>
        <w:spacing w:line="273" w:lineRule="auto" w:before="37"/>
        <w:ind w:left="538" w:right="2248"/>
      </w:pPr>
      <w:r>
        <w:rPr/>
        <w:t>一、我们已按本附加合同的约定给付重大疾病保险金及第一笔重大疾病康复金； 二、主合同解除或终止；</w:t>
      </w:r>
    </w:p>
    <w:p>
      <w:pPr>
        <w:pStyle w:val="BodyText"/>
        <w:spacing w:before="8"/>
        <w:ind w:left="538"/>
      </w:pPr>
      <w:r>
        <w:rPr/>
        <w:t>三、本附加合同内约定的其他终止情况。</w:t>
      </w:r>
    </w:p>
    <w:p>
      <w:pPr>
        <w:pStyle w:val="BodyText"/>
        <w:spacing w:before="9"/>
        <w:rPr>
          <w:sz w:val="26"/>
        </w:rPr>
      </w:pPr>
    </w:p>
    <w:p>
      <w:pPr>
        <w:pStyle w:val="Heading2"/>
        <w:tabs>
          <w:tab w:pos="1197" w:val="left" w:leader="none"/>
        </w:tabs>
      </w:pPr>
      <w:bookmarkStart w:name="_bookmark21" w:id="22"/>
      <w:bookmarkEnd w:id="22"/>
      <w:r>
        <w:rPr>
          <w:b w:val="0"/>
        </w:rPr>
      </w:r>
      <w:r>
        <w:rPr/>
        <w:t>第十六条</w:t>
        <w:tab/>
        <w:t>原位癌的定义</w:t>
      </w:r>
    </w:p>
    <w:p>
      <w:pPr>
        <w:pStyle w:val="BodyText"/>
        <w:spacing w:line="273" w:lineRule="auto" w:before="37"/>
        <w:ind w:left="117" w:right="120" w:firstLine="420"/>
      </w:pPr>
      <w:r>
        <w:rPr/>
        <w:t>原位癌是指恶性细胞局限于上皮内尚未穿破基底膜浸润周围正常组织的癌细胞新生物。原位癌必须经对固定活组织的组织病理学检查明确诊断。被保险人必须己经接受了针对原位癌病灶的积极治疗。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6"/>
        <w:rPr>
          <w:sz w:val="24"/>
        </w:rPr>
      </w:pPr>
    </w:p>
    <w:p>
      <w:pPr>
        <w:pStyle w:val="Heading2"/>
        <w:tabs>
          <w:tab w:pos="1197" w:val="left" w:leader="none"/>
        </w:tabs>
      </w:pPr>
      <w:bookmarkStart w:name="_bookmark22" w:id="23"/>
      <w:bookmarkEnd w:id="23"/>
      <w:r>
        <w:rPr>
          <w:b w:val="0"/>
        </w:rPr>
      </w:r>
      <w:r>
        <w:rPr/>
        <w:t>第十七条</w:t>
        <w:tab/>
        <w:t>重大疾病的种类及</w:t>
      </w:r>
      <w:r>
        <w:rPr>
          <w:spacing w:val="-3"/>
        </w:rPr>
        <w:t>定</w:t>
      </w:r>
      <w:r>
        <w:rPr/>
        <w:t>义</w:t>
      </w:r>
    </w:p>
    <w:p>
      <w:pPr>
        <w:pStyle w:val="BodyText"/>
        <w:spacing w:line="256" w:lineRule="auto" w:before="37"/>
        <w:ind w:left="117" w:right="118"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0</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117" w:right="114" w:firstLine="420"/>
      </w:pPr>
      <w:r>
        <w:rPr>
          <w:spacing w:val="-7"/>
        </w:rPr>
        <w:t>本附加合同所保障的重大疾病共 </w:t>
      </w:r>
      <w:r>
        <w:rPr>
          <w:rFonts w:ascii="Times New Roman" w:eastAsia="Times New Roman"/>
        </w:rPr>
        <w:t>58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1"/>
        <w:rPr>
          <w:sz w:val="16"/>
        </w:rPr>
      </w:pPr>
      <w:r>
        <w:rPr/>
        <w:pict>
          <v:line style="position:absolute;mso-position-horizontal-relative:page;mso-position-vertical-relative:paragraph;z-index:1144;mso-wrap-distance-left:0;mso-wrap-distance-right:0" from="53.880001pt,13.244004pt" to="197.930001pt,13.244004pt" stroked="true" strokeweight=".48004pt" strokecolor="#000000">
            <v:stroke dashstyle="solid"/>
            <w10:wrap type="topAndBottom"/>
          </v:line>
        </w:pict>
      </w:r>
    </w:p>
    <w:p>
      <w:pPr>
        <w:pStyle w:val="BodyText"/>
        <w:spacing w:line="218" w:lineRule="auto" w:before="1"/>
        <w:ind w:left="117" w:right="114"/>
        <w:jc w:val="both"/>
      </w:pPr>
      <w:r>
        <w:rPr>
          <w:rFonts w:ascii="Times New Roman" w:eastAsia="Times New Roman"/>
          <w:position w:val="10"/>
          <w:sz w:val="14"/>
        </w:rPr>
        <w:t>19</w:t>
      </w:r>
      <w:r>
        <w:rPr>
          <w:rFonts w:ascii="Microsoft JhengHei" w:eastAsia="Microsoft JhengHei" w:hint="eastAsia"/>
          <w:b/>
          <w:spacing w:val="-7"/>
        </w:rPr>
        <w:t>无民事行为能力人：</w:t>
      </w:r>
      <w:r>
        <w:rPr>
          <w:spacing w:val="-7"/>
        </w:rPr>
        <w:t>一种是指十周岁以下的未成年人，另一种是指不能辨认自己行为的精神病人</w:t>
      </w:r>
      <w:r>
        <w:rPr>
          <w:spacing w:val="-161"/>
        </w:rPr>
        <w:t>。</w:t>
      </w:r>
      <w:r>
        <w:rPr/>
        <w:t>（</w:t>
      </w:r>
      <w:r>
        <w:rPr>
          <w:spacing w:val="-15"/>
        </w:rPr>
        <w:t>根据《中</w:t>
      </w:r>
      <w:r>
        <w:rPr>
          <w:spacing w:val="-7"/>
        </w:rPr>
        <w:t>华人民共和国民法通则》第十二条及第十三条规定</w:t>
      </w:r>
      <w:r>
        <w:rPr/>
        <w:t>）</w:t>
      </w:r>
    </w:p>
    <w:p>
      <w:pPr>
        <w:pStyle w:val="BodyText"/>
        <w:spacing w:line="284" w:lineRule="exact"/>
        <w:ind w:left="117"/>
      </w:pPr>
      <w:r>
        <w:rPr>
          <w:rFonts w:ascii="Times New Roman" w:eastAsia="Times New Roman"/>
          <w:w w:val="99"/>
          <w:position w:val="10"/>
          <w:sz w:val="14"/>
        </w:rPr>
        <w:t>20</w:t>
      </w:r>
      <w:r>
        <w:rPr>
          <w:rFonts w:ascii="Microsoft JhengHei" w:eastAsia="Microsoft JhengHei" w:hint="eastAsia"/>
          <w:b/>
          <w:spacing w:val="-1"/>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4"/>
        <w:ind w:left="117" w:right="1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pgSz w:w="11910" w:h="16160"/>
          <w:pgMar w:header="0" w:footer="631" w:top="1360" w:bottom="880" w:left="96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3283"/>
        <w:gridCol w:w="6530"/>
      </w:tblGrid>
      <w:tr>
        <w:trPr>
          <w:trHeight w:val="3707"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3283" w:type="dxa"/>
          </w:tcPr>
          <w:p>
            <w:pPr>
              <w:pStyle w:val="TableParagraph"/>
              <w:spacing w:line="220" w:lineRule="exact"/>
              <w:ind w:left="131"/>
              <w:rPr>
                <w:sz w:val="21"/>
              </w:rPr>
            </w:pPr>
            <w:r>
              <w:rPr>
                <w:sz w:val="21"/>
              </w:rPr>
              <w:t>恶性肿瘤</w:t>
            </w:r>
          </w:p>
        </w:tc>
        <w:tc>
          <w:tcPr>
            <w:tcW w:w="6530" w:type="dxa"/>
          </w:tcPr>
          <w:p>
            <w:pPr>
              <w:pStyle w:val="TableParagraph"/>
              <w:spacing w:line="220" w:lineRule="exact"/>
              <w:rPr>
                <w:sz w:val="21"/>
              </w:rPr>
            </w:pPr>
            <w:r>
              <w:rPr>
                <w:sz w:val="21"/>
              </w:rPr>
              <w:t>指恶性细胞不受控制的进行性增长和扩散，浸润和破坏周围正常组</w:t>
            </w:r>
          </w:p>
          <w:p>
            <w:pPr>
              <w:pStyle w:val="TableParagraph"/>
              <w:spacing w:line="273" w:lineRule="auto" w:before="37"/>
              <w:ind w:right="198"/>
              <w:jc w:val="both"/>
              <w:rPr>
                <w:sz w:val="21"/>
              </w:rPr>
            </w:pPr>
            <w:r>
              <w:rPr>
                <w:sz w:val="21"/>
              </w:rPr>
              <w:t>织，可以经血管、淋巴管和体腔扩散转移到身体其他部位的疾病。经病理学检查结果明确诊断，临床诊断属于世界卫生组织《疾病和有关健康问题的国际统计分类》（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jc w:val="both"/>
              <w:rPr>
                <w:b/>
                <w:sz w:val="21"/>
              </w:rPr>
            </w:pPr>
            <w:r>
              <w:rPr>
                <w:b/>
                <w:sz w:val="21"/>
              </w:rPr>
              <w:t>下列疾病不在保障范围内：</w:t>
            </w:r>
          </w:p>
          <w:p>
            <w:pPr>
              <w:pStyle w:val="TableParagraph"/>
              <w:spacing w:before="37"/>
              <w:jc w:val="both"/>
              <w:rPr>
                <w:b/>
                <w:sz w:val="21"/>
              </w:rPr>
            </w:pPr>
            <w:r>
              <w:rPr>
                <w:b/>
                <w:sz w:val="21"/>
              </w:rPr>
              <w:t>（</w:t>
            </w:r>
            <w:r>
              <w:rPr>
                <w:rFonts w:ascii="Times New Roman" w:eastAsia="Times New Roman"/>
                <w:b/>
                <w:sz w:val="21"/>
              </w:rPr>
              <w:t>1</w:t>
            </w:r>
            <w:r>
              <w:rPr>
                <w:b/>
                <w:sz w:val="21"/>
              </w:rPr>
              <w:t>）原位癌；</w:t>
            </w:r>
          </w:p>
          <w:p>
            <w:pPr>
              <w:pStyle w:val="TableParagraph"/>
              <w:spacing w:before="20"/>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0"/>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0"/>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right="197"/>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9"/>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2"/>
                <w:sz w:val="21"/>
                <w:vertAlign w:val="baseline"/>
              </w:rPr>
              <w:t>期或更轻分期的前列腺癌</w:t>
            </w:r>
            <w:r>
              <w:rPr>
                <w:b/>
                <w:sz w:val="21"/>
                <w:vertAlign w:val="baseline"/>
              </w:rPr>
              <w:t>（注：如果为</w:t>
            </w:r>
            <w:r>
              <w:rPr>
                <w:b/>
                <w:spacing w:val="-9"/>
                <w:sz w:val="21"/>
                <w:vertAlign w:val="baseline"/>
              </w:rPr>
              <w:t>女性重大疾病保险，则不包括此项。</w:t>
            </w:r>
            <w:r>
              <w:rPr>
                <w:b/>
                <w:spacing w:val="-106"/>
                <w:sz w:val="21"/>
                <w:vertAlign w:val="baseline"/>
              </w:rPr>
              <w:t>）；</w:t>
            </w:r>
          </w:p>
          <w:p>
            <w:pPr>
              <w:pStyle w:val="TableParagraph"/>
              <w:spacing w:before="22"/>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5"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3283" w:type="dxa"/>
          </w:tcPr>
          <w:p>
            <w:pPr>
              <w:pStyle w:val="TableParagraph"/>
              <w:spacing w:line="258" w:lineRule="exact"/>
              <w:ind w:left="131"/>
              <w:rPr>
                <w:sz w:val="21"/>
              </w:rPr>
            </w:pPr>
            <w:r>
              <w:rPr>
                <w:sz w:val="21"/>
              </w:rPr>
              <w:t>急性心肌梗塞</w:t>
            </w:r>
          </w:p>
        </w:tc>
        <w:tc>
          <w:tcPr>
            <w:tcW w:w="6530" w:type="dxa"/>
          </w:tcPr>
          <w:p>
            <w:pPr>
              <w:pStyle w:val="TableParagraph"/>
              <w:spacing w:line="258" w:lineRule="exact"/>
              <w:rPr>
                <w:sz w:val="21"/>
              </w:rPr>
            </w:pPr>
            <w:r>
              <w:rPr>
                <w:sz w:val="21"/>
              </w:rPr>
              <w:t>指因冠状动脉阻塞导致的相应区域供血不足造成部分心肌坏死。须</w:t>
            </w:r>
          </w:p>
          <w:p>
            <w:pPr>
              <w:pStyle w:val="TableParagraph"/>
              <w:spacing w:before="37"/>
              <w:rPr>
                <w:sz w:val="21"/>
              </w:rPr>
            </w:pPr>
            <w:r>
              <w:rPr>
                <w:sz w:val="21"/>
              </w:rPr>
              <w:t>满足下列至少三项条件：</w:t>
            </w:r>
          </w:p>
          <w:p>
            <w:pPr>
              <w:pStyle w:val="TableParagraph"/>
              <w:spacing w:before="37"/>
              <w:rPr>
                <w:sz w:val="21"/>
              </w:rPr>
            </w:pPr>
            <w:r>
              <w:rPr>
                <w:sz w:val="21"/>
              </w:rPr>
              <w:t>（</w:t>
            </w:r>
            <w:r>
              <w:rPr>
                <w:rFonts w:ascii="Times New Roman" w:eastAsia="Times New Roman"/>
                <w:sz w:val="21"/>
              </w:rPr>
              <w:t>1</w:t>
            </w:r>
            <w:r>
              <w:rPr>
                <w:sz w:val="21"/>
              </w:rPr>
              <w:t>）典型临床表现，例如急性胸痛等；</w:t>
            </w:r>
          </w:p>
          <w:p>
            <w:pPr>
              <w:pStyle w:val="TableParagraph"/>
              <w:spacing w:before="21"/>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right="125"/>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right="146"/>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176" w:hRule="atLeast"/>
        </w:trPr>
        <w:tc>
          <w:tcPr>
            <w:tcW w:w="489" w:type="dxa"/>
          </w:tcPr>
          <w:p>
            <w:pPr>
              <w:pStyle w:val="TableParagraph"/>
              <w:spacing w:before="30"/>
              <w:ind w:left="180" w:right="111"/>
              <w:jc w:val="center"/>
              <w:rPr>
                <w:rFonts w:ascii="Times New Roman"/>
                <w:sz w:val="21"/>
              </w:rPr>
            </w:pPr>
            <w:r>
              <w:rPr>
                <w:rFonts w:ascii="Times New Roman"/>
                <w:sz w:val="21"/>
              </w:rPr>
              <w:t>3.</w:t>
            </w:r>
          </w:p>
        </w:tc>
        <w:tc>
          <w:tcPr>
            <w:tcW w:w="3283" w:type="dxa"/>
          </w:tcPr>
          <w:p>
            <w:pPr>
              <w:pStyle w:val="TableParagraph"/>
              <w:spacing w:line="258" w:lineRule="exact"/>
              <w:ind w:left="131"/>
              <w:rPr>
                <w:sz w:val="21"/>
              </w:rPr>
            </w:pPr>
            <w:r>
              <w:rPr>
                <w:sz w:val="21"/>
              </w:rPr>
              <w:t>脑中风后遗症</w:t>
            </w:r>
          </w:p>
        </w:tc>
        <w:tc>
          <w:tcPr>
            <w:tcW w:w="6530" w:type="dxa"/>
          </w:tcPr>
          <w:p>
            <w:pPr>
              <w:pStyle w:val="TableParagraph"/>
              <w:spacing w:line="258" w:lineRule="exact"/>
              <w:rPr>
                <w:sz w:val="21"/>
              </w:rPr>
            </w:pPr>
            <w:r>
              <w:rPr>
                <w:sz w:val="21"/>
              </w:rPr>
              <w:t>指因脑血管的突发病变引起脑血管出血、栓塞或梗塞，并导致神经</w:t>
            </w:r>
          </w:p>
          <w:p>
            <w:pPr>
              <w:pStyle w:val="TableParagraph"/>
              <w:spacing w:before="37"/>
              <w:rPr>
                <w:sz w:val="21"/>
              </w:rPr>
            </w:pPr>
            <w:r>
              <w:rPr>
                <w:sz w:val="21"/>
              </w:rPr>
              <w:t>系统永久性的功能障碍。神经系统永久性的功能障碍，指疾病确诊</w:t>
            </w:r>
          </w:p>
          <w:p>
            <w:pPr>
              <w:pStyle w:val="TableParagraph"/>
              <w:spacing w:before="37"/>
              <w:rPr>
                <w:sz w:val="21"/>
              </w:rPr>
            </w:pPr>
            <w:r>
              <w:rPr>
                <w:rFonts w:ascii="Times New Roman" w:eastAsia="Times New Roman"/>
                <w:sz w:val="21"/>
              </w:rPr>
              <w:t>180 </w:t>
            </w:r>
            <w:r>
              <w:rPr>
                <w:sz w:val="21"/>
              </w:rPr>
              <w:t>天后，仍遗留下列一种或一种以上障碍：</w:t>
            </w:r>
          </w:p>
          <w:p>
            <w:pPr>
              <w:pStyle w:val="TableParagraph"/>
              <w:spacing w:before="21"/>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before="2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line="310" w:lineRule="atLeast" w:before="1"/>
              <w:ind w:right="202"/>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中的三项或三项以上。</w:t>
            </w:r>
          </w:p>
        </w:tc>
      </w:tr>
      <w:tr>
        <w:trPr>
          <w:trHeight w:val="1560" w:hRule="atLeast"/>
        </w:trPr>
        <w:tc>
          <w:tcPr>
            <w:tcW w:w="489" w:type="dxa"/>
          </w:tcPr>
          <w:p>
            <w:pPr>
              <w:pStyle w:val="TableParagraph"/>
              <w:spacing w:before="38"/>
              <w:ind w:left="180" w:right="111"/>
              <w:jc w:val="center"/>
              <w:rPr>
                <w:rFonts w:ascii="Times New Roman"/>
                <w:sz w:val="21"/>
              </w:rPr>
            </w:pPr>
            <w:r>
              <w:rPr>
                <w:rFonts w:ascii="Times New Roman"/>
                <w:sz w:val="21"/>
              </w:rPr>
              <w:t>4.</w:t>
            </w:r>
          </w:p>
        </w:tc>
        <w:tc>
          <w:tcPr>
            <w:tcW w:w="3283" w:type="dxa"/>
          </w:tcPr>
          <w:p>
            <w:pPr>
              <w:pStyle w:val="TableParagraph"/>
              <w:spacing w:line="273" w:lineRule="auto"/>
              <w:ind w:left="131" w:right="204"/>
              <w:rPr>
                <w:sz w:val="21"/>
              </w:rPr>
            </w:pPr>
            <w:r>
              <w:rPr>
                <w:sz w:val="21"/>
              </w:rPr>
              <w:t>重大器官移植术或造血干细胞移植术</w:t>
            </w:r>
          </w:p>
        </w:tc>
        <w:tc>
          <w:tcPr>
            <w:tcW w:w="6530" w:type="dxa"/>
          </w:tcPr>
          <w:p>
            <w:pPr>
              <w:pStyle w:val="TableParagraph"/>
              <w:spacing w:line="273" w:lineRule="auto"/>
              <w:ind w:right="301"/>
              <w:rPr>
                <w:sz w:val="21"/>
              </w:rPr>
            </w:pPr>
            <w:r>
              <w:rPr>
                <w:spacing w:val="-9"/>
                <w:sz w:val="21"/>
              </w:rPr>
              <w:t>重大器官移植术，指因相应器官功能衰竭，已经实施了肾脏、肝脏</w:t>
            </w:r>
            <w:r>
              <w:rPr>
                <w:spacing w:val="-5"/>
                <w:sz w:val="21"/>
              </w:rPr>
              <w:t>心脏或肺脏的异体移植手术。</w:t>
            </w:r>
          </w:p>
          <w:p>
            <w:pPr>
              <w:pStyle w:val="TableParagraph"/>
              <w:spacing w:line="312" w:lineRule="exact" w:before="12"/>
              <w:ind w:right="19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8" w:hRule="atLeast"/>
        </w:trPr>
        <w:tc>
          <w:tcPr>
            <w:tcW w:w="489" w:type="dxa"/>
          </w:tcPr>
          <w:p>
            <w:pPr>
              <w:pStyle w:val="TableParagraph"/>
              <w:spacing w:before="38"/>
              <w:ind w:left="180" w:right="111"/>
              <w:jc w:val="center"/>
              <w:rPr>
                <w:rFonts w:ascii="Times New Roman"/>
                <w:sz w:val="21"/>
              </w:rPr>
            </w:pPr>
            <w:r>
              <w:rPr>
                <w:rFonts w:ascii="Times New Roman"/>
                <w:sz w:val="21"/>
              </w:rPr>
              <w:t>5.</w:t>
            </w:r>
          </w:p>
        </w:tc>
        <w:tc>
          <w:tcPr>
            <w:tcW w:w="3283" w:type="dxa"/>
          </w:tcPr>
          <w:p>
            <w:pPr>
              <w:pStyle w:val="TableParagraph"/>
              <w:spacing w:line="273" w:lineRule="auto"/>
              <w:ind w:left="131" w:right="204"/>
              <w:rPr>
                <w:sz w:val="21"/>
              </w:rPr>
            </w:pPr>
            <w:r>
              <w:rPr>
                <w:sz w:val="21"/>
              </w:rPr>
              <w:t>冠状动脉搭桥术（或称冠状动脉旁路移植术）</w:t>
            </w:r>
          </w:p>
        </w:tc>
        <w:tc>
          <w:tcPr>
            <w:tcW w:w="6530" w:type="dxa"/>
          </w:tcPr>
          <w:p>
            <w:pPr>
              <w:pStyle w:val="TableParagraph"/>
              <w:spacing w:line="273" w:lineRule="auto"/>
              <w:ind w:right="198"/>
              <w:rPr>
                <w:sz w:val="21"/>
              </w:rPr>
            </w:pPr>
            <w:r>
              <w:rPr>
                <w:sz w:val="21"/>
              </w:rPr>
              <w:t>指为治疗严重的冠心病，实际实施了开胸进行的冠状动脉血管旁路移植的手术。</w:t>
            </w:r>
          </w:p>
          <w:p>
            <w:pPr>
              <w:pStyle w:val="TableParagraph"/>
              <w:spacing w:line="312" w:lineRule="exact" w:before="12"/>
              <w:ind w:right="198"/>
              <w:rPr>
                <w:b/>
                <w:sz w:val="21"/>
              </w:rPr>
            </w:pPr>
            <w:r>
              <w:rPr>
                <w:b/>
                <w:sz w:val="21"/>
              </w:rPr>
              <w:t>冠状动脉支架植入术、心导管球囊扩张术、激光射频技术及其他非开胸的介入手术、腔镜手术不在保障范围内。</w:t>
            </w:r>
          </w:p>
        </w:tc>
      </w:tr>
      <w:tr>
        <w:trPr>
          <w:trHeight w:val="279" w:hRule="atLeast"/>
        </w:trPr>
        <w:tc>
          <w:tcPr>
            <w:tcW w:w="489" w:type="dxa"/>
          </w:tcPr>
          <w:p>
            <w:pPr>
              <w:pStyle w:val="TableParagraph"/>
              <w:spacing w:line="222" w:lineRule="exact" w:before="38"/>
              <w:ind w:left="180" w:right="111"/>
              <w:jc w:val="center"/>
              <w:rPr>
                <w:rFonts w:ascii="Times New Roman"/>
                <w:sz w:val="21"/>
              </w:rPr>
            </w:pPr>
            <w:r>
              <w:rPr>
                <w:rFonts w:ascii="Times New Roman"/>
                <w:sz w:val="21"/>
              </w:rPr>
              <w:t>6.</w:t>
            </w:r>
          </w:p>
        </w:tc>
        <w:tc>
          <w:tcPr>
            <w:tcW w:w="3283" w:type="dxa"/>
          </w:tcPr>
          <w:p>
            <w:pPr>
              <w:pStyle w:val="TableParagraph"/>
              <w:spacing w:line="260" w:lineRule="exact"/>
              <w:ind w:left="131"/>
              <w:rPr>
                <w:sz w:val="21"/>
              </w:rPr>
            </w:pPr>
            <w:r>
              <w:rPr>
                <w:sz w:val="21"/>
              </w:rPr>
              <w:t>终末期肾病（或称慢性肾功能衰</w:t>
            </w:r>
          </w:p>
        </w:tc>
        <w:tc>
          <w:tcPr>
            <w:tcW w:w="6530" w:type="dxa"/>
          </w:tcPr>
          <w:p>
            <w:pPr>
              <w:pStyle w:val="TableParagraph"/>
              <w:spacing w:line="260" w:lineRule="exact"/>
              <w:rPr>
                <w:sz w:val="21"/>
              </w:rPr>
            </w:pPr>
            <w:r>
              <w:rPr>
                <w:sz w:val="21"/>
              </w:rPr>
              <w:t>指双肾功能慢性不可逆性衰竭，达到尿毒症期，经诊断后已经进行</w:t>
            </w:r>
          </w:p>
        </w:tc>
      </w:tr>
    </w:tbl>
    <w:p>
      <w:pPr>
        <w:pStyle w:val="BodyText"/>
        <w:spacing w:before="3"/>
        <w:rPr>
          <w:sz w:val="20"/>
        </w:rPr>
      </w:pPr>
      <w:r>
        <w:rPr/>
        <w:pict>
          <v:line style="position:absolute;mso-position-horizontal-relative:page;mso-position-vertical-relative:paragraph;z-index:1168;mso-wrap-distance-left:0;mso-wrap-distance-right:0" from="53.880001pt,15.465605pt" to="197.930001pt,15.465605pt" stroked="true" strokeweight=".48004pt" strokecolor="#000000">
            <v:stroke dashstyle="solid"/>
            <w10:wrap type="topAndBottom"/>
          </v:line>
        </w:pict>
      </w:r>
    </w:p>
    <w:p>
      <w:pPr>
        <w:spacing w:line="319" w:lineRule="exact" w:before="0"/>
        <w:ind w:left="317" w:right="0" w:firstLine="0"/>
        <w:jc w:val="left"/>
        <w:rPr>
          <w:sz w:val="21"/>
        </w:rPr>
      </w:pPr>
      <w:r>
        <w:rPr>
          <w:rFonts w:ascii="Times New Roman" w:eastAsia="Times New Roman"/>
          <w:position w:val="10"/>
          <w:sz w:val="14"/>
        </w:rPr>
        <w:t>21</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317"/>
      </w:pPr>
      <w:r>
        <w:rPr/>
        <w:t>个上肢或包括髋关节的整个下肢。</w:t>
      </w:r>
    </w:p>
    <w:p>
      <w:pPr>
        <w:spacing w:line="318" w:lineRule="exact" w:before="0"/>
        <w:ind w:left="317" w:right="0" w:firstLine="0"/>
        <w:jc w:val="left"/>
        <w:rPr>
          <w:sz w:val="21"/>
        </w:rPr>
      </w:pPr>
      <w:r>
        <w:rPr>
          <w:rFonts w:ascii="Times New Roman" w:eastAsia="Times New Roman"/>
          <w:position w:val="10"/>
          <w:sz w:val="14"/>
        </w:rPr>
        <w:t>22</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317" w:right="32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96" w:lineRule="exact" w:before="10"/>
        <w:ind w:left="317" w:right="0" w:firstLine="0"/>
        <w:jc w:val="left"/>
        <w:rPr>
          <w:sz w:val="21"/>
        </w:rPr>
      </w:pPr>
      <w:r>
        <w:rPr>
          <w:rFonts w:ascii="Times New Roman" w:eastAsia="Times New Roman"/>
          <w:position w:val="10"/>
          <w:sz w:val="14"/>
        </w:rPr>
        <w:t>23</w:t>
      </w:r>
      <w:r>
        <w:rPr>
          <w:rFonts w:ascii="Microsoft JhengHei" w:eastAsia="Microsoft JhengHei" w:hint="eastAsia"/>
          <w:b/>
          <w:sz w:val="21"/>
        </w:rPr>
        <w:t>六项基本日常生活活动：</w:t>
      </w:r>
      <w:r>
        <w:rPr>
          <w:sz w:val="21"/>
        </w:rPr>
        <w:t>指食物摄取、大小便始末、穿脱衣服、起居、步行、入浴。</w:t>
      </w:r>
    </w:p>
    <w:p>
      <w:pPr>
        <w:spacing w:after="0" w:line="296" w:lineRule="exact"/>
        <w:jc w:val="left"/>
        <w:rPr>
          <w:sz w:val="21"/>
        </w:rPr>
        <w:sectPr>
          <w:pgSz w:w="11910" w:h="16160"/>
          <w:pgMar w:header="0" w:footer="631" w:top="142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20"/>
        <w:gridCol w:w="6743"/>
      </w:tblGrid>
      <w:tr>
        <w:trPr>
          <w:trHeight w:val="281" w:hRule="atLeast"/>
        </w:trPr>
        <w:tc>
          <w:tcPr>
            <w:tcW w:w="542" w:type="dxa"/>
          </w:tcPr>
          <w:p>
            <w:pPr>
              <w:pStyle w:val="TableParagraph"/>
              <w:ind w:left="0"/>
              <w:rPr>
                <w:rFonts w:ascii="Times New Roman"/>
                <w:sz w:val="20"/>
              </w:rPr>
            </w:pPr>
          </w:p>
        </w:tc>
        <w:tc>
          <w:tcPr>
            <w:tcW w:w="3020" w:type="dxa"/>
          </w:tcPr>
          <w:p>
            <w:pPr>
              <w:pStyle w:val="TableParagraph"/>
              <w:spacing w:line="218" w:lineRule="exact"/>
              <w:ind w:left="78"/>
              <w:rPr>
                <w:sz w:val="21"/>
              </w:rPr>
            </w:pPr>
            <w:r>
              <w:rPr>
                <w:sz w:val="21"/>
              </w:rPr>
              <w:t>竭尿毒症期）</w:t>
            </w:r>
          </w:p>
        </w:tc>
        <w:tc>
          <w:tcPr>
            <w:tcW w:w="6743" w:type="dxa"/>
          </w:tcPr>
          <w:p>
            <w:pPr>
              <w:pStyle w:val="TableParagraph"/>
              <w:spacing w:line="234" w:lineRule="exact"/>
              <w:ind w:left="418"/>
              <w:rPr>
                <w:sz w:val="21"/>
              </w:rPr>
            </w:pPr>
            <w:r>
              <w:rPr>
                <w:sz w:val="21"/>
              </w:rPr>
              <w:t>了至少 </w:t>
            </w:r>
            <w:r>
              <w:rPr>
                <w:rFonts w:ascii="Times New Roman" w:eastAsia="Times New Roman"/>
                <w:sz w:val="21"/>
              </w:rPr>
              <w:t>90  </w:t>
            </w:r>
            <w:r>
              <w:rPr>
                <w:sz w:val="21"/>
              </w:rPr>
              <w:t>天的规律性透析治疗或实施了肾脏移植手术。</w:t>
            </w:r>
          </w:p>
        </w:tc>
      </w:tr>
      <w:tr>
        <w:trPr>
          <w:trHeight w:val="625" w:hRule="atLeast"/>
        </w:trPr>
        <w:tc>
          <w:tcPr>
            <w:tcW w:w="542" w:type="dxa"/>
          </w:tcPr>
          <w:p>
            <w:pPr>
              <w:pStyle w:val="TableParagraph"/>
              <w:spacing w:before="40"/>
              <w:ind w:left="200"/>
              <w:rPr>
                <w:rFonts w:ascii="Times New Roman"/>
                <w:sz w:val="21"/>
              </w:rPr>
            </w:pPr>
            <w:r>
              <w:rPr>
                <w:rFonts w:ascii="Times New Roman"/>
                <w:sz w:val="21"/>
              </w:rPr>
              <w:t>7.</w:t>
            </w:r>
          </w:p>
        </w:tc>
        <w:tc>
          <w:tcPr>
            <w:tcW w:w="3020" w:type="dxa"/>
          </w:tcPr>
          <w:p>
            <w:pPr>
              <w:pStyle w:val="TableParagraph"/>
              <w:spacing w:line="268" w:lineRule="exact"/>
              <w:ind w:left="78"/>
              <w:rPr>
                <w:sz w:val="21"/>
              </w:rPr>
            </w:pPr>
            <w:r>
              <w:rPr>
                <w:sz w:val="21"/>
              </w:rPr>
              <w:t>多个肢体缺失</w:t>
            </w:r>
          </w:p>
        </w:tc>
        <w:tc>
          <w:tcPr>
            <w:tcW w:w="6743" w:type="dxa"/>
          </w:tcPr>
          <w:p>
            <w:pPr>
              <w:pStyle w:val="TableParagraph"/>
              <w:spacing w:line="268" w:lineRule="exact"/>
              <w:ind w:left="418"/>
              <w:rPr>
                <w:sz w:val="21"/>
              </w:rPr>
            </w:pPr>
            <w:r>
              <w:rPr>
                <w:sz w:val="21"/>
              </w:rPr>
              <w:t>指因疾病或意外伤害导致两个或两个以上肢体自腕关节或踝关节近</w:t>
            </w:r>
          </w:p>
          <w:p>
            <w:pPr>
              <w:pStyle w:val="TableParagraph"/>
              <w:spacing w:before="37"/>
              <w:ind w:left="418"/>
              <w:rPr>
                <w:sz w:val="21"/>
              </w:rPr>
            </w:pPr>
            <w:r>
              <w:rPr>
                <w:sz w:val="21"/>
              </w:rPr>
              <w:t>端（靠近躯干端）以上完全性断离。</w:t>
            </w:r>
          </w:p>
        </w:tc>
      </w:tr>
      <w:tr>
        <w:trPr>
          <w:trHeight w:val="1879" w:hRule="atLeast"/>
        </w:trPr>
        <w:tc>
          <w:tcPr>
            <w:tcW w:w="542" w:type="dxa"/>
          </w:tcPr>
          <w:p>
            <w:pPr>
              <w:pStyle w:val="TableParagraph"/>
              <w:spacing w:before="38"/>
              <w:ind w:left="200"/>
              <w:rPr>
                <w:rFonts w:ascii="Times New Roman"/>
                <w:sz w:val="21"/>
              </w:rPr>
            </w:pPr>
            <w:r>
              <w:rPr>
                <w:rFonts w:ascii="Times New Roman"/>
                <w:sz w:val="21"/>
              </w:rPr>
              <w:t>8.</w:t>
            </w:r>
          </w:p>
        </w:tc>
        <w:tc>
          <w:tcPr>
            <w:tcW w:w="3020" w:type="dxa"/>
          </w:tcPr>
          <w:p>
            <w:pPr>
              <w:pStyle w:val="TableParagraph"/>
              <w:spacing w:line="266" w:lineRule="exact"/>
              <w:ind w:left="78"/>
              <w:rPr>
                <w:sz w:val="21"/>
              </w:rPr>
            </w:pPr>
            <w:r>
              <w:rPr>
                <w:sz w:val="21"/>
              </w:rPr>
              <w:t>急性或亚急性重症肝炎</w:t>
            </w:r>
          </w:p>
        </w:tc>
        <w:tc>
          <w:tcPr>
            <w:tcW w:w="6743" w:type="dxa"/>
          </w:tcPr>
          <w:p>
            <w:pPr>
              <w:pStyle w:val="TableParagraph"/>
              <w:spacing w:line="273" w:lineRule="auto"/>
              <w:ind w:left="418" w:right="233"/>
              <w:rPr>
                <w:sz w:val="21"/>
              </w:rPr>
            </w:pPr>
            <w:r>
              <w:rPr>
                <w:sz w:val="21"/>
              </w:rPr>
              <w:t>指因肝炎病毒感染引起肝脏组织弥漫性坏死，导致急性肝功能衰竭且经血清学或病毒学检查证实，并须满足下列全部条件：</w:t>
            </w:r>
          </w:p>
          <w:p>
            <w:pPr>
              <w:pStyle w:val="TableParagraph"/>
              <w:spacing w:before="16"/>
              <w:ind w:left="418"/>
              <w:rPr>
                <w:sz w:val="21"/>
              </w:rPr>
            </w:pPr>
            <w:r>
              <w:rPr>
                <w:sz w:val="21"/>
              </w:rPr>
              <w:t>（</w:t>
            </w:r>
            <w:r>
              <w:rPr>
                <w:rFonts w:ascii="Times New Roman" w:eastAsia="Times New Roman"/>
                <w:sz w:val="21"/>
              </w:rPr>
              <w:t>1</w:t>
            </w:r>
            <w:r>
              <w:rPr>
                <w:sz w:val="21"/>
              </w:rPr>
              <w:t>）重度黄疸或黄疸迅速加重；</w:t>
            </w:r>
          </w:p>
          <w:p>
            <w:pPr>
              <w:pStyle w:val="TableParagraph"/>
              <w:spacing w:before="20"/>
              <w:ind w:left="418"/>
              <w:rPr>
                <w:sz w:val="21"/>
              </w:rPr>
            </w:pPr>
            <w:r>
              <w:rPr>
                <w:sz w:val="21"/>
              </w:rPr>
              <w:t>（</w:t>
            </w:r>
            <w:r>
              <w:rPr>
                <w:rFonts w:ascii="Times New Roman" w:eastAsia="Times New Roman"/>
                <w:sz w:val="21"/>
              </w:rPr>
              <w:t>2</w:t>
            </w:r>
            <w:r>
              <w:rPr>
                <w:sz w:val="21"/>
              </w:rPr>
              <w:t>）肝性脑病；</w:t>
            </w:r>
          </w:p>
          <w:p>
            <w:pPr>
              <w:pStyle w:val="TableParagraph"/>
              <w:spacing w:before="20"/>
              <w:ind w:left="41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418"/>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42" w:type="dxa"/>
          </w:tcPr>
          <w:p>
            <w:pPr>
              <w:pStyle w:val="TableParagraph"/>
              <w:spacing w:before="30"/>
              <w:ind w:left="200"/>
              <w:rPr>
                <w:rFonts w:ascii="Times New Roman"/>
                <w:sz w:val="21"/>
              </w:rPr>
            </w:pPr>
            <w:r>
              <w:rPr>
                <w:rFonts w:ascii="Times New Roman"/>
                <w:sz w:val="21"/>
              </w:rPr>
              <w:t>9.</w:t>
            </w:r>
          </w:p>
        </w:tc>
        <w:tc>
          <w:tcPr>
            <w:tcW w:w="3020" w:type="dxa"/>
          </w:tcPr>
          <w:p>
            <w:pPr>
              <w:pStyle w:val="TableParagraph"/>
              <w:spacing w:line="258" w:lineRule="exact"/>
              <w:ind w:left="78"/>
              <w:rPr>
                <w:sz w:val="21"/>
              </w:rPr>
            </w:pPr>
            <w:r>
              <w:rPr>
                <w:sz w:val="21"/>
              </w:rPr>
              <w:t>良性脑肿瘤</w:t>
            </w:r>
          </w:p>
        </w:tc>
        <w:tc>
          <w:tcPr>
            <w:tcW w:w="6743" w:type="dxa"/>
          </w:tcPr>
          <w:p>
            <w:pPr>
              <w:pStyle w:val="TableParagraph"/>
              <w:spacing w:line="258" w:lineRule="exact"/>
              <w:ind w:left="418"/>
              <w:rPr>
                <w:sz w:val="21"/>
              </w:rPr>
            </w:pPr>
            <w:r>
              <w:rPr>
                <w:sz w:val="21"/>
              </w:rPr>
              <w:t>指脑的良性肿瘤，已经引起颅内压增高，临床表现为视神经乳头水</w:t>
            </w:r>
          </w:p>
          <w:p>
            <w:pPr>
              <w:pStyle w:val="TableParagraph"/>
              <w:spacing w:line="264" w:lineRule="auto" w:before="37"/>
              <w:ind w:left="418" w:right="201"/>
              <w:rPr>
                <w:sz w:val="21"/>
              </w:rPr>
            </w:pPr>
            <w:r>
              <w:rPr>
                <w:spacing w:val="-2"/>
                <w:sz w:val="21"/>
              </w:rPr>
              <w:t>肿、精神症状、癫痫及运动感觉障碍等，并危及生命。须由头颅断</w:t>
            </w:r>
            <w:r>
              <w:rPr>
                <w:spacing w:val="-14"/>
                <w:w w:val="100"/>
                <w:sz w:val="21"/>
              </w:rPr>
              <w:t>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2"/>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3"/>
                <w:sz w:val="21"/>
              </w:rPr>
              <w:t>等影像学检查证实，并须满足下列至少一项条件：</w:t>
            </w:r>
          </w:p>
          <w:p>
            <w:pPr>
              <w:pStyle w:val="TableParagraph"/>
              <w:spacing w:before="16"/>
              <w:ind w:left="418"/>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418"/>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418"/>
              <w:rPr>
                <w:b/>
                <w:sz w:val="21"/>
              </w:rPr>
            </w:pPr>
            <w:r>
              <w:rPr>
                <w:b/>
                <w:sz w:val="21"/>
              </w:rPr>
              <w:t>脑垂体瘤、脑囊肿、脑血管性疾病不在保障范围内。</w:t>
            </w:r>
          </w:p>
        </w:tc>
      </w:tr>
      <w:tr>
        <w:trPr>
          <w:trHeight w:val="1872" w:hRule="atLeast"/>
        </w:trPr>
        <w:tc>
          <w:tcPr>
            <w:tcW w:w="542" w:type="dxa"/>
          </w:tcPr>
          <w:p>
            <w:pPr>
              <w:pStyle w:val="TableParagraph"/>
              <w:spacing w:before="38"/>
              <w:ind w:left="200"/>
              <w:rPr>
                <w:rFonts w:ascii="Times New Roman"/>
                <w:sz w:val="21"/>
              </w:rPr>
            </w:pPr>
            <w:r>
              <w:rPr>
                <w:rFonts w:ascii="Times New Roman"/>
                <w:sz w:val="21"/>
              </w:rPr>
              <w:t>10.</w:t>
            </w:r>
          </w:p>
        </w:tc>
        <w:tc>
          <w:tcPr>
            <w:tcW w:w="3020" w:type="dxa"/>
          </w:tcPr>
          <w:p>
            <w:pPr>
              <w:pStyle w:val="TableParagraph"/>
              <w:spacing w:line="266" w:lineRule="exact"/>
              <w:ind w:left="78"/>
              <w:rPr>
                <w:sz w:val="21"/>
              </w:rPr>
            </w:pPr>
            <w:r>
              <w:rPr>
                <w:sz w:val="21"/>
              </w:rPr>
              <w:t>慢性肝功能衰竭失代偿期</w:t>
            </w:r>
          </w:p>
        </w:tc>
        <w:tc>
          <w:tcPr>
            <w:tcW w:w="6743" w:type="dxa"/>
          </w:tcPr>
          <w:p>
            <w:pPr>
              <w:pStyle w:val="TableParagraph"/>
              <w:spacing w:line="266" w:lineRule="exact"/>
              <w:ind w:left="418"/>
              <w:rPr>
                <w:sz w:val="21"/>
              </w:rPr>
            </w:pPr>
            <w:r>
              <w:rPr>
                <w:sz w:val="21"/>
              </w:rPr>
              <w:t>指因慢性肝脏疾病导致肝功能衰竭。须满足下列全部条件：</w:t>
            </w:r>
          </w:p>
          <w:p>
            <w:pPr>
              <w:pStyle w:val="TableParagraph"/>
              <w:spacing w:before="37"/>
              <w:ind w:left="418"/>
              <w:rPr>
                <w:sz w:val="21"/>
              </w:rPr>
            </w:pPr>
            <w:r>
              <w:rPr>
                <w:sz w:val="21"/>
              </w:rPr>
              <w:t>（</w:t>
            </w:r>
            <w:r>
              <w:rPr>
                <w:rFonts w:ascii="Times New Roman" w:eastAsia="Times New Roman"/>
                <w:sz w:val="21"/>
              </w:rPr>
              <w:t>1</w:t>
            </w:r>
            <w:r>
              <w:rPr>
                <w:sz w:val="21"/>
              </w:rPr>
              <w:t>）持续性黄疸；</w:t>
            </w:r>
          </w:p>
          <w:p>
            <w:pPr>
              <w:pStyle w:val="TableParagraph"/>
              <w:spacing w:before="21"/>
              <w:ind w:left="418"/>
              <w:rPr>
                <w:sz w:val="21"/>
              </w:rPr>
            </w:pPr>
            <w:r>
              <w:rPr>
                <w:sz w:val="21"/>
              </w:rPr>
              <w:t>（</w:t>
            </w:r>
            <w:r>
              <w:rPr>
                <w:rFonts w:ascii="Times New Roman" w:eastAsia="Times New Roman"/>
                <w:sz w:val="21"/>
              </w:rPr>
              <w:t>2</w:t>
            </w:r>
            <w:r>
              <w:rPr>
                <w:sz w:val="21"/>
              </w:rPr>
              <w:t>）腹水；</w:t>
            </w:r>
          </w:p>
          <w:p>
            <w:pPr>
              <w:pStyle w:val="TableParagraph"/>
              <w:spacing w:before="21"/>
              <w:ind w:left="418"/>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418" w:right="1173"/>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184" w:hRule="atLeast"/>
        </w:trPr>
        <w:tc>
          <w:tcPr>
            <w:tcW w:w="542" w:type="dxa"/>
          </w:tcPr>
          <w:p>
            <w:pPr>
              <w:pStyle w:val="TableParagraph"/>
              <w:spacing w:before="38"/>
              <w:ind w:left="200"/>
              <w:rPr>
                <w:rFonts w:ascii="Times New Roman"/>
                <w:sz w:val="21"/>
              </w:rPr>
            </w:pPr>
            <w:r>
              <w:rPr>
                <w:rFonts w:ascii="Times New Roman"/>
                <w:sz w:val="21"/>
              </w:rPr>
              <w:t>11.</w:t>
            </w:r>
          </w:p>
        </w:tc>
        <w:tc>
          <w:tcPr>
            <w:tcW w:w="3020" w:type="dxa"/>
          </w:tcPr>
          <w:p>
            <w:pPr>
              <w:pStyle w:val="TableParagraph"/>
              <w:spacing w:line="266" w:lineRule="exact"/>
              <w:ind w:left="78"/>
              <w:rPr>
                <w:sz w:val="21"/>
              </w:rPr>
            </w:pPr>
            <w:r>
              <w:rPr>
                <w:sz w:val="21"/>
              </w:rPr>
              <w:t>脑炎后遗症或脑膜炎后遗症</w:t>
            </w:r>
          </w:p>
        </w:tc>
        <w:tc>
          <w:tcPr>
            <w:tcW w:w="6743" w:type="dxa"/>
          </w:tcPr>
          <w:p>
            <w:pPr>
              <w:pStyle w:val="TableParagraph"/>
              <w:spacing w:line="264" w:lineRule="auto"/>
              <w:ind w:left="418" w:right="200"/>
              <w:jc w:val="both"/>
              <w:rPr>
                <w:sz w:val="21"/>
              </w:rPr>
            </w:pPr>
            <w:r>
              <w:rPr>
                <w:spacing w:val="-2"/>
                <w:sz w:val="21"/>
              </w:rPr>
              <w:t>指因患脑炎或脑膜炎导致的神经系统永久性的功能障碍。神经系统</w:t>
            </w:r>
            <w:r>
              <w:rPr>
                <w:spacing w:val="-8"/>
                <w:sz w:val="21"/>
              </w:rPr>
              <w:t>永久性的功能障碍，指疾病确诊 </w:t>
            </w:r>
            <w:r>
              <w:rPr>
                <w:rFonts w:ascii="Times New Roman" w:eastAsia="Times New Roman"/>
                <w:sz w:val="21"/>
              </w:rPr>
              <w:t>180 </w:t>
            </w:r>
            <w:r>
              <w:rPr>
                <w:spacing w:val="-6"/>
                <w:sz w:val="21"/>
              </w:rPr>
              <w:t>天后，仍遗留下列一种或一种</w:t>
            </w:r>
            <w:r>
              <w:rPr>
                <w:spacing w:val="-4"/>
                <w:sz w:val="21"/>
              </w:rPr>
              <w:t>以上障碍：</w:t>
            </w:r>
          </w:p>
          <w:p>
            <w:pPr>
              <w:pStyle w:val="TableParagraph"/>
              <w:spacing w:before="25"/>
              <w:ind w:left="41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18"/>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418" w:right="201"/>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w:t>
            </w:r>
            <w:r>
              <w:rPr>
                <w:spacing w:val="-5"/>
                <w:sz w:val="21"/>
              </w:rPr>
              <w:t>中的三项或三项以上。</w:t>
            </w:r>
          </w:p>
        </w:tc>
      </w:tr>
      <w:tr>
        <w:trPr>
          <w:trHeight w:val="1543" w:hRule="atLeast"/>
        </w:trPr>
        <w:tc>
          <w:tcPr>
            <w:tcW w:w="542" w:type="dxa"/>
          </w:tcPr>
          <w:p>
            <w:pPr>
              <w:pStyle w:val="TableParagraph"/>
              <w:spacing w:before="38"/>
              <w:ind w:left="200"/>
              <w:rPr>
                <w:rFonts w:ascii="Times New Roman"/>
                <w:sz w:val="21"/>
              </w:rPr>
            </w:pPr>
            <w:r>
              <w:rPr>
                <w:rFonts w:ascii="Times New Roman"/>
                <w:sz w:val="21"/>
              </w:rPr>
              <w:t>12.</w:t>
            </w:r>
          </w:p>
        </w:tc>
        <w:tc>
          <w:tcPr>
            <w:tcW w:w="3020" w:type="dxa"/>
          </w:tcPr>
          <w:p>
            <w:pPr>
              <w:pStyle w:val="TableParagraph"/>
              <w:spacing w:line="266" w:lineRule="exact"/>
              <w:ind w:left="78"/>
              <w:rPr>
                <w:sz w:val="21"/>
              </w:rPr>
            </w:pPr>
            <w:r>
              <w:rPr>
                <w:sz w:val="21"/>
              </w:rPr>
              <w:t>深度昏迷</w:t>
            </w:r>
          </w:p>
        </w:tc>
        <w:tc>
          <w:tcPr>
            <w:tcW w:w="6743" w:type="dxa"/>
          </w:tcPr>
          <w:p>
            <w:pPr>
              <w:pStyle w:val="TableParagraph"/>
              <w:spacing w:line="256" w:lineRule="auto"/>
              <w:ind w:left="418" w:right="198"/>
              <w:jc w:val="both"/>
              <w:rPr>
                <w:sz w:val="21"/>
              </w:rPr>
            </w:pPr>
            <w:r>
              <w:rPr>
                <w:spacing w:val="2"/>
                <w:sz w:val="21"/>
              </w:rPr>
              <w:t>指因疾病或意外伤害导致意识丧失</w:t>
            </w:r>
            <w:r>
              <w:rPr>
                <w:rFonts w:ascii="Times New Roman" w:eastAsia="Times New Roman"/>
                <w:spacing w:val="2"/>
                <w:sz w:val="21"/>
              </w:rPr>
              <w:t>,</w:t>
            </w:r>
            <w:r>
              <w:rPr>
                <w:spacing w:val="1"/>
                <w:sz w:val="21"/>
              </w:rPr>
              <w:t>对外界刺激和体内需求均无反应</w:t>
            </w:r>
            <w:r>
              <w:rPr>
                <w:rFonts w:ascii="Times New Roman" w:eastAsia="Times New Roman"/>
                <w:spacing w:val="1"/>
                <w:sz w:val="21"/>
              </w:rPr>
              <w:t>,</w:t>
            </w:r>
            <w:r>
              <w:rPr>
                <w:spacing w:val="-4"/>
                <w:sz w:val="21"/>
              </w:rPr>
              <w:t>昏迷程度按照格拉斯哥昏迷分级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3"/>
                <w:sz w:val="21"/>
              </w:rPr>
              <w:t>结果为 </w:t>
            </w:r>
            <w:r>
              <w:rPr>
                <w:rFonts w:ascii="Times New Roman" w:eastAsia="Times New Roman"/>
                <w:sz w:val="21"/>
              </w:rPr>
              <w:t>5 </w:t>
            </w:r>
            <w:r>
              <w:rPr>
                <w:spacing w:val="-15"/>
                <w:sz w:val="21"/>
              </w:rPr>
              <w:t>分或 </w:t>
            </w:r>
            <w:r>
              <w:rPr>
                <w:rFonts w:ascii="Times New Roman" w:eastAsia="Times New Roman"/>
                <w:sz w:val="21"/>
              </w:rPr>
              <w:t>5 </w:t>
            </w:r>
            <w:r>
              <w:rPr>
                <w:spacing w:val="-13"/>
                <w:sz w:val="21"/>
              </w:rPr>
              <w:t>分以下，且已经持续使用呼吸机及其他生命维持系统 </w:t>
            </w:r>
            <w:r>
              <w:rPr>
                <w:rFonts w:ascii="Times New Roman" w:eastAsia="Times New Roman"/>
                <w:sz w:val="21"/>
              </w:rPr>
              <w:t>96 </w:t>
            </w:r>
            <w:r>
              <w:rPr>
                <w:sz w:val="21"/>
              </w:rPr>
              <w:t>小时以上。</w:t>
            </w:r>
          </w:p>
          <w:p>
            <w:pPr>
              <w:pStyle w:val="TableParagraph"/>
              <w:spacing w:before="32"/>
              <w:ind w:left="418"/>
              <w:jc w:val="both"/>
              <w:rPr>
                <w:b/>
                <w:sz w:val="21"/>
              </w:rPr>
            </w:pPr>
            <w:r>
              <w:rPr>
                <w:b/>
                <w:sz w:val="21"/>
              </w:rPr>
              <w:t>因酗酒或药物滥用导致的深度昏迷不在保障范围内。</w:t>
            </w:r>
          </w:p>
        </w:tc>
      </w:tr>
      <w:tr>
        <w:trPr>
          <w:trHeight w:val="1577" w:hRule="atLeast"/>
        </w:trPr>
        <w:tc>
          <w:tcPr>
            <w:tcW w:w="542" w:type="dxa"/>
          </w:tcPr>
          <w:p>
            <w:pPr>
              <w:pStyle w:val="TableParagraph"/>
              <w:spacing w:before="55"/>
              <w:ind w:left="200"/>
              <w:rPr>
                <w:rFonts w:ascii="Times New Roman"/>
                <w:sz w:val="21"/>
              </w:rPr>
            </w:pPr>
            <w:r>
              <w:rPr>
                <w:rFonts w:ascii="Times New Roman"/>
                <w:sz w:val="21"/>
              </w:rPr>
              <w:t>13.</w:t>
            </w:r>
          </w:p>
        </w:tc>
        <w:tc>
          <w:tcPr>
            <w:tcW w:w="3020" w:type="dxa"/>
          </w:tcPr>
          <w:p>
            <w:pPr>
              <w:pStyle w:val="TableParagraph"/>
              <w:spacing w:before="8"/>
              <w:ind w:left="78"/>
              <w:rPr>
                <w:b/>
                <w:sz w:val="21"/>
              </w:rPr>
            </w:pPr>
            <w:r>
              <w:rPr>
                <w:sz w:val="21"/>
              </w:rPr>
              <w:t>双耳失聪 </w:t>
            </w:r>
            <w:r>
              <w:rPr>
                <w:rFonts w:ascii="Times New Roman" w:eastAsia="Times New Roman"/>
                <w:sz w:val="21"/>
              </w:rPr>
              <w:t>-  </w:t>
            </w:r>
            <w:r>
              <w:rPr>
                <w:b/>
                <w:sz w:val="21"/>
              </w:rPr>
              <w:t>三岁始理赔</w:t>
            </w:r>
          </w:p>
        </w:tc>
        <w:tc>
          <w:tcPr>
            <w:tcW w:w="6743" w:type="dxa"/>
          </w:tcPr>
          <w:p>
            <w:pPr>
              <w:pStyle w:val="TableParagraph"/>
              <w:spacing w:before="8"/>
              <w:ind w:left="418"/>
              <w:rPr>
                <w:sz w:val="21"/>
              </w:rPr>
            </w:pPr>
            <w:r>
              <w:rPr>
                <w:sz w:val="21"/>
              </w:rPr>
              <w:t>指因疾病或意外伤害导致双耳听力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w:t>
            </w:r>
          </w:p>
          <w:p>
            <w:pPr>
              <w:pStyle w:val="TableParagraph"/>
              <w:spacing w:line="256" w:lineRule="auto" w:before="21"/>
              <w:ind w:left="418" w:right="200"/>
              <w:rPr>
                <w:sz w:val="21"/>
              </w:rPr>
            </w:pPr>
            <w:r>
              <w:rPr>
                <w:spacing w:val="-5"/>
                <w:sz w:val="21"/>
              </w:rPr>
              <w:t>兹、</w:t>
            </w:r>
            <w:r>
              <w:rPr>
                <w:rFonts w:ascii="Times New Roman" w:eastAsia="Times New Roman"/>
                <w:sz w:val="21"/>
              </w:rPr>
              <w:t>1000 </w:t>
            </w:r>
            <w:r>
              <w:rPr>
                <w:spacing w:val="-14"/>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4"/>
                <w:sz w:val="21"/>
              </w:rPr>
              <w:t>分贝，且</w:t>
            </w:r>
            <w:r>
              <w:rPr>
                <w:spacing w:val="-3"/>
                <w:sz w:val="21"/>
              </w:rPr>
              <w:t>经纯音听力测试、声导抗检测或听觉诱发电位检测等证实。</w:t>
            </w:r>
          </w:p>
          <w:p>
            <w:pPr>
              <w:pStyle w:val="TableParagraph"/>
              <w:spacing w:line="312" w:lineRule="exact" w:before="18"/>
              <w:ind w:left="418" w:right="201"/>
              <w:rPr>
                <w:sz w:val="21"/>
              </w:rPr>
            </w:pPr>
            <w:r>
              <w:rPr>
                <w:sz w:val="21"/>
              </w:rPr>
              <w:t>被保险人申请理赔时年龄必须在三周岁以上，并且提供理赔当时的听力丧失诊断及检查证据。</w:t>
            </w:r>
          </w:p>
        </w:tc>
      </w:tr>
      <w:tr>
        <w:trPr>
          <w:trHeight w:val="578" w:hRule="atLeast"/>
        </w:trPr>
        <w:tc>
          <w:tcPr>
            <w:tcW w:w="542" w:type="dxa"/>
          </w:tcPr>
          <w:p>
            <w:pPr>
              <w:pStyle w:val="TableParagraph"/>
              <w:spacing w:before="38"/>
              <w:ind w:left="200"/>
              <w:rPr>
                <w:rFonts w:ascii="Times New Roman"/>
                <w:sz w:val="21"/>
              </w:rPr>
            </w:pPr>
            <w:r>
              <w:rPr>
                <w:rFonts w:ascii="Times New Roman"/>
                <w:sz w:val="21"/>
              </w:rPr>
              <w:t>14.</w:t>
            </w:r>
          </w:p>
        </w:tc>
        <w:tc>
          <w:tcPr>
            <w:tcW w:w="3020" w:type="dxa"/>
          </w:tcPr>
          <w:p>
            <w:pPr>
              <w:pStyle w:val="TableParagraph"/>
              <w:spacing w:line="282" w:lineRule="exact"/>
              <w:ind w:left="78"/>
              <w:rPr>
                <w:b/>
                <w:sz w:val="21"/>
              </w:rPr>
            </w:pPr>
            <w:r>
              <w:rPr>
                <w:sz w:val="21"/>
              </w:rPr>
              <w:t>双目失明 </w:t>
            </w:r>
            <w:r>
              <w:rPr>
                <w:rFonts w:ascii="Times New Roman" w:eastAsia="Times New Roman"/>
                <w:sz w:val="21"/>
              </w:rPr>
              <w:t>-  </w:t>
            </w:r>
            <w:r>
              <w:rPr>
                <w:b/>
                <w:sz w:val="21"/>
              </w:rPr>
              <w:t>三岁始理赔</w:t>
            </w:r>
          </w:p>
        </w:tc>
        <w:tc>
          <w:tcPr>
            <w:tcW w:w="6743" w:type="dxa"/>
          </w:tcPr>
          <w:p>
            <w:pPr>
              <w:pStyle w:val="TableParagraph"/>
              <w:spacing w:line="266" w:lineRule="exact"/>
              <w:ind w:left="418"/>
              <w:rPr>
                <w:sz w:val="21"/>
              </w:rPr>
            </w:pPr>
            <w:r>
              <w:rPr>
                <w:sz w:val="21"/>
              </w:rPr>
              <w:t>指因疾病或意外伤害导致双眼视力永久不可逆性丧失，双眼中较好</w:t>
            </w:r>
          </w:p>
          <w:p>
            <w:pPr>
              <w:pStyle w:val="TableParagraph"/>
              <w:spacing w:line="255" w:lineRule="exact" w:before="37"/>
              <w:ind w:left="418"/>
              <w:rPr>
                <w:sz w:val="21"/>
              </w:rPr>
            </w:pPr>
            <w:r>
              <w:rPr>
                <w:sz w:val="21"/>
              </w:rPr>
              <w:t>眼须满足下列至少一项条件：</w:t>
            </w:r>
          </w:p>
        </w:tc>
      </w:tr>
    </w:tbl>
    <w:p>
      <w:pPr>
        <w:pStyle w:val="BodyText"/>
        <w:spacing w:before="8"/>
        <w:rPr>
          <w:sz w:val="28"/>
        </w:rPr>
      </w:pPr>
      <w:r>
        <w:rPr/>
        <w:pict>
          <v:line style="position:absolute;mso-position-horizontal-relative:page;mso-position-vertical-relative:paragraph;z-index:1192;mso-wrap-distance-left:0;mso-wrap-distance-right:0" from="53.880001pt,20.940853pt" to="197.930001pt,20.940853pt" stroked="true" strokeweight=".47998pt" strokecolor="#000000">
            <v:stroke dashstyle="solid"/>
            <w10:wrap type="topAndBottom"/>
          </v:line>
        </w:pict>
      </w:r>
    </w:p>
    <w:p>
      <w:pPr>
        <w:pStyle w:val="BodyText"/>
        <w:spacing w:line="218" w:lineRule="auto" w:before="1"/>
        <w:ind w:left="317" w:right="342"/>
      </w:pPr>
      <w:r>
        <w:rPr>
          <w:rFonts w:ascii="Times New Roman" w:eastAsia="Times New Roman"/>
          <w:position w:val="10"/>
          <w:sz w:val="14"/>
        </w:rPr>
        <w:t>24</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pgSz w:w="11910" w:h="16160"/>
          <w:pgMar w:header="0" w:footer="631" w:top="142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809"/>
        <w:gridCol w:w="6952"/>
      </w:tblGrid>
      <w:tr>
        <w:trPr>
          <w:trHeight w:val="1824" w:hRule="atLeast"/>
        </w:trPr>
        <w:tc>
          <w:tcPr>
            <w:tcW w:w="542" w:type="dxa"/>
          </w:tcPr>
          <w:p>
            <w:pPr>
              <w:pStyle w:val="TableParagraph"/>
              <w:ind w:left="0"/>
              <w:rPr>
                <w:rFonts w:ascii="Times New Roman"/>
                <w:sz w:val="20"/>
              </w:rPr>
            </w:pPr>
          </w:p>
        </w:tc>
        <w:tc>
          <w:tcPr>
            <w:tcW w:w="2809" w:type="dxa"/>
          </w:tcPr>
          <w:p>
            <w:pPr>
              <w:pStyle w:val="TableParagraph"/>
              <w:ind w:left="0"/>
              <w:rPr>
                <w:rFonts w:ascii="Times New Roman"/>
                <w:sz w:val="20"/>
              </w:rPr>
            </w:pPr>
          </w:p>
        </w:tc>
        <w:tc>
          <w:tcPr>
            <w:tcW w:w="6952" w:type="dxa"/>
          </w:tcPr>
          <w:p>
            <w:pPr>
              <w:pStyle w:val="TableParagraph"/>
              <w:spacing w:line="234" w:lineRule="exact"/>
              <w:ind w:left="630"/>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630" w:right="196"/>
              <w:rPr>
                <w:sz w:val="21"/>
              </w:rPr>
            </w:pPr>
            <w:r>
              <w:rPr>
                <w:spacing w:val="-10"/>
                <w:sz w:val="21"/>
              </w:rPr>
              <w:t>（</w:t>
            </w:r>
            <w:r>
              <w:rPr>
                <w:rFonts w:ascii="Times New Roman" w:eastAsia="Times New Roman"/>
                <w:spacing w:val="-10"/>
                <w:sz w:val="21"/>
              </w:rPr>
              <w:t>2</w:t>
            </w:r>
            <w:r>
              <w:rPr>
                <w:spacing w:val="-10"/>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21"/>
              <w:ind w:left="63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left="630" w:right="199"/>
              <w:rPr>
                <w:sz w:val="21"/>
              </w:rPr>
            </w:pPr>
            <w:r>
              <w:rPr>
                <w:sz w:val="21"/>
              </w:rPr>
              <w:t>被保险人申请理赔时年龄必须在三周岁以上，并且提供理赔当时的视力丧失诊断及检查证据。</w:t>
            </w:r>
          </w:p>
        </w:tc>
      </w:tr>
      <w:tr>
        <w:trPr>
          <w:trHeight w:val="1248" w:hRule="atLeast"/>
        </w:trPr>
        <w:tc>
          <w:tcPr>
            <w:tcW w:w="542" w:type="dxa"/>
          </w:tcPr>
          <w:p>
            <w:pPr>
              <w:pStyle w:val="TableParagraph"/>
              <w:spacing w:before="38"/>
              <w:ind w:left="0" w:right="77"/>
              <w:jc w:val="right"/>
              <w:rPr>
                <w:rFonts w:ascii="Times New Roman"/>
                <w:sz w:val="21"/>
              </w:rPr>
            </w:pPr>
            <w:r>
              <w:rPr>
                <w:rFonts w:ascii="Times New Roman"/>
                <w:sz w:val="21"/>
              </w:rPr>
              <w:t>15.</w:t>
            </w:r>
          </w:p>
        </w:tc>
        <w:tc>
          <w:tcPr>
            <w:tcW w:w="2809" w:type="dxa"/>
          </w:tcPr>
          <w:p>
            <w:pPr>
              <w:pStyle w:val="TableParagraph"/>
              <w:spacing w:line="266" w:lineRule="exact"/>
              <w:ind w:left="78"/>
              <w:rPr>
                <w:sz w:val="21"/>
              </w:rPr>
            </w:pPr>
            <w:r>
              <w:rPr>
                <w:sz w:val="21"/>
              </w:rPr>
              <w:t>瘫痪</w:t>
            </w:r>
          </w:p>
        </w:tc>
        <w:tc>
          <w:tcPr>
            <w:tcW w:w="6952" w:type="dxa"/>
          </w:tcPr>
          <w:p>
            <w:pPr>
              <w:pStyle w:val="TableParagraph"/>
              <w:spacing w:line="266" w:lineRule="auto"/>
              <w:ind w:left="630" w:right="196"/>
              <w:jc w:val="both"/>
              <w:rPr>
                <w:sz w:val="21"/>
              </w:rPr>
            </w:pPr>
            <w:r>
              <w:rPr>
                <w:spacing w:val="-2"/>
                <w:sz w:val="21"/>
              </w:rPr>
              <w:t>指因疾病或意外伤害导致两肢或两肢以上肢体机能永久完全丧失。</w:t>
            </w:r>
            <w:r>
              <w:rPr>
                <w:spacing w:val="-4"/>
                <w:sz w:val="21"/>
              </w:rPr>
              <w:t>肢体机能永久完全丧失，指疾病确诊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2"/>
                <w:sz w:val="21"/>
              </w:rPr>
              <w:t>天后，每肢三大关节中的两大关节仍然完全僵硬，或不能随意识活动。</w:t>
            </w:r>
          </w:p>
        </w:tc>
      </w:tr>
      <w:tr>
        <w:trPr>
          <w:trHeight w:val="624" w:hRule="atLeast"/>
        </w:trPr>
        <w:tc>
          <w:tcPr>
            <w:tcW w:w="542" w:type="dxa"/>
          </w:tcPr>
          <w:p>
            <w:pPr>
              <w:pStyle w:val="TableParagraph"/>
              <w:spacing w:before="38"/>
              <w:ind w:left="0" w:right="77"/>
              <w:jc w:val="right"/>
              <w:rPr>
                <w:rFonts w:ascii="Times New Roman"/>
                <w:sz w:val="21"/>
              </w:rPr>
            </w:pPr>
            <w:r>
              <w:rPr>
                <w:rFonts w:ascii="Times New Roman"/>
                <w:sz w:val="21"/>
              </w:rPr>
              <w:t>16.</w:t>
            </w:r>
          </w:p>
        </w:tc>
        <w:tc>
          <w:tcPr>
            <w:tcW w:w="2809" w:type="dxa"/>
          </w:tcPr>
          <w:p>
            <w:pPr>
              <w:pStyle w:val="TableParagraph"/>
              <w:spacing w:line="266" w:lineRule="exact"/>
              <w:ind w:left="78"/>
              <w:rPr>
                <w:sz w:val="21"/>
              </w:rPr>
            </w:pPr>
            <w:r>
              <w:rPr>
                <w:sz w:val="21"/>
              </w:rPr>
              <w:t>心脏瓣膜手术</w:t>
            </w:r>
          </w:p>
        </w:tc>
        <w:tc>
          <w:tcPr>
            <w:tcW w:w="6952" w:type="dxa"/>
          </w:tcPr>
          <w:p>
            <w:pPr>
              <w:pStyle w:val="TableParagraph"/>
              <w:spacing w:line="266" w:lineRule="exact"/>
              <w:ind w:left="630"/>
              <w:rPr>
                <w:sz w:val="21"/>
              </w:rPr>
            </w:pPr>
            <w:r>
              <w:rPr>
                <w:sz w:val="21"/>
              </w:rPr>
              <w:t>指为治疗心脏瓣膜疾病，实际实施了开胸进行的心脏瓣膜置换或修</w:t>
            </w:r>
          </w:p>
          <w:p>
            <w:pPr>
              <w:pStyle w:val="TableParagraph"/>
              <w:spacing w:before="37"/>
              <w:ind w:left="630"/>
              <w:rPr>
                <w:sz w:val="21"/>
              </w:rPr>
            </w:pPr>
            <w:r>
              <w:rPr>
                <w:sz w:val="21"/>
              </w:rPr>
              <w:t>复的手术。</w:t>
            </w:r>
          </w:p>
        </w:tc>
      </w:tr>
      <w:tr>
        <w:trPr>
          <w:trHeight w:val="2184" w:hRule="atLeast"/>
        </w:trPr>
        <w:tc>
          <w:tcPr>
            <w:tcW w:w="542" w:type="dxa"/>
          </w:tcPr>
          <w:p>
            <w:pPr>
              <w:pStyle w:val="TableParagraph"/>
              <w:spacing w:before="38"/>
              <w:ind w:left="0" w:right="77"/>
              <w:jc w:val="right"/>
              <w:rPr>
                <w:rFonts w:ascii="Times New Roman"/>
                <w:sz w:val="21"/>
              </w:rPr>
            </w:pPr>
            <w:r>
              <w:rPr>
                <w:rFonts w:ascii="Times New Roman"/>
                <w:sz w:val="21"/>
              </w:rPr>
              <w:t>17.</w:t>
            </w:r>
          </w:p>
        </w:tc>
        <w:tc>
          <w:tcPr>
            <w:tcW w:w="2809" w:type="dxa"/>
          </w:tcPr>
          <w:p>
            <w:pPr>
              <w:pStyle w:val="TableParagraph"/>
              <w:spacing w:line="266" w:lineRule="exact"/>
              <w:ind w:left="78"/>
              <w:rPr>
                <w:sz w:val="21"/>
              </w:rPr>
            </w:pPr>
            <w:r>
              <w:rPr>
                <w:sz w:val="21"/>
              </w:rPr>
              <w:t>严重阿尔茨海默病</w:t>
            </w:r>
          </w:p>
        </w:tc>
        <w:tc>
          <w:tcPr>
            <w:tcW w:w="6952" w:type="dxa"/>
          </w:tcPr>
          <w:p>
            <w:pPr>
              <w:pStyle w:val="TableParagraph"/>
              <w:spacing w:line="273" w:lineRule="auto"/>
              <w:ind w:left="630" w:right="199"/>
              <w:jc w:val="both"/>
              <w:rPr>
                <w:sz w:val="21"/>
              </w:rPr>
            </w:pPr>
            <w:r>
              <w:rPr>
                <w:spacing w:val="-2"/>
                <w:sz w:val="21"/>
              </w:rPr>
              <w:t>指因大脑进行性、不可逆性改变导致智能严重衰退或丧失，临床表</w:t>
            </w:r>
            <w:r>
              <w:rPr>
                <w:spacing w:val="-3"/>
                <w:sz w:val="21"/>
              </w:rPr>
              <w:t>现为明显的认知能力障碍、行为异常和社交能力减退，其日常生活</w:t>
            </w:r>
            <w:r>
              <w:rPr>
                <w:w w:val="100"/>
                <w:sz w:val="21"/>
              </w:rPr>
              <w:t>必须持续受到他人监护。须由头颅断层扫描</w:t>
            </w:r>
            <w:r>
              <w:rPr>
                <w:spacing w:val="5"/>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6"/>
                <w:w w:val="100"/>
                <w:sz w:val="21"/>
              </w:rPr>
              <w:t>）</w:t>
            </w:r>
            <w:r>
              <w:rPr>
                <w:w w:val="100"/>
                <w:sz w:val="21"/>
              </w:rPr>
              <w:t>、核磁共振检查</w:t>
            </w:r>
          </w:p>
          <w:p>
            <w:pPr>
              <w:pStyle w:val="TableParagraph"/>
              <w:spacing w:line="264" w:lineRule="auto"/>
              <w:ind w:left="630" w:right="199"/>
              <w:jc w:val="both"/>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p>
          <w:p>
            <w:pPr>
              <w:pStyle w:val="TableParagraph"/>
              <w:spacing w:before="18"/>
              <w:ind w:left="630"/>
              <w:jc w:val="both"/>
              <w:rPr>
                <w:b/>
                <w:sz w:val="21"/>
              </w:rPr>
            </w:pPr>
            <w:r>
              <w:rPr>
                <w:b/>
                <w:sz w:val="21"/>
              </w:rPr>
              <w:t>神经官能症和精神疾病不在保障范围内。</w:t>
            </w:r>
          </w:p>
        </w:tc>
      </w:tr>
      <w:tr>
        <w:trPr>
          <w:trHeight w:val="2808" w:hRule="atLeast"/>
        </w:trPr>
        <w:tc>
          <w:tcPr>
            <w:tcW w:w="542" w:type="dxa"/>
          </w:tcPr>
          <w:p>
            <w:pPr>
              <w:pStyle w:val="TableParagraph"/>
              <w:spacing w:before="38"/>
              <w:ind w:left="0" w:right="77"/>
              <w:jc w:val="right"/>
              <w:rPr>
                <w:rFonts w:ascii="Times New Roman"/>
                <w:sz w:val="21"/>
              </w:rPr>
            </w:pPr>
            <w:r>
              <w:rPr>
                <w:rFonts w:ascii="Times New Roman"/>
                <w:sz w:val="21"/>
              </w:rPr>
              <w:t>18.</w:t>
            </w:r>
          </w:p>
        </w:tc>
        <w:tc>
          <w:tcPr>
            <w:tcW w:w="2809" w:type="dxa"/>
          </w:tcPr>
          <w:p>
            <w:pPr>
              <w:pStyle w:val="TableParagraph"/>
              <w:spacing w:line="266" w:lineRule="exact"/>
              <w:ind w:left="78"/>
              <w:rPr>
                <w:sz w:val="21"/>
              </w:rPr>
            </w:pPr>
            <w:r>
              <w:rPr>
                <w:sz w:val="21"/>
              </w:rPr>
              <w:t>严重脑损伤</w:t>
            </w:r>
          </w:p>
        </w:tc>
        <w:tc>
          <w:tcPr>
            <w:tcW w:w="6952" w:type="dxa"/>
          </w:tcPr>
          <w:p>
            <w:pPr>
              <w:pStyle w:val="TableParagraph"/>
              <w:spacing w:line="261" w:lineRule="auto"/>
              <w:ind w:left="630" w:right="199"/>
              <w:rPr>
                <w:sz w:val="21"/>
              </w:rPr>
            </w:pPr>
            <w:r>
              <w:rPr>
                <w:spacing w:val="-2"/>
                <w:sz w:val="21"/>
              </w:rPr>
              <w:t>指因头部遭受机械性外力，引起脑重要部位损伤，导致神经系统永</w:t>
            </w:r>
            <w:r>
              <w:rPr>
                <w:spacing w:val="-4"/>
                <w:w w:val="100"/>
                <w:sz w:val="21"/>
              </w:rPr>
              <w:t>久性的功能障碍。须由头颅断层扫描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RI</w:t>
            </w:r>
            <w:r>
              <w:rPr>
                <w:sz w:val="21"/>
              </w:rPr>
              <w:t>或正电子发射断层扫描（</w:t>
            </w:r>
            <w:r>
              <w:rPr>
                <w:rFonts w:ascii="Times New Roman" w:eastAsia="Times New Roman"/>
                <w:sz w:val="21"/>
              </w:rPr>
              <w:t>PET</w:t>
            </w:r>
            <w:r>
              <w:rPr>
                <w:sz w:val="21"/>
              </w:rPr>
              <w:t>）等影像学检查证实。神经系统永久</w:t>
            </w:r>
            <w:r>
              <w:rPr>
                <w:spacing w:val="-9"/>
                <w:sz w:val="21"/>
              </w:rPr>
              <w:t>性的功能障碍，指脑损伤 </w:t>
            </w:r>
            <w:r>
              <w:rPr>
                <w:rFonts w:ascii="Times New Roman" w:eastAsia="Times New Roman"/>
                <w:sz w:val="21"/>
              </w:rPr>
              <w:t>180 </w:t>
            </w:r>
            <w:r>
              <w:rPr>
                <w:spacing w:val="-5"/>
                <w:sz w:val="21"/>
              </w:rPr>
              <w:t>天后，仍遗留下列一种或一种以上障碍：</w:t>
            </w:r>
          </w:p>
          <w:p>
            <w:pPr>
              <w:pStyle w:val="TableParagraph"/>
              <w:spacing w:before="27"/>
              <w:ind w:left="63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63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630" w:right="199"/>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w:t>
            </w:r>
            <w:r>
              <w:rPr>
                <w:spacing w:val="-5"/>
                <w:sz w:val="21"/>
              </w:rPr>
              <w:t>中的三项或三项以上。</w:t>
            </w:r>
          </w:p>
        </w:tc>
      </w:tr>
      <w:tr>
        <w:trPr>
          <w:trHeight w:val="1872" w:hRule="atLeast"/>
        </w:trPr>
        <w:tc>
          <w:tcPr>
            <w:tcW w:w="542" w:type="dxa"/>
          </w:tcPr>
          <w:p>
            <w:pPr>
              <w:pStyle w:val="TableParagraph"/>
              <w:spacing w:before="38"/>
              <w:ind w:left="0" w:right="77"/>
              <w:jc w:val="right"/>
              <w:rPr>
                <w:rFonts w:ascii="Times New Roman"/>
                <w:sz w:val="21"/>
              </w:rPr>
            </w:pPr>
            <w:r>
              <w:rPr>
                <w:rFonts w:ascii="Times New Roman"/>
                <w:sz w:val="21"/>
              </w:rPr>
              <w:t>19.</w:t>
            </w:r>
          </w:p>
        </w:tc>
        <w:tc>
          <w:tcPr>
            <w:tcW w:w="2809" w:type="dxa"/>
          </w:tcPr>
          <w:p>
            <w:pPr>
              <w:pStyle w:val="TableParagraph"/>
              <w:spacing w:line="266" w:lineRule="exact"/>
              <w:ind w:left="78"/>
              <w:rPr>
                <w:sz w:val="21"/>
              </w:rPr>
            </w:pPr>
            <w:r>
              <w:rPr>
                <w:sz w:val="21"/>
              </w:rPr>
              <w:t>严重帕金森病</w:t>
            </w:r>
          </w:p>
        </w:tc>
        <w:tc>
          <w:tcPr>
            <w:tcW w:w="6952" w:type="dxa"/>
          </w:tcPr>
          <w:p>
            <w:pPr>
              <w:pStyle w:val="TableParagraph"/>
              <w:spacing w:line="273" w:lineRule="auto"/>
              <w:ind w:left="630" w:right="199"/>
              <w:rPr>
                <w:sz w:val="21"/>
              </w:rPr>
            </w:pPr>
            <w:r>
              <w:rPr>
                <w:sz w:val="21"/>
              </w:rPr>
              <w:t>是一种中枢神经系统的退行性疾病，临床表现为震颤麻痹、共济失调等。须满足下列全部条件：</w:t>
            </w:r>
          </w:p>
          <w:p>
            <w:pPr>
              <w:pStyle w:val="TableParagraph"/>
              <w:spacing w:before="16"/>
              <w:ind w:left="630"/>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630" w:right="199"/>
              <w:rPr>
                <w:sz w:val="21"/>
              </w:rPr>
            </w:pPr>
            <w:r>
              <w:rPr>
                <w:spacing w:val="-14"/>
                <w:sz w:val="21"/>
              </w:rPr>
              <w:t>（</w:t>
            </w:r>
            <w:r>
              <w:rPr>
                <w:rFonts w:ascii="Times New Roman" w:eastAsia="Times New Roman"/>
                <w:spacing w:val="-14"/>
                <w:sz w:val="21"/>
              </w:rPr>
              <w:t>2</w:t>
            </w:r>
            <w:r>
              <w:rPr>
                <w:spacing w:val="-14"/>
                <w:sz w:val="21"/>
              </w:rPr>
              <w:t>）</w:t>
            </w:r>
            <w:r>
              <w:rPr>
                <w:spacing w:val="-7"/>
                <w:sz w:val="21"/>
              </w:rPr>
              <w:t>自主生活能力完全丧失，无法独立完成六项基本日常生活活动</w:t>
            </w:r>
            <w:r>
              <w:rPr>
                <w:spacing w:val="-5"/>
                <w:sz w:val="21"/>
              </w:rPr>
              <w:t>中的三项或三项以上。</w:t>
            </w:r>
          </w:p>
          <w:p>
            <w:pPr>
              <w:pStyle w:val="TableParagraph"/>
              <w:spacing w:before="22"/>
              <w:ind w:left="630"/>
              <w:rPr>
                <w:b/>
                <w:sz w:val="21"/>
              </w:rPr>
            </w:pPr>
            <w:r>
              <w:rPr>
                <w:b/>
                <w:sz w:val="21"/>
              </w:rPr>
              <w:t>继发性帕金森综合征不在保障范围内。</w:t>
            </w:r>
          </w:p>
        </w:tc>
      </w:tr>
      <w:tr>
        <w:trPr>
          <w:trHeight w:val="631" w:hRule="atLeast"/>
        </w:trPr>
        <w:tc>
          <w:tcPr>
            <w:tcW w:w="542" w:type="dxa"/>
          </w:tcPr>
          <w:p>
            <w:pPr>
              <w:pStyle w:val="TableParagraph"/>
              <w:spacing w:before="38"/>
              <w:ind w:left="0" w:right="75"/>
              <w:jc w:val="right"/>
              <w:rPr>
                <w:rFonts w:ascii="Times New Roman"/>
                <w:sz w:val="21"/>
              </w:rPr>
            </w:pPr>
            <w:r>
              <w:rPr>
                <w:rFonts w:ascii="Times New Roman"/>
                <w:sz w:val="21"/>
              </w:rPr>
              <w:t>20.</w:t>
            </w:r>
          </w:p>
        </w:tc>
        <w:tc>
          <w:tcPr>
            <w:tcW w:w="2809" w:type="dxa"/>
          </w:tcPr>
          <w:p>
            <w:pPr>
              <w:pStyle w:val="TableParagraph"/>
              <w:spacing w:line="266" w:lineRule="exact"/>
              <w:ind w:left="78"/>
              <w:rPr>
                <w:sz w:val="21"/>
              </w:rPr>
            </w:pPr>
            <w:r>
              <w:rPr>
                <w:sz w:val="21"/>
              </w:rPr>
              <w:t>严重Ⅲ度烧伤</w:t>
            </w:r>
          </w:p>
        </w:tc>
        <w:tc>
          <w:tcPr>
            <w:tcW w:w="6952" w:type="dxa"/>
          </w:tcPr>
          <w:p>
            <w:pPr>
              <w:pStyle w:val="TableParagraph"/>
              <w:spacing w:line="282" w:lineRule="exact"/>
              <w:ind w:left="630"/>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ind w:left="630"/>
              <w:rPr>
                <w:sz w:val="21"/>
              </w:rPr>
            </w:pPr>
            <w:r>
              <w:rPr>
                <w:rFonts w:ascii="Times New Roman" w:eastAsia="Times New Roman"/>
                <w:sz w:val="21"/>
              </w:rPr>
              <w:t>20</w:t>
            </w:r>
            <w:r>
              <w:rPr>
                <w:sz w:val="21"/>
              </w:rPr>
              <w:t>％以上。体表面积根据《中国新九分法》计算。</w:t>
            </w:r>
          </w:p>
        </w:tc>
      </w:tr>
      <w:tr>
        <w:trPr>
          <w:trHeight w:val="1247" w:hRule="atLeast"/>
        </w:trPr>
        <w:tc>
          <w:tcPr>
            <w:tcW w:w="542" w:type="dxa"/>
          </w:tcPr>
          <w:p>
            <w:pPr>
              <w:pStyle w:val="TableParagraph"/>
              <w:spacing w:before="30"/>
              <w:ind w:left="0" w:right="77"/>
              <w:jc w:val="right"/>
              <w:rPr>
                <w:rFonts w:ascii="Times New Roman"/>
                <w:sz w:val="21"/>
              </w:rPr>
            </w:pPr>
            <w:r>
              <w:rPr>
                <w:rFonts w:ascii="Times New Roman"/>
                <w:sz w:val="21"/>
              </w:rPr>
              <w:t>21.</w:t>
            </w:r>
          </w:p>
        </w:tc>
        <w:tc>
          <w:tcPr>
            <w:tcW w:w="2809" w:type="dxa"/>
          </w:tcPr>
          <w:p>
            <w:pPr>
              <w:pStyle w:val="TableParagraph"/>
              <w:spacing w:line="258" w:lineRule="exact"/>
              <w:ind w:left="78"/>
              <w:rPr>
                <w:sz w:val="21"/>
              </w:rPr>
            </w:pPr>
            <w:r>
              <w:rPr>
                <w:sz w:val="21"/>
              </w:rPr>
              <w:t>严重原发性肺动脉高压</w:t>
            </w:r>
          </w:p>
        </w:tc>
        <w:tc>
          <w:tcPr>
            <w:tcW w:w="6952" w:type="dxa"/>
          </w:tcPr>
          <w:p>
            <w:pPr>
              <w:pStyle w:val="TableParagraph"/>
              <w:spacing w:line="258" w:lineRule="exact"/>
              <w:ind w:left="630"/>
              <w:rPr>
                <w:sz w:val="21"/>
              </w:rPr>
            </w:pPr>
            <w:r>
              <w:rPr>
                <w:sz w:val="21"/>
              </w:rPr>
              <w:t>指不明原因的肺动脉压力持续性增高，进行性发展而导致的慢性疾</w:t>
            </w:r>
          </w:p>
          <w:p>
            <w:pPr>
              <w:pStyle w:val="TableParagraph"/>
              <w:spacing w:line="273" w:lineRule="auto" w:before="37"/>
              <w:ind w:left="630" w:right="197"/>
              <w:rPr>
                <w:sz w:val="21"/>
              </w:rPr>
            </w:pPr>
            <w:r>
              <w:rPr>
                <w:sz w:val="21"/>
              </w:rPr>
              <w:t>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w:t>
            </w:r>
          </w:p>
          <w:p>
            <w:pPr>
              <w:pStyle w:val="TableParagraph"/>
              <w:spacing w:line="279" w:lineRule="exact"/>
              <w:ind w:left="630"/>
              <w:rPr>
                <w:sz w:val="21"/>
              </w:rPr>
            </w:pPr>
            <w:r>
              <w:rPr>
                <w:rFonts w:ascii="Times New Roman" w:eastAsia="Times New Roman"/>
                <w:sz w:val="21"/>
              </w:rPr>
              <w:t>30mmHg</w:t>
            </w:r>
            <w:r>
              <w:rPr>
                <w:sz w:val="21"/>
              </w:rPr>
              <w:t>。</w:t>
            </w:r>
          </w:p>
        </w:tc>
      </w:tr>
      <w:tr>
        <w:trPr>
          <w:trHeight w:val="1194" w:hRule="atLeast"/>
        </w:trPr>
        <w:tc>
          <w:tcPr>
            <w:tcW w:w="542" w:type="dxa"/>
          </w:tcPr>
          <w:p>
            <w:pPr>
              <w:pStyle w:val="TableParagraph"/>
              <w:spacing w:before="30"/>
              <w:ind w:left="0" w:right="77"/>
              <w:jc w:val="right"/>
              <w:rPr>
                <w:rFonts w:ascii="Times New Roman"/>
                <w:sz w:val="21"/>
              </w:rPr>
            </w:pPr>
            <w:r>
              <w:rPr>
                <w:rFonts w:ascii="Times New Roman"/>
                <w:sz w:val="21"/>
              </w:rPr>
              <w:t>22.</w:t>
            </w:r>
          </w:p>
        </w:tc>
        <w:tc>
          <w:tcPr>
            <w:tcW w:w="2809" w:type="dxa"/>
          </w:tcPr>
          <w:p>
            <w:pPr>
              <w:pStyle w:val="TableParagraph"/>
              <w:spacing w:line="258" w:lineRule="exact"/>
              <w:ind w:left="78"/>
              <w:rPr>
                <w:sz w:val="21"/>
              </w:rPr>
            </w:pPr>
            <w:r>
              <w:rPr>
                <w:sz w:val="21"/>
              </w:rPr>
              <w:t>严重运动神经元病</w:t>
            </w:r>
          </w:p>
        </w:tc>
        <w:tc>
          <w:tcPr>
            <w:tcW w:w="6952" w:type="dxa"/>
          </w:tcPr>
          <w:p>
            <w:pPr>
              <w:pStyle w:val="TableParagraph"/>
              <w:spacing w:line="258" w:lineRule="exact"/>
              <w:ind w:left="630"/>
              <w:rPr>
                <w:sz w:val="21"/>
              </w:rPr>
            </w:pPr>
            <w:r>
              <w:rPr>
                <w:sz w:val="21"/>
              </w:rPr>
              <w:t>是一组中枢神经系统运动神经元的进行性变性疾病，包括进行性脊</w:t>
            </w:r>
          </w:p>
          <w:p>
            <w:pPr>
              <w:pStyle w:val="TableParagraph"/>
              <w:spacing w:line="310" w:lineRule="atLeast" w:before="2"/>
              <w:ind w:left="630" w:right="199"/>
              <w:jc w:val="both"/>
              <w:rPr>
                <w:sz w:val="21"/>
              </w:rPr>
            </w:pPr>
            <w:r>
              <w:rPr>
                <w:sz w:val="21"/>
              </w:rPr>
              <w:t>肌萎缩症、进行性延髓麻痹症、原发性侧索硬化症、肌萎缩性侧索硬化症。须满足自主生活能力完全丧失，无法独立完成六项基本日常生活活动中的三项或三项以上的条件。</w:t>
            </w:r>
          </w:p>
        </w:tc>
      </w:tr>
    </w:tbl>
    <w:p>
      <w:pPr>
        <w:spacing w:after="0" w:line="310" w:lineRule="atLeast"/>
        <w:jc w:val="both"/>
        <w:rPr>
          <w:sz w:val="21"/>
        </w:rPr>
        <w:sectPr>
          <w:pgSz w:w="11910" w:h="16160"/>
          <w:pgMar w:header="0" w:footer="631" w:top="1420" w:bottom="820" w:left="760" w:right="620"/>
        </w:sectPr>
      </w:pPr>
    </w:p>
    <w:p>
      <w:pPr>
        <w:pStyle w:val="ListParagraph"/>
        <w:numPr>
          <w:ilvl w:val="0"/>
          <w:numId w:val="7"/>
        </w:numPr>
        <w:tabs>
          <w:tab w:pos="539" w:val="left" w:leader="none"/>
          <w:tab w:pos="3898" w:val="left" w:leader="none"/>
        </w:tabs>
        <w:spacing w:line="240" w:lineRule="auto" w:before="27" w:after="0"/>
        <w:ind w:left="3898" w:right="0" w:hanging="3781"/>
        <w:jc w:val="left"/>
        <w:rPr>
          <w:rFonts w:ascii="Times New Roman" w:eastAsia="Times New Roman"/>
          <w:sz w:val="21"/>
        </w:rPr>
      </w:pPr>
      <w:r>
        <w:rPr>
          <w:sz w:val="21"/>
        </w:rPr>
        <w:t>语言</w:t>
      </w:r>
      <w:r>
        <w:rPr>
          <w:spacing w:val="-3"/>
          <w:sz w:val="21"/>
        </w:rPr>
        <w:t>能</w:t>
      </w:r>
      <w:r>
        <w:rPr>
          <w:sz w:val="21"/>
        </w:rPr>
        <w:t>力</w:t>
      </w:r>
      <w:r>
        <w:rPr>
          <w:spacing w:val="-3"/>
          <w:sz w:val="21"/>
        </w:rPr>
        <w:t>丧</w:t>
      </w:r>
      <w:r>
        <w:rPr>
          <w:sz w:val="21"/>
        </w:rPr>
        <w:t>失</w:t>
      </w:r>
      <w:r>
        <w:rPr>
          <w:spacing w:val="3"/>
          <w:sz w:val="21"/>
        </w:rPr>
        <w:t> </w:t>
      </w:r>
      <w:r>
        <w:rPr>
          <w:rFonts w:ascii="Times New Roman" w:eastAsia="Times New Roman"/>
          <w:sz w:val="21"/>
        </w:rPr>
        <w:t>- </w:t>
      </w:r>
      <w:r>
        <w:rPr>
          <w:rFonts w:ascii="Times New Roman" w:eastAsia="Times New Roman"/>
          <w:spacing w:val="0"/>
          <w:sz w:val="21"/>
        </w:rPr>
        <w:t> </w:t>
      </w:r>
      <w:r>
        <w:rPr>
          <w:b/>
          <w:sz w:val="21"/>
        </w:rPr>
        <w:t>三岁始</w:t>
      </w:r>
      <w:r>
        <w:rPr>
          <w:b/>
          <w:spacing w:val="-3"/>
          <w:sz w:val="21"/>
        </w:rPr>
        <w:t>理</w:t>
      </w:r>
      <w:r>
        <w:rPr>
          <w:b/>
          <w:sz w:val="21"/>
        </w:rPr>
        <w:t>赔</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完全</w:t>
      </w:r>
      <w:r>
        <w:rPr>
          <w:spacing w:val="-3"/>
          <w:sz w:val="21"/>
        </w:rPr>
        <w:t>丧</w:t>
      </w:r>
      <w:r>
        <w:rPr>
          <w:sz w:val="21"/>
        </w:rPr>
        <w:t>失</w:t>
      </w:r>
      <w:r>
        <w:rPr>
          <w:spacing w:val="-3"/>
          <w:sz w:val="21"/>
        </w:rPr>
        <w:t>语</w:t>
      </w:r>
      <w:r>
        <w:rPr>
          <w:sz w:val="21"/>
        </w:rPr>
        <w:t>言</w:t>
      </w:r>
      <w:r>
        <w:rPr>
          <w:spacing w:val="-3"/>
          <w:sz w:val="21"/>
        </w:rPr>
        <w:t>能</w:t>
      </w:r>
      <w:r>
        <w:rPr>
          <w:sz w:val="21"/>
        </w:rPr>
        <w:t>力</w:t>
      </w:r>
      <w:r>
        <w:rPr>
          <w:spacing w:val="-29"/>
          <w:sz w:val="21"/>
        </w:rPr>
        <w:t>，</w:t>
      </w:r>
      <w:r>
        <w:rPr>
          <w:sz w:val="21"/>
        </w:rPr>
        <w:t>经</w:t>
      </w:r>
      <w:r>
        <w:rPr>
          <w:spacing w:val="-3"/>
          <w:sz w:val="21"/>
        </w:rPr>
        <w:t>过</w:t>
      </w:r>
      <w:r>
        <w:rPr>
          <w:sz w:val="21"/>
        </w:rPr>
        <w:t>积极</w:t>
      </w:r>
      <w:r>
        <w:rPr>
          <w:spacing w:val="-3"/>
          <w:sz w:val="21"/>
        </w:rPr>
        <w:t>治</w:t>
      </w:r>
      <w:r>
        <w:rPr>
          <w:sz w:val="21"/>
        </w:rPr>
        <w:t>疗</w:t>
      </w:r>
      <w:r>
        <w:rPr>
          <w:spacing w:val="-3"/>
          <w:sz w:val="21"/>
        </w:rPr>
        <w:t>至</w:t>
      </w:r>
      <w:r>
        <w:rPr>
          <w:sz w:val="21"/>
        </w:rPr>
        <w:t>少</w:t>
      </w:r>
      <w:r>
        <w:rPr>
          <w:spacing w:val="-18"/>
          <w:sz w:val="21"/>
        </w:rPr>
        <w:t> </w:t>
      </w:r>
      <w:r>
        <w:rPr>
          <w:rFonts w:ascii="Times New Roman" w:eastAsia="Times New Roman"/>
          <w:spacing w:val="-3"/>
          <w:sz w:val="21"/>
        </w:rPr>
        <w:t>12</w:t>
      </w:r>
    </w:p>
    <w:p>
      <w:pPr>
        <w:pStyle w:val="BodyText"/>
        <w:spacing w:line="273" w:lineRule="auto" w:before="21"/>
        <w:ind w:left="3898" w:right="104"/>
      </w:pPr>
      <w:r>
        <w:rPr>
          <w:spacing w:val="-21"/>
        </w:rPr>
        <w:t>个月</w:t>
      </w:r>
      <w:r>
        <w:rPr/>
        <w:t>（</w:t>
      </w:r>
      <w:r>
        <w:rPr>
          <w:spacing w:val="-3"/>
        </w:rPr>
        <w:t>声带完全切除不受此时间限制</w:t>
      </w:r>
      <w:r>
        <w:rPr>
          <w:spacing w:val="-74"/>
        </w:rPr>
        <w:t>）</w:t>
      </w:r>
      <w:r>
        <w:rPr>
          <w:spacing w:val="-10"/>
        </w:rPr>
        <w:t>，仍无法通过现有医疗手段恢复。</w:t>
      </w:r>
    </w:p>
    <w:p>
      <w:pPr>
        <w:pStyle w:val="Heading2"/>
        <w:spacing w:before="7"/>
        <w:ind w:left="3898"/>
      </w:pPr>
      <w:r>
        <w:rPr/>
        <w:t>精神心理因素所致的语言能力丧失不在保障范围内。</w:t>
      </w:r>
    </w:p>
    <w:p>
      <w:pPr>
        <w:pStyle w:val="BodyText"/>
        <w:spacing w:line="273" w:lineRule="auto" w:before="36"/>
        <w:ind w:left="3898" w:right="105"/>
      </w:pPr>
      <w:r>
        <w:rPr/>
        <w:t>被保险人申请理赔时年龄必须在三周岁以上，并且提供理赔当时的语言能力丧失诊断及检查证据。</w:t>
      </w:r>
    </w:p>
    <w:p>
      <w:pPr>
        <w:pStyle w:val="ListParagraph"/>
        <w:numPr>
          <w:ilvl w:val="0"/>
          <w:numId w:val="7"/>
        </w:numPr>
        <w:tabs>
          <w:tab w:pos="539" w:val="left" w:leader="none"/>
          <w:tab w:pos="3898" w:val="left" w:leader="none"/>
        </w:tabs>
        <w:spacing w:line="240" w:lineRule="auto" w:before="7" w:after="0"/>
        <w:ind w:left="3898" w:right="0" w:hanging="3781"/>
        <w:jc w:val="left"/>
        <w:rPr>
          <w:sz w:val="21"/>
        </w:rPr>
      </w:pPr>
      <w:r>
        <w:rPr>
          <w:sz w:val="21"/>
        </w:rPr>
        <w:t>重型</w:t>
      </w:r>
      <w:r>
        <w:rPr>
          <w:spacing w:val="-3"/>
          <w:sz w:val="21"/>
        </w:rPr>
        <w:t>再</w:t>
      </w:r>
      <w:r>
        <w:rPr>
          <w:sz w:val="21"/>
        </w:rPr>
        <w:t>生</w:t>
      </w:r>
      <w:r>
        <w:rPr>
          <w:spacing w:val="-3"/>
          <w:sz w:val="21"/>
        </w:rPr>
        <w:t>障</w:t>
      </w:r>
      <w:r>
        <w:rPr>
          <w:sz w:val="21"/>
        </w:rPr>
        <w:t>碍</w:t>
      </w:r>
      <w:r>
        <w:rPr>
          <w:spacing w:val="-3"/>
          <w:sz w:val="21"/>
        </w:rPr>
        <w:t>性</w:t>
      </w:r>
      <w:r>
        <w:rPr>
          <w:sz w:val="21"/>
        </w:rPr>
        <w:t>贫血</w:t>
        <w:tab/>
        <w:t>指因骨髓造血功能慢性</w:t>
      </w:r>
      <w:r>
        <w:rPr>
          <w:spacing w:val="-3"/>
          <w:sz w:val="21"/>
        </w:rPr>
        <w:t>持</w:t>
      </w:r>
      <w:r>
        <w:rPr>
          <w:sz w:val="21"/>
        </w:rPr>
        <w:t>续性衰竭导致的贫血、</w:t>
      </w:r>
      <w:r>
        <w:rPr>
          <w:spacing w:val="-3"/>
          <w:sz w:val="21"/>
        </w:rPr>
        <w:t>中</w:t>
      </w:r>
      <w:r>
        <w:rPr>
          <w:sz w:val="21"/>
        </w:rPr>
        <w:t>性粒细胞减少及</w:t>
      </w:r>
    </w:p>
    <w:p>
      <w:pPr>
        <w:pStyle w:val="BodyText"/>
        <w:spacing w:before="21"/>
        <w:ind w:left="3898"/>
        <w:jc w:val="both"/>
      </w:pPr>
      <w:r>
        <w:rPr/>
        <w:t>血小板减少。须满足下列全部条件：</w:t>
      </w:r>
    </w:p>
    <w:p>
      <w:pPr>
        <w:pStyle w:val="BodyText"/>
        <w:spacing w:before="37"/>
        <w:ind w:left="3898"/>
        <w:jc w:val="both"/>
      </w:pPr>
      <w:r>
        <w:rPr/>
        <w:t>（</w:t>
      </w:r>
      <w:r>
        <w:rPr>
          <w:rFonts w:ascii="Times New Roman" w:eastAsia="Times New Roman"/>
        </w:rPr>
        <w:t>1</w:t>
      </w:r>
      <w:r>
        <w:rPr/>
        <w:t>）骨髓穿刺检查或骨髓活检结果支持诊断；</w:t>
      </w:r>
    </w:p>
    <w:p>
      <w:pPr>
        <w:pStyle w:val="BodyText"/>
        <w:spacing w:before="21"/>
        <w:ind w:left="3898"/>
        <w:jc w:val="both"/>
      </w:pPr>
      <w:r>
        <w:rPr/>
        <w:t>（</w:t>
      </w:r>
      <w:r>
        <w:rPr>
          <w:rFonts w:ascii="Times New Roman" w:eastAsia="Times New Roman"/>
        </w:rPr>
        <w:t>2</w:t>
      </w:r>
      <w:r>
        <w:rPr/>
        <w:t>）外周血象须具备以下三项条件：</w:t>
      </w:r>
    </w:p>
    <w:p>
      <w:pPr>
        <w:pStyle w:val="BodyText"/>
        <w:spacing w:before="21"/>
        <w:ind w:left="4424"/>
      </w:pPr>
      <w:r>
        <w:rPr/>
        <w:t>① 中性粒细胞绝对值≤</w:t>
      </w:r>
      <w:r>
        <w:rPr>
          <w:rFonts w:ascii="Times New Roman" w:hAnsi="Times New Roman" w:eastAsia="Times New Roman"/>
        </w:rPr>
        <w:t>0.5×10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788"/>
        <w:jc w:val="center"/>
      </w:pPr>
      <w:r>
        <w:rPr/>
        <w:t>② 网织红细胞＜</w:t>
      </w:r>
      <w:r>
        <w:rPr>
          <w:rFonts w:ascii="Times New Roman" w:hAnsi="Times New Roman" w:eastAsia="Times New Roman"/>
        </w:rPr>
        <w:t>1%</w:t>
      </w:r>
      <w:r>
        <w:rPr/>
        <w:t>；</w:t>
      </w:r>
    </w:p>
    <w:p>
      <w:pPr>
        <w:pStyle w:val="BodyText"/>
        <w:spacing w:before="20"/>
        <w:ind w:left="4424"/>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7"/>
        </w:numPr>
        <w:tabs>
          <w:tab w:pos="539" w:val="left" w:leader="none"/>
          <w:tab w:pos="3898" w:val="left" w:leader="none"/>
        </w:tabs>
        <w:spacing w:line="264" w:lineRule="auto" w:before="20" w:after="0"/>
        <w:ind w:left="3898" w:right="105" w:hanging="3781"/>
        <w:jc w:val="both"/>
        <w:rPr>
          <w:sz w:val="21"/>
        </w:rPr>
      </w:pPr>
      <w:r>
        <w:rPr>
          <w:sz w:val="21"/>
        </w:rPr>
        <w:t>主动</w:t>
      </w:r>
      <w:r>
        <w:rPr>
          <w:spacing w:val="-3"/>
          <w:sz w:val="21"/>
        </w:rPr>
        <w:t>脉</w:t>
      </w:r>
      <w:r>
        <w:rPr>
          <w:sz w:val="21"/>
        </w:rPr>
        <w:t>手术</w:t>
        <w:tab/>
        <w:t>指为治疗主动脉疾病，</w:t>
      </w:r>
      <w:r>
        <w:rPr>
          <w:spacing w:val="-3"/>
          <w:sz w:val="21"/>
        </w:rPr>
        <w:t>实</w:t>
      </w:r>
      <w:r>
        <w:rPr>
          <w:sz w:val="21"/>
        </w:rPr>
        <w:t>际实施了开胸或开腹进</w:t>
      </w:r>
      <w:r>
        <w:rPr>
          <w:spacing w:val="-3"/>
          <w:sz w:val="21"/>
        </w:rPr>
        <w:t>行</w:t>
      </w:r>
      <w:r>
        <w:rPr>
          <w:sz w:val="21"/>
        </w:rPr>
        <w:t>的切除、置换、 修补病损主动脉血管的</w:t>
      </w:r>
      <w:r>
        <w:rPr>
          <w:spacing w:val="-3"/>
          <w:sz w:val="21"/>
        </w:rPr>
        <w:t>手</w:t>
      </w:r>
      <w:r>
        <w:rPr>
          <w:sz w:val="21"/>
        </w:rPr>
        <w:t>术。主动脉指胸主动脉</w:t>
      </w:r>
      <w:r>
        <w:rPr>
          <w:spacing w:val="-3"/>
          <w:sz w:val="21"/>
        </w:rPr>
        <w:t>和</w:t>
      </w:r>
      <w:r>
        <w:rPr>
          <w:sz w:val="21"/>
        </w:rPr>
        <w:t>腹主动脉，不包括胸</w:t>
      </w:r>
      <w:r>
        <w:rPr>
          <w:spacing w:val="-3"/>
          <w:sz w:val="21"/>
        </w:rPr>
        <w:t>主</w:t>
      </w:r>
      <w:r>
        <w:rPr>
          <w:sz w:val="21"/>
        </w:rPr>
        <w:t>动</w:t>
      </w:r>
      <w:r>
        <w:rPr>
          <w:spacing w:val="-3"/>
          <w:sz w:val="21"/>
        </w:rPr>
        <w:t>脉</w:t>
      </w:r>
      <w:r>
        <w:rPr>
          <w:sz w:val="21"/>
        </w:rPr>
        <w:t>和</w:t>
      </w:r>
      <w:r>
        <w:rPr>
          <w:spacing w:val="-3"/>
          <w:sz w:val="21"/>
        </w:rPr>
        <w:t>腹</w:t>
      </w:r>
      <w:r>
        <w:rPr>
          <w:sz w:val="21"/>
        </w:rPr>
        <w:t>主</w:t>
      </w:r>
      <w:r>
        <w:rPr>
          <w:spacing w:val="-3"/>
          <w:sz w:val="21"/>
        </w:rPr>
        <w:t>动</w:t>
      </w:r>
      <w:r>
        <w:rPr>
          <w:sz w:val="21"/>
        </w:rPr>
        <w:t>脉</w:t>
      </w:r>
      <w:r>
        <w:rPr>
          <w:spacing w:val="-3"/>
          <w:sz w:val="21"/>
        </w:rPr>
        <w:t>的</w:t>
      </w:r>
      <w:r>
        <w:rPr>
          <w:sz w:val="21"/>
        </w:rPr>
        <w:t>分支</w:t>
      </w:r>
      <w:r>
        <w:rPr>
          <w:spacing w:val="-3"/>
          <w:sz w:val="21"/>
        </w:rPr>
        <w:t>血</w:t>
      </w:r>
      <w:r>
        <w:rPr>
          <w:sz w:val="21"/>
        </w:rPr>
        <w:t>管。</w:t>
      </w:r>
    </w:p>
    <w:p>
      <w:pPr>
        <w:spacing w:before="15"/>
        <w:ind w:left="3898" w:right="0" w:firstLine="0"/>
        <w:jc w:val="left"/>
        <w:rPr>
          <w:b/>
          <w:sz w:val="21"/>
        </w:rPr>
      </w:pPr>
      <w:r>
        <w:rPr>
          <w:b/>
          <w:sz w:val="21"/>
        </w:rPr>
        <w:t>动脉内血管成形术不在保障范围内。</w:t>
      </w:r>
    </w:p>
    <w:p>
      <w:pPr>
        <w:pStyle w:val="ListParagraph"/>
        <w:numPr>
          <w:ilvl w:val="0"/>
          <w:numId w:val="7"/>
        </w:numPr>
        <w:tabs>
          <w:tab w:pos="539" w:val="left" w:leader="none"/>
          <w:tab w:pos="3898" w:val="left" w:leader="none"/>
        </w:tabs>
        <w:spacing w:line="240" w:lineRule="auto" w:before="36" w:after="0"/>
        <w:ind w:left="3898" w:right="0" w:hanging="3781"/>
        <w:jc w:val="left"/>
        <w:rPr>
          <w:sz w:val="21"/>
        </w:rPr>
      </w:pPr>
      <w:r>
        <w:rPr>
          <w:sz w:val="21"/>
        </w:rPr>
        <w:t>严重</w:t>
      </w:r>
      <w:r>
        <w:rPr>
          <w:spacing w:val="-3"/>
          <w:sz w:val="21"/>
        </w:rPr>
        <w:t>多</w:t>
      </w:r>
      <w:r>
        <w:rPr>
          <w:sz w:val="21"/>
        </w:rPr>
        <w:t>发</w:t>
      </w:r>
      <w:r>
        <w:rPr>
          <w:spacing w:val="-3"/>
          <w:sz w:val="21"/>
        </w:rPr>
        <w:t>性</w:t>
      </w:r>
      <w:r>
        <w:rPr>
          <w:sz w:val="21"/>
        </w:rPr>
        <w:t>硬化</w:t>
        <w:tab/>
        <w:t>多发性硬化为中枢神经</w:t>
      </w:r>
      <w:r>
        <w:rPr>
          <w:spacing w:val="-3"/>
          <w:sz w:val="21"/>
        </w:rPr>
        <w:t>系</w:t>
      </w:r>
      <w:r>
        <w:rPr>
          <w:sz w:val="21"/>
        </w:rPr>
        <w:t>统白质多灶性脱髓鞘病</w:t>
      </w:r>
      <w:r>
        <w:rPr>
          <w:spacing w:val="-3"/>
          <w:sz w:val="21"/>
        </w:rPr>
        <w:t>变</w:t>
      </w:r>
      <w:r>
        <w:rPr>
          <w:sz w:val="21"/>
        </w:rPr>
        <w:t>，病变有时累及</w:t>
      </w:r>
    </w:p>
    <w:p>
      <w:pPr>
        <w:pStyle w:val="BodyText"/>
        <w:spacing w:line="261" w:lineRule="auto" w:before="20"/>
        <w:ind w:left="3898" w:right="104"/>
        <w:jc w:val="both"/>
      </w:pPr>
      <w:r>
        <w:rPr/>
        <w:t>灰质。多发性硬化须由核磁共振（</w:t>
      </w:r>
      <w:r>
        <w:rPr>
          <w:rFonts w:ascii="Times New Roman" w:eastAsia="Times New Roman"/>
        </w:rPr>
        <w:t>MRI</w:t>
      </w:r>
      <w:r>
        <w:rPr/>
        <w:t>）等影像学检查证实，经三级医院神经科专科医生明确诊断，并且已经造成永久不可逆的神经系统功能损害。永久不可逆神经系统功能损害指被保险人持续 </w:t>
      </w:r>
      <w:r>
        <w:rPr>
          <w:rFonts w:ascii="Times New Roman" w:eastAsia="Times New Roman"/>
        </w:rPr>
        <w:t>180 </w:t>
      </w:r>
      <w:r>
        <w:rPr/>
        <w:t>天无法独立完成下列基本日常生活活动：</w:t>
      </w:r>
    </w:p>
    <w:p>
      <w:pPr>
        <w:pStyle w:val="BodyText"/>
        <w:spacing w:before="18"/>
        <w:ind w:left="3901"/>
      </w:pPr>
      <w:r>
        <w:rPr/>
        <w:t>（</w:t>
      </w:r>
      <w:r>
        <w:rPr>
          <w:rFonts w:ascii="Times New Roman" w:eastAsia="Times New Roman"/>
        </w:rPr>
        <w:t>1</w:t>
      </w:r>
      <w:r>
        <w:rPr/>
        <w:t>）移动：自己从一个房间移动到另一个房间；或者</w:t>
      </w:r>
    </w:p>
    <w:p>
      <w:pPr>
        <w:pStyle w:val="BodyText"/>
        <w:spacing w:before="21"/>
        <w:ind w:left="3901"/>
      </w:pPr>
      <w:r>
        <w:rPr/>
        <w:t>（</w:t>
      </w:r>
      <w:r>
        <w:rPr>
          <w:rFonts w:ascii="Times New Roman" w:eastAsia="Times New Roman"/>
        </w:rPr>
        <w:t>2</w:t>
      </w:r>
      <w:r>
        <w:rPr/>
        <w:t>）进食：自己从已准备好的碗或碟中取食物放入口中。</w:t>
      </w:r>
    </w:p>
    <w:p>
      <w:pPr>
        <w:pStyle w:val="ListParagraph"/>
        <w:numPr>
          <w:ilvl w:val="0"/>
          <w:numId w:val="7"/>
        </w:numPr>
        <w:tabs>
          <w:tab w:pos="539" w:val="left" w:leader="none"/>
          <w:tab w:pos="3898" w:val="left" w:leader="none"/>
        </w:tabs>
        <w:spacing w:line="240" w:lineRule="auto" w:before="21" w:after="0"/>
        <w:ind w:left="3898" w:right="0" w:hanging="3781"/>
        <w:jc w:val="left"/>
        <w:rPr>
          <w:sz w:val="21"/>
        </w:rPr>
      </w:pPr>
      <w:r>
        <w:rPr>
          <w:sz w:val="21"/>
        </w:rPr>
        <w:t>因职</w:t>
      </w:r>
      <w:r>
        <w:rPr>
          <w:spacing w:val="-3"/>
          <w:sz w:val="21"/>
        </w:rPr>
        <w:t>业</w:t>
      </w:r>
      <w:r>
        <w:rPr>
          <w:sz w:val="21"/>
        </w:rPr>
        <w:t>关</w:t>
      </w:r>
      <w:r>
        <w:rPr>
          <w:spacing w:val="-3"/>
          <w:sz w:val="21"/>
        </w:rPr>
        <w:t>系</w:t>
      </w:r>
      <w:r>
        <w:rPr>
          <w:sz w:val="21"/>
        </w:rPr>
        <w:t>导</w:t>
      </w:r>
      <w:r>
        <w:rPr>
          <w:spacing w:val="-3"/>
          <w:sz w:val="21"/>
        </w:rPr>
        <w:t>致</w:t>
      </w:r>
      <w:r>
        <w:rPr>
          <w:sz w:val="21"/>
        </w:rPr>
        <w:t>的</w:t>
      </w:r>
      <w:r>
        <w:rPr>
          <w:spacing w:val="-51"/>
          <w:sz w:val="21"/>
        </w:rPr>
        <w:t> </w:t>
      </w:r>
      <w:r>
        <w:rPr>
          <w:rFonts w:ascii="Times New Roman" w:eastAsia="Times New Roman"/>
          <w:sz w:val="21"/>
        </w:rPr>
        <w:t>HIV</w:t>
      </w:r>
      <w:r>
        <w:rPr>
          <w:rFonts w:ascii="Times New Roman" w:eastAsia="Times New Roman"/>
          <w:spacing w:val="5"/>
          <w:sz w:val="21"/>
        </w:rPr>
        <w:t> </w:t>
      </w:r>
      <w:r>
        <w:rPr>
          <w:spacing w:val="-3"/>
          <w:sz w:val="21"/>
        </w:rPr>
        <w:t>感</w:t>
      </w:r>
      <w:r>
        <w:rPr>
          <w:sz w:val="21"/>
        </w:rPr>
        <w:t>染</w:t>
        <w:tab/>
        <w:t>被保险人在其常规职业</w:t>
      </w:r>
      <w:r>
        <w:rPr>
          <w:spacing w:val="-3"/>
          <w:sz w:val="21"/>
        </w:rPr>
        <w:t>工</w:t>
      </w:r>
      <w:r>
        <w:rPr>
          <w:sz w:val="21"/>
        </w:rPr>
        <w:t>作过程中遭遇外伤，或</w:t>
      </w:r>
      <w:r>
        <w:rPr>
          <w:spacing w:val="-3"/>
          <w:sz w:val="21"/>
        </w:rPr>
        <w:t>者</w:t>
      </w:r>
      <w:r>
        <w:rPr>
          <w:sz w:val="21"/>
        </w:rPr>
        <w:t>职业需要处理血</w:t>
      </w:r>
    </w:p>
    <w:p>
      <w:pPr>
        <w:pStyle w:val="BodyText"/>
        <w:spacing w:line="256" w:lineRule="auto" w:before="21"/>
        <w:ind w:left="3898" w:right="1441"/>
      </w:pPr>
      <w:r>
        <w:rPr>
          <w:spacing w:val="-3"/>
          <w:w w:val="100"/>
        </w:rPr>
        <w:t>液或者其他体液时感染上人类免疫缺陷病毒（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rPr>
        <w:t>理赔必须符合下列所有条件：</w:t>
      </w:r>
    </w:p>
    <w:p>
      <w:pPr>
        <w:pStyle w:val="BodyText"/>
        <w:spacing w:line="256" w:lineRule="auto" w:before="22"/>
        <w:ind w:left="3898" w:right="30"/>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left="3898" w:right="102"/>
        <w:jc w:val="both"/>
      </w:pPr>
      <w:r>
        <w:rPr>
          <w:spacing w:val="-27"/>
        </w:rPr>
        <w:t>（</w:t>
      </w:r>
      <w:r>
        <w:rPr>
          <w:rFonts w:ascii="Times New Roman" w:eastAsia="Times New Roman"/>
          <w:spacing w:val="-27"/>
        </w:rPr>
        <w:t>2</w:t>
      </w:r>
      <w:r>
        <w:rPr>
          <w:spacing w:val="-27"/>
        </w:rPr>
        <w:t>）</w:t>
      </w:r>
      <w:r>
        <w:rPr>
          <w:spacing w:val="-5"/>
        </w:rPr>
        <w:t>必须提供被保险人在所报事故发生后的 </w:t>
      </w:r>
      <w:r>
        <w:rPr>
          <w:rFonts w:ascii="Times New Roman" w:eastAsia="Times New Roman"/>
        </w:rPr>
        <w:t>5 </w:t>
      </w:r>
      <w:r>
        <w:rPr>
          <w:spacing w:val="-3"/>
        </w:rPr>
        <w:t>天以内进行的检查报</w:t>
      </w:r>
      <w:r>
        <w:rPr>
          <w:spacing w:val="-5"/>
        </w:rPr>
        <w:t>告，该报告必须显示被保险人血液 </w:t>
      </w:r>
      <w:r>
        <w:rPr>
          <w:rFonts w:ascii="Times New Roman" w:eastAsia="Times New Roman"/>
        </w:rPr>
        <w:t>HIV </w:t>
      </w:r>
      <w:r>
        <w:rPr>
          <w:spacing w:val="-3"/>
        </w:rPr>
        <w:t>病毒阴性和</w:t>
      </w:r>
      <w:r>
        <w:rPr>
          <w:rFonts w:ascii="Times New Roman" w:eastAsia="Times New Roman"/>
        </w:rPr>
        <w:t>/</w:t>
      </w:r>
      <w:r>
        <w:rPr>
          <w:spacing w:val="-17"/>
        </w:rPr>
        <w:t>或 </w:t>
      </w:r>
      <w:r>
        <w:rPr>
          <w:rFonts w:ascii="Times New Roman" w:eastAsia="Times New Roman"/>
        </w:rPr>
        <w:t>HIV </w:t>
      </w:r>
      <w:r>
        <w:rPr/>
        <w:t>抗体阴性；</w:t>
      </w:r>
    </w:p>
    <w:p>
      <w:pPr>
        <w:pStyle w:val="BodyText"/>
        <w:spacing w:line="259" w:lineRule="auto" w:before="22"/>
        <w:ind w:left="3898" w:right="53"/>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 </w:t>
      </w: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before="2" w:after="25"/>
        <w:ind w:left="3898"/>
        <w:rPr>
          <w:rFonts w:ascii="Times New Roman" w:eastAsia="Times New Roman"/>
        </w:rPr>
      </w:pPr>
      <w:r>
        <w:rPr/>
        <w:t>职业限制如下所示</w:t>
      </w:r>
      <w:r>
        <w:rPr>
          <w:rFonts w:ascii="Times New Roman" w:eastAsia="Times New Roman"/>
        </w:rPr>
        <w:t>:</w:t>
      </w:r>
    </w:p>
    <w:tbl>
      <w:tblPr>
        <w:tblW w:w="0" w:type="auto"/>
        <w:jc w:val="left"/>
        <w:tblInd w:w="3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6"/>
      </w:tblGrid>
      <w:tr>
        <w:trPr>
          <w:trHeight w:val="311" w:hRule="atLeast"/>
        </w:trPr>
        <w:tc>
          <w:tcPr>
            <w:tcW w:w="2727" w:type="dxa"/>
            <w:tcBorders>
              <w:bottom w:val="single" w:sz="6" w:space="0" w:color="000000"/>
              <w:right w:val="single" w:sz="6" w:space="0" w:color="000000"/>
            </w:tcBorders>
          </w:tcPr>
          <w:p>
            <w:pPr>
              <w:pStyle w:val="TableParagraph"/>
              <w:spacing w:line="270" w:lineRule="exact"/>
              <w:ind w:left="69"/>
              <w:rPr>
                <w:sz w:val="21"/>
              </w:rPr>
            </w:pPr>
            <w:r>
              <w:rPr>
                <w:sz w:val="21"/>
              </w:rPr>
              <w:t>医生和牙科医生</w:t>
            </w:r>
          </w:p>
        </w:tc>
        <w:tc>
          <w:tcPr>
            <w:tcW w:w="2836" w:type="dxa"/>
            <w:tcBorders>
              <w:left w:val="single" w:sz="6" w:space="0" w:color="000000"/>
              <w:bottom w:val="single" w:sz="6" w:space="0" w:color="000000"/>
            </w:tcBorders>
          </w:tcPr>
          <w:p>
            <w:pPr>
              <w:pStyle w:val="TableParagraph"/>
              <w:spacing w:line="270" w:lineRule="exact"/>
              <w:ind w:left="64"/>
              <w:rPr>
                <w:sz w:val="21"/>
              </w:rPr>
            </w:pPr>
            <w:r>
              <w:rPr>
                <w:sz w:val="21"/>
              </w:rPr>
              <w:t>护士</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72" w:lineRule="exact"/>
              <w:ind w:left="69"/>
              <w:rPr>
                <w:sz w:val="21"/>
              </w:rPr>
            </w:pPr>
            <w:r>
              <w:rPr>
                <w:sz w:val="21"/>
              </w:rPr>
              <w:t>实验室工作人员</w:t>
            </w:r>
          </w:p>
        </w:tc>
        <w:tc>
          <w:tcPr>
            <w:tcW w:w="2836" w:type="dxa"/>
            <w:tcBorders>
              <w:top w:val="single" w:sz="6" w:space="0" w:color="000000"/>
              <w:left w:val="single" w:sz="6" w:space="0" w:color="000000"/>
              <w:bottom w:val="single" w:sz="6" w:space="0" w:color="000000"/>
            </w:tcBorders>
          </w:tcPr>
          <w:p>
            <w:pPr>
              <w:pStyle w:val="TableParagraph"/>
              <w:spacing w:line="272" w:lineRule="exact"/>
              <w:ind w:left="64"/>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医生助理和牙医助理</w:t>
            </w:r>
          </w:p>
        </w:tc>
        <w:tc>
          <w:tcPr>
            <w:tcW w:w="2836" w:type="dxa"/>
            <w:tcBorders>
              <w:top w:val="single" w:sz="6" w:space="0" w:color="000000"/>
              <w:left w:val="single" w:sz="6" w:space="0" w:color="000000"/>
              <w:bottom w:val="single" w:sz="6" w:space="0" w:color="000000"/>
            </w:tcBorders>
          </w:tcPr>
          <w:p>
            <w:pPr>
              <w:pStyle w:val="TableParagraph"/>
              <w:spacing w:line="270" w:lineRule="exact"/>
              <w:ind w:left="64"/>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助产士</w:t>
            </w:r>
          </w:p>
        </w:tc>
        <w:tc>
          <w:tcPr>
            <w:tcW w:w="2836" w:type="dxa"/>
            <w:tcBorders>
              <w:top w:val="single" w:sz="6" w:space="0" w:color="000000"/>
              <w:left w:val="single" w:sz="6" w:space="0" w:color="000000"/>
              <w:bottom w:val="single" w:sz="6" w:space="0" w:color="000000"/>
            </w:tcBorders>
          </w:tcPr>
          <w:p>
            <w:pPr>
              <w:pStyle w:val="TableParagraph"/>
              <w:spacing w:line="270" w:lineRule="exact"/>
              <w:ind w:left="64"/>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70" w:lineRule="exact"/>
              <w:ind w:left="69"/>
              <w:rPr>
                <w:sz w:val="21"/>
              </w:rPr>
            </w:pPr>
            <w:r>
              <w:rPr>
                <w:sz w:val="21"/>
              </w:rPr>
              <w:t>警察</w:t>
            </w:r>
          </w:p>
        </w:tc>
        <w:tc>
          <w:tcPr>
            <w:tcW w:w="2836" w:type="dxa"/>
            <w:tcBorders>
              <w:top w:val="single" w:sz="6" w:space="0" w:color="000000"/>
              <w:left w:val="single" w:sz="6" w:space="0" w:color="000000"/>
            </w:tcBorders>
          </w:tcPr>
          <w:p>
            <w:pPr>
              <w:pStyle w:val="TableParagraph"/>
              <w:spacing w:line="270" w:lineRule="exact"/>
              <w:ind w:left="64"/>
              <w:rPr>
                <w:sz w:val="21"/>
              </w:rPr>
            </w:pPr>
            <w:r>
              <w:rPr>
                <w:sz w:val="21"/>
              </w:rPr>
              <w:t>狱警</w:t>
            </w:r>
          </w:p>
        </w:tc>
      </w:tr>
    </w:tbl>
    <w:p>
      <w:pPr>
        <w:pStyle w:val="BodyText"/>
        <w:spacing w:line="273" w:lineRule="auto"/>
        <w:ind w:left="3898" w:right="105"/>
      </w:pPr>
      <w:r>
        <w:rPr/>
        <w:t>本附加合同第八条责任免除中“被保险人感染艾滋病病毒或患艾滋病”不适用于本项疾病。</w:t>
      </w:r>
    </w:p>
    <w:p>
      <w:pPr>
        <w:pStyle w:val="ListParagraph"/>
        <w:numPr>
          <w:ilvl w:val="0"/>
          <w:numId w:val="7"/>
        </w:numPr>
        <w:tabs>
          <w:tab w:pos="539" w:val="left" w:leader="none"/>
          <w:tab w:pos="3898" w:val="left" w:leader="none"/>
        </w:tabs>
        <w:spacing w:line="240" w:lineRule="auto" w:before="7" w:after="0"/>
        <w:ind w:left="3898" w:right="0" w:hanging="3781"/>
        <w:jc w:val="left"/>
        <w:rPr>
          <w:sz w:val="21"/>
        </w:rPr>
      </w:pPr>
      <w:r>
        <w:rPr>
          <w:sz w:val="21"/>
        </w:rPr>
        <w:t>特发</w:t>
      </w:r>
      <w:r>
        <w:rPr>
          <w:spacing w:val="-3"/>
          <w:sz w:val="21"/>
        </w:rPr>
        <w:t>性</w:t>
      </w:r>
      <w:r>
        <w:rPr>
          <w:sz w:val="21"/>
        </w:rPr>
        <w:t>慢</w:t>
      </w:r>
      <w:r>
        <w:rPr>
          <w:spacing w:val="-3"/>
          <w:sz w:val="21"/>
        </w:rPr>
        <w:t>性</w:t>
      </w:r>
      <w:r>
        <w:rPr>
          <w:sz w:val="21"/>
        </w:rPr>
        <w:t>肾</w:t>
      </w:r>
      <w:r>
        <w:rPr>
          <w:spacing w:val="-3"/>
          <w:sz w:val="21"/>
        </w:rPr>
        <w:t>上</w:t>
      </w:r>
      <w:r>
        <w:rPr>
          <w:sz w:val="21"/>
        </w:rPr>
        <w:t>腺</w:t>
      </w:r>
      <w:r>
        <w:rPr>
          <w:spacing w:val="-3"/>
          <w:sz w:val="21"/>
        </w:rPr>
        <w:t>皮</w:t>
      </w:r>
      <w:r>
        <w:rPr>
          <w:sz w:val="21"/>
        </w:rPr>
        <w:t>质</w:t>
      </w:r>
      <w:r>
        <w:rPr>
          <w:spacing w:val="-3"/>
          <w:sz w:val="21"/>
        </w:rPr>
        <w:t>功</w:t>
      </w:r>
      <w:r>
        <w:rPr>
          <w:sz w:val="21"/>
        </w:rPr>
        <w:t>能</w:t>
      </w:r>
      <w:r>
        <w:rPr>
          <w:spacing w:val="-3"/>
          <w:sz w:val="21"/>
        </w:rPr>
        <w:t>减</w:t>
      </w:r>
      <w:r>
        <w:rPr>
          <w:sz w:val="21"/>
        </w:rPr>
        <w:t>退</w:t>
        <w:tab/>
        <w:t>指自身免疫性肾上腺炎</w:t>
      </w:r>
      <w:r>
        <w:rPr>
          <w:spacing w:val="-3"/>
          <w:sz w:val="21"/>
        </w:rPr>
        <w:t>（</w:t>
      </w:r>
      <w:r>
        <w:rPr>
          <w:sz w:val="21"/>
        </w:rPr>
        <w:t>既往称：特发性肾上腺</w:t>
      </w:r>
      <w:r>
        <w:rPr>
          <w:spacing w:val="-3"/>
          <w:sz w:val="21"/>
        </w:rPr>
        <w:t>皮</w:t>
      </w:r>
      <w:r>
        <w:rPr>
          <w:sz w:val="21"/>
        </w:rPr>
        <w:t>质萎缩）导致肾</w:t>
      </w:r>
    </w:p>
    <w:p>
      <w:pPr>
        <w:pStyle w:val="BodyText"/>
        <w:spacing w:before="21"/>
        <w:ind w:left="3898"/>
        <w:jc w:val="both"/>
      </w:pPr>
      <w:r>
        <w:rPr/>
        <w:t>上腺萎缩和慢性肾上腺皮质功能减退。必须满足所有以下条件：</w:t>
      </w:r>
    </w:p>
    <w:p>
      <w:pPr>
        <w:spacing w:after="0"/>
        <w:jc w:val="both"/>
        <w:sectPr>
          <w:pgSz w:w="11910" w:h="16160"/>
          <w:pgMar w:header="0" w:footer="631" w:top="1340" w:bottom="820" w:left="960" w:right="8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30"/>
        <w:gridCol w:w="6533"/>
      </w:tblGrid>
      <w:tr>
        <w:trPr>
          <w:trHeight w:val="3072" w:hRule="atLeast"/>
        </w:trPr>
        <w:tc>
          <w:tcPr>
            <w:tcW w:w="542" w:type="dxa"/>
          </w:tcPr>
          <w:p>
            <w:pPr>
              <w:pStyle w:val="TableParagraph"/>
              <w:ind w:left="0"/>
              <w:rPr>
                <w:rFonts w:ascii="Times New Roman"/>
                <w:sz w:val="20"/>
              </w:rPr>
            </w:pPr>
          </w:p>
        </w:tc>
        <w:tc>
          <w:tcPr>
            <w:tcW w:w="3230" w:type="dxa"/>
          </w:tcPr>
          <w:p>
            <w:pPr>
              <w:pStyle w:val="TableParagraph"/>
              <w:ind w:left="0"/>
              <w:rPr>
                <w:rFonts w:ascii="Times New Roman"/>
                <w:sz w:val="20"/>
              </w:rPr>
            </w:pPr>
          </w:p>
        </w:tc>
        <w:tc>
          <w:tcPr>
            <w:tcW w:w="6533" w:type="dxa"/>
          </w:tcPr>
          <w:p>
            <w:pPr>
              <w:pStyle w:val="TableParagraph"/>
              <w:spacing w:line="234" w:lineRule="exact"/>
              <w:ind w:left="261"/>
              <w:rPr>
                <w:sz w:val="21"/>
              </w:rPr>
            </w:pPr>
            <w:r>
              <w:rPr>
                <w:sz w:val="21"/>
              </w:rPr>
              <w:t>（</w:t>
            </w:r>
            <w:r>
              <w:rPr>
                <w:rFonts w:ascii="Times New Roman" w:eastAsia="Times New Roman"/>
                <w:sz w:val="21"/>
              </w:rPr>
              <w:t>1</w:t>
            </w:r>
            <w:r>
              <w:rPr>
                <w:sz w:val="21"/>
              </w:rPr>
              <w:t>）明确诊断，符合所有以下诊断标准；</w:t>
            </w:r>
          </w:p>
          <w:p>
            <w:pPr>
              <w:pStyle w:val="TableParagraph"/>
              <w:spacing w:before="21"/>
              <w:ind w:left="734"/>
              <w:rPr>
                <w:sz w:val="21"/>
              </w:rPr>
            </w:pPr>
            <w:r>
              <w:rPr>
                <w:sz w:val="21"/>
              </w:rPr>
              <w:t>① 血浆促肾上腺皮质激素</w:t>
            </w:r>
            <w:r>
              <w:rPr>
                <w:rFonts w:ascii="Times New Roman" w:hAnsi="Times New Roman" w:eastAsia="Times New Roman"/>
                <w:sz w:val="21"/>
              </w:rPr>
              <w:t>(ACTH)</w:t>
            </w:r>
            <w:r>
              <w:rPr>
                <w:sz w:val="21"/>
              </w:rPr>
              <w:t>水平测定大于 </w:t>
            </w:r>
            <w:r>
              <w:rPr>
                <w:rFonts w:ascii="Times New Roman" w:hAnsi="Times New Roman" w:eastAsia="Times New Roman"/>
                <w:sz w:val="21"/>
              </w:rPr>
              <w:t>100pg/ml</w:t>
            </w:r>
            <w:r>
              <w:rPr>
                <w:sz w:val="21"/>
              </w:rPr>
              <w:t>；</w:t>
            </w:r>
          </w:p>
          <w:p>
            <w:pPr>
              <w:pStyle w:val="TableParagraph"/>
              <w:spacing w:line="264" w:lineRule="auto" w:before="20"/>
              <w:ind w:right="202" w:firstLine="525"/>
              <w:jc w:val="both"/>
              <w:rPr>
                <w:sz w:val="21"/>
              </w:rPr>
            </w:pPr>
            <w:r>
              <w:rPr>
                <w:spacing w:val="-7"/>
                <w:sz w:val="21"/>
              </w:rPr>
              <w:t>② 血浆和尿游离皮质醇及尿 </w:t>
            </w:r>
            <w:r>
              <w:rPr>
                <w:sz w:val="21"/>
              </w:rPr>
              <w:t>17</w:t>
            </w:r>
            <w:r>
              <w:rPr>
                <w:spacing w:val="-9"/>
                <w:sz w:val="21"/>
              </w:rPr>
              <w:t> 羟皮质类固醇、</w:t>
            </w:r>
            <w:r>
              <w:rPr>
                <w:sz w:val="21"/>
              </w:rPr>
              <w:t>17</w:t>
            </w:r>
            <w:r>
              <w:rPr>
                <w:spacing w:val="-12"/>
                <w:sz w:val="21"/>
              </w:rPr>
              <w:t> 酮皮质类</w:t>
            </w:r>
            <w:r>
              <w:rPr>
                <w:spacing w:val="-8"/>
                <w:sz w:val="21"/>
              </w:rPr>
              <w:t>固醇测定、血浆肾素活性、血管紧张素 </w:t>
            </w:r>
            <w:r>
              <w:rPr>
                <w:rFonts w:ascii="Times New Roman" w:hAnsi="Times New Roman" w:eastAsia="Times New Roman"/>
                <w:sz w:val="21"/>
              </w:rPr>
              <w:t>II </w:t>
            </w:r>
            <w:r>
              <w:rPr>
                <w:spacing w:val="-3"/>
                <w:sz w:val="21"/>
              </w:rPr>
              <w:t>和醛固酮测定，显示为原发性肾上腺皮质功能减退症；</w:t>
            </w:r>
          </w:p>
          <w:p>
            <w:pPr>
              <w:pStyle w:val="TableParagraph"/>
              <w:spacing w:line="256" w:lineRule="auto" w:before="15"/>
              <w:ind w:right="349" w:firstLine="525"/>
              <w:rPr>
                <w:sz w:val="21"/>
              </w:rPr>
            </w:pPr>
            <w:r>
              <w:rPr>
                <w:sz w:val="21"/>
              </w:rPr>
              <w:t>③ 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before="22"/>
              <w:ind w:left="261"/>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p>
            <w:pPr>
              <w:pStyle w:val="TableParagraph"/>
              <w:spacing w:line="256" w:lineRule="auto" w:before="21"/>
              <w:ind w:right="151"/>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tc>
      </w:tr>
      <w:tr>
        <w:trPr>
          <w:trHeight w:val="2496" w:hRule="atLeast"/>
        </w:trPr>
        <w:tc>
          <w:tcPr>
            <w:tcW w:w="542" w:type="dxa"/>
          </w:tcPr>
          <w:p>
            <w:pPr>
              <w:pStyle w:val="TableParagraph"/>
              <w:spacing w:before="38"/>
              <w:ind w:left="0" w:right="77"/>
              <w:jc w:val="right"/>
              <w:rPr>
                <w:rFonts w:ascii="Times New Roman"/>
                <w:sz w:val="21"/>
              </w:rPr>
            </w:pPr>
            <w:r>
              <w:rPr>
                <w:rFonts w:ascii="Times New Roman"/>
                <w:sz w:val="21"/>
              </w:rPr>
              <w:t>29.</w:t>
            </w:r>
          </w:p>
        </w:tc>
        <w:tc>
          <w:tcPr>
            <w:tcW w:w="3230" w:type="dxa"/>
          </w:tcPr>
          <w:p>
            <w:pPr>
              <w:pStyle w:val="TableParagraph"/>
              <w:spacing w:line="266" w:lineRule="exact"/>
              <w:ind w:left="78"/>
              <w:rPr>
                <w:sz w:val="21"/>
              </w:rPr>
            </w:pPr>
            <w:r>
              <w:rPr>
                <w:sz w:val="21"/>
              </w:rPr>
              <w:t>严重冠状动脉粥样硬化性心脏病</w:t>
            </w:r>
          </w:p>
        </w:tc>
        <w:tc>
          <w:tcPr>
            <w:tcW w:w="6533" w:type="dxa"/>
          </w:tcPr>
          <w:p>
            <w:pPr>
              <w:pStyle w:val="TableParagraph"/>
              <w:spacing w:line="273" w:lineRule="auto"/>
              <w:ind w:right="201"/>
              <w:rPr>
                <w:sz w:val="21"/>
              </w:rPr>
            </w:pPr>
            <w:r>
              <w:rPr>
                <w:sz w:val="21"/>
              </w:rPr>
              <w:t>指经心脏科专科医师根据冠状动脉造影检查结果确诊为主要血管严重狭窄性病变，须满足下列至少一项条件：</w:t>
            </w:r>
          </w:p>
          <w:p>
            <w:pPr>
              <w:pStyle w:val="TableParagraph"/>
              <w:spacing w:line="256" w:lineRule="auto" w:before="16"/>
              <w:ind w:right="200"/>
              <w:rPr>
                <w:sz w:val="21"/>
              </w:rPr>
            </w:pPr>
            <w:r>
              <w:rPr>
                <w:sz w:val="21"/>
              </w:rPr>
              <w:t>（</w:t>
            </w:r>
            <w:r>
              <w:rPr>
                <w:rFonts w:ascii="Times New Roman" w:eastAsia="Times New Roman"/>
                <w:sz w:val="21"/>
              </w:rPr>
              <w:t>1</w:t>
            </w:r>
            <w:r>
              <w:rPr>
                <w:sz w:val="21"/>
              </w:rPr>
              <w:t>）左冠状动脉主干和右冠状动脉中，一支血管管腔堵塞 </w:t>
            </w:r>
            <w:r>
              <w:rPr>
                <w:rFonts w:ascii="Times New Roman" w:eastAsia="Times New Roman"/>
                <w:sz w:val="21"/>
              </w:rPr>
              <w:t>75</w:t>
            </w:r>
            <w:r>
              <w:rPr>
                <w:sz w:val="21"/>
              </w:rPr>
              <w:t>％以上，另一支血管管腔堵塞 </w:t>
            </w:r>
            <w:r>
              <w:rPr>
                <w:rFonts w:ascii="Times New Roman" w:eastAsia="Times New Roman"/>
                <w:sz w:val="21"/>
              </w:rPr>
              <w:t>60</w:t>
            </w:r>
            <w:r>
              <w:rPr>
                <w:sz w:val="21"/>
              </w:rPr>
              <w:t>％以上；</w:t>
            </w:r>
          </w:p>
          <w:p>
            <w:pPr>
              <w:pStyle w:val="TableParagraph"/>
              <w:spacing w:before="4"/>
              <w:rPr>
                <w:rFonts w:ascii="Times New Roman" w:eastAsia="Times New Roman"/>
                <w:sz w:val="21"/>
              </w:rPr>
            </w:pPr>
            <w:r>
              <w:rPr>
                <w:sz w:val="21"/>
              </w:rPr>
              <w:t>（</w:t>
            </w:r>
            <w:r>
              <w:rPr>
                <w:rFonts w:ascii="Times New Roman" w:eastAsia="Times New Roman"/>
                <w:sz w:val="21"/>
              </w:rPr>
              <w:t>2</w:t>
            </w:r>
            <w:r>
              <w:rPr>
                <w:sz w:val="21"/>
              </w:rPr>
              <w:t>）前降支、回旋支和右冠状动脉中，至少一支血管管腔堵塞 </w:t>
            </w:r>
            <w:r>
              <w:rPr>
                <w:rFonts w:ascii="Times New Roman" w:eastAsia="Times New Roman"/>
                <w:sz w:val="21"/>
              </w:rPr>
              <w:t>75%</w:t>
            </w:r>
          </w:p>
          <w:p>
            <w:pPr>
              <w:pStyle w:val="TableParagraph"/>
              <w:spacing w:before="21"/>
              <w:rPr>
                <w:sz w:val="21"/>
              </w:rPr>
            </w:pPr>
            <w:r>
              <w:rPr>
                <w:sz w:val="21"/>
              </w:rPr>
              <w:t>以上，其他两支血管管腔堵塞 </w:t>
            </w:r>
            <w:r>
              <w:rPr>
                <w:rFonts w:ascii="Times New Roman" w:eastAsia="Times New Roman"/>
                <w:sz w:val="21"/>
              </w:rPr>
              <w:t>60%</w:t>
            </w:r>
            <w:r>
              <w:rPr>
                <w:sz w:val="21"/>
              </w:rPr>
              <w:t>以上。</w:t>
            </w:r>
          </w:p>
          <w:p>
            <w:pPr>
              <w:pStyle w:val="TableParagraph"/>
              <w:spacing w:line="312" w:lineRule="exact" w:before="17"/>
              <w:ind w:right="201"/>
              <w:rPr>
                <w:sz w:val="21"/>
              </w:rPr>
            </w:pPr>
            <w:r>
              <w:rPr>
                <w:sz w:val="21"/>
              </w:rPr>
              <w:t>前降支的分支血管、左旋支的分支血管及右冠状动脉的分支血管的狭窄不作为本保障的衡量指标。</w:t>
            </w:r>
          </w:p>
        </w:tc>
      </w:tr>
      <w:tr>
        <w:trPr>
          <w:trHeight w:val="1872" w:hRule="atLeast"/>
        </w:trPr>
        <w:tc>
          <w:tcPr>
            <w:tcW w:w="542" w:type="dxa"/>
          </w:tcPr>
          <w:p>
            <w:pPr>
              <w:pStyle w:val="TableParagraph"/>
              <w:spacing w:before="38"/>
              <w:ind w:left="0" w:right="77"/>
              <w:jc w:val="right"/>
              <w:rPr>
                <w:rFonts w:ascii="Times New Roman"/>
                <w:sz w:val="21"/>
              </w:rPr>
            </w:pPr>
            <w:r>
              <w:rPr>
                <w:rFonts w:ascii="Times New Roman"/>
                <w:sz w:val="21"/>
              </w:rPr>
              <w:t>30.</w:t>
            </w:r>
          </w:p>
        </w:tc>
        <w:tc>
          <w:tcPr>
            <w:tcW w:w="3230" w:type="dxa"/>
          </w:tcPr>
          <w:p>
            <w:pPr>
              <w:pStyle w:val="TableParagraph"/>
              <w:spacing w:line="266" w:lineRule="exact"/>
              <w:ind w:left="78"/>
              <w:rPr>
                <w:sz w:val="21"/>
              </w:rPr>
            </w:pPr>
            <w:r>
              <w:rPr>
                <w:sz w:val="21"/>
              </w:rPr>
              <w:t>脊髓灰质炎</w:t>
            </w:r>
          </w:p>
        </w:tc>
        <w:tc>
          <w:tcPr>
            <w:tcW w:w="6533" w:type="dxa"/>
          </w:tcPr>
          <w:p>
            <w:pPr>
              <w:pStyle w:val="TableParagraph"/>
              <w:spacing w:line="268" w:lineRule="auto"/>
              <w:ind w:right="198"/>
              <w:jc w:val="both"/>
              <w:rPr>
                <w:sz w:val="21"/>
              </w:rPr>
            </w:pPr>
            <w:r>
              <w:rPr>
                <w:spacing w:val="-2"/>
                <w:sz w:val="21"/>
              </w:rPr>
              <w:t>指由于脊髓灰质炎病毒感染所致的瘫痪性疾病，临床表现为运动功</w:t>
            </w:r>
            <w:r>
              <w:rPr>
                <w:spacing w:val="-3"/>
                <w:sz w:val="21"/>
              </w:rPr>
              <w:t>能损害或呼吸无力。脊髓灰质炎必须明确诊断。本附加合同仅对脊髓灰质炎造成的神经系统功能损害导致被保险人一肢或一肢以上肢体机能永久完全丧失的情况予以理赔。肢体机能永久完全丧失，指</w:t>
            </w:r>
            <w:r>
              <w:rPr>
                <w:spacing w:val="-8"/>
                <w:sz w:val="21"/>
              </w:rPr>
              <w:t>疾病确诊 </w:t>
            </w:r>
            <w:r>
              <w:rPr>
                <w:rFonts w:ascii="Times New Roman" w:eastAsia="Times New Roman"/>
                <w:sz w:val="21"/>
              </w:rPr>
              <w:t>180 </w:t>
            </w:r>
            <w:r>
              <w:rPr>
                <w:spacing w:val="-3"/>
                <w:sz w:val="21"/>
              </w:rPr>
              <w:t>天后，每肢三大关节中的两大关节仍然完全僵硬，或不能随意识活动。</w:t>
            </w:r>
          </w:p>
        </w:tc>
      </w:tr>
      <w:tr>
        <w:trPr>
          <w:trHeight w:val="4368" w:hRule="atLeast"/>
        </w:trPr>
        <w:tc>
          <w:tcPr>
            <w:tcW w:w="542" w:type="dxa"/>
          </w:tcPr>
          <w:p>
            <w:pPr>
              <w:pStyle w:val="TableParagraph"/>
              <w:spacing w:before="38"/>
              <w:ind w:left="0" w:right="77"/>
              <w:jc w:val="right"/>
              <w:rPr>
                <w:rFonts w:ascii="Times New Roman"/>
                <w:sz w:val="21"/>
              </w:rPr>
            </w:pPr>
            <w:r>
              <w:rPr>
                <w:rFonts w:ascii="Times New Roman"/>
                <w:sz w:val="21"/>
              </w:rPr>
              <w:t>31.</w:t>
            </w:r>
          </w:p>
        </w:tc>
        <w:tc>
          <w:tcPr>
            <w:tcW w:w="3230" w:type="dxa"/>
          </w:tcPr>
          <w:p>
            <w:pPr>
              <w:pStyle w:val="TableParagraph"/>
              <w:spacing w:line="266" w:lineRule="exact"/>
              <w:ind w:left="78"/>
              <w:rPr>
                <w:sz w:val="21"/>
              </w:rPr>
            </w:pPr>
            <w:r>
              <w:rPr>
                <w:sz w:val="21"/>
              </w:rPr>
              <w:t>全身性（型）重症肌无力</w:t>
            </w:r>
          </w:p>
        </w:tc>
        <w:tc>
          <w:tcPr>
            <w:tcW w:w="6533" w:type="dxa"/>
          </w:tcPr>
          <w:p>
            <w:pPr>
              <w:pStyle w:val="TableParagraph"/>
              <w:spacing w:line="273" w:lineRule="auto"/>
              <w:ind w:right="201"/>
              <w:jc w:val="both"/>
              <w:rPr>
                <w:sz w:val="21"/>
              </w:rPr>
            </w:pPr>
            <w:r>
              <w:rPr>
                <w:sz w:val="21"/>
              </w:rPr>
              <w:t>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p>
            <w:pPr>
              <w:pStyle w:val="TableParagraph"/>
              <w:spacing w:line="256" w:lineRule="auto" w:before="16"/>
              <w:ind w:right="198"/>
              <w:jc w:val="both"/>
              <w:rPr>
                <w:sz w:val="21"/>
              </w:rPr>
            </w:pPr>
            <w:r>
              <w:rPr>
                <w:spacing w:val="-10"/>
                <w:sz w:val="21"/>
              </w:rPr>
              <w:t>（</w:t>
            </w:r>
            <w:r>
              <w:rPr>
                <w:rFonts w:ascii="Times New Roman" w:eastAsia="Times New Roman"/>
                <w:spacing w:val="-10"/>
                <w:sz w:val="21"/>
              </w:rPr>
              <w:t>1</w:t>
            </w:r>
            <w:r>
              <w:rPr>
                <w:spacing w:val="-10"/>
                <w:sz w:val="21"/>
              </w:rPr>
              <w:t>）</w:t>
            </w:r>
            <w:r>
              <w:rPr>
                <w:spacing w:val="-8"/>
                <w:sz w:val="21"/>
              </w:rPr>
              <w:t>经药物、胸腺手术治疗一年以上无法控制病情，丧失正常工作</w:t>
            </w:r>
            <w:r>
              <w:rPr>
                <w:spacing w:val="-1"/>
                <w:sz w:val="21"/>
              </w:rPr>
              <w:t>能力</w:t>
            </w:r>
            <w:r>
              <w:rPr>
                <w:spacing w:val="-3"/>
                <w:sz w:val="21"/>
              </w:rPr>
              <w:t>（为维持生命必要的日常生活活动，全需他人扶助</w:t>
            </w:r>
            <w:r>
              <w:rPr>
                <w:sz w:val="21"/>
              </w:rPr>
              <w:t>）（</w:t>
            </w:r>
            <w:r>
              <w:rPr>
                <w:spacing w:val="-3"/>
                <w:sz w:val="21"/>
              </w:rPr>
              <w:t>注</w:t>
            </w:r>
            <w:r>
              <w:rPr>
                <w:sz w:val="21"/>
              </w:rPr>
              <w:t>）；</w:t>
            </w:r>
          </w:p>
          <w:p>
            <w:pPr>
              <w:pStyle w:val="TableParagraph"/>
              <w:spacing w:line="264" w:lineRule="auto" w:before="22"/>
              <w:ind w:right="201"/>
              <w:jc w:val="both"/>
              <w:rPr>
                <w:sz w:val="21"/>
              </w:rPr>
            </w:pPr>
            <w:r>
              <w:rPr>
                <w:spacing w:val="-10"/>
                <w:sz w:val="21"/>
              </w:rPr>
              <w:t>（</w:t>
            </w:r>
            <w:r>
              <w:rPr>
                <w:rFonts w:ascii="Times New Roman" w:eastAsia="Times New Roman"/>
                <w:spacing w:val="-10"/>
                <w:sz w:val="21"/>
              </w:rPr>
              <w:t>2</w:t>
            </w:r>
            <w:r>
              <w:rPr>
                <w:spacing w:val="-10"/>
                <w:sz w:val="21"/>
              </w:rPr>
              <w:t>）</w:t>
            </w:r>
            <w:r>
              <w:rPr>
                <w:spacing w:val="-7"/>
                <w:sz w:val="21"/>
              </w:rPr>
              <w:t>出现因延髓肌受累引起的构音困难、进食呛咳；或由于肌无力累及延髓肌、呼吸肌而致机体呼吸功能不正常的危急状态即肌无力危象；</w:t>
            </w:r>
          </w:p>
          <w:p>
            <w:pPr>
              <w:pStyle w:val="TableParagraph"/>
              <w:spacing w:line="256" w:lineRule="auto" w:before="17"/>
              <w:ind w:right="198"/>
              <w:jc w:val="both"/>
              <w:rPr>
                <w:sz w:val="21"/>
              </w:rPr>
            </w:pPr>
            <w:r>
              <w:rPr>
                <w:spacing w:val="-10"/>
                <w:sz w:val="21"/>
              </w:rPr>
              <w:t>（</w:t>
            </w:r>
            <w:r>
              <w:rPr>
                <w:rFonts w:ascii="Times New Roman" w:eastAsia="Times New Roman"/>
                <w:spacing w:val="-10"/>
                <w:sz w:val="21"/>
              </w:rPr>
              <w:t>3</w:t>
            </w:r>
            <w:r>
              <w:rPr>
                <w:spacing w:val="-10"/>
                <w:sz w:val="21"/>
              </w:rPr>
              <w:t>）</w:t>
            </w:r>
            <w:r>
              <w:rPr>
                <w:spacing w:val="-9"/>
                <w:sz w:val="21"/>
              </w:rPr>
              <w:t>症状缓解、复发及恶化交替出现，临床接受新斯的明等抗胆碱</w:t>
            </w:r>
            <w:r>
              <w:rPr>
                <w:spacing w:val="-5"/>
                <w:sz w:val="21"/>
              </w:rPr>
              <w:t>酯酶药物治疗的病史。</w:t>
            </w:r>
          </w:p>
          <w:p>
            <w:pPr>
              <w:pStyle w:val="TableParagraph"/>
              <w:spacing w:line="312" w:lineRule="exact" w:before="18"/>
              <w:ind w:right="201"/>
              <w:rPr>
                <w:sz w:val="21"/>
              </w:rPr>
            </w:pPr>
            <w:r>
              <w:rPr>
                <w:spacing w:val="-10"/>
                <w:sz w:val="21"/>
              </w:rPr>
              <w:t>注：为维持生命必要的日常生活活动，全需他人扶助系指食物摄取大小便始末、穿脱衣服、起居、步行、入浴等，皆不能自己为之， </w:t>
            </w:r>
            <w:r>
              <w:rPr>
                <w:spacing w:val="-5"/>
                <w:sz w:val="21"/>
              </w:rPr>
              <w:t>需要他人帮助。</w:t>
            </w:r>
          </w:p>
        </w:tc>
      </w:tr>
      <w:tr>
        <w:trPr>
          <w:trHeight w:val="1247" w:hRule="atLeast"/>
        </w:trPr>
        <w:tc>
          <w:tcPr>
            <w:tcW w:w="542" w:type="dxa"/>
          </w:tcPr>
          <w:p>
            <w:pPr>
              <w:pStyle w:val="TableParagraph"/>
              <w:spacing w:before="38"/>
              <w:ind w:left="0" w:right="77"/>
              <w:jc w:val="right"/>
              <w:rPr>
                <w:rFonts w:ascii="Times New Roman"/>
                <w:sz w:val="21"/>
              </w:rPr>
            </w:pPr>
            <w:r>
              <w:rPr>
                <w:rFonts w:ascii="Times New Roman"/>
                <w:sz w:val="21"/>
              </w:rPr>
              <w:t>32.</w:t>
            </w:r>
          </w:p>
        </w:tc>
        <w:tc>
          <w:tcPr>
            <w:tcW w:w="3230" w:type="dxa"/>
          </w:tcPr>
          <w:p>
            <w:pPr>
              <w:pStyle w:val="TableParagraph"/>
              <w:spacing w:line="266" w:lineRule="exact"/>
              <w:ind w:left="78"/>
              <w:rPr>
                <w:sz w:val="21"/>
              </w:rPr>
            </w:pPr>
            <w:r>
              <w:rPr>
                <w:sz w:val="21"/>
              </w:rPr>
              <w:t>严重心肌病</w:t>
            </w:r>
          </w:p>
        </w:tc>
        <w:tc>
          <w:tcPr>
            <w:tcW w:w="6533" w:type="dxa"/>
          </w:tcPr>
          <w:p>
            <w:pPr>
              <w:pStyle w:val="TableParagraph"/>
              <w:spacing w:line="266" w:lineRule="auto"/>
              <w:ind w:right="200"/>
              <w:jc w:val="both"/>
              <w:rPr>
                <w:sz w:val="21"/>
              </w:rPr>
            </w:pPr>
            <w:r>
              <w:rPr>
                <w:spacing w:val="-2"/>
                <w:sz w:val="21"/>
              </w:rPr>
              <w:t>指被保人因心肌病导致慢性心功能损害造成永久不可逆性的心功能</w:t>
            </w:r>
            <w:r>
              <w:rPr>
                <w:spacing w:val="-3"/>
                <w:sz w:val="21"/>
              </w:rPr>
              <w:t>衰竭。心功能衰竭程度达到纽约心脏病学会的心功能分级标准之心</w:t>
            </w:r>
            <w:r>
              <w:rPr>
                <w:spacing w:val="-18"/>
                <w:sz w:val="21"/>
              </w:rPr>
              <w:t>功能 </w:t>
            </w:r>
            <w:r>
              <w:rPr>
                <w:rFonts w:ascii="Times New Roman" w:eastAsia="Times New Roman"/>
                <w:sz w:val="21"/>
              </w:rPr>
              <w:t>IV </w:t>
            </w:r>
            <w:r>
              <w:rPr>
                <w:spacing w:val="-11"/>
                <w:sz w:val="21"/>
              </w:rPr>
              <w:t>级，且心功能衰竭状态持续至少 </w:t>
            </w:r>
            <w:r>
              <w:rPr>
                <w:rFonts w:ascii="Times New Roman" w:eastAsia="Times New Roman"/>
                <w:sz w:val="21"/>
              </w:rPr>
              <w:t>180 </w:t>
            </w:r>
            <w:r>
              <w:rPr>
                <w:spacing w:val="-9"/>
                <w:sz w:val="21"/>
              </w:rPr>
              <w:t>天。被保险人永久不可</w:t>
            </w:r>
            <w:r>
              <w:rPr>
                <w:spacing w:val="-5"/>
                <w:sz w:val="21"/>
              </w:rPr>
              <w:t>逆性的体力活动能力受限，不能从事任何体力活动。</w:t>
            </w:r>
          </w:p>
        </w:tc>
      </w:tr>
      <w:tr>
        <w:trPr>
          <w:trHeight w:val="578" w:hRule="atLeast"/>
        </w:trPr>
        <w:tc>
          <w:tcPr>
            <w:tcW w:w="542" w:type="dxa"/>
          </w:tcPr>
          <w:p>
            <w:pPr>
              <w:pStyle w:val="TableParagraph"/>
              <w:spacing w:before="38"/>
              <w:ind w:left="0" w:right="77"/>
              <w:jc w:val="right"/>
              <w:rPr>
                <w:rFonts w:ascii="Times New Roman"/>
                <w:sz w:val="21"/>
              </w:rPr>
            </w:pPr>
            <w:r>
              <w:rPr>
                <w:rFonts w:ascii="Times New Roman"/>
                <w:sz w:val="21"/>
              </w:rPr>
              <w:t>33.</w:t>
            </w:r>
          </w:p>
        </w:tc>
        <w:tc>
          <w:tcPr>
            <w:tcW w:w="3230" w:type="dxa"/>
          </w:tcPr>
          <w:p>
            <w:pPr>
              <w:pStyle w:val="TableParagraph"/>
              <w:spacing w:line="282" w:lineRule="exact"/>
              <w:ind w:left="78"/>
              <w:rPr>
                <w:sz w:val="21"/>
              </w:rPr>
            </w:pPr>
            <w:r>
              <w:rPr>
                <w:sz w:val="21"/>
              </w:rPr>
              <w:t>严重克罗恩病（</w:t>
            </w:r>
            <w:r>
              <w:rPr>
                <w:rFonts w:ascii="Times New Roman" w:hAnsi="Times New Roman" w:eastAsia="Times New Roman"/>
                <w:sz w:val="21"/>
              </w:rPr>
              <w:t>Crohn’s </w:t>
            </w:r>
            <w:r>
              <w:rPr>
                <w:sz w:val="21"/>
              </w:rPr>
              <w:t>病）</w:t>
            </w:r>
          </w:p>
        </w:tc>
        <w:tc>
          <w:tcPr>
            <w:tcW w:w="6533" w:type="dxa"/>
          </w:tcPr>
          <w:p>
            <w:pPr>
              <w:pStyle w:val="TableParagraph"/>
              <w:spacing w:line="266" w:lineRule="exact"/>
              <w:rPr>
                <w:sz w:val="21"/>
              </w:rPr>
            </w:pPr>
            <w:r>
              <w:rPr>
                <w:sz w:val="21"/>
              </w:rPr>
              <w:t>克罗恩病是一种慢性肉芽肿性肠炎，具有特征性的克罗恩病病理组</w:t>
            </w:r>
          </w:p>
          <w:p>
            <w:pPr>
              <w:pStyle w:val="TableParagraph"/>
              <w:spacing w:line="255" w:lineRule="exact" w:before="37"/>
              <w:rPr>
                <w:sz w:val="21"/>
              </w:rPr>
            </w:pPr>
            <w:r>
              <w:rPr>
                <w:sz w:val="21"/>
              </w:rPr>
              <w:t>织学变化。诊断必须由病理检查结果证实。被保险人所患的克罗恩</w:t>
            </w:r>
          </w:p>
        </w:tc>
      </w:tr>
    </w:tbl>
    <w:p>
      <w:pPr>
        <w:spacing w:after="0" w:line="255" w:lineRule="exact"/>
        <w:rPr>
          <w:sz w:val="21"/>
        </w:rPr>
        <w:sectPr>
          <w:pgSz w:w="11910" w:h="16160"/>
          <w:pgMar w:header="0" w:footer="631" w:top="1420" w:bottom="820" w:left="760" w:right="620"/>
        </w:sectPr>
      </w:pPr>
    </w:p>
    <w:p>
      <w:pPr>
        <w:pStyle w:val="BodyText"/>
        <w:spacing w:before="7"/>
        <w:ind w:left="3898"/>
      </w:pPr>
      <w:r>
        <w:rPr/>
        <w:t>病必须已经造成瘘管形成并伴有肠梗阻或肠穿孔。</w:t>
      </w:r>
    </w:p>
    <w:p>
      <w:pPr>
        <w:pStyle w:val="ListParagraph"/>
        <w:numPr>
          <w:ilvl w:val="0"/>
          <w:numId w:val="8"/>
        </w:numPr>
        <w:tabs>
          <w:tab w:pos="539" w:val="left" w:leader="none"/>
          <w:tab w:pos="3898" w:val="left" w:leader="none"/>
        </w:tabs>
        <w:spacing w:line="240" w:lineRule="auto" w:before="49" w:after="0"/>
        <w:ind w:left="3898" w:right="0" w:hanging="3781"/>
        <w:jc w:val="left"/>
        <w:rPr>
          <w:sz w:val="21"/>
        </w:rPr>
      </w:pPr>
      <w:r>
        <w:rPr>
          <w:sz w:val="21"/>
        </w:rPr>
        <w:t>严重</w:t>
      </w:r>
      <w:r>
        <w:rPr>
          <w:spacing w:val="-3"/>
          <w:sz w:val="21"/>
        </w:rPr>
        <w:t>溃</w:t>
      </w:r>
      <w:r>
        <w:rPr>
          <w:sz w:val="21"/>
        </w:rPr>
        <w:t>疡</w:t>
      </w:r>
      <w:r>
        <w:rPr>
          <w:spacing w:val="-3"/>
          <w:sz w:val="21"/>
        </w:rPr>
        <w:t>性</w:t>
      </w:r>
      <w:r>
        <w:rPr>
          <w:sz w:val="21"/>
        </w:rPr>
        <w:t>结</w:t>
      </w:r>
      <w:r>
        <w:rPr>
          <w:spacing w:val="-3"/>
          <w:sz w:val="21"/>
        </w:rPr>
        <w:t>肠</w:t>
      </w:r>
      <w:r>
        <w:rPr>
          <w:sz w:val="21"/>
        </w:rPr>
        <w:t>炎</w:t>
        <w:tab/>
        <w:t>本附加合同所保障的溃</w:t>
      </w:r>
      <w:r>
        <w:rPr>
          <w:spacing w:val="-3"/>
          <w:sz w:val="21"/>
        </w:rPr>
        <w:t>疡</w:t>
      </w:r>
      <w:r>
        <w:rPr>
          <w:sz w:val="21"/>
        </w:rPr>
        <w:t>性结肠炎是指伴有致命</w:t>
      </w:r>
      <w:r>
        <w:rPr>
          <w:spacing w:val="-3"/>
          <w:sz w:val="21"/>
        </w:rPr>
        <w:t>性</w:t>
      </w:r>
      <w:r>
        <w:rPr>
          <w:sz w:val="21"/>
        </w:rPr>
        <w:t>电解质紊乱的急</w:t>
      </w:r>
    </w:p>
    <w:p>
      <w:pPr>
        <w:pStyle w:val="BodyText"/>
        <w:spacing w:line="273" w:lineRule="auto" w:before="21"/>
        <w:ind w:left="3898" w:right="105"/>
        <w:jc w:val="both"/>
      </w:pPr>
      <w:r>
        <w:rPr/>
        <w:t>性暴发性溃疡性结肠炎，病变累及全结肠，表现为严重的血便和系统性症状体征。溃疡性结肠炎必须根据组织病理学特点诊断，并且被保险人已经接受了结肠切除和</w:t>
      </w:r>
      <w:r>
        <w:rPr>
          <w:rFonts w:ascii="Times New Roman" w:eastAsia="Times New Roman"/>
        </w:rPr>
        <w:t>/</w:t>
      </w:r>
      <w:r>
        <w:rPr/>
        <w:t>或回肠造瘘术。</w:t>
      </w:r>
    </w:p>
    <w:p>
      <w:pPr>
        <w:pStyle w:val="ListParagraph"/>
        <w:numPr>
          <w:ilvl w:val="0"/>
          <w:numId w:val="8"/>
        </w:numPr>
        <w:tabs>
          <w:tab w:pos="539" w:val="left" w:leader="none"/>
          <w:tab w:pos="3898" w:val="left" w:leader="none"/>
        </w:tabs>
        <w:spacing w:line="264" w:lineRule="auto" w:before="0" w:after="0"/>
        <w:ind w:left="3898" w:right="104" w:hanging="3781"/>
        <w:jc w:val="both"/>
        <w:rPr>
          <w:sz w:val="21"/>
        </w:rPr>
      </w:pPr>
      <w:r>
        <w:rPr>
          <w:sz w:val="21"/>
        </w:rPr>
        <w:t>植物</w:t>
      </w:r>
      <w:r>
        <w:rPr>
          <w:spacing w:val="-3"/>
          <w:sz w:val="21"/>
        </w:rPr>
        <w:t>人</w:t>
      </w:r>
      <w:r>
        <w:rPr>
          <w:sz w:val="21"/>
        </w:rPr>
        <w:t>状态</w:t>
        <w:tab/>
      </w:r>
      <w:r>
        <w:rPr>
          <w:spacing w:val="2"/>
          <w:sz w:val="21"/>
        </w:rPr>
        <w:t>植物</w:t>
      </w:r>
      <w:r>
        <w:rPr>
          <w:spacing w:val="5"/>
          <w:sz w:val="21"/>
        </w:rPr>
        <w:t>人</w:t>
      </w:r>
      <w:r>
        <w:rPr>
          <w:spacing w:val="2"/>
          <w:sz w:val="21"/>
        </w:rPr>
        <w:t>状态</w:t>
      </w:r>
      <w:r>
        <w:rPr>
          <w:spacing w:val="5"/>
          <w:sz w:val="21"/>
        </w:rPr>
        <w:t>是</w:t>
      </w:r>
      <w:r>
        <w:rPr>
          <w:spacing w:val="2"/>
          <w:sz w:val="21"/>
        </w:rPr>
        <w:t>指由</w:t>
      </w:r>
      <w:r>
        <w:rPr>
          <w:spacing w:val="5"/>
          <w:sz w:val="21"/>
        </w:rPr>
        <w:t>于</w:t>
      </w:r>
      <w:r>
        <w:rPr>
          <w:spacing w:val="2"/>
          <w:sz w:val="21"/>
        </w:rPr>
        <w:t>严重颅脑</w:t>
      </w:r>
      <w:r>
        <w:rPr>
          <w:spacing w:val="5"/>
          <w:sz w:val="21"/>
        </w:rPr>
        <w:t>外</w:t>
      </w:r>
      <w:r>
        <w:rPr>
          <w:spacing w:val="2"/>
          <w:sz w:val="21"/>
        </w:rPr>
        <w:t>伤造成大脑</w:t>
      </w:r>
      <w:r>
        <w:rPr>
          <w:spacing w:val="7"/>
          <w:sz w:val="21"/>
        </w:rPr>
        <w:t>和</w:t>
      </w:r>
      <w:r>
        <w:rPr>
          <w:rFonts w:ascii="Times New Roman" w:eastAsia="Times New Roman"/>
          <w:spacing w:val="5"/>
          <w:sz w:val="21"/>
        </w:rPr>
        <w:t>/</w:t>
      </w:r>
      <w:r>
        <w:rPr>
          <w:spacing w:val="2"/>
          <w:sz w:val="21"/>
        </w:rPr>
        <w:t>或脑干严</w:t>
      </w:r>
      <w:r>
        <w:rPr>
          <w:spacing w:val="5"/>
          <w:sz w:val="21"/>
        </w:rPr>
        <w:t>重</w:t>
      </w:r>
      <w:r>
        <w:rPr>
          <w:spacing w:val="2"/>
          <w:sz w:val="21"/>
        </w:rPr>
        <w:t>损害</w:t>
      </w:r>
      <w:r>
        <w:rPr>
          <w:sz w:val="21"/>
        </w:rPr>
        <w:t>导 </w:t>
      </w:r>
      <w:r>
        <w:rPr>
          <w:spacing w:val="5"/>
          <w:sz w:val="21"/>
        </w:rPr>
        <w:t>致完</w:t>
      </w:r>
      <w:r>
        <w:rPr>
          <w:spacing w:val="7"/>
          <w:sz w:val="21"/>
        </w:rPr>
        <w:t>全</w:t>
      </w:r>
      <w:r>
        <w:rPr>
          <w:spacing w:val="5"/>
          <w:sz w:val="21"/>
        </w:rPr>
        <w:t>永久性的对</w:t>
      </w:r>
      <w:r>
        <w:rPr>
          <w:spacing w:val="7"/>
          <w:sz w:val="21"/>
        </w:rPr>
        <w:t>自</w:t>
      </w:r>
      <w:r>
        <w:rPr>
          <w:spacing w:val="5"/>
          <w:sz w:val="21"/>
        </w:rPr>
        <w:t>身和环境</w:t>
      </w:r>
      <w:r>
        <w:rPr>
          <w:spacing w:val="7"/>
          <w:sz w:val="21"/>
        </w:rPr>
        <w:t>的</w:t>
      </w:r>
      <w:r>
        <w:rPr>
          <w:spacing w:val="5"/>
          <w:sz w:val="21"/>
        </w:rPr>
        <w:t>意识丧失和</w:t>
      </w:r>
      <w:r>
        <w:rPr>
          <w:spacing w:val="7"/>
          <w:sz w:val="21"/>
        </w:rPr>
        <w:t>中</w:t>
      </w:r>
      <w:r>
        <w:rPr>
          <w:spacing w:val="5"/>
          <w:sz w:val="21"/>
        </w:rPr>
        <w:t>枢神经系</w:t>
      </w:r>
      <w:r>
        <w:rPr>
          <w:spacing w:val="7"/>
          <w:sz w:val="21"/>
        </w:rPr>
        <w:t>统</w:t>
      </w:r>
      <w:r>
        <w:rPr>
          <w:spacing w:val="5"/>
          <w:sz w:val="21"/>
        </w:rPr>
        <w:t>功能</w:t>
      </w:r>
      <w:r>
        <w:rPr>
          <w:sz w:val="21"/>
        </w:rPr>
        <w:t>丧失，仅残存植物神经功</w:t>
      </w:r>
      <w:r>
        <w:rPr>
          <w:spacing w:val="-3"/>
          <w:sz w:val="21"/>
        </w:rPr>
        <w:t>能</w:t>
      </w:r>
      <w:r>
        <w:rPr>
          <w:sz w:val="21"/>
        </w:rPr>
        <w:t>的疾病状态。对自身和</w:t>
      </w:r>
      <w:r>
        <w:rPr>
          <w:spacing w:val="-3"/>
          <w:sz w:val="21"/>
        </w:rPr>
        <w:t>环</w:t>
      </w:r>
      <w:r>
        <w:rPr>
          <w:sz w:val="21"/>
        </w:rPr>
        <w:t>境的意识丧失的完全永久性指严重颅脑</w:t>
      </w:r>
      <w:r>
        <w:rPr>
          <w:spacing w:val="-3"/>
          <w:sz w:val="21"/>
        </w:rPr>
        <w:t>外</w:t>
      </w:r>
      <w:r>
        <w:rPr>
          <w:sz w:val="21"/>
        </w:rPr>
        <w:t>伤后对自身和环境的意</w:t>
      </w:r>
      <w:r>
        <w:rPr>
          <w:spacing w:val="-3"/>
          <w:sz w:val="21"/>
        </w:rPr>
        <w:t>识</w:t>
      </w:r>
      <w:r>
        <w:rPr>
          <w:sz w:val="21"/>
        </w:rPr>
        <w:t>丧失持续</w:t>
      </w:r>
      <w:r>
        <w:rPr>
          <w:rFonts w:ascii="Times New Roman" w:eastAsia="Times New Roman"/>
          <w:sz w:val="21"/>
        </w:rPr>
        <w:t>12</w:t>
      </w:r>
      <w:r>
        <w:rPr>
          <w:sz w:val="21"/>
        </w:rPr>
        <w:t>个月以上</w:t>
      </w:r>
      <w:r>
        <w:rPr>
          <w:spacing w:val="-3"/>
          <w:sz w:val="21"/>
        </w:rPr>
        <w:t>。</w:t>
      </w:r>
      <w:r>
        <w:rPr>
          <w:sz w:val="21"/>
        </w:rPr>
        <w:t>诊</w:t>
      </w:r>
      <w:r>
        <w:rPr>
          <w:spacing w:val="-3"/>
          <w:sz w:val="21"/>
        </w:rPr>
        <w:t>断</w:t>
      </w:r>
      <w:r>
        <w:rPr>
          <w:sz w:val="21"/>
        </w:rPr>
        <w:t>必</w:t>
      </w:r>
      <w:r>
        <w:rPr>
          <w:spacing w:val="-3"/>
          <w:sz w:val="21"/>
        </w:rPr>
        <w:t>须</w:t>
      </w:r>
      <w:r>
        <w:rPr>
          <w:sz w:val="21"/>
        </w:rPr>
        <w:t>明</w:t>
      </w:r>
      <w:r>
        <w:rPr>
          <w:spacing w:val="-3"/>
          <w:sz w:val="21"/>
        </w:rPr>
        <w:t>确</w:t>
      </w:r>
      <w:r>
        <w:rPr>
          <w:sz w:val="21"/>
        </w:rPr>
        <w:t>并</w:t>
      </w:r>
      <w:r>
        <w:rPr>
          <w:spacing w:val="-3"/>
          <w:sz w:val="21"/>
        </w:rPr>
        <w:t>且</w:t>
      </w:r>
      <w:r>
        <w:rPr>
          <w:sz w:val="21"/>
        </w:rPr>
        <w:t>具有</w:t>
      </w:r>
      <w:r>
        <w:rPr>
          <w:spacing w:val="-3"/>
          <w:sz w:val="21"/>
        </w:rPr>
        <w:t>严</w:t>
      </w:r>
      <w:r>
        <w:rPr>
          <w:sz w:val="21"/>
        </w:rPr>
        <w:t>重</w:t>
      </w:r>
      <w:r>
        <w:rPr>
          <w:spacing w:val="-3"/>
          <w:sz w:val="21"/>
        </w:rPr>
        <w:t>颅</w:t>
      </w:r>
      <w:r>
        <w:rPr>
          <w:sz w:val="21"/>
        </w:rPr>
        <w:t>脑</w:t>
      </w:r>
      <w:r>
        <w:rPr>
          <w:spacing w:val="-3"/>
          <w:sz w:val="21"/>
        </w:rPr>
        <w:t>外</w:t>
      </w:r>
      <w:r>
        <w:rPr>
          <w:sz w:val="21"/>
        </w:rPr>
        <w:t>伤</w:t>
      </w:r>
      <w:r>
        <w:rPr>
          <w:spacing w:val="-3"/>
          <w:sz w:val="21"/>
        </w:rPr>
        <w:t>和</w:t>
      </w:r>
      <w:r>
        <w:rPr>
          <w:sz w:val="21"/>
        </w:rPr>
        <w:t>脑</w:t>
      </w:r>
      <w:r>
        <w:rPr>
          <w:spacing w:val="-3"/>
          <w:sz w:val="21"/>
        </w:rPr>
        <w:t>损</w:t>
      </w:r>
      <w:r>
        <w:rPr>
          <w:sz w:val="21"/>
        </w:rPr>
        <w:t>害的</w:t>
      </w:r>
      <w:r>
        <w:rPr>
          <w:spacing w:val="-3"/>
          <w:sz w:val="21"/>
        </w:rPr>
        <w:t>证</w:t>
      </w:r>
      <w:r>
        <w:rPr>
          <w:sz w:val="21"/>
        </w:rPr>
        <w:t>据。</w:t>
      </w:r>
    </w:p>
    <w:p>
      <w:pPr>
        <w:pStyle w:val="ListParagraph"/>
        <w:numPr>
          <w:ilvl w:val="0"/>
          <w:numId w:val="8"/>
        </w:numPr>
        <w:tabs>
          <w:tab w:pos="539" w:val="left" w:leader="none"/>
          <w:tab w:pos="3898" w:val="left" w:leader="none"/>
        </w:tabs>
        <w:spacing w:line="240" w:lineRule="auto" w:before="27" w:after="0"/>
        <w:ind w:left="3898" w:right="0" w:hanging="3781"/>
        <w:jc w:val="left"/>
        <w:rPr>
          <w:sz w:val="21"/>
        </w:rPr>
      </w:pPr>
      <w:r>
        <w:rPr>
          <w:sz w:val="21"/>
        </w:rPr>
        <w:t>严重</w:t>
      </w:r>
      <w:r>
        <w:rPr>
          <w:spacing w:val="-50"/>
          <w:sz w:val="21"/>
        </w:rPr>
        <w:t> </w:t>
      </w:r>
      <w:r>
        <w:rPr>
          <w:rFonts w:ascii="Times New Roman" w:eastAsia="Times New Roman"/>
          <w:sz w:val="21"/>
        </w:rPr>
        <w:t>1 </w:t>
      </w:r>
      <w:r>
        <w:rPr>
          <w:sz w:val="21"/>
        </w:rPr>
        <w:t>型</w:t>
      </w:r>
      <w:r>
        <w:rPr>
          <w:spacing w:val="-3"/>
          <w:sz w:val="21"/>
        </w:rPr>
        <w:t>糖</w:t>
      </w:r>
      <w:r>
        <w:rPr>
          <w:sz w:val="21"/>
        </w:rPr>
        <w:t>尿病</w:t>
        <w:tab/>
        <w:t>指由于胰岛素分泌绝对</w:t>
      </w:r>
      <w:r>
        <w:rPr>
          <w:spacing w:val="-3"/>
          <w:sz w:val="21"/>
        </w:rPr>
        <w:t>不</w:t>
      </w:r>
      <w:r>
        <w:rPr>
          <w:sz w:val="21"/>
        </w:rPr>
        <w:t>足引起的慢性血糖升高</w:t>
      </w:r>
      <w:r>
        <w:rPr>
          <w:spacing w:val="-3"/>
          <w:sz w:val="21"/>
        </w:rPr>
        <w:t>，</w:t>
      </w:r>
      <w:r>
        <w:rPr>
          <w:sz w:val="21"/>
        </w:rPr>
        <w:t>且已经持续性地</w:t>
      </w:r>
    </w:p>
    <w:p>
      <w:pPr>
        <w:pStyle w:val="BodyText"/>
        <w:spacing w:line="261" w:lineRule="auto" w:before="21"/>
        <w:ind w:left="3898" w:right="104"/>
        <w:jc w:val="both"/>
      </w:pPr>
      <w:r>
        <w:rPr>
          <w:spacing w:val="-7"/>
        </w:rPr>
        <w:t>依赖外源性胰岛素维持 </w:t>
      </w:r>
      <w:r>
        <w:rPr>
          <w:rFonts w:ascii="Times New Roman" w:eastAsia="Times New Roman"/>
        </w:rPr>
        <w:t>180 </w:t>
      </w:r>
      <w:r>
        <w:rPr>
          <w:spacing w:val="-8"/>
        </w:rPr>
        <w:t>天以上。须经血胰岛素测定、血 </w:t>
      </w:r>
      <w:r>
        <w:rPr>
          <w:rFonts w:ascii="Times New Roman" w:eastAsia="Times New Roman"/>
        </w:rPr>
        <w:t>C </w:t>
      </w:r>
      <w:r>
        <w:rPr>
          <w:spacing w:val="-3"/>
        </w:rPr>
        <w:t>肽测</w:t>
      </w:r>
      <w:r>
        <w:rPr>
          <w:spacing w:val="-11"/>
        </w:rPr>
        <w:t>定或尿 </w:t>
      </w:r>
      <w:r>
        <w:rPr>
          <w:rFonts w:ascii="Times New Roman" w:eastAsia="Times New Roman"/>
        </w:rPr>
        <w:t>C </w:t>
      </w:r>
      <w:r>
        <w:rPr>
          <w:spacing w:val="-5"/>
        </w:rPr>
        <w:t>肽测定，结果异常，并由内分泌科专科医生明确诊断。并须在本附加合同有效期内，因需要已经接受下列治疗：因严重心律</w:t>
      </w:r>
      <w:r>
        <w:rPr>
          <w:spacing w:val="-4"/>
        </w:rPr>
        <w:t>失常已经植入了心脏起搏器，或因坏疽需切除至少一个脚趾。</w:t>
      </w:r>
    </w:p>
    <w:p>
      <w:pPr>
        <w:spacing w:after="0" w:line="261" w:lineRule="auto"/>
        <w:jc w:val="both"/>
        <w:sectPr>
          <w:pgSz w:w="11910" w:h="16160"/>
          <w:pgMar w:header="0" w:footer="631" w:top="1360" w:bottom="820" w:left="960" w:right="820"/>
        </w:sectPr>
      </w:pPr>
    </w:p>
    <w:p>
      <w:pPr>
        <w:pStyle w:val="ListParagraph"/>
        <w:numPr>
          <w:ilvl w:val="0"/>
          <w:numId w:val="8"/>
        </w:numPr>
        <w:tabs>
          <w:tab w:pos="539" w:val="left" w:leader="none"/>
        </w:tabs>
        <w:spacing w:line="256" w:lineRule="auto" w:before="18" w:after="0"/>
        <w:ind w:left="538" w:right="0" w:hanging="421"/>
        <w:jc w:val="left"/>
        <w:rPr>
          <w:sz w:val="21"/>
        </w:rPr>
      </w:pPr>
      <w:r>
        <w:rPr>
          <w:spacing w:val="8"/>
          <w:sz w:val="21"/>
        </w:rPr>
        <w:t>系统性红斑狼疮 </w:t>
      </w:r>
      <w:r>
        <w:rPr>
          <w:spacing w:val="5"/>
          <w:sz w:val="21"/>
        </w:rPr>
        <w:t>－（</w:t>
      </w:r>
      <w:r>
        <w:rPr>
          <w:spacing w:val="3"/>
          <w:sz w:val="21"/>
        </w:rPr>
        <w:t>并发</w:t>
      </w:r>
      <w:r>
        <w:rPr>
          <w:sz w:val="21"/>
        </w:rPr>
        <w:t>）</w:t>
      </w:r>
      <w:r>
        <w:rPr>
          <w:rFonts w:ascii="Times New Roman" w:eastAsia="Times New Roman"/>
          <w:sz w:val="21"/>
        </w:rPr>
        <w:t>III </w:t>
      </w:r>
      <w:r>
        <w:rPr>
          <w:spacing w:val="-3"/>
          <w:sz w:val="21"/>
        </w:rPr>
        <w:t>型或以上狼疮性肾炎</w:t>
      </w:r>
    </w:p>
    <w:p>
      <w:pPr>
        <w:pStyle w:val="BodyText"/>
        <w:spacing w:line="273" w:lineRule="auto" w:before="18"/>
        <w:ind w:left="117" w:right="208"/>
      </w:pPr>
      <w:r>
        <w:rPr/>
        <w:br w:type="column"/>
      </w:r>
      <w:r>
        <w:rPr>
          <w:spacing w:val="-8"/>
        </w:rPr>
        <w:t>系统性红斑狼疮是由多种因素引起，累及多系统的自身免疫性疾病</w:t>
      </w:r>
      <w:r>
        <w:rPr>
          <w:spacing w:val="-5"/>
        </w:rPr>
        <w:t>其特点是生成自身抗体对抗多种自身抗原。多见于育龄妇女。</w:t>
      </w:r>
    </w:p>
    <w:p>
      <w:pPr>
        <w:spacing w:line="266" w:lineRule="auto" w:before="7"/>
        <w:ind w:left="117" w:right="102" w:firstLine="0"/>
        <w:jc w:val="both"/>
        <w:rPr>
          <w:b/>
          <w:sz w:val="21"/>
        </w:rPr>
      </w:pPr>
      <w:r>
        <w:rPr>
          <w:spacing w:val="-2"/>
          <w:sz w:val="21"/>
        </w:rPr>
        <w:t>本附加合同所指的系统性红斑狼疮仅限于累及肾脏</w:t>
      </w:r>
      <w:r>
        <w:rPr>
          <w:sz w:val="21"/>
        </w:rPr>
        <w:t>（经肾脏活检确</w:t>
      </w:r>
      <w:r>
        <w:rPr>
          <w:spacing w:val="-8"/>
          <w:sz w:val="21"/>
        </w:rPr>
        <w:t>认的，符合 </w:t>
      </w:r>
      <w:r>
        <w:rPr>
          <w:rFonts w:ascii="Times New Roman" w:eastAsia="Times New Roman"/>
          <w:sz w:val="21"/>
        </w:rPr>
        <w:t>WHO </w:t>
      </w:r>
      <w:r>
        <w:rPr>
          <w:spacing w:val="-9"/>
          <w:sz w:val="21"/>
        </w:rPr>
        <w:t>诊断标准定义 </w:t>
      </w:r>
      <w:r>
        <w:rPr>
          <w:rFonts w:ascii="Times New Roman" w:eastAsia="Times New Roman"/>
          <w:sz w:val="21"/>
        </w:rPr>
        <w:t>III </w:t>
      </w:r>
      <w:r>
        <w:rPr>
          <w:spacing w:val="-14"/>
          <w:sz w:val="21"/>
        </w:rPr>
        <w:t>型或 </w:t>
      </w:r>
      <w:r>
        <w:rPr>
          <w:rFonts w:ascii="Times New Roman" w:eastAsia="Times New Roman"/>
          <w:sz w:val="21"/>
        </w:rPr>
        <w:t>III </w:t>
      </w:r>
      <w:r>
        <w:rPr>
          <w:spacing w:val="-2"/>
          <w:sz w:val="21"/>
        </w:rPr>
        <w:t>型以上狼疮性肾炎</w:t>
      </w:r>
      <w:r>
        <w:rPr>
          <w:sz w:val="21"/>
        </w:rPr>
        <w:t>）的</w:t>
      </w:r>
      <w:r>
        <w:rPr>
          <w:spacing w:val="-3"/>
          <w:sz w:val="21"/>
        </w:rPr>
        <w:t>系统性红斑狼疮。</w:t>
      </w:r>
      <w:r>
        <w:rPr>
          <w:b/>
          <w:sz w:val="21"/>
        </w:rPr>
        <w:t>其他类型的红斑性狼疮，如盘状狼疮、仅累及血</w:t>
      </w:r>
      <w:r>
        <w:rPr>
          <w:b/>
          <w:spacing w:val="-2"/>
          <w:sz w:val="21"/>
        </w:rPr>
        <w:t>液及关节的狼疮不在保障范围內。</w:t>
      </w:r>
    </w:p>
    <w:p>
      <w:pPr>
        <w:pStyle w:val="BodyText"/>
        <w:spacing w:before="13"/>
        <w:ind w:left="117"/>
        <w:jc w:val="both"/>
      </w:pPr>
      <w:r>
        <w:rPr/>
        <w:t>世界卫生组织（</w:t>
      </w:r>
      <w:r>
        <w:rPr>
          <w:rFonts w:ascii="Times New Roman" w:eastAsia="Times New Roman"/>
        </w:rPr>
        <w:t>WHO</w:t>
      </w:r>
      <w:r>
        <w:rPr/>
        <w:t>）狼疮性肾炎分型：</w:t>
      </w:r>
    </w:p>
    <w:p>
      <w:pPr>
        <w:spacing w:after="0"/>
        <w:jc w:val="both"/>
        <w:sectPr>
          <w:type w:val="continuous"/>
          <w:pgSz w:w="11910" w:h="16160"/>
          <w:pgMar w:top="560" w:bottom="280" w:left="960" w:right="820"/>
          <w:cols w:num="2" w:equalWidth="0">
            <w:col w:w="3479" w:space="302"/>
            <w:col w:w="6349"/>
          </w:cols>
        </w:sectPr>
      </w:pPr>
    </w:p>
    <w:p>
      <w:pPr>
        <w:pStyle w:val="BodyText"/>
        <w:spacing w:before="7"/>
        <w:rPr>
          <w:sz w:val="2"/>
        </w:rPr>
      </w:pPr>
    </w:p>
    <w:tbl>
      <w:tblPr>
        <w:tblW w:w="0" w:type="auto"/>
        <w:jc w:val="left"/>
        <w:tblInd w:w="3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8"/>
        <w:gridCol w:w="2088"/>
      </w:tblGrid>
      <w:tr>
        <w:trPr>
          <w:trHeight w:val="352" w:hRule="atLeast"/>
        </w:trPr>
        <w:tc>
          <w:tcPr>
            <w:tcW w:w="2088" w:type="dxa"/>
            <w:tcBorders>
              <w:left w:val="single" w:sz="4" w:space="0" w:color="000000"/>
              <w:bottom w:val="single" w:sz="12" w:space="0" w:color="000000"/>
              <w:right w:val="single" w:sz="4" w:space="0" w:color="000000"/>
            </w:tcBorders>
          </w:tcPr>
          <w:p>
            <w:pPr>
              <w:pStyle w:val="TableParagraph"/>
              <w:spacing w:before="9"/>
              <w:ind w:left="107"/>
              <w:rPr>
                <w:sz w:val="21"/>
              </w:rPr>
            </w:pPr>
            <w:r>
              <w:rPr>
                <w:rFonts w:ascii="Times New Roman" w:eastAsia="Times New Roman"/>
                <w:sz w:val="21"/>
              </w:rPr>
              <w:t>I </w:t>
            </w:r>
            <w:r>
              <w:rPr>
                <w:sz w:val="21"/>
              </w:rPr>
              <w:t>型</w:t>
            </w:r>
          </w:p>
        </w:tc>
        <w:tc>
          <w:tcPr>
            <w:tcW w:w="2088" w:type="dxa"/>
            <w:tcBorders>
              <w:left w:val="single" w:sz="4" w:space="0" w:color="000000"/>
              <w:bottom w:val="single" w:sz="12" w:space="0" w:color="000000"/>
              <w:right w:val="single" w:sz="4" w:space="0" w:color="000000"/>
            </w:tcBorders>
          </w:tcPr>
          <w:p>
            <w:pPr>
              <w:pStyle w:val="TableParagraph"/>
              <w:spacing w:before="9"/>
              <w:ind w:left="108"/>
              <w:rPr>
                <w:sz w:val="21"/>
              </w:rPr>
            </w:pPr>
            <w:r>
              <w:rPr>
                <w:sz w:val="21"/>
              </w:rPr>
              <w:t>微小病变型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II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系膜病变型</w:t>
            </w:r>
          </w:p>
        </w:tc>
      </w:tr>
      <w:tr>
        <w:trPr>
          <w:trHeight w:val="352" w:hRule="atLeast"/>
        </w:trPr>
        <w:tc>
          <w:tcPr>
            <w:tcW w:w="2088" w:type="dxa"/>
            <w:tcBorders>
              <w:top w:val="single" w:sz="12" w:space="0" w:color="000000"/>
              <w:left w:val="single" w:sz="4" w:space="0" w:color="000000"/>
              <w:bottom w:val="thinThickMediumGap" w:sz="4" w:space="0" w:color="000000"/>
              <w:right w:val="single" w:sz="4" w:space="0" w:color="000000"/>
            </w:tcBorders>
          </w:tcPr>
          <w:p>
            <w:pPr>
              <w:pStyle w:val="TableParagraph"/>
              <w:spacing w:before="8"/>
              <w:ind w:left="107"/>
              <w:rPr>
                <w:sz w:val="21"/>
              </w:rPr>
            </w:pPr>
            <w:r>
              <w:rPr>
                <w:rFonts w:ascii="Times New Roman" w:eastAsia="Times New Roman"/>
                <w:sz w:val="21"/>
              </w:rPr>
              <w:t>III </w:t>
            </w:r>
            <w:r>
              <w:rPr>
                <w:sz w:val="21"/>
              </w:rPr>
              <w:t>型</w:t>
            </w:r>
          </w:p>
        </w:tc>
        <w:tc>
          <w:tcPr>
            <w:tcW w:w="2088" w:type="dxa"/>
            <w:tcBorders>
              <w:top w:val="single" w:sz="12" w:space="0" w:color="000000"/>
              <w:left w:val="single" w:sz="4" w:space="0" w:color="000000"/>
              <w:bottom w:val="thinThickMediumGap" w:sz="4" w:space="0" w:color="000000"/>
              <w:right w:val="single" w:sz="4" w:space="0" w:color="000000"/>
            </w:tcBorders>
          </w:tcPr>
          <w:p>
            <w:pPr>
              <w:pStyle w:val="TableParagraph"/>
              <w:spacing w:before="8"/>
              <w:ind w:left="108"/>
              <w:rPr>
                <w:sz w:val="21"/>
              </w:rPr>
            </w:pPr>
            <w:r>
              <w:rPr>
                <w:sz w:val="21"/>
              </w:rPr>
              <w:t>局灶及节段增生型</w:t>
            </w:r>
          </w:p>
        </w:tc>
      </w:tr>
      <w:tr>
        <w:trPr>
          <w:trHeight w:val="352" w:hRule="atLeast"/>
        </w:trPr>
        <w:tc>
          <w:tcPr>
            <w:tcW w:w="2088" w:type="dxa"/>
            <w:tcBorders>
              <w:top w:val="thickThinMediumGap" w:sz="4" w:space="0" w:color="000000"/>
              <w:left w:val="single" w:sz="4" w:space="0" w:color="000000"/>
              <w:bottom w:val="single" w:sz="12" w:space="0" w:color="000000"/>
              <w:right w:val="single" w:sz="4" w:space="0" w:color="000000"/>
            </w:tcBorders>
          </w:tcPr>
          <w:p>
            <w:pPr>
              <w:pStyle w:val="TableParagraph"/>
              <w:spacing w:before="9"/>
              <w:ind w:left="107"/>
              <w:rPr>
                <w:sz w:val="21"/>
              </w:rPr>
            </w:pPr>
            <w:r>
              <w:rPr>
                <w:rFonts w:ascii="Times New Roman" w:eastAsia="Times New Roman"/>
                <w:sz w:val="21"/>
              </w:rPr>
              <w:t>IV </w:t>
            </w:r>
            <w:r>
              <w:rPr>
                <w:sz w:val="21"/>
              </w:rPr>
              <w:t>型</w:t>
            </w:r>
          </w:p>
        </w:tc>
        <w:tc>
          <w:tcPr>
            <w:tcW w:w="2088" w:type="dxa"/>
            <w:tcBorders>
              <w:top w:val="thickThinMediumGap" w:sz="4" w:space="0" w:color="000000"/>
              <w:left w:val="single" w:sz="4" w:space="0" w:color="000000"/>
              <w:bottom w:val="single" w:sz="12" w:space="0" w:color="000000"/>
              <w:right w:val="single" w:sz="4" w:space="0" w:color="000000"/>
            </w:tcBorders>
          </w:tcPr>
          <w:p>
            <w:pPr>
              <w:pStyle w:val="TableParagraph"/>
              <w:spacing w:before="9"/>
              <w:ind w:left="108"/>
              <w:rPr>
                <w:sz w:val="21"/>
              </w:rPr>
            </w:pPr>
            <w:r>
              <w:rPr>
                <w:sz w:val="21"/>
              </w:rPr>
              <w:t>弥漫增生型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膜型</w:t>
            </w:r>
          </w:p>
        </w:tc>
      </w:tr>
      <w:tr>
        <w:trPr>
          <w:trHeight w:val="351" w:hRule="atLeast"/>
        </w:trPr>
        <w:tc>
          <w:tcPr>
            <w:tcW w:w="2088" w:type="dxa"/>
            <w:tcBorders>
              <w:top w:val="single" w:sz="12" w:space="0" w:color="000000"/>
              <w:left w:val="single" w:sz="4" w:space="0" w:color="000000"/>
              <w:right w:val="single" w:sz="4" w:space="0" w:color="000000"/>
            </w:tcBorders>
          </w:tcPr>
          <w:p>
            <w:pPr>
              <w:pStyle w:val="TableParagraph"/>
              <w:spacing w:before="8"/>
              <w:ind w:left="107"/>
              <w:rPr>
                <w:sz w:val="21"/>
              </w:rPr>
            </w:pPr>
            <w:r>
              <w:rPr>
                <w:rFonts w:ascii="Times New Roman" w:eastAsia="Times New Roman"/>
                <w:sz w:val="21"/>
              </w:rPr>
              <w:t>VI </w:t>
            </w:r>
            <w:r>
              <w:rPr>
                <w:sz w:val="21"/>
              </w:rPr>
              <w:t>型</w:t>
            </w:r>
          </w:p>
        </w:tc>
        <w:tc>
          <w:tcPr>
            <w:tcW w:w="2088" w:type="dxa"/>
            <w:tcBorders>
              <w:top w:val="single" w:sz="12" w:space="0" w:color="000000"/>
              <w:left w:val="single" w:sz="4" w:space="0" w:color="000000"/>
              <w:right w:val="single" w:sz="4" w:space="0" w:color="000000"/>
            </w:tcBorders>
          </w:tcPr>
          <w:p>
            <w:pPr>
              <w:pStyle w:val="TableParagraph"/>
              <w:spacing w:before="8"/>
              <w:ind w:left="108"/>
              <w:rPr>
                <w:sz w:val="21"/>
              </w:rPr>
            </w:pPr>
            <w:r>
              <w:rPr>
                <w:sz w:val="21"/>
              </w:rPr>
              <w:t>肾小球硬化型</w:t>
            </w:r>
          </w:p>
        </w:tc>
      </w:tr>
    </w:tbl>
    <w:p>
      <w:pPr>
        <w:pStyle w:val="ListParagraph"/>
        <w:numPr>
          <w:ilvl w:val="0"/>
          <w:numId w:val="8"/>
        </w:numPr>
        <w:tabs>
          <w:tab w:pos="539" w:val="left" w:leader="none"/>
          <w:tab w:pos="3898" w:val="left" w:leader="none"/>
        </w:tabs>
        <w:spacing w:line="278" w:lineRule="exact" w:before="0" w:after="0"/>
        <w:ind w:left="3898" w:right="0" w:hanging="3781"/>
        <w:jc w:val="left"/>
        <w:rPr>
          <w:sz w:val="21"/>
        </w:rPr>
      </w:pPr>
      <w:r>
        <w:rPr>
          <w:sz w:val="21"/>
        </w:rPr>
        <w:t>非阿</w:t>
      </w:r>
      <w:r>
        <w:rPr>
          <w:spacing w:val="-3"/>
          <w:sz w:val="21"/>
        </w:rPr>
        <w:t>尔</w:t>
      </w:r>
      <w:r>
        <w:rPr>
          <w:sz w:val="21"/>
        </w:rPr>
        <w:t>茨</w:t>
      </w:r>
      <w:r>
        <w:rPr>
          <w:spacing w:val="-3"/>
          <w:sz w:val="21"/>
        </w:rPr>
        <w:t>海</w:t>
      </w:r>
      <w:r>
        <w:rPr>
          <w:sz w:val="21"/>
        </w:rPr>
        <w:t>默</w:t>
      </w:r>
      <w:r>
        <w:rPr>
          <w:spacing w:val="-3"/>
          <w:sz w:val="21"/>
        </w:rPr>
        <w:t>病</w:t>
      </w:r>
      <w:r>
        <w:rPr>
          <w:sz w:val="21"/>
        </w:rPr>
        <w:t>所</w:t>
      </w:r>
      <w:r>
        <w:rPr>
          <w:spacing w:val="-3"/>
          <w:sz w:val="21"/>
        </w:rPr>
        <w:t>致</w:t>
      </w:r>
      <w:r>
        <w:rPr>
          <w:sz w:val="21"/>
        </w:rPr>
        <w:t>严</w:t>
      </w:r>
      <w:r>
        <w:rPr>
          <w:spacing w:val="-3"/>
          <w:sz w:val="21"/>
        </w:rPr>
        <w:t>重</w:t>
      </w:r>
      <w:r>
        <w:rPr>
          <w:sz w:val="21"/>
        </w:rPr>
        <w:t>痴呆</w:t>
        <w:tab/>
        <w:t>指因</w:t>
      </w:r>
      <w:r>
        <w:rPr>
          <w:spacing w:val="-3"/>
          <w:sz w:val="21"/>
        </w:rPr>
        <w:t>阿</w:t>
      </w:r>
      <w:r>
        <w:rPr>
          <w:sz w:val="21"/>
        </w:rPr>
        <w:t>尔</w:t>
      </w:r>
      <w:r>
        <w:rPr>
          <w:spacing w:val="-3"/>
          <w:sz w:val="21"/>
        </w:rPr>
        <w:t>茨</w:t>
      </w:r>
      <w:r>
        <w:rPr>
          <w:sz w:val="21"/>
        </w:rPr>
        <w:t>海</w:t>
      </w:r>
      <w:r>
        <w:rPr>
          <w:spacing w:val="-3"/>
          <w:sz w:val="21"/>
        </w:rPr>
        <w:t>默</w:t>
      </w:r>
      <w:r>
        <w:rPr>
          <w:sz w:val="21"/>
        </w:rPr>
        <w:t>病</w:t>
      </w:r>
      <w:r>
        <w:rPr>
          <w:spacing w:val="-3"/>
          <w:sz w:val="21"/>
        </w:rPr>
        <w:t>以</w:t>
      </w:r>
      <w:r>
        <w:rPr>
          <w:sz w:val="21"/>
        </w:rPr>
        <w:t>外</w:t>
      </w:r>
      <w:r>
        <w:rPr>
          <w:spacing w:val="-3"/>
          <w:sz w:val="21"/>
        </w:rPr>
        <w:t>的</w:t>
      </w:r>
      <w:r>
        <w:rPr>
          <w:sz w:val="21"/>
        </w:rPr>
        <w:t>脑的</w:t>
      </w:r>
      <w:r>
        <w:rPr>
          <w:spacing w:val="-3"/>
          <w:sz w:val="21"/>
        </w:rPr>
        <w:t>器</w:t>
      </w:r>
      <w:r>
        <w:rPr>
          <w:sz w:val="21"/>
        </w:rPr>
        <w:t>质</w:t>
      </w:r>
      <w:r>
        <w:rPr>
          <w:spacing w:val="-3"/>
          <w:sz w:val="21"/>
        </w:rPr>
        <w:t>性</w:t>
      </w:r>
      <w:r>
        <w:rPr>
          <w:sz w:val="21"/>
        </w:rPr>
        <w:t>疾</w:t>
      </w:r>
      <w:r>
        <w:rPr>
          <w:spacing w:val="-3"/>
          <w:sz w:val="21"/>
        </w:rPr>
        <w:t>病</w:t>
      </w:r>
      <w:r>
        <w:rPr>
          <w:sz w:val="21"/>
        </w:rPr>
        <w:t>造</w:t>
      </w:r>
      <w:r>
        <w:rPr>
          <w:spacing w:val="-3"/>
          <w:sz w:val="21"/>
        </w:rPr>
        <w:t>成</w:t>
      </w:r>
      <w:r>
        <w:rPr>
          <w:sz w:val="21"/>
        </w:rPr>
        <w:t>脑</w:t>
      </w:r>
      <w:r>
        <w:rPr>
          <w:spacing w:val="-3"/>
          <w:sz w:val="21"/>
        </w:rPr>
        <w:t>功</w:t>
      </w:r>
      <w:r>
        <w:rPr>
          <w:sz w:val="21"/>
        </w:rPr>
        <w:t>能衰</w:t>
      </w:r>
      <w:r>
        <w:rPr>
          <w:spacing w:val="-3"/>
          <w:sz w:val="21"/>
        </w:rPr>
        <w:t>竭</w:t>
      </w:r>
      <w:r>
        <w:rPr>
          <w:sz w:val="21"/>
        </w:rPr>
        <w:t>导</w:t>
      </w:r>
      <w:r>
        <w:rPr>
          <w:spacing w:val="-3"/>
          <w:sz w:val="21"/>
        </w:rPr>
        <w:t>致</w:t>
      </w:r>
      <w:r>
        <w:rPr>
          <w:sz w:val="21"/>
        </w:rPr>
        <w:t>永久</w:t>
      </w:r>
    </w:p>
    <w:p>
      <w:pPr>
        <w:pStyle w:val="BodyText"/>
        <w:spacing w:line="273" w:lineRule="auto" w:before="21"/>
        <w:ind w:left="3898" w:right="128"/>
        <w:jc w:val="both"/>
      </w:pPr>
      <w:r>
        <w:rPr/>
        <w:t>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spacing w:before="7"/>
        <w:ind w:left="3898" w:right="0" w:firstLine="0"/>
        <w:jc w:val="left"/>
        <w:rPr>
          <w:b/>
          <w:sz w:val="21"/>
        </w:rPr>
      </w:pPr>
      <w:r>
        <w:rPr>
          <w:b/>
          <w:sz w:val="21"/>
        </w:rPr>
        <w:t>神经官能症,精神疾病及酒精中毒所致脑损害不在保障范围内。</w:t>
      </w:r>
    </w:p>
    <w:p>
      <w:pPr>
        <w:pStyle w:val="ListParagraph"/>
        <w:numPr>
          <w:ilvl w:val="0"/>
          <w:numId w:val="8"/>
        </w:numPr>
        <w:tabs>
          <w:tab w:pos="539" w:val="left" w:leader="none"/>
          <w:tab w:pos="3898" w:val="left" w:leader="none"/>
        </w:tabs>
        <w:spacing w:line="240" w:lineRule="auto" w:before="36" w:after="0"/>
        <w:ind w:left="3898" w:right="0" w:hanging="3781"/>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w:t>
      </w:r>
      <w:r>
        <w:rPr>
          <w:spacing w:val="-3"/>
          <w:sz w:val="21"/>
        </w:rPr>
        <w:t>变</w:t>
      </w:r>
      <w:r>
        <w:rPr>
          <w:sz w:val="21"/>
        </w:rPr>
        <w:t>，</w:t>
      </w:r>
      <w:r>
        <w:rPr>
          <w:spacing w:val="-3"/>
          <w:sz w:val="21"/>
        </w:rPr>
        <w:t>表</w:t>
      </w:r>
      <w:r>
        <w:rPr>
          <w:sz w:val="21"/>
        </w:rPr>
        <w:t>现</w:t>
      </w:r>
      <w:r>
        <w:rPr>
          <w:spacing w:val="-3"/>
          <w:sz w:val="21"/>
        </w:rPr>
        <w:t>为</w:t>
      </w:r>
      <w:r>
        <w:rPr>
          <w:sz w:val="21"/>
        </w:rPr>
        <w:t>关</w:t>
      </w:r>
      <w:r>
        <w:rPr>
          <w:spacing w:val="-3"/>
          <w:sz w:val="21"/>
        </w:rPr>
        <w:t>节</w:t>
      </w:r>
      <w:r>
        <w:rPr>
          <w:sz w:val="21"/>
        </w:rPr>
        <w:t>严重</w:t>
      </w:r>
      <w:r>
        <w:rPr>
          <w:spacing w:val="-3"/>
          <w:sz w:val="21"/>
        </w:rPr>
        <w:t>变</w:t>
      </w:r>
      <w:r>
        <w:rPr>
          <w:sz w:val="21"/>
        </w:rPr>
        <w:t>形</w:t>
      </w:r>
      <w:r>
        <w:rPr>
          <w:spacing w:val="-3"/>
          <w:sz w:val="21"/>
        </w:rPr>
        <w:t>，</w:t>
      </w:r>
      <w:r>
        <w:rPr>
          <w:sz w:val="21"/>
        </w:rPr>
        <w:t>侵犯</w:t>
      </w:r>
    </w:p>
    <w:p>
      <w:pPr>
        <w:pStyle w:val="BodyText"/>
        <w:spacing w:line="268" w:lineRule="auto" w:before="20"/>
        <w:ind w:left="3898" w:right="102"/>
        <w:jc w:val="both"/>
      </w:pPr>
      <w:r>
        <w:rPr>
          <w:spacing w:val="-3"/>
        </w:rPr>
        <w:t>至少三个主要关节（腕关节、肘关节、肩关节、踝关节、膝关节、髋关节</w:t>
      </w:r>
      <w:r>
        <w:rPr/>
        <w:t>）</w:t>
      </w:r>
      <w:r>
        <w:rPr>
          <w:spacing w:val="-3"/>
        </w:rPr>
        <w:t>或关节组（如手的多个指间、掌指关节，足的多个足趾、跖趾关节等</w:t>
      </w:r>
      <w:r>
        <w:rPr>
          <w:spacing w:val="-106"/>
        </w:rPr>
        <w:t>）</w:t>
      </w:r>
      <w:r>
        <w:rPr>
          <w:spacing w:val="-11"/>
        </w:rPr>
        <w:t>。类风湿性关节炎须明确诊断，并已达到类风湿性关节</w:t>
      </w:r>
      <w:r>
        <w:rPr>
          <w:spacing w:val="-10"/>
        </w:rPr>
        <w:t>炎功能活动分级</w:t>
      </w:r>
      <w:r>
        <w:rPr/>
        <w:t>（</w:t>
      </w:r>
      <w:r>
        <w:rPr>
          <w:spacing w:val="-3"/>
        </w:rPr>
        <w:t>注</w:t>
      </w:r>
      <w:r>
        <w:rPr>
          <w:spacing w:val="-11"/>
        </w:rPr>
        <w:t>）</w:t>
      </w:r>
      <w:r>
        <w:rPr>
          <w:rFonts w:ascii="Times New Roman" w:eastAsia="Times New Roman"/>
          <w:spacing w:val="-11"/>
        </w:rPr>
        <w:t>IV </w:t>
      </w:r>
      <w:r>
        <w:rPr>
          <w:spacing w:val="-5"/>
        </w:rPr>
        <w:t>级的永久不可逆性关节功能障碍，且须满</w:t>
      </w:r>
      <w:r>
        <w:rPr>
          <w:spacing w:val="-4"/>
        </w:rPr>
        <w:t>足下列全部条件：</w:t>
      </w:r>
    </w:p>
    <w:p>
      <w:pPr>
        <w:pStyle w:val="BodyText"/>
        <w:spacing w:before="11"/>
        <w:ind w:left="15" w:right="1185"/>
        <w:jc w:val="center"/>
      </w:pPr>
      <w:r>
        <w:rPr/>
        <w:t>（</w:t>
      </w:r>
      <w:r>
        <w:rPr>
          <w:rFonts w:ascii="Times New Roman" w:eastAsia="Times New Roman"/>
        </w:rPr>
        <w:t>1</w:t>
      </w:r>
      <w:r>
        <w:rPr/>
        <w:t>）晨僵；</w:t>
      </w:r>
    </w:p>
    <w:p>
      <w:pPr>
        <w:spacing w:after="0"/>
        <w:jc w:val="center"/>
        <w:sectPr>
          <w:type w:val="continuous"/>
          <w:pgSz w:w="11910" w:h="16160"/>
          <w:pgMar w:top="560" w:bottom="280" w:left="960" w:right="8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125"/>
        <w:gridCol w:w="6634"/>
      </w:tblGrid>
      <w:tr>
        <w:trPr>
          <w:trHeight w:val="2760" w:hRule="atLeast"/>
        </w:trPr>
        <w:tc>
          <w:tcPr>
            <w:tcW w:w="542" w:type="dxa"/>
          </w:tcPr>
          <w:p>
            <w:pPr>
              <w:pStyle w:val="TableParagraph"/>
              <w:ind w:left="0"/>
              <w:rPr>
                <w:rFonts w:ascii="Times New Roman"/>
                <w:sz w:val="20"/>
              </w:rPr>
            </w:pPr>
          </w:p>
        </w:tc>
        <w:tc>
          <w:tcPr>
            <w:tcW w:w="3125" w:type="dxa"/>
          </w:tcPr>
          <w:p>
            <w:pPr>
              <w:pStyle w:val="TableParagraph"/>
              <w:ind w:left="0"/>
              <w:rPr>
                <w:rFonts w:ascii="Times New Roman"/>
                <w:sz w:val="20"/>
              </w:rPr>
            </w:pPr>
          </w:p>
        </w:tc>
        <w:tc>
          <w:tcPr>
            <w:tcW w:w="6634" w:type="dxa"/>
          </w:tcPr>
          <w:p>
            <w:pPr>
              <w:pStyle w:val="TableParagraph"/>
              <w:spacing w:line="234" w:lineRule="exact"/>
              <w:ind w:left="313"/>
              <w:rPr>
                <w:sz w:val="21"/>
              </w:rPr>
            </w:pPr>
            <w:r>
              <w:rPr>
                <w:sz w:val="21"/>
              </w:rPr>
              <w:t>（</w:t>
            </w:r>
            <w:r>
              <w:rPr>
                <w:rFonts w:ascii="Times New Roman" w:eastAsia="Times New Roman"/>
                <w:sz w:val="21"/>
              </w:rPr>
              <w:t>2</w:t>
            </w:r>
            <w:r>
              <w:rPr>
                <w:sz w:val="21"/>
              </w:rPr>
              <w:t>）对称性关节炎；</w:t>
            </w:r>
          </w:p>
          <w:p>
            <w:pPr>
              <w:pStyle w:val="TableParagraph"/>
              <w:spacing w:before="21"/>
              <w:ind w:left="313"/>
              <w:rPr>
                <w:sz w:val="21"/>
              </w:rPr>
            </w:pPr>
            <w:r>
              <w:rPr>
                <w:sz w:val="21"/>
              </w:rPr>
              <w:t>（</w:t>
            </w:r>
            <w:r>
              <w:rPr>
                <w:rFonts w:ascii="Times New Roman" w:eastAsia="Times New Roman"/>
                <w:sz w:val="21"/>
              </w:rPr>
              <w:t>3</w:t>
            </w:r>
            <w:r>
              <w:rPr>
                <w:sz w:val="21"/>
              </w:rPr>
              <w:t>）类风湿性皮下结节；</w:t>
            </w:r>
          </w:p>
          <w:p>
            <w:pPr>
              <w:pStyle w:val="TableParagraph"/>
              <w:spacing w:before="20"/>
              <w:ind w:left="313"/>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0"/>
              <w:ind w:left="313" w:right="1015"/>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1"/>
              <w:ind w:left="719"/>
              <w:rPr>
                <w:sz w:val="21"/>
              </w:rPr>
            </w:pPr>
            <w:r>
              <w:rPr>
                <w:sz w:val="21"/>
              </w:rPr>
              <w:t>Ⅰ级：关节功能完整，一般活动无障碍。</w:t>
            </w:r>
          </w:p>
          <w:p>
            <w:pPr>
              <w:pStyle w:val="TableParagraph"/>
              <w:spacing w:line="310" w:lineRule="atLeast" w:before="1"/>
              <w:ind w:left="719" w:right="939"/>
              <w:jc w:val="both"/>
              <w:rPr>
                <w:sz w:val="21"/>
              </w:rPr>
            </w:pPr>
            <w:r>
              <w:rPr>
                <w:sz w:val="21"/>
              </w:rPr>
              <w:t>Ⅱ级：有关节不适或障碍，但尚能完成一半活动。Ⅲ级：功能活动明显受限，但大部分生活可自理。Ⅳ级：生活不能自理或卧床。</w:t>
            </w:r>
          </w:p>
        </w:tc>
      </w:tr>
      <w:tr>
        <w:trPr>
          <w:trHeight w:val="2184" w:hRule="atLeast"/>
        </w:trPr>
        <w:tc>
          <w:tcPr>
            <w:tcW w:w="542" w:type="dxa"/>
          </w:tcPr>
          <w:p>
            <w:pPr>
              <w:pStyle w:val="TableParagraph"/>
              <w:spacing w:before="38"/>
              <w:ind w:left="0" w:right="75"/>
              <w:jc w:val="right"/>
              <w:rPr>
                <w:rFonts w:ascii="Times New Roman"/>
                <w:sz w:val="21"/>
              </w:rPr>
            </w:pPr>
            <w:r>
              <w:rPr>
                <w:rFonts w:ascii="Times New Roman"/>
                <w:sz w:val="21"/>
              </w:rPr>
              <w:t>40.</w:t>
            </w:r>
          </w:p>
        </w:tc>
        <w:tc>
          <w:tcPr>
            <w:tcW w:w="3125" w:type="dxa"/>
          </w:tcPr>
          <w:p>
            <w:pPr>
              <w:pStyle w:val="TableParagraph"/>
              <w:spacing w:line="282" w:lineRule="exact"/>
              <w:ind w:left="78"/>
              <w:rPr>
                <w:b/>
                <w:sz w:val="21"/>
              </w:rPr>
            </w:pPr>
            <w:r>
              <w:rPr>
                <w:sz w:val="21"/>
              </w:rPr>
              <w:t>严重哮喘 </w:t>
            </w:r>
            <w:r>
              <w:rPr>
                <w:rFonts w:ascii="Times New Roman" w:eastAsia="Times New Roman"/>
                <w:sz w:val="21"/>
              </w:rPr>
              <w:t>-  </w:t>
            </w:r>
            <w:r>
              <w:rPr>
                <w:b/>
                <w:sz w:val="21"/>
              </w:rPr>
              <w:t>二十五岁前理赔</w:t>
            </w:r>
          </w:p>
        </w:tc>
        <w:tc>
          <w:tcPr>
            <w:tcW w:w="6634" w:type="dxa"/>
          </w:tcPr>
          <w:p>
            <w:pPr>
              <w:pStyle w:val="TableParagraph"/>
              <w:spacing w:line="273" w:lineRule="auto"/>
              <w:ind w:left="313" w:right="197"/>
              <w:rPr>
                <w:sz w:val="21"/>
              </w:rPr>
            </w:pPr>
            <w:r>
              <w:rPr>
                <w:sz w:val="21"/>
              </w:rPr>
              <w:t>指一种反复发作的严重支气管阻塞性疾病，经我们认可的专科医生确诊，且必须同时符合下列标准：</w:t>
            </w:r>
          </w:p>
          <w:p>
            <w:pPr>
              <w:pStyle w:val="TableParagraph"/>
              <w:spacing w:before="17"/>
              <w:ind w:left="313"/>
              <w:rPr>
                <w:sz w:val="21"/>
              </w:rPr>
            </w:pPr>
            <w:r>
              <w:rPr>
                <w:w w:val="100"/>
                <w:sz w:val="21"/>
              </w:rPr>
              <w:t>（</w:t>
            </w:r>
            <w:r>
              <w:rPr>
                <w:rFonts w:ascii="Times New Roman" w:eastAsia="Times New Roman"/>
                <w:w w:val="100"/>
                <w:sz w:val="21"/>
              </w:rPr>
              <w:t>1</w:t>
            </w:r>
            <w:r>
              <w:rPr>
                <w:spacing w:val="-94"/>
                <w:w w:val="100"/>
                <w:sz w:val="21"/>
              </w:rPr>
              <w:t>）</w:t>
            </w:r>
            <w:r>
              <w:rPr>
                <w:spacing w:val="-8"/>
                <w:w w:val="100"/>
                <w:sz w:val="21"/>
              </w:rPr>
              <w:t>过去两年中曾因哮喘持续状态住院治疗，并提供完整住院记录</w:t>
            </w:r>
          </w:p>
          <w:p>
            <w:pPr>
              <w:pStyle w:val="TableParagraph"/>
              <w:spacing w:before="21"/>
              <w:ind w:left="313"/>
              <w:rPr>
                <w:sz w:val="21"/>
              </w:rPr>
            </w:pPr>
            <w:r>
              <w:rPr>
                <w:sz w:val="21"/>
              </w:rPr>
              <w:t>（</w:t>
            </w:r>
            <w:r>
              <w:rPr>
                <w:rFonts w:ascii="Times New Roman" w:eastAsia="Times New Roman"/>
                <w:sz w:val="21"/>
              </w:rPr>
              <w:t>2</w:t>
            </w:r>
            <w:r>
              <w:rPr>
                <w:sz w:val="21"/>
              </w:rPr>
              <w:t>）因慢性过度换气导致胸廓畸形；</w:t>
            </w:r>
          </w:p>
          <w:p>
            <w:pPr>
              <w:pStyle w:val="TableParagraph"/>
              <w:spacing w:before="21"/>
              <w:ind w:left="313"/>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1"/>
              <w:ind w:left="313" w:right="957"/>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255" w:hRule="atLeast"/>
        </w:trPr>
        <w:tc>
          <w:tcPr>
            <w:tcW w:w="542" w:type="dxa"/>
          </w:tcPr>
          <w:p>
            <w:pPr>
              <w:pStyle w:val="TableParagraph"/>
              <w:spacing w:before="38"/>
              <w:ind w:left="0" w:right="75"/>
              <w:jc w:val="right"/>
              <w:rPr>
                <w:rFonts w:ascii="Times New Roman"/>
                <w:sz w:val="21"/>
              </w:rPr>
            </w:pPr>
            <w:r>
              <w:rPr>
                <w:rFonts w:ascii="Times New Roman"/>
                <w:sz w:val="21"/>
              </w:rPr>
              <w:t>41.</w:t>
            </w:r>
          </w:p>
        </w:tc>
        <w:tc>
          <w:tcPr>
            <w:tcW w:w="3125" w:type="dxa"/>
          </w:tcPr>
          <w:p>
            <w:pPr>
              <w:pStyle w:val="TableParagraph"/>
              <w:spacing w:line="266" w:lineRule="exact"/>
              <w:ind w:left="78"/>
              <w:rPr>
                <w:sz w:val="21"/>
              </w:rPr>
            </w:pPr>
            <w:r>
              <w:rPr>
                <w:sz w:val="21"/>
              </w:rPr>
              <w:t>肾髓质囊性病</w:t>
            </w:r>
          </w:p>
        </w:tc>
        <w:tc>
          <w:tcPr>
            <w:tcW w:w="6634" w:type="dxa"/>
          </w:tcPr>
          <w:p>
            <w:pPr>
              <w:pStyle w:val="TableParagraph"/>
              <w:spacing w:line="266" w:lineRule="exact"/>
              <w:ind w:left="313"/>
              <w:rPr>
                <w:sz w:val="21"/>
              </w:rPr>
            </w:pPr>
            <w:r>
              <w:rPr>
                <w:sz w:val="21"/>
              </w:rPr>
              <w:t>肾髓质囊性病的诊断须同时符合下列要求：</w:t>
            </w:r>
          </w:p>
          <w:p>
            <w:pPr>
              <w:pStyle w:val="TableParagraph"/>
              <w:spacing w:before="37"/>
              <w:ind w:left="313"/>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313"/>
              <w:rPr>
                <w:sz w:val="21"/>
              </w:rPr>
            </w:pPr>
            <w:r>
              <w:rPr>
                <w:sz w:val="21"/>
              </w:rPr>
              <w:t>（</w:t>
            </w:r>
            <w:r>
              <w:rPr>
                <w:rFonts w:ascii="Times New Roman" w:eastAsia="Times New Roman"/>
                <w:sz w:val="21"/>
              </w:rPr>
              <w:t>2</w:t>
            </w:r>
            <w:r>
              <w:rPr>
                <w:sz w:val="21"/>
              </w:rPr>
              <w:t>）肾功能衰竭；</w:t>
            </w:r>
          </w:p>
          <w:p>
            <w:pPr>
              <w:pStyle w:val="TableParagraph"/>
              <w:spacing w:before="21"/>
              <w:ind w:left="313"/>
              <w:rPr>
                <w:sz w:val="21"/>
              </w:rPr>
            </w:pPr>
            <w:r>
              <w:rPr>
                <w:sz w:val="21"/>
              </w:rPr>
              <w:t>（</w:t>
            </w:r>
            <w:r>
              <w:rPr>
                <w:rFonts w:ascii="Times New Roman" w:eastAsia="Times New Roman"/>
                <w:sz w:val="21"/>
              </w:rPr>
              <w:t>3</w:t>
            </w:r>
            <w:r>
              <w:rPr>
                <w:sz w:val="21"/>
              </w:rPr>
              <w:t>）诊断须由肾组织活检确定。</w:t>
            </w:r>
          </w:p>
        </w:tc>
      </w:tr>
      <w:tr>
        <w:trPr>
          <w:trHeight w:val="1872" w:hRule="atLeast"/>
        </w:trPr>
        <w:tc>
          <w:tcPr>
            <w:tcW w:w="542" w:type="dxa"/>
          </w:tcPr>
          <w:p>
            <w:pPr>
              <w:pStyle w:val="TableParagraph"/>
              <w:spacing w:before="30"/>
              <w:ind w:left="0" w:right="75"/>
              <w:jc w:val="right"/>
              <w:rPr>
                <w:rFonts w:ascii="Times New Roman"/>
                <w:sz w:val="21"/>
              </w:rPr>
            </w:pPr>
            <w:r>
              <w:rPr>
                <w:rFonts w:ascii="Times New Roman"/>
                <w:sz w:val="21"/>
              </w:rPr>
              <w:t>42.</w:t>
            </w:r>
          </w:p>
        </w:tc>
        <w:tc>
          <w:tcPr>
            <w:tcW w:w="3125" w:type="dxa"/>
          </w:tcPr>
          <w:p>
            <w:pPr>
              <w:pStyle w:val="TableParagraph"/>
              <w:spacing w:line="258" w:lineRule="exact"/>
              <w:ind w:left="78"/>
              <w:rPr>
                <w:sz w:val="21"/>
              </w:rPr>
            </w:pPr>
            <w:r>
              <w:rPr>
                <w:sz w:val="21"/>
              </w:rPr>
              <w:t>重症急性坏死性筋膜炎</w:t>
            </w:r>
          </w:p>
        </w:tc>
        <w:tc>
          <w:tcPr>
            <w:tcW w:w="6634" w:type="dxa"/>
          </w:tcPr>
          <w:p>
            <w:pPr>
              <w:pStyle w:val="TableParagraph"/>
              <w:spacing w:line="258" w:lineRule="exact"/>
              <w:ind w:left="313"/>
              <w:rPr>
                <w:sz w:val="21"/>
              </w:rPr>
            </w:pPr>
            <w:r>
              <w:rPr>
                <w:sz w:val="21"/>
              </w:rPr>
              <w:t>是一种由细菌侵入皮下组织和筋膜引起的急性坏死性软组织感染，</w:t>
            </w:r>
          </w:p>
          <w:p>
            <w:pPr>
              <w:pStyle w:val="TableParagraph"/>
              <w:spacing w:line="273" w:lineRule="auto" w:before="37"/>
              <w:ind w:left="313" w:right="197"/>
              <w:rPr>
                <w:sz w:val="21"/>
              </w:rPr>
            </w:pPr>
            <w:r>
              <w:rPr>
                <w:sz w:val="21"/>
              </w:rPr>
              <w:t>可伴有毒血症、败血症、中毒性休克、弥漫性血管内凝血及多器官衰竭。必须满足以下所有条件：</w:t>
            </w:r>
          </w:p>
          <w:p>
            <w:pPr>
              <w:pStyle w:val="TableParagraph"/>
              <w:spacing w:before="7"/>
              <w:ind w:left="313"/>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313"/>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313"/>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42" w:type="dxa"/>
          </w:tcPr>
          <w:p>
            <w:pPr>
              <w:pStyle w:val="TableParagraph"/>
              <w:spacing w:before="30"/>
              <w:ind w:left="0" w:right="75"/>
              <w:jc w:val="right"/>
              <w:rPr>
                <w:rFonts w:ascii="Times New Roman"/>
                <w:sz w:val="21"/>
              </w:rPr>
            </w:pPr>
            <w:r>
              <w:rPr>
                <w:rFonts w:ascii="Times New Roman"/>
                <w:sz w:val="21"/>
              </w:rPr>
              <w:t>43.</w:t>
            </w:r>
          </w:p>
        </w:tc>
        <w:tc>
          <w:tcPr>
            <w:tcW w:w="3125" w:type="dxa"/>
          </w:tcPr>
          <w:p>
            <w:pPr>
              <w:pStyle w:val="TableParagraph"/>
              <w:spacing w:line="258" w:lineRule="exact"/>
              <w:ind w:left="78"/>
              <w:rPr>
                <w:sz w:val="21"/>
              </w:rPr>
            </w:pPr>
            <w:r>
              <w:rPr>
                <w:sz w:val="21"/>
              </w:rPr>
              <w:t>慢性呼吸功能衰竭终末期肺病</w:t>
            </w:r>
          </w:p>
        </w:tc>
        <w:tc>
          <w:tcPr>
            <w:tcW w:w="6634" w:type="dxa"/>
          </w:tcPr>
          <w:p>
            <w:pPr>
              <w:pStyle w:val="TableParagraph"/>
              <w:spacing w:line="258" w:lineRule="exact"/>
              <w:ind w:left="313"/>
              <w:rPr>
                <w:sz w:val="21"/>
              </w:rPr>
            </w:pPr>
            <w:r>
              <w:rPr>
                <w:sz w:val="21"/>
              </w:rPr>
              <w:t>指慢性肺部疾病导致永久不可逆性的慢性呼吸功能衰竭，必须由呼</w:t>
            </w:r>
          </w:p>
          <w:p>
            <w:pPr>
              <w:pStyle w:val="TableParagraph"/>
              <w:spacing w:before="37"/>
              <w:ind w:left="313"/>
              <w:rPr>
                <w:sz w:val="21"/>
              </w:rPr>
            </w:pPr>
            <w:r>
              <w:rPr>
                <w:sz w:val="21"/>
              </w:rPr>
              <w:t>吸专科医师确认并符合下列所有条件：</w:t>
            </w:r>
          </w:p>
          <w:p>
            <w:pPr>
              <w:pStyle w:val="TableParagraph"/>
              <w:spacing w:before="37"/>
              <w:ind w:left="313"/>
              <w:rPr>
                <w:sz w:val="21"/>
              </w:rPr>
            </w:pPr>
            <w:r>
              <w:rPr>
                <w:sz w:val="21"/>
              </w:rPr>
              <w:t>（</w:t>
            </w:r>
            <w:r>
              <w:rPr>
                <w:rFonts w:ascii="Times New Roman" w:eastAsia="Times New Roman"/>
                <w:sz w:val="21"/>
              </w:rPr>
              <w:t>1</w:t>
            </w:r>
            <w:r>
              <w:rPr>
                <w:sz w:val="21"/>
              </w:rPr>
              <w:t>）休息时出现呼吸困难；</w:t>
            </w:r>
          </w:p>
          <w:p>
            <w:pPr>
              <w:pStyle w:val="TableParagraph"/>
              <w:spacing w:before="21"/>
              <w:ind w:left="313"/>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before="21"/>
              <w:ind w:left="313"/>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before="21"/>
              <w:ind w:left="313"/>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42" w:type="dxa"/>
          </w:tcPr>
          <w:p>
            <w:pPr>
              <w:pStyle w:val="TableParagraph"/>
              <w:spacing w:before="30"/>
              <w:ind w:left="0" w:right="75"/>
              <w:jc w:val="right"/>
              <w:rPr>
                <w:rFonts w:ascii="Times New Roman"/>
                <w:sz w:val="21"/>
              </w:rPr>
            </w:pPr>
            <w:r>
              <w:rPr>
                <w:rFonts w:ascii="Times New Roman"/>
                <w:sz w:val="21"/>
              </w:rPr>
              <w:t>44.</w:t>
            </w:r>
          </w:p>
        </w:tc>
        <w:tc>
          <w:tcPr>
            <w:tcW w:w="3125" w:type="dxa"/>
          </w:tcPr>
          <w:p>
            <w:pPr>
              <w:pStyle w:val="TableParagraph"/>
              <w:spacing w:line="258" w:lineRule="exact"/>
              <w:ind w:left="78"/>
              <w:rPr>
                <w:sz w:val="21"/>
              </w:rPr>
            </w:pPr>
            <w:r>
              <w:rPr>
                <w:sz w:val="21"/>
              </w:rPr>
              <w:t>胰腺移植</w:t>
            </w:r>
          </w:p>
        </w:tc>
        <w:tc>
          <w:tcPr>
            <w:tcW w:w="6634" w:type="dxa"/>
          </w:tcPr>
          <w:p>
            <w:pPr>
              <w:pStyle w:val="TableParagraph"/>
              <w:spacing w:line="258" w:lineRule="exact"/>
              <w:ind w:left="313"/>
              <w:rPr>
                <w:sz w:val="21"/>
              </w:rPr>
            </w:pPr>
            <w:r>
              <w:rPr>
                <w:sz w:val="21"/>
              </w:rPr>
              <w:t>指因胰腺功能衰竭，已经实施了在全身麻醉下进行的胰腺的异体器</w:t>
            </w:r>
          </w:p>
          <w:p>
            <w:pPr>
              <w:pStyle w:val="TableParagraph"/>
              <w:spacing w:before="37"/>
              <w:ind w:left="313"/>
              <w:rPr>
                <w:sz w:val="21"/>
              </w:rPr>
            </w:pPr>
            <w:r>
              <w:rPr>
                <w:spacing w:val="-2"/>
                <w:sz w:val="21"/>
              </w:rPr>
              <w:t>官移植手术</w:t>
            </w:r>
            <w:r>
              <w:rPr>
                <w:sz w:val="21"/>
              </w:rPr>
              <w:t>（</w:t>
            </w:r>
            <w:r>
              <w:rPr>
                <w:spacing w:val="-3"/>
                <w:sz w:val="21"/>
              </w:rPr>
              <w:t>供体必须是人体器官</w:t>
            </w:r>
            <w:r>
              <w:rPr>
                <w:spacing w:val="-108"/>
                <w:sz w:val="21"/>
              </w:rPr>
              <w:t>）</w:t>
            </w:r>
            <w:r>
              <w:rPr>
                <w:sz w:val="21"/>
              </w:rPr>
              <w:t>。</w:t>
            </w:r>
          </w:p>
          <w:p>
            <w:pPr>
              <w:pStyle w:val="TableParagraph"/>
              <w:spacing w:before="36"/>
              <w:ind w:left="313"/>
              <w:rPr>
                <w:b/>
                <w:sz w:val="21"/>
              </w:rPr>
            </w:pPr>
            <w:r>
              <w:rPr>
                <w:b/>
                <w:sz w:val="21"/>
              </w:rPr>
              <w:t>单纯胰岛移植、部分胰腺组织或细胞的移植不在保障范围内。</w:t>
            </w:r>
          </w:p>
        </w:tc>
      </w:tr>
      <w:tr>
        <w:trPr>
          <w:trHeight w:val="943" w:hRule="atLeast"/>
        </w:trPr>
        <w:tc>
          <w:tcPr>
            <w:tcW w:w="542" w:type="dxa"/>
          </w:tcPr>
          <w:p>
            <w:pPr>
              <w:pStyle w:val="TableParagraph"/>
              <w:spacing w:before="38"/>
              <w:ind w:left="0" w:right="77"/>
              <w:jc w:val="right"/>
              <w:rPr>
                <w:rFonts w:ascii="Times New Roman"/>
                <w:sz w:val="21"/>
              </w:rPr>
            </w:pPr>
            <w:r>
              <w:rPr>
                <w:rFonts w:ascii="Times New Roman"/>
                <w:sz w:val="21"/>
              </w:rPr>
              <w:t>45.</w:t>
            </w:r>
          </w:p>
        </w:tc>
        <w:tc>
          <w:tcPr>
            <w:tcW w:w="3125" w:type="dxa"/>
          </w:tcPr>
          <w:p>
            <w:pPr>
              <w:pStyle w:val="TableParagraph"/>
              <w:spacing w:line="266" w:lineRule="exact"/>
              <w:ind w:left="78"/>
              <w:rPr>
                <w:sz w:val="21"/>
              </w:rPr>
            </w:pPr>
            <w:r>
              <w:rPr>
                <w:sz w:val="21"/>
              </w:rPr>
              <w:t>埃博拉病毒感染</w:t>
            </w:r>
          </w:p>
        </w:tc>
        <w:tc>
          <w:tcPr>
            <w:tcW w:w="6634" w:type="dxa"/>
          </w:tcPr>
          <w:p>
            <w:pPr>
              <w:pStyle w:val="TableParagraph"/>
              <w:spacing w:line="273" w:lineRule="auto"/>
              <w:ind w:left="313" w:right="197"/>
              <w:rPr>
                <w:sz w:val="21"/>
              </w:rPr>
            </w:pPr>
            <w:r>
              <w:rPr>
                <w:sz w:val="21"/>
              </w:rPr>
              <w:t>指受埃博拉病毒感染导致出血性发热。埃博拉病必须经国家机关认可的有合法资质的传染病专家确诊，并且埃博拉病毒的存在必须经</w:t>
            </w:r>
          </w:p>
          <w:p>
            <w:pPr>
              <w:pStyle w:val="TableParagraph"/>
              <w:spacing w:before="16"/>
              <w:ind w:left="313"/>
              <w:rPr>
                <w:sz w:val="21"/>
              </w:rPr>
            </w:pPr>
            <w:r>
              <w:rPr>
                <w:sz w:val="21"/>
              </w:rPr>
              <w:t>过实验室检查证实。该病必须从症状开始后</w:t>
            </w:r>
            <w:r>
              <w:rPr>
                <w:rFonts w:ascii="Times New Roman" w:eastAsia="Times New Roman"/>
                <w:sz w:val="21"/>
              </w:rPr>
              <w:t>30</w:t>
            </w:r>
            <w:r>
              <w:rPr>
                <w:sz w:val="21"/>
              </w:rPr>
              <w:t>天后持续出现并发症</w:t>
            </w:r>
          </w:p>
        </w:tc>
      </w:tr>
      <w:tr>
        <w:trPr>
          <w:trHeight w:val="1239" w:hRule="atLeast"/>
        </w:trPr>
        <w:tc>
          <w:tcPr>
            <w:tcW w:w="542" w:type="dxa"/>
          </w:tcPr>
          <w:p>
            <w:pPr>
              <w:pStyle w:val="TableParagraph"/>
              <w:spacing w:before="30"/>
              <w:ind w:left="0" w:right="75"/>
              <w:jc w:val="right"/>
              <w:rPr>
                <w:rFonts w:ascii="Times New Roman"/>
                <w:sz w:val="21"/>
              </w:rPr>
            </w:pPr>
            <w:r>
              <w:rPr>
                <w:rFonts w:ascii="Times New Roman"/>
                <w:sz w:val="21"/>
              </w:rPr>
              <w:t>46.</w:t>
            </w:r>
          </w:p>
        </w:tc>
        <w:tc>
          <w:tcPr>
            <w:tcW w:w="3125" w:type="dxa"/>
          </w:tcPr>
          <w:p>
            <w:pPr>
              <w:pStyle w:val="TableParagraph"/>
              <w:spacing w:line="258" w:lineRule="exact"/>
              <w:ind w:left="78"/>
              <w:rPr>
                <w:sz w:val="21"/>
              </w:rPr>
            </w:pPr>
            <w:r>
              <w:rPr>
                <w:sz w:val="21"/>
              </w:rPr>
              <w:t>破裂脑动脉瘤夹闭手术</w:t>
            </w:r>
          </w:p>
        </w:tc>
        <w:tc>
          <w:tcPr>
            <w:tcW w:w="6634" w:type="dxa"/>
          </w:tcPr>
          <w:p>
            <w:pPr>
              <w:pStyle w:val="TableParagraph"/>
              <w:spacing w:line="258" w:lineRule="exact"/>
              <w:ind w:left="313"/>
              <w:rPr>
                <w:sz w:val="21"/>
              </w:rPr>
            </w:pPr>
            <w:r>
              <w:rPr>
                <w:sz w:val="21"/>
              </w:rPr>
              <w:t>指因脑动脉瘤破裂造成蛛网膜下腔出血，被保险人实际接受了在全</w:t>
            </w:r>
          </w:p>
          <w:p>
            <w:pPr>
              <w:pStyle w:val="TableParagraph"/>
              <w:spacing w:before="37"/>
              <w:ind w:left="313"/>
              <w:rPr>
                <w:sz w:val="21"/>
              </w:rPr>
            </w:pPr>
            <w:r>
              <w:rPr>
                <w:sz w:val="21"/>
              </w:rPr>
              <w:t>麻下进行的开颅动脉瘤夹闭手术。</w:t>
            </w:r>
          </w:p>
          <w:p>
            <w:pPr>
              <w:pStyle w:val="TableParagraph"/>
              <w:spacing w:line="310" w:lineRule="atLeast" w:before="2"/>
              <w:ind w:left="313" w:right="303"/>
              <w:rPr>
                <w:b/>
                <w:sz w:val="21"/>
              </w:rPr>
            </w:pPr>
            <w:r>
              <w:rPr>
                <w:b/>
                <w:spacing w:val="-7"/>
                <w:sz w:val="21"/>
              </w:rPr>
              <w:t>脑动脉瘤</w:t>
            </w:r>
            <w:r>
              <w:rPr>
                <w:b/>
                <w:sz w:val="21"/>
              </w:rPr>
              <w:t>（未破裂</w:t>
            </w:r>
            <w:r>
              <w:rPr>
                <w:b/>
                <w:spacing w:val="-27"/>
                <w:sz w:val="21"/>
              </w:rPr>
              <w:t>）</w:t>
            </w:r>
            <w:r>
              <w:rPr>
                <w:b/>
                <w:spacing w:val="-8"/>
                <w:sz w:val="21"/>
              </w:rPr>
              <w:t>预防性手术、颅骨打孔手术、动脉瘤栓塞手术血管内手术及其他颅脑手术不在保障范围内。</w:t>
            </w:r>
          </w:p>
        </w:tc>
      </w:tr>
      <w:tr>
        <w:trPr>
          <w:trHeight w:val="594" w:hRule="atLeast"/>
        </w:trPr>
        <w:tc>
          <w:tcPr>
            <w:tcW w:w="542" w:type="dxa"/>
          </w:tcPr>
          <w:p>
            <w:pPr>
              <w:pStyle w:val="TableParagraph"/>
              <w:spacing w:before="38"/>
              <w:ind w:left="0" w:right="75"/>
              <w:jc w:val="right"/>
              <w:rPr>
                <w:rFonts w:ascii="Times New Roman"/>
                <w:sz w:val="21"/>
              </w:rPr>
            </w:pPr>
            <w:r>
              <w:rPr>
                <w:rFonts w:ascii="Times New Roman"/>
                <w:sz w:val="21"/>
              </w:rPr>
              <w:t>47.</w:t>
            </w:r>
          </w:p>
        </w:tc>
        <w:tc>
          <w:tcPr>
            <w:tcW w:w="3125" w:type="dxa"/>
          </w:tcPr>
          <w:p>
            <w:pPr>
              <w:pStyle w:val="TableParagraph"/>
              <w:spacing w:line="266" w:lineRule="exact"/>
              <w:ind w:left="78"/>
              <w:rPr>
                <w:sz w:val="21"/>
              </w:rPr>
            </w:pPr>
            <w:r>
              <w:rPr>
                <w:sz w:val="21"/>
              </w:rPr>
              <w:t>丝虫病所致象皮肿</w:t>
            </w:r>
          </w:p>
        </w:tc>
        <w:tc>
          <w:tcPr>
            <w:tcW w:w="6634" w:type="dxa"/>
          </w:tcPr>
          <w:p>
            <w:pPr>
              <w:pStyle w:val="TableParagraph"/>
              <w:spacing w:line="266" w:lineRule="exact"/>
              <w:ind w:left="313"/>
              <w:rPr>
                <w:sz w:val="21"/>
              </w:rPr>
            </w:pPr>
            <w:r>
              <w:rPr>
                <w:sz w:val="21"/>
              </w:rPr>
              <w:t>指因丝虫感染导致淋巴阻塞性出现严重淋巴水肿，达到国际淋巴学</w:t>
            </w:r>
          </w:p>
          <w:p>
            <w:pPr>
              <w:pStyle w:val="TableParagraph"/>
              <w:spacing w:line="271" w:lineRule="exact" w:before="37"/>
              <w:ind w:left="313"/>
              <w:rPr>
                <w:sz w:val="21"/>
              </w:rPr>
            </w:pPr>
            <w:r>
              <w:rPr>
                <w:sz w:val="21"/>
              </w:rPr>
              <w:t>会淋巴水肿分期第 </w:t>
            </w:r>
            <w:r>
              <w:rPr>
                <w:rFonts w:ascii="Times New Roman" w:eastAsia="Times New Roman"/>
                <w:sz w:val="21"/>
              </w:rPr>
              <w:t>III </w:t>
            </w:r>
            <w:r>
              <w:rPr>
                <w:sz w:val="21"/>
              </w:rPr>
              <w:t>期，临床表现为肢体象皮肿，患肢较健肢增粗</w:t>
            </w:r>
          </w:p>
        </w:tc>
      </w:tr>
    </w:tbl>
    <w:p>
      <w:pPr>
        <w:spacing w:after="0" w:line="271" w:lineRule="exact"/>
        <w:rPr>
          <w:sz w:val="21"/>
        </w:rPr>
        <w:sectPr>
          <w:pgSz w:w="11910" w:h="16160"/>
          <w:pgMar w:header="0" w:footer="631" w:top="1420" w:bottom="82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30"/>
        <w:gridCol w:w="6531"/>
      </w:tblGrid>
      <w:tr>
        <w:trPr>
          <w:trHeight w:val="277" w:hRule="atLeast"/>
        </w:trPr>
        <w:tc>
          <w:tcPr>
            <w:tcW w:w="542" w:type="dxa"/>
          </w:tcPr>
          <w:p>
            <w:pPr>
              <w:pStyle w:val="TableParagraph"/>
              <w:ind w:left="0"/>
              <w:rPr>
                <w:rFonts w:ascii="Times New Roman"/>
                <w:sz w:val="20"/>
              </w:rPr>
            </w:pPr>
          </w:p>
        </w:tc>
        <w:tc>
          <w:tcPr>
            <w:tcW w:w="3230" w:type="dxa"/>
          </w:tcPr>
          <w:p>
            <w:pPr>
              <w:pStyle w:val="TableParagraph"/>
              <w:ind w:left="0"/>
              <w:rPr>
                <w:rFonts w:ascii="Times New Roman"/>
                <w:sz w:val="20"/>
              </w:rPr>
            </w:pPr>
          </w:p>
        </w:tc>
        <w:tc>
          <w:tcPr>
            <w:tcW w:w="6531" w:type="dxa"/>
          </w:tcPr>
          <w:p>
            <w:pPr>
              <w:pStyle w:val="TableParagraph"/>
              <w:spacing w:line="234" w:lineRule="exact"/>
              <w:rPr>
                <w:sz w:val="21"/>
              </w:rPr>
            </w:pPr>
            <w:r>
              <w:rPr>
                <w:rFonts w:ascii="Times New Roman" w:eastAsia="Times New Roman"/>
                <w:sz w:val="21"/>
              </w:rPr>
              <w:t>30%</w:t>
            </w:r>
            <w:r>
              <w:rPr>
                <w:sz w:val="21"/>
              </w:rPr>
              <w:t>以上，日常生活不能自理。</w:t>
            </w:r>
          </w:p>
        </w:tc>
      </w:tr>
      <w:tr>
        <w:trPr>
          <w:trHeight w:val="1246" w:hRule="atLeast"/>
        </w:trPr>
        <w:tc>
          <w:tcPr>
            <w:tcW w:w="542" w:type="dxa"/>
          </w:tcPr>
          <w:p>
            <w:pPr>
              <w:pStyle w:val="TableParagraph"/>
              <w:spacing w:before="36"/>
              <w:ind w:left="0" w:right="75"/>
              <w:jc w:val="right"/>
              <w:rPr>
                <w:rFonts w:ascii="Times New Roman"/>
                <w:sz w:val="21"/>
              </w:rPr>
            </w:pPr>
            <w:r>
              <w:rPr>
                <w:rFonts w:ascii="Times New Roman"/>
                <w:sz w:val="21"/>
              </w:rPr>
              <w:t>48.</w:t>
            </w:r>
          </w:p>
        </w:tc>
        <w:tc>
          <w:tcPr>
            <w:tcW w:w="3230" w:type="dxa"/>
          </w:tcPr>
          <w:p>
            <w:pPr>
              <w:pStyle w:val="TableParagraph"/>
              <w:spacing w:line="264" w:lineRule="exact"/>
              <w:ind w:left="78"/>
              <w:rPr>
                <w:sz w:val="21"/>
              </w:rPr>
            </w:pPr>
            <w:r>
              <w:rPr>
                <w:sz w:val="21"/>
              </w:rPr>
              <w:t>急性坏死性胰腺炎开腹手术</w:t>
            </w:r>
          </w:p>
        </w:tc>
        <w:tc>
          <w:tcPr>
            <w:tcW w:w="6531" w:type="dxa"/>
          </w:tcPr>
          <w:p>
            <w:pPr>
              <w:pStyle w:val="TableParagraph"/>
              <w:spacing w:line="273" w:lineRule="auto"/>
              <w:ind w:right="223"/>
              <w:rPr>
                <w:sz w:val="21"/>
              </w:rPr>
            </w:pPr>
            <w:r>
              <w:rPr>
                <w:sz w:val="21"/>
              </w:rPr>
              <w:t>指为治疗急性坏死性胰腺炎，实际实施了开腹进行的坏死组织清除术、病灶切除术或胰腺部分切除术。</w:t>
            </w:r>
          </w:p>
          <w:p>
            <w:pPr>
              <w:pStyle w:val="TableParagraph"/>
              <w:spacing w:line="312" w:lineRule="exact" w:before="14"/>
              <w:ind w:right="199"/>
              <w:rPr>
                <w:sz w:val="21"/>
              </w:rPr>
            </w:pPr>
            <w:r>
              <w:rPr>
                <w:b/>
                <w:sz w:val="21"/>
              </w:rPr>
              <w:t>为治疗因酒精中毒引起的急性坏死性胰腺炎的开腹手术不在保障范围内</w:t>
            </w:r>
            <w:r>
              <w:rPr>
                <w:sz w:val="21"/>
              </w:rPr>
              <w:t>。</w:t>
            </w:r>
          </w:p>
        </w:tc>
      </w:tr>
      <w:tr>
        <w:trPr>
          <w:trHeight w:val="1560" w:hRule="atLeast"/>
        </w:trPr>
        <w:tc>
          <w:tcPr>
            <w:tcW w:w="542" w:type="dxa"/>
          </w:tcPr>
          <w:p>
            <w:pPr>
              <w:pStyle w:val="TableParagraph"/>
              <w:spacing w:before="38"/>
              <w:ind w:left="0" w:right="75"/>
              <w:jc w:val="right"/>
              <w:rPr>
                <w:rFonts w:ascii="Times New Roman"/>
                <w:sz w:val="21"/>
              </w:rPr>
            </w:pPr>
            <w:r>
              <w:rPr>
                <w:rFonts w:ascii="Times New Roman"/>
                <w:sz w:val="21"/>
              </w:rPr>
              <w:t>49.</w:t>
            </w:r>
          </w:p>
        </w:tc>
        <w:tc>
          <w:tcPr>
            <w:tcW w:w="3230" w:type="dxa"/>
          </w:tcPr>
          <w:p>
            <w:pPr>
              <w:pStyle w:val="TableParagraph"/>
              <w:spacing w:line="266" w:lineRule="exact"/>
              <w:ind w:left="78"/>
              <w:rPr>
                <w:sz w:val="21"/>
              </w:rPr>
            </w:pPr>
            <w:r>
              <w:rPr>
                <w:sz w:val="21"/>
              </w:rPr>
              <w:t>主动脉夹层血肿</w:t>
            </w:r>
          </w:p>
        </w:tc>
        <w:tc>
          <w:tcPr>
            <w:tcW w:w="6531" w:type="dxa"/>
          </w:tcPr>
          <w:p>
            <w:pPr>
              <w:pStyle w:val="TableParagraph"/>
              <w:spacing w:line="264" w:lineRule="auto"/>
              <w:ind w:right="196"/>
              <w:jc w:val="both"/>
              <w:rPr>
                <w:sz w:val="21"/>
              </w:rPr>
            </w:pPr>
            <w:r>
              <w:rPr>
                <w:spacing w:val="-2"/>
                <w:sz w:val="21"/>
              </w:rPr>
              <w:t>是指主动脉壁在受到某些病理因素的破坏后，高速、高压的主动脉</w:t>
            </w:r>
            <w:r>
              <w:rPr>
                <w:spacing w:val="-3"/>
                <w:sz w:val="21"/>
              </w:rPr>
              <w:t>血流将其内膜撕裂，以致主动脉腔内的血流通过主动脉内膜的破裂</w:t>
            </w:r>
            <w:r>
              <w:rPr>
                <w:spacing w:val="-10"/>
                <w:w w:val="100"/>
                <w:sz w:val="21"/>
              </w:rPr>
              <w:t>口进入主动脉内壁而形成血肿。被保险人需通过</w:t>
            </w:r>
            <w:r>
              <w:rPr>
                <w:rFonts w:ascii="Times New Roman" w:eastAsia="Times New Roman"/>
                <w:spacing w:val="0"/>
                <w:w w:val="100"/>
                <w:sz w:val="21"/>
              </w:rPr>
              <w:t>X</w:t>
            </w:r>
            <w:r>
              <w:rPr>
                <w:spacing w:val="-22"/>
                <w:w w:val="100"/>
                <w:sz w:val="21"/>
              </w:rPr>
              <w:t>线断层扫描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
                <w:w w:val="100"/>
                <w:sz w:val="21"/>
              </w:rPr>
              <w:t>磁共振扫描</w:t>
            </w:r>
            <w:r>
              <w:rPr>
                <w:spacing w:val="5"/>
                <w:w w:val="100"/>
                <w:sz w:val="21"/>
              </w:rPr>
              <w:t>（</w:t>
            </w:r>
            <w:r>
              <w:rPr>
                <w:rFonts w:ascii="Times New Roman" w:eastAsia="Times New Roman"/>
                <w:w w:val="100"/>
                <w:sz w:val="21"/>
              </w:rPr>
              <w:t>MR</w:t>
            </w:r>
            <w:r>
              <w:rPr>
                <w:rFonts w:ascii="Times New Roman" w:eastAsia="Times New Roman"/>
                <w:spacing w:val="0"/>
                <w:w w:val="100"/>
                <w:sz w:val="21"/>
              </w:rPr>
              <w:t>I</w:t>
            </w:r>
            <w:r>
              <w:rPr>
                <w:spacing w:val="-104"/>
                <w:w w:val="100"/>
                <w:sz w:val="21"/>
              </w:rPr>
              <w:t>）</w:t>
            </w:r>
            <w:r>
              <w:rPr>
                <w:w w:val="100"/>
                <w:sz w:val="21"/>
              </w:rPr>
              <w:t>、磁共振血管检验法</w:t>
            </w:r>
            <w:r>
              <w:rPr>
                <w:spacing w:val="7"/>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2"/>
                <w:w w:val="100"/>
                <w:sz w:val="21"/>
              </w:rPr>
              <w:t>A</w:t>
            </w:r>
            <w:r>
              <w:rPr>
                <w:spacing w:val="1"/>
                <w:w w:val="100"/>
                <w:sz w:val="21"/>
              </w:rPr>
              <w:t>）</w:t>
            </w:r>
            <w:r>
              <w:rPr>
                <w:w w:val="100"/>
                <w:sz w:val="21"/>
              </w:rPr>
              <w:t>或血管扫描等检</w:t>
            </w:r>
            <w:r>
              <w:rPr>
                <w:spacing w:val="-3"/>
                <w:sz w:val="21"/>
              </w:rPr>
              <w:t>查，并且实施了胸腹切开的直视主动脉手术。</w:t>
            </w:r>
          </w:p>
        </w:tc>
      </w:tr>
      <w:tr>
        <w:trPr>
          <w:trHeight w:val="2192" w:hRule="atLeast"/>
        </w:trPr>
        <w:tc>
          <w:tcPr>
            <w:tcW w:w="542" w:type="dxa"/>
          </w:tcPr>
          <w:p>
            <w:pPr>
              <w:pStyle w:val="TableParagraph"/>
              <w:spacing w:before="38"/>
              <w:ind w:left="0" w:right="75"/>
              <w:jc w:val="right"/>
              <w:rPr>
                <w:rFonts w:ascii="Times New Roman"/>
                <w:sz w:val="21"/>
              </w:rPr>
            </w:pPr>
            <w:r>
              <w:rPr>
                <w:rFonts w:ascii="Times New Roman"/>
                <w:sz w:val="21"/>
              </w:rPr>
              <w:t>50.</w:t>
            </w:r>
          </w:p>
        </w:tc>
        <w:tc>
          <w:tcPr>
            <w:tcW w:w="3230" w:type="dxa"/>
          </w:tcPr>
          <w:p>
            <w:pPr>
              <w:pStyle w:val="TableParagraph"/>
              <w:spacing w:line="266" w:lineRule="exact"/>
              <w:ind w:left="78"/>
              <w:rPr>
                <w:sz w:val="21"/>
              </w:rPr>
            </w:pPr>
            <w:r>
              <w:rPr>
                <w:sz w:val="21"/>
              </w:rPr>
              <w:t>系统性硬皮病</w:t>
            </w:r>
          </w:p>
        </w:tc>
        <w:tc>
          <w:tcPr>
            <w:tcW w:w="6531" w:type="dxa"/>
          </w:tcPr>
          <w:p>
            <w:pPr>
              <w:pStyle w:val="TableParagraph"/>
              <w:spacing w:line="273" w:lineRule="auto"/>
              <w:ind w:right="199"/>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16"/>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line="256" w:lineRule="auto" w:before="20"/>
              <w:ind w:right="202"/>
              <w:jc w:val="both"/>
              <w:rPr>
                <w:sz w:val="21"/>
              </w:rPr>
            </w:pPr>
            <w:r>
              <w:rPr>
                <w:spacing w:val="-16"/>
                <w:sz w:val="21"/>
              </w:rPr>
              <w:t>（</w:t>
            </w:r>
            <w:r>
              <w:rPr>
                <w:rFonts w:ascii="Times New Roman" w:eastAsia="Times New Roman"/>
                <w:spacing w:val="-16"/>
                <w:sz w:val="21"/>
              </w:rPr>
              <w:t>2</w:t>
            </w:r>
            <w:r>
              <w:rPr>
                <w:spacing w:val="-16"/>
                <w:sz w:val="21"/>
              </w:rPr>
              <w:t>）</w:t>
            </w:r>
            <w:r>
              <w:rPr>
                <w:spacing w:val="-8"/>
                <w:sz w:val="21"/>
              </w:rPr>
              <w:t>心脏：心功能受损达到美国纽约心脏病学会心功能状态分级</w:t>
            </w:r>
            <w:r>
              <w:rPr>
                <w:rFonts w:ascii="Times New Roman" w:eastAsia="Times New Roman"/>
                <w:spacing w:val="-4"/>
                <w:sz w:val="21"/>
              </w:rPr>
              <w:t>IV </w:t>
            </w:r>
            <w:r>
              <w:rPr>
                <w:sz w:val="21"/>
              </w:rPr>
              <w:t>级；</w:t>
            </w:r>
          </w:p>
          <w:p>
            <w:pPr>
              <w:pStyle w:val="TableParagraph"/>
              <w:spacing w:before="22"/>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42" w:type="dxa"/>
          </w:tcPr>
          <w:p>
            <w:pPr>
              <w:pStyle w:val="TableParagraph"/>
              <w:spacing w:before="30"/>
              <w:ind w:left="0" w:right="75"/>
              <w:jc w:val="right"/>
              <w:rPr>
                <w:rFonts w:ascii="Times New Roman"/>
                <w:sz w:val="21"/>
              </w:rPr>
            </w:pPr>
            <w:r>
              <w:rPr>
                <w:rFonts w:ascii="Times New Roman"/>
                <w:sz w:val="21"/>
              </w:rPr>
              <w:t>51.</w:t>
            </w:r>
          </w:p>
        </w:tc>
        <w:tc>
          <w:tcPr>
            <w:tcW w:w="3230" w:type="dxa"/>
          </w:tcPr>
          <w:p>
            <w:pPr>
              <w:pStyle w:val="TableParagraph"/>
              <w:spacing w:line="258" w:lineRule="exact"/>
              <w:ind w:left="78"/>
              <w:rPr>
                <w:sz w:val="21"/>
              </w:rPr>
            </w:pPr>
            <w:r>
              <w:rPr>
                <w:sz w:val="21"/>
              </w:rPr>
              <w:t>原发性硬化性胆管炎</w:t>
            </w:r>
          </w:p>
        </w:tc>
        <w:tc>
          <w:tcPr>
            <w:tcW w:w="6531" w:type="dxa"/>
          </w:tcPr>
          <w:p>
            <w:pPr>
              <w:pStyle w:val="TableParagraph"/>
              <w:spacing w:line="258" w:lineRule="exact"/>
              <w:rPr>
                <w:sz w:val="21"/>
              </w:rPr>
            </w:pPr>
            <w:r>
              <w:rPr>
                <w:sz w:val="21"/>
              </w:rPr>
              <w:t>指一种胆汁淤积综合征，其特征是肝内、肝外胆道因纤维化性炎症</w:t>
            </w:r>
          </w:p>
          <w:p>
            <w:pPr>
              <w:pStyle w:val="TableParagraph"/>
              <w:spacing w:line="273" w:lineRule="auto" w:before="37"/>
              <w:ind w:right="199"/>
              <w:rPr>
                <w:sz w:val="21"/>
              </w:rPr>
            </w:pPr>
            <w:r>
              <w:rPr>
                <w:sz w:val="21"/>
              </w:rPr>
              <w:t>逐渐狭窄，并最终导致完全阻塞而发展为肝硬化。本病须经内镜逆行胰胆管造影等影像学检查证实，并须满足下列全部条件：</w:t>
            </w:r>
          </w:p>
          <w:p>
            <w:pPr>
              <w:pStyle w:val="TableParagraph"/>
              <w:spacing w:before="7"/>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rPr>
                <w:sz w:val="21"/>
              </w:rPr>
            </w:pPr>
            <w:r>
              <w:rPr>
                <w:sz w:val="21"/>
              </w:rPr>
              <w:t>（</w:t>
            </w:r>
            <w:r>
              <w:rPr>
                <w:rFonts w:ascii="Times New Roman" w:eastAsia="Times New Roman"/>
                <w:sz w:val="21"/>
              </w:rPr>
              <w:t>2</w:t>
            </w:r>
            <w:r>
              <w:rPr>
                <w:sz w:val="21"/>
              </w:rPr>
              <w:t>）持续性黄疸病史；</w:t>
            </w:r>
          </w:p>
          <w:p>
            <w:pPr>
              <w:pStyle w:val="TableParagraph"/>
              <w:spacing w:before="21"/>
              <w:rPr>
                <w:sz w:val="21"/>
              </w:rPr>
            </w:pPr>
            <w:r>
              <w:rPr>
                <w:sz w:val="21"/>
              </w:rPr>
              <w:t>（</w:t>
            </w:r>
            <w:r>
              <w:rPr>
                <w:rFonts w:ascii="Times New Roman" w:eastAsia="Times New Roman"/>
                <w:sz w:val="21"/>
              </w:rPr>
              <w:t>3</w:t>
            </w:r>
            <w:r>
              <w:rPr>
                <w:sz w:val="21"/>
              </w:rPr>
              <w:t>）出现胆汁性肝硬化或门脉高压。</w:t>
            </w:r>
          </w:p>
          <w:p>
            <w:pPr>
              <w:pStyle w:val="TableParagraph"/>
              <w:spacing w:before="21"/>
              <w:rPr>
                <w:b/>
                <w:sz w:val="21"/>
              </w:rPr>
            </w:pPr>
            <w:r>
              <w:rPr>
                <w:b/>
                <w:sz w:val="21"/>
              </w:rPr>
              <w:t>因肿瘤或胆管损伤等继发性的硬化性胆管炎不在保障范围内。</w:t>
            </w:r>
          </w:p>
        </w:tc>
      </w:tr>
      <w:tr>
        <w:trPr>
          <w:trHeight w:val="4056" w:hRule="atLeast"/>
        </w:trPr>
        <w:tc>
          <w:tcPr>
            <w:tcW w:w="542" w:type="dxa"/>
          </w:tcPr>
          <w:p>
            <w:pPr>
              <w:pStyle w:val="TableParagraph"/>
              <w:spacing w:before="38"/>
              <w:ind w:left="0" w:right="75"/>
              <w:jc w:val="right"/>
              <w:rPr>
                <w:rFonts w:ascii="Times New Roman"/>
                <w:sz w:val="21"/>
              </w:rPr>
            </w:pPr>
            <w:r>
              <w:rPr>
                <w:rFonts w:ascii="Times New Roman"/>
                <w:sz w:val="21"/>
              </w:rPr>
              <w:t>52.</w:t>
            </w:r>
          </w:p>
        </w:tc>
        <w:tc>
          <w:tcPr>
            <w:tcW w:w="3230" w:type="dxa"/>
          </w:tcPr>
          <w:p>
            <w:pPr>
              <w:pStyle w:val="TableParagraph"/>
              <w:spacing w:line="273" w:lineRule="auto"/>
              <w:ind w:left="78" w:right="204"/>
              <w:rPr>
                <w:sz w:val="21"/>
              </w:rPr>
            </w:pPr>
            <w:r>
              <w:rPr>
                <w:sz w:val="21"/>
              </w:rPr>
              <w:t>经输血导致的人类免疫缺陷病毒感染</w:t>
            </w:r>
          </w:p>
        </w:tc>
        <w:tc>
          <w:tcPr>
            <w:tcW w:w="6531" w:type="dxa"/>
          </w:tcPr>
          <w:p>
            <w:pPr>
              <w:pStyle w:val="TableParagraph"/>
              <w:spacing w:line="256" w:lineRule="auto"/>
              <w:ind w:right="202"/>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31"/>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right="121"/>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61" w:lineRule="auto" w:before="20"/>
              <w:ind w:right="199"/>
              <w:rPr>
                <w:sz w:val="21"/>
              </w:rPr>
            </w:pPr>
            <w:r>
              <w:rPr>
                <w:b/>
                <w:spacing w:val="-10"/>
                <w:sz w:val="21"/>
              </w:rPr>
              <w:t>在任何治愈艾滋病</w:t>
            </w:r>
            <w:r>
              <w:rPr>
                <w:b/>
                <w:spacing w:val="-15"/>
                <w:sz w:val="21"/>
              </w:rPr>
              <w:t>（</w:t>
            </w:r>
            <w:r>
              <w:rPr>
                <w:rFonts w:ascii="Times New Roman" w:eastAsia="Times New Roman"/>
                <w:b/>
                <w:spacing w:val="-15"/>
                <w:sz w:val="21"/>
              </w:rPr>
              <w:t>AIDS</w:t>
            </w:r>
            <w:r>
              <w:rPr>
                <w:b/>
                <w:spacing w:val="-15"/>
                <w:sz w:val="21"/>
              </w:rPr>
              <w:t>）</w:t>
            </w:r>
            <w:r>
              <w:rPr>
                <w:b/>
                <w:sz w:val="21"/>
              </w:rPr>
              <w:t>或阻止</w:t>
            </w:r>
            <w:r>
              <w:rPr>
                <w:rFonts w:ascii="Times New Roman" w:eastAsia="Times New Roman"/>
                <w:b/>
                <w:spacing w:val="-3"/>
                <w:sz w:val="21"/>
              </w:rPr>
              <w:t>HIV</w:t>
            </w:r>
            <w:r>
              <w:rPr>
                <w:b/>
                <w:spacing w:val="-1"/>
                <w:sz w:val="21"/>
              </w:rPr>
              <w:t>病毒作用的疗法被发现以后或能防止</w:t>
            </w:r>
            <w:r>
              <w:rPr>
                <w:rFonts w:ascii="Times New Roman" w:eastAsia="Times New Roman"/>
                <w:b/>
                <w:spacing w:val="-1"/>
                <w:sz w:val="21"/>
              </w:rPr>
              <w:t>AIDS</w:t>
            </w:r>
            <w:r>
              <w:rPr>
                <w:b/>
                <w:spacing w:val="-8"/>
                <w:sz w:val="21"/>
              </w:rPr>
              <w:t>发生的医疗方法被研究出来以后，本保障将不再予以赔付。任何因其他传播方式</w:t>
            </w:r>
            <w:r>
              <w:rPr>
                <w:b/>
                <w:sz w:val="21"/>
              </w:rPr>
              <w:t>（</w:t>
            </w:r>
            <w:r>
              <w:rPr>
                <w:b/>
                <w:spacing w:val="-1"/>
                <w:sz w:val="21"/>
              </w:rPr>
              <w:t>包括：性传播或静脉注射毒品</w:t>
            </w:r>
            <w:r>
              <w:rPr>
                <w:b/>
                <w:sz w:val="21"/>
              </w:rPr>
              <w:t>）导致</w:t>
            </w:r>
            <w:r>
              <w:rPr>
                <w:b/>
                <w:spacing w:val="2"/>
                <w:sz w:val="21"/>
              </w:rPr>
              <w:t>的</w:t>
            </w:r>
            <w:r>
              <w:rPr>
                <w:rFonts w:ascii="Times New Roman" w:eastAsia="Times New Roman"/>
                <w:b/>
                <w:spacing w:val="-3"/>
                <w:sz w:val="21"/>
              </w:rPr>
              <w:t>HIV</w:t>
            </w:r>
            <w:r>
              <w:rPr>
                <w:b/>
                <w:sz w:val="21"/>
              </w:rPr>
              <w:t>感染不在保障范围内。</w:t>
            </w:r>
            <w:r>
              <w:rPr>
                <w:sz w:val="21"/>
              </w:rPr>
              <w:t>我们保留获得使用被保险人的所有血</w:t>
            </w:r>
            <w:r>
              <w:rPr>
                <w:spacing w:val="-3"/>
                <w:sz w:val="21"/>
              </w:rPr>
              <w:t>液样本的权利，并对这些样本进行独立检验。</w:t>
            </w:r>
          </w:p>
          <w:p>
            <w:pPr>
              <w:pStyle w:val="TableParagraph"/>
              <w:spacing w:line="312" w:lineRule="exact" w:before="13"/>
              <w:ind w:right="199"/>
              <w:rPr>
                <w:sz w:val="21"/>
              </w:rPr>
            </w:pPr>
            <w:r>
              <w:rPr>
                <w:sz w:val="21"/>
              </w:rPr>
              <w:t>本附加合同第八条责任免除中“被保险人感染艾滋病病毒或患艾滋病”不适用于本项疾病。</w:t>
            </w:r>
          </w:p>
        </w:tc>
      </w:tr>
      <w:tr>
        <w:trPr>
          <w:trHeight w:val="1559" w:hRule="atLeast"/>
        </w:trPr>
        <w:tc>
          <w:tcPr>
            <w:tcW w:w="542" w:type="dxa"/>
          </w:tcPr>
          <w:p>
            <w:pPr>
              <w:pStyle w:val="TableParagraph"/>
              <w:spacing w:before="38"/>
              <w:ind w:left="0" w:right="75"/>
              <w:jc w:val="right"/>
              <w:rPr>
                <w:rFonts w:ascii="Times New Roman"/>
                <w:sz w:val="21"/>
              </w:rPr>
            </w:pPr>
            <w:r>
              <w:rPr>
                <w:rFonts w:ascii="Times New Roman"/>
                <w:sz w:val="21"/>
              </w:rPr>
              <w:t>53.</w:t>
            </w:r>
          </w:p>
        </w:tc>
        <w:tc>
          <w:tcPr>
            <w:tcW w:w="3230" w:type="dxa"/>
          </w:tcPr>
          <w:p>
            <w:pPr>
              <w:pStyle w:val="TableParagraph"/>
              <w:spacing w:line="266" w:lineRule="exact"/>
              <w:ind w:left="78"/>
              <w:rPr>
                <w:sz w:val="21"/>
              </w:rPr>
            </w:pPr>
            <w:r>
              <w:rPr>
                <w:sz w:val="21"/>
              </w:rPr>
              <w:t>疯牛病</w:t>
            </w:r>
          </w:p>
        </w:tc>
        <w:tc>
          <w:tcPr>
            <w:tcW w:w="6531" w:type="dxa"/>
          </w:tcPr>
          <w:p>
            <w:pPr>
              <w:pStyle w:val="TableParagraph"/>
              <w:spacing w:line="273" w:lineRule="auto"/>
              <w:ind w:right="198"/>
              <w:jc w:val="both"/>
              <w:rPr>
                <w:sz w:val="21"/>
              </w:rPr>
            </w:pPr>
            <w:r>
              <w:rPr>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p>
            <w:pPr>
              <w:pStyle w:val="TableParagraph"/>
              <w:spacing w:before="16"/>
              <w:jc w:val="both"/>
              <w:rPr>
                <w:b/>
                <w:sz w:val="21"/>
              </w:rPr>
            </w:pPr>
            <w:r>
              <w:rPr>
                <w:b/>
                <w:sz w:val="21"/>
              </w:rPr>
              <w:t>疑似诊断不作为理赔依据。</w:t>
            </w:r>
          </w:p>
        </w:tc>
      </w:tr>
      <w:tr>
        <w:trPr>
          <w:trHeight w:val="594" w:hRule="atLeast"/>
        </w:trPr>
        <w:tc>
          <w:tcPr>
            <w:tcW w:w="542" w:type="dxa"/>
          </w:tcPr>
          <w:p>
            <w:pPr>
              <w:pStyle w:val="TableParagraph"/>
              <w:spacing w:before="38"/>
              <w:ind w:left="0" w:right="75"/>
              <w:jc w:val="right"/>
              <w:rPr>
                <w:rFonts w:ascii="Times New Roman"/>
                <w:sz w:val="21"/>
              </w:rPr>
            </w:pPr>
            <w:r>
              <w:rPr>
                <w:rFonts w:ascii="Times New Roman"/>
                <w:sz w:val="21"/>
              </w:rPr>
              <w:t>54.</w:t>
            </w:r>
          </w:p>
        </w:tc>
        <w:tc>
          <w:tcPr>
            <w:tcW w:w="3230" w:type="dxa"/>
          </w:tcPr>
          <w:p>
            <w:pPr>
              <w:pStyle w:val="TableParagraph"/>
              <w:spacing w:line="266" w:lineRule="exact"/>
              <w:ind w:left="78"/>
              <w:rPr>
                <w:sz w:val="21"/>
              </w:rPr>
            </w:pPr>
            <w:r>
              <w:rPr>
                <w:sz w:val="21"/>
              </w:rPr>
              <w:t>慢性复发性胰腺炎</w:t>
            </w:r>
          </w:p>
        </w:tc>
        <w:tc>
          <w:tcPr>
            <w:tcW w:w="6531" w:type="dxa"/>
          </w:tcPr>
          <w:p>
            <w:pPr>
              <w:pStyle w:val="TableParagraph"/>
              <w:spacing w:line="266" w:lineRule="exact"/>
              <w:rPr>
                <w:sz w:val="21"/>
              </w:rPr>
            </w:pPr>
            <w:r>
              <w:rPr>
                <w:sz w:val="21"/>
              </w:rPr>
              <w:t>指有腹痛等典型症状的胰腺炎反复发作，导致胰腺进行性破坏，并</w:t>
            </w:r>
          </w:p>
          <w:p>
            <w:pPr>
              <w:pStyle w:val="TableParagraph"/>
              <w:spacing w:line="271" w:lineRule="exact" w:before="37"/>
              <w:rPr>
                <w:sz w:val="21"/>
              </w:rPr>
            </w:pPr>
            <w:r>
              <w:rPr>
                <w:sz w:val="21"/>
              </w:rPr>
              <w:t>导致胰腺功能紊乱而导致严重糖尿病以及营养不良、恶液质。</w:t>
            </w:r>
            <w:r>
              <w:rPr>
                <w:rFonts w:ascii="Times New Roman" w:eastAsia="Times New Roman"/>
                <w:sz w:val="21"/>
              </w:rPr>
              <w:t>CT</w:t>
            </w:r>
            <w:r>
              <w:rPr>
                <w:sz w:val="21"/>
              </w:rPr>
              <w:t>检</w:t>
            </w:r>
          </w:p>
        </w:tc>
      </w:tr>
    </w:tbl>
    <w:p>
      <w:pPr>
        <w:spacing w:after="0" w:line="271" w:lineRule="exact"/>
        <w:rPr>
          <w:sz w:val="21"/>
        </w:rPr>
        <w:sectPr>
          <w:pgSz w:w="11910" w:h="16160"/>
          <w:pgMar w:header="0" w:footer="631" w:top="1420" w:bottom="82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599"/>
        <w:gridCol w:w="7162"/>
      </w:tblGrid>
      <w:tr>
        <w:trPr>
          <w:trHeight w:val="888" w:hRule="atLeast"/>
        </w:trPr>
        <w:tc>
          <w:tcPr>
            <w:tcW w:w="542" w:type="dxa"/>
          </w:tcPr>
          <w:p>
            <w:pPr>
              <w:pStyle w:val="TableParagraph"/>
              <w:ind w:left="0"/>
              <w:rPr>
                <w:rFonts w:ascii="Times New Roman"/>
                <w:sz w:val="20"/>
              </w:rPr>
            </w:pPr>
          </w:p>
        </w:tc>
        <w:tc>
          <w:tcPr>
            <w:tcW w:w="2599" w:type="dxa"/>
          </w:tcPr>
          <w:p>
            <w:pPr>
              <w:pStyle w:val="TableParagraph"/>
              <w:ind w:left="0"/>
              <w:rPr>
                <w:rFonts w:ascii="Times New Roman"/>
                <w:sz w:val="20"/>
              </w:rPr>
            </w:pPr>
          </w:p>
        </w:tc>
        <w:tc>
          <w:tcPr>
            <w:tcW w:w="7162" w:type="dxa"/>
          </w:tcPr>
          <w:p>
            <w:pPr>
              <w:pStyle w:val="TableParagraph"/>
              <w:spacing w:line="234" w:lineRule="exact"/>
              <w:ind w:left="840"/>
              <w:rPr>
                <w:rFonts w:ascii="Times New Roman" w:eastAsia="Times New Roman"/>
                <w:sz w:val="21"/>
              </w:rPr>
            </w:pPr>
            <w:r>
              <w:rPr>
                <w:sz w:val="21"/>
              </w:rPr>
              <w:t>查证实胰腺存在广泛钙化，且必须接受酶替代以及胰岛素替代治疗</w:t>
            </w:r>
            <w:r>
              <w:rPr>
                <w:rFonts w:ascii="Times New Roman" w:eastAsia="Times New Roman"/>
                <w:sz w:val="21"/>
              </w:rPr>
              <w:t>6</w:t>
            </w:r>
          </w:p>
          <w:p>
            <w:pPr>
              <w:pStyle w:val="TableParagraph"/>
              <w:spacing w:line="312" w:lineRule="exact" w:before="17"/>
              <w:ind w:left="840" w:right="1891"/>
              <w:rPr>
                <w:b/>
                <w:sz w:val="21"/>
              </w:rPr>
            </w:pPr>
            <w:r>
              <w:rPr>
                <w:spacing w:val="-3"/>
                <w:sz w:val="21"/>
              </w:rPr>
              <w:t>个月以上。诊断必须由消化科专科医生确诊。 </w:t>
            </w:r>
            <w:r>
              <w:rPr>
                <w:b/>
                <w:spacing w:val="-3"/>
                <w:sz w:val="21"/>
              </w:rPr>
              <w:t>酒精导致的慢性复发性胰腺炎不在保障范围内。</w:t>
            </w:r>
          </w:p>
        </w:tc>
      </w:tr>
      <w:tr>
        <w:trPr>
          <w:trHeight w:val="1560" w:hRule="atLeast"/>
        </w:trPr>
        <w:tc>
          <w:tcPr>
            <w:tcW w:w="542" w:type="dxa"/>
          </w:tcPr>
          <w:p>
            <w:pPr>
              <w:pStyle w:val="TableParagraph"/>
              <w:spacing w:before="38"/>
              <w:ind w:left="0" w:right="75"/>
              <w:jc w:val="right"/>
              <w:rPr>
                <w:rFonts w:ascii="Times New Roman"/>
                <w:sz w:val="21"/>
              </w:rPr>
            </w:pPr>
            <w:r>
              <w:rPr>
                <w:rFonts w:ascii="Times New Roman"/>
                <w:sz w:val="21"/>
              </w:rPr>
              <w:t>55.</w:t>
            </w:r>
          </w:p>
        </w:tc>
        <w:tc>
          <w:tcPr>
            <w:tcW w:w="2599" w:type="dxa"/>
          </w:tcPr>
          <w:p>
            <w:pPr>
              <w:pStyle w:val="TableParagraph"/>
              <w:spacing w:line="266" w:lineRule="exact"/>
              <w:ind w:left="78"/>
              <w:rPr>
                <w:sz w:val="21"/>
              </w:rPr>
            </w:pPr>
            <w:r>
              <w:rPr>
                <w:sz w:val="21"/>
              </w:rPr>
              <w:t>终末期疾病</w:t>
            </w:r>
          </w:p>
        </w:tc>
        <w:tc>
          <w:tcPr>
            <w:tcW w:w="7162" w:type="dxa"/>
          </w:tcPr>
          <w:p>
            <w:pPr>
              <w:pStyle w:val="TableParagraph"/>
              <w:spacing w:line="273" w:lineRule="auto"/>
              <w:ind w:left="840" w:right="199"/>
              <w:jc w:val="both"/>
              <w:rPr>
                <w:sz w:val="21"/>
              </w:rPr>
            </w:pPr>
            <w:r>
              <w:rPr>
                <w:sz w:val="21"/>
              </w:rPr>
              <w:t>指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w:t>
            </w:r>
          </w:p>
          <w:p>
            <w:pPr>
              <w:pStyle w:val="TableParagraph"/>
              <w:spacing w:before="16"/>
              <w:ind w:left="840"/>
              <w:jc w:val="both"/>
              <w:rPr>
                <w:sz w:val="21"/>
              </w:rPr>
            </w:pPr>
            <w:r>
              <w:rPr>
                <w:sz w:val="21"/>
              </w:rPr>
              <w:t>保险人生前已经确诊并且具有医疗证明文件和临床检查依据。</w:t>
            </w:r>
          </w:p>
        </w:tc>
      </w:tr>
      <w:tr>
        <w:trPr>
          <w:trHeight w:val="2816" w:hRule="atLeast"/>
        </w:trPr>
        <w:tc>
          <w:tcPr>
            <w:tcW w:w="542" w:type="dxa"/>
          </w:tcPr>
          <w:p>
            <w:pPr>
              <w:pStyle w:val="TableParagraph"/>
              <w:spacing w:before="38"/>
              <w:ind w:left="0" w:right="77"/>
              <w:jc w:val="right"/>
              <w:rPr>
                <w:rFonts w:ascii="Times New Roman"/>
                <w:sz w:val="21"/>
              </w:rPr>
            </w:pPr>
            <w:r>
              <w:rPr>
                <w:rFonts w:ascii="Times New Roman"/>
                <w:sz w:val="21"/>
              </w:rPr>
              <w:t>56.</w:t>
            </w:r>
          </w:p>
        </w:tc>
        <w:tc>
          <w:tcPr>
            <w:tcW w:w="2599" w:type="dxa"/>
          </w:tcPr>
          <w:p>
            <w:pPr>
              <w:pStyle w:val="TableParagraph"/>
              <w:spacing w:line="266" w:lineRule="exact"/>
              <w:ind w:left="78"/>
              <w:rPr>
                <w:sz w:val="21"/>
              </w:rPr>
            </w:pPr>
            <w:r>
              <w:rPr>
                <w:sz w:val="21"/>
              </w:rPr>
              <w:t>肺源性心脏病</w:t>
            </w:r>
          </w:p>
        </w:tc>
        <w:tc>
          <w:tcPr>
            <w:tcW w:w="7162" w:type="dxa"/>
          </w:tcPr>
          <w:p>
            <w:pPr>
              <w:pStyle w:val="TableParagraph"/>
              <w:spacing w:line="273" w:lineRule="auto"/>
              <w:ind w:left="840" w:right="199"/>
              <w:jc w:val="both"/>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17"/>
              <w:ind w:left="840"/>
              <w:jc w:val="both"/>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2"/>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840"/>
              <w:jc w:val="both"/>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ind w:left="840"/>
              <w:jc w:val="both"/>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840"/>
              <w:jc w:val="both"/>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840"/>
              <w:jc w:val="both"/>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1"/>
              <w:ind w:left="840"/>
              <w:jc w:val="both"/>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542" w:type="dxa"/>
          </w:tcPr>
          <w:p>
            <w:pPr>
              <w:pStyle w:val="TableParagraph"/>
              <w:spacing w:before="30"/>
              <w:ind w:left="0" w:right="77"/>
              <w:jc w:val="right"/>
              <w:rPr>
                <w:rFonts w:ascii="Times New Roman"/>
                <w:sz w:val="21"/>
              </w:rPr>
            </w:pPr>
            <w:r>
              <w:rPr>
                <w:rFonts w:ascii="Times New Roman"/>
                <w:sz w:val="21"/>
              </w:rPr>
              <w:t>57.</w:t>
            </w:r>
          </w:p>
        </w:tc>
        <w:tc>
          <w:tcPr>
            <w:tcW w:w="2599" w:type="dxa"/>
          </w:tcPr>
          <w:p>
            <w:pPr>
              <w:pStyle w:val="TableParagraph"/>
              <w:spacing w:line="258" w:lineRule="exact"/>
              <w:ind w:left="78"/>
              <w:rPr>
                <w:sz w:val="21"/>
              </w:rPr>
            </w:pPr>
            <w:r>
              <w:rPr>
                <w:sz w:val="21"/>
              </w:rPr>
              <w:t>严重肌营养不良症</w:t>
            </w:r>
          </w:p>
        </w:tc>
        <w:tc>
          <w:tcPr>
            <w:tcW w:w="7162" w:type="dxa"/>
          </w:tcPr>
          <w:p>
            <w:pPr>
              <w:pStyle w:val="TableParagraph"/>
              <w:spacing w:line="258" w:lineRule="exact"/>
              <w:ind w:left="840"/>
              <w:rPr>
                <w:sz w:val="21"/>
              </w:rPr>
            </w:pPr>
            <w:r>
              <w:rPr>
                <w:sz w:val="21"/>
              </w:rPr>
              <w:t>指一组原发于肌肉的遗传性疾病，临床表现为与神经系统无关的肌</w:t>
            </w:r>
          </w:p>
          <w:p>
            <w:pPr>
              <w:pStyle w:val="TableParagraph"/>
              <w:spacing w:before="37"/>
              <w:ind w:left="840"/>
              <w:rPr>
                <w:sz w:val="21"/>
              </w:rPr>
            </w:pPr>
            <w:r>
              <w:rPr>
                <w:sz w:val="21"/>
              </w:rPr>
              <w:t>肉无力和肌肉萎缩。且须满足下列全部条件：</w:t>
            </w:r>
          </w:p>
          <w:p>
            <w:pPr>
              <w:pStyle w:val="TableParagraph"/>
              <w:spacing w:line="256" w:lineRule="auto" w:before="37"/>
              <w:ind w:left="840" w:right="122"/>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56" w:lineRule="auto" w:before="22"/>
              <w:ind w:left="840" w:right="199"/>
              <w:rPr>
                <w:sz w:val="21"/>
              </w:rPr>
            </w:pPr>
            <w:r>
              <w:rPr>
                <w:spacing w:val="-14"/>
                <w:sz w:val="21"/>
              </w:rPr>
              <w:t>（</w:t>
            </w:r>
            <w:r>
              <w:rPr>
                <w:rFonts w:ascii="Times New Roman" w:eastAsia="Times New Roman"/>
                <w:spacing w:val="-14"/>
                <w:sz w:val="21"/>
              </w:rPr>
              <w:t>2</w:t>
            </w:r>
            <w:r>
              <w:rPr>
                <w:spacing w:val="-14"/>
                <w:sz w:val="21"/>
              </w:rPr>
              <w:t>）</w:t>
            </w:r>
            <w:r>
              <w:rPr>
                <w:spacing w:val="-7"/>
                <w:sz w:val="21"/>
              </w:rPr>
              <w:t>自主生活能力完全丧失，无法独立完成六项基本日常生活活动</w:t>
            </w:r>
            <w:r>
              <w:rPr>
                <w:spacing w:val="-5"/>
                <w:sz w:val="21"/>
              </w:rPr>
              <w:t>中的三项或三项以上。</w:t>
            </w:r>
          </w:p>
          <w:p>
            <w:pPr>
              <w:pStyle w:val="TableParagraph"/>
              <w:spacing w:line="312" w:lineRule="exact" w:before="17"/>
              <w:ind w:left="840" w:right="199"/>
              <w:rPr>
                <w:sz w:val="21"/>
              </w:rPr>
            </w:pPr>
            <w:r>
              <w:rPr>
                <w:sz w:val="21"/>
              </w:rPr>
              <w:t>本附加合同第八条责任免除中“遗传性疾病，先天性畸形、变形或染色体异常”不适用于本项疾病。</w:t>
            </w:r>
          </w:p>
        </w:tc>
      </w:tr>
      <w:tr>
        <w:trPr>
          <w:trHeight w:val="890" w:hRule="atLeast"/>
        </w:trPr>
        <w:tc>
          <w:tcPr>
            <w:tcW w:w="542" w:type="dxa"/>
          </w:tcPr>
          <w:p>
            <w:pPr>
              <w:pStyle w:val="TableParagraph"/>
              <w:spacing w:before="38"/>
              <w:ind w:left="0" w:right="77"/>
              <w:jc w:val="right"/>
              <w:rPr>
                <w:rFonts w:ascii="Times New Roman"/>
                <w:sz w:val="21"/>
              </w:rPr>
            </w:pPr>
            <w:r>
              <w:rPr>
                <w:rFonts w:ascii="Times New Roman"/>
                <w:sz w:val="21"/>
              </w:rPr>
              <w:t>58.</w:t>
            </w:r>
          </w:p>
        </w:tc>
        <w:tc>
          <w:tcPr>
            <w:tcW w:w="2599" w:type="dxa"/>
          </w:tcPr>
          <w:p>
            <w:pPr>
              <w:pStyle w:val="TableParagraph"/>
              <w:spacing w:line="266" w:lineRule="exact"/>
              <w:ind w:left="78"/>
              <w:rPr>
                <w:sz w:val="21"/>
              </w:rPr>
            </w:pPr>
            <w:r>
              <w:rPr>
                <w:sz w:val="21"/>
              </w:rPr>
              <w:t>严重川崎病</w:t>
            </w:r>
          </w:p>
        </w:tc>
        <w:tc>
          <w:tcPr>
            <w:tcW w:w="7162" w:type="dxa"/>
          </w:tcPr>
          <w:p>
            <w:pPr>
              <w:pStyle w:val="TableParagraph"/>
              <w:spacing w:line="273" w:lineRule="auto"/>
              <w:ind w:left="840" w:right="198"/>
              <w:rPr>
                <w:sz w:val="21"/>
              </w:rPr>
            </w:pPr>
            <w:r>
              <w:rPr>
                <w:sz w:val="21"/>
              </w:rPr>
              <w:t>为一种病因不明的系统性血管炎。本附加合同仅对诊断性检查证实川崎病并发动脉瘤或其他心血管异常并且实际接受了手术治疗的情</w:t>
            </w:r>
          </w:p>
          <w:p>
            <w:pPr>
              <w:pStyle w:val="TableParagraph"/>
              <w:spacing w:line="255" w:lineRule="exact" w:before="16"/>
              <w:ind w:left="840"/>
              <w:rPr>
                <w:sz w:val="21"/>
              </w:rPr>
            </w:pPr>
            <w:r>
              <w:rPr>
                <w:sz w:val="21"/>
              </w:rPr>
              <w:t>况予以理赔。</w:t>
            </w:r>
          </w:p>
        </w:tc>
      </w:tr>
    </w:tbl>
    <w:p>
      <w:pPr>
        <w:pStyle w:val="BodyText"/>
        <w:rPr>
          <w:sz w:val="20"/>
        </w:rPr>
      </w:pPr>
    </w:p>
    <w:p>
      <w:pPr>
        <w:pStyle w:val="BodyText"/>
        <w:spacing w:before="7"/>
        <w:rPr>
          <w:sz w:val="27"/>
        </w:rPr>
      </w:pPr>
    </w:p>
    <w:p>
      <w:pPr>
        <w:spacing w:before="43"/>
        <w:ind w:left="0" w:right="29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420" w:bottom="820" w:left="7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Courier New">
    <w:altName w:val="Courier New"/>
    <w:charset w:val="0"/>
    <w:family w:val="modern"/>
    <w:pitch w:val="fixed"/>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66.690002pt;margin-top:761.429871pt;width:270.05pt;height:13.7pt;mso-position-horizontal-relative:page;mso-position-vertical-relative:page;z-index:-28072" type="#_x0000_t202" filled="false" stroked="false">
          <v:textbox inset="0,0,0,0">
            <w:txbxContent>
              <w:p>
                <w:pPr>
                  <w:pStyle w:val="BodyText"/>
                  <w:spacing w:line="254" w:lineRule="exact"/>
                  <w:ind w:left="20"/>
                </w:pPr>
                <w:r>
                  <w:rPr/>
                  <w:t>太平附加财富安泰提前给付重大疾病保险，第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15</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64.020004pt;margin-top:761.429871pt;width:275.350pt;height:13.7pt;mso-position-horizontal-relative:page;mso-position-vertical-relative:page;z-index:-28048" type="#_x0000_t202" filled="false" stroked="false">
          <v:textbox inset="0,0,0,0">
            <w:txbxContent>
              <w:p>
                <w:pPr>
                  <w:pStyle w:val="BodyText"/>
                  <w:spacing w:line="254" w:lineRule="exact"/>
                  <w:ind w:left="20"/>
                </w:pPr>
                <w:r>
                  <w:rPr/>
                  <w:t>太平附加财富安泰提前给付重大疾病保险，第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15</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34"/>
      <w:numFmt w:val="decimal"/>
      <w:lvlText w:val="%1."/>
      <w:lvlJc w:val="left"/>
      <w:pPr>
        <w:ind w:left="389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4522" w:hanging="421"/>
      </w:pPr>
      <w:rPr>
        <w:rFonts w:hint="default"/>
      </w:rPr>
    </w:lvl>
    <w:lvl w:ilvl="2">
      <w:start w:val="0"/>
      <w:numFmt w:val="bullet"/>
      <w:lvlText w:val="•"/>
      <w:lvlJc w:val="left"/>
      <w:pPr>
        <w:ind w:left="5145" w:hanging="421"/>
      </w:pPr>
      <w:rPr>
        <w:rFonts w:hint="default"/>
      </w:rPr>
    </w:lvl>
    <w:lvl w:ilvl="3">
      <w:start w:val="0"/>
      <w:numFmt w:val="bullet"/>
      <w:lvlText w:val="•"/>
      <w:lvlJc w:val="left"/>
      <w:pPr>
        <w:ind w:left="5767" w:hanging="421"/>
      </w:pPr>
      <w:rPr>
        <w:rFonts w:hint="default"/>
      </w:rPr>
    </w:lvl>
    <w:lvl w:ilvl="4">
      <w:start w:val="0"/>
      <w:numFmt w:val="bullet"/>
      <w:lvlText w:val="•"/>
      <w:lvlJc w:val="left"/>
      <w:pPr>
        <w:ind w:left="6390" w:hanging="421"/>
      </w:pPr>
      <w:rPr>
        <w:rFonts w:hint="default"/>
      </w:rPr>
    </w:lvl>
    <w:lvl w:ilvl="5">
      <w:start w:val="0"/>
      <w:numFmt w:val="bullet"/>
      <w:lvlText w:val="•"/>
      <w:lvlJc w:val="left"/>
      <w:pPr>
        <w:ind w:left="7013" w:hanging="421"/>
      </w:pPr>
      <w:rPr>
        <w:rFonts w:hint="default"/>
      </w:rPr>
    </w:lvl>
    <w:lvl w:ilvl="6">
      <w:start w:val="0"/>
      <w:numFmt w:val="bullet"/>
      <w:lvlText w:val="•"/>
      <w:lvlJc w:val="left"/>
      <w:pPr>
        <w:ind w:left="7635" w:hanging="421"/>
      </w:pPr>
      <w:rPr>
        <w:rFonts w:hint="default"/>
      </w:rPr>
    </w:lvl>
    <w:lvl w:ilvl="7">
      <w:start w:val="0"/>
      <w:numFmt w:val="bullet"/>
      <w:lvlText w:val="•"/>
      <w:lvlJc w:val="left"/>
      <w:pPr>
        <w:ind w:left="8258" w:hanging="421"/>
      </w:pPr>
      <w:rPr>
        <w:rFonts w:hint="default"/>
      </w:rPr>
    </w:lvl>
    <w:lvl w:ilvl="8">
      <w:start w:val="0"/>
      <w:numFmt w:val="bullet"/>
      <w:lvlText w:val="•"/>
      <w:lvlJc w:val="left"/>
      <w:pPr>
        <w:ind w:left="8881" w:hanging="421"/>
      </w:pPr>
      <w:rPr>
        <w:rFonts w:hint="default"/>
      </w:rPr>
    </w:lvl>
  </w:abstractNum>
  <w:abstractNum w:abstractNumId="6">
    <w:multiLevelType w:val="hybridMultilevel"/>
    <w:lvl w:ilvl="0">
      <w:start w:val="23"/>
      <w:numFmt w:val="decimal"/>
      <w:lvlText w:val="%1."/>
      <w:lvlJc w:val="left"/>
      <w:pPr>
        <w:ind w:left="389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4522" w:hanging="421"/>
      </w:pPr>
      <w:rPr>
        <w:rFonts w:hint="default"/>
      </w:rPr>
    </w:lvl>
    <w:lvl w:ilvl="2">
      <w:start w:val="0"/>
      <w:numFmt w:val="bullet"/>
      <w:lvlText w:val="•"/>
      <w:lvlJc w:val="left"/>
      <w:pPr>
        <w:ind w:left="5145" w:hanging="421"/>
      </w:pPr>
      <w:rPr>
        <w:rFonts w:hint="default"/>
      </w:rPr>
    </w:lvl>
    <w:lvl w:ilvl="3">
      <w:start w:val="0"/>
      <w:numFmt w:val="bullet"/>
      <w:lvlText w:val="•"/>
      <w:lvlJc w:val="left"/>
      <w:pPr>
        <w:ind w:left="5767" w:hanging="421"/>
      </w:pPr>
      <w:rPr>
        <w:rFonts w:hint="default"/>
      </w:rPr>
    </w:lvl>
    <w:lvl w:ilvl="4">
      <w:start w:val="0"/>
      <w:numFmt w:val="bullet"/>
      <w:lvlText w:val="•"/>
      <w:lvlJc w:val="left"/>
      <w:pPr>
        <w:ind w:left="6390" w:hanging="421"/>
      </w:pPr>
      <w:rPr>
        <w:rFonts w:hint="default"/>
      </w:rPr>
    </w:lvl>
    <w:lvl w:ilvl="5">
      <w:start w:val="0"/>
      <w:numFmt w:val="bullet"/>
      <w:lvlText w:val="•"/>
      <w:lvlJc w:val="left"/>
      <w:pPr>
        <w:ind w:left="7013" w:hanging="421"/>
      </w:pPr>
      <w:rPr>
        <w:rFonts w:hint="default"/>
      </w:rPr>
    </w:lvl>
    <w:lvl w:ilvl="6">
      <w:start w:val="0"/>
      <w:numFmt w:val="bullet"/>
      <w:lvlText w:val="•"/>
      <w:lvlJc w:val="left"/>
      <w:pPr>
        <w:ind w:left="7635" w:hanging="421"/>
      </w:pPr>
      <w:rPr>
        <w:rFonts w:hint="default"/>
      </w:rPr>
    </w:lvl>
    <w:lvl w:ilvl="7">
      <w:start w:val="0"/>
      <w:numFmt w:val="bullet"/>
      <w:lvlText w:val="•"/>
      <w:lvlJc w:val="left"/>
      <w:pPr>
        <w:ind w:left="8258" w:hanging="421"/>
      </w:pPr>
      <w:rPr>
        <w:rFonts w:hint="default"/>
      </w:rPr>
    </w:lvl>
    <w:lvl w:ilvl="8">
      <w:start w:val="0"/>
      <w:numFmt w:val="bullet"/>
      <w:lvlText w:val="•"/>
      <w:lvlJc w:val="left"/>
      <w:pPr>
        <w:ind w:left="8881" w:hanging="421"/>
      </w:pPr>
      <w:rPr>
        <w:rFonts w:hint="default"/>
      </w:rPr>
    </w:lvl>
  </w:abstractNum>
  <w:abstractNum w:abstractNumId="5">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3">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9"/>
      </w:pPr>
      <w:rPr>
        <w:rFonts w:hint="default"/>
      </w:rPr>
    </w:lvl>
    <w:lvl w:ilvl="2">
      <w:start w:val="0"/>
      <w:numFmt w:val="bullet"/>
      <w:lvlText w:val="•"/>
      <w:lvlJc w:val="left"/>
      <w:pPr>
        <w:ind w:left="2145" w:hanging="269"/>
      </w:pPr>
      <w:rPr>
        <w:rFonts w:hint="default"/>
      </w:rPr>
    </w:lvl>
    <w:lvl w:ilvl="3">
      <w:start w:val="0"/>
      <w:numFmt w:val="bullet"/>
      <w:lvlText w:val="•"/>
      <w:lvlJc w:val="left"/>
      <w:pPr>
        <w:ind w:left="3157" w:hanging="269"/>
      </w:pPr>
      <w:rPr>
        <w:rFonts w:hint="default"/>
      </w:rPr>
    </w:lvl>
    <w:lvl w:ilvl="4">
      <w:start w:val="0"/>
      <w:numFmt w:val="bullet"/>
      <w:lvlText w:val="•"/>
      <w:lvlJc w:val="left"/>
      <w:pPr>
        <w:ind w:left="4170" w:hanging="269"/>
      </w:pPr>
      <w:rPr>
        <w:rFonts w:hint="default"/>
      </w:rPr>
    </w:lvl>
    <w:lvl w:ilvl="5">
      <w:start w:val="0"/>
      <w:numFmt w:val="bullet"/>
      <w:lvlText w:val="•"/>
      <w:lvlJc w:val="left"/>
      <w:pPr>
        <w:ind w:left="5183" w:hanging="269"/>
      </w:pPr>
      <w:rPr>
        <w:rFonts w:hint="default"/>
      </w:rPr>
    </w:lvl>
    <w:lvl w:ilvl="6">
      <w:start w:val="0"/>
      <w:numFmt w:val="bullet"/>
      <w:lvlText w:val="•"/>
      <w:lvlJc w:val="left"/>
      <w:pPr>
        <w:ind w:left="6195" w:hanging="269"/>
      </w:pPr>
      <w:rPr>
        <w:rFonts w:hint="default"/>
      </w:rPr>
    </w:lvl>
    <w:lvl w:ilvl="7">
      <w:start w:val="0"/>
      <w:numFmt w:val="bullet"/>
      <w:lvlText w:val="•"/>
      <w:lvlJc w:val="left"/>
      <w:pPr>
        <w:ind w:left="7208" w:hanging="269"/>
      </w:pPr>
      <w:rPr>
        <w:rFonts w:hint="default"/>
      </w:rPr>
    </w:lvl>
    <w:lvl w:ilvl="8">
      <w:start w:val="0"/>
      <w:numFmt w:val="bullet"/>
      <w:lvlText w:val="•"/>
      <w:lvlJc w:val="left"/>
      <w:pPr>
        <w:ind w:left="8221"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3781"/>
    </w:pPr>
    <w:rPr>
      <w:rFonts w:ascii="宋体" w:hAnsi="宋体" w:eastAsia="宋体" w:cs="宋体"/>
    </w:rPr>
  </w:style>
  <w:style w:styleId="TableParagraph" w:type="paragraph">
    <w:name w:val="Table Paragraph"/>
    <w:basedOn w:val="Normal"/>
    <w:uiPriority w:val="1"/>
    <w:qFormat/>
    <w:pPr>
      <w:ind w:left="2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华岚</dc:creator>
  <dcterms:created xsi:type="dcterms:W3CDTF">2018-10-20T03:39:18Z</dcterms:created>
  <dcterms:modified xsi:type="dcterms:W3CDTF">2018-10-20T03:39:18Z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Creator">
    <vt:lpwstr>Microsoft® Word 2010</vt:lpwstr>
  </property>
  <property fmtid="{D5CDD505-2E9C-101B-9397-08002B2CF9AE}" pid="4" name="LastSaved">
    <vt:filetime>2018-10-19T00:00:00Z</vt:filetime>
  </property>
</Properties>
</file>