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rPr>
          <w:rFonts w:ascii="Times New Roman"/>
          <w:sz w:val="32"/>
        </w:rPr>
      </w:pPr>
    </w:p>
    <w:p>
      <w:pPr>
        <w:spacing w:before="230"/>
        <w:ind w:left="225" w:right="0" w:firstLine="0"/>
        <w:jc w:val="left"/>
        <w:rPr>
          <w:rFonts w:ascii="黑体" w:eastAsia="黑体" w:hint="eastAsia"/>
          <w:sz w:val="32"/>
        </w:rPr>
      </w:pPr>
      <w:r>
        <w:rPr>
          <w:rFonts w:ascii="黑体" w:eastAsia="黑体" w:hint="eastAsia"/>
          <w:spacing w:val="-27"/>
          <w:sz w:val="32"/>
        </w:rPr>
        <w:t>附件 </w:t>
      </w:r>
      <w:r>
        <w:rPr>
          <w:rFonts w:ascii="黑体" w:eastAsia="黑体" w:hint="eastAsia"/>
          <w:sz w:val="32"/>
        </w:rPr>
        <w:t>2</w:t>
      </w:r>
    </w:p>
    <w:p>
      <w:pPr>
        <w:pStyle w:val="BodyText"/>
        <w:spacing w:before="6"/>
        <w:ind w:left="225"/>
        <w:rPr>
          <w:rFonts w:ascii="宋体" w:eastAsia="宋体" w:hint="eastAsia"/>
        </w:rPr>
      </w:pPr>
      <w:r>
        <w:rPr/>
        <w:br w:type="column"/>
      </w:r>
      <w:r>
        <w:rPr>
          <w:rFonts w:ascii="宋体" w:eastAsia="宋体" w:hint="eastAsia"/>
        </w:rPr>
        <w:t>中韩人寿〔2014〕疾病保险 007 号</w:t>
      </w:r>
    </w:p>
    <w:p>
      <w:pPr>
        <w:spacing w:after="0"/>
        <w:rPr>
          <w:rFonts w:ascii="宋体" w:eastAsia="宋体" w:hint="eastAsia"/>
        </w:rPr>
        <w:sectPr>
          <w:type w:val="continuous"/>
          <w:pgSz w:w="11910" w:h="16840"/>
          <w:pgMar w:top="200" w:bottom="280" w:left="1020" w:right="220"/>
          <w:cols w:num="2" w:equalWidth="0">
            <w:col w:w="1108" w:space="6063"/>
            <w:col w:w="3499"/>
          </w:cols>
        </w:sectPr>
      </w:pPr>
    </w:p>
    <w:p>
      <w:pPr>
        <w:spacing w:line="240" w:lineRule="auto" w:before="10"/>
        <w:rPr>
          <w:sz w:val="17"/>
        </w:rPr>
      </w:pPr>
    </w:p>
    <w:p>
      <w:pPr>
        <w:spacing w:after="0" w:line="240" w:lineRule="auto"/>
        <w:rPr>
          <w:sz w:val="17"/>
        </w:rPr>
        <w:sectPr>
          <w:type w:val="continuous"/>
          <w:pgSz w:w="11910" w:h="16840"/>
          <w:pgMar w:top="200" w:bottom="280" w:left="1020" w:right="220"/>
        </w:sectPr>
      </w:pPr>
    </w:p>
    <w:p>
      <w:pPr>
        <w:pStyle w:val="Heading1"/>
        <w:spacing w:before="1"/>
      </w:pPr>
      <w:bookmarkStart w:name="中韩人寿保险有限公司" w:id="1"/>
      <w:bookmarkEnd w:id="1"/>
      <w:r>
        <w:rPr>
          <w:b w:val="0"/>
        </w:rPr>
      </w:r>
      <w:r>
        <w:rPr>
          <w:w w:val="95"/>
        </w:rPr>
        <w:t>中韩人寿保险有限公司</w:t>
      </w:r>
    </w:p>
    <w:p>
      <w:pPr>
        <w:spacing w:before="205"/>
        <w:ind w:left="1882" w:right="0" w:firstLine="0"/>
        <w:jc w:val="center"/>
        <w:rPr>
          <w:rFonts w:ascii="黑体" w:eastAsia="黑体" w:hint="eastAsia"/>
          <w:b/>
          <w:sz w:val="32"/>
        </w:rPr>
      </w:pPr>
      <w:bookmarkStart w:name="中韩爱相随重大疾病保险条款" w:id="2"/>
      <w:bookmarkEnd w:id="2"/>
      <w:r>
        <w:rPr/>
      </w:r>
      <w:r>
        <w:rPr>
          <w:rFonts w:ascii="黑体" w:eastAsia="黑体" w:hint="eastAsia"/>
          <w:b/>
          <w:w w:val="95"/>
          <w:sz w:val="32"/>
        </w:rPr>
        <w:t>中韩爱相随重大疾病保险条款</w:t>
      </w:r>
    </w:p>
    <w:p>
      <w:pPr>
        <w:spacing w:before="114"/>
        <w:ind w:left="1883" w:right="0" w:firstLine="0"/>
        <w:jc w:val="center"/>
        <w:rPr>
          <w:rFonts w:ascii="黑体" w:eastAsia="黑体" w:hint="eastAsia"/>
          <w:b/>
          <w:sz w:val="24"/>
        </w:rPr>
      </w:pPr>
      <w:r>
        <w:rPr>
          <w:rFonts w:ascii="黑体" w:eastAsia="黑体" w:hint="eastAsia"/>
          <w:b/>
          <w:sz w:val="24"/>
        </w:rPr>
        <w:t>阅 读 指 引</w:t>
      </w:r>
    </w:p>
    <w:p>
      <w:pPr>
        <w:pStyle w:val="BodyText"/>
        <w:spacing w:line="334" w:lineRule="exact" w:before="28"/>
        <w:ind w:left="1883"/>
        <w:jc w:val="center"/>
      </w:pPr>
      <w:r>
        <w:rPr>
          <w:spacing w:val="-149"/>
          <w:w w:val="100"/>
        </w:rPr>
        <w:t>本</w:t>
      </w:r>
      <w:r>
        <w:rPr>
          <w:rFonts w:ascii="宋体" w:eastAsia="宋体" w:hint="eastAsia"/>
          <w:spacing w:val="-63"/>
          <w:w w:val="100"/>
          <w:position w:val="-7"/>
        </w:rPr>
        <w:t>．</w:t>
      </w:r>
      <w:r>
        <w:rPr>
          <w:spacing w:val="-149"/>
          <w:w w:val="100"/>
        </w:rPr>
        <w:t>阅</w:t>
      </w:r>
      <w:r>
        <w:rPr>
          <w:rFonts w:ascii="宋体" w:eastAsia="宋体" w:hint="eastAsia"/>
          <w:spacing w:val="-63"/>
          <w:w w:val="100"/>
          <w:position w:val="-7"/>
        </w:rPr>
        <w:t>．</w:t>
      </w:r>
      <w:r>
        <w:rPr>
          <w:spacing w:val="-152"/>
          <w:w w:val="100"/>
        </w:rPr>
        <w:t>读</w:t>
      </w:r>
      <w:r>
        <w:rPr>
          <w:rFonts w:ascii="宋体" w:eastAsia="宋体" w:hint="eastAsia"/>
          <w:spacing w:val="-63"/>
          <w:w w:val="100"/>
          <w:position w:val="-7"/>
        </w:rPr>
        <w:t>．</w:t>
      </w:r>
      <w:r>
        <w:rPr>
          <w:spacing w:val="-149"/>
          <w:w w:val="100"/>
        </w:rPr>
        <w:t>指</w:t>
      </w:r>
      <w:r>
        <w:rPr>
          <w:rFonts w:ascii="宋体" w:eastAsia="宋体" w:hint="eastAsia"/>
          <w:spacing w:val="-63"/>
          <w:w w:val="100"/>
          <w:position w:val="-7"/>
        </w:rPr>
        <w:t>．</w:t>
      </w:r>
      <w:r>
        <w:rPr>
          <w:spacing w:val="-152"/>
          <w:w w:val="100"/>
        </w:rPr>
        <w:t>引</w:t>
      </w:r>
      <w:r>
        <w:rPr>
          <w:rFonts w:ascii="宋体" w:eastAsia="宋体" w:hint="eastAsia"/>
          <w:spacing w:val="-63"/>
          <w:w w:val="100"/>
          <w:position w:val="-7"/>
        </w:rPr>
        <w:t>．</w:t>
      </w:r>
      <w:r>
        <w:rPr>
          <w:spacing w:val="-149"/>
          <w:w w:val="100"/>
        </w:rPr>
        <w:t>有</w:t>
      </w:r>
      <w:r>
        <w:rPr>
          <w:rFonts w:ascii="宋体" w:eastAsia="宋体" w:hint="eastAsia"/>
          <w:spacing w:val="-63"/>
          <w:w w:val="100"/>
          <w:position w:val="-7"/>
        </w:rPr>
        <w:t>．</w:t>
      </w:r>
      <w:r>
        <w:rPr>
          <w:spacing w:val="-152"/>
          <w:w w:val="100"/>
        </w:rPr>
        <w:t>助</w:t>
      </w:r>
      <w:r>
        <w:rPr>
          <w:rFonts w:ascii="宋体" w:eastAsia="宋体" w:hint="eastAsia"/>
          <w:spacing w:val="-63"/>
          <w:w w:val="100"/>
          <w:position w:val="-7"/>
        </w:rPr>
        <w:t>．</w:t>
      </w:r>
      <w:r>
        <w:rPr>
          <w:spacing w:val="-149"/>
          <w:w w:val="100"/>
        </w:rPr>
        <w:t>于</w:t>
      </w:r>
      <w:r>
        <w:rPr>
          <w:rFonts w:ascii="宋体" w:eastAsia="宋体" w:hint="eastAsia"/>
          <w:spacing w:val="-63"/>
          <w:w w:val="100"/>
          <w:position w:val="-7"/>
        </w:rPr>
        <w:t>．</w:t>
      </w:r>
      <w:r>
        <w:rPr>
          <w:spacing w:val="-152"/>
          <w:w w:val="100"/>
        </w:rPr>
        <w:t>您</w:t>
      </w:r>
      <w:r>
        <w:rPr>
          <w:rFonts w:ascii="宋体" w:eastAsia="宋体" w:hint="eastAsia"/>
          <w:spacing w:val="-63"/>
          <w:w w:val="100"/>
          <w:position w:val="-7"/>
        </w:rPr>
        <w:t>．</w:t>
      </w:r>
      <w:r>
        <w:rPr>
          <w:spacing w:val="-149"/>
          <w:w w:val="100"/>
        </w:rPr>
        <w:t>理</w:t>
      </w:r>
      <w:r>
        <w:rPr>
          <w:rFonts w:ascii="宋体" w:eastAsia="宋体" w:hint="eastAsia"/>
          <w:spacing w:val="-63"/>
          <w:w w:val="100"/>
          <w:position w:val="-7"/>
        </w:rPr>
        <w:t>．</w:t>
      </w:r>
      <w:r>
        <w:rPr>
          <w:spacing w:val="-152"/>
          <w:w w:val="100"/>
        </w:rPr>
        <w:t>解</w:t>
      </w:r>
      <w:r>
        <w:rPr>
          <w:rFonts w:ascii="宋体" w:eastAsia="宋体" w:hint="eastAsia"/>
          <w:spacing w:val="-63"/>
          <w:w w:val="100"/>
          <w:position w:val="-7"/>
        </w:rPr>
        <w:t>．</w:t>
      </w:r>
      <w:r>
        <w:rPr>
          <w:spacing w:val="-149"/>
          <w:w w:val="100"/>
        </w:rPr>
        <w:t>条</w:t>
      </w:r>
      <w:r>
        <w:rPr>
          <w:rFonts w:ascii="宋体" w:eastAsia="宋体" w:hint="eastAsia"/>
          <w:spacing w:val="-63"/>
          <w:w w:val="100"/>
          <w:position w:val="-7"/>
        </w:rPr>
        <w:t>．</w:t>
      </w:r>
      <w:r>
        <w:rPr>
          <w:spacing w:val="-149"/>
          <w:w w:val="100"/>
        </w:rPr>
        <w:t>款</w:t>
      </w:r>
      <w:r>
        <w:rPr>
          <w:rFonts w:ascii="宋体" w:eastAsia="宋体" w:hint="eastAsia"/>
          <w:spacing w:val="-63"/>
          <w:w w:val="100"/>
          <w:position w:val="-7"/>
        </w:rPr>
        <w:t>．</w:t>
      </w:r>
      <w:r>
        <w:rPr>
          <w:spacing w:val="-152"/>
          <w:w w:val="100"/>
        </w:rPr>
        <w:t>，</w:t>
      </w:r>
      <w:r>
        <w:rPr>
          <w:rFonts w:ascii="宋体" w:eastAsia="宋体" w:hint="eastAsia"/>
          <w:spacing w:val="-63"/>
          <w:w w:val="100"/>
          <w:position w:val="-7"/>
        </w:rPr>
        <w:t>．</w:t>
      </w:r>
      <w:r>
        <w:rPr>
          <w:spacing w:val="-149"/>
          <w:w w:val="100"/>
        </w:rPr>
        <w:t>对</w:t>
      </w:r>
      <w:r>
        <w:rPr>
          <w:rFonts w:ascii="宋体" w:eastAsia="宋体" w:hint="eastAsia"/>
          <w:spacing w:val="-63"/>
          <w:w w:val="100"/>
          <w:position w:val="-7"/>
        </w:rPr>
        <w:t>．</w:t>
      </w:r>
      <w:r>
        <w:rPr>
          <w:spacing w:val="-152"/>
          <w:w w:val="100"/>
        </w:rPr>
        <w:t>本</w:t>
      </w:r>
      <w:r>
        <w:rPr>
          <w:rFonts w:ascii="宋体" w:eastAsia="宋体" w:hint="eastAsia"/>
          <w:spacing w:val="-63"/>
          <w:w w:val="100"/>
          <w:position w:val="-7"/>
        </w:rPr>
        <w:t>．</w:t>
      </w:r>
      <w:r>
        <w:rPr>
          <w:spacing w:val="-149"/>
          <w:w w:val="100"/>
        </w:rPr>
        <w:t>合</w:t>
      </w:r>
      <w:r>
        <w:rPr>
          <w:rFonts w:ascii="宋体" w:eastAsia="宋体" w:hint="eastAsia"/>
          <w:spacing w:val="-63"/>
          <w:w w:val="100"/>
          <w:position w:val="-7"/>
        </w:rPr>
        <w:t>．</w:t>
      </w:r>
      <w:r>
        <w:rPr>
          <w:spacing w:val="-152"/>
          <w:w w:val="100"/>
        </w:rPr>
        <w:t>同</w:t>
      </w:r>
      <w:r>
        <w:rPr>
          <w:rFonts w:ascii="宋体" w:eastAsia="宋体" w:hint="eastAsia"/>
          <w:spacing w:val="-63"/>
          <w:w w:val="100"/>
          <w:position w:val="-7"/>
        </w:rPr>
        <w:t>．</w:t>
      </w:r>
      <w:r>
        <w:rPr>
          <w:spacing w:val="-149"/>
          <w:w w:val="100"/>
        </w:rPr>
        <w:t>内</w:t>
      </w:r>
      <w:r>
        <w:rPr>
          <w:rFonts w:ascii="宋体" w:eastAsia="宋体" w:hint="eastAsia"/>
          <w:spacing w:val="-63"/>
          <w:w w:val="100"/>
          <w:position w:val="-7"/>
        </w:rPr>
        <w:t>．</w:t>
      </w:r>
      <w:r>
        <w:rPr>
          <w:spacing w:val="-152"/>
          <w:w w:val="100"/>
        </w:rPr>
        <w:t>容</w:t>
      </w:r>
      <w:r>
        <w:rPr>
          <w:rFonts w:ascii="宋体" w:eastAsia="宋体" w:hint="eastAsia"/>
          <w:spacing w:val="-63"/>
          <w:w w:val="100"/>
          <w:position w:val="-7"/>
        </w:rPr>
        <w:t>．</w:t>
      </w:r>
      <w:r>
        <w:rPr>
          <w:spacing w:val="-149"/>
          <w:w w:val="100"/>
        </w:rPr>
        <w:t>的</w:t>
      </w:r>
      <w:r>
        <w:rPr>
          <w:rFonts w:ascii="宋体" w:eastAsia="宋体" w:hint="eastAsia"/>
          <w:spacing w:val="-63"/>
          <w:w w:val="100"/>
          <w:position w:val="-7"/>
        </w:rPr>
        <w:t>．</w:t>
      </w:r>
      <w:r>
        <w:rPr>
          <w:spacing w:val="-152"/>
          <w:w w:val="100"/>
        </w:rPr>
        <w:t>解</w:t>
      </w:r>
      <w:r>
        <w:rPr>
          <w:rFonts w:ascii="宋体" w:eastAsia="宋体" w:hint="eastAsia"/>
          <w:spacing w:val="-63"/>
          <w:w w:val="100"/>
          <w:position w:val="-7"/>
        </w:rPr>
        <w:t>．</w:t>
      </w:r>
      <w:r>
        <w:rPr>
          <w:spacing w:val="-149"/>
          <w:w w:val="100"/>
        </w:rPr>
        <w:t>释</w:t>
      </w:r>
      <w:r>
        <w:rPr>
          <w:rFonts w:ascii="宋体" w:eastAsia="宋体" w:hint="eastAsia"/>
          <w:spacing w:val="-63"/>
          <w:w w:val="100"/>
          <w:position w:val="-7"/>
        </w:rPr>
        <w:t>．</w:t>
      </w:r>
      <w:r>
        <w:rPr>
          <w:spacing w:val="-149"/>
          <w:w w:val="100"/>
        </w:rPr>
        <w:t>以</w:t>
      </w:r>
      <w:r>
        <w:rPr>
          <w:rFonts w:ascii="宋体" w:eastAsia="宋体" w:hint="eastAsia"/>
          <w:spacing w:val="-63"/>
          <w:w w:val="100"/>
          <w:position w:val="-7"/>
        </w:rPr>
        <w:t>．</w:t>
      </w:r>
      <w:r>
        <w:rPr>
          <w:spacing w:val="-152"/>
          <w:w w:val="100"/>
        </w:rPr>
        <w:t>条</w:t>
      </w:r>
      <w:r>
        <w:rPr>
          <w:rFonts w:ascii="宋体" w:eastAsia="宋体" w:hint="eastAsia"/>
          <w:spacing w:val="-63"/>
          <w:w w:val="100"/>
          <w:position w:val="-7"/>
        </w:rPr>
        <w:t>．</w:t>
      </w:r>
      <w:r>
        <w:rPr>
          <w:spacing w:val="-149"/>
          <w:w w:val="100"/>
        </w:rPr>
        <w:t>款</w:t>
      </w:r>
      <w:r>
        <w:rPr>
          <w:rFonts w:ascii="宋体" w:eastAsia="宋体" w:hint="eastAsia"/>
          <w:spacing w:val="-63"/>
          <w:w w:val="100"/>
          <w:position w:val="-7"/>
        </w:rPr>
        <w:t>．</w:t>
      </w:r>
      <w:r>
        <w:rPr>
          <w:spacing w:val="-152"/>
          <w:w w:val="100"/>
        </w:rPr>
        <w:t>为</w:t>
      </w:r>
      <w:r>
        <w:rPr>
          <w:rFonts w:ascii="宋体" w:eastAsia="宋体" w:hint="eastAsia"/>
          <w:spacing w:val="-63"/>
          <w:w w:val="100"/>
          <w:position w:val="-7"/>
        </w:rPr>
        <w:t>．</w:t>
      </w:r>
      <w:r>
        <w:rPr>
          <w:spacing w:val="-149"/>
          <w:w w:val="100"/>
        </w:rPr>
        <w:t>准</w:t>
      </w:r>
      <w:r>
        <w:rPr>
          <w:rFonts w:ascii="宋体" w:eastAsia="宋体" w:hint="eastAsia"/>
          <w:spacing w:val="-63"/>
          <w:w w:val="100"/>
          <w:position w:val="-7"/>
        </w:rPr>
        <w:t>．</w:t>
      </w:r>
      <w:r>
        <w:rPr>
          <w:w w:val="100"/>
        </w:rPr>
        <w:t>。</w:t>
      </w:r>
    </w:p>
    <w:p>
      <w:pPr>
        <w:tabs>
          <w:tab w:pos="842" w:val="left" w:leader="none"/>
        </w:tabs>
        <w:spacing w:line="439" w:lineRule="exact" w:before="0"/>
        <w:ind w:left="112" w:right="0" w:firstLine="0"/>
        <w:jc w:val="left"/>
        <w:rPr>
          <w:b/>
          <w:sz w:val="21"/>
        </w:rPr>
      </w:pPr>
      <w:r>
        <w:rPr>
          <w:rFonts w:ascii="Wingdings" w:hAnsi="Wingdings" w:eastAsia="Wingdings"/>
          <w:w w:val="120"/>
          <w:position w:val="-11"/>
          <w:sz w:val="52"/>
        </w:rPr>
        <w:t></w:t>
      </w:r>
      <w:r>
        <w:rPr>
          <w:rFonts w:ascii="Times New Roman" w:hAnsi="Times New Roman" w:eastAsia="Times New Roman"/>
          <w:w w:val="120"/>
          <w:position w:val="-11"/>
          <w:sz w:val="52"/>
        </w:rPr>
        <w:tab/>
      </w:r>
      <w:r>
        <w:rPr>
          <w:b/>
          <w:sz w:val="21"/>
        </w:rPr>
        <w:t>您拥有的重要权益</w:t>
      </w:r>
    </w:p>
    <w:p>
      <w:pPr>
        <w:spacing w:line="240" w:lineRule="auto" w:before="2"/>
        <w:rPr>
          <w:b/>
          <w:sz w:val="24"/>
        </w:rPr>
      </w:pPr>
      <w:r>
        <w:rPr/>
        <w:br w:type="column"/>
      </w:r>
      <w:r>
        <w:rPr>
          <w:b/>
          <w:sz w:val="24"/>
        </w:rPr>
      </w:r>
    </w:p>
    <w:p>
      <w:pPr>
        <w:pStyle w:val="BodyText"/>
        <w:spacing w:before="1"/>
        <w:ind w:left="59"/>
        <w:rPr>
          <w:rFonts w:ascii="宋体" w:eastAsia="宋体" w:hint="eastAsia"/>
        </w:rPr>
      </w:pPr>
      <w:r>
        <w:rPr/>
        <w:drawing>
          <wp:anchor distT="0" distB="0" distL="0" distR="0" allowOverlap="1" layoutInCell="1" locked="0" behindDoc="0" simplePos="0" relativeHeight="0">
            <wp:simplePos x="0" y="0"/>
            <wp:positionH relativeFrom="page">
              <wp:posOffset>6057900</wp:posOffset>
            </wp:positionH>
            <wp:positionV relativeFrom="paragraph">
              <wp:posOffset>-750019</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rFonts w:ascii="宋体" w:eastAsia="宋体" w:hint="eastAsia"/>
        </w:rPr>
        <w:t>请扫描以查询验证条款</w:t>
      </w:r>
    </w:p>
    <w:p>
      <w:pPr>
        <w:spacing w:after="0"/>
        <w:rPr>
          <w:rFonts w:ascii="宋体" w:eastAsia="宋体" w:hint="eastAsia"/>
        </w:rPr>
        <w:sectPr>
          <w:type w:val="continuous"/>
          <w:pgSz w:w="11910" w:h="16840"/>
          <w:pgMar w:top="200" w:bottom="280" w:left="1020" w:right="220"/>
          <w:cols w:num="2" w:equalWidth="0">
            <w:col w:w="7981" w:space="40"/>
            <w:col w:w="2649"/>
          </w:cols>
        </w:sectPr>
      </w:pPr>
    </w:p>
    <w:p>
      <w:pPr>
        <w:pStyle w:val="ListParagraph"/>
        <w:numPr>
          <w:ilvl w:val="0"/>
          <w:numId w:val="1"/>
        </w:numPr>
        <w:tabs>
          <w:tab w:pos="849" w:val="left" w:leader="none"/>
          <w:tab w:pos="850" w:val="left" w:leader="none"/>
          <w:tab w:pos="9753" w:val="right" w:leader="dot"/>
        </w:tabs>
        <w:spacing w:line="234" w:lineRule="exact" w:before="0" w:after="0"/>
        <w:ind w:left="849" w:right="0" w:hanging="453"/>
        <w:jc w:val="left"/>
        <w:rPr>
          <w:sz w:val="21"/>
        </w:rPr>
      </w:pPr>
      <w:r>
        <w:rPr>
          <w:sz w:val="21"/>
        </w:rPr>
        <w:t>签收</w:t>
      </w:r>
      <w:r>
        <w:rPr>
          <w:spacing w:val="-3"/>
          <w:sz w:val="21"/>
        </w:rPr>
        <w:t>本</w:t>
      </w:r>
      <w:r>
        <w:rPr>
          <w:sz w:val="21"/>
        </w:rPr>
        <w:t>合</w:t>
      </w:r>
      <w:r>
        <w:rPr>
          <w:spacing w:val="-3"/>
          <w:sz w:val="21"/>
        </w:rPr>
        <w:t>同</w:t>
      </w:r>
      <w:r>
        <w:rPr>
          <w:sz w:val="21"/>
        </w:rPr>
        <w:t>之</w:t>
      </w:r>
      <w:r>
        <w:rPr>
          <w:spacing w:val="-3"/>
          <w:sz w:val="21"/>
        </w:rPr>
        <w:t>日</w:t>
      </w:r>
      <w:r>
        <w:rPr>
          <w:sz w:val="21"/>
        </w:rPr>
        <w:t>起</w:t>
      </w:r>
      <w:r>
        <w:rPr>
          <w:spacing w:val="-53"/>
          <w:sz w:val="21"/>
        </w:rPr>
        <w:t> </w:t>
      </w:r>
      <w:r>
        <w:rPr>
          <w:sz w:val="21"/>
        </w:rPr>
        <w:t>10</w:t>
      </w:r>
      <w:r>
        <w:rPr>
          <w:spacing w:val="-53"/>
          <w:sz w:val="21"/>
        </w:rPr>
        <w:t> </w:t>
      </w:r>
      <w:r>
        <w:rPr>
          <w:spacing w:val="-10"/>
          <w:sz w:val="21"/>
        </w:rPr>
        <w:t>日</w:t>
      </w:r>
      <w:r>
        <w:rPr>
          <w:spacing w:val="-3"/>
          <w:sz w:val="21"/>
        </w:rPr>
        <w:t>（即犹</w:t>
      </w:r>
      <w:r>
        <w:rPr>
          <w:sz w:val="21"/>
        </w:rPr>
        <w:t>豫</w:t>
      </w:r>
      <w:r>
        <w:rPr>
          <w:spacing w:val="-3"/>
          <w:sz w:val="21"/>
        </w:rPr>
        <w:t>期</w:t>
      </w:r>
      <w:r>
        <w:rPr>
          <w:spacing w:val="-8"/>
          <w:sz w:val="21"/>
        </w:rPr>
        <w:t>）</w:t>
      </w:r>
      <w:r>
        <w:rPr>
          <w:spacing w:val="-3"/>
          <w:sz w:val="21"/>
        </w:rPr>
        <w:t>内您</w:t>
      </w:r>
      <w:r>
        <w:rPr>
          <w:sz w:val="21"/>
        </w:rPr>
        <w:t>若</w:t>
      </w:r>
      <w:r>
        <w:rPr>
          <w:spacing w:val="-3"/>
          <w:sz w:val="21"/>
        </w:rPr>
        <w:t>要</w:t>
      </w:r>
      <w:r>
        <w:rPr>
          <w:sz w:val="21"/>
        </w:rPr>
        <w:t>求</w:t>
      </w:r>
      <w:r>
        <w:rPr>
          <w:spacing w:val="-3"/>
          <w:sz w:val="21"/>
        </w:rPr>
        <w:t>退保</w:t>
      </w:r>
      <w:r>
        <w:rPr>
          <w:spacing w:val="-8"/>
          <w:sz w:val="21"/>
        </w:rPr>
        <w:t>，</w:t>
      </w:r>
      <w:r>
        <w:rPr>
          <w:spacing w:val="-3"/>
          <w:sz w:val="21"/>
        </w:rPr>
        <w:t>我</w:t>
      </w:r>
      <w:r>
        <w:rPr>
          <w:sz w:val="21"/>
        </w:rPr>
        <w:t>们</w:t>
      </w:r>
      <w:r>
        <w:rPr>
          <w:spacing w:val="-3"/>
          <w:sz w:val="21"/>
        </w:rPr>
        <w:t>退</w:t>
      </w:r>
      <w:r>
        <w:rPr>
          <w:sz w:val="21"/>
        </w:rPr>
        <w:t>还</w:t>
      </w:r>
      <w:r>
        <w:rPr>
          <w:spacing w:val="-3"/>
          <w:sz w:val="21"/>
        </w:rPr>
        <w:t>保</w:t>
      </w:r>
      <w:r>
        <w:rPr>
          <w:sz w:val="21"/>
        </w:rPr>
        <w:t>险费</w:t>
        <w:tab/>
        <w:t>1.5</w:t>
      </w:r>
    </w:p>
    <w:p>
      <w:pPr>
        <w:pStyle w:val="ListParagraph"/>
        <w:numPr>
          <w:ilvl w:val="0"/>
          <w:numId w:val="1"/>
        </w:numPr>
        <w:tabs>
          <w:tab w:pos="849" w:val="left" w:leader="none"/>
          <w:tab w:pos="850" w:val="left" w:leader="none"/>
          <w:tab w:pos="9753" w:val="right" w:leader="dot"/>
        </w:tabs>
        <w:spacing w:line="240" w:lineRule="auto" w:before="22" w:after="0"/>
        <w:ind w:left="849" w:right="0" w:hanging="453"/>
        <w:jc w:val="left"/>
        <w:rPr>
          <w:sz w:val="21"/>
        </w:rPr>
      </w:pPr>
      <w:r>
        <w:rPr>
          <w:spacing w:val="2"/>
          <w:sz w:val="21"/>
        </w:rPr>
        <w:t>本</w:t>
      </w:r>
      <w:r>
        <w:rPr>
          <w:sz w:val="21"/>
        </w:rPr>
        <w:t>合同</w:t>
      </w:r>
      <w:r>
        <w:rPr>
          <w:spacing w:val="2"/>
          <w:sz w:val="21"/>
        </w:rPr>
        <w:t>提</w:t>
      </w:r>
      <w:r>
        <w:rPr>
          <w:sz w:val="21"/>
        </w:rPr>
        <w:t>供的</w:t>
      </w:r>
      <w:r>
        <w:rPr>
          <w:spacing w:val="2"/>
          <w:sz w:val="21"/>
        </w:rPr>
        <w:t>保</w:t>
      </w:r>
      <w:r>
        <w:rPr>
          <w:sz w:val="21"/>
        </w:rPr>
        <w:t>障</w:t>
      </w:r>
      <w:r>
        <w:rPr>
          <w:spacing w:val="2"/>
          <w:sz w:val="21"/>
        </w:rPr>
        <w:t>在</w:t>
      </w:r>
      <w:r>
        <w:rPr>
          <w:sz w:val="21"/>
        </w:rPr>
        <w:t>保险</w:t>
      </w:r>
      <w:r>
        <w:rPr>
          <w:spacing w:val="2"/>
          <w:sz w:val="21"/>
        </w:rPr>
        <w:t>责</w:t>
      </w:r>
      <w:r>
        <w:rPr>
          <w:sz w:val="21"/>
        </w:rPr>
        <w:t>任条</w:t>
      </w:r>
      <w:r>
        <w:rPr>
          <w:spacing w:val="2"/>
          <w:sz w:val="21"/>
        </w:rPr>
        <w:t>款</w:t>
      </w:r>
      <w:r>
        <w:rPr>
          <w:sz w:val="21"/>
        </w:rPr>
        <w:t>中列明</w:t>
        <w:tab/>
        <w:t>2.4</w:t>
      </w:r>
    </w:p>
    <w:p>
      <w:pPr>
        <w:pStyle w:val="ListParagraph"/>
        <w:numPr>
          <w:ilvl w:val="0"/>
          <w:numId w:val="1"/>
        </w:numPr>
        <w:tabs>
          <w:tab w:pos="849" w:val="left" w:leader="none"/>
          <w:tab w:pos="850" w:val="left" w:leader="none"/>
          <w:tab w:pos="9755" w:val="right" w:leader="dot"/>
        </w:tabs>
        <w:spacing w:line="240" w:lineRule="auto" w:before="22" w:after="0"/>
        <w:ind w:left="849" w:right="0" w:hanging="453"/>
        <w:jc w:val="left"/>
        <w:rPr>
          <w:sz w:val="21"/>
        </w:rPr>
      </w:pPr>
      <w:r>
        <w:rPr/>
        <w:pict>
          <v:shapetype id="_x0000_t202" o:spt="202" coordsize="21600,21600" path="m,l,21600r21600,l21600,xe">
            <v:stroke joinstyle="miter"/>
            <v:path gradientshapeok="t" o:connecttype="rect"/>
          </v:shapetype>
          <v:shape style="position:absolute;margin-left:56.639999pt;margin-top:14.930907pt;width:24.55pt;height:27.5pt;mso-position-horizontal-relative:page;mso-position-vertical-relative:paragraph;z-index:-37648" type="#_x0000_t202" filled="false" stroked="false">
            <v:textbox inset="0,0,0,0">
              <w:txbxContent>
                <w:p>
                  <w:pPr>
                    <w:spacing w:line="549" w:lineRule="exact" w:before="0"/>
                    <w:ind w:left="0" w:right="0" w:firstLine="0"/>
                    <w:jc w:val="left"/>
                    <w:rPr>
                      <w:rFonts w:ascii="Wingdings" w:hAnsi="Wingdings"/>
                      <w:sz w:val="52"/>
                    </w:rPr>
                  </w:pPr>
                  <w:r>
                    <w:rPr>
                      <w:rFonts w:ascii="Wingdings" w:hAnsi="Wingdings"/>
                      <w:w w:val="139"/>
                      <w:sz w:val="52"/>
                    </w:rPr>
                    <w:t></w:t>
                  </w:r>
                </w:p>
              </w:txbxContent>
            </v:textbox>
            <w10:wrap type="none"/>
          </v:shape>
        </w:pict>
      </w:r>
      <w:r>
        <w:rPr>
          <w:spacing w:val="2"/>
          <w:sz w:val="21"/>
        </w:rPr>
        <w:t>您</w:t>
      </w:r>
      <w:r>
        <w:rPr>
          <w:sz w:val="21"/>
        </w:rPr>
        <w:t>有退</w:t>
      </w:r>
      <w:r>
        <w:rPr>
          <w:spacing w:val="2"/>
          <w:sz w:val="21"/>
        </w:rPr>
        <w:t>保</w:t>
      </w:r>
      <w:r>
        <w:rPr>
          <w:sz w:val="21"/>
        </w:rPr>
        <w:t>的权利</w:t>
        <w:tab/>
        <w:t>7.1</w:t>
      </w:r>
    </w:p>
    <w:p>
      <w:pPr>
        <w:spacing w:before="61"/>
        <w:ind w:left="842" w:right="0" w:firstLine="0"/>
        <w:jc w:val="left"/>
        <w:rPr>
          <w:b/>
          <w:sz w:val="21"/>
        </w:rPr>
      </w:pPr>
      <w:r>
        <w:rPr>
          <w:b/>
          <w:sz w:val="21"/>
        </w:rPr>
        <w:t>您应当特别注意的事项</w:t>
      </w:r>
    </w:p>
    <w:p>
      <w:pPr>
        <w:pStyle w:val="ListParagraph"/>
        <w:numPr>
          <w:ilvl w:val="0"/>
          <w:numId w:val="1"/>
        </w:numPr>
        <w:tabs>
          <w:tab w:pos="849" w:val="left" w:leader="none"/>
          <w:tab w:pos="850" w:val="left" w:leader="none"/>
          <w:tab w:pos="9754" w:val="right" w:leader="dot"/>
        </w:tabs>
        <w:spacing w:line="240" w:lineRule="auto" w:before="27" w:after="0"/>
        <w:ind w:left="849" w:right="0" w:hanging="453"/>
        <w:jc w:val="left"/>
        <w:rPr>
          <w:sz w:val="21"/>
        </w:rPr>
      </w:pPr>
      <w:r>
        <w:rPr>
          <w:sz w:val="21"/>
        </w:rPr>
        <w:t>本合</w:t>
      </w:r>
      <w:r>
        <w:rPr>
          <w:spacing w:val="-3"/>
          <w:sz w:val="21"/>
        </w:rPr>
        <w:t>同</w:t>
      </w:r>
      <w:r>
        <w:rPr>
          <w:sz w:val="21"/>
        </w:rPr>
        <w:t>有</w:t>
      </w:r>
      <w:r>
        <w:rPr>
          <w:spacing w:val="-3"/>
          <w:sz w:val="21"/>
        </w:rPr>
        <w:t>责</w:t>
      </w:r>
      <w:r>
        <w:rPr>
          <w:sz w:val="21"/>
        </w:rPr>
        <w:t>任</w:t>
      </w:r>
      <w:r>
        <w:rPr>
          <w:spacing w:val="-3"/>
          <w:sz w:val="21"/>
        </w:rPr>
        <w:t>免</w:t>
      </w:r>
      <w:r>
        <w:rPr>
          <w:sz w:val="21"/>
        </w:rPr>
        <w:t>除</w:t>
      </w:r>
      <w:r>
        <w:rPr>
          <w:spacing w:val="-3"/>
          <w:sz w:val="21"/>
        </w:rPr>
        <w:t>条</w:t>
      </w:r>
      <w:r>
        <w:rPr>
          <w:sz w:val="21"/>
        </w:rPr>
        <w:t>款</w:t>
      </w:r>
      <w:r>
        <w:rPr>
          <w:spacing w:val="-27"/>
          <w:sz w:val="21"/>
        </w:rPr>
        <w:t>，</w:t>
      </w:r>
      <w:r>
        <w:rPr>
          <w:sz w:val="21"/>
        </w:rPr>
        <w:t>请您</w:t>
      </w:r>
      <w:r>
        <w:rPr>
          <w:spacing w:val="-3"/>
          <w:sz w:val="21"/>
        </w:rPr>
        <w:t>注</w:t>
      </w:r>
      <w:r>
        <w:rPr>
          <w:sz w:val="21"/>
        </w:rPr>
        <w:t>意…</w:t>
        <w:tab/>
        <w:t>2.5</w:t>
      </w:r>
    </w:p>
    <w:p>
      <w:pPr>
        <w:pStyle w:val="ListParagraph"/>
        <w:numPr>
          <w:ilvl w:val="0"/>
          <w:numId w:val="1"/>
        </w:numPr>
        <w:tabs>
          <w:tab w:pos="849" w:val="left" w:leader="none"/>
          <w:tab w:pos="850" w:val="left" w:leader="none"/>
          <w:tab w:pos="9751" w:val="right" w:leader="dot"/>
        </w:tabs>
        <w:spacing w:line="240" w:lineRule="auto" w:before="21" w:after="0"/>
        <w:ind w:left="849" w:right="0" w:hanging="453"/>
        <w:jc w:val="left"/>
        <w:rPr>
          <w:sz w:val="21"/>
        </w:rPr>
      </w:pPr>
      <w:r>
        <w:rPr>
          <w:sz w:val="21"/>
        </w:rPr>
        <w:t>保险</w:t>
      </w:r>
      <w:r>
        <w:rPr>
          <w:spacing w:val="-3"/>
          <w:sz w:val="21"/>
        </w:rPr>
        <w:t>事</w:t>
      </w:r>
      <w:r>
        <w:rPr>
          <w:sz w:val="21"/>
        </w:rPr>
        <w:t>故</w:t>
      </w:r>
      <w:r>
        <w:rPr>
          <w:spacing w:val="-3"/>
          <w:sz w:val="21"/>
        </w:rPr>
        <w:t>发</w:t>
      </w:r>
      <w:r>
        <w:rPr>
          <w:sz w:val="21"/>
        </w:rPr>
        <w:t>Th</w:t>
      </w:r>
      <w:r>
        <w:rPr>
          <w:spacing w:val="-3"/>
          <w:sz w:val="21"/>
        </w:rPr>
        <w:t>后</w:t>
      </w:r>
      <w:r>
        <w:rPr>
          <w:spacing w:val="-25"/>
          <w:sz w:val="21"/>
        </w:rPr>
        <w:t>，</w:t>
      </w:r>
      <w:r>
        <w:rPr>
          <w:spacing w:val="-3"/>
          <w:sz w:val="21"/>
        </w:rPr>
        <w:t>请</w:t>
      </w:r>
      <w:r>
        <w:rPr>
          <w:sz w:val="21"/>
        </w:rPr>
        <w:t>及</w:t>
      </w:r>
      <w:r>
        <w:rPr>
          <w:spacing w:val="-3"/>
          <w:sz w:val="21"/>
        </w:rPr>
        <w:t>时</w:t>
      </w:r>
      <w:r>
        <w:rPr>
          <w:sz w:val="21"/>
        </w:rPr>
        <w:t>通知</w:t>
      </w:r>
      <w:r>
        <w:rPr>
          <w:spacing w:val="-3"/>
          <w:sz w:val="21"/>
        </w:rPr>
        <w:t>我</w:t>
      </w:r>
      <w:r>
        <w:rPr>
          <w:sz w:val="21"/>
        </w:rPr>
        <w:t>们…</w:t>
        <w:tab/>
      </w:r>
      <w:r>
        <w:rPr>
          <w:spacing w:val="-3"/>
          <w:sz w:val="21"/>
        </w:rPr>
        <w:t>3.2</w:t>
      </w:r>
    </w:p>
    <w:p>
      <w:pPr>
        <w:pStyle w:val="ListParagraph"/>
        <w:numPr>
          <w:ilvl w:val="0"/>
          <w:numId w:val="1"/>
        </w:numPr>
        <w:tabs>
          <w:tab w:pos="848" w:val="left" w:leader="none"/>
          <w:tab w:pos="850" w:val="left" w:leader="none"/>
          <w:tab w:pos="9755" w:val="right" w:leader="dot"/>
        </w:tabs>
        <w:spacing w:line="240" w:lineRule="auto" w:before="21" w:after="0"/>
        <w:ind w:left="849" w:right="0" w:hanging="454"/>
        <w:jc w:val="left"/>
        <w:rPr>
          <w:sz w:val="21"/>
        </w:rPr>
      </w:pPr>
      <w:r>
        <w:rPr>
          <w:sz w:val="21"/>
        </w:rPr>
        <w:t>您应当按时支付保险费</w:t>
        <w:tab/>
        <w:t>4.1</w:t>
      </w:r>
    </w:p>
    <w:p>
      <w:pPr>
        <w:pStyle w:val="ListParagraph"/>
        <w:numPr>
          <w:ilvl w:val="0"/>
          <w:numId w:val="1"/>
        </w:numPr>
        <w:tabs>
          <w:tab w:pos="848" w:val="left" w:leader="none"/>
          <w:tab w:pos="849" w:val="left" w:leader="none"/>
          <w:tab w:pos="9750" w:val="right" w:leader="dot"/>
        </w:tabs>
        <w:spacing w:line="240" w:lineRule="auto" w:before="21" w:after="0"/>
        <w:ind w:left="848" w:right="0" w:hanging="453"/>
        <w:jc w:val="left"/>
        <w:rPr>
          <w:sz w:val="21"/>
        </w:rPr>
      </w:pPr>
      <w:r>
        <w:rPr>
          <w:sz w:val="21"/>
        </w:rPr>
        <w:t>在本</w:t>
      </w:r>
      <w:r>
        <w:rPr>
          <w:spacing w:val="-3"/>
          <w:sz w:val="21"/>
        </w:rPr>
        <w:t>合</w:t>
      </w:r>
      <w:r>
        <w:rPr>
          <w:sz w:val="21"/>
        </w:rPr>
        <w:t>同</w:t>
      </w:r>
      <w:r>
        <w:rPr>
          <w:spacing w:val="-3"/>
          <w:sz w:val="21"/>
        </w:rPr>
        <w:t>效</w:t>
      </w:r>
      <w:r>
        <w:rPr>
          <w:sz w:val="21"/>
        </w:rPr>
        <w:t>力</w:t>
      </w:r>
      <w:r>
        <w:rPr>
          <w:spacing w:val="-3"/>
          <w:sz w:val="21"/>
        </w:rPr>
        <w:t>中</w:t>
      </w:r>
      <w:r>
        <w:rPr>
          <w:sz w:val="21"/>
        </w:rPr>
        <w:t>止</w:t>
      </w:r>
      <w:r>
        <w:rPr>
          <w:spacing w:val="-3"/>
          <w:sz w:val="21"/>
        </w:rPr>
        <w:t>期</w:t>
      </w:r>
      <w:r>
        <w:rPr>
          <w:sz w:val="21"/>
        </w:rPr>
        <w:t>间</w:t>
      </w:r>
      <w:r>
        <w:rPr>
          <w:spacing w:val="-27"/>
          <w:sz w:val="21"/>
        </w:rPr>
        <w:t>，</w:t>
      </w:r>
      <w:r>
        <w:rPr>
          <w:sz w:val="21"/>
        </w:rPr>
        <w:t>我们</w:t>
      </w:r>
      <w:r>
        <w:rPr>
          <w:spacing w:val="-3"/>
          <w:sz w:val="21"/>
        </w:rPr>
        <w:t>不</w:t>
      </w:r>
      <w:r>
        <w:rPr>
          <w:sz w:val="21"/>
        </w:rPr>
        <w:t>承</w:t>
      </w:r>
      <w:r>
        <w:rPr>
          <w:spacing w:val="-3"/>
          <w:sz w:val="21"/>
        </w:rPr>
        <w:t>担</w:t>
      </w:r>
      <w:r>
        <w:rPr>
          <w:sz w:val="21"/>
        </w:rPr>
        <w:t>保</w:t>
      </w:r>
      <w:r>
        <w:rPr>
          <w:spacing w:val="-3"/>
          <w:sz w:val="21"/>
        </w:rPr>
        <w:t>险</w:t>
      </w:r>
      <w:r>
        <w:rPr>
          <w:sz w:val="21"/>
        </w:rPr>
        <w:t>责任</w:t>
        <w:tab/>
      </w:r>
      <w:r>
        <w:rPr>
          <w:spacing w:val="-3"/>
          <w:sz w:val="21"/>
        </w:rPr>
        <w:t>6.1</w:t>
      </w:r>
    </w:p>
    <w:p>
      <w:pPr>
        <w:pStyle w:val="ListParagraph"/>
        <w:numPr>
          <w:ilvl w:val="0"/>
          <w:numId w:val="1"/>
        </w:numPr>
        <w:tabs>
          <w:tab w:pos="848" w:val="left" w:leader="none"/>
          <w:tab w:pos="849" w:val="left" w:leader="none"/>
          <w:tab w:pos="9750" w:val="right" w:leader="dot"/>
        </w:tabs>
        <w:spacing w:line="240" w:lineRule="auto" w:before="21" w:after="0"/>
        <w:ind w:left="848" w:right="0" w:hanging="453"/>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25"/>
          <w:sz w:val="21"/>
        </w:rPr>
        <w:t>，</w:t>
      </w:r>
      <w:r>
        <w:rPr>
          <w:spacing w:val="-3"/>
          <w:sz w:val="21"/>
        </w:rPr>
        <w:t>请</w:t>
      </w:r>
      <w:r>
        <w:rPr>
          <w:sz w:val="21"/>
        </w:rPr>
        <w:t>您</w:t>
      </w:r>
      <w:r>
        <w:rPr>
          <w:spacing w:val="-3"/>
          <w:sz w:val="21"/>
        </w:rPr>
        <w:t>慎</w:t>
      </w:r>
      <w:r>
        <w:rPr>
          <w:sz w:val="21"/>
        </w:rPr>
        <w:t>重</w:t>
      </w:r>
      <w:r>
        <w:rPr>
          <w:spacing w:val="-3"/>
          <w:sz w:val="21"/>
        </w:rPr>
        <w:t>决</w:t>
      </w:r>
      <w:r>
        <w:rPr>
          <w:sz w:val="21"/>
        </w:rPr>
        <w:t>策…</w:t>
        <w:tab/>
      </w:r>
      <w:r>
        <w:rPr>
          <w:spacing w:val="-3"/>
          <w:sz w:val="21"/>
        </w:rPr>
        <w:t>7.1</w:t>
      </w:r>
    </w:p>
    <w:p>
      <w:pPr>
        <w:pStyle w:val="ListParagraph"/>
        <w:numPr>
          <w:ilvl w:val="0"/>
          <w:numId w:val="1"/>
        </w:numPr>
        <w:tabs>
          <w:tab w:pos="848" w:val="left" w:leader="none"/>
          <w:tab w:pos="849" w:val="left" w:leader="none"/>
          <w:tab w:pos="9755" w:val="right" w:leader="dot"/>
        </w:tabs>
        <w:spacing w:line="240" w:lineRule="auto" w:before="21" w:after="0"/>
        <w:ind w:left="848" w:right="0" w:hanging="453"/>
        <w:jc w:val="left"/>
        <w:rPr>
          <w:sz w:val="21"/>
        </w:rPr>
      </w:pPr>
      <w:r>
        <w:rPr>
          <w:sz w:val="21"/>
        </w:rPr>
        <w:t>您有如实告知的义务</w:t>
        <w:tab/>
        <w:t>8.1</w:t>
      </w:r>
    </w:p>
    <w:p>
      <w:pPr>
        <w:pStyle w:val="ListParagraph"/>
        <w:numPr>
          <w:ilvl w:val="0"/>
          <w:numId w:val="1"/>
        </w:numPr>
        <w:tabs>
          <w:tab w:pos="848" w:val="left" w:leader="none"/>
          <w:tab w:pos="849" w:val="left" w:leader="none"/>
          <w:tab w:pos="9702" w:val="right" w:leader="dot"/>
        </w:tabs>
        <w:spacing w:line="269" w:lineRule="exact" w:before="21" w:after="0"/>
        <w:ind w:left="848" w:right="0" w:hanging="453"/>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要术</w:t>
      </w:r>
      <w:r>
        <w:rPr>
          <w:sz w:val="21"/>
        </w:rPr>
        <w:t>语</w:t>
      </w:r>
      <w:r>
        <w:rPr>
          <w:spacing w:val="-3"/>
          <w:sz w:val="21"/>
        </w:rPr>
        <w:t>进</w:t>
      </w:r>
      <w:r>
        <w:rPr>
          <w:sz w:val="21"/>
        </w:rPr>
        <w:t>行</w:t>
      </w:r>
      <w:r>
        <w:rPr>
          <w:spacing w:val="-3"/>
          <w:sz w:val="21"/>
        </w:rPr>
        <w:t>了解</w:t>
      </w:r>
      <w:r>
        <w:rPr>
          <w:sz w:val="21"/>
        </w:rPr>
        <w:t>释</w:t>
      </w:r>
      <w:r>
        <w:rPr>
          <w:spacing w:val="-39"/>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pacing w:val="-39"/>
          <w:sz w:val="21"/>
        </w:rPr>
        <w:t>，</w:t>
      </w:r>
      <w:r>
        <w:rPr>
          <w:spacing w:val="-3"/>
          <w:sz w:val="21"/>
        </w:rPr>
        <w:t>请您</w:t>
      </w:r>
      <w:r>
        <w:rPr>
          <w:sz w:val="21"/>
        </w:rPr>
        <w:t>注意</w:t>
        <w:tab/>
        <w:t>11</w:t>
      </w:r>
    </w:p>
    <w:p>
      <w:pPr>
        <w:tabs>
          <w:tab w:pos="842" w:val="left" w:leader="none"/>
        </w:tabs>
        <w:spacing w:line="437" w:lineRule="exact" w:before="0"/>
        <w:ind w:left="112" w:right="0" w:firstLine="0"/>
        <w:jc w:val="left"/>
        <w:rPr>
          <w:b/>
          <w:sz w:val="21"/>
        </w:rPr>
      </w:pPr>
      <w:r>
        <w:rPr>
          <w:rFonts w:ascii="Wingdings" w:hAnsi="Wingdings" w:eastAsia="Wingdings"/>
          <w:w w:val="120"/>
          <w:position w:val="-11"/>
          <w:sz w:val="52"/>
        </w:rPr>
        <w:t></w:t>
      </w:r>
      <w:r>
        <w:rPr>
          <w:rFonts w:ascii="Times New Roman" w:hAnsi="Times New Roman" w:eastAsia="Times New Roman"/>
          <w:w w:val="120"/>
          <w:position w:val="-11"/>
          <w:sz w:val="52"/>
        </w:rPr>
        <w:tab/>
      </w:r>
      <w:r>
        <w:rPr>
          <w:b/>
          <w:spacing w:val="-3"/>
          <w:sz w:val="21"/>
        </w:rPr>
        <w:t>保险条款是保险合同的重要内容，为充分保障您的权益，请您仔细阅读本保险条款。</w:t>
      </w:r>
    </w:p>
    <w:p>
      <w:pPr>
        <w:tabs>
          <w:tab w:pos="842" w:val="left" w:leader="none"/>
        </w:tabs>
        <w:spacing w:line="383" w:lineRule="exact" w:before="0"/>
        <w:ind w:left="112" w:right="0" w:firstLine="0"/>
        <w:jc w:val="left"/>
        <w:rPr>
          <w:b/>
          <w:sz w:val="21"/>
        </w:rPr>
      </w:pPr>
      <w:r>
        <w:rPr/>
        <w:pict>
          <v:rect style="position:absolute;margin-left:77.639999pt;margin-top:17.04385pt;width:137.16pt;height:13.68pt;mso-position-horizontal-relative:page;mso-position-vertical-relative:paragraph;z-index:-37720" filled="true" fillcolor="#a7a8a7" stroked="false">
            <v:fill type="solid"/>
            <w10:wrap type="none"/>
          </v:rect>
        </w:pict>
      </w:r>
      <w:r>
        <w:rPr/>
        <w:pict>
          <v:shape style="position:absolute;margin-left:243.119995pt;margin-top:17.04385pt;width:137.2pt;height:13.7pt;mso-position-horizontal-relative:page;mso-position-vertical-relative:paragraph;z-index:1072" type="#_x0000_t202" filled="true" fillcolor="#a7a8a7" stroked="false">
            <v:textbox inset="0,0,0,0">
              <w:txbxContent>
                <w:p>
                  <w:pPr>
                    <w:pStyle w:val="BodyText"/>
                    <w:spacing w:line="243" w:lineRule="exact" w:before="0"/>
                  </w:pPr>
                  <w:r>
                    <w:rPr/>
                    <w:t>5．现金价值权益</w:t>
                  </w:r>
                </w:p>
              </w:txbxContent>
            </v:textbox>
            <v:fill type="solid"/>
            <w10:wrap type="none"/>
          </v:shape>
        </w:pict>
      </w:r>
      <w:r>
        <w:rPr/>
        <w:pict>
          <v:shape style="position:absolute;margin-left:408.600006pt;margin-top:17.04385pt;width:137.2pt;height:13.7pt;mso-position-horizontal-relative:page;mso-position-vertical-relative:paragraph;z-index:1096" type="#_x0000_t202" filled="true" fillcolor="#a7a8a7" stroked="false">
            <v:textbox inset="0,0,0,0">
              <w:txbxContent>
                <w:p>
                  <w:pPr>
                    <w:pStyle w:val="BodyText"/>
                    <w:spacing w:line="243" w:lineRule="exact" w:before="0"/>
                  </w:pPr>
                  <w:r>
                    <w:rPr/>
                    <w:t>11．释义</w:t>
                  </w:r>
                </w:p>
              </w:txbxContent>
            </v:textbox>
            <v:fill type="solid"/>
            <w10:wrap type="none"/>
          </v:shape>
        </w:pict>
      </w:r>
      <w:r>
        <w:rPr>
          <w:rFonts w:ascii="Wingdings" w:hAnsi="Wingdings" w:eastAsia="Wingdings"/>
          <w:w w:val="120"/>
          <w:position w:val="-11"/>
          <w:sz w:val="52"/>
        </w:rPr>
        <w:t></w:t>
      </w:r>
      <w:r>
        <w:rPr>
          <w:rFonts w:ascii="Times New Roman" w:hAnsi="Times New Roman" w:eastAsia="Times New Roman"/>
          <w:w w:val="120"/>
          <w:position w:val="-11"/>
          <w:sz w:val="52"/>
        </w:rPr>
        <w:tab/>
      </w:r>
      <w:r>
        <w:rPr>
          <w:b/>
          <w:sz w:val="21"/>
        </w:rPr>
        <w:t>条款目录</w:t>
      </w:r>
    </w:p>
    <w:p>
      <w:pPr>
        <w:pStyle w:val="BodyText"/>
        <w:spacing w:line="201" w:lineRule="exact" w:before="0"/>
        <w:ind w:left="532"/>
      </w:pPr>
      <w:r>
        <w:rPr/>
        <w:t>1．您与我们订立的合同</w:t>
      </w:r>
    </w:p>
    <w:p>
      <w:pPr>
        <w:pStyle w:val="BodyText"/>
        <w:spacing w:before="4"/>
        <w:rPr>
          <w:sz w:val="8"/>
        </w:rPr>
      </w:pPr>
    </w:p>
    <w:tbl>
      <w:tblPr>
        <w:tblW w:w="0" w:type="auto"/>
        <w:jc w:val="left"/>
        <w:tblInd w:w="4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
        <w:gridCol w:w="2230"/>
        <w:gridCol w:w="3737"/>
        <w:gridCol w:w="758"/>
        <w:gridCol w:w="1785"/>
      </w:tblGrid>
      <w:tr>
        <w:trPr>
          <w:trHeight w:val="266" w:hRule="atLeast"/>
        </w:trPr>
        <w:tc>
          <w:tcPr>
            <w:tcW w:w="420" w:type="dxa"/>
          </w:tcPr>
          <w:p>
            <w:pPr>
              <w:pStyle w:val="TableParagraph"/>
              <w:spacing w:line="211" w:lineRule="exact"/>
              <w:ind w:left="50"/>
              <w:rPr>
                <w:rFonts w:ascii="黑体"/>
                <w:sz w:val="21"/>
              </w:rPr>
            </w:pPr>
            <w:r>
              <w:rPr>
                <w:rFonts w:ascii="黑体"/>
                <w:sz w:val="21"/>
              </w:rPr>
              <w:t>1.1</w:t>
            </w:r>
          </w:p>
        </w:tc>
        <w:tc>
          <w:tcPr>
            <w:tcW w:w="2230" w:type="dxa"/>
          </w:tcPr>
          <w:p>
            <w:pPr>
              <w:pStyle w:val="TableParagraph"/>
              <w:spacing w:line="211" w:lineRule="exact"/>
              <w:ind w:left="52"/>
              <w:rPr>
                <w:rFonts w:ascii="黑体" w:eastAsia="黑体" w:hint="eastAsia"/>
                <w:sz w:val="21"/>
              </w:rPr>
            </w:pPr>
            <w:r>
              <w:rPr>
                <w:rFonts w:ascii="黑体" w:eastAsia="黑体" w:hint="eastAsia"/>
                <w:sz w:val="21"/>
              </w:rPr>
              <w:t>合同构成</w:t>
            </w:r>
          </w:p>
        </w:tc>
        <w:tc>
          <w:tcPr>
            <w:tcW w:w="3737" w:type="dxa"/>
          </w:tcPr>
          <w:p>
            <w:pPr>
              <w:pStyle w:val="TableParagraph"/>
              <w:spacing w:line="211" w:lineRule="exact"/>
              <w:ind w:left="709"/>
              <w:rPr>
                <w:rFonts w:ascii="黑体" w:eastAsia="黑体" w:hint="eastAsia"/>
                <w:sz w:val="21"/>
              </w:rPr>
            </w:pPr>
            <w:r>
              <w:rPr>
                <w:rFonts w:ascii="黑体" w:eastAsia="黑体" w:hint="eastAsia"/>
                <w:sz w:val="21"/>
              </w:rPr>
              <w:t>5.1 现金价值</w:t>
            </w:r>
          </w:p>
        </w:tc>
        <w:tc>
          <w:tcPr>
            <w:tcW w:w="758" w:type="dxa"/>
          </w:tcPr>
          <w:p>
            <w:pPr>
              <w:pStyle w:val="TableParagraph"/>
              <w:spacing w:line="211" w:lineRule="exact"/>
              <w:ind w:left="0" w:right="51"/>
              <w:jc w:val="right"/>
              <w:rPr>
                <w:rFonts w:ascii="黑体"/>
                <w:sz w:val="21"/>
              </w:rPr>
            </w:pPr>
            <w:r>
              <w:rPr>
                <w:rFonts w:ascii="黑体"/>
                <w:sz w:val="21"/>
              </w:rPr>
              <w:t>11.1</w:t>
            </w:r>
          </w:p>
        </w:tc>
        <w:tc>
          <w:tcPr>
            <w:tcW w:w="1785" w:type="dxa"/>
          </w:tcPr>
          <w:p>
            <w:pPr>
              <w:pStyle w:val="TableParagraph"/>
              <w:spacing w:line="211" w:lineRule="exact"/>
              <w:ind w:left="49"/>
              <w:rPr>
                <w:rFonts w:ascii="黑体" w:eastAsia="黑体" w:hint="eastAsia"/>
                <w:sz w:val="21"/>
              </w:rPr>
            </w:pPr>
            <w:r>
              <w:rPr>
                <w:rFonts w:ascii="黑体" w:eastAsia="黑体" w:hint="eastAsia"/>
                <w:sz w:val="21"/>
              </w:rPr>
              <w:t>保单年度</w:t>
            </w:r>
          </w:p>
        </w:tc>
      </w:tr>
      <w:tr>
        <w:trPr>
          <w:trHeight w:val="320" w:hRule="atLeast"/>
        </w:trPr>
        <w:tc>
          <w:tcPr>
            <w:tcW w:w="420" w:type="dxa"/>
          </w:tcPr>
          <w:p>
            <w:pPr>
              <w:pStyle w:val="TableParagraph"/>
              <w:spacing w:line="266" w:lineRule="exact"/>
              <w:ind w:left="50"/>
              <w:rPr>
                <w:rFonts w:ascii="黑体"/>
                <w:sz w:val="21"/>
              </w:rPr>
            </w:pPr>
            <w:r>
              <w:rPr>
                <w:rFonts w:ascii="黑体"/>
                <w:sz w:val="21"/>
              </w:rPr>
              <w:t>1.2</w:t>
            </w:r>
          </w:p>
        </w:tc>
        <w:tc>
          <w:tcPr>
            <w:tcW w:w="2230" w:type="dxa"/>
          </w:tcPr>
          <w:p>
            <w:pPr>
              <w:pStyle w:val="TableParagraph"/>
              <w:spacing w:line="266" w:lineRule="exact"/>
              <w:ind w:left="52"/>
              <w:rPr>
                <w:rFonts w:ascii="黑体" w:eastAsia="黑体" w:hint="eastAsia"/>
                <w:sz w:val="21"/>
              </w:rPr>
            </w:pPr>
            <w:r>
              <w:rPr>
                <w:rFonts w:ascii="黑体" w:eastAsia="黑体" w:hint="eastAsia"/>
                <w:sz w:val="21"/>
              </w:rPr>
              <w:t>合同成立与Th效</w:t>
            </w:r>
          </w:p>
        </w:tc>
        <w:tc>
          <w:tcPr>
            <w:tcW w:w="3737" w:type="dxa"/>
          </w:tcPr>
          <w:p>
            <w:pPr>
              <w:pStyle w:val="TableParagraph"/>
              <w:tabs>
                <w:tab w:pos="3452" w:val="left" w:leader="none"/>
              </w:tabs>
              <w:spacing w:line="266" w:lineRule="exact"/>
              <w:ind w:left="709"/>
              <w:rPr>
                <w:rFonts w:ascii="黑体" w:eastAsia="黑体" w:hint="eastAsia"/>
                <w:sz w:val="21"/>
              </w:rPr>
            </w:pPr>
            <w:r>
              <w:rPr>
                <w:rFonts w:ascii="黑体" w:eastAsia="黑体" w:hint="eastAsia"/>
                <w:sz w:val="21"/>
                <w:shd w:fill="A7A8A7" w:color="auto" w:val="clear"/>
              </w:rPr>
              <w:t>6．</w:t>
            </w:r>
            <w:r>
              <w:rPr>
                <w:rFonts w:ascii="黑体" w:eastAsia="黑体" w:hint="eastAsia"/>
                <w:spacing w:val="-3"/>
                <w:sz w:val="21"/>
                <w:shd w:fill="A7A8A7" w:color="auto" w:val="clear"/>
              </w:rPr>
              <w:t>合同</w:t>
            </w:r>
            <w:r>
              <w:rPr>
                <w:rFonts w:ascii="黑体" w:eastAsia="黑体" w:hint="eastAsia"/>
                <w:sz w:val="21"/>
                <w:shd w:fill="A7A8A7" w:color="auto" w:val="clear"/>
              </w:rPr>
              <w:t>效</w:t>
            </w:r>
            <w:r>
              <w:rPr>
                <w:rFonts w:ascii="黑体" w:eastAsia="黑体" w:hint="eastAsia"/>
                <w:spacing w:val="-3"/>
                <w:sz w:val="21"/>
                <w:shd w:fill="A7A8A7" w:color="auto" w:val="clear"/>
              </w:rPr>
              <w:t>力</w:t>
            </w:r>
            <w:r>
              <w:rPr>
                <w:rFonts w:ascii="黑体" w:eastAsia="黑体" w:hint="eastAsia"/>
                <w:sz w:val="21"/>
                <w:shd w:fill="A7A8A7" w:color="auto" w:val="clear"/>
              </w:rPr>
              <w:t>的</w:t>
            </w:r>
            <w:r>
              <w:rPr>
                <w:rFonts w:ascii="黑体" w:eastAsia="黑体" w:hint="eastAsia"/>
                <w:spacing w:val="-3"/>
                <w:sz w:val="21"/>
                <w:shd w:fill="A7A8A7" w:color="auto" w:val="clear"/>
              </w:rPr>
              <w:t>中</w:t>
            </w:r>
            <w:r>
              <w:rPr>
                <w:rFonts w:ascii="黑体" w:eastAsia="黑体" w:hint="eastAsia"/>
                <w:sz w:val="21"/>
                <w:shd w:fill="A7A8A7" w:color="auto" w:val="clear"/>
              </w:rPr>
              <w:t>止</w:t>
            </w:r>
            <w:r>
              <w:rPr>
                <w:rFonts w:ascii="黑体" w:eastAsia="黑体" w:hint="eastAsia"/>
                <w:spacing w:val="-3"/>
                <w:sz w:val="21"/>
                <w:shd w:fill="A7A8A7" w:color="auto" w:val="clear"/>
              </w:rPr>
              <w:t>及</w:t>
            </w:r>
            <w:r>
              <w:rPr>
                <w:rFonts w:ascii="黑体" w:eastAsia="黑体" w:hint="eastAsia"/>
                <w:sz w:val="21"/>
                <w:shd w:fill="A7A8A7" w:color="auto" w:val="clear"/>
              </w:rPr>
              <w:t>恢复</w:t>
              <w:tab/>
            </w:r>
          </w:p>
        </w:tc>
        <w:tc>
          <w:tcPr>
            <w:tcW w:w="758" w:type="dxa"/>
          </w:tcPr>
          <w:p>
            <w:pPr>
              <w:pStyle w:val="TableParagraph"/>
              <w:spacing w:line="266" w:lineRule="exact"/>
              <w:ind w:left="0" w:right="51"/>
              <w:jc w:val="right"/>
              <w:rPr>
                <w:rFonts w:ascii="黑体"/>
                <w:sz w:val="21"/>
              </w:rPr>
            </w:pPr>
            <w:r>
              <w:rPr>
                <w:rFonts w:ascii="黑体"/>
                <w:sz w:val="21"/>
              </w:rPr>
              <w:t>11.2</w:t>
            </w:r>
          </w:p>
        </w:tc>
        <w:tc>
          <w:tcPr>
            <w:tcW w:w="1785" w:type="dxa"/>
          </w:tcPr>
          <w:p>
            <w:pPr>
              <w:pStyle w:val="TableParagraph"/>
              <w:spacing w:line="266" w:lineRule="exact"/>
              <w:ind w:left="49"/>
              <w:rPr>
                <w:rFonts w:ascii="黑体" w:eastAsia="黑体" w:hint="eastAsia"/>
                <w:sz w:val="21"/>
              </w:rPr>
            </w:pPr>
            <w:r>
              <w:rPr>
                <w:rFonts w:ascii="黑体" w:eastAsia="黑体" w:hint="eastAsia"/>
                <w:sz w:val="21"/>
              </w:rPr>
              <w:t>保单周年日</w:t>
            </w:r>
          </w:p>
        </w:tc>
      </w:tr>
      <w:tr>
        <w:trPr>
          <w:trHeight w:val="319" w:hRule="atLeast"/>
        </w:trPr>
        <w:tc>
          <w:tcPr>
            <w:tcW w:w="420" w:type="dxa"/>
          </w:tcPr>
          <w:p>
            <w:pPr>
              <w:pStyle w:val="TableParagraph"/>
              <w:spacing w:line="265" w:lineRule="exact"/>
              <w:ind w:left="50"/>
              <w:rPr>
                <w:rFonts w:ascii="黑体"/>
                <w:sz w:val="21"/>
              </w:rPr>
            </w:pPr>
            <w:r>
              <w:rPr>
                <w:rFonts w:ascii="黑体"/>
                <w:sz w:val="21"/>
              </w:rPr>
              <w:t>1.3</w:t>
            </w:r>
          </w:p>
        </w:tc>
        <w:tc>
          <w:tcPr>
            <w:tcW w:w="2230" w:type="dxa"/>
          </w:tcPr>
          <w:p>
            <w:pPr>
              <w:pStyle w:val="TableParagraph"/>
              <w:spacing w:line="265" w:lineRule="exact"/>
              <w:ind w:left="52"/>
              <w:rPr>
                <w:rFonts w:ascii="黑体" w:eastAsia="黑体" w:hint="eastAsia"/>
                <w:sz w:val="21"/>
              </w:rPr>
            </w:pPr>
            <w:r>
              <w:rPr>
                <w:rFonts w:ascii="黑体" w:eastAsia="黑体" w:hint="eastAsia"/>
                <w:sz w:val="21"/>
              </w:rPr>
              <w:t>合同终止</w:t>
            </w:r>
          </w:p>
        </w:tc>
        <w:tc>
          <w:tcPr>
            <w:tcW w:w="3737" w:type="dxa"/>
          </w:tcPr>
          <w:p>
            <w:pPr>
              <w:pStyle w:val="TableParagraph"/>
              <w:spacing w:line="265" w:lineRule="exact"/>
              <w:ind w:left="709"/>
              <w:rPr>
                <w:rFonts w:ascii="黑体" w:eastAsia="黑体" w:hint="eastAsia"/>
                <w:sz w:val="21"/>
              </w:rPr>
            </w:pPr>
            <w:r>
              <w:rPr>
                <w:rFonts w:ascii="黑体" w:eastAsia="黑体" w:hint="eastAsia"/>
                <w:sz w:val="21"/>
              </w:rPr>
              <w:t>6.1 效力中止</w:t>
            </w:r>
          </w:p>
        </w:tc>
        <w:tc>
          <w:tcPr>
            <w:tcW w:w="758" w:type="dxa"/>
          </w:tcPr>
          <w:p>
            <w:pPr>
              <w:pStyle w:val="TableParagraph"/>
              <w:spacing w:line="265" w:lineRule="exact"/>
              <w:ind w:left="0" w:right="51"/>
              <w:jc w:val="right"/>
              <w:rPr>
                <w:rFonts w:ascii="黑体"/>
                <w:sz w:val="21"/>
              </w:rPr>
            </w:pPr>
            <w:r>
              <w:rPr>
                <w:rFonts w:ascii="黑体"/>
                <w:sz w:val="21"/>
              </w:rPr>
              <w:t>11.3</w:t>
            </w:r>
          </w:p>
        </w:tc>
        <w:tc>
          <w:tcPr>
            <w:tcW w:w="1785" w:type="dxa"/>
          </w:tcPr>
          <w:p>
            <w:pPr>
              <w:pStyle w:val="TableParagraph"/>
              <w:spacing w:line="265" w:lineRule="exact"/>
              <w:ind w:left="49"/>
              <w:rPr>
                <w:rFonts w:ascii="黑体" w:eastAsia="黑体" w:hint="eastAsia"/>
                <w:sz w:val="21"/>
              </w:rPr>
            </w:pPr>
            <w:r>
              <w:rPr>
                <w:rFonts w:ascii="黑体" w:eastAsia="黑体" w:hint="eastAsia"/>
                <w:sz w:val="21"/>
              </w:rPr>
              <w:t>保险费约定支付日</w:t>
            </w:r>
          </w:p>
        </w:tc>
      </w:tr>
      <w:tr>
        <w:trPr>
          <w:trHeight w:val="320" w:hRule="atLeast"/>
        </w:trPr>
        <w:tc>
          <w:tcPr>
            <w:tcW w:w="420" w:type="dxa"/>
          </w:tcPr>
          <w:p>
            <w:pPr>
              <w:pStyle w:val="TableParagraph"/>
              <w:spacing w:line="265" w:lineRule="exact"/>
              <w:ind w:left="50"/>
              <w:rPr>
                <w:rFonts w:ascii="黑体"/>
                <w:sz w:val="21"/>
              </w:rPr>
            </w:pPr>
            <w:r>
              <w:rPr>
                <w:rFonts w:ascii="黑体"/>
                <w:sz w:val="21"/>
              </w:rPr>
              <w:t>1.4</w:t>
            </w:r>
          </w:p>
        </w:tc>
        <w:tc>
          <w:tcPr>
            <w:tcW w:w="2230" w:type="dxa"/>
          </w:tcPr>
          <w:p>
            <w:pPr>
              <w:pStyle w:val="TableParagraph"/>
              <w:spacing w:line="265" w:lineRule="exact"/>
              <w:ind w:left="52"/>
              <w:rPr>
                <w:rFonts w:ascii="黑体" w:eastAsia="黑体" w:hint="eastAsia"/>
                <w:sz w:val="21"/>
              </w:rPr>
            </w:pPr>
            <w:r>
              <w:rPr>
                <w:rFonts w:ascii="黑体" w:eastAsia="黑体" w:hint="eastAsia"/>
                <w:sz w:val="21"/>
              </w:rPr>
              <w:t>被保险人</w:t>
            </w:r>
          </w:p>
        </w:tc>
        <w:tc>
          <w:tcPr>
            <w:tcW w:w="3737" w:type="dxa"/>
          </w:tcPr>
          <w:p>
            <w:pPr>
              <w:pStyle w:val="TableParagraph"/>
              <w:spacing w:line="265" w:lineRule="exact"/>
              <w:ind w:left="709"/>
              <w:rPr>
                <w:rFonts w:ascii="黑体" w:eastAsia="黑体" w:hint="eastAsia"/>
                <w:sz w:val="21"/>
              </w:rPr>
            </w:pPr>
            <w:r>
              <w:rPr>
                <w:rFonts w:ascii="黑体" w:eastAsia="黑体" w:hint="eastAsia"/>
                <w:sz w:val="21"/>
              </w:rPr>
              <w:t>6.2 效力恢复</w:t>
            </w:r>
          </w:p>
        </w:tc>
        <w:tc>
          <w:tcPr>
            <w:tcW w:w="758" w:type="dxa"/>
          </w:tcPr>
          <w:p>
            <w:pPr>
              <w:pStyle w:val="TableParagraph"/>
              <w:spacing w:line="265" w:lineRule="exact"/>
              <w:ind w:left="0" w:right="51"/>
              <w:jc w:val="right"/>
              <w:rPr>
                <w:rFonts w:ascii="黑体"/>
                <w:sz w:val="21"/>
              </w:rPr>
            </w:pPr>
            <w:r>
              <w:rPr>
                <w:rFonts w:ascii="黑体"/>
                <w:sz w:val="21"/>
              </w:rPr>
              <w:t>11.4</w:t>
            </w:r>
          </w:p>
        </w:tc>
        <w:tc>
          <w:tcPr>
            <w:tcW w:w="1785" w:type="dxa"/>
          </w:tcPr>
          <w:p>
            <w:pPr>
              <w:pStyle w:val="TableParagraph"/>
              <w:spacing w:line="265" w:lineRule="exact"/>
              <w:ind w:left="50"/>
              <w:rPr>
                <w:rFonts w:ascii="黑体" w:eastAsia="黑体" w:hint="eastAsia"/>
                <w:sz w:val="21"/>
              </w:rPr>
            </w:pPr>
            <w:r>
              <w:rPr>
                <w:rFonts w:ascii="黑体" w:eastAsia="黑体" w:hint="eastAsia"/>
                <w:sz w:val="21"/>
              </w:rPr>
              <w:t>周岁</w:t>
            </w:r>
          </w:p>
        </w:tc>
      </w:tr>
      <w:tr>
        <w:trPr>
          <w:trHeight w:val="266" w:hRule="atLeast"/>
        </w:trPr>
        <w:tc>
          <w:tcPr>
            <w:tcW w:w="420" w:type="dxa"/>
          </w:tcPr>
          <w:p>
            <w:pPr>
              <w:pStyle w:val="TableParagraph"/>
              <w:spacing w:line="246" w:lineRule="exact"/>
              <w:ind w:left="50"/>
              <w:rPr>
                <w:rFonts w:ascii="黑体"/>
                <w:sz w:val="21"/>
              </w:rPr>
            </w:pPr>
            <w:r>
              <w:rPr>
                <w:rFonts w:ascii="黑体"/>
                <w:sz w:val="21"/>
              </w:rPr>
              <w:t>1.5</w:t>
            </w:r>
          </w:p>
        </w:tc>
        <w:tc>
          <w:tcPr>
            <w:tcW w:w="2230" w:type="dxa"/>
          </w:tcPr>
          <w:p>
            <w:pPr>
              <w:pStyle w:val="TableParagraph"/>
              <w:spacing w:line="246" w:lineRule="exact"/>
              <w:ind w:left="52"/>
              <w:rPr>
                <w:rFonts w:ascii="黑体" w:eastAsia="黑体" w:hint="eastAsia"/>
                <w:sz w:val="21"/>
              </w:rPr>
            </w:pPr>
            <w:r>
              <w:rPr>
                <w:rFonts w:ascii="黑体" w:eastAsia="黑体" w:hint="eastAsia"/>
                <w:sz w:val="21"/>
              </w:rPr>
              <w:t>犹豫期</w:t>
            </w:r>
          </w:p>
        </w:tc>
        <w:tc>
          <w:tcPr>
            <w:tcW w:w="3737" w:type="dxa"/>
          </w:tcPr>
          <w:p>
            <w:pPr>
              <w:pStyle w:val="TableParagraph"/>
              <w:tabs>
                <w:tab w:pos="3440" w:val="left" w:leader="none"/>
              </w:tabs>
              <w:spacing w:line="246" w:lineRule="exact"/>
              <w:ind w:left="709"/>
              <w:rPr>
                <w:rFonts w:ascii="黑体" w:eastAsia="黑体" w:hint="eastAsia"/>
                <w:sz w:val="21"/>
              </w:rPr>
            </w:pPr>
            <w:r>
              <w:rPr>
                <w:rFonts w:ascii="黑体" w:eastAsia="黑体" w:hint="eastAsia"/>
                <w:sz w:val="21"/>
                <w:shd w:fill="A7A8A7" w:color="auto" w:val="clear"/>
              </w:rPr>
              <w:t>7．</w:t>
            </w:r>
            <w:r>
              <w:rPr>
                <w:rFonts w:ascii="黑体" w:eastAsia="黑体" w:hint="eastAsia"/>
                <w:spacing w:val="-3"/>
                <w:sz w:val="21"/>
                <w:shd w:fill="A7A8A7" w:color="auto" w:val="clear"/>
              </w:rPr>
              <w:t>合同</w:t>
            </w:r>
            <w:r>
              <w:rPr>
                <w:rFonts w:ascii="黑体" w:eastAsia="黑体" w:hint="eastAsia"/>
                <w:sz w:val="21"/>
                <w:shd w:fill="A7A8A7" w:color="auto" w:val="clear"/>
              </w:rPr>
              <w:t>解除</w:t>
              <w:tab/>
            </w:r>
          </w:p>
        </w:tc>
        <w:tc>
          <w:tcPr>
            <w:tcW w:w="758" w:type="dxa"/>
          </w:tcPr>
          <w:p>
            <w:pPr>
              <w:pStyle w:val="TableParagraph"/>
              <w:spacing w:line="246" w:lineRule="exact"/>
              <w:ind w:left="0" w:right="50"/>
              <w:jc w:val="right"/>
              <w:rPr>
                <w:rFonts w:ascii="黑体"/>
                <w:sz w:val="21"/>
              </w:rPr>
            </w:pPr>
            <w:r>
              <w:rPr>
                <w:rFonts w:ascii="黑体"/>
                <w:sz w:val="21"/>
              </w:rPr>
              <w:t>11.5</w:t>
            </w:r>
          </w:p>
        </w:tc>
        <w:tc>
          <w:tcPr>
            <w:tcW w:w="1785" w:type="dxa"/>
          </w:tcPr>
          <w:p>
            <w:pPr>
              <w:pStyle w:val="TableParagraph"/>
              <w:spacing w:line="246" w:lineRule="exact"/>
              <w:ind w:left="50"/>
              <w:rPr>
                <w:rFonts w:ascii="黑体" w:eastAsia="黑体" w:hint="eastAsia"/>
                <w:sz w:val="21"/>
              </w:rPr>
            </w:pPr>
            <w:r>
              <w:rPr>
                <w:rFonts w:ascii="黑体" w:eastAsia="黑体" w:hint="eastAsia"/>
                <w:sz w:val="21"/>
              </w:rPr>
              <w:t>有效身份证件</w:t>
            </w:r>
          </w:p>
        </w:tc>
      </w:tr>
    </w:tbl>
    <w:p>
      <w:pPr>
        <w:pStyle w:val="BodyText"/>
        <w:spacing w:before="4"/>
        <w:rPr>
          <w:sz w:val="5"/>
        </w:rPr>
      </w:pPr>
    </w:p>
    <w:p>
      <w:pPr>
        <w:spacing w:after="0"/>
        <w:rPr>
          <w:sz w:val="5"/>
        </w:rPr>
        <w:sectPr>
          <w:type w:val="continuous"/>
          <w:pgSz w:w="11910" w:h="16840"/>
          <w:pgMar w:top="200" w:bottom="280" w:left="1020" w:right="220"/>
        </w:sectPr>
      </w:pPr>
    </w:p>
    <w:p>
      <w:pPr>
        <w:pStyle w:val="BodyText"/>
        <w:tabs>
          <w:tab w:pos="3275" w:val="left" w:leader="none"/>
        </w:tabs>
        <w:spacing w:line="250" w:lineRule="exact" w:before="0"/>
        <w:ind w:left="532"/>
      </w:pPr>
      <w:r>
        <w:rPr>
          <w:shd w:fill="A7A8A7" w:color="auto" w:val="clear"/>
        </w:rPr>
        <w:t>2．</w:t>
      </w:r>
      <w:r>
        <w:rPr>
          <w:spacing w:val="-3"/>
          <w:shd w:fill="A7A8A7" w:color="auto" w:val="clear"/>
        </w:rPr>
        <w:t>我</w:t>
      </w:r>
      <w:r>
        <w:rPr>
          <w:shd w:fill="A7A8A7" w:color="auto" w:val="clear"/>
        </w:rPr>
        <w:t>们</w:t>
      </w:r>
      <w:r>
        <w:rPr>
          <w:spacing w:val="-3"/>
          <w:shd w:fill="A7A8A7" w:color="auto" w:val="clear"/>
        </w:rPr>
        <w:t>提</w:t>
      </w:r>
      <w:r>
        <w:rPr>
          <w:shd w:fill="A7A8A7" w:color="auto" w:val="clear"/>
        </w:rPr>
        <w:t>供</w:t>
      </w:r>
      <w:r>
        <w:rPr>
          <w:spacing w:val="-3"/>
          <w:shd w:fill="A7A8A7" w:color="auto" w:val="clear"/>
        </w:rPr>
        <w:t>的</w:t>
      </w:r>
      <w:r>
        <w:rPr>
          <w:shd w:fill="A7A8A7" w:color="auto" w:val="clear"/>
        </w:rPr>
        <w:t>保障</w:t>
        <w:tab/>
      </w:r>
    </w:p>
    <w:p>
      <w:pPr>
        <w:pStyle w:val="ListParagraph"/>
        <w:numPr>
          <w:ilvl w:val="1"/>
          <w:numId w:val="2"/>
        </w:numPr>
        <w:tabs>
          <w:tab w:pos="956" w:val="left" w:leader="none"/>
        </w:tabs>
        <w:spacing w:line="240" w:lineRule="auto" w:before="44" w:after="0"/>
        <w:ind w:left="955" w:right="0" w:hanging="423"/>
        <w:jc w:val="left"/>
        <w:rPr>
          <w:sz w:val="21"/>
        </w:rPr>
      </w:pPr>
      <w:r>
        <w:rPr>
          <w:spacing w:val="-3"/>
          <w:sz w:val="21"/>
        </w:rPr>
        <w:t>基本保险金额</w:t>
      </w:r>
    </w:p>
    <w:p>
      <w:pPr>
        <w:pStyle w:val="ListParagraph"/>
        <w:numPr>
          <w:ilvl w:val="1"/>
          <w:numId w:val="2"/>
        </w:numPr>
        <w:tabs>
          <w:tab w:pos="956" w:val="left" w:leader="none"/>
        </w:tabs>
        <w:spacing w:line="240" w:lineRule="auto" w:before="46" w:after="0"/>
        <w:ind w:left="955" w:right="0" w:hanging="423"/>
        <w:jc w:val="left"/>
        <w:rPr>
          <w:sz w:val="21"/>
        </w:rPr>
      </w:pPr>
      <w:r>
        <w:rPr>
          <w:spacing w:val="-2"/>
          <w:sz w:val="21"/>
        </w:rPr>
        <w:t>保险期间</w:t>
      </w:r>
    </w:p>
    <w:p>
      <w:pPr>
        <w:pStyle w:val="ListParagraph"/>
        <w:numPr>
          <w:ilvl w:val="1"/>
          <w:numId w:val="2"/>
        </w:numPr>
        <w:tabs>
          <w:tab w:pos="956" w:val="left" w:leader="none"/>
        </w:tabs>
        <w:spacing w:line="240" w:lineRule="auto" w:before="44" w:after="0"/>
        <w:ind w:left="955" w:right="0" w:hanging="423"/>
        <w:jc w:val="left"/>
        <w:rPr>
          <w:sz w:val="21"/>
        </w:rPr>
      </w:pPr>
      <w:r>
        <w:rPr>
          <w:spacing w:val="-3"/>
          <w:sz w:val="21"/>
        </w:rPr>
        <w:t>等待期</w:t>
      </w:r>
    </w:p>
    <w:p>
      <w:pPr>
        <w:pStyle w:val="ListParagraph"/>
        <w:numPr>
          <w:ilvl w:val="1"/>
          <w:numId w:val="2"/>
        </w:numPr>
        <w:tabs>
          <w:tab w:pos="956" w:val="left" w:leader="none"/>
        </w:tabs>
        <w:spacing w:line="240" w:lineRule="auto" w:before="44" w:after="0"/>
        <w:ind w:left="955" w:right="0" w:hanging="423"/>
        <w:jc w:val="left"/>
        <w:rPr>
          <w:sz w:val="21"/>
        </w:rPr>
      </w:pPr>
      <w:r>
        <w:rPr>
          <w:spacing w:val="-2"/>
          <w:sz w:val="21"/>
        </w:rPr>
        <w:t>保险责任</w:t>
      </w:r>
    </w:p>
    <w:p>
      <w:pPr>
        <w:pStyle w:val="ListParagraph"/>
        <w:numPr>
          <w:ilvl w:val="1"/>
          <w:numId w:val="2"/>
        </w:numPr>
        <w:tabs>
          <w:tab w:pos="956" w:val="left" w:leader="none"/>
        </w:tabs>
        <w:spacing w:line="240" w:lineRule="auto" w:before="46" w:after="0"/>
        <w:ind w:left="955" w:right="0" w:hanging="423"/>
        <w:jc w:val="left"/>
        <w:rPr>
          <w:sz w:val="21"/>
        </w:rPr>
      </w:pPr>
      <w:r>
        <w:rPr>
          <w:spacing w:val="-2"/>
          <w:sz w:val="21"/>
        </w:rPr>
        <w:t>责任免除</w:t>
      </w:r>
    </w:p>
    <w:p>
      <w:pPr>
        <w:pStyle w:val="BodyText"/>
        <w:tabs>
          <w:tab w:pos="3275" w:val="left" w:leader="none"/>
        </w:tabs>
        <w:ind w:left="532"/>
      </w:pPr>
      <w:r>
        <w:rPr>
          <w:spacing w:val="-1"/>
          <w:shd w:fill="A7A8A7" w:color="auto" w:val="clear"/>
        </w:rPr>
        <w:t>3．保</w:t>
      </w:r>
      <w:r>
        <w:rPr>
          <w:spacing w:val="-3"/>
          <w:shd w:fill="A7A8A7" w:color="auto" w:val="clear"/>
        </w:rPr>
        <w:t>险</w:t>
      </w:r>
      <w:r>
        <w:rPr>
          <w:shd w:fill="A7A8A7" w:color="auto" w:val="clear"/>
        </w:rPr>
        <w:t>金</w:t>
      </w:r>
      <w:r>
        <w:rPr>
          <w:spacing w:val="-3"/>
          <w:shd w:fill="A7A8A7" w:color="auto" w:val="clear"/>
        </w:rPr>
        <w:t>的</w:t>
      </w:r>
      <w:r>
        <w:rPr>
          <w:shd w:fill="A7A8A7" w:color="auto" w:val="clear"/>
        </w:rPr>
        <w:t>申请</w:t>
        <w:tab/>
      </w:r>
    </w:p>
    <w:p>
      <w:pPr>
        <w:pStyle w:val="ListParagraph"/>
        <w:numPr>
          <w:ilvl w:val="1"/>
          <w:numId w:val="3"/>
        </w:numPr>
        <w:tabs>
          <w:tab w:pos="956" w:val="left" w:leader="none"/>
        </w:tabs>
        <w:spacing w:line="240" w:lineRule="auto" w:before="44" w:after="0"/>
        <w:ind w:left="955" w:right="0" w:hanging="423"/>
        <w:jc w:val="left"/>
        <w:rPr>
          <w:sz w:val="21"/>
        </w:rPr>
      </w:pPr>
      <w:r>
        <w:rPr>
          <w:spacing w:val="-3"/>
          <w:sz w:val="21"/>
        </w:rPr>
        <w:t>受益人</w:t>
      </w:r>
    </w:p>
    <w:p>
      <w:pPr>
        <w:pStyle w:val="ListParagraph"/>
        <w:numPr>
          <w:ilvl w:val="1"/>
          <w:numId w:val="3"/>
        </w:numPr>
        <w:tabs>
          <w:tab w:pos="956" w:val="left" w:leader="none"/>
        </w:tabs>
        <w:spacing w:line="240" w:lineRule="auto" w:before="46" w:after="0"/>
        <w:ind w:left="955" w:right="0" w:hanging="423"/>
        <w:jc w:val="left"/>
        <w:rPr>
          <w:sz w:val="21"/>
        </w:rPr>
      </w:pPr>
      <w:r>
        <w:rPr>
          <w:spacing w:val="-3"/>
          <w:sz w:val="21"/>
        </w:rPr>
        <w:t>保险事故通知</w:t>
      </w:r>
    </w:p>
    <w:p>
      <w:pPr>
        <w:pStyle w:val="ListParagraph"/>
        <w:numPr>
          <w:ilvl w:val="1"/>
          <w:numId w:val="3"/>
        </w:numPr>
        <w:tabs>
          <w:tab w:pos="956" w:val="left" w:leader="none"/>
        </w:tabs>
        <w:spacing w:line="240" w:lineRule="auto" w:before="44" w:after="0"/>
        <w:ind w:left="955" w:right="0" w:hanging="423"/>
        <w:jc w:val="left"/>
        <w:rPr>
          <w:sz w:val="21"/>
        </w:rPr>
      </w:pPr>
      <w:r>
        <w:rPr>
          <w:spacing w:val="-3"/>
          <w:sz w:val="21"/>
        </w:rPr>
        <w:t>保险金申请</w:t>
      </w:r>
    </w:p>
    <w:p>
      <w:pPr>
        <w:pStyle w:val="ListParagraph"/>
        <w:numPr>
          <w:ilvl w:val="1"/>
          <w:numId w:val="3"/>
        </w:numPr>
        <w:tabs>
          <w:tab w:pos="956" w:val="left" w:leader="none"/>
        </w:tabs>
        <w:spacing w:line="240" w:lineRule="auto" w:before="44" w:after="0"/>
        <w:ind w:left="955" w:right="0" w:hanging="423"/>
        <w:jc w:val="left"/>
        <w:rPr>
          <w:sz w:val="21"/>
        </w:rPr>
      </w:pPr>
      <w:r>
        <w:rPr>
          <w:spacing w:val="-3"/>
          <w:sz w:val="21"/>
        </w:rPr>
        <w:t>保险金给付</w:t>
      </w:r>
    </w:p>
    <w:p>
      <w:pPr>
        <w:pStyle w:val="ListParagraph"/>
        <w:numPr>
          <w:ilvl w:val="1"/>
          <w:numId w:val="3"/>
        </w:numPr>
        <w:tabs>
          <w:tab w:pos="956" w:val="left" w:leader="none"/>
        </w:tabs>
        <w:spacing w:line="240" w:lineRule="auto" w:before="46" w:after="0"/>
        <w:ind w:left="955" w:right="0" w:hanging="423"/>
        <w:jc w:val="left"/>
        <w:rPr>
          <w:sz w:val="21"/>
        </w:rPr>
      </w:pPr>
      <w:r>
        <w:rPr>
          <w:spacing w:val="-3"/>
          <w:sz w:val="21"/>
        </w:rPr>
        <w:t>宣告死亡处理</w:t>
      </w:r>
    </w:p>
    <w:p>
      <w:pPr>
        <w:pStyle w:val="ListParagraph"/>
        <w:numPr>
          <w:ilvl w:val="1"/>
          <w:numId w:val="3"/>
        </w:numPr>
        <w:tabs>
          <w:tab w:pos="956" w:val="left" w:leader="none"/>
        </w:tabs>
        <w:spacing w:line="240" w:lineRule="auto" w:before="44" w:after="0"/>
        <w:ind w:left="955" w:right="0" w:hanging="423"/>
        <w:jc w:val="left"/>
        <w:rPr>
          <w:sz w:val="21"/>
        </w:rPr>
      </w:pPr>
      <w:r>
        <w:rPr>
          <w:spacing w:val="-2"/>
          <w:sz w:val="21"/>
        </w:rPr>
        <w:t>诉讼时效</w:t>
      </w:r>
    </w:p>
    <w:p>
      <w:pPr>
        <w:pStyle w:val="ListParagraph"/>
        <w:numPr>
          <w:ilvl w:val="0"/>
          <w:numId w:val="4"/>
        </w:numPr>
        <w:tabs>
          <w:tab w:pos="850" w:val="left" w:leader="none"/>
          <w:tab w:pos="3275" w:val="left" w:leader="none"/>
        </w:tabs>
        <w:spacing w:line="240" w:lineRule="auto" w:before="44" w:after="0"/>
        <w:ind w:left="849" w:right="0" w:hanging="317"/>
        <w:jc w:val="left"/>
        <w:rPr>
          <w:sz w:val="21"/>
        </w:rPr>
      </w:pPr>
      <w:r>
        <w:rPr>
          <w:spacing w:val="-3"/>
          <w:sz w:val="21"/>
          <w:shd w:fill="A7A8A7" w:color="auto" w:val="clear"/>
        </w:rPr>
        <w:t>保险</w:t>
      </w:r>
      <w:r>
        <w:rPr>
          <w:sz w:val="21"/>
          <w:shd w:fill="A7A8A7" w:color="auto" w:val="clear"/>
        </w:rPr>
        <w:t>费</w:t>
      </w:r>
      <w:r>
        <w:rPr>
          <w:spacing w:val="-3"/>
          <w:sz w:val="21"/>
          <w:shd w:fill="A7A8A7" w:color="auto" w:val="clear"/>
        </w:rPr>
        <w:t>的</w:t>
      </w:r>
      <w:r>
        <w:rPr>
          <w:sz w:val="21"/>
          <w:shd w:fill="A7A8A7" w:color="auto" w:val="clear"/>
        </w:rPr>
        <w:t>支付</w:t>
        <w:tab/>
      </w:r>
    </w:p>
    <w:p>
      <w:pPr>
        <w:pStyle w:val="ListParagraph"/>
        <w:numPr>
          <w:ilvl w:val="1"/>
          <w:numId w:val="4"/>
        </w:numPr>
        <w:tabs>
          <w:tab w:pos="956" w:val="left" w:leader="none"/>
        </w:tabs>
        <w:spacing w:line="240" w:lineRule="auto" w:before="46" w:after="0"/>
        <w:ind w:left="955" w:right="0" w:hanging="423"/>
        <w:jc w:val="left"/>
        <w:rPr>
          <w:sz w:val="21"/>
        </w:rPr>
      </w:pPr>
      <w:r>
        <w:rPr>
          <w:spacing w:val="-3"/>
          <w:sz w:val="21"/>
        </w:rPr>
        <w:t>保险费的支付</w:t>
      </w:r>
    </w:p>
    <w:p>
      <w:pPr>
        <w:pStyle w:val="ListParagraph"/>
        <w:numPr>
          <w:ilvl w:val="1"/>
          <w:numId w:val="4"/>
        </w:numPr>
        <w:tabs>
          <w:tab w:pos="956" w:val="left" w:leader="none"/>
        </w:tabs>
        <w:spacing w:line="240" w:lineRule="auto" w:before="44" w:after="0"/>
        <w:ind w:left="955" w:right="0" w:hanging="423"/>
        <w:jc w:val="left"/>
        <w:rPr>
          <w:sz w:val="21"/>
        </w:rPr>
      </w:pPr>
      <w:r>
        <w:rPr>
          <w:spacing w:val="-3"/>
          <w:sz w:val="21"/>
        </w:rPr>
        <w:t>宽限期</w:t>
      </w:r>
    </w:p>
    <w:p>
      <w:pPr>
        <w:pStyle w:val="BodyText"/>
        <w:spacing w:line="250" w:lineRule="exact" w:before="0"/>
        <w:ind w:left="526"/>
      </w:pPr>
      <w:r>
        <w:rPr/>
        <w:br w:type="column"/>
      </w:r>
      <w:r>
        <w:rPr/>
        <w:t>7.1 您解除合同的手续及风险</w:t>
      </w:r>
    </w:p>
    <w:p>
      <w:pPr>
        <w:pStyle w:val="BodyText"/>
        <w:ind w:left="526"/>
      </w:pPr>
      <w:r>
        <w:rPr>
          <w:shd w:fill="A7A8A7" w:color="auto" w:val="clear"/>
        </w:rPr>
        <w:t>8．说明、告知与解除权限制 </w:t>
      </w:r>
    </w:p>
    <w:p>
      <w:pPr>
        <w:pStyle w:val="ListParagraph"/>
        <w:numPr>
          <w:ilvl w:val="1"/>
          <w:numId w:val="5"/>
        </w:numPr>
        <w:tabs>
          <w:tab w:pos="949" w:val="left" w:leader="none"/>
        </w:tabs>
        <w:spacing w:line="240" w:lineRule="auto" w:before="46" w:after="0"/>
        <w:ind w:left="948" w:right="0" w:hanging="422"/>
        <w:jc w:val="left"/>
        <w:rPr>
          <w:sz w:val="21"/>
        </w:rPr>
      </w:pPr>
      <w:r>
        <w:rPr>
          <w:spacing w:val="-3"/>
          <w:sz w:val="21"/>
        </w:rPr>
        <w:t>明确说明与如实告知</w:t>
      </w:r>
    </w:p>
    <w:p>
      <w:pPr>
        <w:pStyle w:val="ListParagraph"/>
        <w:numPr>
          <w:ilvl w:val="1"/>
          <w:numId w:val="5"/>
        </w:numPr>
        <w:tabs>
          <w:tab w:pos="949" w:val="left" w:leader="none"/>
        </w:tabs>
        <w:spacing w:line="240" w:lineRule="auto" w:before="44" w:after="0"/>
        <w:ind w:left="948" w:right="0" w:hanging="422"/>
        <w:jc w:val="left"/>
        <w:rPr>
          <w:sz w:val="21"/>
        </w:rPr>
      </w:pPr>
      <w:r>
        <w:rPr>
          <w:spacing w:val="-3"/>
          <w:sz w:val="21"/>
        </w:rPr>
        <w:t>我们合同解除权的限制</w:t>
      </w:r>
    </w:p>
    <w:p>
      <w:pPr>
        <w:pStyle w:val="BodyText"/>
        <w:tabs>
          <w:tab w:pos="3269" w:val="left" w:leader="none"/>
        </w:tabs>
        <w:ind w:left="526"/>
      </w:pPr>
      <w:r>
        <w:rPr>
          <w:spacing w:val="-1"/>
          <w:shd w:fill="A7A8A7" w:color="auto" w:val="clear"/>
        </w:rPr>
        <w:t>9．</w:t>
      </w:r>
      <w:r>
        <w:rPr>
          <w:spacing w:val="-3"/>
          <w:shd w:fill="A7A8A7" w:color="auto" w:val="clear"/>
        </w:rPr>
        <w:t>其他</w:t>
      </w:r>
      <w:r>
        <w:rPr>
          <w:shd w:fill="A7A8A7" w:color="auto" w:val="clear"/>
        </w:rPr>
        <w:t>需要</w:t>
      </w:r>
      <w:r>
        <w:rPr>
          <w:spacing w:val="-3"/>
          <w:shd w:fill="A7A8A7" w:color="auto" w:val="clear"/>
        </w:rPr>
        <w:t>关注</w:t>
      </w:r>
      <w:r>
        <w:rPr>
          <w:shd w:fill="A7A8A7" w:color="auto" w:val="clear"/>
        </w:rPr>
        <w:t>的</w:t>
      </w:r>
      <w:r>
        <w:rPr>
          <w:spacing w:val="-3"/>
          <w:shd w:fill="A7A8A7" w:color="auto" w:val="clear"/>
        </w:rPr>
        <w:t>事</w:t>
      </w:r>
      <w:r>
        <w:rPr>
          <w:shd w:fill="A7A8A7" w:color="auto" w:val="clear"/>
        </w:rPr>
        <w:t>项</w:t>
        <w:tab/>
      </w:r>
    </w:p>
    <w:p>
      <w:pPr>
        <w:pStyle w:val="ListParagraph"/>
        <w:numPr>
          <w:ilvl w:val="1"/>
          <w:numId w:val="6"/>
        </w:numPr>
        <w:tabs>
          <w:tab w:pos="949" w:val="left" w:leader="none"/>
        </w:tabs>
        <w:spacing w:line="240" w:lineRule="auto" w:before="46" w:after="0"/>
        <w:ind w:left="948" w:right="0" w:hanging="422"/>
        <w:jc w:val="left"/>
        <w:rPr>
          <w:sz w:val="21"/>
        </w:rPr>
      </w:pPr>
      <w:r>
        <w:rPr>
          <w:spacing w:val="-2"/>
          <w:sz w:val="21"/>
        </w:rPr>
        <w:t>年龄错误</w:t>
      </w:r>
    </w:p>
    <w:p>
      <w:pPr>
        <w:pStyle w:val="ListParagraph"/>
        <w:numPr>
          <w:ilvl w:val="1"/>
          <w:numId w:val="6"/>
        </w:numPr>
        <w:tabs>
          <w:tab w:pos="949" w:val="left" w:leader="none"/>
        </w:tabs>
        <w:spacing w:line="240" w:lineRule="auto" w:before="44" w:after="0"/>
        <w:ind w:left="948" w:right="0" w:hanging="422"/>
        <w:jc w:val="left"/>
        <w:rPr>
          <w:sz w:val="21"/>
        </w:rPr>
      </w:pPr>
      <w:r>
        <w:rPr>
          <w:spacing w:val="-2"/>
          <w:sz w:val="21"/>
        </w:rPr>
        <w:t>未还款项</w:t>
      </w:r>
    </w:p>
    <w:p>
      <w:pPr>
        <w:pStyle w:val="ListParagraph"/>
        <w:numPr>
          <w:ilvl w:val="1"/>
          <w:numId w:val="6"/>
        </w:numPr>
        <w:tabs>
          <w:tab w:pos="949" w:val="left" w:leader="none"/>
        </w:tabs>
        <w:spacing w:line="240" w:lineRule="auto" w:before="44" w:after="0"/>
        <w:ind w:left="948" w:right="0" w:hanging="422"/>
        <w:jc w:val="left"/>
        <w:rPr>
          <w:sz w:val="21"/>
        </w:rPr>
      </w:pPr>
      <w:r>
        <w:rPr>
          <w:spacing w:val="-3"/>
          <w:sz w:val="21"/>
        </w:rPr>
        <w:t>合同内容变更</w:t>
      </w:r>
    </w:p>
    <w:p>
      <w:pPr>
        <w:pStyle w:val="ListParagraph"/>
        <w:numPr>
          <w:ilvl w:val="1"/>
          <w:numId w:val="6"/>
        </w:numPr>
        <w:tabs>
          <w:tab w:pos="949" w:val="left" w:leader="none"/>
        </w:tabs>
        <w:spacing w:line="240" w:lineRule="auto" w:before="46" w:after="0"/>
        <w:ind w:left="948" w:right="0" w:hanging="422"/>
        <w:jc w:val="left"/>
        <w:rPr>
          <w:sz w:val="21"/>
        </w:rPr>
      </w:pPr>
      <w:r>
        <w:rPr>
          <w:spacing w:val="-3"/>
          <w:sz w:val="21"/>
        </w:rPr>
        <w:t>联系方式变更</w:t>
      </w:r>
    </w:p>
    <w:p>
      <w:pPr>
        <w:pStyle w:val="ListParagraph"/>
        <w:numPr>
          <w:ilvl w:val="1"/>
          <w:numId w:val="6"/>
        </w:numPr>
        <w:tabs>
          <w:tab w:pos="949" w:val="left" w:leader="none"/>
        </w:tabs>
        <w:spacing w:line="240" w:lineRule="auto" w:before="43" w:after="0"/>
        <w:ind w:left="948" w:right="0" w:hanging="422"/>
        <w:jc w:val="left"/>
        <w:rPr>
          <w:sz w:val="21"/>
        </w:rPr>
      </w:pPr>
      <w:r>
        <w:rPr>
          <w:spacing w:val="-2"/>
          <w:sz w:val="21"/>
        </w:rPr>
        <w:t>争议处理</w:t>
      </w:r>
    </w:p>
    <w:p>
      <w:pPr>
        <w:pStyle w:val="BodyText"/>
        <w:tabs>
          <w:tab w:pos="3269" w:val="left" w:leader="none"/>
        </w:tabs>
        <w:ind w:left="526"/>
      </w:pPr>
      <w:r>
        <w:rPr>
          <w:shd w:fill="A7A8A7" w:color="auto" w:val="clear"/>
        </w:rPr>
        <w:t>10．</w:t>
      </w:r>
      <w:r>
        <w:rPr>
          <w:spacing w:val="-3"/>
          <w:shd w:fill="A7A8A7" w:color="auto" w:val="clear"/>
        </w:rPr>
        <w:t>疾病</w:t>
      </w:r>
      <w:r>
        <w:rPr>
          <w:shd w:fill="A7A8A7" w:color="auto" w:val="clear"/>
        </w:rPr>
        <w:t>的</w:t>
      </w:r>
      <w:r>
        <w:rPr>
          <w:spacing w:val="-3"/>
          <w:shd w:fill="A7A8A7" w:color="auto" w:val="clear"/>
        </w:rPr>
        <w:t>定</w:t>
      </w:r>
      <w:r>
        <w:rPr>
          <w:shd w:fill="A7A8A7" w:color="auto" w:val="clear"/>
        </w:rPr>
        <w:t>义</w:t>
        <w:tab/>
      </w:r>
    </w:p>
    <w:p>
      <w:pPr>
        <w:pStyle w:val="ListParagraph"/>
        <w:numPr>
          <w:ilvl w:val="1"/>
          <w:numId w:val="7"/>
        </w:numPr>
        <w:tabs>
          <w:tab w:pos="1053" w:val="left" w:leader="none"/>
        </w:tabs>
        <w:spacing w:line="240" w:lineRule="auto" w:before="47" w:after="0"/>
        <w:ind w:left="531" w:right="0" w:hanging="5"/>
        <w:jc w:val="left"/>
        <w:rPr>
          <w:sz w:val="21"/>
        </w:rPr>
      </w:pPr>
      <w:r>
        <w:rPr>
          <w:spacing w:val="-3"/>
          <w:sz w:val="21"/>
        </w:rPr>
        <w:t>妊娠疾病的定义</w:t>
      </w:r>
    </w:p>
    <w:p>
      <w:pPr>
        <w:pStyle w:val="ListParagraph"/>
        <w:numPr>
          <w:ilvl w:val="1"/>
          <w:numId w:val="7"/>
        </w:numPr>
        <w:tabs>
          <w:tab w:pos="1053" w:val="left" w:leader="none"/>
        </w:tabs>
        <w:spacing w:line="240" w:lineRule="auto" w:before="44" w:after="0"/>
        <w:ind w:left="1052" w:right="0" w:hanging="526"/>
        <w:jc w:val="left"/>
        <w:rPr>
          <w:sz w:val="21"/>
        </w:rPr>
      </w:pPr>
      <w:r>
        <w:rPr>
          <w:spacing w:val="-3"/>
          <w:sz w:val="21"/>
        </w:rPr>
        <w:t>先天性疾病的定义</w:t>
      </w:r>
    </w:p>
    <w:p>
      <w:pPr>
        <w:pStyle w:val="ListParagraph"/>
        <w:numPr>
          <w:ilvl w:val="1"/>
          <w:numId w:val="7"/>
        </w:numPr>
        <w:tabs>
          <w:tab w:pos="1053" w:val="left" w:leader="none"/>
        </w:tabs>
        <w:spacing w:line="240" w:lineRule="auto" w:before="44" w:after="0"/>
        <w:ind w:left="1052" w:right="0" w:hanging="526"/>
        <w:jc w:val="left"/>
        <w:rPr>
          <w:sz w:val="21"/>
        </w:rPr>
      </w:pPr>
      <w:r>
        <w:rPr>
          <w:spacing w:val="-3"/>
          <w:sz w:val="21"/>
        </w:rPr>
        <w:t>重大疾病的定义</w:t>
      </w:r>
    </w:p>
    <w:p>
      <w:pPr>
        <w:pStyle w:val="ListParagraph"/>
        <w:numPr>
          <w:ilvl w:val="1"/>
          <w:numId w:val="7"/>
        </w:numPr>
        <w:tabs>
          <w:tab w:pos="1065" w:val="left" w:leader="none"/>
        </w:tabs>
        <w:spacing w:line="278" w:lineRule="auto" w:before="47" w:after="0"/>
        <w:ind w:left="531" w:right="0" w:hanging="5"/>
        <w:jc w:val="left"/>
        <w:rPr>
          <w:sz w:val="21"/>
        </w:rPr>
      </w:pPr>
      <w:r>
        <w:rPr>
          <w:spacing w:val="6"/>
          <w:sz w:val="21"/>
        </w:rPr>
        <w:t>重大疾病定义来源及确</w:t>
      </w:r>
      <w:r>
        <w:rPr>
          <w:spacing w:val="0"/>
          <w:sz w:val="21"/>
        </w:rPr>
        <w:t>诊医院范围</w:t>
      </w:r>
    </w:p>
    <w:p>
      <w:pPr>
        <w:pStyle w:val="ListParagraph"/>
        <w:numPr>
          <w:ilvl w:val="1"/>
          <w:numId w:val="8"/>
        </w:numPr>
        <w:tabs>
          <w:tab w:pos="1050" w:val="left" w:leader="none"/>
        </w:tabs>
        <w:spacing w:line="249" w:lineRule="exact" w:before="0" w:after="0"/>
        <w:ind w:left="1049" w:right="0" w:hanging="525"/>
        <w:jc w:val="left"/>
        <w:rPr>
          <w:sz w:val="21"/>
        </w:rPr>
      </w:pPr>
      <w:r>
        <w:rPr>
          <w:w w:val="100"/>
          <w:sz w:val="21"/>
        </w:rPr>
        <w:br w:type="column"/>
      </w:r>
      <w:r>
        <w:rPr>
          <w:spacing w:val="-2"/>
          <w:sz w:val="21"/>
        </w:rPr>
        <w:t>意外伤害</w:t>
      </w:r>
    </w:p>
    <w:p>
      <w:pPr>
        <w:pStyle w:val="ListParagraph"/>
        <w:numPr>
          <w:ilvl w:val="1"/>
          <w:numId w:val="8"/>
        </w:numPr>
        <w:tabs>
          <w:tab w:pos="1050" w:val="left" w:leader="none"/>
        </w:tabs>
        <w:spacing w:line="240" w:lineRule="auto" w:before="44" w:after="0"/>
        <w:ind w:left="1049" w:right="0" w:hanging="525"/>
        <w:jc w:val="left"/>
        <w:rPr>
          <w:sz w:val="21"/>
        </w:rPr>
      </w:pPr>
      <w:r>
        <w:rPr>
          <w:spacing w:val="-2"/>
          <w:sz w:val="21"/>
        </w:rPr>
        <w:t>约定医院</w:t>
      </w:r>
    </w:p>
    <w:p>
      <w:pPr>
        <w:pStyle w:val="ListParagraph"/>
        <w:numPr>
          <w:ilvl w:val="1"/>
          <w:numId w:val="8"/>
        </w:numPr>
        <w:tabs>
          <w:tab w:pos="1051" w:val="left" w:leader="none"/>
        </w:tabs>
        <w:spacing w:line="240" w:lineRule="auto" w:before="46" w:after="0"/>
        <w:ind w:left="1050" w:right="0" w:hanging="526"/>
        <w:jc w:val="left"/>
        <w:rPr>
          <w:sz w:val="21"/>
        </w:rPr>
      </w:pPr>
      <w:r>
        <w:rPr>
          <w:sz w:val="21"/>
        </w:rPr>
        <w:t>毒品</w:t>
      </w:r>
    </w:p>
    <w:p>
      <w:pPr>
        <w:pStyle w:val="ListParagraph"/>
        <w:numPr>
          <w:ilvl w:val="1"/>
          <w:numId w:val="8"/>
        </w:numPr>
        <w:tabs>
          <w:tab w:pos="1051" w:val="left" w:leader="none"/>
        </w:tabs>
        <w:spacing w:line="240" w:lineRule="auto" w:before="43" w:after="0"/>
        <w:ind w:left="1050" w:right="0" w:hanging="526"/>
        <w:jc w:val="left"/>
        <w:rPr>
          <w:sz w:val="21"/>
        </w:rPr>
      </w:pPr>
      <w:r>
        <w:rPr>
          <w:spacing w:val="-2"/>
          <w:sz w:val="21"/>
        </w:rPr>
        <w:t>酒后驾驶</w:t>
      </w:r>
    </w:p>
    <w:p>
      <w:pPr>
        <w:pStyle w:val="BodyText"/>
        <w:spacing w:before="43"/>
        <w:ind w:left="526"/>
      </w:pPr>
      <w:r>
        <w:rPr/>
        <w:t>11.1 无合法有效驾驶证驾驶</w:t>
      </w:r>
    </w:p>
    <w:p>
      <w:pPr>
        <w:pStyle w:val="ListParagraph"/>
        <w:numPr>
          <w:ilvl w:val="1"/>
          <w:numId w:val="9"/>
        </w:numPr>
        <w:tabs>
          <w:tab w:pos="1156" w:val="left" w:leader="none"/>
        </w:tabs>
        <w:spacing w:line="240" w:lineRule="auto" w:before="46" w:after="0"/>
        <w:ind w:left="529" w:right="0" w:hanging="5"/>
        <w:jc w:val="left"/>
        <w:rPr>
          <w:sz w:val="21"/>
        </w:rPr>
      </w:pPr>
      <w:r>
        <w:rPr>
          <w:spacing w:val="-3"/>
          <w:sz w:val="21"/>
        </w:rPr>
        <w:t>无有效行驶证</w:t>
      </w:r>
    </w:p>
    <w:p>
      <w:pPr>
        <w:pStyle w:val="ListParagraph"/>
        <w:numPr>
          <w:ilvl w:val="1"/>
          <w:numId w:val="9"/>
        </w:numPr>
        <w:tabs>
          <w:tab w:pos="1156" w:val="left" w:leader="none"/>
        </w:tabs>
        <w:spacing w:line="278" w:lineRule="auto" w:before="44" w:after="0"/>
        <w:ind w:left="529" w:right="766" w:hanging="5"/>
        <w:jc w:val="left"/>
        <w:rPr>
          <w:sz w:val="21"/>
        </w:rPr>
      </w:pPr>
      <w:r>
        <w:rPr>
          <w:sz w:val="21"/>
        </w:rPr>
        <w:t>感染艾滋病病毒或患艾滋病</w:t>
      </w:r>
    </w:p>
    <w:p>
      <w:pPr>
        <w:pStyle w:val="ListParagraph"/>
        <w:numPr>
          <w:ilvl w:val="1"/>
          <w:numId w:val="9"/>
        </w:numPr>
        <w:tabs>
          <w:tab w:pos="1156" w:val="left" w:leader="none"/>
        </w:tabs>
        <w:spacing w:line="240" w:lineRule="auto" w:before="13" w:after="0"/>
        <w:ind w:left="1155" w:right="0" w:hanging="631"/>
        <w:jc w:val="left"/>
        <w:rPr>
          <w:sz w:val="21"/>
        </w:rPr>
      </w:pPr>
      <w:r>
        <w:rPr>
          <w:spacing w:val="-2"/>
          <w:sz w:val="21"/>
        </w:rPr>
        <w:t>情形复杂</w:t>
      </w:r>
    </w:p>
    <w:p>
      <w:pPr>
        <w:pStyle w:val="ListParagraph"/>
        <w:numPr>
          <w:ilvl w:val="1"/>
          <w:numId w:val="9"/>
        </w:numPr>
        <w:tabs>
          <w:tab w:pos="1156" w:val="left" w:leader="none"/>
        </w:tabs>
        <w:spacing w:line="240" w:lineRule="auto" w:before="44" w:after="0"/>
        <w:ind w:left="1155" w:right="0" w:hanging="631"/>
        <w:jc w:val="left"/>
        <w:rPr>
          <w:sz w:val="21"/>
        </w:rPr>
      </w:pPr>
      <w:r>
        <w:rPr>
          <w:spacing w:val="-2"/>
          <w:sz w:val="21"/>
        </w:rPr>
        <w:t>专科医</w:t>
      </w:r>
      <w:r>
        <w:rPr>
          <w:sz w:val="21"/>
        </w:rPr>
        <w:t>Th</w:t>
      </w:r>
    </w:p>
    <w:p>
      <w:pPr>
        <w:pStyle w:val="ListParagraph"/>
        <w:numPr>
          <w:ilvl w:val="1"/>
          <w:numId w:val="9"/>
        </w:numPr>
        <w:tabs>
          <w:tab w:pos="1156" w:val="left" w:leader="none"/>
        </w:tabs>
        <w:spacing w:line="240" w:lineRule="auto" w:before="44" w:after="0"/>
        <w:ind w:left="1155" w:right="0" w:hanging="631"/>
        <w:jc w:val="left"/>
        <w:rPr>
          <w:sz w:val="21"/>
        </w:rPr>
      </w:pPr>
      <w:r>
        <w:rPr>
          <w:spacing w:val="-3"/>
          <w:sz w:val="21"/>
        </w:rPr>
        <w:t>肢体机能完全丧失</w:t>
      </w:r>
    </w:p>
    <w:p>
      <w:pPr>
        <w:pStyle w:val="ListParagraph"/>
        <w:numPr>
          <w:ilvl w:val="1"/>
          <w:numId w:val="9"/>
        </w:numPr>
        <w:tabs>
          <w:tab w:pos="1157" w:val="left" w:leader="none"/>
        </w:tabs>
        <w:spacing w:line="278" w:lineRule="auto" w:before="46" w:after="0"/>
        <w:ind w:left="529" w:right="765" w:hanging="5"/>
        <w:jc w:val="left"/>
        <w:rPr>
          <w:sz w:val="21"/>
        </w:rPr>
      </w:pPr>
      <w:r>
        <w:rPr>
          <w:sz w:val="21"/>
        </w:rPr>
        <w:t>语言能力或咀嚼吞咽能</w:t>
      </w:r>
      <w:r>
        <w:rPr>
          <w:spacing w:val="-1"/>
          <w:sz w:val="21"/>
        </w:rPr>
        <w:t>力完全丧失</w:t>
      </w:r>
    </w:p>
    <w:p>
      <w:pPr>
        <w:pStyle w:val="ListParagraph"/>
        <w:numPr>
          <w:ilvl w:val="1"/>
          <w:numId w:val="9"/>
        </w:numPr>
        <w:tabs>
          <w:tab w:pos="1157" w:val="left" w:leader="none"/>
        </w:tabs>
        <w:spacing w:line="240" w:lineRule="auto" w:before="10" w:after="0"/>
        <w:ind w:left="1156" w:right="0" w:hanging="632"/>
        <w:jc w:val="left"/>
        <w:rPr>
          <w:sz w:val="21"/>
        </w:rPr>
      </w:pPr>
      <w:r>
        <w:rPr>
          <w:spacing w:val="-3"/>
          <w:sz w:val="21"/>
        </w:rPr>
        <w:t>六项基本日常</w:t>
      </w:r>
      <w:r>
        <w:rPr>
          <w:sz w:val="21"/>
        </w:rPr>
        <w:t>Th</w:t>
      </w:r>
      <w:r>
        <w:rPr>
          <w:spacing w:val="-2"/>
          <w:sz w:val="21"/>
        </w:rPr>
        <w:t>活活动</w:t>
      </w:r>
    </w:p>
    <w:p>
      <w:pPr>
        <w:pStyle w:val="ListParagraph"/>
        <w:numPr>
          <w:ilvl w:val="1"/>
          <w:numId w:val="9"/>
        </w:numPr>
        <w:tabs>
          <w:tab w:pos="1156" w:val="left" w:leader="none"/>
        </w:tabs>
        <w:spacing w:line="240" w:lineRule="auto" w:before="47" w:after="0"/>
        <w:ind w:left="1155" w:right="0" w:hanging="632"/>
        <w:jc w:val="left"/>
        <w:rPr>
          <w:sz w:val="21"/>
        </w:rPr>
      </w:pPr>
      <w:r>
        <w:rPr>
          <w:spacing w:val="-3"/>
          <w:sz w:val="21"/>
        </w:rPr>
        <w:t>永久不可逆</w:t>
      </w:r>
    </w:p>
    <w:p>
      <w:pPr>
        <w:spacing w:after="0" w:line="240" w:lineRule="auto"/>
        <w:jc w:val="left"/>
        <w:rPr>
          <w:sz w:val="21"/>
        </w:rPr>
        <w:sectPr>
          <w:type w:val="continuous"/>
          <w:pgSz w:w="11910" w:h="16840"/>
          <w:pgMar w:top="200" w:bottom="280" w:left="1020" w:right="220"/>
          <w:cols w:num="3" w:equalWidth="0">
            <w:col w:w="3277" w:space="40"/>
            <w:col w:w="3273" w:space="39"/>
            <w:col w:w="4041"/>
          </w:cols>
        </w:sectPr>
      </w:pPr>
    </w:p>
    <w:p>
      <w:pPr>
        <w:pStyle w:val="Heading1"/>
        <w:spacing w:line="390" w:lineRule="exact" w:before="0"/>
        <w:ind w:left="2926" w:right="2931"/>
      </w:pPr>
      <w:bookmarkStart w:name="中韩人寿保险有限公司" w:id="3"/>
      <w:bookmarkEnd w:id="3"/>
      <w:r>
        <w:rPr>
          <w:b w:val="0"/>
        </w:rPr>
      </w:r>
      <w:r>
        <w:rPr>
          <w:w w:val="95"/>
        </w:rPr>
        <w:t>中韩人寿保险有限公司</w:t>
      </w:r>
    </w:p>
    <w:p>
      <w:pPr>
        <w:spacing w:before="205"/>
        <w:ind w:left="2931" w:right="2931" w:firstLine="0"/>
        <w:jc w:val="center"/>
        <w:rPr>
          <w:rFonts w:ascii="黑体" w:eastAsia="黑体" w:hint="eastAsia"/>
          <w:b/>
          <w:sz w:val="32"/>
        </w:rPr>
      </w:pPr>
      <w:bookmarkStart w:name="中韩爱相随重大疾病保险条款" w:id="4"/>
      <w:bookmarkEnd w:id="4"/>
      <w:r>
        <w:rPr/>
      </w:r>
      <w:r>
        <w:rPr>
          <w:rFonts w:ascii="黑体" w:eastAsia="黑体" w:hint="eastAsia"/>
          <w:b/>
          <w:w w:val="95"/>
          <w:sz w:val="32"/>
        </w:rPr>
        <w:t>中韩爱相随重大疾病保险条款</w:t>
      </w:r>
    </w:p>
    <w:p>
      <w:pPr>
        <w:pStyle w:val="BodyText"/>
        <w:spacing w:before="1"/>
        <w:rPr>
          <w:b/>
          <w:sz w:val="32"/>
        </w:rPr>
      </w:pPr>
    </w:p>
    <w:p>
      <w:pPr>
        <w:pStyle w:val="BodyText"/>
        <w:spacing w:before="0"/>
        <w:ind w:left="638"/>
        <w:rPr>
          <w:rFonts w:ascii="宋体" w:hAnsi="宋体" w:eastAsia="宋体" w:hint="eastAsia"/>
        </w:rPr>
      </w:pPr>
      <w:r>
        <w:rPr>
          <w:rFonts w:ascii="宋体" w:hAnsi="宋体" w:eastAsia="宋体" w:hint="eastAsia"/>
          <w:spacing w:val="-21"/>
          <w:w w:val="100"/>
        </w:rPr>
        <w:t>在本条款中，“您”指投保人，“我们”指中韩人寿保险有限公司，“本合同”指您与我们之间订立的</w:t>
      </w:r>
    </w:p>
    <w:p>
      <w:pPr>
        <w:pStyle w:val="BodyText"/>
        <w:spacing w:before="37"/>
        <w:ind w:left="112"/>
        <w:rPr>
          <w:rFonts w:ascii="宋体" w:hAnsi="宋体" w:eastAsia="宋体" w:hint="eastAsia"/>
        </w:rPr>
      </w:pPr>
      <w:r>
        <w:rPr>
          <w:rFonts w:ascii="宋体" w:hAnsi="宋体" w:eastAsia="宋体" w:hint="eastAsia"/>
        </w:rPr>
        <w:t>“中韩爱相随重大疾病保险合同”。</w:t>
      </w:r>
    </w:p>
    <w:p>
      <w:pPr>
        <w:spacing w:line="240" w:lineRule="auto" w:before="9" w:after="0"/>
        <w:rPr>
          <w:sz w:val="15"/>
        </w:rPr>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2"/>
        <w:gridCol w:w="1654"/>
        <w:gridCol w:w="7037"/>
      </w:tblGrid>
      <w:tr>
        <w:trPr>
          <w:trHeight w:val="311" w:hRule="atLeast"/>
        </w:trPr>
        <w:tc>
          <w:tcPr>
            <w:tcW w:w="852" w:type="dxa"/>
            <w:shd w:val="clear" w:color="auto" w:fill="A7A8A7"/>
          </w:tcPr>
          <w:p>
            <w:pPr>
              <w:pStyle w:val="TableParagraph"/>
              <w:spacing w:line="262" w:lineRule="exact"/>
              <w:ind w:left="108"/>
              <w:rPr>
                <w:b/>
                <w:sz w:val="21"/>
              </w:rPr>
            </w:pPr>
            <w:r>
              <w:rPr>
                <w:b/>
                <w:sz w:val="21"/>
              </w:rPr>
              <w:t>1．</w:t>
            </w:r>
          </w:p>
        </w:tc>
        <w:tc>
          <w:tcPr>
            <w:tcW w:w="8691" w:type="dxa"/>
            <w:gridSpan w:val="2"/>
            <w:shd w:val="clear" w:color="auto" w:fill="A7A8A7"/>
          </w:tcPr>
          <w:p>
            <w:pPr>
              <w:pStyle w:val="TableParagraph"/>
              <w:spacing w:line="262" w:lineRule="exact"/>
              <w:ind w:left="427"/>
              <w:rPr>
                <w:b/>
                <w:sz w:val="21"/>
              </w:rPr>
            </w:pPr>
            <w:r>
              <w:rPr>
                <w:b/>
                <w:sz w:val="21"/>
              </w:rPr>
              <w:t>您与我们订立的合同</w:t>
            </w:r>
          </w:p>
        </w:tc>
      </w:tr>
      <w:tr>
        <w:trPr>
          <w:trHeight w:val="1151" w:hRule="atLeast"/>
        </w:trPr>
        <w:tc>
          <w:tcPr>
            <w:tcW w:w="852" w:type="dxa"/>
          </w:tcPr>
          <w:p>
            <w:pPr>
              <w:pStyle w:val="TableParagraph"/>
              <w:spacing w:before="131"/>
              <w:ind w:left="108"/>
              <w:rPr>
                <w:b/>
                <w:sz w:val="21"/>
              </w:rPr>
            </w:pPr>
            <w:r>
              <w:rPr>
                <w:b/>
                <w:sz w:val="21"/>
              </w:rPr>
              <w:t>1.1</w:t>
            </w:r>
          </w:p>
        </w:tc>
        <w:tc>
          <w:tcPr>
            <w:tcW w:w="1654" w:type="dxa"/>
          </w:tcPr>
          <w:p>
            <w:pPr>
              <w:pStyle w:val="TableParagraph"/>
              <w:spacing w:before="131"/>
              <w:ind w:left="427"/>
              <w:rPr>
                <w:b/>
                <w:sz w:val="21"/>
              </w:rPr>
            </w:pPr>
            <w:r>
              <w:rPr>
                <w:b/>
                <w:sz w:val="21"/>
              </w:rPr>
              <w:t>合同构成</w:t>
            </w:r>
          </w:p>
        </w:tc>
        <w:tc>
          <w:tcPr>
            <w:tcW w:w="7037" w:type="dxa"/>
          </w:tcPr>
          <w:p>
            <w:pPr>
              <w:pStyle w:val="TableParagraph"/>
              <w:spacing w:line="273" w:lineRule="auto" w:before="131"/>
              <w:ind w:right="104"/>
              <w:jc w:val="both"/>
              <w:rPr>
                <w:sz w:val="21"/>
              </w:rPr>
            </w:pPr>
            <w:r>
              <w:rPr>
                <w:sz w:val="21"/>
              </w:rPr>
              <w:t>本合同是您与我们约定保险权利义务关系的协议，包括本保险条款、保险单、投保单及其他投保文件、合法有效的声明、批注、批单及其他您与我们共同认可的书面协议。</w:t>
            </w:r>
          </w:p>
        </w:tc>
      </w:tr>
      <w:tr>
        <w:trPr>
          <w:trHeight w:val="1466" w:hRule="atLeast"/>
        </w:trPr>
        <w:tc>
          <w:tcPr>
            <w:tcW w:w="852" w:type="dxa"/>
          </w:tcPr>
          <w:p>
            <w:pPr>
              <w:pStyle w:val="TableParagraph"/>
              <w:spacing w:before="57"/>
              <w:ind w:left="108"/>
              <w:rPr>
                <w:b/>
                <w:sz w:val="21"/>
              </w:rPr>
            </w:pPr>
            <w:r>
              <w:rPr>
                <w:b/>
                <w:sz w:val="21"/>
              </w:rPr>
              <w:t>1.2</w:t>
            </w:r>
          </w:p>
        </w:tc>
        <w:tc>
          <w:tcPr>
            <w:tcW w:w="1654" w:type="dxa"/>
          </w:tcPr>
          <w:p>
            <w:pPr>
              <w:pStyle w:val="TableParagraph"/>
              <w:spacing w:line="273" w:lineRule="auto" w:before="57"/>
              <w:ind w:left="427" w:right="168"/>
              <w:rPr>
                <w:b/>
                <w:sz w:val="21"/>
              </w:rPr>
            </w:pPr>
            <w:r>
              <w:rPr>
                <w:b/>
                <w:sz w:val="21"/>
              </w:rPr>
              <w:t>合同成立与生效</w:t>
            </w:r>
          </w:p>
        </w:tc>
        <w:tc>
          <w:tcPr>
            <w:tcW w:w="7037" w:type="dxa"/>
          </w:tcPr>
          <w:p>
            <w:pPr>
              <w:pStyle w:val="TableParagraph"/>
              <w:spacing w:before="57"/>
              <w:rPr>
                <w:sz w:val="21"/>
              </w:rPr>
            </w:pPr>
            <w:r>
              <w:rPr>
                <w:sz w:val="21"/>
              </w:rPr>
              <w:t>您提出保险申请、我们同意承保，本合同成立。</w:t>
            </w:r>
          </w:p>
          <w:p>
            <w:pPr>
              <w:pStyle w:val="TableParagraph"/>
              <w:spacing w:line="273" w:lineRule="auto" w:before="113"/>
              <w:rPr>
                <w:sz w:val="21"/>
              </w:rPr>
            </w:pPr>
            <w:r>
              <w:rPr>
                <w:sz w:val="21"/>
              </w:rPr>
              <w:t>本合同自我们同意承保、收到首期保险费并签发保险单后开始生效。合同</w:t>
            </w:r>
            <w:r>
              <w:rPr>
                <w:spacing w:val="-9"/>
                <w:sz w:val="21"/>
              </w:rPr>
              <w:t>生效日期在保险单上载明，</w:t>
            </w:r>
            <w:r>
              <w:rPr>
                <w:b/>
                <w:spacing w:val="-18"/>
                <w:sz w:val="21"/>
              </w:rPr>
              <w:t>保单年度</w:t>
            </w:r>
            <w:r>
              <w:rPr>
                <w:sz w:val="21"/>
              </w:rPr>
              <w:t>（</w:t>
            </w:r>
            <w:r>
              <w:rPr>
                <w:spacing w:val="-3"/>
                <w:sz w:val="21"/>
              </w:rPr>
              <w:t>详见释义</w:t>
            </w:r>
            <w:r>
              <w:rPr>
                <w:spacing w:val="-106"/>
                <w:sz w:val="21"/>
              </w:rPr>
              <w:t>）</w:t>
            </w:r>
            <w:r>
              <w:rPr>
                <w:spacing w:val="-75"/>
                <w:sz w:val="21"/>
              </w:rPr>
              <w:t>、</w:t>
            </w:r>
            <w:r>
              <w:rPr>
                <w:b/>
                <w:spacing w:val="-15"/>
                <w:sz w:val="21"/>
              </w:rPr>
              <w:t>保单周年日</w:t>
            </w:r>
            <w:r>
              <w:rPr>
                <w:sz w:val="21"/>
              </w:rPr>
              <w:t>（</w:t>
            </w:r>
            <w:r>
              <w:rPr>
                <w:spacing w:val="-3"/>
                <w:sz w:val="21"/>
              </w:rPr>
              <w:t>详见释义</w:t>
            </w:r>
            <w:r>
              <w:rPr>
                <w:spacing w:val="-106"/>
                <w:sz w:val="21"/>
              </w:rPr>
              <w:t>）</w:t>
            </w:r>
            <w:r>
              <w:rPr>
                <w:sz w:val="21"/>
              </w:rPr>
              <w:t>、</w:t>
            </w:r>
            <w:r>
              <w:rPr>
                <w:b/>
                <w:sz w:val="21"/>
              </w:rPr>
              <w:t>保险费约定支付日</w:t>
            </w:r>
            <w:r>
              <w:rPr>
                <w:spacing w:val="-3"/>
                <w:sz w:val="21"/>
              </w:rPr>
              <w:t>（详见释义</w:t>
            </w:r>
            <w:r>
              <w:rPr>
                <w:sz w:val="21"/>
              </w:rPr>
              <w:t>）</w:t>
            </w:r>
            <w:r>
              <w:rPr>
                <w:spacing w:val="-3"/>
                <w:sz w:val="21"/>
              </w:rPr>
              <w:t>均以该日期计算。</w:t>
            </w:r>
          </w:p>
        </w:tc>
      </w:tr>
      <w:tr>
        <w:trPr>
          <w:trHeight w:val="2014" w:hRule="atLeast"/>
        </w:trPr>
        <w:tc>
          <w:tcPr>
            <w:tcW w:w="852" w:type="dxa"/>
          </w:tcPr>
          <w:p>
            <w:pPr>
              <w:pStyle w:val="TableParagraph"/>
              <w:spacing w:before="57"/>
              <w:ind w:left="108"/>
              <w:rPr>
                <w:b/>
                <w:sz w:val="21"/>
              </w:rPr>
            </w:pPr>
            <w:r>
              <w:rPr>
                <w:b/>
                <w:sz w:val="21"/>
              </w:rPr>
              <w:t>1.3</w:t>
            </w:r>
          </w:p>
        </w:tc>
        <w:tc>
          <w:tcPr>
            <w:tcW w:w="1654" w:type="dxa"/>
          </w:tcPr>
          <w:p>
            <w:pPr>
              <w:pStyle w:val="TableParagraph"/>
              <w:spacing w:before="57"/>
              <w:ind w:left="427"/>
              <w:rPr>
                <w:b/>
                <w:sz w:val="21"/>
              </w:rPr>
            </w:pPr>
            <w:r>
              <w:rPr>
                <w:b/>
                <w:sz w:val="21"/>
              </w:rPr>
              <w:t>合同终止</w:t>
            </w:r>
          </w:p>
        </w:tc>
        <w:tc>
          <w:tcPr>
            <w:tcW w:w="7037" w:type="dxa"/>
          </w:tcPr>
          <w:p>
            <w:pPr>
              <w:pStyle w:val="TableParagraph"/>
              <w:spacing w:before="57"/>
              <w:rPr>
                <w:sz w:val="21"/>
              </w:rPr>
            </w:pPr>
            <w:r>
              <w:rPr>
                <w:sz w:val="21"/>
              </w:rPr>
              <w:t>发生下列情况之一时，本合同效力即时终止：</w:t>
            </w:r>
          </w:p>
          <w:p>
            <w:pPr>
              <w:pStyle w:val="TableParagraph"/>
              <w:spacing w:before="36"/>
              <w:rPr>
                <w:sz w:val="21"/>
              </w:rPr>
            </w:pPr>
            <w:r>
              <w:rPr>
                <w:sz w:val="21"/>
              </w:rPr>
              <w:t>(1)您于合同有效期内向我们申请解除本合同；</w:t>
            </w:r>
          </w:p>
          <w:p>
            <w:pPr>
              <w:pStyle w:val="TableParagraph"/>
              <w:spacing w:line="273" w:lineRule="auto" w:before="36"/>
              <w:ind w:right="106"/>
              <w:rPr>
                <w:sz w:val="21"/>
              </w:rPr>
            </w:pPr>
            <w:r>
              <w:rPr>
                <w:sz w:val="21"/>
              </w:rPr>
              <w:t>(2)</w:t>
            </w:r>
            <w:r>
              <w:rPr>
                <w:spacing w:val="-32"/>
                <w:sz w:val="21"/>
              </w:rPr>
              <w:t>我们给付“身故保险金”、“妊娠疾病保险金”、“妊娠终止保险金”、“先</w:t>
            </w:r>
            <w:r>
              <w:rPr>
                <w:spacing w:val="-9"/>
                <w:w w:val="100"/>
                <w:sz w:val="21"/>
              </w:rPr>
              <w:t>天性疾病保险金”或“重大疾病保险金”；</w:t>
            </w:r>
          </w:p>
          <w:p>
            <w:pPr>
              <w:pStyle w:val="TableParagraph"/>
              <w:spacing w:before="7"/>
              <w:rPr>
                <w:sz w:val="21"/>
              </w:rPr>
            </w:pPr>
            <w:r>
              <w:rPr>
                <w:sz w:val="21"/>
              </w:rPr>
              <w:t>(3)本合同效力中止且未能按本保险条款“6.2 效力恢复”办理复效的；</w:t>
            </w:r>
          </w:p>
          <w:p>
            <w:pPr>
              <w:pStyle w:val="TableParagraph"/>
              <w:spacing w:before="37"/>
              <w:rPr>
                <w:sz w:val="21"/>
              </w:rPr>
            </w:pPr>
            <w:r>
              <w:rPr>
                <w:sz w:val="21"/>
              </w:rPr>
              <w:t>(4)本合同约定的其他效力终止的情况。</w:t>
            </w:r>
          </w:p>
        </w:tc>
      </w:tr>
      <w:tr>
        <w:trPr>
          <w:trHeight w:val="2091" w:hRule="atLeast"/>
        </w:trPr>
        <w:tc>
          <w:tcPr>
            <w:tcW w:w="852" w:type="dxa"/>
          </w:tcPr>
          <w:p>
            <w:pPr>
              <w:pStyle w:val="TableParagraph"/>
              <w:spacing w:before="58"/>
              <w:ind w:left="108"/>
              <w:rPr>
                <w:b/>
                <w:sz w:val="21"/>
              </w:rPr>
            </w:pPr>
            <w:r>
              <w:rPr>
                <w:b/>
                <w:sz w:val="21"/>
              </w:rPr>
              <w:t>1.4</w:t>
            </w:r>
          </w:p>
        </w:tc>
        <w:tc>
          <w:tcPr>
            <w:tcW w:w="1654" w:type="dxa"/>
          </w:tcPr>
          <w:p>
            <w:pPr>
              <w:pStyle w:val="TableParagraph"/>
              <w:spacing w:before="58"/>
              <w:ind w:left="427"/>
              <w:rPr>
                <w:b/>
                <w:sz w:val="21"/>
              </w:rPr>
            </w:pPr>
            <w:r>
              <w:rPr>
                <w:b/>
                <w:sz w:val="21"/>
              </w:rPr>
              <w:t>被保险人</w:t>
            </w:r>
          </w:p>
        </w:tc>
        <w:tc>
          <w:tcPr>
            <w:tcW w:w="7037" w:type="dxa"/>
          </w:tcPr>
          <w:p>
            <w:pPr>
              <w:pStyle w:val="TableParagraph"/>
              <w:spacing w:line="273" w:lineRule="auto" w:before="58"/>
              <w:ind w:right="104"/>
              <w:rPr>
                <w:sz w:val="21"/>
              </w:rPr>
            </w:pPr>
            <w:r>
              <w:rPr>
                <w:sz w:val="21"/>
              </w:rPr>
              <w:t>本合同的被保险人包含第一被保险人和第二被保险人。我们接受的第一被保险人须同时符合下列条件:</w:t>
            </w:r>
          </w:p>
          <w:p>
            <w:pPr>
              <w:pStyle w:val="TableParagraph"/>
              <w:spacing w:before="7"/>
              <w:rPr>
                <w:sz w:val="21"/>
              </w:rPr>
            </w:pPr>
            <w:r>
              <w:rPr>
                <w:w w:val="100"/>
                <w:sz w:val="21"/>
              </w:rPr>
              <w:t>(1)</w:t>
            </w:r>
            <w:r>
              <w:rPr>
                <w:spacing w:val="-3"/>
                <w:w w:val="100"/>
                <w:sz w:val="21"/>
              </w:rPr>
              <w:t>投保时年龄为</w:t>
            </w:r>
            <w:r>
              <w:rPr>
                <w:spacing w:val="-53"/>
                <w:sz w:val="21"/>
              </w:rPr>
              <w:t> </w:t>
            </w:r>
            <w:r>
              <w:rPr>
                <w:w w:val="100"/>
                <w:sz w:val="21"/>
              </w:rPr>
              <w:t>20</w:t>
            </w:r>
            <w:r>
              <w:rPr>
                <w:spacing w:val="-55"/>
                <w:sz w:val="21"/>
              </w:rPr>
              <w:t> </w:t>
            </w:r>
            <w:r>
              <w:rPr>
                <w:w w:val="100"/>
                <w:sz w:val="21"/>
              </w:rPr>
              <w:t>至</w:t>
            </w:r>
            <w:r>
              <w:rPr>
                <w:spacing w:val="-53"/>
                <w:sz w:val="21"/>
              </w:rPr>
              <w:t> </w:t>
            </w:r>
            <w:r>
              <w:rPr>
                <w:spacing w:val="-3"/>
                <w:w w:val="100"/>
                <w:sz w:val="21"/>
              </w:rPr>
              <w:t>3</w:t>
            </w:r>
            <w:r>
              <w:rPr>
                <w:w w:val="100"/>
                <w:sz w:val="21"/>
              </w:rPr>
              <w:t>5</w:t>
            </w:r>
            <w:r>
              <w:rPr>
                <w:spacing w:val="-55"/>
                <w:sz w:val="21"/>
              </w:rPr>
              <w:t> </w:t>
            </w:r>
            <w:r>
              <w:rPr>
                <w:b/>
                <w:w w:val="100"/>
                <w:sz w:val="21"/>
              </w:rPr>
              <w:t>周岁</w:t>
            </w:r>
            <w:r>
              <w:rPr>
                <w:w w:val="100"/>
                <w:sz w:val="21"/>
              </w:rPr>
              <w:t>（</w:t>
            </w:r>
            <w:r>
              <w:rPr>
                <w:spacing w:val="-3"/>
                <w:w w:val="100"/>
                <w:sz w:val="21"/>
              </w:rPr>
              <w:t>详见释义</w:t>
            </w:r>
            <w:r>
              <w:rPr>
                <w:spacing w:val="-109"/>
                <w:w w:val="100"/>
                <w:sz w:val="21"/>
              </w:rPr>
              <w:t>）</w:t>
            </w:r>
            <w:r>
              <w:rPr>
                <w:w w:val="100"/>
                <w:sz w:val="21"/>
              </w:rPr>
              <w:t>；</w:t>
            </w:r>
          </w:p>
          <w:p>
            <w:pPr>
              <w:pStyle w:val="TableParagraph"/>
              <w:spacing w:before="37"/>
              <w:rPr>
                <w:sz w:val="21"/>
              </w:rPr>
            </w:pPr>
            <w:r>
              <w:rPr>
                <w:sz w:val="21"/>
              </w:rPr>
              <w:t>(2)已怀孕但孕周未满 28 周且身体健康的女性。</w:t>
            </w:r>
          </w:p>
          <w:p>
            <w:pPr>
              <w:pStyle w:val="TableParagraph"/>
              <w:spacing w:line="273" w:lineRule="auto" w:before="113"/>
              <w:ind w:right="104"/>
              <w:rPr>
                <w:sz w:val="21"/>
              </w:rPr>
            </w:pPr>
            <w:r>
              <w:rPr>
                <w:sz w:val="21"/>
              </w:rPr>
              <w:t>我们接受的第二被保险人为第一被保险人于第一个保单年度内发生第一次妊娠而分娩的婴儿。</w:t>
            </w:r>
          </w:p>
        </w:tc>
      </w:tr>
      <w:tr>
        <w:trPr>
          <w:trHeight w:val="2162" w:hRule="atLeast"/>
        </w:trPr>
        <w:tc>
          <w:tcPr>
            <w:tcW w:w="852" w:type="dxa"/>
          </w:tcPr>
          <w:p>
            <w:pPr>
              <w:pStyle w:val="TableParagraph"/>
              <w:spacing w:before="57"/>
              <w:ind w:left="108"/>
              <w:rPr>
                <w:b/>
                <w:sz w:val="21"/>
              </w:rPr>
            </w:pPr>
            <w:r>
              <w:rPr>
                <w:b/>
                <w:sz w:val="21"/>
              </w:rPr>
              <w:t>1.5</w:t>
            </w:r>
          </w:p>
        </w:tc>
        <w:tc>
          <w:tcPr>
            <w:tcW w:w="1654" w:type="dxa"/>
          </w:tcPr>
          <w:p>
            <w:pPr>
              <w:pStyle w:val="TableParagraph"/>
              <w:spacing w:before="57"/>
              <w:ind w:left="427"/>
              <w:rPr>
                <w:b/>
                <w:sz w:val="21"/>
              </w:rPr>
            </w:pPr>
            <w:r>
              <w:rPr>
                <w:b/>
                <w:sz w:val="21"/>
              </w:rPr>
              <w:t>犹豫期</w:t>
            </w:r>
          </w:p>
        </w:tc>
        <w:tc>
          <w:tcPr>
            <w:tcW w:w="7037" w:type="dxa"/>
          </w:tcPr>
          <w:p>
            <w:pPr>
              <w:pStyle w:val="TableParagraph"/>
              <w:spacing w:line="273" w:lineRule="auto" w:before="57"/>
              <w:ind w:right="103" w:hanging="1"/>
              <w:jc w:val="both"/>
              <w:rPr>
                <w:sz w:val="21"/>
              </w:rPr>
            </w:pPr>
            <w:r>
              <w:rPr>
                <w:spacing w:val="-8"/>
                <w:sz w:val="21"/>
              </w:rPr>
              <w:t>自您签收本合同之日起，有 </w:t>
            </w:r>
            <w:r>
              <w:rPr>
                <w:sz w:val="21"/>
              </w:rPr>
              <w:t>10</w:t>
            </w:r>
            <w:r>
              <w:rPr>
                <w:spacing w:val="-12"/>
                <w:sz w:val="21"/>
              </w:rPr>
              <w:t> 日的犹豫期。在此期间，请您认真审阅本合同，如果您认为本合同与您的需求不相符，您可以在此期间提出解除本合</w:t>
            </w:r>
            <w:r>
              <w:rPr>
                <w:spacing w:val="-6"/>
                <w:sz w:val="21"/>
              </w:rPr>
              <w:t>同，我们无息退还您所支付的全部保险费。</w:t>
            </w:r>
          </w:p>
          <w:p>
            <w:pPr>
              <w:pStyle w:val="TableParagraph"/>
              <w:spacing w:line="273" w:lineRule="auto" w:before="86"/>
              <w:ind w:right="103"/>
              <w:jc w:val="both"/>
              <w:rPr>
                <w:sz w:val="21"/>
              </w:rPr>
            </w:pPr>
            <w:r>
              <w:rPr>
                <w:spacing w:val="-13"/>
                <w:sz w:val="21"/>
              </w:rPr>
              <w:t>解除合同时，您需要填写申请书，并提供您的保险合同及</w:t>
            </w:r>
            <w:r>
              <w:rPr>
                <w:b/>
                <w:spacing w:val="-10"/>
                <w:sz w:val="21"/>
              </w:rPr>
              <w:t>有效身份证件</w:t>
            </w:r>
            <w:r>
              <w:rPr>
                <w:spacing w:val="-3"/>
                <w:sz w:val="21"/>
              </w:rPr>
              <w:t>（详</w:t>
            </w:r>
            <w:r>
              <w:rPr>
                <w:spacing w:val="-1"/>
                <w:sz w:val="21"/>
              </w:rPr>
              <w:t>见释义</w:t>
            </w:r>
            <w:r>
              <w:rPr>
                <w:spacing w:val="-108"/>
                <w:sz w:val="21"/>
              </w:rPr>
              <w:t>）</w:t>
            </w:r>
            <w:r>
              <w:rPr>
                <w:spacing w:val="-8"/>
                <w:sz w:val="21"/>
              </w:rPr>
              <w:t>。自我们收到您解除合同的书面申请时起，本合同即被解除，对于</w:t>
            </w:r>
            <w:r>
              <w:rPr>
                <w:spacing w:val="-5"/>
                <w:sz w:val="21"/>
              </w:rPr>
              <w:t>合同解除前发生的保险事故，我们不承担保险责任。</w:t>
            </w:r>
          </w:p>
        </w:tc>
      </w:tr>
      <w:tr>
        <w:trPr>
          <w:trHeight w:val="312" w:hRule="atLeast"/>
        </w:trPr>
        <w:tc>
          <w:tcPr>
            <w:tcW w:w="852" w:type="dxa"/>
            <w:shd w:val="clear" w:color="auto" w:fill="A7A8A7"/>
          </w:tcPr>
          <w:p>
            <w:pPr>
              <w:pStyle w:val="TableParagraph"/>
              <w:spacing w:line="262" w:lineRule="exact"/>
              <w:ind w:left="108"/>
              <w:rPr>
                <w:b/>
                <w:sz w:val="21"/>
              </w:rPr>
            </w:pPr>
            <w:r>
              <w:rPr>
                <w:b/>
                <w:sz w:val="21"/>
              </w:rPr>
              <w:t>2．</w:t>
            </w:r>
          </w:p>
        </w:tc>
        <w:tc>
          <w:tcPr>
            <w:tcW w:w="8691" w:type="dxa"/>
            <w:gridSpan w:val="2"/>
            <w:shd w:val="clear" w:color="auto" w:fill="A7A8A7"/>
          </w:tcPr>
          <w:p>
            <w:pPr>
              <w:pStyle w:val="TableParagraph"/>
              <w:spacing w:line="262" w:lineRule="exact"/>
              <w:ind w:left="427"/>
              <w:rPr>
                <w:b/>
                <w:sz w:val="21"/>
              </w:rPr>
            </w:pPr>
            <w:r>
              <w:rPr>
                <w:b/>
                <w:sz w:val="21"/>
              </w:rPr>
              <w:t>我们提供的保障</w:t>
            </w:r>
          </w:p>
        </w:tc>
      </w:tr>
      <w:tr>
        <w:trPr>
          <w:trHeight w:val="837" w:hRule="atLeast"/>
        </w:trPr>
        <w:tc>
          <w:tcPr>
            <w:tcW w:w="852" w:type="dxa"/>
          </w:tcPr>
          <w:p>
            <w:pPr>
              <w:pStyle w:val="TableParagraph"/>
              <w:spacing w:before="129"/>
              <w:ind w:left="108"/>
              <w:rPr>
                <w:b/>
                <w:sz w:val="21"/>
              </w:rPr>
            </w:pPr>
            <w:r>
              <w:rPr>
                <w:b/>
                <w:sz w:val="21"/>
              </w:rPr>
              <w:t>2.1</w:t>
            </w:r>
          </w:p>
        </w:tc>
        <w:tc>
          <w:tcPr>
            <w:tcW w:w="1654" w:type="dxa"/>
          </w:tcPr>
          <w:p>
            <w:pPr>
              <w:pStyle w:val="TableParagraph"/>
              <w:spacing w:line="273" w:lineRule="auto" w:before="129"/>
              <w:ind w:left="427" w:right="168"/>
              <w:rPr>
                <w:b/>
                <w:sz w:val="21"/>
              </w:rPr>
            </w:pPr>
            <w:r>
              <w:rPr>
                <w:b/>
                <w:sz w:val="21"/>
              </w:rPr>
              <w:t>基本保险金额</w:t>
            </w:r>
          </w:p>
        </w:tc>
        <w:tc>
          <w:tcPr>
            <w:tcW w:w="7037" w:type="dxa"/>
          </w:tcPr>
          <w:p>
            <w:pPr>
              <w:pStyle w:val="TableParagraph"/>
              <w:spacing w:before="129"/>
              <w:rPr>
                <w:sz w:val="21"/>
              </w:rPr>
            </w:pPr>
            <w:r>
              <w:rPr>
                <w:sz w:val="21"/>
              </w:rPr>
              <w:t>本合同的基本保险金额由您在投保时与我们约定并在保险单上载明。</w:t>
            </w:r>
          </w:p>
        </w:tc>
      </w:tr>
      <w:tr>
        <w:trPr>
          <w:trHeight w:val="1049" w:hRule="atLeast"/>
        </w:trPr>
        <w:tc>
          <w:tcPr>
            <w:tcW w:w="852" w:type="dxa"/>
          </w:tcPr>
          <w:p>
            <w:pPr>
              <w:pStyle w:val="TableParagraph"/>
              <w:spacing w:before="57"/>
              <w:ind w:left="108"/>
              <w:rPr>
                <w:b/>
                <w:sz w:val="21"/>
              </w:rPr>
            </w:pPr>
            <w:r>
              <w:rPr>
                <w:b/>
                <w:sz w:val="21"/>
              </w:rPr>
              <w:t>2.2</w:t>
            </w:r>
          </w:p>
        </w:tc>
        <w:tc>
          <w:tcPr>
            <w:tcW w:w="1654" w:type="dxa"/>
          </w:tcPr>
          <w:p>
            <w:pPr>
              <w:pStyle w:val="TableParagraph"/>
              <w:spacing w:before="57"/>
              <w:ind w:left="427"/>
              <w:rPr>
                <w:b/>
                <w:sz w:val="21"/>
              </w:rPr>
            </w:pPr>
            <w:r>
              <w:rPr>
                <w:b/>
                <w:sz w:val="21"/>
              </w:rPr>
              <w:t>保险期间</w:t>
            </w:r>
          </w:p>
        </w:tc>
        <w:tc>
          <w:tcPr>
            <w:tcW w:w="7037" w:type="dxa"/>
          </w:tcPr>
          <w:p>
            <w:pPr>
              <w:pStyle w:val="TableParagraph"/>
              <w:spacing w:before="57"/>
              <w:rPr>
                <w:sz w:val="21"/>
              </w:rPr>
            </w:pPr>
            <w:r>
              <w:rPr>
                <w:sz w:val="21"/>
              </w:rPr>
              <w:t>本合同的保险期间由您在投保时与我们约定并在保险单上载明。</w:t>
            </w:r>
          </w:p>
          <w:p>
            <w:pPr>
              <w:pStyle w:val="TableParagraph"/>
              <w:spacing w:before="130"/>
              <w:rPr>
                <w:sz w:val="21"/>
              </w:rPr>
            </w:pPr>
            <w:r>
              <w:rPr>
                <w:sz w:val="21"/>
              </w:rPr>
              <w:t>第一被保险人的保险期间为自保单生效日开始至分娩之日止,且不超过 1</w:t>
            </w:r>
          </w:p>
          <w:p>
            <w:pPr>
              <w:pStyle w:val="TableParagraph"/>
              <w:spacing w:line="255" w:lineRule="exact" w:before="37"/>
              <w:rPr>
                <w:sz w:val="21"/>
              </w:rPr>
            </w:pPr>
            <w:r>
              <w:rPr>
                <w:sz w:val="21"/>
              </w:rPr>
              <w:t>年。</w:t>
            </w:r>
          </w:p>
        </w:tc>
      </w:tr>
    </w:tbl>
    <w:p>
      <w:pPr>
        <w:spacing w:after="0" w:line="255" w:lineRule="exact"/>
        <w:rPr>
          <w:sz w:val="21"/>
        </w:rPr>
        <w:sectPr>
          <w:pgSz w:w="11910" w:h="16840"/>
          <w:pgMar w:top="1480" w:bottom="280" w:left="1020" w:right="1020"/>
        </w:sectPr>
      </w:pPr>
    </w:p>
    <w:p>
      <w:pPr>
        <w:pStyle w:val="BodyText"/>
        <w:spacing w:before="7"/>
        <w:ind w:left="2676"/>
        <w:rPr>
          <w:rFonts w:ascii="宋体" w:eastAsia="宋体" w:hint="eastAsia"/>
        </w:rPr>
      </w:pPr>
      <w:r>
        <w:rPr>
          <w:rFonts w:ascii="宋体" w:eastAsia="宋体" w:hint="eastAsia"/>
        </w:rPr>
        <w:t>第二被保险人的保险期间为自分娩之日开始至约定的保险期间届满日止。</w:t>
      </w:r>
    </w:p>
    <w:p>
      <w:pPr>
        <w:pStyle w:val="ListParagraph"/>
        <w:numPr>
          <w:ilvl w:val="1"/>
          <w:numId w:val="10"/>
        </w:numPr>
        <w:tabs>
          <w:tab w:pos="1280" w:val="left" w:leader="none"/>
        </w:tabs>
        <w:spacing w:line="273" w:lineRule="auto" w:before="178" w:after="0"/>
        <w:ind w:left="2676" w:right="106" w:hanging="2568"/>
        <w:jc w:val="both"/>
        <w:rPr>
          <w:rFonts w:ascii="宋体" w:eastAsia="宋体" w:hint="eastAsia"/>
          <w:sz w:val="21"/>
        </w:rPr>
      </w:pPr>
      <w:r>
        <w:rPr>
          <w:rFonts w:ascii="宋体" w:eastAsia="宋体" w:hint="eastAsia"/>
          <w:b/>
          <w:spacing w:val="10"/>
          <w:sz w:val="21"/>
        </w:rPr>
        <w:t>等待期 </w:t>
      </w:r>
      <w:r>
        <w:rPr>
          <w:spacing w:val="-3"/>
          <w:sz w:val="21"/>
        </w:rPr>
        <w:t>从本合同</w:t>
      </w:r>
      <w:r>
        <w:rPr>
          <w:sz w:val="21"/>
        </w:rPr>
        <w:t>Th</w:t>
      </w:r>
      <w:r>
        <w:rPr>
          <w:spacing w:val="-19"/>
          <w:sz w:val="21"/>
        </w:rPr>
        <w:t>效起 </w:t>
      </w:r>
      <w:r>
        <w:rPr>
          <w:sz w:val="21"/>
        </w:rPr>
        <w:t>30</w:t>
      </w:r>
      <w:r>
        <w:rPr>
          <w:spacing w:val="-31"/>
          <w:sz w:val="21"/>
        </w:rPr>
        <w:t> 日内</w:t>
      </w:r>
      <w:r>
        <w:rPr>
          <w:spacing w:val="-3"/>
          <w:sz w:val="21"/>
        </w:rPr>
        <w:t>（</w:t>
      </w:r>
      <w:r>
        <w:rPr>
          <w:spacing w:val="-18"/>
          <w:sz w:val="21"/>
        </w:rPr>
        <w:t>含第 </w:t>
      </w:r>
      <w:r>
        <w:rPr>
          <w:sz w:val="21"/>
        </w:rPr>
        <w:t>30</w:t>
      </w:r>
      <w:r>
        <w:rPr>
          <w:spacing w:val="-28"/>
          <w:sz w:val="21"/>
        </w:rPr>
        <w:t> 日</w:t>
      </w:r>
      <w:r>
        <w:rPr>
          <w:spacing w:val="-70"/>
          <w:sz w:val="21"/>
        </w:rPr>
        <w:t>）</w:t>
      </w:r>
      <w:r>
        <w:rPr>
          <w:spacing w:val="-11"/>
          <w:sz w:val="21"/>
        </w:rPr>
        <w:t>，被保险人因疾病发</w:t>
      </w:r>
      <w:r>
        <w:rPr>
          <w:sz w:val="21"/>
        </w:rPr>
        <w:t>Th</w:t>
      </w:r>
      <w:r>
        <w:rPr>
          <w:spacing w:val="-3"/>
          <w:sz w:val="21"/>
        </w:rPr>
        <w:t>下列情形之一</w:t>
      </w:r>
      <w:r>
        <w:rPr>
          <w:w w:val="100"/>
          <w:sz w:val="21"/>
        </w:rPr>
        <w:t>的</w:t>
      </w:r>
      <w:r>
        <w:rPr>
          <w:spacing w:val="-2"/>
          <w:w w:val="100"/>
          <w:sz w:val="21"/>
        </w:rPr>
        <w:t>：(</w:t>
      </w:r>
      <w:r>
        <w:rPr>
          <w:w w:val="100"/>
          <w:sz w:val="21"/>
        </w:rPr>
        <w:t>1)</w:t>
      </w:r>
      <w:r>
        <w:rPr>
          <w:spacing w:val="-3"/>
          <w:w w:val="100"/>
          <w:sz w:val="21"/>
        </w:rPr>
        <w:t>符合本合同第</w:t>
      </w:r>
      <w:r>
        <w:rPr>
          <w:spacing w:val="-34"/>
          <w:sz w:val="21"/>
        </w:rPr>
        <w:t> </w:t>
      </w:r>
      <w:r>
        <w:rPr>
          <w:spacing w:val="-3"/>
          <w:w w:val="100"/>
          <w:sz w:val="21"/>
        </w:rPr>
        <w:t>1</w:t>
      </w:r>
      <w:r>
        <w:rPr>
          <w:w w:val="100"/>
          <w:sz w:val="21"/>
        </w:rPr>
        <w:t>0</w:t>
      </w:r>
      <w:r>
        <w:rPr>
          <w:spacing w:val="-36"/>
          <w:sz w:val="21"/>
        </w:rPr>
        <w:t> </w:t>
      </w:r>
      <w:r>
        <w:rPr>
          <w:spacing w:val="-3"/>
          <w:w w:val="100"/>
          <w:sz w:val="21"/>
        </w:rPr>
        <w:t>条定义的妊娠疾病</w:t>
      </w:r>
      <w:r>
        <w:rPr>
          <w:w w:val="100"/>
          <w:sz w:val="21"/>
        </w:rPr>
        <w:t>（</w:t>
      </w:r>
      <w:r>
        <w:rPr>
          <w:spacing w:val="-3"/>
          <w:w w:val="100"/>
          <w:sz w:val="21"/>
        </w:rPr>
        <w:t>无论一种或多种</w:t>
      </w:r>
      <w:r>
        <w:rPr>
          <w:spacing w:val="-107"/>
          <w:w w:val="100"/>
          <w:sz w:val="21"/>
        </w:rPr>
        <w:t>）</w:t>
      </w:r>
      <w:r>
        <w:rPr>
          <w:w w:val="100"/>
          <w:sz w:val="21"/>
        </w:rPr>
        <w:t>，</w:t>
      </w:r>
      <w:r>
        <w:rPr>
          <w:spacing w:val="-3"/>
          <w:w w:val="100"/>
          <w:sz w:val="21"/>
        </w:rPr>
        <w:t>(2</w:t>
      </w:r>
      <w:r>
        <w:rPr>
          <w:spacing w:val="-2"/>
          <w:w w:val="100"/>
          <w:sz w:val="21"/>
        </w:rPr>
        <w:t>)因导</w:t>
      </w:r>
      <w:r>
        <w:rPr>
          <w:sz w:val="21"/>
        </w:rPr>
        <w:t>致本合同约定的妊娠疾病（无论一种或多种）的相关疾病就诊，我们不承担</w:t>
      </w:r>
      <w:r>
        <w:rPr>
          <w:spacing w:val="-1"/>
          <w:sz w:val="21"/>
        </w:rPr>
        <w:t>本合同约定的保险责任，本合同终止，并无息退还您所支付的全部保险费</w:t>
      </w:r>
      <w:r>
        <w:rPr>
          <w:spacing w:val="-14"/>
          <w:sz w:val="21"/>
        </w:rPr>
        <w:t>。这 </w:t>
      </w:r>
      <w:r>
        <w:rPr>
          <w:sz w:val="21"/>
        </w:rPr>
        <w:t>30</w:t>
      </w:r>
      <w:r>
        <w:rPr>
          <w:spacing w:val="-9"/>
          <w:sz w:val="21"/>
        </w:rPr>
        <w:t> 日的时间称为等待期；</w:t>
      </w:r>
      <w:r>
        <w:rPr>
          <w:rFonts w:ascii="宋体" w:eastAsia="宋体" w:hint="eastAsia"/>
          <w:spacing w:val="-3"/>
          <w:sz w:val="21"/>
        </w:rPr>
        <w:t>但被保险人因</w:t>
      </w:r>
      <w:r>
        <w:rPr>
          <w:rFonts w:ascii="宋体" w:eastAsia="宋体" w:hint="eastAsia"/>
          <w:b/>
          <w:spacing w:val="-5"/>
          <w:sz w:val="21"/>
        </w:rPr>
        <w:t>意外伤害</w:t>
      </w:r>
      <w:r>
        <w:rPr>
          <w:rFonts w:ascii="宋体" w:eastAsia="宋体" w:hint="eastAsia"/>
          <w:spacing w:val="-3"/>
          <w:sz w:val="21"/>
        </w:rPr>
        <w:t>（详见释义</w:t>
      </w:r>
      <w:r>
        <w:rPr>
          <w:rFonts w:ascii="宋体" w:eastAsia="宋体" w:hint="eastAsia"/>
          <w:spacing w:val="-17"/>
          <w:sz w:val="21"/>
        </w:rPr>
        <w:t>）</w:t>
      </w:r>
      <w:r>
        <w:rPr>
          <w:rFonts w:ascii="宋体" w:eastAsia="宋体" w:hint="eastAsia"/>
          <w:spacing w:val="-2"/>
          <w:sz w:val="21"/>
        </w:rPr>
        <w:t>发生上</w:t>
      </w:r>
      <w:r>
        <w:rPr>
          <w:rFonts w:ascii="宋体" w:eastAsia="宋体" w:hint="eastAsia"/>
          <w:spacing w:val="-3"/>
          <w:sz w:val="21"/>
        </w:rPr>
        <w:t>述两项情形之一的，则无等待期。</w:t>
      </w:r>
    </w:p>
    <w:p>
      <w:pPr>
        <w:pStyle w:val="ListParagraph"/>
        <w:numPr>
          <w:ilvl w:val="1"/>
          <w:numId w:val="10"/>
        </w:numPr>
        <w:tabs>
          <w:tab w:pos="1280" w:val="left" w:leader="none"/>
        </w:tabs>
        <w:spacing w:line="273" w:lineRule="auto" w:before="149" w:after="0"/>
        <w:ind w:left="2676" w:right="106" w:hanging="2568"/>
        <w:jc w:val="both"/>
        <w:rPr>
          <w:rFonts w:ascii="宋体" w:eastAsia="宋体" w:hint="eastAsia"/>
          <w:sz w:val="21"/>
        </w:rPr>
      </w:pPr>
      <w:r>
        <w:rPr>
          <w:rFonts w:ascii="宋体" w:eastAsia="宋体" w:hint="eastAsia"/>
          <w:b/>
          <w:spacing w:val="6"/>
          <w:sz w:val="21"/>
        </w:rPr>
        <w:t>保险责任    </w:t>
      </w:r>
      <w:r>
        <w:rPr>
          <w:rFonts w:ascii="宋体" w:eastAsia="宋体" w:hint="eastAsia"/>
          <w:sz w:val="21"/>
        </w:rPr>
        <w:t>在本合同保险期间内，且本合同有效的前提下，我们按以下约定承担保险责任：</w:t>
      </w:r>
    </w:p>
    <w:p>
      <w:pPr>
        <w:pStyle w:val="BodyText"/>
        <w:spacing w:line="273" w:lineRule="auto" w:before="149"/>
        <w:ind w:left="2676" w:right="107" w:hanging="1397"/>
        <w:jc w:val="both"/>
        <w:rPr>
          <w:rFonts w:ascii="宋体" w:eastAsia="宋体" w:hint="eastAsia"/>
        </w:rPr>
      </w:pPr>
      <w:r>
        <w:rPr>
          <w:rFonts w:ascii="宋体" w:eastAsia="宋体" w:hint="eastAsia"/>
        </w:rPr>
        <w:t>身故保险金  若第一被保险人在怀孕期间身故或分娩之日起 15 日内因分娩或分娩并发症身故，我们按本合同基本保险金额给付第一被保险人身故保险金，本合同终止。</w:t>
      </w:r>
    </w:p>
    <w:p>
      <w:pPr>
        <w:pStyle w:val="BodyText"/>
        <w:spacing w:line="273" w:lineRule="auto" w:before="101"/>
        <w:ind w:left="2676" w:right="106"/>
        <w:jc w:val="both"/>
      </w:pPr>
      <w:r>
        <w:rPr>
          <w:rFonts w:ascii="宋体" w:eastAsia="宋体" w:hint="eastAsia"/>
        </w:rPr>
        <w:t>若第二被保险人身故，我们按您已支付的保险费给付第二被保险人身故保险金，本合同终止。</w:t>
      </w:r>
      <w:r>
        <w:rPr/>
        <w:t>不论新Th儿胎数多少，我们仅按照一胎给付第二被保险人身故保险金。</w:t>
      </w:r>
    </w:p>
    <w:p>
      <w:pPr>
        <w:pStyle w:val="BodyText"/>
        <w:spacing w:line="273" w:lineRule="auto" w:before="101"/>
        <w:ind w:left="2676" w:right="106"/>
        <w:jc w:val="both"/>
      </w:pPr>
      <w:r>
        <w:rPr/>
        <w:t>第一被保险人的身故保险金和第二被保险人的身故保险金两项不可兼得， 即若我们给付其中任何一人的身故保险金，则其他人的身故保险金均不再给付。</w:t>
      </w:r>
    </w:p>
    <w:p>
      <w:pPr>
        <w:pStyle w:val="BodyText"/>
        <w:spacing w:before="8"/>
        <w:rPr>
          <w:sz w:val="8"/>
        </w:rPr>
      </w:pPr>
    </w:p>
    <w:p>
      <w:pPr>
        <w:spacing w:after="0"/>
        <w:rPr>
          <w:sz w:val="8"/>
        </w:rPr>
        <w:sectPr>
          <w:pgSz w:w="11910" w:h="16840"/>
          <w:pgMar w:top="1380" w:bottom="280" w:left="1180" w:right="1180"/>
        </w:sectPr>
      </w:pPr>
    </w:p>
    <w:p>
      <w:pPr>
        <w:pStyle w:val="BodyText"/>
        <w:spacing w:line="273" w:lineRule="auto" w:before="37"/>
        <w:ind w:left="1280"/>
        <w:rPr>
          <w:rFonts w:ascii="宋体" w:eastAsia="宋体" w:hint="eastAsia"/>
        </w:rPr>
      </w:pPr>
      <w:r>
        <w:rPr>
          <w:rFonts w:ascii="宋体" w:eastAsia="宋体" w:hint="eastAsia"/>
        </w:rPr>
        <w:t>妊娠疾病保险金</w:t>
      </w:r>
    </w:p>
    <w:p>
      <w:pPr>
        <w:pStyle w:val="BodyText"/>
        <w:spacing w:line="273" w:lineRule="auto" w:before="37"/>
        <w:ind w:left="303" w:right="106"/>
        <w:jc w:val="both"/>
      </w:pPr>
      <w:r>
        <w:rPr/>
        <w:br w:type="column"/>
      </w:r>
      <w:r>
        <w:rPr>
          <w:rFonts w:ascii="宋体" w:eastAsia="宋体" w:hint="eastAsia"/>
        </w:rPr>
        <w:t>若第一被保险人于等待期后经</w:t>
      </w:r>
      <w:r>
        <w:rPr>
          <w:rFonts w:ascii="宋体" w:eastAsia="宋体" w:hint="eastAsia"/>
          <w:b/>
        </w:rPr>
        <w:t>约定医院</w:t>
      </w:r>
      <w:r>
        <w:rPr>
          <w:rFonts w:ascii="宋体" w:eastAsia="宋体" w:hint="eastAsia"/>
        </w:rPr>
        <w:t>（详见释义）确诊初次发生本合同约定的妊娠疾病，</w:t>
      </w:r>
      <w:r>
        <w:rPr/>
        <w:t>我们按下表中列明的该妊娠疾病的给付比例乘以本合同约定的基本保险金额给付妊娠疾病保险金，本合同终止。</w:t>
      </w:r>
    </w:p>
    <w:p>
      <w:pPr>
        <w:pStyle w:val="BodyText"/>
        <w:spacing w:before="9"/>
        <w:rPr>
          <w:sz w:val="8"/>
        </w:rPr>
      </w:pPr>
    </w:p>
    <w:tbl>
      <w:tblPr>
        <w:tblW w:w="0" w:type="auto"/>
        <w:jc w:val="left"/>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35"/>
        <w:gridCol w:w="1109"/>
      </w:tblGrid>
      <w:tr>
        <w:trPr>
          <w:trHeight w:val="311" w:hRule="atLeast"/>
        </w:trPr>
        <w:tc>
          <w:tcPr>
            <w:tcW w:w="5635" w:type="dxa"/>
          </w:tcPr>
          <w:p>
            <w:pPr>
              <w:pStyle w:val="TableParagraph"/>
              <w:spacing w:line="262" w:lineRule="exact"/>
              <w:ind w:left="107"/>
              <w:rPr>
                <w:sz w:val="21"/>
              </w:rPr>
            </w:pPr>
            <w:r>
              <w:rPr>
                <w:sz w:val="21"/>
              </w:rPr>
              <w:t>妊娠疾病</w:t>
            </w:r>
          </w:p>
        </w:tc>
        <w:tc>
          <w:tcPr>
            <w:tcW w:w="1109" w:type="dxa"/>
          </w:tcPr>
          <w:p>
            <w:pPr>
              <w:pStyle w:val="TableParagraph"/>
              <w:spacing w:line="262" w:lineRule="exact"/>
              <w:ind w:left="108"/>
              <w:rPr>
                <w:sz w:val="21"/>
              </w:rPr>
            </w:pPr>
            <w:r>
              <w:rPr>
                <w:sz w:val="21"/>
              </w:rPr>
              <w:t>给付比例</w:t>
            </w:r>
          </w:p>
        </w:tc>
      </w:tr>
      <w:tr>
        <w:trPr>
          <w:trHeight w:val="311" w:hRule="atLeast"/>
        </w:trPr>
        <w:tc>
          <w:tcPr>
            <w:tcW w:w="5635" w:type="dxa"/>
          </w:tcPr>
          <w:p>
            <w:pPr>
              <w:pStyle w:val="TableParagraph"/>
              <w:spacing w:line="262" w:lineRule="exact"/>
              <w:ind w:left="107"/>
              <w:rPr>
                <w:sz w:val="21"/>
              </w:rPr>
            </w:pPr>
            <w:r>
              <w:rPr>
                <w:sz w:val="21"/>
              </w:rPr>
              <w:t>宫外孕、胎盘早期脱落</w:t>
            </w:r>
          </w:p>
        </w:tc>
        <w:tc>
          <w:tcPr>
            <w:tcW w:w="1109" w:type="dxa"/>
          </w:tcPr>
          <w:p>
            <w:pPr>
              <w:pStyle w:val="TableParagraph"/>
              <w:spacing w:line="262" w:lineRule="exact"/>
              <w:ind w:left="108"/>
              <w:rPr>
                <w:sz w:val="21"/>
              </w:rPr>
            </w:pPr>
            <w:r>
              <w:rPr>
                <w:sz w:val="21"/>
              </w:rPr>
              <w:t>10%</w:t>
            </w:r>
          </w:p>
        </w:tc>
      </w:tr>
      <w:tr>
        <w:trPr>
          <w:trHeight w:val="311" w:hRule="atLeast"/>
        </w:trPr>
        <w:tc>
          <w:tcPr>
            <w:tcW w:w="5635" w:type="dxa"/>
          </w:tcPr>
          <w:p>
            <w:pPr>
              <w:pStyle w:val="TableParagraph"/>
              <w:spacing w:line="262" w:lineRule="exact"/>
              <w:ind w:left="107"/>
              <w:rPr>
                <w:sz w:val="21"/>
              </w:rPr>
            </w:pPr>
            <w:r>
              <w:rPr>
                <w:sz w:val="21"/>
              </w:rPr>
              <w:t>弥漫性血管内凝血、侵蚀性葡萄胎、子痫症、羊水栓塞</w:t>
            </w:r>
          </w:p>
        </w:tc>
        <w:tc>
          <w:tcPr>
            <w:tcW w:w="1109" w:type="dxa"/>
          </w:tcPr>
          <w:p>
            <w:pPr>
              <w:pStyle w:val="TableParagraph"/>
              <w:spacing w:line="262" w:lineRule="exact"/>
              <w:ind w:left="108"/>
              <w:rPr>
                <w:sz w:val="21"/>
              </w:rPr>
            </w:pPr>
            <w:r>
              <w:rPr>
                <w:sz w:val="21"/>
              </w:rPr>
              <w:t>20%</w:t>
            </w:r>
          </w:p>
        </w:tc>
      </w:tr>
    </w:tbl>
    <w:p>
      <w:pPr>
        <w:pStyle w:val="BodyText"/>
        <w:spacing w:line="273" w:lineRule="auto" w:before="81"/>
        <w:ind w:left="303" w:right="106"/>
        <w:jc w:val="both"/>
      </w:pPr>
      <w:r>
        <w:rPr>
          <w:rFonts w:ascii="宋体" w:eastAsia="宋体" w:hint="eastAsia"/>
        </w:rPr>
        <w:t>若第一被保险人于等待期后经约定医院确诊初次同时发生多种本合同约定的妊娠疾病，</w:t>
      </w:r>
      <w:r>
        <w:rPr/>
        <w:t>我们按照确诊的妊娠疾病中给付比例最高的一种妊娠疾病给付妊娠疾病保险金，本合同终止。</w:t>
      </w:r>
    </w:p>
    <w:p>
      <w:pPr>
        <w:spacing w:after="0" w:line="273" w:lineRule="auto"/>
        <w:jc w:val="both"/>
        <w:sectPr>
          <w:type w:val="continuous"/>
          <w:pgSz w:w="11910" w:h="16840"/>
          <w:pgMar w:top="200" w:bottom="280" w:left="1180" w:right="1180"/>
          <w:cols w:num="2" w:equalWidth="0">
            <w:col w:w="2334" w:space="40"/>
            <w:col w:w="7176"/>
          </w:cols>
        </w:sectPr>
      </w:pPr>
    </w:p>
    <w:p>
      <w:pPr>
        <w:pStyle w:val="BodyText"/>
        <w:spacing w:before="8"/>
        <w:rPr>
          <w:sz w:val="8"/>
        </w:rPr>
      </w:pPr>
    </w:p>
    <w:p>
      <w:pPr>
        <w:spacing w:after="0"/>
        <w:rPr>
          <w:sz w:val="8"/>
        </w:rPr>
        <w:sectPr>
          <w:type w:val="continuous"/>
          <w:pgSz w:w="11910" w:h="16840"/>
          <w:pgMar w:top="200" w:bottom="280" w:left="1180" w:right="1180"/>
        </w:sectPr>
      </w:pPr>
    </w:p>
    <w:p>
      <w:pPr>
        <w:pStyle w:val="BodyText"/>
        <w:spacing w:line="273" w:lineRule="auto" w:before="36"/>
        <w:ind w:left="1280"/>
        <w:rPr>
          <w:rFonts w:ascii="宋体" w:eastAsia="宋体" w:hint="eastAsia"/>
        </w:rPr>
      </w:pPr>
      <w:r>
        <w:rPr/>
        <w:drawing>
          <wp:anchor distT="0" distB="0" distL="0" distR="0" allowOverlap="1" layoutInCell="1" locked="0" behindDoc="1" simplePos="0" relativeHeight="268397831">
            <wp:simplePos x="0" y="0"/>
            <wp:positionH relativeFrom="page">
              <wp:posOffset>5606783</wp:posOffset>
            </wp:positionH>
            <wp:positionV relativeFrom="paragraph">
              <wp:posOffset>767598</wp:posOffset>
            </wp:positionV>
            <wp:extent cx="63499" cy="95249"/>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499" cy="95249"/>
                    </a:xfrm>
                    <a:prstGeom prst="rect">
                      <a:avLst/>
                    </a:prstGeom>
                  </pic:spPr>
                </pic:pic>
              </a:graphicData>
            </a:graphic>
          </wp:anchor>
        </w:drawing>
      </w:r>
      <w:r>
        <w:rPr>
          <w:rFonts w:ascii="宋体" w:eastAsia="宋体" w:hint="eastAsia"/>
        </w:rPr>
        <w:t>妊娠终止保险金</w:t>
      </w:r>
    </w:p>
    <w:p>
      <w:pPr>
        <w:pStyle w:val="BodyText"/>
        <w:spacing w:line="273" w:lineRule="auto" w:before="36"/>
        <w:ind w:left="303" w:right="106"/>
        <w:rPr>
          <w:rFonts w:ascii="宋体" w:eastAsia="宋体" w:hint="eastAsia"/>
        </w:rPr>
      </w:pPr>
      <w:r>
        <w:rPr/>
        <w:br w:type="column"/>
      </w:r>
      <w:r>
        <w:rPr>
          <w:rFonts w:ascii="宋体" w:eastAsia="宋体" w:hint="eastAsia"/>
        </w:rPr>
        <w:t>若第一被保险人发生妊娠终止，我们按您已支付的保险费给付妊娠终止保险金，本合同终止。</w:t>
      </w:r>
    </w:p>
    <w:p>
      <w:pPr>
        <w:spacing w:after="0" w:line="273" w:lineRule="auto"/>
        <w:rPr>
          <w:rFonts w:ascii="宋体" w:eastAsia="宋体" w:hint="eastAsia"/>
        </w:rPr>
        <w:sectPr>
          <w:type w:val="continuous"/>
          <w:pgSz w:w="11910" w:h="16840"/>
          <w:pgMar w:top="200" w:bottom="280" w:left="1180" w:right="1180"/>
          <w:cols w:num="2" w:equalWidth="0">
            <w:col w:w="2334" w:space="40"/>
            <w:col w:w="7176"/>
          </w:cols>
        </w:sectPr>
      </w:pPr>
    </w:p>
    <w:p>
      <w:pPr>
        <w:spacing w:line="240" w:lineRule="auto" w:before="7"/>
        <w:rPr>
          <w:sz w:val="8"/>
        </w:rPr>
      </w:pPr>
    </w:p>
    <w:p>
      <w:pPr>
        <w:spacing w:after="0" w:line="240" w:lineRule="auto"/>
        <w:rPr>
          <w:sz w:val="8"/>
        </w:rPr>
        <w:sectPr>
          <w:type w:val="continuous"/>
          <w:pgSz w:w="11910" w:h="16840"/>
          <w:pgMar w:top="200" w:bottom="280" w:left="1180" w:right="1180"/>
        </w:sectPr>
      </w:pPr>
    </w:p>
    <w:p>
      <w:pPr>
        <w:pStyle w:val="BodyText"/>
        <w:spacing w:line="273" w:lineRule="auto" w:before="37"/>
        <w:ind w:left="1280"/>
        <w:rPr>
          <w:rFonts w:ascii="宋体" w:eastAsia="宋体" w:hint="eastAsia"/>
        </w:rPr>
      </w:pPr>
      <w:r>
        <w:rPr>
          <w:rFonts w:ascii="宋体" w:eastAsia="宋体" w:hint="eastAsia"/>
        </w:rPr>
        <w:t>先天性疾病保险金</w:t>
      </w:r>
    </w:p>
    <w:p>
      <w:pPr>
        <w:pStyle w:val="BodyText"/>
        <w:spacing w:line="273" w:lineRule="auto" w:before="37"/>
        <w:ind w:left="303" w:right="106"/>
        <w:jc w:val="both"/>
      </w:pPr>
      <w:r>
        <w:rPr/>
        <w:br w:type="column"/>
      </w:r>
      <w:r>
        <w:rPr>
          <w:rFonts w:ascii="宋体" w:hAnsi="宋体" w:eastAsia="宋体" w:hint="eastAsia"/>
        </w:rPr>
        <w:t>若第二被保险人经约定医院确诊初次发生本合同约定的先天性疾病（无论</w:t>
      </w:r>
      <w:r>
        <w:rPr>
          <w:rFonts w:ascii="宋体" w:hAnsi="宋体" w:eastAsia="宋体" w:hint="eastAsia"/>
          <w:spacing w:val="-2"/>
          <w:w w:val="100"/>
        </w:rPr>
        <w:t>一种或多种</w:t>
      </w:r>
      <w:r>
        <w:rPr>
          <w:rFonts w:ascii="宋体" w:hAnsi="宋体" w:eastAsia="宋体" w:hint="eastAsia"/>
          <w:spacing w:val="-106"/>
          <w:w w:val="100"/>
        </w:rPr>
        <w:t>）</w:t>
      </w:r>
      <w:r>
        <w:rPr>
          <w:rFonts w:ascii="宋体" w:hAnsi="宋体" w:eastAsia="宋体" w:hint="eastAsia"/>
          <w:spacing w:val="-17"/>
          <w:w w:val="100"/>
        </w:rPr>
        <w:t>，</w:t>
      </w:r>
      <w:r>
        <w:rPr>
          <w:spacing w:val="-3"/>
          <w:w w:val="100"/>
        </w:rPr>
        <w:t>我们按本合同约定的基本保险金额的</w:t>
      </w:r>
      <w:r>
        <w:rPr>
          <w:spacing w:val="-56"/>
        </w:rPr>
        <w:t> </w:t>
      </w:r>
      <w:r>
        <w:rPr>
          <w:w w:val="100"/>
        </w:rPr>
        <w:t>30</w:t>
      </w:r>
      <w:r>
        <w:rPr>
          <w:spacing w:val="-15"/>
          <w:w w:val="100"/>
        </w:rPr>
        <w:t>给付先天性疾病保</w:t>
      </w:r>
      <w:r>
        <w:rPr/>
        <w:t>险金，本合同终止</w:t>
      </w:r>
      <w:r>
        <w:rPr>
          <w:rFonts w:ascii="宋体" w:hAnsi="宋体" w:eastAsia="宋体" w:hint="eastAsia"/>
        </w:rPr>
        <w:t>。</w:t>
      </w:r>
      <w:r>
        <w:rPr/>
        <w:t>不论新Th儿胎数多少，我们仅就其中之一所患先天性</w:t>
      </w:r>
      <w:r>
        <w:rPr>
          <w:spacing w:val="-3"/>
        </w:rPr>
        <w:t>疾病给付先天性疾病保险金。</w:t>
      </w:r>
    </w:p>
    <w:p>
      <w:pPr>
        <w:spacing w:after="0" w:line="273" w:lineRule="auto"/>
        <w:jc w:val="both"/>
        <w:sectPr>
          <w:type w:val="continuous"/>
          <w:pgSz w:w="11910" w:h="16840"/>
          <w:pgMar w:top="200" w:bottom="280" w:left="1180" w:right="1180"/>
          <w:cols w:num="2" w:equalWidth="0">
            <w:col w:w="2334" w:space="40"/>
            <w:col w:w="7176"/>
          </w:cols>
        </w:sectPr>
      </w:pPr>
    </w:p>
    <w:p>
      <w:pPr>
        <w:pStyle w:val="BodyText"/>
        <w:spacing w:before="10"/>
        <w:rPr>
          <w:sz w:val="8"/>
        </w:rPr>
      </w:pPr>
    </w:p>
    <w:p>
      <w:pPr>
        <w:spacing w:after="0"/>
        <w:rPr>
          <w:sz w:val="8"/>
        </w:rPr>
        <w:sectPr>
          <w:type w:val="continuous"/>
          <w:pgSz w:w="11910" w:h="16840"/>
          <w:pgMar w:top="200" w:bottom="280" w:left="1180" w:right="1180"/>
        </w:sectPr>
      </w:pPr>
    </w:p>
    <w:p>
      <w:pPr>
        <w:pStyle w:val="BodyText"/>
        <w:spacing w:line="273" w:lineRule="auto" w:before="37"/>
        <w:ind w:left="1280"/>
        <w:rPr>
          <w:rFonts w:ascii="宋体" w:eastAsia="宋体" w:hint="eastAsia"/>
        </w:rPr>
      </w:pPr>
      <w:r>
        <w:rPr>
          <w:rFonts w:ascii="宋体" w:eastAsia="宋体" w:hint="eastAsia"/>
          <w:spacing w:val="-3"/>
        </w:rPr>
        <w:t>重大疾病保</w:t>
      </w:r>
      <w:r>
        <w:rPr>
          <w:rFonts w:ascii="宋体" w:eastAsia="宋体" w:hint="eastAsia"/>
        </w:rPr>
        <w:t>险金</w:t>
      </w:r>
    </w:p>
    <w:p>
      <w:pPr>
        <w:pStyle w:val="BodyText"/>
        <w:spacing w:line="273" w:lineRule="auto" w:before="37"/>
        <w:ind w:left="307" w:right="106"/>
        <w:jc w:val="both"/>
      </w:pPr>
      <w:r>
        <w:rPr/>
        <w:br w:type="column"/>
      </w:r>
      <w:r>
        <w:rPr>
          <w:rFonts w:ascii="宋体" w:eastAsia="宋体" w:hint="eastAsia"/>
        </w:rPr>
        <w:t>若第二被保险人经约定医院确诊初次发生本合同约定的重大疾病（无论一</w:t>
      </w:r>
      <w:r>
        <w:rPr>
          <w:rFonts w:ascii="宋体" w:eastAsia="宋体" w:hint="eastAsia"/>
          <w:spacing w:val="-1"/>
        </w:rPr>
        <w:t>种或多种</w:t>
      </w:r>
      <w:r>
        <w:rPr>
          <w:rFonts w:ascii="宋体" w:eastAsia="宋体" w:hint="eastAsia"/>
          <w:spacing w:val="-71"/>
        </w:rPr>
        <w:t>）</w:t>
      </w:r>
      <w:r>
        <w:rPr>
          <w:rFonts w:ascii="宋体" w:eastAsia="宋体" w:hint="eastAsia"/>
          <w:spacing w:val="-12"/>
        </w:rPr>
        <w:t>，我们按本合同约定的基本保险金额给付重大疾病保险金，本合</w:t>
      </w:r>
      <w:r>
        <w:rPr>
          <w:rFonts w:ascii="宋体" w:eastAsia="宋体" w:hint="eastAsia"/>
        </w:rPr>
        <w:t>同终止。</w:t>
      </w:r>
      <w:r>
        <w:rPr/>
        <w:t>不论新Th儿胎数多少，我们仅就其中之一所患重大疾病给付重大</w:t>
      </w:r>
      <w:r>
        <w:rPr>
          <w:spacing w:val="-2"/>
        </w:rPr>
        <w:t>疾病保险金。</w:t>
      </w:r>
    </w:p>
    <w:p>
      <w:pPr>
        <w:pStyle w:val="BodyText"/>
        <w:spacing w:line="273" w:lineRule="auto" w:before="142"/>
        <w:ind w:left="307" w:right="106"/>
        <w:jc w:val="both"/>
      </w:pPr>
      <w:r>
        <w:rPr>
          <w:spacing w:val="-28"/>
        </w:rPr>
        <w:t>前述“身故保险金”、“妊娠疾病保险金”、“妊娠终止保险金”、“先天性疾病保险金”和“重大疾病保险金”中，任意两项或数项不可兼得，即若我</w:t>
      </w:r>
    </w:p>
    <w:p>
      <w:pPr>
        <w:spacing w:after="0" w:line="273" w:lineRule="auto"/>
        <w:jc w:val="both"/>
        <w:sectPr>
          <w:type w:val="continuous"/>
          <w:pgSz w:w="11910" w:h="16840"/>
          <w:pgMar w:top="200" w:bottom="280" w:left="1180" w:right="1180"/>
          <w:cols w:num="2" w:equalWidth="0">
            <w:col w:w="2330" w:space="40"/>
            <w:col w:w="7180"/>
          </w:cols>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2"/>
        <w:gridCol w:w="1548"/>
        <w:gridCol w:w="7143"/>
      </w:tblGrid>
      <w:tr>
        <w:trPr>
          <w:trHeight w:val="332" w:hRule="atLeast"/>
        </w:trPr>
        <w:tc>
          <w:tcPr>
            <w:tcW w:w="852" w:type="dxa"/>
          </w:tcPr>
          <w:p>
            <w:pPr>
              <w:pStyle w:val="TableParagraph"/>
              <w:ind w:left="0"/>
              <w:rPr>
                <w:rFonts w:ascii="Times New Roman"/>
                <w:sz w:val="20"/>
              </w:rPr>
            </w:pPr>
          </w:p>
        </w:tc>
        <w:tc>
          <w:tcPr>
            <w:tcW w:w="1548" w:type="dxa"/>
          </w:tcPr>
          <w:p>
            <w:pPr>
              <w:pStyle w:val="TableParagraph"/>
              <w:ind w:left="0"/>
              <w:rPr>
                <w:rFonts w:ascii="Times New Roman"/>
                <w:sz w:val="20"/>
              </w:rPr>
            </w:pPr>
          </w:p>
        </w:tc>
        <w:tc>
          <w:tcPr>
            <w:tcW w:w="7143" w:type="dxa"/>
          </w:tcPr>
          <w:p>
            <w:pPr>
              <w:pStyle w:val="TableParagraph"/>
              <w:spacing w:line="202" w:lineRule="exact"/>
              <w:ind w:left="276"/>
              <w:rPr>
                <w:rFonts w:ascii="黑体" w:eastAsia="黑体" w:hint="eastAsia"/>
                <w:sz w:val="21"/>
              </w:rPr>
            </w:pPr>
            <w:r>
              <w:rPr>
                <w:rFonts w:ascii="黑体" w:eastAsia="黑体" w:hint="eastAsia"/>
                <w:sz w:val="21"/>
              </w:rPr>
              <w:t>们给付其中任何一项保险金，则其他保险金均不再给付。</w:t>
            </w:r>
          </w:p>
        </w:tc>
      </w:tr>
      <w:tr>
        <w:trPr>
          <w:trHeight w:val="10430" w:hRule="atLeast"/>
        </w:trPr>
        <w:tc>
          <w:tcPr>
            <w:tcW w:w="852" w:type="dxa"/>
          </w:tcPr>
          <w:p>
            <w:pPr>
              <w:pStyle w:val="TableParagraph"/>
              <w:spacing w:before="48"/>
              <w:ind w:left="108"/>
              <w:rPr>
                <w:b/>
                <w:sz w:val="21"/>
              </w:rPr>
            </w:pPr>
            <w:r>
              <w:rPr>
                <w:b/>
                <w:sz w:val="21"/>
              </w:rPr>
              <w:t>2.5</w:t>
            </w:r>
          </w:p>
        </w:tc>
        <w:tc>
          <w:tcPr>
            <w:tcW w:w="1548" w:type="dxa"/>
          </w:tcPr>
          <w:p>
            <w:pPr>
              <w:pStyle w:val="TableParagraph"/>
              <w:spacing w:before="48"/>
              <w:ind w:left="427"/>
              <w:rPr>
                <w:b/>
                <w:sz w:val="21"/>
              </w:rPr>
            </w:pPr>
            <w:r>
              <w:rPr>
                <w:b/>
                <w:sz w:val="21"/>
              </w:rPr>
              <w:t>责任免除</w:t>
            </w:r>
          </w:p>
        </w:tc>
        <w:tc>
          <w:tcPr>
            <w:tcW w:w="7143" w:type="dxa"/>
          </w:tcPr>
          <w:p>
            <w:pPr>
              <w:pStyle w:val="TableParagraph"/>
              <w:spacing w:line="273" w:lineRule="auto" w:before="48"/>
              <w:ind w:left="276" w:right="36"/>
              <w:rPr>
                <w:rFonts w:ascii="黑体" w:eastAsia="黑体" w:hint="eastAsia"/>
                <w:sz w:val="21"/>
              </w:rPr>
            </w:pPr>
            <w:r>
              <w:rPr>
                <w:rFonts w:ascii="黑体" w:eastAsia="黑体" w:hint="eastAsia"/>
                <w:sz w:val="21"/>
              </w:rPr>
              <w:t>1、因下列情形之一导致被保险人发Th疾病、达到疾病状态或进行手术的， 我们不承担给付保险金的责任：</w:t>
            </w:r>
          </w:p>
          <w:p>
            <w:pPr>
              <w:pStyle w:val="TableParagraph"/>
              <w:spacing w:before="7"/>
              <w:ind w:left="276"/>
              <w:rPr>
                <w:rFonts w:ascii="黑体" w:eastAsia="黑体" w:hint="eastAsia"/>
                <w:sz w:val="21"/>
              </w:rPr>
            </w:pPr>
            <w:r>
              <w:rPr>
                <w:rFonts w:ascii="黑体" w:eastAsia="黑体" w:hint="eastAsia"/>
                <w:sz w:val="21"/>
              </w:rPr>
              <w:t>(1)投保人对被保险人的故意杀害、故意伤害；</w:t>
            </w:r>
          </w:p>
          <w:p>
            <w:pPr>
              <w:pStyle w:val="TableParagraph"/>
              <w:spacing w:before="37"/>
              <w:ind w:left="276"/>
              <w:rPr>
                <w:rFonts w:ascii="黑体" w:eastAsia="黑体" w:hint="eastAsia"/>
                <w:sz w:val="21"/>
              </w:rPr>
            </w:pPr>
            <w:r>
              <w:rPr>
                <w:rFonts w:ascii="黑体" w:eastAsia="黑体" w:hint="eastAsia"/>
                <w:sz w:val="21"/>
              </w:rPr>
              <w:t>(2)被保险人故意自伤、故意犯罪或者抗拒依法采取的刑事强制措施；</w:t>
            </w:r>
          </w:p>
          <w:p>
            <w:pPr>
              <w:pStyle w:val="TableParagraph"/>
              <w:spacing w:before="37"/>
              <w:ind w:left="276"/>
              <w:rPr>
                <w:rFonts w:ascii="黑体" w:eastAsia="黑体" w:hint="eastAsia"/>
                <w:sz w:val="21"/>
              </w:rPr>
            </w:pPr>
            <w:r>
              <w:rPr>
                <w:rFonts w:ascii="黑体" w:eastAsia="黑体" w:hint="eastAsia"/>
                <w:w w:val="100"/>
                <w:sz w:val="21"/>
              </w:rPr>
              <w:t>(3)</w:t>
            </w: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spacing w:val="-3"/>
                <w:w w:val="100"/>
                <w:sz w:val="21"/>
              </w:rPr>
              <w:t>（详见释义</w:t>
            </w:r>
            <w:r>
              <w:rPr>
                <w:rFonts w:ascii="黑体" w:eastAsia="黑体" w:hint="eastAsia"/>
                <w:spacing w:val="-106"/>
                <w:w w:val="100"/>
                <w:sz w:val="21"/>
              </w:rPr>
              <w:t>）</w:t>
            </w:r>
            <w:r>
              <w:rPr>
                <w:rFonts w:ascii="黑体" w:eastAsia="黑体" w:hint="eastAsia"/>
                <w:w w:val="100"/>
                <w:sz w:val="21"/>
              </w:rPr>
              <w:t>；</w:t>
            </w:r>
          </w:p>
          <w:p>
            <w:pPr>
              <w:pStyle w:val="TableParagraph"/>
              <w:spacing w:line="273" w:lineRule="auto" w:before="37"/>
              <w:ind w:left="275" w:right="104"/>
              <w:rPr>
                <w:rFonts w:ascii="黑体" w:eastAsia="黑体" w:hint="eastAsia"/>
                <w:sz w:val="21"/>
              </w:rPr>
            </w:pPr>
            <w:r>
              <w:rPr>
                <w:rFonts w:ascii="黑体" w:eastAsia="黑体" w:hint="eastAsia"/>
                <w:sz w:val="21"/>
              </w:rPr>
              <w:t>(4)</w:t>
            </w:r>
            <w:r>
              <w:rPr>
                <w:rFonts w:ascii="黑体" w:eastAsia="黑体" w:hint="eastAsia"/>
                <w:spacing w:val="-1"/>
                <w:sz w:val="21"/>
              </w:rPr>
              <w:t>被保险人</w:t>
            </w:r>
            <w:r>
              <w:rPr>
                <w:rFonts w:ascii="黑体" w:eastAsia="黑体" w:hint="eastAsia"/>
                <w:b/>
                <w:sz w:val="21"/>
              </w:rPr>
              <w:t>酒后驾驶</w:t>
            </w:r>
            <w:r>
              <w:rPr>
                <w:rFonts w:ascii="黑体" w:eastAsia="黑体" w:hint="eastAsia"/>
                <w:sz w:val="21"/>
              </w:rPr>
              <w:t>（</w:t>
            </w:r>
            <w:r>
              <w:rPr>
                <w:rFonts w:ascii="黑体" w:eastAsia="黑体" w:hint="eastAsia"/>
                <w:spacing w:val="-2"/>
                <w:sz w:val="21"/>
              </w:rPr>
              <w:t>详见释义</w:t>
            </w:r>
            <w:r>
              <w:rPr>
                <w:rFonts w:ascii="黑体" w:eastAsia="黑体" w:hint="eastAsia"/>
                <w:spacing w:val="-104"/>
                <w:sz w:val="21"/>
              </w:rPr>
              <w:t>）</w:t>
            </w:r>
            <w:r>
              <w:rPr>
                <w:rFonts w:ascii="黑体" w:eastAsia="黑体" w:hint="eastAsia"/>
                <w:spacing w:val="-3"/>
                <w:sz w:val="21"/>
              </w:rPr>
              <w:t>、</w:t>
            </w:r>
            <w:r>
              <w:rPr>
                <w:rFonts w:ascii="黑体" w:eastAsia="黑体" w:hint="eastAsia"/>
                <w:b/>
                <w:sz w:val="21"/>
              </w:rPr>
              <w:t>无合法有效驾驶证驾驶</w:t>
            </w:r>
            <w:r>
              <w:rPr>
                <w:rFonts w:ascii="黑体" w:eastAsia="黑体" w:hint="eastAsia"/>
                <w:sz w:val="21"/>
              </w:rPr>
              <w:t>（</w:t>
            </w:r>
            <w:r>
              <w:rPr>
                <w:rFonts w:ascii="黑体" w:eastAsia="黑体" w:hint="eastAsia"/>
                <w:spacing w:val="-1"/>
                <w:sz w:val="21"/>
              </w:rPr>
              <w:t>详见释义</w:t>
            </w:r>
            <w:r>
              <w:rPr>
                <w:rFonts w:ascii="黑体" w:eastAsia="黑体" w:hint="eastAsia"/>
                <w:sz w:val="21"/>
              </w:rPr>
              <w:t>） </w:t>
            </w:r>
            <w:r>
              <w:rPr>
                <w:rFonts w:ascii="黑体" w:eastAsia="黑体" w:hint="eastAsia"/>
                <w:spacing w:val="-1"/>
                <w:sz w:val="21"/>
              </w:rPr>
              <w:t>或驾驶</w:t>
            </w:r>
            <w:r>
              <w:rPr>
                <w:rFonts w:ascii="黑体" w:eastAsia="黑体" w:hint="eastAsia"/>
                <w:b/>
                <w:sz w:val="21"/>
              </w:rPr>
              <w:t>无有效行驶证</w:t>
            </w:r>
            <w:r>
              <w:rPr>
                <w:rFonts w:ascii="黑体" w:eastAsia="黑体" w:hint="eastAsia"/>
                <w:spacing w:val="-3"/>
                <w:sz w:val="21"/>
              </w:rPr>
              <w:t>（详见释义）的机动车；</w:t>
            </w:r>
          </w:p>
          <w:p>
            <w:pPr>
              <w:pStyle w:val="TableParagraph"/>
              <w:spacing w:line="273" w:lineRule="auto" w:before="8"/>
              <w:ind w:left="276" w:right="101"/>
              <w:rPr>
                <w:rFonts w:ascii="黑体" w:hAnsi="黑体" w:eastAsia="黑体" w:hint="eastAsia"/>
                <w:sz w:val="21"/>
              </w:rPr>
            </w:pPr>
            <w:r>
              <w:rPr>
                <w:rFonts w:ascii="黑体" w:hAnsi="黑体" w:eastAsia="黑体" w:hint="eastAsia"/>
                <w:w w:val="100"/>
                <w:sz w:val="21"/>
              </w:rPr>
              <w:t>(5)</w:t>
            </w:r>
            <w:r>
              <w:rPr>
                <w:rFonts w:ascii="黑体" w:hAnsi="黑体" w:eastAsia="黑体" w:hint="eastAsia"/>
                <w:spacing w:val="-1"/>
                <w:w w:val="100"/>
                <w:sz w:val="21"/>
              </w:rPr>
              <w:t>被保险人</w:t>
            </w:r>
            <w:r>
              <w:rPr>
                <w:rFonts w:ascii="黑体" w:hAnsi="黑体" w:eastAsia="黑体" w:hint="eastAsia"/>
                <w:b/>
                <w:w w:val="100"/>
                <w:sz w:val="21"/>
              </w:rPr>
              <w:t>感染艾滋病病毒或患艾滋病</w:t>
            </w:r>
            <w:r>
              <w:rPr>
                <w:rFonts w:ascii="黑体" w:hAnsi="黑体" w:eastAsia="黑体" w:hint="eastAsia"/>
                <w:w w:val="100"/>
                <w:sz w:val="21"/>
              </w:rPr>
              <w:t>（</w:t>
            </w:r>
            <w:r>
              <w:rPr>
                <w:rFonts w:ascii="黑体" w:hAnsi="黑体" w:eastAsia="黑体" w:hint="eastAsia"/>
                <w:spacing w:val="-1"/>
                <w:w w:val="100"/>
                <w:sz w:val="21"/>
              </w:rPr>
              <w:t>详见释义</w:t>
            </w:r>
            <w:r>
              <w:rPr>
                <w:rFonts w:ascii="黑体" w:hAnsi="黑体" w:eastAsia="黑体" w:hint="eastAsia"/>
                <w:spacing w:val="-106"/>
                <w:w w:val="100"/>
                <w:sz w:val="21"/>
              </w:rPr>
              <w:t>）</w:t>
            </w:r>
            <w:r>
              <w:rPr>
                <w:rFonts w:ascii="黑体" w:hAnsi="黑体" w:eastAsia="黑体" w:hint="eastAsia"/>
                <w:w w:val="100"/>
                <w:sz w:val="21"/>
              </w:rPr>
              <w:t>，但若属于本合同所</w:t>
            </w:r>
            <w:r>
              <w:rPr>
                <w:rFonts w:ascii="黑体" w:hAnsi="黑体" w:eastAsia="黑体" w:hint="eastAsia"/>
                <w:spacing w:val="-8"/>
                <w:w w:val="100"/>
                <w:sz w:val="21"/>
              </w:rPr>
              <w:t>保障的“经输血导致的人类免疫缺陷病毒感染”，则不在此限；</w:t>
            </w:r>
          </w:p>
          <w:p>
            <w:pPr>
              <w:pStyle w:val="TableParagraph"/>
              <w:spacing w:before="8"/>
              <w:ind w:left="276"/>
              <w:rPr>
                <w:rFonts w:ascii="黑体" w:eastAsia="黑体" w:hint="eastAsia"/>
                <w:sz w:val="21"/>
              </w:rPr>
            </w:pPr>
            <w:r>
              <w:rPr>
                <w:rFonts w:ascii="黑体" w:eastAsia="黑体" w:hint="eastAsia"/>
                <w:sz w:val="21"/>
              </w:rPr>
              <w:t>(6)战争、军事冲突、暴乱或武装叛乱；</w:t>
            </w:r>
          </w:p>
          <w:p>
            <w:pPr>
              <w:pStyle w:val="TableParagraph"/>
              <w:spacing w:before="37"/>
              <w:ind w:left="276"/>
              <w:rPr>
                <w:rFonts w:ascii="黑体" w:eastAsia="黑体" w:hint="eastAsia"/>
                <w:sz w:val="21"/>
              </w:rPr>
            </w:pPr>
            <w:r>
              <w:rPr>
                <w:rFonts w:ascii="黑体" w:eastAsia="黑体" w:hint="eastAsia"/>
                <w:sz w:val="21"/>
              </w:rPr>
              <w:t>(7)核爆炸、核辐射或核污染；</w:t>
            </w:r>
          </w:p>
          <w:p>
            <w:pPr>
              <w:pStyle w:val="TableParagraph"/>
              <w:spacing w:before="37"/>
              <w:ind w:left="276"/>
              <w:rPr>
                <w:rFonts w:ascii="黑体" w:eastAsia="黑体" w:hint="eastAsia"/>
                <w:sz w:val="21"/>
              </w:rPr>
            </w:pPr>
            <w:r>
              <w:rPr>
                <w:rFonts w:ascii="黑体" w:eastAsia="黑体" w:hint="eastAsia"/>
                <w:sz w:val="21"/>
              </w:rPr>
              <w:t>(8)第一被保险人在本合同Th效日之前已患的疾病或出现的症状；</w:t>
            </w:r>
          </w:p>
          <w:p>
            <w:pPr>
              <w:pStyle w:val="TableParagraph"/>
              <w:spacing w:line="273" w:lineRule="auto" w:before="37"/>
              <w:ind w:left="276" w:right="104"/>
              <w:rPr>
                <w:rFonts w:ascii="黑体" w:eastAsia="黑体" w:hint="eastAsia"/>
                <w:sz w:val="21"/>
              </w:rPr>
            </w:pPr>
            <w:r>
              <w:rPr>
                <w:rFonts w:ascii="黑体" w:eastAsia="黑体" w:hint="eastAsia"/>
                <w:sz w:val="21"/>
              </w:rPr>
              <w:t>(9)投保人或第一被保险人于本合同Th效日之前已知悉第二被保险人于分娩前已患的疾病。</w:t>
            </w:r>
          </w:p>
          <w:p>
            <w:pPr>
              <w:pStyle w:val="TableParagraph"/>
              <w:spacing w:line="273" w:lineRule="auto" w:before="84"/>
              <w:ind w:left="275"/>
              <w:rPr>
                <w:rFonts w:ascii="黑体" w:eastAsia="黑体" w:hint="eastAsia"/>
                <w:sz w:val="21"/>
              </w:rPr>
            </w:pPr>
            <w:r>
              <w:rPr>
                <w:rFonts w:ascii="黑体" w:eastAsia="黑体" w:hint="eastAsia"/>
                <w:sz w:val="21"/>
              </w:rPr>
              <w:t>发Th本款第(1)项情形导致第一被保险人初次发Th本合同约定的妊娠疾病或妊娠终止的，本合同终止，我们向第一被保险人退还本合同的现金价值。</w:t>
            </w:r>
          </w:p>
          <w:p>
            <w:pPr>
              <w:pStyle w:val="TableParagraph"/>
              <w:spacing w:line="273" w:lineRule="auto" w:before="86"/>
              <w:ind w:left="275" w:right="99"/>
              <w:jc w:val="both"/>
              <w:rPr>
                <w:rFonts w:ascii="黑体" w:eastAsia="黑体" w:hint="eastAsia"/>
                <w:sz w:val="21"/>
              </w:rPr>
            </w:pPr>
            <w:r>
              <w:rPr>
                <w:rFonts w:ascii="黑体" w:eastAsia="黑体" w:hint="eastAsia"/>
                <w:sz w:val="21"/>
              </w:rPr>
              <w:t>发Th本款第(1)项情形导致第二被保险人初次发Th本合同约定的先天性疾病或重大疾病的，本合同终止，我们向第二被保险人退还本合同的现金价值。</w:t>
            </w:r>
          </w:p>
          <w:p>
            <w:pPr>
              <w:pStyle w:val="TableParagraph"/>
              <w:spacing w:line="273" w:lineRule="auto" w:before="84"/>
              <w:ind w:left="275" w:right="102"/>
              <w:rPr>
                <w:rFonts w:ascii="黑体" w:eastAsia="黑体" w:hint="eastAsia"/>
                <w:sz w:val="21"/>
              </w:rPr>
            </w:pPr>
            <w:r>
              <w:rPr>
                <w:rFonts w:ascii="黑体" w:eastAsia="黑体" w:hint="eastAsia"/>
                <w:sz w:val="21"/>
              </w:rPr>
              <w:t>发Th本款其他情形导致第一被保险人初次发Th本合同约定的妊娠疾病或妊娠终止的，本合同终止，我们向您退还本合同的现金价值。</w:t>
            </w:r>
          </w:p>
          <w:p>
            <w:pPr>
              <w:pStyle w:val="TableParagraph"/>
              <w:spacing w:line="273" w:lineRule="auto" w:before="86"/>
              <w:ind w:left="275" w:right="104"/>
              <w:rPr>
                <w:rFonts w:ascii="黑体" w:eastAsia="黑体" w:hint="eastAsia"/>
                <w:sz w:val="21"/>
              </w:rPr>
            </w:pPr>
            <w:r>
              <w:rPr>
                <w:rFonts w:ascii="黑体" w:eastAsia="黑体" w:hint="eastAsia"/>
                <w:sz w:val="21"/>
              </w:rPr>
              <w:t>发Th本款其他情形导致第二被保险人初次发Th本合同约定的先天性疾病或重大疾病的，本合同终止，我们向您退还本合同的现金价值。</w:t>
            </w:r>
          </w:p>
          <w:p>
            <w:pPr>
              <w:pStyle w:val="TableParagraph"/>
              <w:spacing w:before="84"/>
              <w:ind w:left="275"/>
              <w:rPr>
                <w:rFonts w:ascii="黑体" w:eastAsia="黑体" w:hint="eastAsia"/>
                <w:sz w:val="21"/>
              </w:rPr>
            </w:pPr>
            <w:r>
              <w:rPr>
                <w:rFonts w:ascii="黑体" w:eastAsia="黑体" w:hint="eastAsia"/>
                <w:sz w:val="21"/>
              </w:rPr>
              <w:t>2、因下列情形之一导致被保险人身故的，我们不承担给付保险金的责任：</w:t>
            </w:r>
          </w:p>
          <w:p>
            <w:pPr>
              <w:pStyle w:val="TableParagraph"/>
              <w:spacing w:before="37"/>
              <w:ind w:left="275"/>
              <w:rPr>
                <w:rFonts w:ascii="黑体" w:eastAsia="黑体" w:hint="eastAsia"/>
                <w:sz w:val="21"/>
              </w:rPr>
            </w:pPr>
            <w:r>
              <w:rPr>
                <w:rFonts w:ascii="黑体" w:eastAsia="黑体" w:hint="eastAsia"/>
                <w:sz w:val="21"/>
              </w:rPr>
              <w:t>(1)</w:t>
            </w:r>
            <w:r>
              <w:rPr>
                <w:rFonts w:ascii="黑体" w:eastAsia="黑体" w:hint="eastAsia"/>
                <w:spacing w:val="-3"/>
                <w:sz w:val="21"/>
              </w:rPr>
              <w:t>发</w:t>
            </w:r>
            <w:r>
              <w:rPr>
                <w:rFonts w:ascii="黑体" w:eastAsia="黑体" w:hint="eastAsia"/>
                <w:sz w:val="21"/>
              </w:rPr>
              <w:t>Th</w:t>
            </w:r>
            <w:r>
              <w:rPr>
                <w:rFonts w:ascii="黑体" w:eastAsia="黑体" w:hint="eastAsia"/>
                <w:spacing w:val="-14"/>
                <w:sz w:val="21"/>
              </w:rPr>
              <w:t>本条第 </w:t>
            </w:r>
            <w:r>
              <w:rPr>
                <w:rFonts w:ascii="黑体" w:eastAsia="黑体" w:hint="eastAsia"/>
                <w:sz w:val="21"/>
              </w:rPr>
              <w:t>1</w:t>
            </w:r>
            <w:r>
              <w:rPr>
                <w:rFonts w:ascii="黑体" w:eastAsia="黑体" w:hint="eastAsia"/>
                <w:spacing w:val="-17"/>
                <w:sz w:val="21"/>
              </w:rPr>
              <w:t> 款第</w:t>
            </w:r>
            <w:r>
              <w:rPr>
                <w:rFonts w:ascii="黑体" w:eastAsia="黑体" w:hint="eastAsia"/>
                <w:sz w:val="21"/>
              </w:rPr>
              <w:t>(1)、(2)、(3)、(4)、(6</w:t>
            </w:r>
            <w:r>
              <w:rPr>
                <w:rFonts w:ascii="黑体" w:eastAsia="黑体" w:hint="eastAsia"/>
                <w:spacing w:val="-2"/>
                <w:sz w:val="21"/>
              </w:rPr>
              <w:t>)、</w:t>
            </w:r>
            <w:r>
              <w:rPr>
                <w:rFonts w:ascii="黑体" w:eastAsia="黑体" w:hint="eastAsia"/>
                <w:sz w:val="21"/>
              </w:rPr>
              <w:t>(7</w:t>
            </w:r>
            <w:r>
              <w:rPr>
                <w:rFonts w:ascii="黑体" w:eastAsia="黑体" w:hint="eastAsia"/>
                <w:spacing w:val="-3"/>
                <w:sz w:val="21"/>
              </w:rPr>
              <w:t>)项规定的情形之一；</w:t>
            </w:r>
          </w:p>
          <w:p>
            <w:pPr>
              <w:pStyle w:val="TableParagraph"/>
              <w:spacing w:line="273" w:lineRule="auto" w:before="37"/>
              <w:ind w:left="276" w:right="105"/>
              <w:rPr>
                <w:rFonts w:ascii="黑体" w:eastAsia="黑体" w:hint="eastAsia"/>
                <w:sz w:val="21"/>
              </w:rPr>
            </w:pPr>
            <w:r>
              <w:rPr>
                <w:rFonts w:ascii="黑体" w:eastAsia="黑体" w:hint="eastAsia"/>
                <w:sz w:val="21"/>
              </w:rPr>
              <w:t>(2)</w:t>
            </w:r>
            <w:r>
              <w:rPr>
                <w:rFonts w:ascii="黑体" w:eastAsia="黑体" w:hint="eastAsia"/>
                <w:spacing w:val="-5"/>
                <w:sz w:val="21"/>
              </w:rPr>
              <w:t>被保险人自本合同成立或者合同效力恢复之日起 </w:t>
            </w:r>
            <w:r>
              <w:rPr>
                <w:rFonts w:ascii="黑体" w:eastAsia="黑体" w:hint="eastAsia"/>
                <w:sz w:val="21"/>
              </w:rPr>
              <w:t>2</w:t>
            </w:r>
            <w:r>
              <w:rPr>
                <w:rFonts w:ascii="黑体" w:eastAsia="黑体" w:hint="eastAsia"/>
                <w:spacing w:val="-15"/>
                <w:sz w:val="21"/>
              </w:rPr>
              <w:t> 年内自杀，但被保险</w:t>
            </w:r>
            <w:r>
              <w:rPr>
                <w:rFonts w:ascii="黑体" w:eastAsia="黑体" w:hint="eastAsia"/>
                <w:spacing w:val="-7"/>
                <w:sz w:val="21"/>
              </w:rPr>
              <w:t>人自杀时为无民事行为能力人的除外。</w:t>
            </w:r>
          </w:p>
          <w:p>
            <w:pPr>
              <w:pStyle w:val="TableParagraph"/>
              <w:spacing w:line="273" w:lineRule="auto" w:before="87"/>
              <w:ind w:left="276" w:right="103"/>
              <w:rPr>
                <w:rFonts w:ascii="黑体" w:eastAsia="黑体" w:hint="eastAsia"/>
                <w:sz w:val="21"/>
              </w:rPr>
            </w:pPr>
            <w:r>
              <w:rPr>
                <w:rFonts w:ascii="黑体" w:eastAsia="黑体" w:hint="eastAsia"/>
                <w:sz w:val="21"/>
              </w:rPr>
              <w:t>发Th</w:t>
            </w:r>
            <w:r>
              <w:rPr>
                <w:rFonts w:ascii="黑体" w:eastAsia="黑体" w:hint="eastAsia"/>
                <w:spacing w:val="-11"/>
                <w:sz w:val="21"/>
              </w:rPr>
              <w:t>本条第 </w:t>
            </w:r>
            <w:r>
              <w:rPr>
                <w:rFonts w:ascii="黑体" w:eastAsia="黑体" w:hint="eastAsia"/>
                <w:sz w:val="21"/>
              </w:rPr>
              <w:t>1</w:t>
            </w:r>
            <w:r>
              <w:rPr>
                <w:rFonts w:ascii="黑体" w:eastAsia="黑体" w:hint="eastAsia"/>
                <w:spacing w:val="-11"/>
                <w:sz w:val="21"/>
              </w:rPr>
              <w:t> 款第(</w:t>
            </w:r>
            <w:r>
              <w:rPr>
                <w:rFonts w:ascii="黑体" w:eastAsia="黑体" w:hint="eastAsia"/>
                <w:sz w:val="21"/>
              </w:rPr>
              <w:t>1)</w:t>
            </w:r>
            <w:r>
              <w:rPr>
                <w:rFonts w:ascii="黑体" w:eastAsia="黑体" w:hint="eastAsia"/>
                <w:spacing w:val="-8"/>
                <w:sz w:val="21"/>
              </w:rPr>
              <w:t>项情形导致被保险人身故的，本合同终止，我们向受</w:t>
            </w:r>
            <w:r>
              <w:rPr>
                <w:rFonts w:ascii="黑体" w:eastAsia="黑体" w:hint="eastAsia"/>
                <w:spacing w:val="-5"/>
                <w:sz w:val="21"/>
              </w:rPr>
              <w:t>益人退还本合同现金价值。</w:t>
            </w:r>
          </w:p>
          <w:p>
            <w:pPr>
              <w:pStyle w:val="TableParagraph"/>
              <w:spacing w:line="273" w:lineRule="auto" w:before="84"/>
              <w:ind w:left="276" w:right="104"/>
              <w:rPr>
                <w:rFonts w:ascii="黑体" w:eastAsia="黑体" w:hint="eastAsia"/>
                <w:sz w:val="21"/>
              </w:rPr>
            </w:pPr>
            <w:r>
              <w:rPr>
                <w:rFonts w:ascii="黑体" w:eastAsia="黑体" w:hint="eastAsia"/>
                <w:sz w:val="21"/>
              </w:rPr>
              <w:t>发Th本款其他情形导致被保险人身故的，本合同终止，我们向您退还本合同的现金价值。</w:t>
            </w:r>
          </w:p>
        </w:tc>
      </w:tr>
      <w:tr>
        <w:trPr>
          <w:trHeight w:val="312" w:hRule="atLeast"/>
        </w:trPr>
        <w:tc>
          <w:tcPr>
            <w:tcW w:w="852" w:type="dxa"/>
            <w:shd w:val="clear" w:color="auto" w:fill="A7A8A7"/>
          </w:tcPr>
          <w:p>
            <w:pPr>
              <w:pStyle w:val="TableParagraph"/>
              <w:spacing w:line="254" w:lineRule="exact"/>
              <w:ind w:left="108"/>
              <w:rPr>
                <w:b/>
                <w:sz w:val="21"/>
              </w:rPr>
            </w:pPr>
            <w:r>
              <w:rPr>
                <w:b/>
                <w:sz w:val="21"/>
              </w:rPr>
              <w:t>3．</w:t>
            </w:r>
          </w:p>
        </w:tc>
        <w:tc>
          <w:tcPr>
            <w:tcW w:w="8691" w:type="dxa"/>
            <w:gridSpan w:val="2"/>
            <w:shd w:val="clear" w:color="auto" w:fill="A7A8A7"/>
          </w:tcPr>
          <w:p>
            <w:pPr>
              <w:pStyle w:val="TableParagraph"/>
              <w:spacing w:line="254" w:lineRule="exact"/>
              <w:ind w:left="427"/>
              <w:rPr>
                <w:b/>
                <w:sz w:val="21"/>
              </w:rPr>
            </w:pPr>
            <w:r>
              <w:rPr>
                <w:b/>
                <w:sz w:val="21"/>
              </w:rPr>
              <w:t>保险金的申请</w:t>
            </w:r>
          </w:p>
        </w:tc>
      </w:tr>
      <w:tr>
        <w:trPr>
          <w:trHeight w:val="2508" w:hRule="atLeast"/>
        </w:trPr>
        <w:tc>
          <w:tcPr>
            <w:tcW w:w="852" w:type="dxa"/>
          </w:tcPr>
          <w:p>
            <w:pPr>
              <w:pStyle w:val="TableParagraph"/>
              <w:spacing w:before="120"/>
              <w:ind w:left="108"/>
              <w:rPr>
                <w:b/>
                <w:sz w:val="21"/>
              </w:rPr>
            </w:pPr>
            <w:r>
              <w:rPr>
                <w:b/>
                <w:sz w:val="21"/>
              </w:rPr>
              <w:t>3.1</w:t>
            </w:r>
          </w:p>
        </w:tc>
        <w:tc>
          <w:tcPr>
            <w:tcW w:w="1548" w:type="dxa"/>
          </w:tcPr>
          <w:p>
            <w:pPr>
              <w:pStyle w:val="TableParagraph"/>
              <w:spacing w:before="120"/>
              <w:ind w:left="427"/>
              <w:rPr>
                <w:b/>
                <w:sz w:val="21"/>
              </w:rPr>
            </w:pPr>
            <w:r>
              <w:rPr>
                <w:b/>
                <w:sz w:val="21"/>
              </w:rPr>
              <w:t>受益人</w:t>
            </w:r>
          </w:p>
        </w:tc>
        <w:tc>
          <w:tcPr>
            <w:tcW w:w="7143" w:type="dxa"/>
          </w:tcPr>
          <w:p>
            <w:pPr>
              <w:pStyle w:val="TableParagraph"/>
              <w:spacing w:before="120"/>
              <w:ind w:left="276"/>
              <w:rPr>
                <w:sz w:val="21"/>
              </w:rPr>
            </w:pPr>
            <w:r>
              <w:rPr>
                <w:sz w:val="21"/>
              </w:rPr>
              <w:t>您或者被保险人可以指定一人或多人为身故保险金受益人。</w:t>
            </w:r>
          </w:p>
          <w:p>
            <w:pPr>
              <w:pStyle w:val="TableParagraph"/>
              <w:spacing w:line="273" w:lineRule="auto" w:before="113"/>
              <w:ind w:left="275" w:right="104"/>
              <w:rPr>
                <w:sz w:val="21"/>
              </w:rPr>
            </w:pPr>
            <w:r>
              <w:rPr>
                <w:sz w:val="21"/>
              </w:rPr>
              <w:t>身故保险金受益人为多人时，可以确定受益顺序和受益份额；如果没有确定份额，各受益人按照相等份额享有受益权。</w:t>
            </w:r>
          </w:p>
          <w:p>
            <w:pPr>
              <w:pStyle w:val="TableParagraph"/>
              <w:spacing w:line="273" w:lineRule="auto" w:before="86"/>
              <w:ind w:left="275" w:right="104"/>
              <w:rPr>
                <w:sz w:val="21"/>
              </w:rPr>
            </w:pPr>
            <w:r>
              <w:rPr>
                <w:sz w:val="21"/>
              </w:rPr>
              <w:t>被保险人为无民事行为能力人或限制民事行为能力人的，可以由其监护人指定受益人。</w:t>
            </w:r>
          </w:p>
          <w:p>
            <w:pPr>
              <w:pStyle w:val="TableParagraph"/>
              <w:spacing w:line="310" w:lineRule="atLeast" w:before="49"/>
              <w:ind w:left="275" w:right="104"/>
              <w:rPr>
                <w:sz w:val="21"/>
              </w:rPr>
            </w:pPr>
            <w:r>
              <w:rPr>
                <w:sz w:val="21"/>
              </w:rPr>
              <w:t>您或者被保险人可以变更身故保险金受益人并书面通知我们。我们收到变更受益人的书面通知后，在保险单或其他保险凭证上批注或附贴批单。</w:t>
            </w:r>
          </w:p>
        </w:tc>
      </w:tr>
    </w:tbl>
    <w:p>
      <w:pPr>
        <w:spacing w:after="0" w:line="310" w:lineRule="atLeast"/>
        <w:rPr>
          <w:sz w:val="21"/>
        </w:rPr>
        <w:sectPr>
          <w:pgSz w:w="11910" w:h="16840"/>
          <w:pgMar w:top="1460" w:bottom="280" w:left="1080" w:right="10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1733"/>
        <w:gridCol w:w="7159"/>
      </w:tblGrid>
      <w:tr>
        <w:trPr>
          <w:trHeight w:val="4388" w:hRule="atLeast"/>
        </w:trPr>
        <w:tc>
          <w:tcPr>
            <w:tcW w:w="944" w:type="dxa"/>
          </w:tcPr>
          <w:p>
            <w:pPr>
              <w:pStyle w:val="TableParagraph"/>
              <w:ind w:left="0"/>
              <w:rPr>
                <w:rFonts w:ascii="Times New Roman"/>
                <w:sz w:val="20"/>
              </w:rPr>
            </w:pPr>
          </w:p>
        </w:tc>
        <w:tc>
          <w:tcPr>
            <w:tcW w:w="1733" w:type="dxa"/>
          </w:tcPr>
          <w:p>
            <w:pPr>
              <w:pStyle w:val="TableParagraph"/>
              <w:ind w:left="0"/>
              <w:rPr>
                <w:rFonts w:ascii="Times New Roman"/>
                <w:sz w:val="20"/>
              </w:rPr>
            </w:pPr>
          </w:p>
        </w:tc>
        <w:tc>
          <w:tcPr>
            <w:tcW w:w="7159" w:type="dxa"/>
          </w:tcPr>
          <w:p>
            <w:pPr>
              <w:pStyle w:val="TableParagraph"/>
              <w:spacing w:line="202" w:lineRule="exact"/>
              <w:ind w:left="90"/>
              <w:rPr>
                <w:sz w:val="21"/>
              </w:rPr>
            </w:pPr>
            <w:r>
              <w:rPr>
                <w:sz w:val="21"/>
              </w:rPr>
              <w:t>您在指定和变更身故保险金受益人时，必须经过被保险人同意。</w:t>
            </w:r>
          </w:p>
          <w:p>
            <w:pPr>
              <w:pStyle w:val="TableParagraph"/>
              <w:spacing w:line="273" w:lineRule="auto" w:before="114"/>
              <w:ind w:left="91" w:right="305"/>
              <w:rPr>
                <w:sz w:val="21"/>
              </w:rPr>
            </w:pPr>
            <w:r>
              <w:rPr>
                <w:sz w:val="21"/>
              </w:rPr>
              <w:t>被保险人身故后，有下列情形之一的，保险金作为被保险人的遗产，由我们依照《中华人民共和国继承法》的规定履行给付保险金的义务：</w:t>
            </w:r>
          </w:p>
          <w:p>
            <w:pPr>
              <w:pStyle w:val="TableParagraph"/>
              <w:spacing w:before="7"/>
              <w:ind w:left="91"/>
              <w:rPr>
                <w:sz w:val="21"/>
              </w:rPr>
            </w:pPr>
            <w:r>
              <w:rPr>
                <w:sz w:val="21"/>
              </w:rPr>
              <w:t>(1)没有指定受益人，或者受益人指定不明无法确定的；</w:t>
            </w:r>
          </w:p>
          <w:p>
            <w:pPr>
              <w:pStyle w:val="TableParagraph"/>
              <w:spacing w:before="36"/>
              <w:ind w:left="91"/>
              <w:rPr>
                <w:sz w:val="21"/>
              </w:rPr>
            </w:pPr>
            <w:r>
              <w:rPr>
                <w:sz w:val="21"/>
              </w:rPr>
              <w:t>(2)受益人先于被保险人身故，没有其他受益人的；</w:t>
            </w:r>
          </w:p>
          <w:p>
            <w:pPr>
              <w:pStyle w:val="TableParagraph"/>
              <w:spacing w:before="36"/>
              <w:ind w:left="90"/>
              <w:rPr>
                <w:sz w:val="21"/>
              </w:rPr>
            </w:pPr>
            <w:r>
              <w:rPr>
                <w:sz w:val="21"/>
              </w:rPr>
              <w:t>(3)受益人依法丧失受益权或者放弃受益权，没有其他受益人的。</w:t>
            </w:r>
          </w:p>
          <w:p>
            <w:pPr>
              <w:pStyle w:val="TableParagraph"/>
              <w:spacing w:line="273" w:lineRule="auto" w:before="115"/>
              <w:ind w:left="90" w:right="305"/>
              <w:rPr>
                <w:sz w:val="21"/>
              </w:rPr>
            </w:pPr>
            <w:r>
              <w:rPr>
                <w:sz w:val="21"/>
              </w:rPr>
              <w:t>受益人与被保险人在同一事件中身故，且不能确定身故先后顺序的，推定受益人身故在先。</w:t>
            </w:r>
          </w:p>
          <w:p>
            <w:pPr>
              <w:pStyle w:val="TableParagraph"/>
              <w:spacing w:line="273" w:lineRule="auto" w:before="84"/>
              <w:ind w:left="90" w:right="305"/>
              <w:rPr>
                <w:sz w:val="21"/>
              </w:rPr>
            </w:pPr>
            <w:r>
              <w:rPr>
                <w:sz w:val="21"/>
              </w:rPr>
              <w:t>受益人故意造成被保险人身故、伤残、疾病的，或者故意杀害被保险人未遂的，该受益人丧失受益权。</w:t>
            </w:r>
          </w:p>
          <w:p>
            <w:pPr>
              <w:pStyle w:val="TableParagraph"/>
              <w:spacing w:line="273" w:lineRule="auto" w:before="87"/>
              <w:ind w:left="90" w:right="305"/>
              <w:jc w:val="both"/>
              <w:rPr>
                <w:sz w:val="21"/>
              </w:rPr>
            </w:pPr>
            <w:r>
              <w:rPr>
                <w:sz w:val="21"/>
              </w:rPr>
              <w:t>除另有指定外，妊娠疾病保险金和妊娠终止保险金的受益人为第一被保险人本人，先天性疾病保险金和重大疾病保险金的受益人为第二被保险人本人。</w:t>
            </w:r>
          </w:p>
        </w:tc>
      </w:tr>
      <w:tr>
        <w:trPr>
          <w:trHeight w:val="2091" w:hRule="atLeast"/>
        </w:trPr>
        <w:tc>
          <w:tcPr>
            <w:tcW w:w="944" w:type="dxa"/>
          </w:tcPr>
          <w:p>
            <w:pPr>
              <w:pStyle w:val="TableParagraph"/>
              <w:spacing w:before="49"/>
              <w:ind w:left="200"/>
              <w:rPr>
                <w:b/>
                <w:sz w:val="21"/>
              </w:rPr>
            </w:pPr>
            <w:r>
              <w:rPr>
                <w:b/>
                <w:sz w:val="21"/>
              </w:rPr>
              <w:t>3.2</w:t>
            </w:r>
          </w:p>
        </w:tc>
        <w:tc>
          <w:tcPr>
            <w:tcW w:w="1733" w:type="dxa"/>
          </w:tcPr>
          <w:p>
            <w:pPr>
              <w:pStyle w:val="TableParagraph"/>
              <w:spacing w:line="273" w:lineRule="auto" w:before="49"/>
              <w:ind w:left="427" w:right="247"/>
              <w:rPr>
                <w:b/>
                <w:sz w:val="21"/>
              </w:rPr>
            </w:pPr>
            <w:r>
              <w:rPr>
                <w:b/>
                <w:sz w:val="21"/>
              </w:rPr>
              <w:t>保险事故通知</w:t>
            </w:r>
          </w:p>
        </w:tc>
        <w:tc>
          <w:tcPr>
            <w:tcW w:w="7159" w:type="dxa"/>
          </w:tcPr>
          <w:p>
            <w:pPr>
              <w:pStyle w:val="TableParagraph"/>
              <w:spacing w:before="49"/>
              <w:ind w:left="90"/>
              <w:rPr>
                <w:sz w:val="21"/>
              </w:rPr>
            </w:pPr>
            <w:r>
              <w:rPr>
                <w:sz w:val="21"/>
              </w:rPr>
              <w:t>您、被保险人或受益人知道保险事故后应当在 10 日内通知我们。</w:t>
            </w:r>
          </w:p>
          <w:p>
            <w:pPr>
              <w:pStyle w:val="TableParagraph"/>
              <w:spacing w:line="273" w:lineRule="auto" w:before="114"/>
              <w:ind w:left="91" w:right="305"/>
              <w:jc w:val="both"/>
              <w:rPr>
                <w:sz w:val="21"/>
              </w:rPr>
            </w:pPr>
            <w:r>
              <w:rPr>
                <w:rFonts w:ascii="黑体" w:eastAsia="黑体" w:hint="eastAsia"/>
                <w:sz w:val="21"/>
              </w:rPr>
              <w:t>如果您、被保险人或受益人故意或者因重大过失未及时通知，致使保险事故的性质、原因、损失程度等难以确定的，我们对无法确定的部分，不承担给付保险金的责任，</w:t>
            </w:r>
            <w:r>
              <w:rPr>
                <w:sz w:val="21"/>
              </w:rPr>
              <w:t>但我们通过其他途径已经及时知道或者应当及时知道保险事故发生或者虽未及时通知但不影响我们确定保险事故的性质、原因、损失程度的除外。</w:t>
            </w:r>
          </w:p>
        </w:tc>
      </w:tr>
      <w:tr>
        <w:trPr>
          <w:trHeight w:val="454" w:hRule="atLeast"/>
        </w:trPr>
        <w:tc>
          <w:tcPr>
            <w:tcW w:w="944" w:type="dxa"/>
          </w:tcPr>
          <w:p>
            <w:pPr>
              <w:pStyle w:val="TableParagraph"/>
              <w:spacing w:before="50"/>
              <w:ind w:left="200"/>
              <w:rPr>
                <w:b/>
                <w:sz w:val="21"/>
              </w:rPr>
            </w:pPr>
            <w:r>
              <w:rPr>
                <w:b/>
                <w:sz w:val="21"/>
              </w:rPr>
              <w:t>3.3</w:t>
            </w:r>
          </w:p>
        </w:tc>
        <w:tc>
          <w:tcPr>
            <w:tcW w:w="1733" w:type="dxa"/>
          </w:tcPr>
          <w:p>
            <w:pPr>
              <w:pStyle w:val="TableParagraph"/>
              <w:spacing w:before="50"/>
              <w:ind w:left="0" w:right="247"/>
              <w:jc w:val="right"/>
              <w:rPr>
                <w:b/>
                <w:sz w:val="21"/>
              </w:rPr>
            </w:pPr>
            <w:r>
              <w:rPr>
                <w:b/>
                <w:sz w:val="21"/>
              </w:rPr>
              <w:t>保险金申请</w:t>
            </w:r>
          </w:p>
        </w:tc>
        <w:tc>
          <w:tcPr>
            <w:tcW w:w="7159" w:type="dxa"/>
          </w:tcPr>
          <w:p>
            <w:pPr>
              <w:pStyle w:val="TableParagraph"/>
              <w:spacing w:before="50"/>
              <w:ind w:left="90"/>
              <w:rPr>
                <w:sz w:val="21"/>
              </w:rPr>
            </w:pPr>
            <w:r>
              <w:rPr>
                <w:sz w:val="21"/>
              </w:rPr>
              <w:t>在申请保险金时，请按照下列方式办理：</w:t>
            </w:r>
          </w:p>
        </w:tc>
      </w:tr>
      <w:tr>
        <w:trPr>
          <w:trHeight w:val="2325" w:hRule="atLeast"/>
        </w:trPr>
        <w:tc>
          <w:tcPr>
            <w:tcW w:w="944" w:type="dxa"/>
          </w:tcPr>
          <w:p>
            <w:pPr>
              <w:pStyle w:val="TableParagraph"/>
              <w:ind w:left="0"/>
              <w:rPr>
                <w:rFonts w:ascii="Times New Roman"/>
                <w:sz w:val="20"/>
              </w:rPr>
            </w:pPr>
          </w:p>
        </w:tc>
        <w:tc>
          <w:tcPr>
            <w:tcW w:w="1733" w:type="dxa"/>
          </w:tcPr>
          <w:p>
            <w:pPr>
              <w:pStyle w:val="TableParagraph"/>
              <w:spacing w:line="273" w:lineRule="auto" w:before="48"/>
              <w:ind w:left="427" w:right="89"/>
              <w:jc w:val="both"/>
              <w:rPr>
                <w:sz w:val="21"/>
              </w:rPr>
            </w:pPr>
            <w:r>
              <w:rPr>
                <w:spacing w:val="30"/>
                <w:sz w:val="21"/>
              </w:rPr>
              <w:t>妊娠疾病保</w:t>
            </w:r>
            <w:r>
              <w:rPr>
                <w:spacing w:val="-28"/>
                <w:sz w:val="21"/>
              </w:rPr>
              <w:t>险金、妊娠 终</w:t>
            </w:r>
            <w:r>
              <w:rPr>
                <w:spacing w:val="-25"/>
                <w:sz w:val="21"/>
              </w:rPr>
              <w:t>止保险金、先</w:t>
            </w:r>
            <w:r>
              <w:rPr>
                <w:spacing w:val="30"/>
                <w:sz w:val="21"/>
              </w:rPr>
              <w:t>天性疾病保</w:t>
            </w:r>
            <w:r>
              <w:rPr>
                <w:spacing w:val="-15"/>
                <w:sz w:val="21"/>
              </w:rPr>
              <w:t>险金、重大疾</w:t>
            </w:r>
            <w:r>
              <w:rPr>
                <w:spacing w:val="23"/>
                <w:sz w:val="21"/>
              </w:rPr>
              <w:t>病保险金申请</w:t>
            </w:r>
          </w:p>
        </w:tc>
        <w:tc>
          <w:tcPr>
            <w:tcW w:w="7159" w:type="dxa"/>
          </w:tcPr>
          <w:p>
            <w:pPr>
              <w:pStyle w:val="TableParagraph"/>
              <w:spacing w:before="48"/>
              <w:ind w:left="90"/>
              <w:rPr>
                <w:sz w:val="21"/>
              </w:rPr>
            </w:pPr>
            <w:r>
              <w:rPr>
                <w:sz w:val="21"/>
              </w:rPr>
              <w:t>受益人须填写保险金给付申请书，并提供下列证明和资料：</w:t>
            </w:r>
          </w:p>
          <w:p>
            <w:pPr>
              <w:pStyle w:val="TableParagraph"/>
              <w:spacing w:before="36"/>
              <w:ind w:left="90"/>
              <w:rPr>
                <w:sz w:val="21"/>
              </w:rPr>
            </w:pPr>
            <w:r>
              <w:rPr>
                <w:sz w:val="21"/>
              </w:rPr>
              <w:t>(1)保险合同；</w:t>
            </w:r>
          </w:p>
          <w:p>
            <w:pPr>
              <w:pStyle w:val="TableParagraph"/>
              <w:spacing w:before="36"/>
              <w:ind w:left="90"/>
              <w:rPr>
                <w:sz w:val="21"/>
              </w:rPr>
            </w:pPr>
            <w:r>
              <w:rPr>
                <w:sz w:val="21"/>
              </w:rPr>
              <w:t>(2)受益人的有效身份证件；</w:t>
            </w:r>
          </w:p>
          <w:p>
            <w:pPr>
              <w:pStyle w:val="TableParagraph"/>
              <w:spacing w:line="273" w:lineRule="auto" w:before="36"/>
              <w:ind w:left="90" w:right="198"/>
              <w:rPr>
                <w:sz w:val="21"/>
              </w:rPr>
            </w:pPr>
            <w:r>
              <w:rPr>
                <w:sz w:val="21"/>
              </w:rPr>
              <w:t>(3)</w:t>
            </w:r>
            <w:r>
              <w:rPr>
                <w:spacing w:val="-6"/>
                <w:sz w:val="21"/>
              </w:rPr>
              <w:t>卫生行政部门认定的二级以上</w:t>
            </w:r>
            <w:r>
              <w:rPr>
                <w:spacing w:val="-3"/>
                <w:sz w:val="21"/>
              </w:rPr>
              <w:t>（</w:t>
            </w:r>
            <w:r>
              <w:rPr>
                <w:spacing w:val="-2"/>
                <w:sz w:val="21"/>
              </w:rPr>
              <w:t>含二级</w:t>
            </w:r>
            <w:r>
              <w:rPr>
                <w:spacing w:val="-34"/>
                <w:sz w:val="21"/>
              </w:rPr>
              <w:t>）</w:t>
            </w:r>
            <w:r>
              <w:rPr>
                <w:spacing w:val="-3"/>
                <w:sz w:val="21"/>
              </w:rPr>
              <w:t>医院出具的附有病理显微镜检</w:t>
            </w:r>
            <w:r>
              <w:rPr>
                <w:spacing w:val="-10"/>
                <w:sz w:val="21"/>
              </w:rPr>
              <w:t>查报告、血液检查及其他科学方法检验报告的病史资料及疾病诊断报告书； </w:t>
            </w:r>
            <w:r>
              <w:rPr>
                <w:spacing w:val="-5"/>
                <w:sz w:val="21"/>
              </w:rPr>
              <w:t>如有必要，我们有权对被保险人进行复检，复检费用由我们承担；</w:t>
            </w:r>
          </w:p>
          <w:p>
            <w:pPr>
              <w:pStyle w:val="TableParagraph"/>
              <w:spacing w:before="7"/>
              <w:ind w:left="90"/>
              <w:rPr>
                <w:sz w:val="21"/>
              </w:rPr>
            </w:pPr>
            <w:r>
              <w:rPr>
                <w:sz w:val="21"/>
              </w:rPr>
              <w:t>(4)所能提供的与确认保险事故的性质、原因等有关的其他证明和资料。</w:t>
            </w:r>
          </w:p>
        </w:tc>
      </w:tr>
      <w:tr>
        <w:trPr>
          <w:trHeight w:val="2403" w:hRule="atLeast"/>
        </w:trPr>
        <w:tc>
          <w:tcPr>
            <w:tcW w:w="944" w:type="dxa"/>
          </w:tcPr>
          <w:p>
            <w:pPr>
              <w:pStyle w:val="TableParagraph"/>
              <w:ind w:left="0"/>
              <w:rPr>
                <w:rFonts w:ascii="Times New Roman"/>
                <w:sz w:val="20"/>
              </w:rPr>
            </w:pPr>
          </w:p>
        </w:tc>
        <w:tc>
          <w:tcPr>
            <w:tcW w:w="1733" w:type="dxa"/>
          </w:tcPr>
          <w:p>
            <w:pPr>
              <w:pStyle w:val="TableParagraph"/>
              <w:spacing w:line="273" w:lineRule="auto" w:before="48"/>
              <w:ind w:left="427" w:right="250"/>
              <w:rPr>
                <w:sz w:val="21"/>
              </w:rPr>
            </w:pPr>
            <w:r>
              <w:rPr>
                <w:sz w:val="21"/>
              </w:rPr>
              <w:t>身故保险金申请</w:t>
            </w:r>
          </w:p>
        </w:tc>
        <w:tc>
          <w:tcPr>
            <w:tcW w:w="7159" w:type="dxa"/>
          </w:tcPr>
          <w:p>
            <w:pPr>
              <w:pStyle w:val="TableParagraph"/>
              <w:spacing w:before="48"/>
              <w:ind w:left="90"/>
              <w:rPr>
                <w:sz w:val="21"/>
              </w:rPr>
            </w:pPr>
            <w:r>
              <w:rPr>
                <w:sz w:val="21"/>
              </w:rPr>
              <w:t>受益人须填写保险金给付申请书，并提供下列证明和资料：</w:t>
            </w:r>
          </w:p>
          <w:p>
            <w:pPr>
              <w:pStyle w:val="TableParagraph"/>
              <w:spacing w:before="36"/>
              <w:ind w:left="90"/>
              <w:rPr>
                <w:sz w:val="21"/>
              </w:rPr>
            </w:pPr>
            <w:r>
              <w:rPr>
                <w:sz w:val="21"/>
              </w:rPr>
              <w:t>(1)保险合同；</w:t>
            </w:r>
          </w:p>
          <w:p>
            <w:pPr>
              <w:pStyle w:val="TableParagraph"/>
              <w:spacing w:before="36"/>
              <w:ind w:left="90"/>
              <w:rPr>
                <w:sz w:val="21"/>
              </w:rPr>
            </w:pPr>
            <w:r>
              <w:rPr>
                <w:sz w:val="21"/>
              </w:rPr>
              <w:t>(2)受益人的有效身份证件；</w:t>
            </w:r>
          </w:p>
          <w:p>
            <w:pPr>
              <w:pStyle w:val="TableParagraph"/>
              <w:spacing w:line="273" w:lineRule="auto" w:before="36"/>
              <w:ind w:left="90" w:right="308"/>
              <w:rPr>
                <w:sz w:val="21"/>
              </w:rPr>
            </w:pPr>
            <w:r>
              <w:rPr>
                <w:sz w:val="21"/>
              </w:rPr>
              <w:t>(3)</w:t>
            </w:r>
            <w:r>
              <w:rPr>
                <w:spacing w:val="-8"/>
                <w:sz w:val="21"/>
              </w:rPr>
              <w:t>卫生行政部门认定的医疗机构、公安部门或其他相关机构出具的被保险</w:t>
            </w:r>
            <w:r>
              <w:rPr>
                <w:spacing w:val="-2"/>
                <w:sz w:val="21"/>
              </w:rPr>
              <w:t>人的死亡证明；</w:t>
            </w:r>
          </w:p>
          <w:p>
            <w:pPr>
              <w:pStyle w:val="TableParagraph"/>
              <w:spacing w:line="340" w:lineRule="auto" w:before="7"/>
              <w:ind w:left="90" w:right="128" w:hanging="1"/>
              <w:rPr>
                <w:sz w:val="21"/>
              </w:rPr>
            </w:pPr>
            <w:r>
              <w:rPr>
                <w:sz w:val="21"/>
              </w:rPr>
              <w:t>(4)所能提供的与确认保险事故的性质、原因等有关的其他证明和资料。 保险金作为被保险人遗产时，必须提供可证明合法继承权的相关权利文件。</w:t>
            </w:r>
          </w:p>
        </w:tc>
      </w:tr>
      <w:tr>
        <w:trPr>
          <w:trHeight w:val="766" w:hRule="atLeast"/>
        </w:trPr>
        <w:tc>
          <w:tcPr>
            <w:tcW w:w="944" w:type="dxa"/>
          </w:tcPr>
          <w:p>
            <w:pPr>
              <w:pStyle w:val="TableParagraph"/>
              <w:ind w:left="0"/>
              <w:rPr>
                <w:rFonts w:ascii="Times New Roman"/>
                <w:sz w:val="20"/>
              </w:rPr>
            </w:pPr>
          </w:p>
        </w:tc>
        <w:tc>
          <w:tcPr>
            <w:tcW w:w="1733" w:type="dxa"/>
          </w:tcPr>
          <w:p>
            <w:pPr>
              <w:pStyle w:val="TableParagraph"/>
              <w:ind w:left="0"/>
              <w:rPr>
                <w:rFonts w:ascii="Times New Roman"/>
                <w:sz w:val="20"/>
              </w:rPr>
            </w:pPr>
          </w:p>
        </w:tc>
        <w:tc>
          <w:tcPr>
            <w:tcW w:w="7159" w:type="dxa"/>
          </w:tcPr>
          <w:p>
            <w:pPr>
              <w:pStyle w:val="TableParagraph"/>
              <w:spacing w:line="273" w:lineRule="auto" w:before="50"/>
              <w:ind w:left="90" w:right="305"/>
              <w:rPr>
                <w:sz w:val="21"/>
              </w:rPr>
            </w:pPr>
            <w:r>
              <w:rPr>
                <w:sz w:val="21"/>
              </w:rPr>
              <w:t>以上各项证明和资料不完整的，我们将及时一次性通知受益人补充提供有关证明和资料。</w:t>
            </w:r>
          </w:p>
        </w:tc>
      </w:tr>
      <w:tr>
        <w:trPr>
          <w:trHeight w:val="1268" w:hRule="atLeast"/>
        </w:trPr>
        <w:tc>
          <w:tcPr>
            <w:tcW w:w="944" w:type="dxa"/>
          </w:tcPr>
          <w:p>
            <w:pPr>
              <w:pStyle w:val="TableParagraph"/>
              <w:spacing w:before="48"/>
              <w:ind w:left="200"/>
              <w:rPr>
                <w:b/>
                <w:sz w:val="21"/>
              </w:rPr>
            </w:pPr>
            <w:r>
              <w:rPr>
                <w:b/>
                <w:sz w:val="21"/>
              </w:rPr>
              <w:t>3.4</w:t>
            </w:r>
          </w:p>
        </w:tc>
        <w:tc>
          <w:tcPr>
            <w:tcW w:w="1733" w:type="dxa"/>
          </w:tcPr>
          <w:p>
            <w:pPr>
              <w:pStyle w:val="TableParagraph"/>
              <w:spacing w:before="48"/>
              <w:ind w:left="0" w:right="247"/>
              <w:jc w:val="right"/>
              <w:rPr>
                <w:b/>
                <w:sz w:val="21"/>
              </w:rPr>
            </w:pPr>
            <w:r>
              <w:rPr>
                <w:b/>
                <w:sz w:val="21"/>
              </w:rPr>
              <w:t>保险金给付</w:t>
            </w:r>
          </w:p>
        </w:tc>
        <w:tc>
          <w:tcPr>
            <w:tcW w:w="7159" w:type="dxa"/>
          </w:tcPr>
          <w:p>
            <w:pPr>
              <w:pStyle w:val="TableParagraph"/>
              <w:spacing w:before="48"/>
              <w:ind w:left="90"/>
              <w:rPr>
                <w:sz w:val="21"/>
              </w:rPr>
            </w:pPr>
            <w:r>
              <w:rPr>
                <w:sz w:val="21"/>
              </w:rPr>
              <w:t>我们在收到保险金给付申请书及上述有关证明和资料后，将在 5 日内作出</w:t>
            </w:r>
          </w:p>
          <w:p>
            <w:pPr>
              <w:pStyle w:val="TableParagraph"/>
              <w:spacing w:before="36"/>
              <w:ind w:left="90"/>
              <w:rPr>
                <w:sz w:val="21"/>
              </w:rPr>
            </w:pPr>
            <w:r>
              <w:rPr>
                <w:sz w:val="21"/>
              </w:rPr>
              <w:t>核定；</w:t>
            </w:r>
            <w:r>
              <w:rPr>
                <w:b/>
                <w:sz w:val="21"/>
              </w:rPr>
              <w:t>情形复杂</w:t>
            </w:r>
            <w:r>
              <w:rPr>
                <w:sz w:val="21"/>
              </w:rPr>
              <w:t>（详见释义）的，在 30 日内作出核定。对属于给付保险金</w:t>
            </w:r>
          </w:p>
          <w:p>
            <w:pPr>
              <w:pStyle w:val="TableParagraph"/>
              <w:spacing w:line="310" w:lineRule="atLeast" w:before="1"/>
              <w:ind w:left="91" w:right="304"/>
              <w:rPr>
                <w:sz w:val="21"/>
              </w:rPr>
            </w:pPr>
            <w:r>
              <w:rPr>
                <w:spacing w:val="-9"/>
                <w:sz w:val="21"/>
              </w:rPr>
              <w:t>责任的，我们在与受益人达成给付保险金的协议后 </w:t>
            </w:r>
            <w:r>
              <w:rPr>
                <w:sz w:val="21"/>
              </w:rPr>
              <w:t>10</w:t>
            </w:r>
            <w:r>
              <w:rPr>
                <w:spacing w:val="-9"/>
                <w:sz w:val="21"/>
              </w:rPr>
              <w:t> 日内，履行给付保险</w:t>
            </w:r>
            <w:r>
              <w:rPr>
                <w:spacing w:val="-6"/>
                <w:sz w:val="21"/>
              </w:rPr>
              <w:t>金义务。</w:t>
            </w:r>
          </w:p>
        </w:tc>
      </w:tr>
    </w:tbl>
    <w:p>
      <w:pPr>
        <w:spacing w:after="0" w:line="310" w:lineRule="atLeast"/>
        <w:rPr>
          <w:sz w:val="21"/>
        </w:rPr>
        <w:sectPr>
          <w:pgSz w:w="11910" w:h="16840"/>
          <w:pgMar w:top="1460" w:bottom="280" w:left="980" w:right="8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2"/>
        <w:gridCol w:w="1654"/>
        <w:gridCol w:w="7037"/>
      </w:tblGrid>
      <w:tr>
        <w:trPr>
          <w:trHeight w:val="2672" w:hRule="atLeast"/>
        </w:trPr>
        <w:tc>
          <w:tcPr>
            <w:tcW w:w="852" w:type="dxa"/>
          </w:tcPr>
          <w:p>
            <w:pPr>
              <w:pStyle w:val="TableParagraph"/>
              <w:ind w:left="0"/>
              <w:rPr>
                <w:rFonts w:ascii="Times New Roman"/>
                <w:sz w:val="20"/>
              </w:rPr>
            </w:pPr>
          </w:p>
        </w:tc>
        <w:tc>
          <w:tcPr>
            <w:tcW w:w="1654" w:type="dxa"/>
          </w:tcPr>
          <w:p>
            <w:pPr>
              <w:pStyle w:val="TableParagraph"/>
              <w:ind w:left="0"/>
              <w:rPr>
                <w:rFonts w:ascii="Times New Roman"/>
                <w:sz w:val="20"/>
              </w:rPr>
            </w:pPr>
          </w:p>
        </w:tc>
        <w:tc>
          <w:tcPr>
            <w:tcW w:w="7037" w:type="dxa"/>
          </w:tcPr>
          <w:p>
            <w:pPr>
              <w:pStyle w:val="TableParagraph"/>
              <w:spacing w:line="202" w:lineRule="exact"/>
              <w:rPr>
                <w:sz w:val="21"/>
              </w:rPr>
            </w:pPr>
            <w:r>
              <w:rPr>
                <w:sz w:val="21"/>
              </w:rPr>
              <w:t>我们未及时履行前款规定的给付保险金义务的，除支付保险金外，应当赔</w:t>
            </w:r>
          </w:p>
          <w:p>
            <w:pPr>
              <w:pStyle w:val="TableParagraph"/>
              <w:spacing w:line="273" w:lineRule="auto" w:before="37"/>
              <w:ind w:right="104"/>
              <w:jc w:val="both"/>
              <w:rPr>
                <w:sz w:val="21"/>
              </w:rPr>
            </w:pPr>
            <w:r>
              <w:rPr>
                <w:sz w:val="21"/>
              </w:rPr>
              <w:t>偿受益人因此受到的损失。前述“损失”是指根据中国人民银行公布的同期人民币活期存款基准利率计算的利息损失。</w:t>
            </w:r>
          </w:p>
          <w:p>
            <w:pPr>
              <w:pStyle w:val="TableParagraph"/>
              <w:spacing w:line="273" w:lineRule="auto" w:before="84"/>
              <w:ind w:right="103" w:hanging="1"/>
              <w:jc w:val="both"/>
              <w:rPr>
                <w:sz w:val="21"/>
              </w:rPr>
            </w:pPr>
            <w:r>
              <w:rPr>
                <w:spacing w:val="-4"/>
                <w:sz w:val="21"/>
              </w:rPr>
              <w:t>对不属于保险责任的，我们自作出核定之日起 </w:t>
            </w:r>
            <w:r>
              <w:rPr>
                <w:sz w:val="21"/>
              </w:rPr>
              <w:t>3</w:t>
            </w:r>
            <w:r>
              <w:rPr>
                <w:spacing w:val="-6"/>
                <w:sz w:val="21"/>
              </w:rPr>
              <w:t> 日内向受益人发出拒绝给</w:t>
            </w:r>
            <w:r>
              <w:rPr>
                <w:spacing w:val="-4"/>
                <w:sz w:val="21"/>
              </w:rPr>
              <w:t>付保险金通知书并说明理由。</w:t>
            </w:r>
          </w:p>
          <w:p>
            <w:pPr>
              <w:pStyle w:val="TableParagraph"/>
              <w:spacing w:line="273" w:lineRule="auto" w:before="86"/>
              <w:ind w:right="101"/>
              <w:jc w:val="both"/>
              <w:rPr>
                <w:sz w:val="21"/>
              </w:rPr>
            </w:pPr>
            <w:r>
              <w:rPr>
                <w:spacing w:val="-5"/>
                <w:sz w:val="21"/>
              </w:rPr>
              <w:t>我们在收到保险金给付申请书及有关证明和资料之日起 </w:t>
            </w:r>
            <w:r>
              <w:rPr>
                <w:sz w:val="21"/>
              </w:rPr>
              <w:t>60</w:t>
            </w:r>
            <w:r>
              <w:rPr>
                <w:spacing w:val="-16"/>
                <w:sz w:val="21"/>
              </w:rPr>
              <w:t> 日内，对给付保险金的数额不能确定的，根据已有证明和资料可以确定的数额先予支付； </w:t>
            </w:r>
            <w:r>
              <w:rPr>
                <w:spacing w:val="-7"/>
                <w:sz w:val="21"/>
              </w:rPr>
              <w:t>我们最终确定给付保险金的数额后，将支付相应的差额。</w:t>
            </w:r>
          </w:p>
        </w:tc>
      </w:tr>
      <w:tr>
        <w:trPr>
          <w:trHeight w:val="2091" w:hRule="atLeast"/>
        </w:trPr>
        <w:tc>
          <w:tcPr>
            <w:tcW w:w="852" w:type="dxa"/>
          </w:tcPr>
          <w:p>
            <w:pPr>
              <w:pStyle w:val="TableParagraph"/>
              <w:spacing w:before="49"/>
              <w:ind w:left="108"/>
              <w:rPr>
                <w:b/>
                <w:sz w:val="21"/>
              </w:rPr>
            </w:pPr>
            <w:r>
              <w:rPr>
                <w:b/>
                <w:sz w:val="21"/>
              </w:rPr>
              <w:t>3.5</w:t>
            </w:r>
          </w:p>
        </w:tc>
        <w:tc>
          <w:tcPr>
            <w:tcW w:w="1654" w:type="dxa"/>
          </w:tcPr>
          <w:p>
            <w:pPr>
              <w:pStyle w:val="TableParagraph"/>
              <w:spacing w:line="273" w:lineRule="auto" w:before="49"/>
              <w:ind w:left="427" w:right="168"/>
              <w:rPr>
                <w:b/>
                <w:sz w:val="21"/>
              </w:rPr>
            </w:pPr>
            <w:r>
              <w:rPr>
                <w:b/>
                <w:sz w:val="21"/>
              </w:rPr>
              <w:t>宣告死亡处理</w:t>
            </w:r>
          </w:p>
        </w:tc>
        <w:tc>
          <w:tcPr>
            <w:tcW w:w="7037" w:type="dxa"/>
          </w:tcPr>
          <w:p>
            <w:pPr>
              <w:pStyle w:val="TableParagraph"/>
              <w:spacing w:line="273" w:lineRule="auto" w:before="49"/>
              <w:ind w:right="104"/>
              <w:jc w:val="both"/>
              <w:rPr>
                <w:sz w:val="21"/>
              </w:rPr>
            </w:pPr>
            <w:r>
              <w:rPr>
                <w:sz w:val="21"/>
              </w:rPr>
              <w:t>如果被保险人在本合同有效期内失踪，而且被法院宣告死亡，我们以法院判决宣告死亡之日作为被保险人的死亡时间，符合本合同约定的以死亡为保险金给付条件的，按本合同的约定给付保险金，本合同终止。</w:t>
            </w:r>
          </w:p>
          <w:p>
            <w:pPr>
              <w:pStyle w:val="TableParagraph"/>
              <w:spacing w:line="273" w:lineRule="auto" w:before="84"/>
              <w:ind w:right="103"/>
              <w:jc w:val="both"/>
              <w:rPr>
                <w:sz w:val="21"/>
              </w:rPr>
            </w:pPr>
            <w:r>
              <w:rPr>
                <w:sz w:val="21"/>
              </w:rPr>
              <w:t>如果被保险人在宣告死亡后重新出现或者确知其没有死亡，受益人应于知</w:t>
            </w:r>
            <w:r>
              <w:rPr>
                <w:spacing w:val="-7"/>
                <w:sz w:val="21"/>
              </w:rPr>
              <w:t>道或应当知道后 </w:t>
            </w:r>
            <w:r>
              <w:rPr>
                <w:sz w:val="21"/>
              </w:rPr>
              <w:t>30</w:t>
            </w:r>
            <w:r>
              <w:rPr>
                <w:spacing w:val="-12"/>
                <w:sz w:val="21"/>
              </w:rPr>
              <w:t> 日内向我们退还已给付的保险金，本合同的效力由双方</w:t>
            </w:r>
            <w:r>
              <w:rPr>
                <w:spacing w:val="-6"/>
                <w:sz w:val="21"/>
              </w:rPr>
              <w:t>依法确定。</w:t>
            </w:r>
          </w:p>
        </w:tc>
      </w:tr>
      <w:tr>
        <w:trPr>
          <w:trHeight w:val="1849" w:hRule="atLeast"/>
        </w:trPr>
        <w:tc>
          <w:tcPr>
            <w:tcW w:w="852" w:type="dxa"/>
          </w:tcPr>
          <w:p>
            <w:pPr>
              <w:pStyle w:val="TableParagraph"/>
              <w:spacing w:before="50"/>
              <w:ind w:left="108"/>
              <w:rPr>
                <w:b/>
                <w:sz w:val="21"/>
              </w:rPr>
            </w:pPr>
            <w:r>
              <w:rPr>
                <w:b/>
                <w:sz w:val="21"/>
              </w:rPr>
              <w:t>3.6</w:t>
            </w:r>
          </w:p>
        </w:tc>
        <w:tc>
          <w:tcPr>
            <w:tcW w:w="1654" w:type="dxa"/>
          </w:tcPr>
          <w:p>
            <w:pPr>
              <w:pStyle w:val="TableParagraph"/>
              <w:spacing w:before="50"/>
              <w:ind w:left="427"/>
              <w:rPr>
                <w:b/>
                <w:sz w:val="21"/>
              </w:rPr>
            </w:pPr>
            <w:r>
              <w:rPr>
                <w:b/>
                <w:sz w:val="21"/>
              </w:rPr>
              <w:t>诉讼时效</w:t>
            </w:r>
          </w:p>
        </w:tc>
        <w:tc>
          <w:tcPr>
            <w:tcW w:w="7037" w:type="dxa"/>
          </w:tcPr>
          <w:p>
            <w:pPr>
              <w:pStyle w:val="TableParagraph"/>
              <w:spacing w:line="273" w:lineRule="auto" w:before="50"/>
              <w:ind w:right="103"/>
              <w:jc w:val="both"/>
              <w:rPr>
                <w:sz w:val="21"/>
              </w:rPr>
            </w:pPr>
            <w:r>
              <w:rPr>
                <w:sz w:val="21"/>
              </w:rPr>
              <w:t>受益人向我们请求给付妊娠疾病保险金、妊娠终止保险金、先天性疾病保</w:t>
            </w:r>
            <w:r>
              <w:rPr>
                <w:spacing w:val="-4"/>
                <w:sz w:val="21"/>
              </w:rPr>
              <w:t>险金或者重大疾病保险金的诉讼时效期间为 </w:t>
            </w:r>
            <w:r>
              <w:rPr>
                <w:sz w:val="21"/>
              </w:rPr>
              <w:t>2</w:t>
            </w:r>
            <w:r>
              <w:rPr>
                <w:spacing w:val="-5"/>
                <w:sz w:val="21"/>
              </w:rPr>
              <w:t> 年，自其知道或者应当知道</w:t>
            </w:r>
            <w:r>
              <w:rPr>
                <w:spacing w:val="-4"/>
                <w:sz w:val="21"/>
              </w:rPr>
              <w:t>保险事故发生之日起计算。</w:t>
            </w:r>
          </w:p>
          <w:p>
            <w:pPr>
              <w:pStyle w:val="TableParagraph"/>
              <w:spacing w:line="273" w:lineRule="auto" w:before="84"/>
              <w:ind w:right="101"/>
              <w:jc w:val="both"/>
              <w:rPr>
                <w:sz w:val="21"/>
              </w:rPr>
            </w:pPr>
            <w:r>
              <w:rPr>
                <w:spacing w:val="-4"/>
                <w:sz w:val="21"/>
              </w:rPr>
              <w:t>受益人向我们请求给付身故保险金的诉讼时效期间为 </w:t>
            </w:r>
            <w:r>
              <w:rPr>
                <w:sz w:val="21"/>
              </w:rPr>
              <w:t>5</w:t>
            </w:r>
            <w:r>
              <w:rPr>
                <w:spacing w:val="-5"/>
                <w:sz w:val="21"/>
              </w:rPr>
              <w:t> 年，自其知道或者</w:t>
            </w:r>
            <w:r>
              <w:rPr>
                <w:spacing w:val="-4"/>
                <w:sz w:val="21"/>
              </w:rPr>
              <w:t>应当知道保险事故发生之日起计算。</w:t>
            </w:r>
          </w:p>
        </w:tc>
      </w:tr>
      <w:tr>
        <w:trPr>
          <w:trHeight w:val="312" w:hRule="atLeast"/>
        </w:trPr>
        <w:tc>
          <w:tcPr>
            <w:tcW w:w="852" w:type="dxa"/>
            <w:shd w:val="clear" w:color="auto" w:fill="A7A8A7"/>
          </w:tcPr>
          <w:p>
            <w:pPr>
              <w:pStyle w:val="TableParagraph"/>
              <w:spacing w:line="254" w:lineRule="exact"/>
              <w:ind w:left="108"/>
              <w:rPr>
                <w:b/>
                <w:sz w:val="21"/>
              </w:rPr>
            </w:pPr>
            <w:r>
              <w:rPr>
                <w:b/>
                <w:sz w:val="21"/>
              </w:rPr>
              <w:t>4．</w:t>
            </w:r>
          </w:p>
        </w:tc>
        <w:tc>
          <w:tcPr>
            <w:tcW w:w="1654" w:type="dxa"/>
            <w:shd w:val="clear" w:color="auto" w:fill="A7A8A7"/>
          </w:tcPr>
          <w:p>
            <w:pPr>
              <w:pStyle w:val="TableParagraph"/>
              <w:spacing w:line="254" w:lineRule="exact"/>
              <w:ind w:left="427" w:right="-44"/>
              <w:rPr>
                <w:b/>
                <w:sz w:val="21"/>
              </w:rPr>
            </w:pPr>
            <w:r>
              <w:rPr>
                <w:b/>
                <w:sz w:val="21"/>
              </w:rPr>
              <w:t>保险费的支付</w:t>
            </w:r>
          </w:p>
        </w:tc>
        <w:tc>
          <w:tcPr>
            <w:tcW w:w="7037" w:type="dxa"/>
            <w:shd w:val="clear" w:color="auto" w:fill="A7A8A7"/>
          </w:tcPr>
          <w:p>
            <w:pPr>
              <w:pStyle w:val="TableParagraph"/>
              <w:ind w:left="0"/>
              <w:rPr>
                <w:rFonts w:ascii="Times New Roman"/>
                <w:sz w:val="20"/>
              </w:rPr>
            </w:pPr>
          </w:p>
        </w:tc>
      </w:tr>
      <w:tr>
        <w:trPr>
          <w:trHeight w:val="1228" w:hRule="atLeast"/>
        </w:trPr>
        <w:tc>
          <w:tcPr>
            <w:tcW w:w="852" w:type="dxa"/>
          </w:tcPr>
          <w:p>
            <w:pPr>
              <w:pStyle w:val="TableParagraph"/>
              <w:spacing w:before="120"/>
              <w:ind w:left="108"/>
              <w:rPr>
                <w:b/>
                <w:sz w:val="21"/>
              </w:rPr>
            </w:pPr>
            <w:r>
              <w:rPr>
                <w:b/>
                <w:sz w:val="21"/>
              </w:rPr>
              <w:t>4.1</w:t>
            </w:r>
          </w:p>
        </w:tc>
        <w:tc>
          <w:tcPr>
            <w:tcW w:w="1654" w:type="dxa"/>
          </w:tcPr>
          <w:p>
            <w:pPr>
              <w:pStyle w:val="TableParagraph"/>
              <w:spacing w:line="273" w:lineRule="auto" w:before="120"/>
              <w:ind w:left="427" w:right="168"/>
              <w:rPr>
                <w:b/>
                <w:sz w:val="21"/>
              </w:rPr>
            </w:pPr>
            <w:r>
              <w:rPr>
                <w:b/>
                <w:sz w:val="21"/>
              </w:rPr>
              <w:t>保险费的支付</w:t>
            </w:r>
          </w:p>
        </w:tc>
        <w:tc>
          <w:tcPr>
            <w:tcW w:w="7037" w:type="dxa"/>
          </w:tcPr>
          <w:p>
            <w:pPr>
              <w:pStyle w:val="TableParagraph"/>
              <w:spacing w:before="120"/>
              <w:rPr>
                <w:sz w:val="21"/>
              </w:rPr>
            </w:pPr>
            <w:r>
              <w:rPr>
                <w:sz w:val="21"/>
              </w:rPr>
              <w:t>交费方式和交费期间由您在投保时与我们约定，并在保险单上载明。</w:t>
            </w:r>
          </w:p>
          <w:p>
            <w:pPr>
              <w:pStyle w:val="TableParagraph"/>
              <w:spacing w:line="273" w:lineRule="auto" w:before="116"/>
              <w:ind w:right="104"/>
              <w:rPr>
                <w:sz w:val="21"/>
              </w:rPr>
            </w:pPr>
            <w:r>
              <w:rPr>
                <w:sz w:val="21"/>
              </w:rPr>
              <w:t>选择分期支付保险费的，在支付首期保险费后，您应当按照约定，在每个保险费约定支付日支付其余各期的保险费。</w:t>
            </w:r>
          </w:p>
        </w:tc>
      </w:tr>
      <w:tr>
        <w:trPr>
          <w:trHeight w:val="2193" w:hRule="atLeast"/>
        </w:trPr>
        <w:tc>
          <w:tcPr>
            <w:tcW w:w="852" w:type="dxa"/>
          </w:tcPr>
          <w:p>
            <w:pPr>
              <w:pStyle w:val="TableParagraph"/>
              <w:spacing w:before="48"/>
              <w:ind w:left="108"/>
              <w:rPr>
                <w:b/>
                <w:sz w:val="21"/>
              </w:rPr>
            </w:pPr>
            <w:r>
              <w:rPr>
                <w:b/>
                <w:sz w:val="21"/>
              </w:rPr>
              <w:t>4.2</w:t>
            </w:r>
          </w:p>
        </w:tc>
        <w:tc>
          <w:tcPr>
            <w:tcW w:w="1654" w:type="dxa"/>
          </w:tcPr>
          <w:p>
            <w:pPr>
              <w:pStyle w:val="TableParagraph"/>
              <w:spacing w:before="48"/>
              <w:ind w:left="427"/>
              <w:rPr>
                <w:b/>
                <w:sz w:val="21"/>
              </w:rPr>
            </w:pPr>
            <w:r>
              <w:rPr>
                <w:b/>
                <w:sz w:val="21"/>
              </w:rPr>
              <w:t>宽限期</w:t>
            </w:r>
          </w:p>
        </w:tc>
        <w:tc>
          <w:tcPr>
            <w:tcW w:w="7037" w:type="dxa"/>
          </w:tcPr>
          <w:p>
            <w:pPr>
              <w:pStyle w:val="TableParagraph"/>
              <w:spacing w:line="278" w:lineRule="auto" w:before="72"/>
              <w:ind w:right="104"/>
              <w:jc w:val="both"/>
              <w:rPr>
                <w:sz w:val="21"/>
              </w:rPr>
            </w:pPr>
            <w:r>
              <w:rPr>
                <w:sz w:val="21"/>
              </w:rPr>
              <w:t>选择分期支付保险费的，在支付首期保险费后，除本合同另有约定外，如果您到期未支付保险费，自保险费约定支付日的次日零时起 60 日为宽限期。宽限期内发生的保险事故，我们仍会承担保险责任，但在给付保险金时会扣减您欠交的保险费。</w:t>
            </w:r>
          </w:p>
          <w:p>
            <w:pPr>
              <w:pStyle w:val="TableParagraph"/>
              <w:spacing w:line="273" w:lineRule="auto" w:before="67"/>
              <w:ind w:right="104"/>
              <w:jc w:val="both"/>
              <w:rPr>
                <w:sz w:val="21"/>
              </w:rPr>
            </w:pPr>
            <w:r>
              <w:rPr>
                <w:sz w:val="21"/>
              </w:rPr>
              <w:t>如果您宽限期结束之后仍未支付保险费，则本合同自宽限期满的次日零时起效力中止。</w:t>
            </w:r>
          </w:p>
        </w:tc>
      </w:tr>
      <w:tr>
        <w:trPr>
          <w:trHeight w:val="312" w:hRule="atLeast"/>
        </w:trPr>
        <w:tc>
          <w:tcPr>
            <w:tcW w:w="852" w:type="dxa"/>
            <w:shd w:val="clear" w:color="auto" w:fill="A7A8A7"/>
          </w:tcPr>
          <w:p>
            <w:pPr>
              <w:pStyle w:val="TableParagraph"/>
              <w:spacing w:line="254" w:lineRule="exact"/>
              <w:ind w:left="108"/>
              <w:rPr>
                <w:b/>
                <w:sz w:val="21"/>
              </w:rPr>
            </w:pPr>
            <w:r>
              <w:rPr>
                <w:b/>
                <w:sz w:val="21"/>
              </w:rPr>
              <w:t>5．</w:t>
            </w:r>
          </w:p>
        </w:tc>
        <w:tc>
          <w:tcPr>
            <w:tcW w:w="1654" w:type="dxa"/>
            <w:shd w:val="clear" w:color="auto" w:fill="A7A8A7"/>
          </w:tcPr>
          <w:p>
            <w:pPr>
              <w:pStyle w:val="TableParagraph"/>
              <w:spacing w:line="254" w:lineRule="exact"/>
              <w:ind w:left="427" w:right="-44"/>
              <w:rPr>
                <w:b/>
                <w:sz w:val="21"/>
              </w:rPr>
            </w:pPr>
            <w:r>
              <w:rPr>
                <w:b/>
                <w:sz w:val="21"/>
              </w:rPr>
              <w:t>现金价值权益</w:t>
            </w:r>
          </w:p>
        </w:tc>
        <w:tc>
          <w:tcPr>
            <w:tcW w:w="7037" w:type="dxa"/>
            <w:shd w:val="clear" w:color="auto" w:fill="A7A8A7"/>
          </w:tcPr>
          <w:p>
            <w:pPr>
              <w:pStyle w:val="TableParagraph"/>
              <w:ind w:left="0"/>
              <w:rPr>
                <w:rFonts w:ascii="Times New Roman"/>
                <w:sz w:val="20"/>
              </w:rPr>
            </w:pPr>
          </w:p>
        </w:tc>
      </w:tr>
      <w:tr>
        <w:trPr>
          <w:trHeight w:val="1219" w:hRule="atLeast"/>
        </w:trPr>
        <w:tc>
          <w:tcPr>
            <w:tcW w:w="852" w:type="dxa"/>
          </w:tcPr>
          <w:p>
            <w:pPr>
              <w:pStyle w:val="TableParagraph"/>
              <w:spacing w:before="120"/>
              <w:ind w:left="108"/>
              <w:rPr>
                <w:b/>
                <w:sz w:val="21"/>
              </w:rPr>
            </w:pPr>
            <w:r>
              <w:rPr>
                <w:b/>
                <w:sz w:val="21"/>
              </w:rPr>
              <w:t>5.1</w:t>
            </w:r>
          </w:p>
        </w:tc>
        <w:tc>
          <w:tcPr>
            <w:tcW w:w="1654" w:type="dxa"/>
          </w:tcPr>
          <w:p>
            <w:pPr>
              <w:pStyle w:val="TableParagraph"/>
              <w:spacing w:before="120"/>
              <w:ind w:left="427"/>
              <w:rPr>
                <w:b/>
                <w:sz w:val="21"/>
              </w:rPr>
            </w:pPr>
            <w:r>
              <w:rPr>
                <w:b/>
                <w:sz w:val="21"/>
              </w:rPr>
              <w:t>现金价值</w:t>
            </w:r>
          </w:p>
        </w:tc>
        <w:tc>
          <w:tcPr>
            <w:tcW w:w="7037" w:type="dxa"/>
          </w:tcPr>
          <w:p>
            <w:pPr>
              <w:pStyle w:val="TableParagraph"/>
              <w:spacing w:line="273" w:lineRule="auto" w:before="120"/>
              <w:ind w:right="-15"/>
              <w:rPr>
                <w:sz w:val="21"/>
              </w:rPr>
            </w:pPr>
            <w:r>
              <w:rPr>
                <w:sz w:val="21"/>
              </w:rPr>
              <w:t>指本合同保险单所具有的价值，通常体现为解除合同时，根据精算原理计</w:t>
            </w:r>
            <w:r>
              <w:rPr>
                <w:spacing w:val="-9"/>
                <w:sz w:val="21"/>
              </w:rPr>
              <w:t>算的，由我们退还的那部分金额。保单年度末的现金价值在保险单上载明。</w:t>
            </w:r>
            <w:r>
              <w:rPr>
                <w:spacing w:val="-5"/>
                <w:sz w:val="21"/>
              </w:rPr>
              <w:t>保单年度内的现金价值，您可以向我们咨询。</w:t>
            </w:r>
          </w:p>
        </w:tc>
      </w:tr>
      <w:tr>
        <w:trPr>
          <w:trHeight w:val="312" w:hRule="atLeast"/>
        </w:trPr>
        <w:tc>
          <w:tcPr>
            <w:tcW w:w="852" w:type="dxa"/>
            <w:shd w:val="clear" w:color="auto" w:fill="A7A8A7"/>
          </w:tcPr>
          <w:p>
            <w:pPr>
              <w:pStyle w:val="TableParagraph"/>
              <w:spacing w:line="254" w:lineRule="exact"/>
              <w:ind w:left="108"/>
              <w:rPr>
                <w:b/>
                <w:sz w:val="21"/>
              </w:rPr>
            </w:pPr>
            <w:r>
              <w:rPr>
                <w:b/>
                <w:sz w:val="21"/>
              </w:rPr>
              <w:t>6.</w:t>
            </w:r>
          </w:p>
        </w:tc>
        <w:tc>
          <w:tcPr>
            <w:tcW w:w="8691" w:type="dxa"/>
            <w:gridSpan w:val="2"/>
            <w:shd w:val="clear" w:color="auto" w:fill="A7A8A7"/>
          </w:tcPr>
          <w:p>
            <w:pPr>
              <w:pStyle w:val="TableParagraph"/>
              <w:spacing w:line="254" w:lineRule="exact"/>
              <w:ind w:left="427"/>
              <w:rPr>
                <w:b/>
                <w:sz w:val="21"/>
              </w:rPr>
            </w:pPr>
            <w:r>
              <w:rPr>
                <w:b/>
                <w:sz w:val="21"/>
              </w:rPr>
              <w:t>合同效力的中止及恢复</w:t>
            </w:r>
          </w:p>
        </w:tc>
      </w:tr>
      <w:tr>
        <w:trPr>
          <w:trHeight w:val="543" w:hRule="atLeast"/>
        </w:trPr>
        <w:tc>
          <w:tcPr>
            <w:tcW w:w="852" w:type="dxa"/>
          </w:tcPr>
          <w:p>
            <w:pPr>
              <w:pStyle w:val="TableParagraph"/>
              <w:spacing w:before="123"/>
              <w:ind w:left="108"/>
              <w:rPr>
                <w:b/>
                <w:sz w:val="21"/>
              </w:rPr>
            </w:pPr>
            <w:r>
              <w:rPr>
                <w:b/>
                <w:sz w:val="21"/>
              </w:rPr>
              <w:t>6.1</w:t>
            </w:r>
          </w:p>
        </w:tc>
        <w:tc>
          <w:tcPr>
            <w:tcW w:w="1654" w:type="dxa"/>
          </w:tcPr>
          <w:p>
            <w:pPr>
              <w:pStyle w:val="TableParagraph"/>
              <w:spacing w:before="123"/>
              <w:ind w:left="427"/>
              <w:rPr>
                <w:b/>
                <w:sz w:val="21"/>
              </w:rPr>
            </w:pPr>
            <w:r>
              <w:rPr>
                <w:b/>
                <w:sz w:val="21"/>
              </w:rPr>
              <w:t>效力中止</w:t>
            </w:r>
          </w:p>
        </w:tc>
        <w:tc>
          <w:tcPr>
            <w:tcW w:w="7037" w:type="dxa"/>
          </w:tcPr>
          <w:p>
            <w:pPr>
              <w:pStyle w:val="TableParagraph"/>
              <w:spacing w:before="147"/>
              <w:rPr>
                <w:rFonts w:ascii="黑体" w:eastAsia="黑体" w:hint="eastAsia"/>
                <w:sz w:val="21"/>
              </w:rPr>
            </w:pPr>
            <w:r>
              <w:rPr>
                <w:rFonts w:ascii="黑体" w:eastAsia="黑体" w:hint="eastAsia"/>
                <w:sz w:val="21"/>
              </w:rPr>
              <w:t>在本合同效力中止期间，我们不承担保险责任。</w:t>
            </w:r>
          </w:p>
        </w:tc>
      </w:tr>
      <w:tr>
        <w:trPr>
          <w:trHeight w:val="1065" w:hRule="atLeast"/>
        </w:trPr>
        <w:tc>
          <w:tcPr>
            <w:tcW w:w="852" w:type="dxa"/>
          </w:tcPr>
          <w:p>
            <w:pPr>
              <w:pStyle w:val="TableParagraph"/>
              <w:spacing w:before="40"/>
              <w:ind w:left="108"/>
              <w:rPr>
                <w:b/>
                <w:sz w:val="21"/>
              </w:rPr>
            </w:pPr>
            <w:r>
              <w:rPr>
                <w:b/>
                <w:sz w:val="21"/>
              </w:rPr>
              <w:t>6.2</w:t>
            </w:r>
          </w:p>
        </w:tc>
        <w:tc>
          <w:tcPr>
            <w:tcW w:w="1654" w:type="dxa"/>
          </w:tcPr>
          <w:p>
            <w:pPr>
              <w:pStyle w:val="TableParagraph"/>
              <w:spacing w:before="40"/>
              <w:ind w:left="427"/>
              <w:rPr>
                <w:b/>
                <w:sz w:val="21"/>
              </w:rPr>
            </w:pPr>
            <w:r>
              <w:rPr>
                <w:b/>
                <w:sz w:val="21"/>
              </w:rPr>
              <w:t>效力恢复</w:t>
            </w:r>
          </w:p>
        </w:tc>
        <w:tc>
          <w:tcPr>
            <w:tcW w:w="7037" w:type="dxa"/>
          </w:tcPr>
          <w:p>
            <w:pPr>
              <w:pStyle w:val="TableParagraph"/>
              <w:spacing w:line="276" w:lineRule="auto" w:before="64"/>
              <w:ind w:right="32"/>
              <w:rPr>
                <w:sz w:val="21"/>
              </w:rPr>
            </w:pPr>
            <w:r>
              <w:rPr>
                <w:sz w:val="21"/>
              </w:rPr>
              <w:t>本合同效力中止后 2 年内，您可以申请恢复合同效力。经我们与您协商并达成协议，自您补交保险费的次日零时起，合同效力恢复。</w:t>
            </w:r>
          </w:p>
          <w:p>
            <w:pPr>
              <w:pStyle w:val="TableParagraph"/>
              <w:spacing w:line="264" w:lineRule="exact" w:before="94"/>
              <w:rPr>
                <w:sz w:val="21"/>
              </w:rPr>
            </w:pPr>
            <w:r>
              <w:rPr>
                <w:sz w:val="21"/>
              </w:rPr>
              <w:t>自本合同效力中止之日起满 2 年您和我们未达成协议的，我们有权解除合</w:t>
            </w:r>
          </w:p>
        </w:tc>
      </w:tr>
    </w:tbl>
    <w:p>
      <w:pPr>
        <w:spacing w:after="0" w:line="264" w:lineRule="exact"/>
        <w:rPr>
          <w:sz w:val="21"/>
        </w:rPr>
        <w:sectPr>
          <w:pgSz w:w="11910" w:h="16840"/>
          <w:pgMar w:top="1460" w:bottom="280" w:left="1080" w:right="10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5"/>
        <w:gridCol w:w="1746"/>
        <w:gridCol w:w="7012"/>
      </w:tblGrid>
      <w:tr>
        <w:trPr>
          <w:trHeight w:val="385" w:hRule="atLeast"/>
        </w:trPr>
        <w:tc>
          <w:tcPr>
            <w:tcW w:w="785" w:type="dxa"/>
          </w:tcPr>
          <w:p>
            <w:pPr>
              <w:pStyle w:val="TableParagraph"/>
              <w:ind w:left="0"/>
              <w:rPr>
                <w:rFonts w:ascii="Times New Roman"/>
                <w:sz w:val="20"/>
              </w:rPr>
            </w:pPr>
          </w:p>
        </w:tc>
        <w:tc>
          <w:tcPr>
            <w:tcW w:w="1746" w:type="dxa"/>
          </w:tcPr>
          <w:p>
            <w:pPr>
              <w:pStyle w:val="TableParagraph"/>
              <w:ind w:left="0"/>
              <w:rPr>
                <w:rFonts w:ascii="Times New Roman"/>
                <w:sz w:val="20"/>
              </w:rPr>
            </w:pPr>
          </w:p>
        </w:tc>
        <w:tc>
          <w:tcPr>
            <w:tcW w:w="7012" w:type="dxa"/>
          </w:tcPr>
          <w:p>
            <w:pPr>
              <w:pStyle w:val="TableParagraph"/>
              <w:spacing w:line="206" w:lineRule="exact"/>
              <w:ind w:left="145"/>
              <w:rPr>
                <w:sz w:val="21"/>
              </w:rPr>
            </w:pPr>
            <w:r>
              <w:rPr>
                <w:sz w:val="21"/>
              </w:rPr>
              <w:t>同。我们解除合同的，向您退还合同效力中止时保险单的现金价值。</w:t>
            </w:r>
          </w:p>
        </w:tc>
      </w:tr>
      <w:tr>
        <w:trPr>
          <w:trHeight w:val="311" w:hRule="atLeast"/>
        </w:trPr>
        <w:tc>
          <w:tcPr>
            <w:tcW w:w="785" w:type="dxa"/>
            <w:shd w:val="clear" w:color="auto" w:fill="A7A8A7"/>
          </w:tcPr>
          <w:p>
            <w:pPr>
              <w:pStyle w:val="TableParagraph"/>
              <w:spacing w:line="258" w:lineRule="exact"/>
              <w:ind w:left="108"/>
              <w:rPr>
                <w:b/>
                <w:sz w:val="21"/>
              </w:rPr>
            </w:pPr>
            <w:r>
              <w:rPr>
                <w:b/>
                <w:sz w:val="21"/>
              </w:rPr>
              <w:t>7．</w:t>
            </w:r>
          </w:p>
        </w:tc>
        <w:tc>
          <w:tcPr>
            <w:tcW w:w="1746" w:type="dxa"/>
            <w:shd w:val="clear" w:color="auto" w:fill="A7A8A7"/>
          </w:tcPr>
          <w:p>
            <w:pPr>
              <w:pStyle w:val="TableParagraph"/>
              <w:spacing w:line="258" w:lineRule="exact"/>
              <w:ind w:left="494"/>
              <w:rPr>
                <w:b/>
                <w:sz w:val="21"/>
              </w:rPr>
            </w:pPr>
            <w:r>
              <w:rPr>
                <w:b/>
                <w:sz w:val="21"/>
              </w:rPr>
              <w:t>合同解除</w:t>
            </w:r>
          </w:p>
        </w:tc>
        <w:tc>
          <w:tcPr>
            <w:tcW w:w="7012" w:type="dxa"/>
            <w:shd w:val="clear" w:color="auto" w:fill="A7A8A7"/>
          </w:tcPr>
          <w:p>
            <w:pPr>
              <w:pStyle w:val="TableParagraph"/>
              <w:ind w:left="0"/>
              <w:rPr>
                <w:rFonts w:ascii="Times New Roman"/>
                <w:sz w:val="20"/>
              </w:rPr>
            </w:pPr>
          </w:p>
        </w:tc>
      </w:tr>
      <w:tr>
        <w:trPr>
          <w:trHeight w:val="2625" w:hRule="atLeast"/>
        </w:trPr>
        <w:tc>
          <w:tcPr>
            <w:tcW w:w="785" w:type="dxa"/>
          </w:tcPr>
          <w:p>
            <w:pPr>
              <w:pStyle w:val="TableParagraph"/>
              <w:spacing w:before="127"/>
              <w:ind w:left="108"/>
              <w:rPr>
                <w:b/>
                <w:sz w:val="21"/>
              </w:rPr>
            </w:pPr>
            <w:r>
              <w:rPr>
                <w:b/>
                <w:sz w:val="21"/>
              </w:rPr>
              <w:t>7.1</w:t>
            </w:r>
          </w:p>
        </w:tc>
        <w:tc>
          <w:tcPr>
            <w:tcW w:w="1746" w:type="dxa"/>
          </w:tcPr>
          <w:p>
            <w:pPr>
              <w:pStyle w:val="TableParagraph"/>
              <w:spacing w:line="271" w:lineRule="auto" w:before="127"/>
              <w:ind w:left="494" w:right="193"/>
              <w:jc w:val="both"/>
              <w:rPr>
                <w:b/>
                <w:sz w:val="21"/>
              </w:rPr>
            </w:pPr>
            <w:r>
              <w:rPr>
                <w:b/>
                <w:sz w:val="21"/>
              </w:rPr>
              <w:t>您解除合同的手续及风险</w:t>
            </w:r>
          </w:p>
        </w:tc>
        <w:tc>
          <w:tcPr>
            <w:tcW w:w="7012" w:type="dxa"/>
          </w:tcPr>
          <w:p>
            <w:pPr>
              <w:pStyle w:val="TableParagraph"/>
              <w:spacing w:line="273" w:lineRule="auto" w:before="127"/>
              <w:ind w:left="145" w:right="104"/>
              <w:rPr>
                <w:sz w:val="21"/>
              </w:rPr>
            </w:pPr>
            <w:r>
              <w:rPr>
                <w:sz w:val="21"/>
              </w:rPr>
              <w:t>如您在犹豫期后申请解除本合同，请填写解除合同的书面申请并向我们提供下列资料：</w:t>
            </w:r>
          </w:p>
          <w:p>
            <w:pPr>
              <w:pStyle w:val="TableParagraph"/>
              <w:spacing w:before="5"/>
              <w:ind w:left="145"/>
              <w:rPr>
                <w:sz w:val="21"/>
              </w:rPr>
            </w:pPr>
            <w:r>
              <w:rPr>
                <w:sz w:val="21"/>
              </w:rPr>
              <w:t>(1)保险合同；</w:t>
            </w:r>
          </w:p>
          <w:p>
            <w:pPr>
              <w:pStyle w:val="TableParagraph"/>
              <w:spacing w:before="36"/>
              <w:ind w:left="145"/>
              <w:rPr>
                <w:sz w:val="21"/>
              </w:rPr>
            </w:pPr>
            <w:r>
              <w:rPr>
                <w:sz w:val="21"/>
              </w:rPr>
              <w:t>(2)您的有效身份证件。</w:t>
            </w:r>
          </w:p>
          <w:p>
            <w:pPr>
              <w:pStyle w:val="TableParagraph"/>
              <w:spacing w:line="273" w:lineRule="auto" w:before="115"/>
              <w:ind w:left="145" w:right="104"/>
              <w:rPr>
                <w:sz w:val="21"/>
              </w:rPr>
            </w:pPr>
            <w:r>
              <w:rPr>
                <w:sz w:val="21"/>
              </w:rPr>
              <w:t>自我们收到解除合同的书面申请时起，本合同终止。我们自收到解除合同的书面申请之日起 30 日内向您退还本合同保险单的现金价值。</w:t>
            </w:r>
          </w:p>
          <w:p>
            <w:pPr>
              <w:pStyle w:val="TableParagraph"/>
              <w:spacing w:before="84"/>
              <w:ind w:left="145"/>
              <w:rPr>
                <w:sz w:val="21"/>
              </w:rPr>
            </w:pPr>
            <w:r>
              <w:rPr>
                <w:sz w:val="21"/>
              </w:rPr>
              <w:t>您犹豫期后解除合同会遭受一定损失。</w:t>
            </w:r>
          </w:p>
        </w:tc>
      </w:tr>
      <w:tr>
        <w:trPr>
          <w:trHeight w:val="311" w:hRule="atLeast"/>
        </w:trPr>
        <w:tc>
          <w:tcPr>
            <w:tcW w:w="785" w:type="dxa"/>
            <w:shd w:val="clear" w:color="auto" w:fill="A7A8A7"/>
          </w:tcPr>
          <w:p>
            <w:pPr>
              <w:pStyle w:val="TableParagraph"/>
              <w:spacing w:line="258" w:lineRule="exact"/>
              <w:ind w:left="108"/>
              <w:rPr>
                <w:b/>
                <w:sz w:val="21"/>
              </w:rPr>
            </w:pPr>
            <w:r>
              <w:rPr>
                <w:b/>
                <w:sz w:val="21"/>
              </w:rPr>
              <w:t>8．</w:t>
            </w:r>
          </w:p>
        </w:tc>
        <w:tc>
          <w:tcPr>
            <w:tcW w:w="8758" w:type="dxa"/>
            <w:gridSpan w:val="2"/>
            <w:shd w:val="clear" w:color="auto" w:fill="A7A8A7"/>
          </w:tcPr>
          <w:p>
            <w:pPr>
              <w:pStyle w:val="TableParagraph"/>
              <w:spacing w:line="258" w:lineRule="exact"/>
              <w:ind w:left="359"/>
              <w:rPr>
                <w:b/>
                <w:sz w:val="21"/>
              </w:rPr>
            </w:pPr>
            <w:r>
              <w:rPr>
                <w:b/>
                <w:sz w:val="21"/>
              </w:rPr>
              <w:t>说明、告知与解除权限制</w:t>
            </w:r>
          </w:p>
        </w:tc>
      </w:tr>
      <w:tr>
        <w:trPr>
          <w:trHeight w:val="5361" w:hRule="atLeast"/>
        </w:trPr>
        <w:tc>
          <w:tcPr>
            <w:tcW w:w="785" w:type="dxa"/>
          </w:tcPr>
          <w:p>
            <w:pPr>
              <w:pStyle w:val="TableParagraph"/>
              <w:spacing w:before="124"/>
              <w:ind w:left="108"/>
              <w:rPr>
                <w:b/>
                <w:sz w:val="21"/>
              </w:rPr>
            </w:pPr>
            <w:r>
              <w:rPr>
                <w:b/>
                <w:sz w:val="21"/>
              </w:rPr>
              <w:t>8.1</w:t>
            </w:r>
          </w:p>
        </w:tc>
        <w:tc>
          <w:tcPr>
            <w:tcW w:w="1746" w:type="dxa"/>
          </w:tcPr>
          <w:p>
            <w:pPr>
              <w:pStyle w:val="TableParagraph"/>
              <w:spacing w:line="273" w:lineRule="auto" w:before="124"/>
              <w:ind w:left="359" w:right="118"/>
              <w:rPr>
                <w:b/>
                <w:sz w:val="21"/>
              </w:rPr>
            </w:pPr>
            <w:r>
              <w:rPr>
                <w:b/>
                <w:sz w:val="21"/>
              </w:rPr>
              <w:t>明确说明与如实告知</w:t>
            </w:r>
          </w:p>
        </w:tc>
        <w:tc>
          <w:tcPr>
            <w:tcW w:w="7012" w:type="dxa"/>
          </w:tcPr>
          <w:p>
            <w:pPr>
              <w:pStyle w:val="TableParagraph"/>
              <w:spacing w:before="124"/>
              <w:ind w:left="118"/>
              <w:rPr>
                <w:sz w:val="21"/>
              </w:rPr>
            </w:pPr>
            <w:r>
              <w:rPr>
                <w:sz w:val="21"/>
              </w:rPr>
              <w:t>订立本合同时，我们应向您说明本合同的内容。</w:t>
            </w:r>
          </w:p>
          <w:p>
            <w:pPr>
              <w:pStyle w:val="TableParagraph"/>
              <w:spacing w:line="273" w:lineRule="auto" w:before="113"/>
              <w:ind w:left="118" w:right="105"/>
              <w:jc w:val="both"/>
              <w:rPr>
                <w:sz w:val="21"/>
              </w:rPr>
            </w:pPr>
            <w:r>
              <w:rPr>
                <w:sz w:val="21"/>
              </w:rPr>
              <w:t>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TableParagraph"/>
              <w:spacing w:before="86"/>
              <w:ind w:left="118"/>
              <w:rPr>
                <w:sz w:val="21"/>
              </w:rPr>
            </w:pPr>
            <w:r>
              <w:rPr>
                <w:sz w:val="21"/>
              </w:rPr>
              <w:t>我们就您和被保险人的有关情况提出询问，您应当如实告知。</w:t>
            </w:r>
          </w:p>
          <w:p>
            <w:pPr>
              <w:pStyle w:val="TableParagraph"/>
              <w:spacing w:line="273" w:lineRule="auto" w:before="113"/>
              <w:ind w:left="118" w:right="105"/>
              <w:rPr>
                <w:rFonts w:ascii="黑体" w:eastAsia="黑体" w:hint="eastAsia"/>
                <w:sz w:val="21"/>
              </w:rPr>
            </w:pPr>
            <w:r>
              <w:rPr>
                <w:rFonts w:ascii="黑体" w:eastAsia="黑体" w:hint="eastAsia"/>
                <w:sz w:val="21"/>
              </w:rPr>
              <w:t>如果您故意或者因重大过失未履行前款规定的如实告知义务，足以影响我们决定是否同意承保或者提高保险费率的，我们有权解除本合同。</w:t>
            </w:r>
          </w:p>
          <w:p>
            <w:pPr>
              <w:pStyle w:val="TableParagraph"/>
              <w:spacing w:line="273" w:lineRule="auto" w:before="86"/>
              <w:ind w:left="118" w:right="105"/>
              <w:rPr>
                <w:rFonts w:ascii="黑体" w:eastAsia="黑体" w:hint="eastAsia"/>
                <w:sz w:val="21"/>
              </w:rPr>
            </w:pPr>
            <w:r>
              <w:rPr>
                <w:rFonts w:ascii="黑体" w:eastAsia="黑体" w:hint="eastAsia"/>
                <w:sz w:val="21"/>
              </w:rPr>
              <w:t>如果您故意不履行如实告知义务，对于本合同解除前发Th的保险事故，我们不承担保险责任，并不退还保险费。</w:t>
            </w:r>
          </w:p>
          <w:p>
            <w:pPr>
              <w:pStyle w:val="TableParagraph"/>
              <w:spacing w:line="273" w:lineRule="auto" w:before="84"/>
              <w:ind w:left="118" w:right="-15"/>
              <w:rPr>
                <w:rFonts w:ascii="黑体" w:eastAsia="黑体" w:hint="eastAsia"/>
                <w:sz w:val="21"/>
              </w:rPr>
            </w:pPr>
            <w:r>
              <w:rPr>
                <w:rFonts w:ascii="黑体" w:eastAsia="黑体" w:hint="eastAsia"/>
                <w:spacing w:val="-6"/>
                <w:sz w:val="21"/>
              </w:rPr>
              <w:t>如果您因重大过失未履行如实告知义务，对保险事故的发</w:t>
            </w:r>
            <w:r>
              <w:rPr>
                <w:rFonts w:ascii="黑体" w:eastAsia="黑体" w:hint="eastAsia"/>
                <w:sz w:val="21"/>
              </w:rPr>
              <w:t>Th</w:t>
            </w:r>
            <w:r>
              <w:rPr>
                <w:rFonts w:ascii="黑体" w:eastAsia="黑体" w:hint="eastAsia"/>
                <w:spacing w:val="-3"/>
                <w:sz w:val="21"/>
              </w:rPr>
              <w:t>有严重影响的， 对于本合同解除前发Th的保险事故，我们不承担保险责任，但应当退还保险费。</w:t>
            </w:r>
          </w:p>
          <w:p>
            <w:pPr>
              <w:pStyle w:val="TableParagraph"/>
              <w:spacing w:line="273" w:lineRule="auto" w:before="86"/>
              <w:ind w:left="118" w:right="105"/>
              <w:rPr>
                <w:sz w:val="21"/>
              </w:rPr>
            </w:pPr>
            <w:r>
              <w:rPr>
                <w:sz w:val="21"/>
              </w:rPr>
              <w:t>我们在合同订立时已经知道您未如实告知的情况的，我们不得解除合同； 发生保险事故的，我们承担保险责任。</w:t>
            </w:r>
          </w:p>
        </w:tc>
      </w:tr>
      <w:tr>
        <w:trPr>
          <w:trHeight w:val="1147" w:hRule="atLeast"/>
        </w:trPr>
        <w:tc>
          <w:tcPr>
            <w:tcW w:w="785" w:type="dxa"/>
          </w:tcPr>
          <w:p>
            <w:pPr>
              <w:pStyle w:val="TableParagraph"/>
              <w:spacing w:before="52"/>
              <w:ind w:left="108"/>
              <w:rPr>
                <w:b/>
                <w:sz w:val="21"/>
              </w:rPr>
            </w:pPr>
            <w:r>
              <w:rPr>
                <w:b/>
                <w:sz w:val="21"/>
              </w:rPr>
              <w:t>8.2</w:t>
            </w:r>
          </w:p>
        </w:tc>
        <w:tc>
          <w:tcPr>
            <w:tcW w:w="1746" w:type="dxa"/>
          </w:tcPr>
          <w:p>
            <w:pPr>
              <w:pStyle w:val="TableParagraph"/>
              <w:spacing w:line="273" w:lineRule="auto" w:before="52"/>
              <w:ind w:left="359" w:right="118"/>
              <w:rPr>
                <w:b/>
                <w:sz w:val="21"/>
              </w:rPr>
            </w:pPr>
            <w:r>
              <w:rPr>
                <w:b/>
                <w:sz w:val="21"/>
              </w:rPr>
              <w:t>我们合同解除权的限制</w:t>
            </w:r>
          </w:p>
        </w:tc>
        <w:tc>
          <w:tcPr>
            <w:tcW w:w="7012" w:type="dxa"/>
          </w:tcPr>
          <w:p>
            <w:pPr>
              <w:pStyle w:val="TableParagraph"/>
              <w:spacing w:line="273" w:lineRule="auto" w:before="52"/>
              <w:ind w:left="118" w:right="102"/>
              <w:jc w:val="both"/>
              <w:rPr>
                <w:sz w:val="21"/>
              </w:rPr>
            </w:pPr>
            <w:r>
              <w:rPr>
                <w:sz w:val="21"/>
              </w:rPr>
              <w:t>本保险条款“8.1 明确说明与如实告知”规定的合同解除权，自我们知道</w:t>
            </w:r>
            <w:r>
              <w:rPr>
                <w:spacing w:val="-6"/>
                <w:sz w:val="21"/>
              </w:rPr>
              <w:t>有解除事由之日起，超过 </w:t>
            </w:r>
            <w:r>
              <w:rPr>
                <w:sz w:val="21"/>
              </w:rPr>
              <w:t>30</w:t>
            </w:r>
            <w:r>
              <w:rPr>
                <w:spacing w:val="-10"/>
                <w:sz w:val="21"/>
              </w:rPr>
              <w:t> 日不行使而消灭。自本合同成立之日起超过 </w:t>
            </w:r>
            <w:r>
              <w:rPr>
                <w:sz w:val="21"/>
              </w:rPr>
              <w:t>2 </w:t>
            </w:r>
            <w:r>
              <w:rPr>
                <w:spacing w:val="-3"/>
                <w:sz w:val="21"/>
              </w:rPr>
              <w:t>年的，我们不得解除合同；发生保险事故的，我们承担保险责任。</w:t>
            </w:r>
          </w:p>
        </w:tc>
      </w:tr>
      <w:tr>
        <w:trPr>
          <w:trHeight w:val="312" w:hRule="atLeast"/>
        </w:trPr>
        <w:tc>
          <w:tcPr>
            <w:tcW w:w="785" w:type="dxa"/>
            <w:shd w:val="clear" w:color="auto" w:fill="A7A8A7"/>
          </w:tcPr>
          <w:p>
            <w:pPr>
              <w:pStyle w:val="TableParagraph"/>
              <w:spacing w:line="258" w:lineRule="exact"/>
              <w:ind w:left="108"/>
              <w:rPr>
                <w:b/>
                <w:sz w:val="21"/>
              </w:rPr>
            </w:pPr>
            <w:r>
              <w:rPr>
                <w:b/>
                <w:sz w:val="21"/>
              </w:rPr>
              <w:t>9．</w:t>
            </w:r>
          </w:p>
        </w:tc>
        <w:tc>
          <w:tcPr>
            <w:tcW w:w="8758" w:type="dxa"/>
            <w:gridSpan w:val="2"/>
            <w:shd w:val="clear" w:color="auto" w:fill="A7A8A7"/>
          </w:tcPr>
          <w:p>
            <w:pPr>
              <w:pStyle w:val="TableParagraph"/>
              <w:spacing w:line="258" w:lineRule="exact"/>
              <w:ind w:left="359"/>
              <w:rPr>
                <w:b/>
                <w:sz w:val="21"/>
              </w:rPr>
            </w:pPr>
            <w:r>
              <w:rPr>
                <w:b/>
                <w:sz w:val="21"/>
              </w:rPr>
              <w:t>其他需要关注的事项</w:t>
            </w:r>
          </w:p>
        </w:tc>
      </w:tr>
      <w:tr>
        <w:trPr>
          <w:trHeight w:val="1773" w:hRule="atLeast"/>
        </w:trPr>
        <w:tc>
          <w:tcPr>
            <w:tcW w:w="785" w:type="dxa"/>
          </w:tcPr>
          <w:p>
            <w:pPr>
              <w:pStyle w:val="TableParagraph"/>
              <w:spacing w:before="124"/>
              <w:ind w:left="108"/>
              <w:rPr>
                <w:b/>
                <w:sz w:val="21"/>
              </w:rPr>
            </w:pPr>
            <w:r>
              <w:rPr>
                <w:b/>
                <w:sz w:val="21"/>
              </w:rPr>
              <w:t>9.1</w:t>
            </w:r>
          </w:p>
        </w:tc>
        <w:tc>
          <w:tcPr>
            <w:tcW w:w="1746" w:type="dxa"/>
          </w:tcPr>
          <w:p>
            <w:pPr>
              <w:pStyle w:val="TableParagraph"/>
              <w:spacing w:before="124"/>
              <w:ind w:left="359"/>
              <w:rPr>
                <w:b/>
                <w:sz w:val="21"/>
              </w:rPr>
            </w:pPr>
            <w:r>
              <w:rPr>
                <w:b/>
                <w:sz w:val="21"/>
              </w:rPr>
              <w:t>年龄错误</w:t>
            </w:r>
          </w:p>
        </w:tc>
        <w:tc>
          <w:tcPr>
            <w:tcW w:w="7012" w:type="dxa"/>
          </w:tcPr>
          <w:p>
            <w:pPr>
              <w:pStyle w:val="TableParagraph"/>
              <w:spacing w:line="273" w:lineRule="auto" w:before="124"/>
              <w:ind w:left="118" w:right="101" w:firstLine="2"/>
              <w:rPr>
                <w:sz w:val="21"/>
              </w:rPr>
            </w:pPr>
            <w:r>
              <w:rPr>
                <w:sz w:val="21"/>
              </w:rPr>
              <w:t>您在申请投保时，应将与有效身份证件相符的第一被保险人的出生日期在投保单上填明，如果发生错误按照下列方式办理：</w:t>
            </w:r>
          </w:p>
          <w:p>
            <w:pPr>
              <w:pStyle w:val="TableParagraph"/>
              <w:spacing w:line="273" w:lineRule="auto" w:before="7"/>
              <w:ind w:left="118"/>
              <w:rPr>
                <w:sz w:val="21"/>
              </w:rPr>
            </w:pPr>
            <w:r>
              <w:rPr>
                <w:rFonts w:ascii="黑体" w:hAnsi="黑体" w:eastAsia="黑体" w:hint="eastAsia"/>
                <w:sz w:val="21"/>
              </w:rPr>
              <w:t>您申报的第一被保险人年龄不真实，并且其真实年龄不符合本合同约定投</w:t>
            </w:r>
            <w:r>
              <w:rPr>
                <w:rFonts w:ascii="黑体" w:hAnsi="黑体" w:eastAsia="黑体" w:hint="eastAsia"/>
                <w:spacing w:val="-7"/>
                <w:sz w:val="21"/>
              </w:rPr>
              <w:t>保年龄限制的，我们有权解除合同，并向您退还本合同保险单的现金价值。</w:t>
            </w:r>
            <w:r>
              <w:rPr>
                <w:spacing w:val="-10"/>
                <w:sz w:val="21"/>
              </w:rPr>
              <w:t>我们行使合同解除权适用本保险条款“</w:t>
            </w:r>
            <w:r>
              <w:rPr>
                <w:sz w:val="21"/>
              </w:rPr>
              <w:t>8.2</w:t>
            </w:r>
            <w:r>
              <w:rPr>
                <w:spacing w:val="-14"/>
                <w:sz w:val="21"/>
              </w:rPr>
              <w:t> 我们合同解除权的限制”的规定。</w:t>
            </w:r>
          </w:p>
        </w:tc>
      </w:tr>
      <w:tr>
        <w:trPr>
          <w:trHeight w:val="1078" w:hRule="atLeast"/>
        </w:trPr>
        <w:tc>
          <w:tcPr>
            <w:tcW w:w="785" w:type="dxa"/>
          </w:tcPr>
          <w:p>
            <w:pPr>
              <w:pStyle w:val="TableParagraph"/>
              <w:spacing w:before="52"/>
              <w:ind w:left="108"/>
              <w:rPr>
                <w:b/>
                <w:sz w:val="21"/>
              </w:rPr>
            </w:pPr>
            <w:r>
              <w:rPr>
                <w:b/>
                <w:sz w:val="21"/>
              </w:rPr>
              <w:t>9.2</w:t>
            </w:r>
          </w:p>
        </w:tc>
        <w:tc>
          <w:tcPr>
            <w:tcW w:w="1746" w:type="dxa"/>
          </w:tcPr>
          <w:p>
            <w:pPr>
              <w:pStyle w:val="TableParagraph"/>
              <w:spacing w:before="52"/>
              <w:ind w:left="359"/>
              <w:rPr>
                <w:b/>
                <w:sz w:val="21"/>
              </w:rPr>
            </w:pPr>
            <w:r>
              <w:rPr>
                <w:b/>
                <w:sz w:val="21"/>
              </w:rPr>
              <w:t>未还款项</w:t>
            </w:r>
          </w:p>
        </w:tc>
        <w:tc>
          <w:tcPr>
            <w:tcW w:w="7012" w:type="dxa"/>
          </w:tcPr>
          <w:p>
            <w:pPr>
              <w:pStyle w:val="TableParagraph"/>
              <w:spacing w:line="273" w:lineRule="auto" w:before="52"/>
              <w:ind w:left="118" w:right="105"/>
              <w:jc w:val="both"/>
              <w:rPr>
                <w:sz w:val="21"/>
              </w:rPr>
            </w:pPr>
            <w:r>
              <w:rPr>
                <w:sz w:val="21"/>
              </w:rPr>
              <w:t>我们在给付各项保险金、退还本合同保险单的现金价值或退还保险费时， 若您存在欠交保险费或其他未还款项及相应利息，我们会在扣除上述欠款后给付。</w:t>
            </w:r>
          </w:p>
        </w:tc>
      </w:tr>
      <w:tr>
        <w:trPr>
          <w:trHeight w:val="333" w:hRule="atLeast"/>
        </w:trPr>
        <w:tc>
          <w:tcPr>
            <w:tcW w:w="785" w:type="dxa"/>
          </w:tcPr>
          <w:p>
            <w:pPr>
              <w:pStyle w:val="TableParagraph"/>
              <w:spacing w:line="260" w:lineRule="exact" w:before="54"/>
              <w:ind w:left="108"/>
              <w:rPr>
                <w:b/>
                <w:sz w:val="21"/>
              </w:rPr>
            </w:pPr>
            <w:r>
              <w:rPr>
                <w:b/>
                <w:sz w:val="21"/>
              </w:rPr>
              <w:t>9.3</w:t>
            </w:r>
          </w:p>
        </w:tc>
        <w:tc>
          <w:tcPr>
            <w:tcW w:w="1746" w:type="dxa"/>
          </w:tcPr>
          <w:p>
            <w:pPr>
              <w:pStyle w:val="TableParagraph"/>
              <w:spacing w:line="260" w:lineRule="exact" w:before="54"/>
              <w:ind w:left="359"/>
              <w:rPr>
                <w:b/>
                <w:sz w:val="21"/>
              </w:rPr>
            </w:pPr>
            <w:r>
              <w:rPr>
                <w:b/>
                <w:sz w:val="21"/>
              </w:rPr>
              <w:t>合同内容变更</w:t>
            </w:r>
          </w:p>
        </w:tc>
        <w:tc>
          <w:tcPr>
            <w:tcW w:w="7012" w:type="dxa"/>
          </w:tcPr>
          <w:p>
            <w:pPr>
              <w:pStyle w:val="TableParagraph"/>
              <w:spacing w:line="260" w:lineRule="exact" w:before="54"/>
              <w:ind w:left="118"/>
              <w:rPr>
                <w:sz w:val="21"/>
              </w:rPr>
            </w:pPr>
            <w:r>
              <w:rPr>
                <w:sz w:val="21"/>
              </w:rPr>
              <w:t>在本合同有效期内，经您与我们协商一致，可以变更本合同的有关内容。</w:t>
            </w:r>
          </w:p>
        </w:tc>
      </w:tr>
    </w:tbl>
    <w:p>
      <w:pPr>
        <w:spacing w:after="0" w:line="260" w:lineRule="exact"/>
        <w:rPr>
          <w:sz w:val="21"/>
        </w:rPr>
        <w:sectPr>
          <w:pgSz w:w="11910" w:h="16840"/>
          <w:pgMar w:top="1480" w:bottom="280" w:left="1080" w:right="10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6"/>
        <w:gridCol w:w="1586"/>
        <w:gridCol w:w="7012"/>
      </w:tblGrid>
      <w:tr>
        <w:trPr>
          <w:trHeight w:val="644" w:hRule="atLeast"/>
        </w:trPr>
        <w:tc>
          <w:tcPr>
            <w:tcW w:w="946" w:type="dxa"/>
          </w:tcPr>
          <w:p>
            <w:pPr>
              <w:pStyle w:val="TableParagraph"/>
              <w:ind w:left="0"/>
              <w:rPr>
                <w:rFonts w:ascii="Times New Roman"/>
                <w:sz w:val="20"/>
              </w:rPr>
            </w:pPr>
          </w:p>
        </w:tc>
        <w:tc>
          <w:tcPr>
            <w:tcW w:w="1586" w:type="dxa"/>
          </w:tcPr>
          <w:p>
            <w:pPr>
              <w:pStyle w:val="TableParagraph"/>
              <w:ind w:left="0"/>
              <w:rPr>
                <w:rFonts w:ascii="Times New Roman"/>
                <w:sz w:val="20"/>
              </w:rPr>
            </w:pPr>
          </w:p>
        </w:tc>
        <w:tc>
          <w:tcPr>
            <w:tcW w:w="7012" w:type="dxa"/>
          </w:tcPr>
          <w:p>
            <w:pPr>
              <w:pStyle w:val="TableParagraph"/>
              <w:spacing w:line="202" w:lineRule="exact"/>
              <w:ind w:left="117"/>
              <w:rPr>
                <w:sz w:val="21"/>
              </w:rPr>
            </w:pPr>
            <w:r>
              <w:rPr>
                <w:sz w:val="21"/>
              </w:rPr>
              <w:t>变更本合同的，应当由我们在保险单上批注或者附贴批单，或者由您与我</w:t>
            </w:r>
          </w:p>
          <w:p>
            <w:pPr>
              <w:pStyle w:val="TableParagraph"/>
              <w:spacing w:before="37"/>
              <w:ind w:left="117"/>
              <w:rPr>
                <w:sz w:val="21"/>
              </w:rPr>
            </w:pPr>
            <w:r>
              <w:rPr>
                <w:sz w:val="21"/>
              </w:rPr>
              <w:t>们订立书面的变更协议。</w:t>
            </w:r>
          </w:p>
        </w:tc>
      </w:tr>
      <w:tr>
        <w:trPr>
          <w:trHeight w:val="1389" w:hRule="atLeast"/>
        </w:trPr>
        <w:tc>
          <w:tcPr>
            <w:tcW w:w="946" w:type="dxa"/>
          </w:tcPr>
          <w:p>
            <w:pPr>
              <w:pStyle w:val="TableParagraph"/>
              <w:spacing w:before="48"/>
              <w:ind w:left="108"/>
              <w:rPr>
                <w:b/>
                <w:sz w:val="21"/>
              </w:rPr>
            </w:pPr>
            <w:r>
              <w:rPr>
                <w:b/>
                <w:sz w:val="21"/>
              </w:rPr>
              <w:t>9.4</w:t>
            </w:r>
          </w:p>
        </w:tc>
        <w:tc>
          <w:tcPr>
            <w:tcW w:w="1586" w:type="dxa"/>
          </w:tcPr>
          <w:p>
            <w:pPr>
              <w:pStyle w:val="TableParagraph"/>
              <w:spacing w:before="48"/>
              <w:ind w:left="198"/>
              <w:rPr>
                <w:b/>
                <w:sz w:val="21"/>
              </w:rPr>
            </w:pPr>
            <w:r>
              <w:rPr>
                <w:b/>
                <w:sz w:val="21"/>
              </w:rPr>
              <w:t>联系方式变更</w:t>
            </w:r>
          </w:p>
        </w:tc>
        <w:tc>
          <w:tcPr>
            <w:tcW w:w="7012" w:type="dxa"/>
          </w:tcPr>
          <w:p>
            <w:pPr>
              <w:pStyle w:val="TableParagraph"/>
              <w:spacing w:line="273" w:lineRule="auto" w:before="48"/>
              <w:ind w:left="117" w:right="106"/>
              <w:jc w:val="both"/>
              <w:rPr>
                <w:sz w:val="21"/>
              </w:rPr>
            </w:pPr>
            <w:r>
              <w:rPr>
                <w:sz w:val="21"/>
              </w:rPr>
              <w:t>为了保障您的合法权益，您的住所、通讯地址或电话等联系方式变更时， 请及时以书面形式或双方认可的其他形式通知我们。若您未以书面形式或双方认可的其他形式通知我们，我们按本合同载明的最后住所、通讯地址或电话等联系方式发送的有关通知，均视为已送达给您。</w:t>
            </w:r>
          </w:p>
        </w:tc>
      </w:tr>
      <w:tr>
        <w:trPr>
          <w:trHeight w:val="835" w:hRule="atLeast"/>
        </w:trPr>
        <w:tc>
          <w:tcPr>
            <w:tcW w:w="946" w:type="dxa"/>
          </w:tcPr>
          <w:p>
            <w:pPr>
              <w:pStyle w:val="TableParagraph"/>
              <w:spacing w:before="49"/>
              <w:ind w:left="108"/>
              <w:rPr>
                <w:b/>
                <w:sz w:val="21"/>
              </w:rPr>
            </w:pPr>
            <w:r>
              <w:rPr>
                <w:b/>
                <w:sz w:val="21"/>
              </w:rPr>
              <w:t>9.5</w:t>
            </w:r>
          </w:p>
        </w:tc>
        <w:tc>
          <w:tcPr>
            <w:tcW w:w="1586" w:type="dxa"/>
          </w:tcPr>
          <w:p>
            <w:pPr>
              <w:pStyle w:val="TableParagraph"/>
              <w:spacing w:before="49"/>
              <w:ind w:left="198"/>
              <w:rPr>
                <w:b/>
                <w:sz w:val="21"/>
              </w:rPr>
            </w:pPr>
            <w:r>
              <w:rPr>
                <w:b/>
                <w:sz w:val="21"/>
              </w:rPr>
              <w:t>争议处理</w:t>
            </w:r>
          </w:p>
        </w:tc>
        <w:tc>
          <w:tcPr>
            <w:tcW w:w="7012" w:type="dxa"/>
          </w:tcPr>
          <w:p>
            <w:pPr>
              <w:pStyle w:val="TableParagraph"/>
              <w:spacing w:line="273" w:lineRule="auto" w:before="49"/>
              <w:ind w:left="117" w:right="106"/>
              <w:rPr>
                <w:sz w:val="21"/>
              </w:rPr>
            </w:pPr>
            <w:r>
              <w:rPr>
                <w:sz w:val="21"/>
              </w:rPr>
              <w:t>本合同履行过程中，双方发生争议的，由双方协商解决，协商不成的，按本合同约定向人民法院起诉或提交仲裁委员会仲裁。</w:t>
            </w:r>
          </w:p>
        </w:tc>
      </w:tr>
      <w:tr>
        <w:trPr>
          <w:trHeight w:val="311" w:hRule="atLeast"/>
        </w:trPr>
        <w:tc>
          <w:tcPr>
            <w:tcW w:w="946" w:type="dxa"/>
            <w:shd w:val="clear" w:color="auto" w:fill="A7A8A7"/>
          </w:tcPr>
          <w:p>
            <w:pPr>
              <w:pStyle w:val="TableParagraph"/>
              <w:spacing w:line="254" w:lineRule="exact"/>
              <w:ind w:left="108"/>
              <w:rPr>
                <w:b/>
                <w:sz w:val="21"/>
              </w:rPr>
            </w:pPr>
            <w:r>
              <w:rPr>
                <w:b/>
                <w:sz w:val="21"/>
              </w:rPr>
              <w:t>10．</w:t>
            </w:r>
          </w:p>
        </w:tc>
        <w:tc>
          <w:tcPr>
            <w:tcW w:w="1586" w:type="dxa"/>
            <w:shd w:val="clear" w:color="auto" w:fill="A7A8A7"/>
          </w:tcPr>
          <w:p>
            <w:pPr>
              <w:pStyle w:val="TableParagraph"/>
              <w:spacing w:line="254" w:lineRule="exact"/>
              <w:ind w:left="333"/>
              <w:rPr>
                <w:b/>
                <w:sz w:val="21"/>
              </w:rPr>
            </w:pPr>
            <w:r>
              <w:rPr>
                <w:b/>
                <w:sz w:val="21"/>
              </w:rPr>
              <w:t>疾病的定义</w:t>
            </w:r>
          </w:p>
        </w:tc>
        <w:tc>
          <w:tcPr>
            <w:tcW w:w="7012" w:type="dxa"/>
            <w:shd w:val="clear" w:color="auto" w:fill="A7A8A7"/>
          </w:tcPr>
          <w:p>
            <w:pPr>
              <w:pStyle w:val="TableParagraph"/>
              <w:ind w:left="0"/>
              <w:rPr>
                <w:rFonts w:ascii="Times New Roman"/>
                <w:sz w:val="20"/>
              </w:rPr>
            </w:pPr>
          </w:p>
        </w:tc>
      </w:tr>
      <w:tr>
        <w:trPr>
          <w:trHeight w:val="1150" w:hRule="atLeast"/>
        </w:trPr>
        <w:tc>
          <w:tcPr>
            <w:tcW w:w="946" w:type="dxa"/>
          </w:tcPr>
          <w:p>
            <w:pPr>
              <w:pStyle w:val="TableParagraph"/>
              <w:spacing w:before="120"/>
              <w:ind w:left="108"/>
              <w:rPr>
                <w:b/>
                <w:sz w:val="21"/>
              </w:rPr>
            </w:pPr>
            <w:r>
              <w:rPr>
                <w:b/>
                <w:sz w:val="21"/>
              </w:rPr>
              <w:t>10.1</w:t>
            </w:r>
          </w:p>
        </w:tc>
        <w:tc>
          <w:tcPr>
            <w:tcW w:w="1586" w:type="dxa"/>
          </w:tcPr>
          <w:p>
            <w:pPr>
              <w:pStyle w:val="TableParagraph"/>
              <w:spacing w:line="273" w:lineRule="auto" w:before="120"/>
              <w:ind w:left="333" w:right="194"/>
              <w:rPr>
                <w:b/>
                <w:sz w:val="21"/>
              </w:rPr>
            </w:pPr>
            <w:r>
              <w:rPr>
                <w:b/>
                <w:sz w:val="21"/>
              </w:rPr>
              <w:t>妊娠疾病的定义</w:t>
            </w:r>
          </w:p>
        </w:tc>
        <w:tc>
          <w:tcPr>
            <w:tcW w:w="7012" w:type="dxa"/>
          </w:tcPr>
          <w:p>
            <w:pPr>
              <w:pStyle w:val="TableParagraph"/>
              <w:spacing w:before="120"/>
              <w:ind w:left="146"/>
              <w:rPr>
                <w:b/>
                <w:sz w:val="21"/>
              </w:rPr>
            </w:pPr>
            <w:r>
              <w:rPr>
                <w:sz w:val="21"/>
              </w:rPr>
              <w:t>本合同所保障的妊娠疾病,是指被保险人在本合同有效期间内经</w:t>
            </w:r>
            <w:r>
              <w:rPr>
                <w:b/>
                <w:sz w:val="21"/>
              </w:rPr>
              <w:t>专科医生</w:t>
            </w:r>
          </w:p>
          <w:p>
            <w:pPr>
              <w:pStyle w:val="TableParagraph"/>
              <w:spacing w:line="273" w:lineRule="auto" w:before="36"/>
              <w:ind w:left="144" w:right="105"/>
              <w:rPr>
                <w:sz w:val="21"/>
              </w:rPr>
            </w:pPr>
            <w:r>
              <w:rPr>
                <w:sz w:val="21"/>
              </w:rPr>
              <w:t>（详见释义）明确诊断初次患下列疾病或初次达到下列疾病状态或在医院初次接受下列手术:</w:t>
            </w:r>
          </w:p>
        </w:tc>
      </w:tr>
      <w:tr>
        <w:trPr>
          <w:trHeight w:val="1982" w:hRule="atLeast"/>
        </w:trPr>
        <w:tc>
          <w:tcPr>
            <w:tcW w:w="946" w:type="dxa"/>
          </w:tcPr>
          <w:p>
            <w:pPr>
              <w:pStyle w:val="TableParagraph"/>
              <w:spacing w:before="50"/>
              <w:ind w:left="108"/>
              <w:rPr>
                <w:b/>
                <w:sz w:val="21"/>
              </w:rPr>
            </w:pPr>
            <w:r>
              <w:rPr>
                <w:b/>
                <w:sz w:val="21"/>
              </w:rPr>
              <w:t>10.1.1</w:t>
            </w:r>
          </w:p>
        </w:tc>
        <w:tc>
          <w:tcPr>
            <w:tcW w:w="1586" w:type="dxa"/>
          </w:tcPr>
          <w:p>
            <w:pPr>
              <w:pStyle w:val="TableParagraph"/>
              <w:spacing w:line="273" w:lineRule="auto" w:before="50"/>
              <w:ind w:left="333" w:right="194"/>
              <w:rPr>
                <w:b/>
                <w:sz w:val="21"/>
              </w:rPr>
            </w:pPr>
            <w:r>
              <w:rPr>
                <w:b/>
                <w:sz w:val="21"/>
              </w:rPr>
              <w:t>弥漫性血管内凝血</w:t>
            </w:r>
          </w:p>
        </w:tc>
        <w:tc>
          <w:tcPr>
            <w:tcW w:w="7012" w:type="dxa"/>
          </w:tcPr>
          <w:p>
            <w:pPr>
              <w:pStyle w:val="TableParagraph"/>
              <w:spacing w:line="273" w:lineRule="auto" w:before="50"/>
              <w:ind w:left="144" w:right="140"/>
              <w:rPr>
                <w:sz w:val="21"/>
              </w:rPr>
            </w:pPr>
            <w:r>
              <w:rPr>
                <w:sz w:val="21"/>
              </w:rPr>
              <w:t>指妊娠所并发的致命性疾病，因凝血功能障碍导致全身性出血不止及器官损伤，需经专科医生确诊，并须满足下列至少三项条件：</w:t>
            </w:r>
          </w:p>
          <w:p>
            <w:pPr>
              <w:pStyle w:val="TableParagraph"/>
              <w:spacing w:line="294" w:lineRule="exact"/>
              <w:ind w:left="143"/>
              <w:rPr>
                <w:sz w:val="21"/>
              </w:rPr>
            </w:pPr>
            <w:r>
              <w:rPr>
                <w:sz w:val="21"/>
              </w:rPr>
              <w:t>(1)血小板计数&lt;100×</w:t>
            </w:r>
            <w:r>
              <w:rPr>
                <w:sz w:val="24"/>
              </w:rPr>
              <w:t>10</w:t>
            </w:r>
            <w:r>
              <w:rPr>
                <w:position w:val="12"/>
                <w:sz w:val="12"/>
              </w:rPr>
              <w:t>9</w:t>
            </w:r>
            <w:r>
              <w:rPr>
                <w:sz w:val="21"/>
              </w:rPr>
              <w:t>/L 或者呈进行性下降；</w:t>
            </w:r>
          </w:p>
          <w:p>
            <w:pPr>
              <w:pStyle w:val="TableParagraph"/>
              <w:spacing w:before="26"/>
              <w:ind w:left="144"/>
              <w:rPr>
                <w:sz w:val="21"/>
              </w:rPr>
            </w:pPr>
            <w:r>
              <w:rPr>
                <w:sz w:val="21"/>
              </w:rPr>
              <w:t>(2)血浆纤维蛋白原含量&lt;1.5g/L或者呈进行性下降, 或者&gt;4g/L；</w:t>
            </w:r>
          </w:p>
          <w:p>
            <w:pPr>
              <w:pStyle w:val="TableParagraph"/>
              <w:spacing w:before="37"/>
              <w:ind w:left="144"/>
              <w:rPr>
                <w:sz w:val="21"/>
              </w:rPr>
            </w:pPr>
            <w:r>
              <w:rPr>
                <w:sz w:val="21"/>
              </w:rPr>
              <w:t>(3)3P试验阳性或者血浆FDP&gt;20mg/L；</w:t>
            </w:r>
          </w:p>
          <w:p>
            <w:pPr>
              <w:pStyle w:val="TableParagraph"/>
              <w:spacing w:before="37"/>
              <w:ind w:left="144"/>
              <w:rPr>
                <w:sz w:val="21"/>
              </w:rPr>
            </w:pPr>
            <w:r>
              <w:rPr>
                <w:sz w:val="21"/>
              </w:rPr>
              <w:t>(4)凝血酶原时间&gt;15 秒或者超过对照组 3 秒以上。</w:t>
            </w:r>
          </w:p>
        </w:tc>
      </w:tr>
      <w:tr>
        <w:trPr>
          <w:trHeight w:val="757" w:hRule="atLeast"/>
        </w:trPr>
        <w:tc>
          <w:tcPr>
            <w:tcW w:w="946" w:type="dxa"/>
          </w:tcPr>
          <w:p>
            <w:pPr>
              <w:pStyle w:val="TableParagraph"/>
              <w:spacing w:before="16"/>
              <w:ind w:left="108"/>
              <w:rPr>
                <w:b/>
                <w:sz w:val="21"/>
              </w:rPr>
            </w:pPr>
            <w:r>
              <w:rPr>
                <w:b/>
                <w:sz w:val="21"/>
              </w:rPr>
              <w:t>10.1.2</w:t>
            </w:r>
          </w:p>
        </w:tc>
        <w:tc>
          <w:tcPr>
            <w:tcW w:w="1586" w:type="dxa"/>
          </w:tcPr>
          <w:p>
            <w:pPr>
              <w:pStyle w:val="TableParagraph"/>
              <w:spacing w:line="273" w:lineRule="auto" w:before="16"/>
              <w:ind w:left="333" w:right="194"/>
              <w:rPr>
                <w:b/>
                <w:sz w:val="21"/>
              </w:rPr>
            </w:pPr>
            <w:r>
              <w:rPr>
                <w:b/>
                <w:sz w:val="21"/>
              </w:rPr>
              <w:t>侵蚀性葡萄胎</w:t>
            </w:r>
          </w:p>
        </w:tc>
        <w:tc>
          <w:tcPr>
            <w:tcW w:w="7012" w:type="dxa"/>
          </w:tcPr>
          <w:p>
            <w:pPr>
              <w:pStyle w:val="TableParagraph"/>
              <w:spacing w:line="278" w:lineRule="auto" w:before="40"/>
              <w:ind w:left="143" w:right="104"/>
              <w:rPr>
                <w:sz w:val="21"/>
              </w:rPr>
            </w:pPr>
            <w:r>
              <w:rPr>
                <w:spacing w:val="-16"/>
                <w:sz w:val="21"/>
              </w:rPr>
              <w:t>又称“恶性葡萄胎”，指异常增生的绒毛组织浸润性生长浸入子宫肌层或者</w:t>
            </w:r>
            <w:r>
              <w:rPr>
                <w:spacing w:val="-7"/>
                <w:sz w:val="21"/>
              </w:rPr>
              <w:t>转移至其他器官或者组织的葡萄胎，并已经进行化疗或者手术治疗的。</w:t>
            </w:r>
          </w:p>
        </w:tc>
      </w:tr>
      <w:tr>
        <w:trPr>
          <w:trHeight w:val="1102" w:hRule="atLeast"/>
        </w:trPr>
        <w:tc>
          <w:tcPr>
            <w:tcW w:w="946" w:type="dxa"/>
          </w:tcPr>
          <w:p>
            <w:pPr>
              <w:pStyle w:val="TableParagraph"/>
              <w:spacing w:before="41"/>
              <w:ind w:left="108"/>
              <w:rPr>
                <w:b/>
                <w:sz w:val="21"/>
              </w:rPr>
            </w:pPr>
            <w:r>
              <w:rPr>
                <w:b/>
                <w:sz w:val="21"/>
              </w:rPr>
              <w:t>10.1.3</w:t>
            </w:r>
          </w:p>
        </w:tc>
        <w:tc>
          <w:tcPr>
            <w:tcW w:w="1586" w:type="dxa"/>
          </w:tcPr>
          <w:p>
            <w:pPr>
              <w:pStyle w:val="TableParagraph"/>
              <w:spacing w:line="273" w:lineRule="auto" w:before="41"/>
              <w:ind w:left="333" w:right="194"/>
              <w:rPr>
                <w:b/>
                <w:sz w:val="21"/>
              </w:rPr>
            </w:pPr>
            <w:r>
              <w:rPr>
                <w:b/>
                <w:sz w:val="21"/>
              </w:rPr>
              <w:t>胎盘早期脱离</w:t>
            </w:r>
          </w:p>
        </w:tc>
        <w:tc>
          <w:tcPr>
            <w:tcW w:w="7012" w:type="dxa"/>
          </w:tcPr>
          <w:p>
            <w:pPr>
              <w:pStyle w:val="TableParagraph"/>
              <w:spacing w:line="266" w:lineRule="auto" w:before="65"/>
              <w:ind w:left="143" w:right="104"/>
              <w:jc w:val="both"/>
              <w:rPr>
                <w:sz w:val="21"/>
              </w:rPr>
            </w:pPr>
            <w:r>
              <w:rPr>
                <w:sz w:val="21"/>
              </w:rPr>
              <w:t>指怀孕满二十周后，胎盘于胎儿产出前先行脱离，以致胎儿窘迫或者母体</w:t>
            </w:r>
            <w:r>
              <w:rPr>
                <w:spacing w:val="-8"/>
                <w:sz w:val="21"/>
              </w:rPr>
              <w:t>休克。胎盘早期脱离需达重型</w:t>
            </w:r>
            <w:r>
              <w:rPr>
                <w:spacing w:val="-3"/>
                <w:sz w:val="21"/>
              </w:rPr>
              <w:t>（</w:t>
            </w:r>
            <w:r>
              <w:rPr>
                <w:spacing w:val="-22"/>
                <w:sz w:val="21"/>
              </w:rPr>
              <w:t>或 </w:t>
            </w:r>
            <w:r>
              <w:rPr>
                <w:rFonts w:ascii="Calibri" w:hAnsi="Calibri" w:eastAsia="Calibri"/>
                <w:sz w:val="21"/>
              </w:rPr>
              <w:t>Sher </w:t>
            </w:r>
            <w:r>
              <w:rPr>
                <w:spacing w:val="-9"/>
                <w:sz w:val="21"/>
              </w:rPr>
              <w:t>Ⅱ、Ⅲ度</w:t>
            </w:r>
            <w:r>
              <w:rPr>
                <w:spacing w:val="-22"/>
                <w:sz w:val="21"/>
              </w:rPr>
              <w:t>）</w:t>
            </w:r>
            <w:r>
              <w:rPr>
                <w:spacing w:val="-3"/>
                <w:sz w:val="21"/>
              </w:rPr>
              <w:t>的脱离而施以紧急剖腹产手术，且需经专科医生确诊。</w:t>
            </w:r>
          </w:p>
        </w:tc>
      </w:tr>
      <w:tr>
        <w:trPr>
          <w:trHeight w:val="3894" w:hRule="atLeast"/>
        </w:trPr>
        <w:tc>
          <w:tcPr>
            <w:tcW w:w="946" w:type="dxa"/>
          </w:tcPr>
          <w:p>
            <w:pPr>
              <w:pStyle w:val="TableParagraph"/>
              <w:spacing w:before="40"/>
              <w:ind w:left="108"/>
              <w:rPr>
                <w:b/>
                <w:sz w:val="21"/>
              </w:rPr>
            </w:pPr>
            <w:r>
              <w:rPr>
                <w:b/>
                <w:sz w:val="21"/>
              </w:rPr>
              <w:t>10.1.4</w:t>
            </w:r>
          </w:p>
        </w:tc>
        <w:tc>
          <w:tcPr>
            <w:tcW w:w="1586" w:type="dxa"/>
          </w:tcPr>
          <w:p>
            <w:pPr>
              <w:pStyle w:val="TableParagraph"/>
              <w:spacing w:before="40"/>
              <w:ind w:left="333"/>
              <w:rPr>
                <w:b/>
                <w:sz w:val="21"/>
              </w:rPr>
            </w:pPr>
            <w:r>
              <w:rPr>
                <w:b/>
                <w:sz w:val="21"/>
              </w:rPr>
              <w:t>子痫症</w:t>
            </w:r>
          </w:p>
        </w:tc>
        <w:tc>
          <w:tcPr>
            <w:tcW w:w="7012" w:type="dxa"/>
          </w:tcPr>
          <w:p>
            <w:pPr>
              <w:pStyle w:val="TableParagraph"/>
              <w:spacing w:line="273" w:lineRule="auto" w:before="40"/>
              <w:ind w:left="144" w:right="105"/>
              <w:jc w:val="both"/>
              <w:rPr>
                <w:sz w:val="21"/>
              </w:rPr>
            </w:pPr>
            <w:r>
              <w:rPr>
                <w:spacing w:val="-6"/>
                <w:sz w:val="21"/>
              </w:rPr>
              <w:t>又称“重度妊娠高血压综合症”，指血压持续高于</w:t>
            </w:r>
            <w:r>
              <w:rPr>
                <w:sz w:val="21"/>
              </w:rPr>
              <w:t>160mmHg/110mmHg</w:t>
            </w:r>
            <w:r>
              <w:rPr>
                <w:spacing w:val="-13"/>
                <w:sz w:val="21"/>
              </w:rPr>
              <w:t>、蛋白尿≧5g/24h</w:t>
            </w:r>
            <w:r>
              <w:rPr>
                <w:spacing w:val="-3"/>
                <w:sz w:val="21"/>
              </w:rPr>
              <w:t> 或者尿常规中蛋白</w:t>
            </w:r>
            <w:r>
              <w:rPr>
                <w:sz w:val="21"/>
              </w:rPr>
              <w:t>（++）-（++++）</w:t>
            </w:r>
            <w:r>
              <w:rPr>
                <w:spacing w:val="-3"/>
                <w:sz w:val="21"/>
              </w:rPr>
              <w:t>和（</w:t>
            </w:r>
            <w:r>
              <w:rPr>
                <w:sz w:val="21"/>
              </w:rPr>
              <w:t>或者</w:t>
            </w:r>
            <w:r>
              <w:rPr>
                <w:spacing w:val="-3"/>
                <w:sz w:val="21"/>
              </w:rPr>
              <w:t>）伴水肿，有头痛等自觉症状，并且有抽搐或者昏迷。需经专科医生确诊，并须满足下列至少两项条件：</w:t>
            </w:r>
          </w:p>
          <w:p>
            <w:pPr>
              <w:pStyle w:val="TableParagraph"/>
              <w:spacing w:before="7"/>
              <w:ind w:left="144"/>
              <w:jc w:val="both"/>
              <w:rPr>
                <w:sz w:val="21"/>
              </w:rPr>
            </w:pPr>
            <w:r>
              <w:rPr>
                <w:sz w:val="21"/>
              </w:rPr>
              <w:t>(1)血肌酐升高（﹥1.6mg%）；</w:t>
            </w:r>
          </w:p>
          <w:p>
            <w:pPr>
              <w:pStyle w:val="TableParagraph"/>
              <w:spacing w:before="36"/>
              <w:ind w:left="144"/>
              <w:jc w:val="both"/>
              <w:rPr>
                <w:sz w:val="21"/>
              </w:rPr>
            </w:pPr>
            <w:r>
              <w:rPr>
                <w:sz w:val="21"/>
              </w:rPr>
              <w:t>(2)少尿（24 小时总尿量少于500 毫升）；</w:t>
            </w:r>
          </w:p>
          <w:p>
            <w:pPr>
              <w:pStyle w:val="TableParagraph"/>
              <w:spacing w:before="36"/>
              <w:ind w:left="144"/>
              <w:jc w:val="both"/>
              <w:rPr>
                <w:sz w:val="21"/>
              </w:rPr>
            </w:pPr>
            <w:r>
              <w:rPr>
                <w:sz w:val="21"/>
              </w:rPr>
              <w:t>(3)出现神经系统的异常或者视力异常；</w:t>
            </w:r>
          </w:p>
          <w:p>
            <w:pPr>
              <w:pStyle w:val="TableParagraph"/>
              <w:spacing w:before="36"/>
              <w:ind w:left="144"/>
              <w:jc w:val="both"/>
              <w:rPr>
                <w:sz w:val="21"/>
              </w:rPr>
            </w:pPr>
            <w:r>
              <w:rPr>
                <w:sz w:val="21"/>
              </w:rPr>
              <w:t>(4)肺水肿；</w:t>
            </w:r>
          </w:p>
          <w:p>
            <w:pPr>
              <w:pStyle w:val="TableParagraph"/>
              <w:spacing w:before="36"/>
              <w:ind w:left="144"/>
              <w:jc w:val="both"/>
              <w:rPr>
                <w:sz w:val="21"/>
              </w:rPr>
            </w:pPr>
            <w:r>
              <w:rPr>
                <w:sz w:val="21"/>
              </w:rPr>
              <w:t>(5)黄疸进行性加重；</w:t>
            </w:r>
          </w:p>
          <w:p>
            <w:pPr>
              <w:pStyle w:val="TableParagraph"/>
              <w:spacing w:before="36"/>
              <w:ind w:left="144"/>
              <w:jc w:val="both"/>
              <w:rPr>
                <w:sz w:val="21"/>
              </w:rPr>
            </w:pPr>
            <w:r>
              <w:rPr>
                <w:sz w:val="21"/>
              </w:rPr>
              <w:t>(6)胎儿宫内死亡；</w:t>
            </w:r>
          </w:p>
          <w:p>
            <w:pPr>
              <w:pStyle w:val="TableParagraph"/>
              <w:spacing w:before="9"/>
              <w:ind w:left="144"/>
              <w:jc w:val="both"/>
              <w:rPr>
                <w:sz w:val="21"/>
              </w:rPr>
            </w:pPr>
            <w:r>
              <w:rPr>
                <w:sz w:val="21"/>
              </w:rPr>
              <w:t>(7)血小板计数&lt;100×</w:t>
            </w:r>
            <w:r>
              <w:rPr>
                <w:sz w:val="24"/>
              </w:rPr>
              <w:t>10</w:t>
            </w:r>
            <w:r>
              <w:rPr>
                <w:position w:val="12"/>
                <w:sz w:val="12"/>
              </w:rPr>
              <w:t>9</w:t>
            </w:r>
            <w:r>
              <w:rPr>
                <w:sz w:val="21"/>
              </w:rPr>
              <w:t>/L；</w:t>
            </w:r>
          </w:p>
          <w:p>
            <w:pPr>
              <w:pStyle w:val="TableParagraph"/>
              <w:spacing w:before="49"/>
              <w:ind w:left="144"/>
              <w:jc w:val="both"/>
              <w:rPr>
                <w:sz w:val="21"/>
              </w:rPr>
            </w:pPr>
            <w:r>
              <w:rPr>
                <w:sz w:val="21"/>
              </w:rPr>
              <w:t>(8)HELLP</w:t>
            </w:r>
            <w:r>
              <w:rPr>
                <w:spacing w:val="-9"/>
                <w:sz w:val="21"/>
              </w:rPr>
              <w:t> 综合征</w:t>
            </w:r>
            <w:r>
              <w:rPr>
                <w:spacing w:val="-3"/>
                <w:sz w:val="21"/>
              </w:rPr>
              <w:t>（合并溶血、转氨酶升高、血小板减少</w:t>
            </w:r>
            <w:r>
              <w:rPr>
                <w:spacing w:val="-108"/>
                <w:sz w:val="21"/>
              </w:rPr>
              <w:t>）</w:t>
            </w:r>
            <w:r>
              <w:rPr>
                <w:sz w:val="21"/>
              </w:rPr>
              <w:t>。</w:t>
            </w:r>
          </w:p>
        </w:tc>
      </w:tr>
      <w:tr>
        <w:trPr>
          <w:trHeight w:val="1101" w:hRule="atLeast"/>
        </w:trPr>
        <w:tc>
          <w:tcPr>
            <w:tcW w:w="946" w:type="dxa"/>
          </w:tcPr>
          <w:p>
            <w:pPr>
              <w:pStyle w:val="TableParagraph"/>
              <w:spacing w:before="41"/>
              <w:ind w:left="108"/>
              <w:rPr>
                <w:b/>
                <w:sz w:val="21"/>
              </w:rPr>
            </w:pPr>
            <w:r>
              <w:rPr>
                <w:b/>
                <w:sz w:val="21"/>
              </w:rPr>
              <w:t>10.1.5</w:t>
            </w:r>
          </w:p>
        </w:tc>
        <w:tc>
          <w:tcPr>
            <w:tcW w:w="1586" w:type="dxa"/>
          </w:tcPr>
          <w:p>
            <w:pPr>
              <w:pStyle w:val="TableParagraph"/>
              <w:spacing w:before="41"/>
              <w:ind w:left="333"/>
              <w:rPr>
                <w:b/>
                <w:sz w:val="21"/>
              </w:rPr>
            </w:pPr>
            <w:r>
              <w:rPr>
                <w:b/>
                <w:sz w:val="21"/>
              </w:rPr>
              <w:t>羊水栓塞</w:t>
            </w:r>
          </w:p>
        </w:tc>
        <w:tc>
          <w:tcPr>
            <w:tcW w:w="7012" w:type="dxa"/>
          </w:tcPr>
          <w:p>
            <w:pPr>
              <w:pStyle w:val="TableParagraph"/>
              <w:spacing w:line="278" w:lineRule="auto" w:before="65"/>
              <w:ind w:left="144" w:right="105"/>
              <w:jc w:val="both"/>
              <w:rPr>
                <w:sz w:val="21"/>
              </w:rPr>
            </w:pPr>
            <w:r>
              <w:rPr>
                <w:sz w:val="21"/>
              </w:rPr>
              <w:t>指因羊水进入母体循环所导致的急性呼吸窘迫或者休克。需经专科医生确诊，且必须提供有呼吸困难、凝血功能障碍、休克等相关医学证明文件， 并经胸部 X 光检查或者血液沉淀试验证实。</w:t>
            </w:r>
          </w:p>
        </w:tc>
      </w:tr>
      <w:tr>
        <w:trPr>
          <w:trHeight w:val="668" w:hRule="atLeast"/>
        </w:trPr>
        <w:tc>
          <w:tcPr>
            <w:tcW w:w="946" w:type="dxa"/>
          </w:tcPr>
          <w:p>
            <w:pPr>
              <w:pStyle w:val="TableParagraph"/>
              <w:spacing w:before="41"/>
              <w:ind w:left="108"/>
              <w:rPr>
                <w:b/>
                <w:sz w:val="21"/>
              </w:rPr>
            </w:pPr>
            <w:r>
              <w:rPr>
                <w:b/>
                <w:sz w:val="21"/>
              </w:rPr>
              <w:t>10.1.6</w:t>
            </w:r>
          </w:p>
        </w:tc>
        <w:tc>
          <w:tcPr>
            <w:tcW w:w="1586" w:type="dxa"/>
          </w:tcPr>
          <w:p>
            <w:pPr>
              <w:pStyle w:val="TableParagraph"/>
              <w:spacing w:before="41"/>
              <w:ind w:left="333"/>
              <w:rPr>
                <w:b/>
                <w:sz w:val="21"/>
              </w:rPr>
            </w:pPr>
            <w:r>
              <w:rPr>
                <w:b/>
                <w:sz w:val="21"/>
              </w:rPr>
              <w:t>宫外孕</w:t>
            </w:r>
          </w:p>
        </w:tc>
        <w:tc>
          <w:tcPr>
            <w:tcW w:w="7012" w:type="dxa"/>
          </w:tcPr>
          <w:p>
            <w:pPr>
              <w:pStyle w:val="TableParagraph"/>
              <w:spacing w:line="320" w:lineRule="atLeast" w:before="20"/>
              <w:ind w:left="144" w:right="105"/>
              <w:rPr>
                <w:sz w:val="21"/>
              </w:rPr>
            </w:pPr>
            <w:r>
              <w:rPr>
                <w:sz w:val="21"/>
              </w:rPr>
              <w:t>是指受精卵种植在子宫体腔以外部位的妊娠，需经专科医生确诊且需经剖腹或腹腔镜手术治疗。</w:t>
            </w:r>
          </w:p>
        </w:tc>
      </w:tr>
    </w:tbl>
    <w:p>
      <w:pPr>
        <w:spacing w:after="0" w:line="320" w:lineRule="atLeast"/>
        <w:rPr>
          <w:sz w:val="21"/>
        </w:rPr>
        <w:sectPr>
          <w:pgSz w:w="11910" w:h="16840"/>
          <w:pgMar w:top="1460" w:bottom="280" w:left="1080" w:right="10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6"/>
        <w:gridCol w:w="1441"/>
        <w:gridCol w:w="7134"/>
      </w:tblGrid>
      <w:tr>
        <w:trPr>
          <w:trHeight w:val="956" w:hRule="atLeast"/>
        </w:trPr>
        <w:tc>
          <w:tcPr>
            <w:tcW w:w="1156" w:type="dxa"/>
          </w:tcPr>
          <w:p>
            <w:pPr>
              <w:pStyle w:val="TableParagraph"/>
              <w:spacing w:line="211" w:lineRule="exact"/>
              <w:ind w:left="200"/>
              <w:rPr>
                <w:b/>
                <w:sz w:val="21"/>
              </w:rPr>
            </w:pPr>
            <w:r>
              <w:rPr>
                <w:b/>
                <w:sz w:val="21"/>
              </w:rPr>
              <w:t>10.2</w:t>
            </w:r>
          </w:p>
        </w:tc>
        <w:tc>
          <w:tcPr>
            <w:tcW w:w="1441" w:type="dxa"/>
          </w:tcPr>
          <w:p>
            <w:pPr>
              <w:pStyle w:val="TableParagraph"/>
              <w:spacing w:line="211" w:lineRule="exact"/>
              <w:ind w:left="215"/>
              <w:rPr>
                <w:b/>
                <w:sz w:val="21"/>
              </w:rPr>
            </w:pPr>
            <w:r>
              <w:rPr>
                <w:b/>
                <w:sz w:val="21"/>
              </w:rPr>
              <w:t>先天性疾病</w:t>
            </w:r>
          </w:p>
          <w:p>
            <w:pPr>
              <w:pStyle w:val="TableParagraph"/>
              <w:spacing w:before="37"/>
              <w:ind w:left="215"/>
              <w:rPr>
                <w:b/>
                <w:sz w:val="21"/>
              </w:rPr>
            </w:pPr>
            <w:r>
              <w:rPr>
                <w:b/>
                <w:sz w:val="21"/>
              </w:rPr>
              <w:t>的定义</w:t>
            </w:r>
          </w:p>
        </w:tc>
        <w:tc>
          <w:tcPr>
            <w:tcW w:w="7134" w:type="dxa"/>
          </w:tcPr>
          <w:p>
            <w:pPr>
              <w:pStyle w:val="TableParagraph"/>
              <w:spacing w:line="211" w:lineRule="exact"/>
              <w:ind w:left="173"/>
              <w:rPr>
                <w:sz w:val="21"/>
              </w:rPr>
            </w:pPr>
            <w:r>
              <w:rPr>
                <w:sz w:val="21"/>
              </w:rPr>
              <w:t>本合同所保障的先天性疾病,是指被保险人在本合同有效期间内经专科医</w:t>
            </w:r>
          </w:p>
          <w:p>
            <w:pPr>
              <w:pStyle w:val="TableParagraph"/>
              <w:spacing w:line="273" w:lineRule="auto" w:before="37"/>
              <w:ind w:right="200"/>
              <w:rPr>
                <w:sz w:val="21"/>
              </w:rPr>
            </w:pPr>
            <w:r>
              <w:rPr>
                <w:sz w:val="21"/>
              </w:rPr>
              <w:t>生明确诊断初次患下列疾病或初次达到下列疾病状态或在医院初次接受下列手术:</w:t>
            </w:r>
          </w:p>
        </w:tc>
      </w:tr>
      <w:tr>
        <w:trPr>
          <w:trHeight w:val="1389" w:hRule="atLeast"/>
        </w:trPr>
        <w:tc>
          <w:tcPr>
            <w:tcW w:w="1156" w:type="dxa"/>
          </w:tcPr>
          <w:p>
            <w:pPr>
              <w:pStyle w:val="TableParagraph"/>
              <w:spacing w:before="57"/>
              <w:ind w:left="200"/>
              <w:rPr>
                <w:b/>
                <w:sz w:val="21"/>
              </w:rPr>
            </w:pPr>
            <w:r>
              <w:rPr>
                <w:b/>
                <w:sz w:val="21"/>
              </w:rPr>
              <w:t>10.2.1</w:t>
            </w:r>
          </w:p>
        </w:tc>
        <w:tc>
          <w:tcPr>
            <w:tcW w:w="1441" w:type="dxa"/>
          </w:tcPr>
          <w:p>
            <w:pPr>
              <w:pStyle w:val="TableParagraph"/>
              <w:spacing w:line="273" w:lineRule="auto" w:before="57"/>
              <w:ind w:left="215" w:right="167"/>
              <w:rPr>
                <w:b/>
                <w:sz w:val="21"/>
              </w:rPr>
            </w:pPr>
            <w:r>
              <w:rPr>
                <w:b/>
                <w:sz w:val="21"/>
              </w:rPr>
              <w:t>脊柱裂或颅裂</w:t>
            </w:r>
          </w:p>
        </w:tc>
        <w:tc>
          <w:tcPr>
            <w:tcW w:w="7134" w:type="dxa"/>
          </w:tcPr>
          <w:p>
            <w:pPr>
              <w:pStyle w:val="TableParagraph"/>
              <w:spacing w:line="273" w:lineRule="auto" w:before="57"/>
              <w:ind w:left="171" w:right="199"/>
              <w:jc w:val="both"/>
              <w:rPr>
                <w:sz w:val="21"/>
              </w:rPr>
            </w:pPr>
            <w:r>
              <w:rPr>
                <w:sz w:val="21"/>
              </w:rPr>
              <w:t>指脊椎或颅骨不完全闭合，导致脊髓脊膜突出、脊膜突出，合并大小便失禁，部分或完全性下肢瘫痪或畸形等神经学上的异常，或脑膜突出或脑膨</w:t>
            </w:r>
            <w:r>
              <w:rPr>
                <w:spacing w:val="-8"/>
                <w:sz w:val="21"/>
              </w:rPr>
              <w:t>出，但不包括由 </w:t>
            </w:r>
            <w:r>
              <w:rPr>
                <w:sz w:val="21"/>
              </w:rPr>
              <w:t>X</w:t>
            </w:r>
            <w:r>
              <w:rPr>
                <w:spacing w:val="-4"/>
                <w:sz w:val="21"/>
              </w:rPr>
              <w:t> 线摄片发现的没有合并脊椎脊膜突出或脑</w:t>
            </w:r>
            <w:r>
              <w:rPr>
                <w:spacing w:val="-3"/>
                <w:sz w:val="21"/>
              </w:rPr>
              <w:t>（脊</w:t>
            </w:r>
            <w:r>
              <w:rPr>
                <w:spacing w:val="-5"/>
                <w:sz w:val="21"/>
              </w:rPr>
              <w:t>）</w:t>
            </w:r>
            <w:r>
              <w:rPr>
                <w:spacing w:val="-2"/>
                <w:sz w:val="21"/>
              </w:rPr>
              <w:t>膜突出</w:t>
            </w:r>
            <w:r>
              <w:rPr>
                <w:spacing w:val="-3"/>
                <w:sz w:val="21"/>
              </w:rPr>
              <w:t>的隐形脊椎裂或隐形颅裂。</w:t>
            </w:r>
          </w:p>
        </w:tc>
      </w:tr>
      <w:tr>
        <w:trPr>
          <w:trHeight w:val="1077" w:hRule="atLeast"/>
        </w:trPr>
        <w:tc>
          <w:tcPr>
            <w:tcW w:w="1156" w:type="dxa"/>
          </w:tcPr>
          <w:p>
            <w:pPr>
              <w:pStyle w:val="TableParagraph"/>
              <w:spacing w:before="57"/>
              <w:ind w:left="200"/>
              <w:rPr>
                <w:b/>
                <w:sz w:val="21"/>
              </w:rPr>
            </w:pPr>
            <w:r>
              <w:rPr>
                <w:b/>
                <w:sz w:val="21"/>
              </w:rPr>
              <w:t>10.2.2</w:t>
            </w:r>
          </w:p>
        </w:tc>
        <w:tc>
          <w:tcPr>
            <w:tcW w:w="1441" w:type="dxa"/>
          </w:tcPr>
          <w:p>
            <w:pPr>
              <w:pStyle w:val="TableParagraph"/>
              <w:spacing w:line="273" w:lineRule="auto" w:before="57"/>
              <w:ind w:left="215" w:right="167"/>
              <w:rPr>
                <w:b/>
                <w:sz w:val="21"/>
              </w:rPr>
            </w:pPr>
            <w:r>
              <w:rPr>
                <w:b/>
                <w:sz w:val="21"/>
              </w:rPr>
              <w:t>永久性脑脊液分流术</w:t>
            </w:r>
          </w:p>
        </w:tc>
        <w:tc>
          <w:tcPr>
            <w:tcW w:w="7134" w:type="dxa"/>
          </w:tcPr>
          <w:p>
            <w:pPr>
              <w:pStyle w:val="TableParagraph"/>
              <w:spacing w:line="273" w:lineRule="auto" w:before="57"/>
              <w:ind w:left="171" w:right="235"/>
              <w:jc w:val="both"/>
              <w:rPr>
                <w:sz w:val="21"/>
              </w:rPr>
            </w:pPr>
            <w:r>
              <w:rPr>
                <w:sz w:val="21"/>
              </w:rPr>
              <w:t>因先天性脑积水即指先天性的脑脊液循环或吸收功能障碍，使脑脊液大量积滞而导致脑室或蛛网膜下腔扩大，经明确的影像学检查显示脑室扩大而接受的永久性脑脊液分流手术。</w:t>
            </w:r>
          </w:p>
        </w:tc>
      </w:tr>
      <w:tr>
        <w:trPr>
          <w:trHeight w:val="2326" w:hRule="atLeast"/>
        </w:trPr>
        <w:tc>
          <w:tcPr>
            <w:tcW w:w="1156" w:type="dxa"/>
          </w:tcPr>
          <w:p>
            <w:pPr>
              <w:pStyle w:val="TableParagraph"/>
              <w:spacing w:before="57"/>
              <w:ind w:left="200"/>
              <w:rPr>
                <w:b/>
                <w:sz w:val="21"/>
              </w:rPr>
            </w:pPr>
            <w:r>
              <w:rPr>
                <w:b/>
                <w:sz w:val="21"/>
              </w:rPr>
              <w:t>10.2.3</w:t>
            </w:r>
          </w:p>
        </w:tc>
        <w:tc>
          <w:tcPr>
            <w:tcW w:w="1441" w:type="dxa"/>
          </w:tcPr>
          <w:p>
            <w:pPr>
              <w:pStyle w:val="TableParagraph"/>
              <w:spacing w:line="273" w:lineRule="auto" w:before="57"/>
              <w:ind w:left="215" w:right="167"/>
              <w:rPr>
                <w:b/>
                <w:sz w:val="21"/>
              </w:rPr>
            </w:pPr>
            <w:r>
              <w:rPr>
                <w:b/>
                <w:sz w:val="21"/>
              </w:rPr>
              <w:t>法乐氏四联症</w:t>
            </w:r>
          </w:p>
        </w:tc>
        <w:tc>
          <w:tcPr>
            <w:tcW w:w="7134" w:type="dxa"/>
          </w:tcPr>
          <w:p>
            <w:pPr>
              <w:pStyle w:val="TableParagraph"/>
              <w:spacing w:line="273" w:lineRule="auto" w:before="57"/>
              <w:ind w:left="171" w:right="199"/>
              <w:jc w:val="both"/>
              <w:rPr>
                <w:sz w:val="21"/>
              </w:rPr>
            </w:pPr>
            <w:r>
              <w:rPr>
                <w:spacing w:val="-3"/>
                <w:sz w:val="21"/>
              </w:rPr>
              <w:t>指因心脏的解剖学异常，导致右心室流出道梗阻引起的紫绀型先天性心脏</w:t>
            </w:r>
            <w:r>
              <w:rPr>
                <w:spacing w:val="-8"/>
                <w:sz w:val="21"/>
              </w:rPr>
              <w:t>病。须由超声心动、或核磁共振检查</w:t>
            </w:r>
            <w:r>
              <w:rPr>
                <w:spacing w:val="-3"/>
                <w:sz w:val="21"/>
              </w:rPr>
              <w:t>（MRI）</w:t>
            </w:r>
            <w:r>
              <w:rPr>
                <w:spacing w:val="-5"/>
                <w:sz w:val="21"/>
              </w:rPr>
              <w:t>、或心血管造影等影像学检查</w:t>
            </w:r>
            <w:r>
              <w:rPr>
                <w:spacing w:val="-4"/>
                <w:sz w:val="21"/>
              </w:rPr>
              <w:t>证实，同时存在以下四种心脏病理或心脏结构改变：</w:t>
            </w:r>
          </w:p>
          <w:p>
            <w:pPr>
              <w:pStyle w:val="TableParagraph"/>
              <w:spacing w:before="7"/>
              <w:ind w:left="171"/>
              <w:jc w:val="both"/>
              <w:rPr>
                <w:sz w:val="21"/>
              </w:rPr>
            </w:pPr>
            <w:r>
              <w:rPr>
                <w:sz w:val="21"/>
              </w:rPr>
              <w:t>(1)右心室流出道狭窄（肺动脉狭窄）；</w:t>
            </w:r>
          </w:p>
          <w:p>
            <w:pPr>
              <w:pStyle w:val="TableParagraph"/>
              <w:spacing w:before="37"/>
              <w:jc w:val="both"/>
              <w:rPr>
                <w:sz w:val="21"/>
              </w:rPr>
            </w:pPr>
            <w:r>
              <w:rPr>
                <w:sz w:val="21"/>
              </w:rPr>
              <w:t>(2)室间隔缺损；</w:t>
            </w:r>
          </w:p>
          <w:p>
            <w:pPr>
              <w:pStyle w:val="TableParagraph"/>
              <w:spacing w:before="37"/>
              <w:jc w:val="both"/>
              <w:rPr>
                <w:sz w:val="21"/>
              </w:rPr>
            </w:pPr>
            <w:r>
              <w:rPr>
                <w:sz w:val="21"/>
              </w:rPr>
              <w:t>(3)主动脉骑跨于左右心室；</w:t>
            </w:r>
          </w:p>
          <w:p>
            <w:pPr>
              <w:pStyle w:val="TableParagraph"/>
              <w:spacing w:before="37"/>
              <w:ind w:left="171"/>
              <w:jc w:val="both"/>
              <w:rPr>
                <w:sz w:val="21"/>
              </w:rPr>
            </w:pPr>
            <w:r>
              <w:rPr>
                <w:sz w:val="21"/>
              </w:rPr>
              <w:t>(4)右心室肥厚。</w:t>
            </w:r>
          </w:p>
        </w:tc>
      </w:tr>
      <w:tr>
        <w:trPr>
          <w:trHeight w:val="1390" w:hRule="atLeast"/>
        </w:trPr>
        <w:tc>
          <w:tcPr>
            <w:tcW w:w="1156" w:type="dxa"/>
          </w:tcPr>
          <w:p>
            <w:pPr>
              <w:pStyle w:val="TableParagraph"/>
              <w:spacing w:before="58"/>
              <w:ind w:left="200"/>
              <w:rPr>
                <w:b/>
                <w:sz w:val="21"/>
              </w:rPr>
            </w:pPr>
            <w:r>
              <w:rPr>
                <w:b/>
                <w:sz w:val="21"/>
              </w:rPr>
              <w:t>10.2.4</w:t>
            </w:r>
          </w:p>
        </w:tc>
        <w:tc>
          <w:tcPr>
            <w:tcW w:w="1441" w:type="dxa"/>
          </w:tcPr>
          <w:p>
            <w:pPr>
              <w:pStyle w:val="TableParagraph"/>
              <w:spacing w:line="273" w:lineRule="auto" w:before="58"/>
              <w:ind w:left="215" w:right="167"/>
              <w:rPr>
                <w:b/>
                <w:sz w:val="21"/>
              </w:rPr>
            </w:pPr>
            <w:r>
              <w:rPr>
                <w:b/>
                <w:sz w:val="21"/>
              </w:rPr>
              <w:t>完全性大动脉转位</w:t>
            </w:r>
          </w:p>
        </w:tc>
        <w:tc>
          <w:tcPr>
            <w:tcW w:w="7134" w:type="dxa"/>
          </w:tcPr>
          <w:p>
            <w:pPr>
              <w:pStyle w:val="TableParagraph"/>
              <w:spacing w:line="273" w:lineRule="auto" w:before="58"/>
              <w:ind w:left="171" w:right="200"/>
              <w:jc w:val="both"/>
              <w:rPr>
                <w:sz w:val="21"/>
              </w:rPr>
            </w:pPr>
            <w:r>
              <w:rPr>
                <w:sz w:val="21"/>
              </w:rPr>
              <w:t>指因胚胎发育异常导致大动脉位置及它们与心室连接不一致的先天性心脏病，经超声心动或心导管及心血管造影检查证实：主动脉位于前方，起于右心室，接受体循环的静脉血；肺动脉位于后方，起于左心室，接受经肺循环氧和的动脉血。</w:t>
            </w:r>
          </w:p>
        </w:tc>
      </w:tr>
      <w:tr>
        <w:trPr>
          <w:trHeight w:val="1701" w:hRule="atLeast"/>
        </w:trPr>
        <w:tc>
          <w:tcPr>
            <w:tcW w:w="1156" w:type="dxa"/>
          </w:tcPr>
          <w:p>
            <w:pPr>
              <w:pStyle w:val="TableParagraph"/>
              <w:spacing w:before="57"/>
              <w:ind w:left="200"/>
              <w:rPr>
                <w:b/>
                <w:sz w:val="21"/>
              </w:rPr>
            </w:pPr>
            <w:r>
              <w:rPr>
                <w:b/>
                <w:sz w:val="21"/>
              </w:rPr>
              <w:t>10.2.5</w:t>
            </w:r>
          </w:p>
        </w:tc>
        <w:tc>
          <w:tcPr>
            <w:tcW w:w="1441" w:type="dxa"/>
          </w:tcPr>
          <w:p>
            <w:pPr>
              <w:pStyle w:val="TableParagraph"/>
              <w:spacing w:line="273" w:lineRule="auto" w:before="57"/>
              <w:ind w:left="215" w:right="167"/>
              <w:jc w:val="both"/>
              <w:rPr>
                <w:b/>
                <w:sz w:val="21"/>
              </w:rPr>
            </w:pPr>
            <w:r>
              <w:rPr>
                <w:b/>
                <w:sz w:val="21"/>
              </w:rPr>
              <w:t>先天性食管闭锁或食管气管瘘</w:t>
            </w:r>
          </w:p>
        </w:tc>
        <w:tc>
          <w:tcPr>
            <w:tcW w:w="7134" w:type="dxa"/>
          </w:tcPr>
          <w:p>
            <w:pPr>
              <w:pStyle w:val="TableParagraph"/>
              <w:spacing w:line="273" w:lineRule="auto" w:before="57"/>
              <w:ind w:left="171" w:right="238"/>
              <w:rPr>
                <w:sz w:val="21"/>
              </w:rPr>
            </w:pPr>
            <w:r>
              <w:rPr>
                <w:sz w:val="21"/>
              </w:rPr>
              <w:t>指因发育异常造成的食管通道不连贯，须经X线胃管检查或X线造影检查证实，存在下列情况之一者：</w:t>
            </w:r>
          </w:p>
          <w:p>
            <w:pPr>
              <w:pStyle w:val="TableParagraph"/>
              <w:spacing w:before="7"/>
              <w:ind w:left="171"/>
              <w:rPr>
                <w:sz w:val="21"/>
              </w:rPr>
            </w:pPr>
            <w:r>
              <w:rPr>
                <w:sz w:val="21"/>
              </w:rPr>
              <w:t>(1)食管闭锁，近端或远端或远近端为盲端，无瘘；</w:t>
            </w:r>
          </w:p>
          <w:p>
            <w:pPr>
              <w:pStyle w:val="TableParagraph"/>
              <w:spacing w:before="37"/>
              <w:rPr>
                <w:sz w:val="21"/>
              </w:rPr>
            </w:pPr>
            <w:r>
              <w:rPr>
                <w:sz w:val="21"/>
              </w:rPr>
              <w:t>(2)食管闭锁，近端或远端或远近端为盲端，有瘘与气管相通；</w:t>
            </w:r>
          </w:p>
          <w:p>
            <w:pPr>
              <w:pStyle w:val="TableParagraph"/>
              <w:spacing w:before="37"/>
              <w:rPr>
                <w:sz w:val="21"/>
              </w:rPr>
            </w:pPr>
            <w:r>
              <w:rPr>
                <w:sz w:val="21"/>
              </w:rPr>
              <w:t>(3)无食管闭锁，但有瘘与气管相通。</w:t>
            </w:r>
          </w:p>
        </w:tc>
      </w:tr>
      <w:tr>
        <w:trPr>
          <w:trHeight w:val="1171" w:hRule="atLeast"/>
        </w:trPr>
        <w:tc>
          <w:tcPr>
            <w:tcW w:w="1156" w:type="dxa"/>
          </w:tcPr>
          <w:p>
            <w:pPr>
              <w:pStyle w:val="TableParagraph"/>
              <w:spacing w:before="57"/>
              <w:ind w:left="200"/>
              <w:rPr>
                <w:b/>
                <w:sz w:val="21"/>
              </w:rPr>
            </w:pPr>
            <w:r>
              <w:rPr>
                <w:b/>
                <w:sz w:val="21"/>
              </w:rPr>
              <w:t>10.2.6</w:t>
            </w:r>
          </w:p>
        </w:tc>
        <w:tc>
          <w:tcPr>
            <w:tcW w:w="1441" w:type="dxa"/>
          </w:tcPr>
          <w:p>
            <w:pPr>
              <w:pStyle w:val="TableParagraph"/>
              <w:spacing w:before="57"/>
              <w:ind w:left="215"/>
              <w:rPr>
                <w:b/>
                <w:sz w:val="21"/>
              </w:rPr>
            </w:pPr>
            <w:r>
              <w:rPr>
                <w:b/>
                <w:sz w:val="21"/>
              </w:rPr>
              <w:t>唇腭裂</w:t>
            </w:r>
          </w:p>
        </w:tc>
        <w:tc>
          <w:tcPr>
            <w:tcW w:w="7134" w:type="dxa"/>
          </w:tcPr>
          <w:p>
            <w:pPr>
              <w:pStyle w:val="TableParagraph"/>
              <w:spacing w:line="273" w:lineRule="auto" w:before="57"/>
              <w:ind w:left="171" w:right="197"/>
              <w:rPr>
                <w:sz w:val="21"/>
              </w:rPr>
            </w:pPr>
            <w:r>
              <w:rPr>
                <w:sz w:val="21"/>
              </w:rPr>
              <w:t>指先天性唇、颚部裂口，且必须是先天性颚裂，或者唇裂、颚裂并存，须经专科医师明确诊断，并已行腭裂修复手术。</w:t>
            </w:r>
          </w:p>
          <w:p>
            <w:pPr>
              <w:pStyle w:val="TableParagraph"/>
              <w:spacing w:before="100"/>
              <w:rPr>
                <w:rFonts w:ascii="黑体" w:eastAsia="黑体" w:hint="eastAsia"/>
                <w:sz w:val="21"/>
              </w:rPr>
            </w:pPr>
            <w:r>
              <w:rPr>
                <w:rFonts w:ascii="黑体" w:eastAsia="黑体" w:hint="eastAsia"/>
                <w:sz w:val="21"/>
              </w:rPr>
              <w:t>单纯唇裂不在保障范围内。</w:t>
            </w:r>
          </w:p>
        </w:tc>
      </w:tr>
      <w:tr>
        <w:trPr>
          <w:trHeight w:val="1171" w:hRule="atLeast"/>
        </w:trPr>
        <w:tc>
          <w:tcPr>
            <w:tcW w:w="1156" w:type="dxa"/>
          </w:tcPr>
          <w:p>
            <w:pPr>
              <w:pStyle w:val="TableParagraph"/>
              <w:spacing w:before="57"/>
              <w:ind w:left="200"/>
              <w:rPr>
                <w:b/>
                <w:sz w:val="21"/>
              </w:rPr>
            </w:pPr>
            <w:r>
              <w:rPr>
                <w:b/>
                <w:sz w:val="21"/>
              </w:rPr>
              <w:t>10.2.7</w:t>
            </w:r>
          </w:p>
        </w:tc>
        <w:tc>
          <w:tcPr>
            <w:tcW w:w="1441" w:type="dxa"/>
          </w:tcPr>
          <w:p>
            <w:pPr>
              <w:pStyle w:val="TableParagraph"/>
              <w:spacing w:line="273" w:lineRule="auto" w:before="57"/>
              <w:ind w:left="215" w:right="167"/>
              <w:rPr>
                <w:b/>
                <w:sz w:val="21"/>
              </w:rPr>
            </w:pPr>
            <w:r>
              <w:rPr>
                <w:b/>
                <w:sz w:val="21"/>
              </w:rPr>
              <w:t>先天性肛门闭锁</w:t>
            </w:r>
          </w:p>
        </w:tc>
        <w:tc>
          <w:tcPr>
            <w:tcW w:w="7134" w:type="dxa"/>
          </w:tcPr>
          <w:p>
            <w:pPr>
              <w:pStyle w:val="TableParagraph"/>
              <w:spacing w:line="273" w:lineRule="auto" w:before="57"/>
              <w:ind w:left="171" w:right="235"/>
              <w:rPr>
                <w:sz w:val="21"/>
              </w:rPr>
            </w:pPr>
            <w:r>
              <w:rPr>
                <w:sz w:val="21"/>
              </w:rPr>
              <w:t>指先天性会阴部肛门缺如，是消化道畸形中最常见的疾病，须经专科医师明确诊断，且已行肛门直肠成形术。</w:t>
            </w:r>
          </w:p>
          <w:p>
            <w:pPr>
              <w:pStyle w:val="TableParagraph"/>
              <w:spacing w:before="100"/>
              <w:rPr>
                <w:rFonts w:ascii="黑体" w:eastAsia="黑体" w:hint="eastAsia"/>
                <w:sz w:val="21"/>
              </w:rPr>
            </w:pPr>
            <w:r>
              <w:rPr>
                <w:rFonts w:ascii="黑体" w:eastAsia="黑体" w:hint="eastAsia"/>
                <w:sz w:val="21"/>
              </w:rPr>
              <w:t>低位直肠肛门畸形不在保障范围内。</w:t>
            </w:r>
          </w:p>
        </w:tc>
      </w:tr>
      <w:tr>
        <w:trPr>
          <w:trHeight w:val="1401" w:hRule="atLeast"/>
        </w:trPr>
        <w:tc>
          <w:tcPr>
            <w:tcW w:w="1156" w:type="dxa"/>
          </w:tcPr>
          <w:p>
            <w:pPr>
              <w:pStyle w:val="TableParagraph"/>
              <w:spacing w:before="57"/>
              <w:ind w:left="200"/>
              <w:rPr>
                <w:b/>
                <w:sz w:val="21"/>
              </w:rPr>
            </w:pPr>
            <w:r>
              <w:rPr>
                <w:b/>
                <w:sz w:val="21"/>
              </w:rPr>
              <w:t>10.2.8</w:t>
            </w:r>
          </w:p>
        </w:tc>
        <w:tc>
          <w:tcPr>
            <w:tcW w:w="1441" w:type="dxa"/>
          </w:tcPr>
          <w:p>
            <w:pPr>
              <w:pStyle w:val="TableParagraph"/>
              <w:spacing w:before="57"/>
              <w:ind w:left="215"/>
              <w:rPr>
                <w:b/>
                <w:sz w:val="21"/>
              </w:rPr>
            </w:pPr>
            <w:r>
              <w:rPr>
                <w:b/>
                <w:sz w:val="21"/>
              </w:rPr>
              <w:t>染色体异常</w:t>
            </w:r>
          </w:p>
        </w:tc>
        <w:tc>
          <w:tcPr>
            <w:tcW w:w="7134" w:type="dxa"/>
          </w:tcPr>
          <w:p>
            <w:pPr>
              <w:pStyle w:val="TableParagraph"/>
              <w:spacing w:line="259" w:lineRule="auto" w:before="57"/>
              <w:ind w:right="1075"/>
              <w:rPr>
                <w:sz w:val="21"/>
              </w:rPr>
            </w:pPr>
            <w:r>
              <w:rPr>
                <w:sz w:val="21"/>
              </w:rPr>
              <w:t>指经染色体检查，经专科医师诊断确定为下列三种疾病之一者： (1)</w:t>
            </w:r>
            <w:r>
              <w:rPr>
                <w:rFonts w:ascii="Calibri" w:eastAsia="Calibri"/>
                <w:sz w:val="21"/>
              </w:rPr>
              <w:t>13-</w:t>
            </w:r>
            <w:r>
              <w:rPr>
                <w:sz w:val="21"/>
              </w:rPr>
              <w:t>三体综合征：第十三对染色体异常，出现三个染色体； (2)</w:t>
            </w:r>
            <w:r>
              <w:rPr>
                <w:rFonts w:ascii="Calibri" w:eastAsia="Calibri"/>
                <w:sz w:val="21"/>
              </w:rPr>
              <w:t>18-</w:t>
            </w:r>
            <w:r>
              <w:rPr>
                <w:sz w:val="21"/>
              </w:rPr>
              <w:t>三体综合征：第十八对染色体异常，出现三个染色体；</w:t>
            </w:r>
          </w:p>
          <w:p>
            <w:pPr>
              <w:pStyle w:val="TableParagraph"/>
              <w:spacing w:line="291" w:lineRule="exact"/>
              <w:rPr>
                <w:sz w:val="21"/>
              </w:rPr>
            </w:pPr>
            <w:r>
              <w:rPr>
                <w:sz w:val="21"/>
              </w:rPr>
              <w:t>(3)</w:t>
            </w:r>
            <w:r>
              <w:rPr>
                <w:rFonts w:ascii="Calibri" w:eastAsia="Calibri"/>
                <w:sz w:val="21"/>
              </w:rPr>
              <w:t>21-</w:t>
            </w:r>
            <w:r>
              <w:rPr>
                <w:sz w:val="21"/>
              </w:rPr>
              <w:t>三体综合征：第二十一对染色体异常，出现三个染色体或转位。</w:t>
            </w:r>
          </w:p>
        </w:tc>
      </w:tr>
      <w:tr>
        <w:trPr>
          <w:trHeight w:val="754" w:hRule="atLeast"/>
        </w:trPr>
        <w:tc>
          <w:tcPr>
            <w:tcW w:w="1156" w:type="dxa"/>
          </w:tcPr>
          <w:p>
            <w:pPr>
              <w:pStyle w:val="TableParagraph"/>
              <w:spacing w:before="46"/>
              <w:ind w:left="200"/>
              <w:rPr>
                <w:b/>
                <w:sz w:val="21"/>
              </w:rPr>
            </w:pPr>
            <w:r>
              <w:rPr>
                <w:b/>
                <w:sz w:val="21"/>
              </w:rPr>
              <w:t>10.2.9</w:t>
            </w:r>
          </w:p>
        </w:tc>
        <w:tc>
          <w:tcPr>
            <w:tcW w:w="1441" w:type="dxa"/>
          </w:tcPr>
          <w:p>
            <w:pPr>
              <w:pStyle w:val="TableParagraph"/>
              <w:spacing w:line="273" w:lineRule="auto" w:before="46"/>
              <w:ind w:left="215" w:right="167"/>
              <w:rPr>
                <w:b/>
                <w:sz w:val="21"/>
              </w:rPr>
            </w:pPr>
            <w:r>
              <w:rPr>
                <w:b/>
                <w:sz w:val="21"/>
              </w:rPr>
              <w:t>先天性髋关节脱位</w:t>
            </w:r>
          </w:p>
        </w:tc>
        <w:tc>
          <w:tcPr>
            <w:tcW w:w="7134" w:type="dxa"/>
          </w:tcPr>
          <w:p>
            <w:pPr>
              <w:pStyle w:val="TableParagraph"/>
              <w:spacing w:line="273" w:lineRule="auto" w:before="46"/>
              <w:ind w:left="171" w:right="235"/>
              <w:rPr>
                <w:sz w:val="21"/>
              </w:rPr>
            </w:pPr>
            <w:r>
              <w:rPr>
                <w:sz w:val="21"/>
              </w:rPr>
              <w:t>指因髋臼和股骨头发育不良而导致的髋关节脱位，经外固定治疗无效，并已经进行了外科手术复位。</w:t>
            </w:r>
          </w:p>
        </w:tc>
      </w:tr>
      <w:tr>
        <w:trPr>
          <w:trHeight w:val="332" w:hRule="atLeast"/>
        </w:trPr>
        <w:tc>
          <w:tcPr>
            <w:tcW w:w="1156" w:type="dxa"/>
          </w:tcPr>
          <w:p>
            <w:pPr>
              <w:pStyle w:val="TableParagraph"/>
              <w:spacing w:line="255" w:lineRule="exact" w:before="57"/>
              <w:ind w:left="200"/>
              <w:rPr>
                <w:b/>
                <w:sz w:val="21"/>
              </w:rPr>
            </w:pPr>
            <w:r>
              <w:rPr>
                <w:b/>
                <w:sz w:val="21"/>
              </w:rPr>
              <w:t>10.2.10</w:t>
            </w:r>
          </w:p>
        </w:tc>
        <w:tc>
          <w:tcPr>
            <w:tcW w:w="1441" w:type="dxa"/>
          </w:tcPr>
          <w:p>
            <w:pPr>
              <w:pStyle w:val="TableParagraph"/>
              <w:spacing w:line="255" w:lineRule="exact" w:before="57"/>
              <w:ind w:left="215"/>
              <w:rPr>
                <w:b/>
                <w:sz w:val="21"/>
              </w:rPr>
            </w:pPr>
            <w:r>
              <w:rPr>
                <w:b/>
                <w:sz w:val="21"/>
              </w:rPr>
              <w:t>先天性两肢</w:t>
            </w:r>
          </w:p>
        </w:tc>
        <w:tc>
          <w:tcPr>
            <w:tcW w:w="7134" w:type="dxa"/>
          </w:tcPr>
          <w:p>
            <w:pPr>
              <w:pStyle w:val="TableParagraph"/>
              <w:spacing w:line="255" w:lineRule="exact" w:before="57"/>
              <w:ind w:left="171"/>
              <w:rPr>
                <w:sz w:val="21"/>
              </w:rPr>
            </w:pPr>
            <w:r>
              <w:rPr>
                <w:sz w:val="21"/>
              </w:rPr>
              <w:t>指先天性两上肢完全肘关节远端的手及前臂的缺失，或两下肢膝关节远端</w:t>
            </w:r>
          </w:p>
        </w:tc>
      </w:tr>
    </w:tbl>
    <w:p>
      <w:pPr>
        <w:spacing w:after="0" w:line="255" w:lineRule="exact"/>
        <w:rPr>
          <w:sz w:val="21"/>
        </w:rPr>
        <w:sectPr>
          <w:pgSz w:w="11910" w:h="16840"/>
          <w:pgMar w:top="1580" w:bottom="280" w:left="980" w:right="9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5"/>
        <w:gridCol w:w="1493"/>
        <w:gridCol w:w="7241"/>
      </w:tblGrid>
      <w:tr>
        <w:trPr>
          <w:trHeight w:val="644" w:hRule="atLeast"/>
        </w:trPr>
        <w:tc>
          <w:tcPr>
            <w:tcW w:w="1105" w:type="dxa"/>
          </w:tcPr>
          <w:p>
            <w:pPr>
              <w:pStyle w:val="TableParagraph"/>
              <w:ind w:left="0"/>
              <w:rPr>
                <w:rFonts w:ascii="Times New Roman"/>
                <w:sz w:val="20"/>
              </w:rPr>
            </w:pPr>
          </w:p>
        </w:tc>
        <w:tc>
          <w:tcPr>
            <w:tcW w:w="1493" w:type="dxa"/>
          </w:tcPr>
          <w:p>
            <w:pPr>
              <w:pStyle w:val="TableParagraph"/>
              <w:spacing w:line="202" w:lineRule="exact"/>
              <w:ind w:left="266"/>
              <w:rPr>
                <w:b/>
                <w:sz w:val="21"/>
              </w:rPr>
            </w:pPr>
            <w:r>
              <w:rPr>
                <w:b/>
                <w:sz w:val="21"/>
              </w:rPr>
              <w:t>体缺失</w:t>
            </w:r>
          </w:p>
        </w:tc>
        <w:tc>
          <w:tcPr>
            <w:tcW w:w="7241" w:type="dxa"/>
          </w:tcPr>
          <w:p>
            <w:pPr>
              <w:pStyle w:val="TableParagraph"/>
              <w:spacing w:line="202" w:lineRule="exact"/>
              <w:rPr>
                <w:sz w:val="21"/>
              </w:rPr>
            </w:pPr>
            <w:r>
              <w:rPr>
                <w:sz w:val="21"/>
              </w:rPr>
              <w:t>的脚及小腿的缺失，或一上肢完全肘关节远端的手及前臂的缺失和一下肢</w:t>
            </w:r>
          </w:p>
          <w:p>
            <w:pPr>
              <w:pStyle w:val="TableParagraph"/>
              <w:spacing w:before="37"/>
              <w:ind w:left="169"/>
              <w:rPr>
                <w:sz w:val="21"/>
              </w:rPr>
            </w:pPr>
            <w:r>
              <w:rPr>
                <w:sz w:val="21"/>
              </w:rPr>
              <w:t>膝关节远端的脚及小腿的缺失。</w:t>
            </w:r>
          </w:p>
        </w:tc>
      </w:tr>
      <w:tr>
        <w:trPr>
          <w:trHeight w:val="1077" w:hRule="atLeast"/>
        </w:trPr>
        <w:tc>
          <w:tcPr>
            <w:tcW w:w="1105" w:type="dxa"/>
          </w:tcPr>
          <w:p>
            <w:pPr>
              <w:pStyle w:val="TableParagraph"/>
              <w:spacing w:before="48"/>
              <w:ind w:left="200"/>
              <w:rPr>
                <w:b/>
                <w:sz w:val="21"/>
              </w:rPr>
            </w:pPr>
            <w:r>
              <w:rPr>
                <w:b/>
                <w:sz w:val="21"/>
              </w:rPr>
              <w:t>10.3</w:t>
            </w:r>
          </w:p>
        </w:tc>
        <w:tc>
          <w:tcPr>
            <w:tcW w:w="1493" w:type="dxa"/>
          </w:tcPr>
          <w:p>
            <w:pPr>
              <w:pStyle w:val="TableParagraph"/>
              <w:spacing w:line="273" w:lineRule="auto" w:before="48"/>
              <w:ind w:left="266" w:right="168"/>
              <w:rPr>
                <w:b/>
                <w:sz w:val="21"/>
              </w:rPr>
            </w:pPr>
            <w:r>
              <w:rPr>
                <w:b/>
                <w:sz w:val="21"/>
              </w:rPr>
              <w:t>重大疾病的定义</w:t>
            </w:r>
          </w:p>
        </w:tc>
        <w:tc>
          <w:tcPr>
            <w:tcW w:w="7241" w:type="dxa"/>
          </w:tcPr>
          <w:p>
            <w:pPr>
              <w:pStyle w:val="TableParagraph"/>
              <w:spacing w:line="273" w:lineRule="auto" w:before="48"/>
              <w:ind w:right="308" w:firstLine="2"/>
              <w:jc w:val="both"/>
              <w:rPr>
                <w:sz w:val="21"/>
              </w:rPr>
            </w:pPr>
            <w:r>
              <w:rPr>
                <w:sz w:val="21"/>
              </w:rPr>
              <w:t>本合同所保障的重大疾病，是指被保险人在本合同有效期间内经专科医生明确诊断初次患下列疾病或初次达到下列疾病状态或在医院初次接受下列手术：</w:t>
            </w:r>
          </w:p>
        </w:tc>
      </w:tr>
      <w:tr>
        <w:trPr>
          <w:trHeight w:val="3652" w:hRule="atLeast"/>
        </w:trPr>
        <w:tc>
          <w:tcPr>
            <w:tcW w:w="1105" w:type="dxa"/>
          </w:tcPr>
          <w:p>
            <w:pPr>
              <w:pStyle w:val="TableParagraph"/>
              <w:spacing w:before="48"/>
              <w:ind w:left="200"/>
              <w:rPr>
                <w:b/>
                <w:sz w:val="21"/>
              </w:rPr>
            </w:pPr>
            <w:r>
              <w:rPr>
                <w:b/>
                <w:sz w:val="21"/>
              </w:rPr>
              <w:t>10.3.1</w:t>
            </w:r>
          </w:p>
        </w:tc>
        <w:tc>
          <w:tcPr>
            <w:tcW w:w="1493" w:type="dxa"/>
          </w:tcPr>
          <w:p>
            <w:pPr>
              <w:pStyle w:val="TableParagraph"/>
              <w:spacing w:before="48"/>
              <w:ind w:left="266"/>
              <w:rPr>
                <w:b/>
                <w:sz w:val="21"/>
              </w:rPr>
            </w:pPr>
            <w:r>
              <w:rPr>
                <w:b/>
                <w:sz w:val="21"/>
              </w:rPr>
              <w:t>恶性肿瘤</w:t>
            </w:r>
          </w:p>
        </w:tc>
        <w:tc>
          <w:tcPr>
            <w:tcW w:w="7241" w:type="dxa"/>
          </w:tcPr>
          <w:p>
            <w:pPr>
              <w:pStyle w:val="TableParagraph"/>
              <w:spacing w:line="273" w:lineRule="auto" w:before="48"/>
              <w:ind w:right="308"/>
              <w:jc w:val="both"/>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TableParagraph"/>
              <w:spacing w:before="86"/>
              <w:ind w:left="169"/>
              <w:jc w:val="both"/>
              <w:rPr>
                <w:rFonts w:ascii="黑体" w:eastAsia="黑体" w:hint="eastAsia"/>
                <w:sz w:val="21"/>
              </w:rPr>
            </w:pPr>
            <w:r>
              <w:rPr>
                <w:rFonts w:ascii="黑体" w:eastAsia="黑体" w:hint="eastAsia"/>
                <w:sz w:val="21"/>
              </w:rPr>
              <w:t>下列疾病不在保障范围内：</w:t>
            </w:r>
          </w:p>
          <w:p>
            <w:pPr>
              <w:pStyle w:val="TableParagraph"/>
              <w:spacing w:before="37"/>
              <w:ind w:left="169"/>
              <w:jc w:val="both"/>
              <w:rPr>
                <w:rFonts w:ascii="黑体" w:eastAsia="黑体" w:hint="eastAsia"/>
                <w:sz w:val="21"/>
              </w:rPr>
            </w:pPr>
            <w:r>
              <w:rPr>
                <w:rFonts w:ascii="黑体" w:eastAsia="黑体" w:hint="eastAsia"/>
                <w:sz w:val="21"/>
              </w:rPr>
              <w:t>(1)原位癌；</w:t>
            </w:r>
          </w:p>
          <w:p>
            <w:pPr>
              <w:pStyle w:val="TableParagraph"/>
              <w:spacing w:before="37"/>
              <w:ind w:left="169"/>
              <w:jc w:val="both"/>
              <w:rPr>
                <w:rFonts w:ascii="黑体" w:eastAsia="黑体" w:hint="eastAsia"/>
                <w:sz w:val="21"/>
              </w:rPr>
            </w:pPr>
            <w:r>
              <w:rPr>
                <w:rFonts w:ascii="黑体" w:eastAsia="黑体" w:hint="eastAsia"/>
                <w:sz w:val="21"/>
              </w:rPr>
              <w:t>(2)相当于 Binet 分期方案 A 期程度的慢性淋巴细胞白血病；</w:t>
            </w:r>
          </w:p>
          <w:p>
            <w:pPr>
              <w:pStyle w:val="TableParagraph"/>
              <w:spacing w:before="37"/>
              <w:ind w:left="169"/>
              <w:jc w:val="both"/>
              <w:rPr>
                <w:rFonts w:ascii="黑体" w:eastAsia="黑体" w:hint="eastAsia"/>
                <w:sz w:val="21"/>
              </w:rPr>
            </w:pPr>
            <w:r>
              <w:rPr>
                <w:rFonts w:ascii="黑体" w:eastAsia="黑体" w:hint="eastAsia"/>
                <w:sz w:val="21"/>
              </w:rPr>
              <w:t>(3)相当于 Ann Arbor 分期方案 I 期程度的何杰金氏病；</w:t>
            </w:r>
          </w:p>
          <w:p>
            <w:pPr>
              <w:pStyle w:val="TableParagraph"/>
              <w:spacing w:before="37"/>
              <w:ind w:left="169"/>
              <w:jc w:val="both"/>
              <w:rPr>
                <w:rFonts w:ascii="黑体" w:eastAsia="黑体" w:hint="eastAsia"/>
                <w:sz w:val="21"/>
              </w:rPr>
            </w:pPr>
            <w:r>
              <w:rPr>
                <w:rFonts w:ascii="黑体" w:eastAsia="黑体" w:hint="eastAsia"/>
                <w:w w:val="100"/>
                <w:sz w:val="21"/>
              </w:rPr>
              <w:t>(4)</w:t>
            </w: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w:t>
            </w:r>
            <w:r>
              <w:rPr>
                <w:rFonts w:ascii="黑体" w:eastAsia="黑体" w:hint="eastAsia"/>
                <w:spacing w:val="-3"/>
                <w:w w:val="100"/>
                <w:sz w:val="21"/>
              </w:rPr>
              <w:t>h转移的皮肤癌</w:t>
            </w:r>
            <w:r>
              <w:rPr>
                <w:rFonts w:ascii="黑体" w:eastAsia="黑体" w:hint="eastAsia"/>
                <w:spacing w:val="-108"/>
                <w:w w:val="100"/>
                <w:sz w:val="21"/>
              </w:rPr>
              <w:t>）</w:t>
            </w:r>
            <w:r>
              <w:rPr>
                <w:rFonts w:ascii="黑体" w:eastAsia="黑体" w:hint="eastAsia"/>
                <w:w w:val="100"/>
                <w:sz w:val="21"/>
              </w:rPr>
              <w:t>；</w:t>
            </w:r>
          </w:p>
          <w:p>
            <w:pPr>
              <w:pStyle w:val="TableParagraph"/>
              <w:spacing w:before="37"/>
              <w:ind w:left="169"/>
              <w:jc w:val="both"/>
              <w:rPr>
                <w:rFonts w:ascii="黑体" w:eastAsia="黑体" w:hint="eastAsia"/>
                <w:sz w:val="21"/>
              </w:rPr>
            </w:pPr>
            <w:r>
              <w:rPr>
                <w:rFonts w:ascii="黑体" w:eastAsia="黑体" w:hint="eastAsia"/>
                <w:position w:val="1"/>
                <w:sz w:val="21"/>
              </w:rPr>
              <w:t>(5)TNM 分期为 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 </w:t>
            </w:r>
            <w:r>
              <w:rPr>
                <w:rFonts w:ascii="黑体" w:eastAsia="黑体" w:hint="eastAsia"/>
                <w:position w:val="1"/>
                <w:sz w:val="21"/>
              </w:rPr>
              <w:t>期或更轻分期的前列腺癌；</w:t>
            </w:r>
          </w:p>
          <w:p>
            <w:pPr>
              <w:pStyle w:val="TableParagraph"/>
              <w:spacing w:before="37"/>
              <w:jc w:val="both"/>
              <w:rPr>
                <w:rFonts w:ascii="黑体" w:eastAsia="黑体" w:hint="eastAsia"/>
                <w:sz w:val="21"/>
              </w:rPr>
            </w:pPr>
            <w:r>
              <w:rPr>
                <w:rFonts w:ascii="黑体" w:eastAsia="黑体" w:hint="eastAsia"/>
                <w:sz w:val="21"/>
              </w:rPr>
              <w:t>(6)感染艾滋病病毒或患艾滋病期间所患恶性肿瘤。</w:t>
            </w:r>
          </w:p>
        </w:tc>
      </w:tr>
      <w:tr>
        <w:trPr>
          <w:trHeight w:val="1795" w:hRule="atLeast"/>
        </w:trPr>
        <w:tc>
          <w:tcPr>
            <w:tcW w:w="1105" w:type="dxa"/>
          </w:tcPr>
          <w:p>
            <w:pPr>
              <w:pStyle w:val="TableParagraph"/>
              <w:spacing w:before="48"/>
              <w:ind w:left="200"/>
              <w:rPr>
                <w:b/>
                <w:sz w:val="21"/>
              </w:rPr>
            </w:pPr>
            <w:r>
              <w:rPr>
                <w:b/>
                <w:sz w:val="21"/>
              </w:rPr>
              <w:t>10.3.2</w:t>
            </w:r>
          </w:p>
        </w:tc>
        <w:tc>
          <w:tcPr>
            <w:tcW w:w="1493" w:type="dxa"/>
          </w:tcPr>
          <w:p>
            <w:pPr>
              <w:pStyle w:val="TableParagraph"/>
              <w:spacing w:line="273" w:lineRule="auto" w:before="48"/>
              <w:ind w:left="266" w:right="168"/>
              <w:jc w:val="both"/>
              <w:rPr>
                <w:b/>
                <w:sz w:val="21"/>
              </w:rPr>
            </w:pPr>
            <w:r>
              <w:rPr>
                <w:b/>
                <w:sz w:val="21"/>
              </w:rPr>
              <w:t>重大器官移植术或造血干细胞移植术</w:t>
            </w:r>
          </w:p>
        </w:tc>
        <w:tc>
          <w:tcPr>
            <w:tcW w:w="7241" w:type="dxa"/>
          </w:tcPr>
          <w:p>
            <w:pPr>
              <w:pStyle w:val="TableParagraph"/>
              <w:spacing w:line="276" w:lineRule="auto" w:before="72"/>
              <w:ind w:right="308"/>
              <w:rPr>
                <w:sz w:val="21"/>
              </w:rPr>
            </w:pPr>
            <w:r>
              <w:rPr>
                <w:sz w:val="21"/>
              </w:rPr>
              <w:t>重大器官移植术，指因相应器官功能衰竭，已经实施了肾脏、肝脏、心脏或肺脏的异体移植手术。</w:t>
            </w:r>
          </w:p>
          <w:p>
            <w:pPr>
              <w:pStyle w:val="TableParagraph"/>
              <w:spacing w:line="273" w:lineRule="auto" w:before="69"/>
              <w:ind w:right="199"/>
              <w:rPr>
                <w:sz w:val="21"/>
              </w:rPr>
            </w:pPr>
            <w:r>
              <w:rPr>
                <w:spacing w:val="-3"/>
                <w:sz w:val="21"/>
              </w:rPr>
              <w:t>造血干细胞移植术，指因造血功能损害或造血系统恶性肿瘤，已经实施了</w:t>
            </w:r>
            <w:r>
              <w:rPr>
                <w:spacing w:val="-10"/>
                <w:sz w:val="21"/>
              </w:rPr>
              <w:t>造血干细胞</w:t>
            </w:r>
            <w:r>
              <w:rPr>
                <w:sz w:val="21"/>
              </w:rPr>
              <w:t>（</w:t>
            </w:r>
            <w:r>
              <w:rPr>
                <w:spacing w:val="-7"/>
                <w:sz w:val="21"/>
              </w:rPr>
              <w:t>包括骨髓造血干细胞、外周血造血干细胞和脐血造血干细胞</w:t>
            </w:r>
            <w:r>
              <w:rPr>
                <w:sz w:val="21"/>
              </w:rPr>
              <w:t>） </w:t>
            </w:r>
            <w:r>
              <w:rPr>
                <w:spacing w:val="-3"/>
                <w:sz w:val="21"/>
              </w:rPr>
              <w:t>的异体移植手术。</w:t>
            </w:r>
          </w:p>
        </w:tc>
      </w:tr>
      <w:tr>
        <w:trPr>
          <w:trHeight w:val="1389" w:hRule="atLeast"/>
        </w:trPr>
        <w:tc>
          <w:tcPr>
            <w:tcW w:w="1105" w:type="dxa"/>
          </w:tcPr>
          <w:p>
            <w:pPr>
              <w:pStyle w:val="TableParagraph"/>
              <w:spacing w:before="48"/>
              <w:ind w:left="200"/>
              <w:rPr>
                <w:b/>
                <w:sz w:val="21"/>
              </w:rPr>
            </w:pPr>
            <w:r>
              <w:rPr>
                <w:b/>
                <w:sz w:val="21"/>
              </w:rPr>
              <w:t>10.3.3</w:t>
            </w:r>
          </w:p>
        </w:tc>
        <w:tc>
          <w:tcPr>
            <w:tcW w:w="1493" w:type="dxa"/>
          </w:tcPr>
          <w:p>
            <w:pPr>
              <w:pStyle w:val="TableParagraph"/>
              <w:spacing w:before="48"/>
              <w:ind w:left="266"/>
              <w:rPr>
                <w:b/>
                <w:sz w:val="21"/>
              </w:rPr>
            </w:pPr>
            <w:r>
              <w:rPr>
                <w:b/>
                <w:sz w:val="21"/>
              </w:rPr>
              <w:t>终末期肾病</w:t>
            </w:r>
          </w:p>
          <w:p>
            <w:pPr>
              <w:pStyle w:val="TableParagraph"/>
              <w:spacing w:line="273" w:lineRule="auto" w:before="36"/>
              <w:ind w:left="266" w:right="168"/>
              <w:jc w:val="both"/>
              <w:rPr>
                <w:b/>
                <w:sz w:val="21"/>
              </w:rPr>
            </w:pPr>
            <w:r>
              <w:rPr>
                <w:b/>
                <w:sz w:val="21"/>
              </w:rPr>
              <w:t>（或称慢性肾功能衰竭尿毒症期）</w:t>
            </w:r>
          </w:p>
        </w:tc>
        <w:tc>
          <w:tcPr>
            <w:tcW w:w="7241" w:type="dxa"/>
          </w:tcPr>
          <w:p>
            <w:pPr>
              <w:pStyle w:val="TableParagraph"/>
              <w:spacing w:before="48"/>
              <w:rPr>
                <w:sz w:val="21"/>
              </w:rPr>
            </w:pPr>
            <w:r>
              <w:rPr>
                <w:sz w:val="21"/>
              </w:rPr>
              <w:t>指双肾功能慢性不可逆性衰竭，达到尿毒症期，经诊断后已经进行了至少</w:t>
            </w:r>
          </w:p>
          <w:p>
            <w:pPr>
              <w:pStyle w:val="TableParagraph"/>
              <w:spacing w:before="36"/>
              <w:rPr>
                <w:sz w:val="21"/>
              </w:rPr>
            </w:pPr>
            <w:r>
              <w:rPr>
                <w:sz w:val="21"/>
              </w:rPr>
              <w:t>90 天的规律性透析治疗或实施了肾脏移植手术。</w:t>
            </w:r>
          </w:p>
        </w:tc>
      </w:tr>
      <w:tr>
        <w:trPr>
          <w:trHeight w:val="2013" w:hRule="atLeast"/>
        </w:trPr>
        <w:tc>
          <w:tcPr>
            <w:tcW w:w="1105" w:type="dxa"/>
          </w:tcPr>
          <w:p>
            <w:pPr>
              <w:pStyle w:val="TableParagraph"/>
              <w:spacing w:before="48"/>
              <w:ind w:left="200"/>
              <w:rPr>
                <w:b/>
                <w:sz w:val="21"/>
              </w:rPr>
            </w:pPr>
            <w:r>
              <w:rPr>
                <w:b/>
                <w:sz w:val="21"/>
              </w:rPr>
              <w:t>10.3.4</w:t>
            </w:r>
          </w:p>
        </w:tc>
        <w:tc>
          <w:tcPr>
            <w:tcW w:w="1493" w:type="dxa"/>
          </w:tcPr>
          <w:p>
            <w:pPr>
              <w:pStyle w:val="TableParagraph"/>
              <w:spacing w:line="273" w:lineRule="auto" w:before="48"/>
              <w:ind w:left="266" w:right="168"/>
              <w:rPr>
                <w:b/>
                <w:sz w:val="21"/>
              </w:rPr>
            </w:pPr>
            <w:r>
              <w:rPr>
                <w:b/>
                <w:sz w:val="21"/>
              </w:rPr>
              <w:t>急性或亚急性重症肝炎</w:t>
            </w:r>
          </w:p>
        </w:tc>
        <w:tc>
          <w:tcPr>
            <w:tcW w:w="7241" w:type="dxa"/>
          </w:tcPr>
          <w:p>
            <w:pPr>
              <w:pStyle w:val="TableParagraph"/>
              <w:spacing w:line="273" w:lineRule="auto" w:before="48"/>
              <w:ind w:right="308"/>
              <w:rPr>
                <w:sz w:val="21"/>
              </w:rPr>
            </w:pPr>
            <w:r>
              <w:rPr>
                <w:sz w:val="21"/>
              </w:rPr>
              <w:t>指因肝炎病毒感染引起肝脏组织弥漫性坏死，导致急性肝功能衰竭，且经血清学或病毒学检查证实，并须满足下列全部条件：</w:t>
            </w:r>
          </w:p>
          <w:p>
            <w:pPr>
              <w:pStyle w:val="TableParagraph"/>
              <w:spacing w:before="7"/>
              <w:rPr>
                <w:sz w:val="21"/>
              </w:rPr>
            </w:pPr>
            <w:r>
              <w:rPr>
                <w:sz w:val="21"/>
              </w:rPr>
              <w:t>(1)重度黄疸或黄疸迅速加重；</w:t>
            </w:r>
          </w:p>
          <w:p>
            <w:pPr>
              <w:pStyle w:val="TableParagraph"/>
              <w:spacing w:before="37"/>
              <w:rPr>
                <w:sz w:val="21"/>
              </w:rPr>
            </w:pPr>
            <w:r>
              <w:rPr>
                <w:sz w:val="21"/>
              </w:rPr>
              <w:t>(2)肝性脑病；</w:t>
            </w:r>
          </w:p>
          <w:p>
            <w:pPr>
              <w:pStyle w:val="TableParagraph"/>
              <w:spacing w:before="37"/>
              <w:rPr>
                <w:sz w:val="21"/>
              </w:rPr>
            </w:pPr>
            <w:r>
              <w:rPr>
                <w:sz w:val="21"/>
              </w:rPr>
              <w:t>(3)B 超或其它影像学检查显示肝脏体积急速萎缩；</w:t>
            </w:r>
          </w:p>
          <w:p>
            <w:pPr>
              <w:pStyle w:val="TableParagraph"/>
              <w:spacing w:before="37"/>
              <w:rPr>
                <w:sz w:val="21"/>
              </w:rPr>
            </w:pPr>
            <w:r>
              <w:rPr>
                <w:sz w:val="21"/>
              </w:rPr>
              <w:t>(4)肝功能指标进行性恶化。</w:t>
            </w:r>
          </w:p>
        </w:tc>
      </w:tr>
      <w:tr>
        <w:trPr>
          <w:trHeight w:val="2452" w:hRule="atLeast"/>
        </w:trPr>
        <w:tc>
          <w:tcPr>
            <w:tcW w:w="1105" w:type="dxa"/>
          </w:tcPr>
          <w:p>
            <w:pPr>
              <w:pStyle w:val="TableParagraph"/>
              <w:spacing w:before="49"/>
              <w:ind w:left="200"/>
              <w:rPr>
                <w:b/>
                <w:sz w:val="21"/>
              </w:rPr>
            </w:pPr>
            <w:r>
              <w:rPr>
                <w:b/>
                <w:sz w:val="21"/>
              </w:rPr>
              <w:t>10.3.5</w:t>
            </w:r>
          </w:p>
        </w:tc>
        <w:tc>
          <w:tcPr>
            <w:tcW w:w="1493" w:type="dxa"/>
          </w:tcPr>
          <w:p>
            <w:pPr>
              <w:pStyle w:val="TableParagraph"/>
              <w:spacing w:before="49"/>
              <w:ind w:left="266"/>
              <w:rPr>
                <w:b/>
                <w:sz w:val="21"/>
              </w:rPr>
            </w:pPr>
            <w:r>
              <w:rPr>
                <w:b/>
                <w:sz w:val="21"/>
              </w:rPr>
              <w:t>良性脑肿瘤</w:t>
            </w:r>
          </w:p>
        </w:tc>
        <w:tc>
          <w:tcPr>
            <w:tcW w:w="7241" w:type="dxa"/>
          </w:tcPr>
          <w:p>
            <w:pPr>
              <w:pStyle w:val="TableParagraph"/>
              <w:spacing w:line="278" w:lineRule="auto" w:before="73"/>
              <w:ind w:right="308"/>
              <w:jc w:val="both"/>
              <w:rPr>
                <w:sz w:val="21"/>
              </w:rPr>
            </w:pPr>
            <w:r>
              <w:rPr>
                <w:sz w:val="21"/>
              </w:rPr>
              <w:t>指脑的良性肿瘤，已经引起颅内压增高，临床表现为视神经乳头水肿、精</w:t>
            </w:r>
            <w:r>
              <w:rPr>
                <w:spacing w:val="-3"/>
                <w:w w:val="100"/>
                <w:sz w:val="21"/>
              </w:rPr>
              <w:t>神症状、癫痫及运动感觉障碍等，并危及生命。须由头颅断层扫描</w:t>
            </w:r>
            <w:r>
              <w:rPr>
                <w:w w:val="100"/>
                <w:sz w:val="21"/>
              </w:rPr>
              <w:t>（C</w:t>
            </w:r>
            <w:r>
              <w:rPr>
                <w:spacing w:val="-4"/>
                <w:w w:val="100"/>
                <w:sz w:val="21"/>
              </w:rPr>
              <w:t>T</w:t>
            </w:r>
            <w:r>
              <w:rPr>
                <w:spacing w:val="-106"/>
                <w:w w:val="100"/>
                <w:sz w:val="21"/>
              </w:rPr>
              <w:t>）、</w:t>
            </w:r>
            <w:r>
              <w:rPr>
                <w:sz w:val="21"/>
              </w:rPr>
              <w:t>核磁共振检查（MRI）或正电子发射断层扫描（PET）等影像学检查证实， </w:t>
            </w:r>
            <w:r>
              <w:rPr>
                <w:spacing w:val="-3"/>
                <w:sz w:val="21"/>
              </w:rPr>
              <w:t>并须满足下列至少一项条件：</w:t>
            </w:r>
          </w:p>
          <w:p>
            <w:pPr>
              <w:pStyle w:val="TableParagraph"/>
              <w:spacing w:before="13"/>
              <w:jc w:val="both"/>
              <w:rPr>
                <w:sz w:val="21"/>
              </w:rPr>
            </w:pPr>
            <w:r>
              <w:rPr>
                <w:sz w:val="21"/>
              </w:rPr>
              <w:t>(1)实际实施了开颅进行的脑肿瘤完全切除或部分切除的手术；</w:t>
            </w:r>
          </w:p>
          <w:p>
            <w:pPr>
              <w:pStyle w:val="TableParagraph"/>
              <w:spacing w:before="41"/>
              <w:jc w:val="both"/>
              <w:rPr>
                <w:sz w:val="21"/>
              </w:rPr>
            </w:pPr>
            <w:r>
              <w:rPr>
                <w:sz w:val="21"/>
              </w:rPr>
              <w:t>(2)实际实施了对脑肿瘤进行的放射治疗。</w:t>
            </w:r>
          </w:p>
          <w:p>
            <w:pPr>
              <w:pStyle w:val="TableParagraph"/>
              <w:spacing w:before="101"/>
              <w:jc w:val="both"/>
              <w:rPr>
                <w:rFonts w:ascii="黑体" w:eastAsia="黑体" w:hint="eastAsia"/>
                <w:sz w:val="21"/>
              </w:rPr>
            </w:pPr>
            <w:r>
              <w:rPr>
                <w:rFonts w:ascii="黑体" w:eastAsia="黑体" w:hint="eastAsia"/>
                <w:sz w:val="21"/>
              </w:rPr>
              <w:t>脑垂体瘤、脑囊肿、脑血管性疾病不在保障范围内。</w:t>
            </w:r>
          </w:p>
        </w:tc>
      </w:tr>
      <w:tr>
        <w:trPr>
          <w:trHeight w:val="675" w:hRule="atLeast"/>
        </w:trPr>
        <w:tc>
          <w:tcPr>
            <w:tcW w:w="1105" w:type="dxa"/>
          </w:tcPr>
          <w:p>
            <w:pPr>
              <w:pStyle w:val="TableParagraph"/>
              <w:spacing w:before="48"/>
              <w:ind w:left="200"/>
              <w:rPr>
                <w:b/>
                <w:sz w:val="21"/>
              </w:rPr>
            </w:pPr>
            <w:r>
              <w:rPr>
                <w:b/>
                <w:sz w:val="21"/>
              </w:rPr>
              <w:t>10.3.6</w:t>
            </w:r>
          </w:p>
        </w:tc>
        <w:tc>
          <w:tcPr>
            <w:tcW w:w="1493" w:type="dxa"/>
          </w:tcPr>
          <w:p>
            <w:pPr>
              <w:pStyle w:val="TableParagraph"/>
              <w:spacing w:line="310" w:lineRule="atLeast" w:before="13"/>
              <w:ind w:left="266" w:right="168"/>
              <w:rPr>
                <w:b/>
                <w:sz w:val="21"/>
              </w:rPr>
            </w:pPr>
            <w:r>
              <w:rPr>
                <w:b/>
                <w:sz w:val="21"/>
              </w:rPr>
              <w:t>慢性肝功能衰竭失代偿</w:t>
            </w:r>
          </w:p>
        </w:tc>
        <w:tc>
          <w:tcPr>
            <w:tcW w:w="7241" w:type="dxa"/>
          </w:tcPr>
          <w:p>
            <w:pPr>
              <w:pStyle w:val="TableParagraph"/>
              <w:spacing w:before="72"/>
              <w:rPr>
                <w:sz w:val="21"/>
              </w:rPr>
            </w:pPr>
            <w:r>
              <w:rPr>
                <w:sz w:val="21"/>
              </w:rPr>
              <w:t>指因慢性肝脏疾病导致肝功能衰竭。须满足下列全部条件：</w:t>
            </w:r>
          </w:p>
          <w:p>
            <w:pPr>
              <w:pStyle w:val="TableParagraph"/>
              <w:spacing w:line="264" w:lineRule="exact" w:before="43"/>
              <w:ind w:left="169"/>
              <w:rPr>
                <w:sz w:val="21"/>
              </w:rPr>
            </w:pPr>
            <w:r>
              <w:rPr>
                <w:sz w:val="21"/>
              </w:rPr>
              <w:t>(1)持续性黄疸；</w:t>
            </w:r>
          </w:p>
        </w:tc>
      </w:tr>
    </w:tbl>
    <w:p>
      <w:pPr>
        <w:spacing w:after="0" w:line="264" w:lineRule="exact"/>
        <w:rPr>
          <w:sz w:val="21"/>
        </w:rPr>
        <w:sectPr>
          <w:pgSz w:w="11910" w:h="16840"/>
          <w:pgMar w:top="1460" w:bottom="280" w:left="980" w:right="86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6"/>
        <w:gridCol w:w="1441"/>
        <w:gridCol w:w="7133"/>
      </w:tblGrid>
      <w:tr>
        <w:trPr>
          <w:trHeight w:val="1369" w:hRule="atLeast"/>
        </w:trPr>
        <w:tc>
          <w:tcPr>
            <w:tcW w:w="1156" w:type="dxa"/>
          </w:tcPr>
          <w:p>
            <w:pPr>
              <w:pStyle w:val="TableParagraph"/>
              <w:ind w:left="0"/>
              <w:rPr>
                <w:rFonts w:ascii="Times New Roman"/>
                <w:sz w:val="20"/>
              </w:rPr>
            </w:pPr>
          </w:p>
        </w:tc>
        <w:tc>
          <w:tcPr>
            <w:tcW w:w="1441" w:type="dxa"/>
          </w:tcPr>
          <w:p>
            <w:pPr>
              <w:pStyle w:val="TableParagraph"/>
              <w:spacing w:line="202" w:lineRule="exact"/>
              <w:ind w:left="215"/>
              <w:rPr>
                <w:b/>
                <w:sz w:val="21"/>
              </w:rPr>
            </w:pPr>
            <w:r>
              <w:rPr>
                <w:b/>
                <w:w w:val="100"/>
                <w:sz w:val="21"/>
              </w:rPr>
              <w:t>期</w:t>
            </w:r>
          </w:p>
        </w:tc>
        <w:tc>
          <w:tcPr>
            <w:tcW w:w="7133" w:type="dxa"/>
          </w:tcPr>
          <w:p>
            <w:pPr>
              <w:pStyle w:val="TableParagraph"/>
              <w:spacing w:line="226" w:lineRule="exact"/>
              <w:ind w:left="171"/>
              <w:rPr>
                <w:sz w:val="21"/>
              </w:rPr>
            </w:pPr>
            <w:r>
              <w:rPr>
                <w:sz w:val="21"/>
              </w:rPr>
              <w:t>(2)腹水；</w:t>
            </w:r>
          </w:p>
          <w:p>
            <w:pPr>
              <w:pStyle w:val="TableParagraph"/>
              <w:spacing w:before="44"/>
              <w:ind w:left="171"/>
              <w:rPr>
                <w:sz w:val="21"/>
              </w:rPr>
            </w:pPr>
            <w:r>
              <w:rPr>
                <w:sz w:val="21"/>
              </w:rPr>
              <w:t>(3)肝性脑病；</w:t>
            </w:r>
          </w:p>
          <w:p>
            <w:pPr>
              <w:pStyle w:val="TableParagraph"/>
              <w:spacing w:before="41"/>
              <w:ind w:left="171"/>
              <w:rPr>
                <w:sz w:val="21"/>
              </w:rPr>
            </w:pPr>
            <w:r>
              <w:rPr>
                <w:sz w:val="21"/>
              </w:rPr>
              <w:t>(4)充血性脾肿大伴脾功能亢进或食管胃底静脉曲张。</w:t>
            </w:r>
          </w:p>
          <w:p>
            <w:pPr>
              <w:pStyle w:val="TableParagraph"/>
              <w:spacing w:before="101"/>
              <w:ind w:left="171"/>
              <w:rPr>
                <w:rFonts w:ascii="黑体" w:eastAsia="黑体" w:hint="eastAsia"/>
                <w:sz w:val="21"/>
              </w:rPr>
            </w:pPr>
            <w:r>
              <w:rPr>
                <w:rFonts w:ascii="黑体" w:eastAsia="黑体" w:hint="eastAsia"/>
                <w:sz w:val="21"/>
              </w:rPr>
              <w:t>因酗酒或药物滥用导致的肝功能衰竭不在保障范围内。</w:t>
            </w:r>
          </w:p>
        </w:tc>
      </w:tr>
      <w:tr>
        <w:trPr>
          <w:trHeight w:val="2014" w:hRule="atLeast"/>
        </w:trPr>
        <w:tc>
          <w:tcPr>
            <w:tcW w:w="1156" w:type="dxa"/>
          </w:tcPr>
          <w:p>
            <w:pPr>
              <w:pStyle w:val="TableParagraph"/>
              <w:spacing w:before="48"/>
              <w:ind w:left="200"/>
              <w:rPr>
                <w:b/>
                <w:sz w:val="21"/>
              </w:rPr>
            </w:pPr>
            <w:r>
              <w:rPr>
                <w:b/>
                <w:sz w:val="21"/>
              </w:rPr>
              <w:t>10.3.7</w:t>
            </w:r>
          </w:p>
        </w:tc>
        <w:tc>
          <w:tcPr>
            <w:tcW w:w="1441" w:type="dxa"/>
          </w:tcPr>
          <w:p>
            <w:pPr>
              <w:pStyle w:val="TableParagraph"/>
              <w:spacing w:line="273" w:lineRule="auto" w:before="48"/>
              <w:ind w:left="215" w:right="167"/>
              <w:jc w:val="both"/>
              <w:rPr>
                <w:b/>
                <w:sz w:val="21"/>
              </w:rPr>
            </w:pPr>
            <w:r>
              <w:rPr>
                <w:b/>
                <w:sz w:val="21"/>
              </w:rPr>
              <w:t>脑炎后遗症或脑膜炎后遗症</w:t>
            </w:r>
          </w:p>
        </w:tc>
        <w:tc>
          <w:tcPr>
            <w:tcW w:w="7133" w:type="dxa"/>
          </w:tcPr>
          <w:p>
            <w:pPr>
              <w:pStyle w:val="TableParagraph"/>
              <w:spacing w:line="273" w:lineRule="auto" w:before="48"/>
              <w:ind w:left="171" w:right="199"/>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7"/>
              <w:ind w:left="171"/>
              <w:rPr>
                <w:sz w:val="21"/>
              </w:rPr>
            </w:pPr>
            <w:r>
              <w:rPr>
                <w:w w:val="100"/>
                <w:sz w:val="21"/>
              </w:rPr>
              <w:t>(1)</w:t>
            </w:r>
            <w:r>
              <w:rPr>
                <w:spacing w:val="-3"/>
                <w:w w:val="100"/>
                <w:sz w:val="21"/>
              </w:rPr>
              <w:t>一肢或一肢以上</w:t>
            </w:r>
            <w:r>
              <w:rPr>
                <w:b/>
                <w:spacing w:val="-1"/>
                <w:w w:val="100"/>
                <w:sz w:val="21"/>
              </w:rPr>
              <w:t>肢体机能完全丧失</w:t>
            </w:r>
            <w:r>
              <w:rPr>
                <w:spacing w:val="-3"/>
                <w:w w:val="100"/>
                <w:sz w:val="21"/>
              </w:rPr>
              <w:t>（</w:t>
            </w:r>
            <w:r>
              <w:rPr>
                <w:spacing w:val="-2"/>
                <w:w w:val="100"/>
                <w:sz w:val="21"/>
              </w:rPr>
              <w:t>详见释义</w:t>
            </w:r>
            <w:r>
              <w:rPr>
                <w:spacing w:val="-109"/>
                <w:w w:val="100"/>
                <w:sz w:val="21"/>
              </w:rPr>
              <w:t>）</w:t>
            </w:r>
            <w:r>
              <w:rPr>
                <w:w w:val="100"/>
                <w:sz w:val="21"/>
              </w:rPr>
              <w:t>；</w:t>
            </w:r>
          </w:p>
          <w:p>
            <w:pPr>
              <w:pStyle w:val="TableParagraph"/>
              <w:spacing w:before="37"/>
              <w:ind w:left="171"/>
              <w:rPr>
                <w:sz w:val="21"/>
              </w:rPr>
            </w:pPr>
            <w:r>
              <w:rPr>
                <w:w w:val="100"/>
                <w:sz w:val="21"/>
              </w:rPr>
              <w:t>(2</w:t>
            </w:r>
            <w:r>
              <w:rPr>
                <w:spacing w:val="-3"/>
                <w:w w:val="100"/>
                <w:sz w:val="21"/>
              </w:rPr>
              <w:t>)</w:t>
            </w:r>
            <w:r>
              <w:rPr>
                <w:b/>
                <w:spacing w:val="-1"/>
                <w:w w:val="100"/>
                <w:sz w:val="21"/>
              </w:rPr>
              <w:t>语言能力或咀嚼吞咽能力完全丧失</w:t>
            </w:r>
            <w:r>
              <w:rPr>
                <w:spacing w:val="-3"/>
                <w:w w:val="100"/>
                <w:sz w:val="21"/>
              </w:rPr>
              <w:t>（</w:t>
            </w:r>
            <w:r>
              <w:rPr>
                <w:spacing w:val="-2"/>
                <w:w w:val="100"/>
                <w:sz w:val="21"/>
              </w:rPr>
              <w:t>详见释义</w:t>
            </w:r>
            <w:r>
              <w:rPr>
                <w:spacing w:val="-109"/>
                <w:w w:val="100"/>
                <w:sz w:val="21"/>
              </w:rPr>
              <w:t>）</w:t>
            </w:r>
            <w:r>
              <w:rPr>
                <w:w w:val="100"/>
                <w:sz w:val="21"/>
              </w:rPr>
              <w:t>；</w:t>
            </w:r>
          </w:p>
          <w:p>
            <w:pPr>
              <w:pStyle w:val="TableParagraph"/>
              <w:spacing w:line="273" w:lineRule="auto" w:before="37"/>
              <w:ind w:right="125"/>
              <w:rPr>
                <w:sz w:val="21"/>
              </w:rPr>
            </w:pPr>
            <w:r>
              <w:rPr>
                <w:sz w:val="21"/>
              </w:rPr>
              <w:t>(3)自主生活能力完全丧失，无法独立完成</w:t>
            </w:r>
            <w:r>
              <w:rPr>
                <w:b/>
                <w:sz w:val="21"/>
              </w:rPr>
              <w:t>六项基本日常生活活动</w:t>
            </w:r>
            <w:r>
              <w:rPr>
                <w:sz w:val="21"/>
              </w:rPr>
              <w:t>（详见释义）中的三项或三项以上。</w:t>
            </w:r>
          </w:p>
        </w:tc>
      </w:tr>
      <w:tr>
        <w:trPr>
          <w:trHeight w:val="1491" w:hRule="atLeast"/>
        </w:trPr>
        <w:tc>
          <w:tcPr>
            <w:tcW w:w="1156" w:type="dxa"/>
          </w:tcPr>
          <w:p>
            <w:pPr>
              <w:pStyle w:val="TableParagraph"/>
              <w:spacing w:before="50"/>
              <w:ind w:left="200"/>
              <w:rPr>
                <w:b/>
                <w:sz w:val="21"/>
              </w:rPr>
            </w:pPr>
            <w:r>
              <w:rPr>
                <w:b/>
                <w:sz w:val="21"/>
              </w:rPr>
              <w:t>10.3.8</w:t>
            </w:r>
          </w:p>
        </w:tc>
        <w:tc>
          <w:tcPr>
            <w:tcW w:w="1441" w:type="dxa"/>
          </w:tcPr>
          <w:p>
            <w:pPr>
              <w:pStyle w:val="TableParagraph"/>
              <w:spacing w:before="50"/>
              <w:ind w:left="215"/>
              <w:rPr>
                <w:b/>
                <w:sz w:val="21"/>
              </w:rPr>
            </w:pPr>
            <w:r>
              <w:rPr>
                <w:b/>
                <w:sz w:val="21"/>
              </w:rPr>
              <w:t>深度昏迷</w:t>
            </w:r>
          </w:p>
        </w:tc>
        <w:tc>
          <w:tcPr>
            <w:tcW w:w="7133" w:type="dxa"/>
          </w:tcPr>
          <w:p>
            <w:pPr>
              <w:pStyle w:val="TableParagraph"/>
              <w:spacing w:line="278" w:lineRule="auto" w:before="74"/>
              <w:ind w:right="196"/>
              <w:jc w:val="both"/>
              <w:rPr>
                <w:sz w:val="21"/>
              </w:rPr>
            </w:pPr>
            <w:r>
              <w:rPr>
                <w:sz w:val="21"/>
              </w:rPr>
              <w:t>指因疾病或意外伤害导致意识丧失,对外界刺激和体内需求均无反应,昏迷</w:t>
            </w:r>
            <w:r>
              <w:rPr>
                <w:spacing w:val="-3"/>
                <w:sz w:val="21"/>
              </w:rPr>
              <w:t>程度按照格拉斯哥昏迷分级</w:t>
            </w:r>
            <w:r>
              <w:rPr>
                <w:sz w:val="21"/>
              </w:rPr>
              <w:t>（Glasgow coma scale）</w:t>
            </w:r>
            <w:r>
              <w:rPr>
                <w:spacing w:val="-13"/>
                <w:sz w:val="21"/>
              </w:rPr>
              <w:t>结果为 </w:t>
            </w:r>
            <w:r>
              <w:rPr>
                <w:sz w:val="21"/>
              </w:rPr>
              <w:t>5</w:t>
            </w:r>
            <w:r>
              <w:rPr>
                <w:spacing w:val="-22"/>
                <w:sz w:val="21"/>
              </w:rPr>
              <w:t> 分或 </w:t>
            </w:r>
            <w:r>
              <w:rPr>
                <w:sz w:val="21"/>
              </w:rPr>
              <w:t>5</w:t>
            </w:r>
            <w:r>
              <w:rPr>
                <w:spacing w:val="-15"/>
                <w:sz w:val="21"/>
              </w:rPr>
              <w:t> 分以</w:t>
            </w:r>
            <w:r>
              <w:rPr>
                <w:spacing w:val="-9"/>
                <w:sz w:val="21"/>
              </w:rPr>
              <w:t>下，且已经持续使用呼吸机及其它生命维持系统 </w:t>
            </w:r>
            <w:r>
              <w:rPr>
                <w:sz w:val="21"/>
              </w:rPr>
              <w:t>96</w:t>
            </w:r>
            <w:r>
              <w:rPr>
                <w:spacing w:val="-9"/>
                <w:sz w:val="21"/>
              </w:rPr>
              <w:t> 小时以上。</w:t>
            </w:r>
          </w:p>
          <w:p>
            <w:pPr>
              <w:pStyle w:val="TableParagraph"/>
              <w:spacing w:before="68"/>
              <w:jc w:val="both"/>
              <w:rPr>
                <w:rFonts w:ascii="黑体" w:eastAsia="黑体" w:hint="eastAsia"/>
                <w:sz w:val="21"/>
              </w:rPr>
            </w:pPr>
            <w:r>
              <w:rPr>
                <w:rFonts w:ascii="黑体" w:eastAsia="黑体" w:hint="eastAsia"/>
                <w:sz w:val="21"/>
              </w:rPr>
              <w:t>因酗酒或药物滥用导致的深度昏迷不在保障范围内。</w:t>
            </w:r>
          </w:p>
        </w:tc>
      </w:tr>
      <w:tr>
        <w:trPr>
          <w:trHeight w:val="1077" w:hRule="atLeast"/>
        </w:trPr>
        <w:tc>
          <w:tcPr>
            <w:tcW w:w="1156" w:type="dxa"/>
          </w:tcPr>
          <w:p>
            <w:pPr>
              <w:pStyle w:val="TableParagraph"/>
              <w:spacing w:before="48"/>
              <w:ind w:left="200"/>
              <w:rPr>
                <w:b/>
                <w:sz w:val="21"/>
              </w:rPr>
            </w:pPr>
            <w:r>
              <w:rPr>
                <w:b/>
                <w:sz w:val="21"/>
              </w:rPr>
              <w:t>10.3.9</w:t>
            </w:r>
          </w:p>
        </w:tc>
        <w:tc>
          <w:tcPr>
            <w:tcW w:w="1441" w:type="dxa"/>
          </w:tcPr>
          <w:p>
            <w:pPr>
              <w:pStyle w:val="TableParagraph"/>
              <w:spacing w:before="48"/>
              <w:ind w:left="215"/>
              <w:rPr>
                <w:b/>
                <w:sz w:val="21"/>
              </w:rPr>
            </w:pPr>
            <w:r>
              <w:rPr>
                <w:b/>
                <w:sz w:val="21"/>
              </w:rPr>
              <w:t>双耳失聪</w:t>
            </w:r>
          </w:p>
        </w:tc>
        <w:tc>
          <w:tcPr>
            <w:tcW w:w="7133" w:type="dxa"/>
          </w:tcPr>
          <w:p>
            <w:pPr>
              <w:pStyle w:val="TableParagraph"/>
              <w:spacing w:before="48"/>
              <w:ind w:left="171"/>
              <w:rPr>
                <w:sz w:val="21"/>
              </w:rPr>
            </w:pPr>
            <w:r>
              <w:rPr>
                <w:sz w:val="21"/>
              </w:rPr>
              <w:t>指因疾病或意外伤害导致双耳听力</w:t>
            </w:r>
            <w:r>
              <w:rPr>
                <w:b/>
                <w:sz w:val="21"/>
              </w:rPr>
              <w:t>永久不可逆</w:t>
            </w:r>
            <w:r>
              <w:rPr>
                <w:sz w:val="21"/>
              </w:rPr>
              <w:t>（详见释义）性丧失，在 500</w:t>
            </w:r>
          </w:p>
          <w:p>
            <w:pPr>
              <w:pStyle w:val="TableParagraph"/>
              <w:spacing w:line="273" w:lineRule="auto" w:before="36"/>
              <w:ind w:left="171" w:right="201" w:hanging="1"/>
              <w:rPr>
                <w:sz w:val="21"/>
              </w:rPr>
            </w:pPr>
            <w:r>
              <w:rPr>
                <w:spacing w:val="-3"/>
                <w:sz w:val="21"/>
              </w:rPr>
              <w:t>赫兹、</w:t>
            </w:r>
            <w:r>
              <w:rPr>
                <w:sz w:val="21"/>
              </w:rPr>
              <w:t>1000</w:t>
            </w:r>
            <w:r>
              <w:rPr>
                <w:spacing w:val="-20"/>
                <w:sz w:val="21"/>
              </w:rPr>
              <w:t> 赫兹和 </w:t>
            </w:r>
            <w:r>
              <w:rPr>
                <w:sz w:val="21"/>
              </w:rPr>
              <w:t>2000</w:t>
            </w:r>
            <w:r>
              <w:rPr>
                <w:spacing w:val="-12"/>
                <w:sz w:val="21"/>
              </w:rPr>
              <w:t> 赫兹语音频率下，平均听阈大于 </w:t>
            </w:r>
            <w:r>
              <w:rPr>
                <w:sz w:val="21"/>
              </w:rPr>
              <w:t>90</w:t>
            </w:r>
            <w:r>
              <w:rPr>
                <w:spacing w:val="-11"/>
                <w:sz w:val="21"/>
              </w:rPr>
              <w:t> 分贝，且经纯</w:t>
            </w:r>
            <w:r>
              <w:rPr>
                <w:spacing w:val="-3"/>
                <w:sz w:val="21"/>
              </w:rPr>
              <w:t>音听力测试、声导抗检测或听觉诱发电位检测等证实。</w:t>
            </w:r>
          </w:p>
        </w:tc>
      </w:tr>
      <w:tr>
        <w:trPr>
          <w:trHeight w:val="2014" w:hRule="atLeast"/>
        </w:trPr>
        <w:tc>
          <w:tcPr>
            <w:tcW w:w="1156" w:type="dxa"/>
          </w:tcPr>
          <w:p>
            <w:pPr>
              <w:pStyle w:val="TableParagraph"/>
              <w:spacing w:before="48"/>
              <w:ind w:left="200"/>
              <w:rPr>
                <w:b/>
                <w:sz w:val="21"/>
              </w:rPr>
            </w:pPr>
            <w:r>
              <w:rPr>
                <w:b/>
                <w:sz w:val="21"/>
              </w:rPr>
              <w:t>10.3.10</w:t>
            </w:r>
          </w:p>
        </w:tc>
        <w:tc>
          <w:tcPr>
            <w:tcW w:w="1441" w:type="dxa"/>
          </w:tcPr>
          <w:p>
            <w:pPr>
              <w:pStyle w:val="TableParagraph"/>
              <w:spacing w:before="48"/>
              <w:ind w:left="215"/>
              <w:rPr>
                <w:b/>
                <w:sz w:val="21"/>
              </w:rPr>
            </w:pPr>
            <w:r>
              <w:rPr>
                <w:b/>
                <w:sz w:val="21"/>
              </w:rPr>
              <w:t>双目失明</w:t>
            </w:r>
          </w:p>
        </w:tc>
        <w:tc>
          <w:tcPr>
            <w:tcW w:w="7133" w:type="dxa"/>
          </w:tcPr>
          <w:p>
            <w:pPr>
              <w:pStyle w:val="TableParagraph"/>
              <w:spacing w:line="273" w:lineRule="auto" w:before="48"/>
              <w:ind w:left="171" w:right="199"/>
              <w:rPr>
                <w:sz w:val="21"/>
              </w:rPr>
            </w:pPr>
            <w:r>
              <w:rPr>
                <w:sz w:val="21"/>
              </w:rPr>
              <w:t>指因疾病或意外伤害导致双眼视力永久不可逆性丧失，双眼中较好眼须满足下列至少一项条件：</w:t>
            </w:r>
          </w:p>
          <w:p>
            <w:pPr>
              <w:pStyle w:val="TableParagraph"/>
              <w:spacing w:before="7"/>
              <w:rPr>
                <w:sz w:val="21"/>
              </w:rPr>
            </w:pPr>
            <w:r>
              <w:rPr>
                <w:sz w:val="21"/>
              </w:rPr>
              <w:t>(1)眼球缺失或摘除；</w:t>
            </w:r>
          </w:p>
          <w:p>
            <w:pPr>
              <w:pStyle w:val="TableParagraph"/>
              <w:spacing w:line="273" w:lineRule="auto" w:before="37"/>
              <w:ind w:right="196"/>
              <w:rPr>
                <w:sz w:val="21"/>
              </w:rPr>
            </w:pPr>
            <w:r>
              <w:rPr>
                <w:sz w:val="21"/>
              </w:rPr>
              <w:t>(2)</w:t>
            </w:r>
            <w:r>
              <w:rPr>
                <w:spacing w:val="5"/>
                <w:sz w:val="21"/>
              </w:rPr>
              <w:t>矫正视力低于 </w:t>
            </w:r>
            <w:r>
              <w:rPr>
                <w:sz w:val="21"/>
              </w:rPr>
              <w:t>0.02（采用国际标准视力表，如果使用其它视力表应进</w:t>
            </w:r>
            <w:r>
              <w:rPr>
                <w:spacing w:val="-1"/>
                <w:w w:val="100"/>
                <w:sz w:val="21"/>
              </w:rPr>
              <w:t>行换算</w:t>
            </w:r>
            <w:r>
              <w:rPr>
                <w:spacing w:val="-106"/>
                <w:w w:val="100"/>
                <w:sz w:val="21"/>
              </w:rPr>
              <w:t>）</w:t>
            </w:r>
            <w:r>
              <w:rPr>
                <w:w w:val="100"/>
                <w:sz w:val="21"/>
              </w:rPr>
              <w:t>；</w:t>
            </w:r>
          </w:p>
          <w:p>
            <w:pPr>
              <w:pStyle w:val="TableParagraph"/>
              <w:spacing w:before="7"/>
              <w:rPr>
                <w:sz w:val="21"/>
              </w:rPr>
            </w:pPr>
            <w:r>
              <w:rPr>
                <w:sz w:val="21"/>
              </w:rPr>
              <w:t>(3)视野半径小于 5 度。</w:t>
            </w:r>
          </w:p>
        </w:tc>
      </w:tr>
      <w:tr>
        <w:trPr>
          <w:trHeight w:val="766" w:hRule="atLeast"/>
        </w:trPr>
        <w:tc>
          <w:tcPr>
            <w:tcW w:w="1156" w:type="dxa"/>
          </w:tcPr>
          <w:p>
            <w:pPr>
              <w:pStyle w:val="TableParagraph"/>
              <w:spacing w:before="50"/>
              <w:ind w:left="200"/>
              <w:rPr>
                <w:b/>
                <w:sz w:val="21"/>
              </w:rPr>
            </w:pPr>
            <w:r>
              <w:rPr>
                <w:b/>
                <w:sz w:val="21"/>
              </w:rPr>
              <w:t>10.3.11</w:t>
            </w:r>
          </w:p>
        </w:tc>
        <w:tc>
          <w:tcPr>
            <w:tcW w:w="1441" w:type="dxa"/>
          </w:tcPr>
          <w:p>
            <w:pPr>
              <w:pStyle w:val="TableParagraph"/>
              <w:spacing w:line="273" w:lineRule="auto" w:before="50"/>
              <w:ind w:left="215" w:right="167"/>
              <w:rPr>
                <w:b/>
                <w:sz w:val="21"/>
              </w:rPr>
            </w:pPr>
            <w:r>
              <w:rPr>
                <w:b/>
                <w:sz w:val="21"/>
              </w:rPr>
              <w:t>心脏瓣膜手术</w:t>
            </w:r>
          </w:p>
        </w:tc>
        <w:tc>
          <w:tcPr>
            <w:tcW w:w="7133" w:type="dxa"/>
          </w:tcPr>
          <w:p>
            <w:pPr>
              <w:pStyle w:val="TableParagraph"/>
              <w:spacing w:line="273" w:lineRule="auto" w:before="50"/>
              <w:ind w:left="171" w:right="199"/>
              <w:rPr>
                <w:sz w:val="21"/>
              </w:rPr>
            </w:pPr>
            <w:r>
              <w:rPr>
                <w:sz w:val="21"/>
              </w:rPr>
              <w:t>指为治疗心脏瓣膜疾病，实际实施了开胸进行的心脏瓣膜置换或修复的手术。</w:t>
            </w:r>
          </w:p>
        </w:tc>
      </w:tr>
      <w:tr>
        <w:trPr>
          <w:trHeight w:val="2637" w:hRule="atLeast"/>
        </w:trPr>
        <w:tc>
          <w:tcPr>
            <w:tcW w:w="1156" w:type="dxa"/>
          </w:tcPr>
          <w:p>
            <w:pPr>
              <w:pStyle w:val="TableParagraph"/>
              <w:spacing w:before="48"/>
              <w:ind w:left="200"/>
              <w:rPr>
                <w:b/>
                <w:sz w:val="21"/>
              </w:rPr>
            </w:pPr>
            <w:r>
              <w:rPr>
                <w:b/>
                <w:sz w:val="21"/>
              </w:rPr>
              <w:t>10.3.12</w:t>
            </w:r>
          </w:p>
        </w:tc>
        <w:tc>
          <w:tcPr>
            <w:tcW w:w="1441" w:type="dxa"/>
          </w:tcPr>
          <w:p>
            <w:pPr>
              <w:pStyle w:val="TableParagraph"/>
              <w:spacing w:before="48"/>
              <w:ind w:left="215"/>
              <w:rPr>
                <w:b/>
                <w:sz w:val="21"/>
              </w:rPr>
            </w:pPr>
            <w:r>
              <w:rPr>
                <w:b/>
                <w:sz w:val="21"/>
              </w:rPr>
              <w:t>严重脑损伤</w:t>
            </w:r>
          </w:p>
        </w:tc>
        <w:tc>
          <w:tcPr>
            <w:tcW w:w="7133" w:type="dxa"/>
          </w:tcPr>
          <w:p>
            <w:pPr>
              <w:pStyle w:val="TableParagraph"/>
              <w:spacing w:line="273" w:lineRule="auto" w:before="48"/>
              <w:ind w:left="171" w:right="198"/>
              <w:jc w:val="both"/>
              <w:rPr>
                <w:sz w:val="21"/>
              </w:rPr>
            </w:pPr>
            <w:r>
              <w:rPr>
                <w:sz w:val="21"/>
              </w:rPr>
              <w:t>指因头部遭受机械性外力，引起脑重要部位损伤，导致神经系统永久性的</w:t>
            </w:r>
            <w:r>
              <w:rPr>
                <w:w w:val="100"/>
                <w:sz w:val="21"/>
              </w:rPr>
              <w:t>功能障碍。须由头颅断层扫描</w:t>
            </w:r>
            <w:r>
              <w:rPr>
                <w:spacing w:val="1"/>
                <w:w w:val="100"/>
                <w:sz w:val="21"/>
              </w:rPr>
              <w:t>（</w:t>
            </w:r>
            <w:r>
              <w:rPr>
                <w:spacing w:val="-3"/>
                <w:w w:val="100"/>
                <w:sz w:val="21"/>
              </w:rPr>
              <w:t>C</w:t>
            </w:r>
            <w:r>
              <w:rPr>
                <w:w w:val="100"/>
                <w:sz w:val="21"/>
              </w:rPr>
              <w:t>T</w:t>
            </w:r>
            <w:r>
              <w:rPr>
                <w:spacing w:val="-106"/>
                <w:w w:val="100"/>
                <w:sz w:val="21"/>
              </w:rPr>
              <w:t>）</w:t>
            </w:r>
            <w:r>
              <w:rPr>
                <w:w w:val="100"/>
                <w:sz w:val="21"/>
              </w:rPr>
              <w:t>、核磁共振检查</w:t>
            </w:r>
            <w:r>
              <w:rPr>
                <w:spacing w:val="1"/>
                <w:w w:val="100"/>
                <w:sz w:val="21"/>
              </w:rPr>
              <w:t>（</w:t>
            </w:r>
            <w:r>
              <w:rPr>
                <w:spacing w:val="-3"/>
                <w:w w:val="100"/>
                <w:sz w:val="21"/>
              </w:rPr>
              <w:t>M</w:t>
            </w:r>
            <w:r>
              <w:rPr>
                <w:w w:val="100"/>
                <w:sz w:val="21"/>
              </w:rPr>
              <w:t>RI）或正电子发射</w:t>
            </w:r>
            <w:r>
              <w:rPr>
                <w:spacing w:val="-5"/>
                <w:sz w:val="21"/>
              </w:rPr>
              <w:t>断层扫描（PET）</w:t>
            </w:r>
            <w:r>
              <w:rPr>
                <w:spacing w:val="-6"/>
                <w:sz w:val="21"/>
              </w:rPr>
              <w:t>等影像学检查证实。神经系统永久性的功能障碍，指脑损</w:t>
            </w:r>
            <w:r>
              <w:rPr>
                <w:spacing w:val="-26"/>
                <w:sz w:val="21"/>
              </w:rPr>
              <w:t>伤 </w:t>
            </w:r>
            <w:r>
              <w:rPr>
                <w:sz w:val="21"/>
              </w:rPr>
              <w:t>180</w:t>
            </w:r>
            <w:r>
              <w:rPr>
                <w:spacing w:val="-3"/>
                <w:sz w:val="21"/>
              </w:rPr>
              <w:t> 天后，仍遗留下列一种或一种以上障碍：</w:t>
            </w:r>
          </w:p>
          <w:p>
            <w:pPr>
              <w:pStyle w:val="TableParagraph"/>
              <w:spacing w:before="7"/>
              <w:ind w:left="171"/>
              <w:rPr>
                <w:sz w:val="21"/>
              </w:rPr>
            </w:pPr>
            <w:r>
              <w:rPr>
                <w:sz w:val="21"/>
              </w:rPr>
              <w:t>(1)一肢或一肢以上肢体机能完全丧失；</w:t>
            </w:r>
          </w:p>
          <w:p>
            <w:pPr>
              <w:pStyle w:val="TableParagraph"/>
              <w:spacing w:before="37"/>
              <w:ind w:left="171"/>
              <w:rPr>
                <w:sz w:val="21"/>
              </w:rPr>
            </w:pPr>
            <w:r>
              <w:rPr>
                <w:sz w:val="21"/>
              </w:rPr>
              <w:t>(2)语言能力或咀嚼吞咽能力完全丧失；</w:t>
            </w:r>
          </w:p>
          <w:p>
            <w:pPr>
              <w:pStyle w:val="TableParagraph"/>
              <w:spacing w:line="273" w:lineRule="auto" w:before="37"/>
              <w:ind w:left="171" w:right="202"/>
              <w:rPr>
                <w:sz w:val="21"/>
              </w:rPr>
            </w:pPr>
            <w:r>
              <w:rPr>
                <w:sz w:val="21"/>
              </w:rPr>
              <w:t>(3)</w:t>
            </w:r>
            <w:r>
              <w:rPr>
                <w:spacing w:val="-9"/>
                <w:sz w:val="21"/>
              </w:rPr>
              <w:t>自主生活能力完全丧失，无法独立完成六项基本日常生活活动中的三项</w:t>
            </w:r>
            <w:r>
              <w:rPr>
                <w:spacing w:val="-2"/>
                <w:sz w:val="21"/>
              </w:rPr>
              <w:t>或三项以上。</w:t>
            </w:r>
          </w:p>
        </w:tc>
      </w:tr>
      <w:tr>
        <w:trPr>
          <w:trHeight w:val="765" w:hRule="atLeast"/>
        </w:trPr>
        <w:tc>
          <w:tcPr>
            <w:tcW w:w="1156" w:type="dxa"/>
          </w:tcPr>
          <w:p>
            <w:pPr>
              <w:pStyle w:val="TableParagraph"/>
              <w:spacing w:before="49"/>
              <w:ind w:left="200"/>
              <w:rPr>
                <w:b/>
                <w:sz w:val="21"/>
              </w:rPr>
            </w:pPr>
            <w:r>
              <w:rPr>
                <w:b/>
                <w:sz w:val="21"/>
              </w:rPr>
              <w:t>10.3.13</w:t>
            </w:r>
          </w:p>
        </w:tc>
        <w:tc>
          <w:tcPr>
            <w:tcW w:w="1441" w:type="dxa"/>
          </w:tcPr>
          <w:p>
            <w:pPr>
              <w:pStyle w:val="TableParagraph"/>
              <w:spacing w:line="273" w:lineRule="auto" w:before="49"/>
              <w:ind w:left="215" w:right="167"/>
              <w:rPr>
                <w:b/>
                <w:sz w:val="21"/>
              </w:rPr>
            </w:pPr>
            <w:r>
              <w:rPr>
                <w:b/>
                <w:sz w:val="21"/>
              </w:rPr>
              <w:t>严重Ⅲ度烧伤</w:t>
            </w:r>
          </w:p>
        </w:tc>
        <w:tc>
          <w:tcPr>
            <w:tcW w:w="7133" w:type="dxa"/>
          </w:tcPr>
          <w:p>
            <w:pPr>
              <w:pStyle w:val="TableParagraph"/>
              <w:spacing w:line="273" w:lineRule="auto" w:before="49"/>
              <w:ind w:left="171" w:right="201"/>
              <w:rPr>
                <w:sz w:val="21"/>
              </w:rPr>
            </w:pPr>
            <w:r>
              <w:rPr>
                <w:spacing w:val="-12"/>
                <w:sz w:val="21"/>
              </w:rPr>
              <w:t>指烧伤程度为Ⅲ度，且Ⅲ度烧伤的面积达到全身体表面积的 </w:t>
            </w:r>
            <w:r>
              <w:rPr>
                <w:sz w:val="21"/>
              </w:rPr>
              <w:t>20</w:t>
            </w:r>
            <w:r>
              <w:rPr>
                <w:spacing w:val="-14"/>
                <w:sz w:val="21"/>
              </w:rPr>
              <w:t>％或 </w:t>
            </w:r>
            <w:r>
              <w:rPr>
                <w:sz w:val="21"/>
              </w:rPr>
              <w:t>20</w:t>
            </w:r>
            <w:r>
              <w:rPr>
                <w:spacing w:val="-2"/>
                <w:sz w:val="21"/>
              </w:rPr>
              <w:t>％以</w:t>
            </w:r>
            <w:r>
              <w:rPr>
                <w:spacing w:val="-3"/>
                <w:sz w:val="21"/>
              </w:rPr>
              <w:t>上。体表面积根据《中国新九分法》计算。</w:t>
            </w:r>
          </w:p>
        </w:tc>
      </w:tr>
      <w:tr>
        <w:trPr>
          <w:trHeight w:val="1171" w:hRule="atLeast"/>
        </w:trPr>
        <w:tc>
          <w:tcPr>
            <w:tcW w:w="1156" w:type="dxa"/>
          </w:tcPr>
          <w:p>
            <w:pPr>
              <w:pStyle w:val="TableParagraph"/>
              <w:spacing w:before="48"/>
              <w:ind w:left="200"/>
              <w:rPr>
                <w:b/>
                <w:sz w:val="21"/>
              </w:rPr>
            </w:pPr>
            <w:r>
              <w:rPr>
                <w:b/>
                <w:sz w:val="21"/>
              </w:rPr>
              <w:t>10.3.14</w:t>
            </w:r>
          </w:p>
        </w:tc>
        <w:tc>
          <w:tcPr>
            <w:tcW w:w="1441" w:type="dxa"/>
          </w:tcPr>
          <w:p>
            <w:pPr>
              <w:pStyle w:val="TableParagraph"/>
              <w:spacing w:line="273" w:lineRule="auto" w:before="48"/>
              <w:ind w:left="215" w:right="167"/>
              <w:rPr>
                <w:b/>
                <w:sz w:val="21"/>
              </w:rPr>
            </w:pPr>
            <w:r>
              <w:rPr>
                <w:b/>
                <w:sz w:val="21"/>
              </w:rPr>
              <w:t>语言能力丧失</w:t>
            </w:r>
          </w:p>
        </w:tc>
        <w:tc>
          <w:tcPr>
            <w:tcW w:w="7133" w:type="dxa"/>
          </w:tcPr>
          <w:p>
            <w:pPr>
              <w:pStyle w:val="TableParagraph"/>
              <w:spacing w:before="72"/>
              <w:ind w:left="171"/>
              <w:rPr>
                <w:sz w:val="21"/>
              </w:rPr>
            </w:pPr>
            <w:r>
              <w:rPr>
                <w:sz w:val="21"/>
              </w:rPr>
              <w:t>指因疾病或意外伤害导致完全丧失语言能力，经过积极治疗至少 12 个月</w:t>
            </w:r>
          </w:p>
          <w:p>
            <w:pPr>
              <w:pStyle w:val="TableParagraph"/>
              <w:spacing w:before="41"/>
              <w:rPr>
                <w:sz w:val="21"/>
              </w:rPr>
            </w:pPr>
            <w:r>
              <w:rPr>
                <w:w w:val="100"/>
                <w:sz w:val="21"/>
              </w:rPr>
              <w:t>（</w:t>
            </w:r>
            <w:r>
              <w:rPr>
                <w:spacing w:val="-3"/>
                <w:w w:val="100"/>
                <w:sz w:val="21"/>
              </w:rPr>
              <w:t>声带完全切除不受此时间限制</w:t>
            </w:r>
            <w:r>
              <w:rPr>
                <w:spacing w:val="-106"/>
                <w:w w:val="100"/>
                <w:sz w:val="21"/>
              </w:rPr>
              <w:t>）</w:t>
            </w:r>
            <w:r>
              <w:rPr>
                <w:spacing w:val="-3"/>
                <w:w w:val="100"/>
                <w:sz w:val="21"/>
              </w:rPr>
              <w:t>，仍无法通过现有医疗手段恢复。</w:t>
            </w:r>
          </w:p>
          <w:p>
            <w:pPr>
              <w:pStyle w:val="TableParagraph"/>
              <w:spacing w:before="101"/>
              <w:rPr>
                <w:rFonts w:ascii="黑体" w:eastAsia="黑体" w:hint="eastAsia"/>
                <w:sz w:val="21"/>
              </w:rPr>
            </w:pPr>
            <w:r>
              <w:rPr>
                <w:rFonts w:ascii="黑体" w:eastAsia="黑体" w:hint="eastAsia"/>
                <w:sz w:val="21"/>
              </w:rPr>
              <w:t>精神心理因素所致的语言能力丧失不在保障范围内。</w:t>
            </w:r>
          </w:p>
        </w:tc>
      </w:tr>
      <w:tr>
        <w:trPr>
          <w:trHeight w:val="332" w:hRule="atLeast"/>
        </w:trPr>
        <w:tc>
          <w:tcPr>
            <w:tcW w:w="1156" w:type="dxa"/>
          </w:tcPr>
          <w:p>
            <w:pPr>
              <w:pStyle w:val="TableParagraph"/>
              <w:spacing w:line="264" w:lineRule="exact" w:before="48"/>
              <w:ind w:left="200"/>
              <w:rPr>
                <w:b/>
                <w:sz w:val="21"/>
              </w:rPr>
            </w:pPr>
            <w:r>
              <w:rPr>
                <w:b/>
                <w:sz w:val="21"/>
              </w:rPr>
              <w:t>10.3.15</w:t>
            </w:r>
          </w:p>
        </w:tc>
        <w:tc>
          <w:tcPr>
            <w:tcW w:w="1441" w:type="dxa"/>
          </w:tcPr>
          <w:p>
            <w:pPr>
              <w:pStyle w:val="TableParagraph"/>
              <w:spacing w:line="264" w:lineRule="exact" w:before="48"/>
              <w:ind w:left="215"/>
              <w:rPr>
                <w:b/>
                <w:sz w:val="21"/>
              </w:rPr>
            </w:pPr>
            <w:r>
              <w:rPr>
                <w:b/>
                <w:sz w:val="21"/>
              </w:rPr>
              <w:t>重型再生障</w:t>
            </w:r>
          </w:p>
        </w:tc>
        <w:tc>
          <w:tcPr>
            <w:tcW w:w="7133" w:type="dxa"/>
          </w:tcPr>
          <w:p>
            <w:pPr>
              <w:pStyle w:val="TableParagraph"/>
              <w:spacing w:line="264" w:lineRule="exact" w:before="48"/>
              <w:ind w:left="171"/>
              <w:rPr>
                <w:sz w:val="21"/>
              </w:rPr>
            </w:pPr>
            <w:r>
              <w:rPr>
                <w:sz w:val="21"/>
              </w:rPr>
              <w:t>指因骨髓造血功能慢性持续性衰竭导致的贫血、中性粒细胞减少及血小板</w:t>
            </w:r>
          </w:p>
        </w:tc>
      </w:tr>
    </w:tbl>
    <w:p>
      <w:pPr>
        <w:spacing w:after="0" w:line="264" w:lineRule="exact"/>
        <w:rPr>
          <w:sz w:val="21"/>
        </w:rPr>
        <w:sectPr>
          <w:pgSz w:w="11910" w:h="16840"/>
          <w:pgMar w:top="1460" w:bottom="280" w:left="980" w:right="9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6"/>
        <w:gridCol w:w="1441"/>
        <w:gridCol w:w="7239"/>
      </w:tblGrid>
      <w:tr>
        <w:trPr>
          <w:trHeight w:val="1892" w:hRule="atLeast"/>
        </w:trPr>
        <w:tc>
          <w:tcPr>
            <w:tcW w:w="1156" w:type="dxa"/>
          </w:tcPr>
          <w:p>
            <w:pPr>
              <w:pStyle w:val="TableParagraph"/>
              <w:ind w:left="0"/>
              <w:rPr>
                <w:rFonts w:ascii="Times New Roman"/>
                <w:sz w:val="20"/>
              </w:rPr>
            </w:pPr>
          </w:p>
        </w:tc>
        <w:tc>
          <w:tcPr>
            <w:tcW w:w="1441" w:type="dxa"/>
          </w:tcPr>
          <w:p>
            <w:pPr>
              <w:pStyle w:val="TableParagraph"/>
              <w:spacing w:line="202" w:lineRule="exact"/>
              <w:ind w:left="215"/>
              <w:rPr>
                <w:b/>
                <w:sz w:val="21"/>
              </w:rPr>
            </w:pPr>
            <w:r>
              <w:rPr>
                <w:b/>
                <w:sz w:val="21"/>
              </w:rPr>
              <w:t>碍性贫血</w:t>
            </w:r>
          </w:p>
        </w:tc>
        <w:tc>
          <w:tcPr>
            <w:tcW w:w="7239" w:type="dxa"/>
          </w:tcPr>
          <w:p>
            <w:pPr>
              <w:pStyle w:val="TableParagraph"/>
              <w:spacing w:line="202" w:lineRule="exact"/>
              <w:ind w:left="171"/>
              <w:rPr>
                <w:sz w:val="21"/>
              </w:rPr>
            </w:pPr>
            <w:r>
              <w:rPr>
                <w:sz w:val="21"/>
              </w:rPr>
              <w:t>减少。须满足下列全部条件：</w:t>
            </w:r>
          </w:p>
          <w:p>
            <w:pPr>
              <w:pStyle w:val="TableParagraph"/>
              <w:spacing w:before="37"/>
              <w:ind w:left="171"/>
              <w:rPr>
                <w:sz w:val="21"/>
              </w:rPr>
            </w:pPr>
            <w:r>
              <w:rPr>
                <w:sz w:val="21"/>
              </w:rPr>
              <w:t>(1)骨髓穿刺检查或骨髓活检结果支持诊断；</w:t>
            </w:r>
          </w:p>
          <w:p>
            <w:pPr>
              <w:pStyle w:val="TableParagraph"/>
              <w:spacing w:before="37"/>
              <w:ind w:left="171"/>
              <w:rPr>
                <w:sz w:val="21"/>
              </w:rPr>
            </w:pPr>
            <w:r>
              <w:rPr>
                <w:sz w:val="21"/>
              </w:rPr>
              <w:t>(2)外周血象须具备以下三项条件：</w:t>
            </w:r>
          </w:p>
          <w:p>
            <w:pPr>
              <w:pStyle w:val="TableParagraph"/>
              <w:spacing w:before="37"/>
              <w:ind w:left="696"/>
              <w:rPr>
                <w:sz w:val="21"/>
              </w:rPr>
            </w:pPr>
            <w:r>
              <w:rPr>
                <w:sz w:val="21"/>
              </w:rPr>
              <w:t>① 中性粒细胞绝对值≤0.5×10</w:t>
            </w:r>
            <w:r>
              <w:rPr>
                <w:position w:val="11"/>
                <w:sz w:val="11"/>
              </w:rPr>
              <w:t>9</w:t>
            </w:r>
            <w:r>
              <w:rPr>
                <w:sz w:val="21"/>
              </w:rPr>
              <w:t>/L；</w:t>
            </w:r>
          </w:p>
          <w:p>
            <w:pPr>
              <w:pStyle w:val="TableParagraph"/>
              <w:spacing w:before="37"/>
              <w:ind w:left="696"/>
              <w:rPr>
                <w:sz w:val="21"/>
              </w:rPr>
            </w:pPr>
            <w:r>
              <w:rPr>
                <w:sz w:val="21"/>
              </w:rPr>
              <w:t>② 网织红细胞＜1%；</w:t>
            </w:r>
          </w:p>
          <w:p>
            <w:pPr>
              <w:pStyle w:val="TableParagraph"/>
              <w:spacing w:before="37"/>
              <w:ind w:left="697"/>
              <w:rPr>
                <w:sz w:val="21"/>
              </w:rPr>
            </w:pPr>
            <w:r>
              <w:rPr>
                <w:sz w:val="21"/>
              </w:rPr>
              <w:t>③ 血小板绝对值≤20×10</w:t>
            </w:r>
            <w:r>
              <w:rPr>
                <w:position w:val="11"/>
                <w:sz w:val="11"/>
              </w:rPr>
              <w:t>9</w:t>
            </w:r>
            <w:r>
              <w:rPr>
                <w:sz w:val="21"/>
              </w:rPr>
              <w:t>/L。</w:t>
            </w:r>
          </w:p>
        </w:tc>
      </w:tr>
      <w:tr>
        <w:trPr>
          <w:trHeight w:val="1077" w:hRule="atLeast"/>
        </w:trPr>
        <w:tc>
          <w:tcPr>
            <w:tcW w:w="1156" w:type="dxa"/>
          </w:tcPr>
          <w:p>
            <w:pPr>
              <w:pStyle w:val="TableParagraph"/>
              <w:spacing w:before="48"/>
              <w:ind w:left="200"/>
              <w:rPr>
                <w:b/>
                <w:sz w:val="21"/>
              </w:rPr>
            </w:pPr>
            <w:r>
              <w:rPr>
                <w:b/>
                <w:sz w:val="21"/>
              </w:rPr>
              <w:t>10.3.16</w:t>
            </w:r>
          </w:p>
        </w:tc>
        <w:tc>
          <w:tcPr>
            <w:tcW w:w="1441" w:type="dxa"/>
          </w:tcPr>
          <w:p>
            <w:pPr>
              <w:pStyle w:val="TableParagraph"/>
              <w:spacing w:before="48"/>
              <w:ind w:left="215"/>
              <w:rPr>
                <w:b/>
                <w:sz w:val="21"/>
              </w:rPr>
            </w:pPr>
            <w:r>
              <w:rPr>
                <w:b/>
                <w:sz w:val="21"/>
              </w:rPr>
              <w:t>川崎病</w:t>
            </w:r>
          </w:p>
        </w:tc>
        <w:tc>
          <w:tcPr>
            <w:tcW w:w="7239" w:type="dxa"/>
          </w:tcPr>
          <w:p>
            <w:pPr>
              <w:pStyle w:val="TableParagraph"/>
              <w:spacing w:line="273" w:lineRule="auto" w:before="48"/>
              <w:ind w:left="171" w:right="304"/>
              <w:jc w:val="both"/>
              <w:rPr>
                <w:sz w:val="21"/>
              </w:rPr>
            </w:pPr>
            <w:r>
              <w:rPr>
                <w:sz w:val="21"/>
              </w:rPr>
              <w:t>本保障仅限于伴有冠状动脉扩张或冠状动脉瘤的川崎病，且此冠状动脉扩</w:t>
            </w:r>
            <w:r>
              <w:rPr>
                <w:spacing w:val="-4"/>
                <w:sz w:val="21"/>
              </w:rPr>
              <w:t>张或冠状动脉瘤于最初急性发病后持续至少 </w:t>
            </w:r>
            <w:r>
              <w:rPr>
                <w:sz w:val="21"/>
              </w:rPr>
              <w:t>6</w:t>
            </w:r>
            <w:r>
              <w:rPr>
                <w:spacing w:val="-5"/>
                <w:sz w:val="21"/>
              </w:rPr>
              <w:t> 个月。理赔时必须提供超声</w:t>
            </w:r>
            <w:r>
              <w:rPr>
                <w:spacing w:val="-4"/>
                <w:sz w:val="21"/>
              </w:rPr>
              <w:t>心动图显示其有冠状动脉扩张或冠状动脉瘤。</w:t>
            </w:r>
          </w:p>
        </w:tc>
      </w:tr>
      <w:tr>
        <w:trPr>
          <w:trHeight w:val="1389" w:hRule="atLeast"/>
        </w:trPr>
        <w:tc>
          <w:tcPr>
            <w:tcW w:w="1156" w:type="dxa"/>
          </w:tcPr>
          <w:p>
            <w:pPr>
              <w:pStyle w:val="TableParagraph"/>
              <w:spacing w:before="48"/>
              <w:ind w:left="200"/>
              <w:rPr>
                <w:b/>
                <w:sz w:val="21"/>
              </w:rPr>
            </w:pPr>
            <w:r>
              <w:rPr>
                <w:b/>
                <w:sz w:val="21"/>
              </w:rPr>
              <w:t>10.3.17</w:t>
            </w:r>
          </w:p>
        </w:tc>
        <w:tc>
          <w:tcPr>
            <w:tcW w:w="1441" w:type="dxa"/>
          </w:tcPr>
          <w:p>
            <w:pPr>
              <w:pStyle w:val="TableParagraph"/>
              <w:spacing w:line="273" w:lineRule="auto" w:before="48"/>
              <w:ind w:left="215" w:right="167"/>
              <w:rPr>
                <w:b/>
                <w:sz w:val="21"/>
              </w:rPr>
            </w:pPr>
            <w:r>
              <w:rPr>
                <w:b/>
                <w:sz w:val="21"/>
              </w:rPr>
              <w:t>婴儿进行性脊肌萎缩症</w:t>
            </w:r>
          </w:p>
        </w:tc>
        <w:tc>
          <w:tcPr>
            <w:tcW w:w="7239" w:type="dxa"/>
          </w:tcPr>
          <w:p>
            <w:pPr>
              <w:pStyle w:val="TableParagraph"/>
              <w:spacing w:line="273" w:lineRule="auto" w:before="48"/>
              <w:ind w:left="171" w:right="305"/>
              <w:jc w:val="both"/>
              <w:rPr>
                <w:rFonts w:ascii="黑体" w:eastAsia="黑体" w:hint="eastAsia"/>
                <w:sz w:val="21"/>
              </w:rPr>
            </w:pPr>
            <w:r>
              <w:rPr>
                <w:sz w:val="21"/>
              </w:rPr>
              <w:t>该病是累及脊髓前角细胞及延髓运动核的神经元退行性变性病。理赔时必</w:t>
            </w:r>
            <w:r>
              <w:rPr>
                <w:spacing w:val="-7"/>
                <w:sz w:val="21"/>
              </w:rPr>
              <w:t>须提供支持诊断的肌肉活检病理报告。</w:t>
            </w:r>
            <w:r>
              <w:rPr>
                <w:rFonts w:ascii="黑体" w:eastAsia="黑体" w:hint="eastAsia"/>
                <w:spacing w:val="-6"/>
                <w:sz w:val="21"/>
              </w:rPr>
              <w:t>其它类型的脊肌萎缩症如 </w:t>
            </w:r>
            <w:r>
              <w:rPr>
                <w:rFonts w:ascii="黑体" w:eastAsia="黑体" w:hint="eastAsia"/>
                <w:sz w:val="21"/>
              </w:rPr>
              <w:t>II</w:t>
            </w:r>
            <w:r>
              <w:rPr>
                <w:rFonts w:ascii="黑体" w:eastAsia="黑体" w:hint="eastAsia"/>
                <w:spacing w:val="-11"/>
                <w:sz w:val="21"/>
              </w:rPr>
              <w:t> 型中间</w:t>
            </w:r>
            <w:r>
              <w:rPr>
                <w:rFonts w:ascii="黑体" w:eastAsia="黑体" w:hint="eastAsia"/>
                <w:spacing w:val="-6"/>
                <w:sz w:val="21"/>
              </w:rPr>
              <w:t>型进行性脊肌萎缩症、</w:t>
            </w:r>
            <w:r>
              <w:rPr>
                <w:rFonts w:ascii="黑体" w:eastAsia="黑体" w:hint="eastAsia"/>
                <w:sz w:val="21"/>
              </w:rPr>
              <w:t>III</w:t>
            </w:r>
            <w:r>
              <w:rPr>
                <w:rFonts w:ascii="黑体" w:eastAsia="黑体" w:hint="eastAsia"/>
                <w:spacing w:val="-6"/>
                <w:sz w:val="21"/>
              </w:rPr>
              <w:t> 型少年性脊肌萎缩症</w:t>
            </w:r>
            <w:r>
              <w:rPr>
                <w:rFonts w:ascii="黑体" w:eastAsia="黑体" w:hint="eastAsia"/>
                <w:sz w:val="21"/>
              </w:rPr>
              <w:t>（Kugelberg-Welander</w:t>
            </w:r>
            <w:r>
              <w:rPr>
                <w:rFonts w:ascii="黑体" w:eastAsia="黑体" w:hint="eastAsia"/>
                <w:spacing w:val="-14"/>
                <w:sz w:val="21"/>
              </w:rPr>
              <w:t> 氏病）</w:t>
            </w:r>
            <w:r>
              <w:rPr>
                <w:rFonts w:ascii="黑体" w:eastAsia="黑体" w:hint="eastAsia"/>
                <w:spacing w:val="-3"/>
                <w:sz w:val="21"/>
              </w:rPr>
              <w:t>不在本保障范围内。</w:t>
            </w:r>
          </w:p>
        </w:tc>
      </w:tr>
      <w:tr>
        <w:trPr>
          <w:trHeight w:val="2013" w:hRule="atLeast"/>
        </w:trPr>
        <w:tc>
          <w:tcPr>
            <w:tcW w:w="1156" w:type="dxa"/>
          </w:tcPr>
          <w:p>
            <w:pPr>
              <w:pStyle w:val="TableParagraph"/>
              <w:spacing w:before="49"/>
              <w:ind w:left="200"/>
              <w:rPr>
                <w:b/>
                <w:sz w:val="21"/>
              </w:rPr>
            </w:pPr>
            <w:r>
              <w:rPr>
                <w:b/>
                <w:sz w:val="21"/>
              </w:rPr>
              <w:t>10.3.18</w:t>
            </w:r>
          </w:p>
        </w:tc>
        <w:tc>
          <w:tcPr>
            <w:tcW w:w="1441" w:type="dxa"/>
          </w:tcPr>
          <w:p>
            <w:pPr>
              <w:pStyle w:val="TableParagraph"/>
              <w:spacing w:before="49"/>
              <w:ind w:left="215"/>
              <w:rPr>
                <w:b/>
                <w:sz w:val="21"/>
              </w:rPr>
            </w:pPr>
            <w:r>
              <w:rPr>
                <w:b/>
                <w:sz w:val="21"/>
              </w:rPr>
              <w:t>严重哮喘</w:t>
            </w:r>
          </w:p>
        </w:tc>
        <w:tc>
          <w:tcPr>
            <w:tcW w:w="7239" w:type="dxa"/>
          </w:tcPr>
          <w:p>
            <w:pPr>
              <w:pStyle w:val="TableParagraph"/>
              <w:spacing w:before="49"/>
              <w:ind w:left="171"/>
              <w:rPr>
                <w:sz w:val="21"/>
              </w:rPr>
            </w:pPr>
            <w:r>
              <w:rPr>
                <w:sz w:val="21"/>
              </w:rPr>
              <w:t>一种可逆性、反复发作的支气管阻塞性疾病。须满足下列至少三项条件：</w:t>
            </w:r>
          </w:p>
          <w:p>
            <w:pPr>
              <w:pStyle w:val="TableParagraph"/>
              <w:spacing w:before="37"/>
              <w:rPr>
                <w:sz w:val="21"/>
              </w:rPr>
            </w:pPr>
            <w:r>
              <w:rPr>
                <w:sz w:val="21"/>
              </w:rPr>
              <w:t>(1)过去两年中有哮喘持续状态病史；</w:t>
            </w:r>
          </w:p>
          <w:p>
            <w:pPr>
              <w:pStyle w:val="TableParagraph"/>
              <w:spacing w:line="273" w:lineRule="auto" w:before="37"/>
              <w:ind w:right="305"/>
              <w:rPr>
                <w:sz w:val="21"/>
              </w:rPr>
            </w:pPr>
            <w:r>
              <w:rPr>
                <w:sz w:val="21"/>
              </w:rPr>
              <w:t>(2)身体活动耐受能力显著且持续下降或在家中需要医师处方的氧气治疗法；</w:t>
            </w:r>
          </w:p>
          <w:p>
            <w:pPr>
              <w:pStyle w:val="TableParagraph"/>
              <w:spacing w:before="8"/>
              <w:rPr>
                <w:sz w:val="21"/>
              </w:rPr>
            </w:pPr>
            <w:r>
              <w:rPr>
                <w:sz w:val="21"/>
              </w:rPr>
              <w:t>(3)胸部 X 片证实肺部慢性过度膨胀充气导致的胸廓畸形；</w:t>
            </w:r>
          </w:p>
          <w:p>
            <w:pPr>
              <w:pStyle w:val="TableParagraph"/>
              <w:spacing w:before="37"/>
              <w:rPr>
                <w:sz w:val="21"/>
              </w:rPr>
            </w:pPr>
            <w:r>
              <w:rPr>
                <w:sz w:val="21"/>
              </w:rPr>
              <w:t>(4)</w:t>
            </w:r>
            <w:r>
              <w:rPr>
                <w:spacing w:val="-3"/>
                <w:sz w:val="21"/>
              </w:rPr>
              <w:t>持续日常服用口服可的松类固醇激素</w:t>
            </w:r>
            <w:r>
              <w:rPr>
                <w:sz w:val="21"/>
              </w:rPr>
              <w:t>（</w:t>
            </w:r>
            <w:r>
              <w:rPr>
                <w:spacing w:val="-7"/>
                <w:sz w:val="21"/>
              </w:rPr>
              <w:t>至少持续服用 </w:t>
            </w:r>
            <w:r>
              <w:rPr>
                <w:sz w:val="21"/>
              </w:rPr>
              <w:t>6</w:t>
            </w:r>
            <w:r>
              <w:rPr>
                <w:spacing w:val="-10"/>
                <w:sz w:val="21"/>
              </w:rPr>
              <w:t> 个月以上</w:t>
            </w:r>
            <w:r>
              <w:rPr>
                <w:spacing w:val="-106"/>
                <w:sz w:val="21"/>
              </w:rPr>
              <w:t>）</w:t>
            </w:r>
            <w:r>
              <w:rPr>
                <w:sz w:val="21"/>
              </w:rPr>
              <w:t>。</w:t>
            </w:r>
          </w:p>
        </w:tc>
      </w:tr>
      <w:tr>
        <w:trPr>
          <w:trHeight w:val="1780" w:hRule="atLeast"/>
        </w:trPr>
        <w:tc>
          <w:tcPr>
            <w:tcW w:w="1156" w:type="dxa"/>
          </w:tcPr>
          <w:p>
            <w:pPr>
              <w:pStyle w:val="TableParagraph"/>
              <w:spacing w:before="49"/>
              <w:ind w:left="200"/>
              <w:rPr>
                <w:b/>
                <w:sz w:val="21"/>
              </w:rPr>
            </w:pPr>
            <w:r>
              <w:rPr>
                <w:b/>
                <w:sz w:val="21"/>
              </w:rPr>
              <w:t>10.3.19</w:t>
            </w:r>
          </w:p>
        </w:tc>
        <w:tc>
          <w:tcPr>
            <w:tcW w:w="1441" w:type="dxa"/>
          </w:tcPr>
          <w:p>
            <w:pPr>
              <w:pStyle w:val="TableParagraph"/>
              <w:spacing w:before="49"/>
              <w:ind w:left="215"/>
              <w:rPr>
                <w:b/>
                <w:sz w:val="21"/>
              </w:rPr>
            </w:pPr>
            <w:r>
              <w:rPr>
                <w:b/>
                <w:sz w:val="21"/>
              </w:rPr>
              <w:t>成骨不全症</w:t>
            </w:r>
          </w:p>
        </w:tc>
        <w:tc>
          <w:tcPr>
            <w:tcW w:w="7239" w:type="dxa"/>
          </w:tcPr>
          <w:p>
            <w:pPr>
              <w:pStyle w:val="TableParagraph"/>
              <w:spacing w:before="49"/>
              <w:ind w:left="171"/>
              <w:rPr>
                <w:sz w:val="21"/>
              </w:rPr>
            </w:pPr>
            <w:r>
              <w:rPr>
                <w:sz w:val="21"/>
              </w:rPr>
              <w:t>一种胶元病，特征为骨易碎、骨质疏松和易骨折。该病有 4 种类型：I 型、</w:t>
            </w:r>
          </w:p>
          <w:p>
            <w:pPr>
              <w:pStyle w:val="TableParagraph"/>
              <w:spacing w:before="37"/>
              <w:ind w:left="171"/>
              <w:rPr>
                <w:sz w:val="21"/>
              </w:rPr>
            </w:pPr>
            <w:r>
              <w:rPr>
                <w:sz w:val="21"/>
              </w:rPr>
              <w:t>II 型、III 型、IV 型。</w:t>
            </w:r>
          </w:p>
          <w:p>
            <w:pPr>
              <w:pStyle w:val="TableParagraph"/>
              <w:spacing w:line="273" w:lineRule="auto" w:before="116"/>
              <w:ind w:left="171" w:right="304"/>
              <w:jc w:val="both"/>
              <w:rPr>
                <w:sz w:val="21"/>
              </w:rPr>
            </w:pPr>
            <w:r>
              <w:rPr>
                <w:rFonts w:ascii="黑体" w:eastAsia="黑体" w:hint="eastAsia"/>
                <w:spacing w:val="-6"/>
                <w:sz w:val="21"/>
              </w:rPr>
              <w:t>本合同只对 </w:t>
            </w:r>
            <w:r>
              <w:rPr>
                <w:rFonts w:ascii="黑体" w:eastAsia="黑体" w:hint="eastAsia"/>
                <w:sz w:val="21"/>
              </w:rPr>
              <w:t>III</w:t>
            </w:r>
            <w:r>
              <w:rPr>
                <w:rFonts w:ascii="黑体" w:eastAsia="黑体" w:hint="eastAsia"/>
                <w:spacing w:val="-6"/>
                <w:sz w:val="21"/>
              </w:rPr>
              <w:t> 型成骨不全予以理赔。</w:t>
            </w:r>
            <w:r>
              <w:rPr>
                <w:spacing w:val="-3"/>
                <w:sz w:val="21"/>
              </w:rPr>
              <w:t>其主要临床特点有：发育迟缓、多发性骨折、进行性脊柱后侧凸及听力损害。III</w:t>
            </w:r>
            <w:r>
              <w:rPr>
                <w:sz w:val="21"/>
              </w:rPr>
              <w:t> 型成骨不全的诊断必须根</w:t>
            </w:r>
            <w:r>
              <w:rPr>
                <w:spacing w:val="-3"/>
                <w:sz w:val="21"/>
              </w:rPr>
              <w:t>据身体检查、家族史、</w:t>
            </w:r>
            <w:r>
              <w:rPr>
                <w:sz w:val="21"/>
              </w:rPr>
              <w:t>X</w:t>
            </w:r>
            <w:r>
              <w:rPr>
                <w:spacing w:val="-6"/>
                <w:sz w:val="21"/>
              </w:rPr>
              <w:t> 线检查和皮肤活检报告资料确诊。</w:t>
            </w:r>
          </w:p>
        </w:tc>
      </w:tr>
      <w:tr>
        <w:trPr>
          <w:trHeight w:val="1389" w:hRule="atLeast"/>
        </w:trPr>
        <w:tc>
          <w:tcPr>
            <w:tcW w:w="1156" w:type="dxa"/>
          </w:tcPr>
          <w:p>
            <w:pPr>
              <w:pStyle w:val="TableParagraph"/>
              <w:spacing w:before="49"/>
              <w:ind w:left="200"/>
              <w:rPr>
                <w:b/>
                <w:sz w:val="21"/>
              </w:rPr>
            </w:pPr>
            <w:r>
              <w:rPr>
                <w:b/>
                <w:sz w:val="21"/>
              </w:rPr>
              <w:t>10.3.20</w:t>
            </w:r>
          </w:p>
        </w:tc>
        <w:tc>
          <w:tcPr>
            <w:tcW w:w="1441" w:type="dxa"/>
          </w:tcPr>
          <w:p>
            <w:pPr>
              <w:pStyle w:val="TableParagraph"/>
              <w:spacing w:line="273" w:lineRule="auto" w:before="49"/>
              <w:ind w:left="215" w:right="167"/>
              <w:rPr>
                <w:b/>
                <w:sz w:val="21"/>
              </w:rPr>
            </w:pPr>
            <w:r>
              <w:rPr>
                <w:b/>
                <w:sz w:val="21"/>
              </w:rPr>
              <w:t>幼年型类风湿性关节炎</w:t>
            </w:r>
          </w:p>
        </w:tc>
        <w:tc>
          <w:tcPr>
            <w:tcW w:w="7239" w:type="dxa"/>
          </w:tcPr>
          <w:p>
            <w:pPr>
              <w:pStyle w:val="TableParagraph"/>
              <w:spacing w:line="273" w:lineRule="auto" w:before="49"/>
              <w:ind w:left="171" w:right="305"/>
              <w:jc w:val="both"/>
              <w:rPr>
                <w:sz w:val="21"/>
              </w:rPr>
            </w:pPr>
            <w:r>
              <w:rPr>
                <w:sz w:val="21"/>
              </w:rPr>
              <w:t>一种少儿慢性关节炎，其特征为发热和系统性疾病体征，该体征可能于关节炎出现之前的数月间持续存在。主要临床症状包括每日发高热、消散性皮疹、关节炎、脾肿大、淋巴结肿大、浆膜炎、体重下降、中性白细胞增多、急性期蛋白增加及血清抗核抗体（ANA）和类风湿因子（RF）阳性。</w:t>
            </w:r>
          </w:p>
        </w:tc>
      </w:tr>
      <w:tr>
        <w:trPr>
          <w:trHeight w:val="765" w:hRule="atLeast"/>
        </w:trPr>
        <w:tc>
          <w:tcPr>
            <w:tcW w:w="1156" w:type="dxa"/>
          </w:tcPr>
          <w:p>
            <w:pPr>
              <w:pStyle w:val="TableParagraph"/>
              <w:spacing w:before="49"/>
              <w:ind w:left="200"/>
              <w:rPr>
                <w:b/>
                <w:sz w:val="21"/>
              </w:rPr>
            </w:pPr>
            <w:r>
              <w:rPr>
                <w:b/>
                <w:sz w:val="21"/>
              </w:rPr>
              <w:t>10.3.21</w:t>
            </w:r>
          </w:p>
        </w:tc>
        <w:tc>
          <w:tcPr>
            <w:tcW w:w="1441" w:type="dxa"/>
          </w:tcPr>
          <w:p>
            <w:pPr>
              <w:pStyle w:val="TableParagraph"/>
              <w:spacing w:before="49"/>
              <w:ind w:left="215"/>
              <w:rPr>
                <w:b/>
                <w:sz w:val="21"/>
              </w:rPr>
            </w:pPr>
            <w:r>
              <w:rPr>
                <w:b/>
                <w:sz w:val="21"/>
              </w:rPr>
              <w:t>严重胃肠炎</w:t>
            </w:r>
          </w:p>
        </w:tc>
        <w:tc>
          <w:tcPr>
            <w:tcW w:w="7239" w:type="dxa"/>
          </w:tcPr>
          <w:p>
            <w:pPr>
              <w:pStyle w:val="TableParagraph"/>
              <w:spacing w:line="273" w:lineRule="auto" w:before="49"/>
              <w:ind w:left="171" w:right="305"/>
              <w:rPr>
                <w:sz w:val="21"/>
              </w:rPr>
            </w:pPr>
            <w:r>
              <w:rPr>
                <w:sz w:val="21"/>
              </w:rPr>
              <w:t>以严重的腹泻、便血和肠段坏死为特征的胃肠道严重感染。大肠或小肠的一处或多处需手术切除，且经病理检查证实存在严重感染和坏死。</w:t>
            </w:r>
          </w:p>
        </w:tc>
      </w:tr>
      <w:tr>
        <w:trPr>
          <w:trHeight w:val="1078" w:hRule="atLeast"/>
        </w:trPr>
        <w:tc>
          <w:tcPr>
            <w:tcW w:w="1156" w:type="dxa"/>
          </w:tcPr>
          <w:p>
            <w:pPr>
              <w:pStyle w:val="TableParagraph"/>
              <w:spacing w:before="48"/>
              <w:ind w:left="200"/>
              <w:rPr>
                <w:b/>
                <w:sz w:val="21"/>
              </w:rPr>
            </w:pPr>
            <w:r>
              <w:rPr>
                <w:b/>
                <w:sz w:val="21"/>
              </w:rPr>
              <w:t>10.3.22</w:t>
            </w:r>
          </w:p>
        </w:tc>
        <w:tc>
          <w:tcPr>
            <w:tcW w:w="1441" w:type="dxa"/>
          </w:tcPr>
          <w:p>
            <w:pPr>
              <w:pStyle w:val="TableParagraph"/>
              <w:spacing w:before="48"/>
              <w:ind w:left="215"/>
              <w:rPr>
                <w:b/>
                <w:sz w:val="21"/>
              </w:rPr>
            </w:pPr>
            <w:r>
              <w:rPr>
                <w:b/>
                <w:sz w:val="21"/>
              </w:rPr>
              <w:t>严重心肌炎</w:t>
            </w:r>
          </w:p>
        </w:tc>
        <w:tc>
          <w:tcPr>
            <w:tcW w:w="7239" w:type="dxa"/>
          </w:tcPr>
          <w:p>
            <w:pPr>
              <w:pStyle w:val="TableParagraph"/>
              <w:spacing w:line="273" w:lineRule="auto" w:before="48"/>
              <w:ind w:right="304"/>
              <w:jc w:val="both"/>
              <w:rPr>
                <w:sz w:val="21"/>
              </w:rPr>
            </w:pPr>
            <w:r>
              <w:rPr>
                <w:spacing w:val="-4"/>
                <w:sz w:val="21"/>
              </w:rPr>
              <w:t>心肌的严重感染而导致至少持续 </w:t>
            </w:r>
            <w:r>
              <w:rPr>
                <w:sz w:val="21"/>
              </w:rPr>
              <w:t>6</w:t>
            </w:r>
            <w:r>
              <w:rPr>
                <w:spacing w:val="-6"/>
                <w:sz w:val="21"/>
              </w:rPr>
              <w:t> 个月的心功能损害。严重的心功能损害必须具备如下条件：左室腔扩大至少达到正常值上限的 </w:t>
            </w:r>
            <w:r>
              <w:rPr>
                <w:spacing w:val="-3"/>
                <w:sz w:val="21"/>
              </w:rPr>
              <w:t>120%，且左室射血</w:t>
            </w:r>
            <w:r>
              <w:rPr>
                <w:spacing w:val="-8"/>
                <w:sz w:val="21"/>
              </w:rPr>
              <w:t>分数持续性低于 </w:t>
            </w:r>
            <w:r>
              <w:rPr>
                <w:sz w:val="21"/>
              </w:rPr>
              <w:t>40%。</w:t>
            </w:r>
          </w:p>
        </w:tc>
      </w:tr>
      <w:tr>
        <w:trPr>
          <w:trHeight w:val="2014" w:hRule="atLeast"/>
        </w:trPr>
        <w:tc>
          <w:tcPr>
            <w:tcW w:w="1156" w:type="dxa"/>
          </w:tcPr>
          <w:p>
            <w:pPr>
              <w:pStyle w:val="TableParagraph"/>
              <w:spacing w:before="50"/>
              <w:ind w:left="200"/>
              <w:rPr>
                <w:b/>
                <w:sz w:val="21"/>
              </w:rPr>
            </w:pPr>
            <w:r>
              <w:rPr>
                <w:b/>
                <w:sz w:val="21"/>
              </w:rPr>
              <w:t>10.3.23</w:t>
            </w:r>
          </w:p>
        </w:tc>
        <w:tc>
          <w:tcPr>
            <w:tcW w:w="1441" w:type="dxa"/>
          </w:tcPr>
          <w:p>
            <w:pPr>
              <w:pStyle w:val="TableParagraph"/>
              <w:spacing w:before="50"/>
              <w:ind w:left="215"/>
              <w:rPr>
                <w:b/>
                <w:sz w:val="21"/>
              </w:rPr>
            </w:pPr>
            <w:r>
              <w:rPr>
                <w:b/>
                <w:sz w:val="21"/>
              </w:rPr>
              <w:t>脊髓灰质炎</w:t>
            </w:r>
          </w:p>
        </w:tc>
        <w:tc>
          <w:tcPr>
            <w:tcW w:w="7239" w:type="dxa"/>
          </w:tcPr>
          <w:p>
            <w:pPr>
              <w:pStyle w:val="TableParagraph"/>
              <w:spacing w:line="273" w:lineRule="auto" w:before="50"/>
              <w:ind w:left="171" w:right="302"/>
              <w:jc w:val="both"/>
              <w:rPr>
                <w:rFonts w:ascii="黑体" w:eastAsia="黑体" w:hint="eastAsia"/>
                <w:sz w:val="21"/>
              </w:rPr>
            </w:pPr>
            <w:r>
              <w:rPr>
                <w:sz w:val="21"/>
              </w:rPr>
              <w:t>脊髓灰质炎是指由于脊髓灰质炎病毒感染致脊髓运动神经元损害所导致的</w:t>
            </w:r>
            <w:r>
              <w:rPr>
                <w:spacing w:val="-4"/>
                <w:sz w:val="21"/>
              </w:rPr>
              <w:t>瘫痪性疾病，至少导致两个或以上的肢体瘫痪程度达到肌力在 </w:t>
            </w:r>
            <w:r>
              <w:rPr>
                <w:sz w:val="21"/>
              </w:rPr>
              <w:t>0-III</w:t>
            </w:r>
            <w:r>
              <w:rPr>
                <w:spacing w:val="-7"/>
                <w:sz w:val="21"/>
              </w:rPr>
              <w:t> 级， </w:t>
            </w:r>
            <w:r>
              <w:rPr>
                <w:spacing w:val="-26"/>
                <w:sz w:val="21"/>
              </w:rPr>
              <w:t>经 </w:t>
            </w:r>
            <w:r>
              <w:rPr>
                <w:sz w:val="21"/>
              </w:rPr>
              <w:t>180</w:t>
            </w:r>
            <w:r>
              <w:rPr>
                <w:spacing w:val="-12"/>
                <w:sz w:val="21"/>
              </w:rPr>
              <w:t> 天治疗后肢体肌力仍然不能恢复到 </w:t>
            </w:r>
            <w:r>
              <w:rPr>
                <w:sz w:val="21"/>
              </w:rPr>
              <w:t>IV</w:t>
            </w:r>
            <w:r>
              <w:rPr>
                <w:spacing w:val="-12"/>
                <w:sz w:val="21"/>
              </w:rPr>
              <w:t> 级。诊断需提供脊髓灰质炎病</w:t>
            </w:r>
            <w:r>
              <w:rPr>
                <w:spacing w:val="-10"/>
                <w:sz w:val="21"/>
              </w:rPr>
              <w:t>毒检查的证据</w:t>
            </w:r>
            <w:r>
              <w:rPr>
                <w:sz w:val="21"/>
              </w:rPr>
              <w:t>（</w:t>
            </w:r>
            <w:r>
              <w:rPr>
                <w:spacing w:val="-6"/>
                <w:sz w:val="21"/>
              </w:rPr>
              <w:t>如粪便或脑脊液检查，血液中抗体检查</w:t>
            </w:r>
            <w:r>
              <w:rPr>
                <w:spacing w:val="-108"/>
                <w:sz w:val="21"/>
              </w:rPr>
              <w:t>）</w:t>
            </w:r>
            <w:r>
              <w:rPr>
                <w:spacing w:val="-6"/>
                <w:sz w:val="21"/>
              </w:rPr>
              <w:t>。肢体的定义为整</w:t>
            </w:r>
            <w:r>
              <w:rPr>
                <w:spacing w:val="-7"/>
                <w:sz w:val="21"/>
              </w:rPr>
              <w:t>个上肢或是整个下肢。</w:t>
            </w:r>
            <w:r>
              <w:rPr>
                <w:rFonts w:ascii="黑体" w:eastAsia="黑体" w:hint="eastAsia"/>
                <w:spacing w:val="-7"/>
                <w:sz w:val="21"/>
              </w:rPr>
              <w:t>未导致肢体瘫痪</w:t>
            </w:r>
            <w:r>
              <w:rPr>
                <w:rFonts w:ascii="黑体" w:eastAsia="黑体" w:hint="eastAsia"/>
                <w:spacing w:val="-3"/>
                <w:sz w:val="21"/>
              </w:rPr>
              <w:t>（</w:t>
            </w:r>
            <w:r>
              <w:rPr>
                <w:rFonts w:ascii="黑体" w:eastAsia="黑体" w:hint="eastAsia"/>
                <w:spacing w:val="-10"/>
                <w:sz w:val="21"/>
              </w:rPr>
              <w:t>肢体肌力达 </w:t>
            </w:r>
            <w:r>
              <w:rPr>
                <w:rFonts w:ascii="黑体" w:eastAsia="黑体" w:hint="eastAsia"/>
                <w:sz w:val="21"/>
              </w:rPr>
              <w:t>IV</w:t>
            </w:r>
            <w:r>
              <w:rPr>
                <w:rFonts w:ascii="黑体" w:eastAsia="黑体" w:hint="eastAsia"/>
                <w:spacing w:val="-31"/>
                <w:sz w:val="21"/>
              </w:rPr>
              <w:t> 或 </w:t>
            </w:r>
            <w:r>
              <w:rPr>
                <w:rFonts w:ascii="黑体" w:eastAsia="黑体" w:hint="eastAsia"/>
                <w:sz w:val="21"/>
              </w:rPr>
              <w:t>V</w:t>
            </w:r>
            <w:r>
              <w:rPr>
                <w:rFonts w:ascii="黑体" w:eastAsia="黑体" w:hint="eastAsia"/>
                <w:spacing w:val="-25"/>
                <w:sz w:val="21"/>
              </w:rPr>
              <w:t> 级</w:t>
            </w:r>
            <w:r>
              <w:rPr>
                <w:rFonts w:ascii="黑体" w:eastAsia="黑体" w:hint="eastAsia"/>
                <w:spacing w:val="-22"/>
                <w:sz w:val="21"/>
              </w:rPr>
              <w:t>）</w:t>
            </w:r>
            <w:r>
              <w:rPr>
                <w:rFonts w:ascii="黑体" w:eastAsia="黑体" w:hint="eastAsia"/>
                <w:spacing w:val="-3"/>
                <w:sz w:val="21"/>
              </w:rPr>
              <w:t>者及其他原因导致的瘫痪不在保障范围内。</w:t>
            </w:r>
          </w:p>
        </w:tc>
      </w:tr>
      <w:tr>
        <w:trPr>
          <w:trHeight w:val="332" w:hRule="atLeast"/>
        </w:trPr>
        <w:tc>
          <w:tcPr>
            <w:tcW w:w="1156" w:type="dxa"/>
          </w:tcPr>
          <w:p>
            <w:pPr>
              <w:pStyle w:val="TableParagraph"/>
              <w:spacing w:line="264" w:lineRule="exact" w:before="48"/>
              <w:ind w:left="200"/>
              <w:rPr>
                <w:b/>
                <w:sz w:val="21"/>
              </w:rPr>
            </w:pPr>
            <w:r>
              <w:rPr>
                <w:b/>
                <w:sz w:val="21"/>
              </w:rPr>
              <w:t>10.3.24</w:t>
            </w:r>
          </w:p>
        </w:tc>
        <w:tc>
          <w:tcPr>
            <w:tcW w:w="1441" w:type="dxa"/>
          </w:tcPr>
          <w:p>
            <w:pPr>
              <w:pStyle w:val="TableParagraph"/>
              <w:spacing w:line="264" w:lineRule="exact" w:before="48"/>
              <w:ind w:left="215"/>
              <w:rPr>
                <w:b/>
                <w:sz w:val="21"/>
              </w:rPr>
            </w:pPr>
            <w:r>
              <w:rPr>
                <w:b/>
                <w:sz w:val="21"/>
              </w:rPr>
              <w:t>疾病或外伤</w:t>
            </w:r>
          </w:p>
        </w:tc>
        <w:tc>
          <w:tcPr>
            <w:tcW w:w="7239" w:type="dxa"/>
          </w:tcPr>
          <w:p>
            <w:pPr>
              <w:pStyle w:val="TableParagraph"/>
              <w:spacing w:line="264" w:lineRule="exact" w:before="48"/>
              <w:ind w:left="171"/>
              <w:rPr>
                <w:sz w:val="21"/>
              </w:rPr>
            </w:pPr>
            <w:r>
              <w:rPr>
                <w:spacing w:val="-8"/>
                <w:sz w:val="21"/>
              </w:rPr>
              <w:t>因严重头部创伤或疾病造成被保险人智力低常</w:t>
            </w:r>
            <w:r>
              <w:rPr>
                <w:sz w:val="21"/>
              </w:rPr>
              <w:t>（</w:t>
            </w:r>
            <w:r>
              <w:rPr>
                <w:spacing w:val="-3"/>
                <w:sz w:val="21"/>
              </w:rPr>
              <w:t>智力低于常态</w:t>
            </w:r>
            <w:r>
              <w:rPr>
                <w:spacing w:val="-108"/>
                <w:sz w:val="21"/>
              </w:rPr>
              <w:t>）</w:t>
            </w:r>
            <w:r>
              <w:rPr>
                <w:spacing w:val="-17"/>
                <w:sz w:val="21"/>
              </w:rPr>
              <w:t>、智力残疾。</w:t>
            </w:r>
          </w:p>
        </w:tc>
      </w:tr>
    </w:tbl>
    <w:p>
      <w:pPr>
        <w:spacing w:after="0" w:line="264" w:lineRule="exact"/>
        <w:rPr>
          <w:sz w:val="21"/>
        </w:rPr>
        <w:sectPr>
          <w:pgSz w:w="11910" w:h="16840"/>
          <w:pgMar w:top="1460" w:bottom="280" w:left="980" w:right="8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4"/>
        <w:gridCol w:w="1441"/>
        <w:gridCol w:w="7037"/>
      </w:tblGrid>
      <w:tr>
        <w:trPr>
          <w:trHeight w:val="3529" w:hRule="atLeast"/>
        </w:trPr>
        <w:tc>
          <w:tcPr>
            <w:tcW w:w="1064" w:type="dxa"/>
          </w:tcPr>
          <w:p>
            <w:pPr>
              <w:pStyle w:val="TableParagraph"/>
              <w:ind w:left="0"/>
              <w:rPr>
                <w:rFonts w:ascii="Times New Roman"/>
                <w:sz w:val="20"/>
              </w:rPr>
            </w:pPr>
          </w:p>
        </w:tc>
        <w:tc>
          <w:tcPr>
            <w:tcW w:w="1441" w:type="dxa"/>
          </w:tcPr>
          <w:p>
            <w:pPr>
              <w:pStyle w:val="TableParagraph"/>
              <w:spacing w:line="202" w:lineRule="exact"/>
              <w:ind w:left="215"/>
              <w:rPr>
                <w:b/>
                <w:sz w:val="21"/>
              </w:rPr>
            </w:pPr>
            <w:r>
              <w:rPr>
                <w:b/>
                <w:sz w:val="21"/>
              </w:rPr>
              <w:t>所致智力障</w:t>
            </w:r>
          </w:p>
          <w:p>
            <w:pPr>
              <w:pStyle w:val="TableParagraph"/>
              <w:spacing w:before="37"/>
              <w:ind w:left="215"/>
              <w:rPr>
                <w:b/>
                <w:sz w:val="21"/>
              </w:rPr>
            </w:pPr>
            <w:r>
              <w:rPr>
                <w:b/>
                <w:sz w:val="21"/>
              </w:rPr>
              <w:t>碍（残疾）</w:t>
            </w:r>
          </w:p>
        </w:tc>
        <w:tc>
          <w:tcPr>
            <w:tcW w:w="7037" w:type="dxa"/>
          </w:tcPr>
          <w:p>
            <w:pPr>
              <w:pStyle w:val="TableParagraph"/>
              <w:spacing w:line="202" w:lineRule="exact"/>
              <w:ind w:left="171"/>
              <w:rPr>
                <w:sz w:val="21"/>
              </w:rPr>
            </w:pPr>
            <w:r>
              <w:rPr>
                <w:spacing w:val="6"/>
                <w:w w:val="100"/>
                <w:sz w:val="21"/>
              </w:rPr>
              <w:t>根据智商</w:t>
            </w:r>
            <w:r>
              <w:rPr>
                <w:spacing w:val="8"/>
                <w:w w:val="100"/>
                <w:sz w:val="21"/>
              </w:rPr>
              <w:t>（</w:t>
            </w:r>
            <w:r>
              <w:rPr>
                <w:w w:val="100"/>
                <w:sz w:val="21"/>
              </w:rPr>
              <w:t>I</w:t>
            </w:r>
            <w:r>
              <w:rPr>
                <w:spacing w:val="6"/>
                <w:w w:val="100"/>
                <w:sz w:val="21"/>
              </w:rPr>
              <w:t>Q</w:t>
            </w:r>
            <w:r>
              <w:rPr>
                <w:spacing w:val="8"/>
                <w:w w:val="100"/>
                <w:sz w:val="21"/>
              </w:rPr>
              <w:t>）</w:t>
            </w:r>
            <w:r>
              <w:rPr>
                <w:spacing w:val="5"/>
                <w:w w:val="100"/>
                <w:sz w:val="21"/>
              </w:rPr>
              <w:t>智力低常分为轻度</w:t>
            </w:r>
            <w:r>
              <w:rPr>
                <w:spacing w:val="10"/>
                <w:w w:val="100"/>
                <w:sz w:val="21"/>
              </w:rPr>
              <w:t>（</w:t>
            </w:r>
            <w:r>
              <w:rPr>
                <w:w w:val="100"/>
                <w:sz w:val="21"/>
              </w:rPr>
              <w:t>IQ</w:t>
            </w:r>
            <w:r>
              <w:rPr>
                <w:spacing w:val="-3"/>
                <w:w w:val="100"/>
                <w:sz w:val="21"/>
              </w:rPr>
              <w:t>5</w:t>
            </w:r>
            <w:r>
              <w:rPr>
                <w:w w:val="100"/>
                <w:sz w:val="21"/>
              </w:rPr>
              <w:t>0-7</w:t>
            </w:r>
            <w:r>
              <w:rPr>
                <w:spacing w:val="6"/>
                <w:w w:val="100"/>
                <w:sz w:val="21"/>
              </w:rPr>
              <w:t>0</w:t>
            </w:r>
            <w:r>
              <w:rPr>
                <w:spacing w:val="-97"/>
                <w:w w:val="100"/>
                <w:sz w:val="21"/>
              </w:rPr>
              <w:t>）</w:t>
            </w:r>
            <w:r>
              <w:rPr>
                <w:spacing w:val="5"/>
                <w:w w:val="100"/>
                <w:sz w:val="21"/>
              </w:rPr>
              <w:t>；中度</w:t>
            </w:r>
            <w:r>
              <w:rPr>
                <w:spacing w:val="8"/>
                <w:w w:val="100"/>
                <w:sz w:val="21"/>
              </w:rPr>
              <w:t>（</w:t>
            </w:r>
            <w:r>
              <w:rPr>
                <w:spacing w:val="-3"/>
                <w:w w:val="100"/>
                <w:sz w:val="21"/>
              </w:rPr>
              <w:t>I</w:t>
            </w:r>
            <w:r>
              <w:rPr>
                <w:w w:val="100"/>
                <w:sz w:val="21"/>
              </w:rPr>
              <w:t>Q35</w:t>
            </w:r>
            <w:r>
              <w:rPr>
                <w:spacing w:val="-3"/>
                <w:w w:val="100"/>
                <w:sz w:val="21"/>
              </w:rPr>
              <w:t>-</w:t>
            </w:r>
            <w:r>
              <w:rPr>
                <w:w w:val="100"/>
                <w:sz w:val="21"/>
              </w:rPr>
              <w:t>5</w:t>
            </w:r>
            <w:r>
              <w:rPr>
                <w:spacing w:val="8"/>
                <w:w w:val="100"/>
                <w:sz w:val="21"/>
              </w:rPr>
              <w:t>0</w:t>
            </w:r>
            <w:r>
              <w:rPr>
                <w:spacing w:val="-99"/>
                <w:w w:val="100"/>
                <w:sz w:val="21"/>
              </w:rPr>
              <w:t>）</w:t>
            </w:r>
            <w:r>
              <w:rPr>
                <w:spacing w:val="3"/>
                <w:w w:val="100"/>
                <w:sz w:val="21"/>
              </w:rPr>
              <w:t>；重度</w:t>
            </w:r>
          </w:p>
          <w:p>
            <w:pPr>
              <w:pStyle w:val="TableParagraph"/>
              <w:spacing w:line="273" w:lineRule="auto" w:before="37"/>
              <w:ind w:left="171" w:right="102" w:hanging="1"/>
              <w:jc w:val="both"/>
              <w:rPr>
                <w:sz w:val="21"/>
              </w:rPr>
            </w:pPr>
            <w:r>
              <w:rPr>
                <w:w w:val="100"/>
                <w:sz w:val="21"/>
              </w:rPr>
              <w:t>（IQ2</w:t>
            </w:r>
            <w:r>
              <w:rPr>
                <w:spacing w:val="-3"/>
                <w:w w:val="100"/>
                <w:sz w:val="21"/>
              </w:rPr>
              <w:t>0</w:t>
            </w:r>
            <w:r>
              <w:rPr>
                <w:w w:val="100"/>
                <w:sz w:val="21"/>
              </w:rPr>
              <w:t>-3</w:t>
            </w:r>
            <w:r>
              <w:rPr>
                <w:spacing w:val="-3"/>
                <w:w w:val="100"/>
                <w:sz w:val="21"/>
              </w:rPr>
              <w:t>5</w:t>
            </w:r>
            <w:r>
              <w:rPr>
                <w:spacing w:val="-17"/>
                <w:w w:val="100"/>
                <w:sz w:val="21"/>
              </w:rPr>
              <w:t>）</w:t>
            </w:r>
            <w:r>
              <w:rPr>
                <w:spacing w:val="-7"/>
                <w:w w:val="100"/>
                <w:sz w:val="21"/>
              </w:rPr>
              <w:t>和极重度</w:t>
            </w:r>
            <w:r>
              <w:rPr>
                <w:w w:val="100"/>
                <w:sz w:val="21"/>
              </w:rPr>
              <w:t>（</w:t>
            </w:r>
            <w:r>
              <w:rPr>
                <w:spacing w:val="-3"/>
                <w:w w:val="100"/>
                <w:sz w:val="21"/>
              </w:rPr>
              <w:t>IQ&lt;2</w:t>
            </w:r>
            <w:r>
              <w:rPr>
                <w:spacing w:val="3"/>
                <w:w w:val="100"/>
                <w:sz w:val="21"/>
              </w:rPr>
              <w:t>0</w:t>
            </w:r>
            <w:r>
              <w:rPr>
                <w:spacing w:val="-106"/>
                <w:w w:val="100"/>
                <w:sz w:val="21"/>
              </w:rPr>
              <w:t>）</w:t>
            </w:r>
            <w:r>
              <w:rPr>
                <w:spacing w:val="-8"/>
                <w:w w:val="100"/>
                <w:sz w:val="21"/>
              </w:rPr>
              <w:t>。智商</w:t>
            </w:r>
            <w:r>
              <w:rPr>
                <w:spacing w:val="-8"/>
                <w:sz w:val="21"/>
              </w:rPr>
              <w:t> </w:t>
            </w:r>
            <w:r>
              <w:rPr>
                <w:w w:val="100"/>
                <w:sz w:val="21"/>
              </w:rPr>
              <w:t>70</w:t>
            </w:r>
            <w:r>
              <w:rPr>
                <w:spacing w:val="-3"/>
                <w:w w:val="100"/>
                <w:sz w:val="21"/>
              </w:rPr>
              <w:t>-</w:t>
            </w:r>
            <w:r>
              <w:rPr>
                <w:w w:val="100"/>
                <w:sz w:val="21"/>
              </w:rPr>
              <w:t>85</w:t>
            </w:r>
            <w:r>
              <w:rPr>
                <w:spacing w:val="-53"/>
                <w:sz w:val="21"/>
              </w:rPr>
              <w:t> </w:t>
            </w:r>
            <w:r>
              <w:rPr>
                <w:spacing w:val="-6"/>
                <w:w w:val="100"/>
                <w:sz w:val="21"/>
              </w:rPr>
              <w:t>为智力临界低常。智商的检测</w:t>
            </w:r>
            <w:r>
              <w:rPr>
                <w:spacing w:val="-6"/>
                <w:sz w:val="21"/>
              </w:rPr>
              <w:t>必须由本公司认可的专职心理测验工作者进行，心理测验工作者必须持有由心理测量专业委员会资格认定书。根据被保险人年龄采用对应的智力量</w:t>
            </w:r>
            <w:r>
              <w:rPr>
                <w:spacing w:val="-4"/>
                <w:sz w:val="21"/>
              </w:rPr>
              <w:t>表如韦克斯勒智力量表</w:t>
            </w:r>
            <w:r>
              <w:rPr>
                <w:spacing w:val="-3"/>
                <w:sz w:val="21"/>
              </w:rPr>
              <w:t>（儿童智力量表或成人智力量表</w:t>
            </w:r>
            <w:r>
              <w:rPr>
                <w:spacing w:val="-108"/>
                <w:sz w:val="21"/>
              </w:rPr>
              <w:t>）</w:t>
            </w:r>
            <w:r>
              <w:rPr>
                <w:sz w:val="21"/>
              </w:rPr>
              <w:t>。</w:t>
            </w:r>
          </w:p>
          <w:p>
            <w:pPr>
              <w:pStyle w:val="TableParagraph"/>
              <w:spacing w:before="84"/>
              <w:ind w:left="171"/>
              <w:rPr>
                <w:sz w:val="21"/>
              </w:rPr>
            </w:pPr>
            <w:r>
              <w:rPr>
                <w:sz w:val="21"/>
              </w:rPr>
              <w:t>理赔时必须具备所有下列条件：</w:t>
            </w:r>
          </w:p>
          <w:p>
            <w:pPr>
              <w:pStyle w:val="TableParagraph"/>
              <w:spacing w:before="36"/>
              <w:ind w:left="171"/>
              <w:rPr>
                <w:sz w:val="21"/>
              </w:rPr>
            </w:pPr>
            <w:r>
              <w:rPr>
                <w:sz w:val="21"/>
              </w:rPr>
              <w:t>(1)被保险人大于或等于六周岁；</w:t>
            </w:r>
          </w:p>
          <w:p>
            <w:pPr>
              <w:pStyle w:val="TableParagraph"/>
              <w:spacing w:before="36"/>
              <w:ind w:left="171"/>
              <w:rPr>
                <w:sz w:val="21"/>
              </w:rPr>
            </w:pPr>
            <w:r>
              <w:rPr>
                <w:sz w:val="21"/>
              </w:rPr>
              <w:t>(2)儿科主任医师确诊被保险人由于严重头部创伤或疾病造成智力低下；</w:t>
            </w:r>
          </w:p>
          <w:p>
            <w:pPr>
              <w:pStyle w:val="TableParagraph"/>
              <w:spacing w:line="273" w:lineRule="auto" w:before="36"/>
              <w:ind w:right="104"/>
              <w:rPr>
                <w:sz w:val="21"/>
              </w:rPr>
            </w:pPr>
            <w:r>
              <w:rPr>
                <w:sz w:val="21"/>
              </w:rPr>
              <w:t>(3)</w:t>
            </w:r>
            <w:r>
              <w:rPr>
                <w:spacing w:val="-6"/>
                <w:sz w:val="21"/>
              </w:rPr>
              <w:t>专职合格心理检测工作者适时做的心理检测证实被保险人智力低常</w:t>
            </w:r>
            <w:r>
              <w:rPr>
                <w:spacing w:val="-3"/>
                <w:sz w:val="21"/>
              </w:rPr>
              <w:t>（轻</w:t>
            </w:r>
            <w:r>
              <w:rPr>
                <w:spacing w:val="-3"/>
                <w:w w:val="100"/>
                <w:sz w:val="21"/>
              </w:rPr>
              <w:t>度、中度、重度或极重度</w:t>
            </w:r>
            <w:r>
              <w:rPr>
                <w:spacing w:val="-108"/>
                <w:w w:val="100"/>
                <w:sz w:val="21"/>
              </w:rPr>
              <w:t>）</w:t>
            </w:r>
            <w:r>
              <w:rPr>
                <w:w w:val="100"/>
                <w:sz w:val="21"/>
              </w:rPr>
              <w:t>；</w:t>
            </w:r>
          </w:p>
          <w:p>
            <w:pPr>
              <w:pStyle w:val="TableParagraph"/>
              <w:spacing w:before="7"/>
              <w:rPr>
                <w:sz w:val="21"/>
              </w:rPr>
            </w:pPr>
            <w:r>
              <w:rPr>
                <w:sz w:val="21"/>
              </w:rPr>
              <w:t>(4)被保险人的智力低常自确认日起持续 180 天以上。</w:t>
            </w:r>
          </w:p>
        </w:tc>
      </w:tr>
      <w:tr>
        <w:trPr>
          <w:trHeight w:val="3340" w:hRule="atLeast"/>
        </w:trPr>
        <w:tc>
          <w:tcPr>
            <w:tcW w:w="1064" w:type="dxa"/>
          </w:tcPr>
          <w:p>
            <w:pPr>
              <w:pStyle w:val="TableParagraph"/>
              <w:spacing w:before="49"/>
              <w:ind w:left="108"/>
              <w:rPr>
                <w:b/>
                <w:sz w:val="21"/>
              </w:rPr>
            </w:pPr>
            <w:r>
              <w:rPr>
                <w:b/>
                <w:sz w:val="21"/>
              </w:rPr>
              <w:t>10.3.25</w:t>
            </w:r>
          </w:p>
        </w:tc>
        <w:tc>
          <w:tcPr>
            <w:tcW w:w="1441" w:type="dxa"/>
          </w:tcPr>
          <w:p>
            <w:pPr>
              <w:pStyle w:val="TableParagraph"/>
              <w:spacing w:line="273" w:lineRule="auto" w:before="49"/>
              <w:ind w:left="215" w:right="167"/>
              <w:jc w:val="both"/>
              <w:rPr>
                <w:b/>
                <w:sz w:val="21"/>
              </w:rPr>
            </w:pPr>
            <w:r>
              <w:rPr>
                <w:b/>
                <w:sz w:val="21"/>
              </w:rPr>
              <w:t>经输血导致的人类免疫缺陷病毒感染</w:t>
            </w:r>
          </w:p>
        </w:tc>
        <w:tc>
          <w:tcPr>
            <w:tcW w:w="7037" w:type="dxa"/>
          </w:tcPr>
          <w:p>
            <w:pPr>
              <w:pStyle w:val="TableParagraph"/>
              <w:spacing w:before="49"/>
              <w:ind w:left="171" w:right="-15"/>
              <w:rPr>
                <w:sz w:val="21"/>
              </w:rPr>
            </w:pPr>
            <w:r>
              <w:rPr>
                <w:spacing w:val="-8"/>
                <w:w w:val="100"/>
                <w:sz w:val="21"/>
              </w:rPr>
              <w:t>被保险人因输血而感染上人类免疫缺陷病毒</w:t>
            </w:r>
            <w:r>
              <w:rPr>
                <w:spacing w:val="-3"/>
                <w:w w:val="100"/>
                <w:sz w:val="21"/>
              </w:rPr>
              <w:t>（</w:t>
            </w:r>
            <w:r>
              <w:rPr>
                <w:w w:val="100"/>
                <w:sz w:val="21"/>
              </w:rPr>
              <w:t>HI</w:t>
            </w:r>
            <w:r>
              <w:rPr>
                <w:spacing w:val="-1"/>
                <w:w w:val="100"/>
                <w:sz w:val="21"/>
              </w:rPr>
              <w:t>V</w:t>
            </w:r>
            <w:r>
              <w:rPr>
                <w:spacing w:val="-89"/>
                <w:w w:val="100"/>
                <w:sz w:val="21"/>
              </w:rPr>
              <w:t>）</w:t>
            </w:r>
            <w:r>
              <w:rPr>
                <w:spacing w:val="-3"/>
                <w:w w:val="100"/>
                <w:sz w:val="21"/>
              </w:rPr>
              <w:t>必须同时满足以下条件：</w:t>
            </w:r>
          </w:p>
          <w:p>
            <w:pPr>
              <w:pStyle w:val="TableParagraph"/>
              <w:spacing w:before="37"/>
              <w:rPr>
                <w:sz w:val="21"/>
              </w:rPr>
            </w:pPr>
            <w:r>
              <w:rPr>
                <w:sz w:val="21"/>
              </w:rPr>
              <w:t>(1)在保障起始日或复效日之后，被保险人因输血而感染 HIV；</w:t>
            </w:r>
          </w:p>
          <w:p>
            <w:pPr>
              <w:pStyle w:val="TableParagraph"/>
              <w:spacing w:line="273" w:lineRule="auto" w:before="37"/>
              <w:ind w:left="171" w:right="3186"/>
              <w:rPr>
                <w:sz w:val="21"/>
              </w:rPr>
            </w:pPr>
            <w:r>
              <w:rPr>
                <w:sz w:val="21"/>
              </w:rPr>
              <w:t>(2)受感染的被保险人不是血友病患者； 以及下列条件(3)或(4)中的任意一条：</w:t>
            </w:r>
          </w:p>
          <w:p>
            <w:pPr>
              <w:pStyle w:val="TableParagraph"/>
              <w:spacing w:before="8"/>
              <w:ind w:left="171"/>
              <w:rPr>
                <w:sz w:val="21"/>
              </w:rPr>
            </w:pPr>
            <w:r>
              <w:rPr>
                <w:sz w:val="21"/>
              </w:rPr>
              <w:t>(3)提供输血治疗的输血中心或医院承认该项输血感染责任的证明；</w:t>
            </w:r>
          </w:p>
          <w:p>
            <w:pPr>
              <w:pStyle w:val="TableParagraph"/>
              <w:spacing w:line="273" w:lineRule="auto" w:before="37"/>
              <w:ind w:left="171" w:right="102"/>
              <w:rPr>
                <w:sz w:val="21"/>
              </w:rPr>
            </w:pPr>
            <w:r>
              <w:rPr>
                <w:sz w:val="21"/>
              </w:rPr>
              <w:t>(4)</w:t>
            </w:r>
            <w:r>
              <w:rPr>
                <w:spacing w:val="-7"/>
                <w:sz w:val="21"/>
              </w:rPr>
              <w:t>提供输血前一个月内 </w:t>
            </w:r>
            <w:r>
              <w:rPr>
                <w:sz w:val="21"/>
              </w:rPr>
              <w:t>HIV</w:t>
            </w:r>
            <w:r>
              <w:rPr>
                <w:spacing w:val="-12"/>
                <w:sz w:val="21"/>
              </w:rPr>
              <w:t> 检查阴性的报告、输血血液来源的证明以及输</w:t>
            </w:r>
            <w:r>
              <w:rPr>
                <w:spacing w:val="-25"/>
                <w:sz w:val="21"/>
              </w:rPr>
              <w:t>血后 </w:t>
            </w:r>
            <w:r>
              <w:rPr>
                <w:sz w:val="21"/>
              </w:rPr>
              <w:t>HIV</w:t>
            </w:r>
            <w:r>
              <w:rPr>
                <w:spacing w:val="-8"/>
                <w:sz w:val="21"/>
              </w:rPr>
              <w:t> 检查阳性的报告。</w:t>
            </w:r>
          </w:p>
          <w:p>
            <w:pPr>
              <w:pStyle w:val="TableParagraph"/>
              <w:spacing w:line="273" w:lineRule="auto" w:before="87"/>
              <w:ind w:left="171" w:right="103" w:hanging="1"/>
              <w:jc w:val="both"/>
              <w:rPr>
                <w:sz w:val="21"/>
              </w:rPr>
            </w:pPr>
            <w:r>
              <w:rPr>
                <w:rFonts w:ascii="黑体" w:eastAsia="黑体" w:hint="eastAsia"/>
                <w:spacing w:val="-3"/>
                <w:sz w:val="21"/>
              </w:rPr>
              <w:t>任何因其他传播方式</w:t>
            </w:r>
            <w:r>
              <w:rPr>
                <w:rFonts w:ascii="黑体" w:eastAsia="黑体" w:hint="eastAsia"/>
                <w:sz w:val="21"/>
              </w:rPr>
              <w:t>（</w:t>
            </w:r>
            <w:r>
              <w:rPr>
                <w:rFonts w:ascii="黑体" w:eastAsia="黑体" w:hint="eastAsia"/>
                <w:spacing w:val="-3"/>
                <w:sz w:val="21"/>
              </w:rPr>
              <w:t>包括：性传播或静脉注射毒品</w:t>
            </w:r>
            <w:r>
              <w:rPr>
                <w:rFonts w:ascii="黑体" w:eastAsia="黑体" w:hint="eastAsia"/>
                <w:sz w:val="21"/>
              </w:rPr>
              <w:t>）</w:t>
            </w:r>
            <w:r>
              <w:rPr>
                <w:rFonts w:ascii="黑体" w:eastAsia="黑体" w:hint="eastAsia"/>
                <w:spacing w:val="-7"/>
                <w:sz w:val="21"/>
              </w:rPr>
              <w:t>导致的 </w:t>
            </w:r>
            <w:r>
              <w:rPr>
                <w:rFonts w:ascii="黑体" w:eastAsia="黑体" w:hint="eastAsia"/>
                <w:sz w:val="21"/>
              </w:rPr>
              <w:t>HIV</w:t>
            </w:r>
            <w:r>
              <w:rPr>
                <w:rFonts w:ascii="黑体" w:eastAsia="黑体" w:hint="eastAsia"/>
                <w:spacing w:val="-8"/>
                <w:sz w:val="21"/>
              </w:rPr>
              <w:t> 感染不</w:t>
            </w:r>
            <w:r>
              <w:rPr>
                <w:rFonts w:ascii="黑体" w:eastAsia="黑体" w:hint="eastAsia"/>
                <w:sz w:val="21"/>
              </w:rPr>
              <w:t>在本保单保障范围内。</w:t>
            </w:r>
            <w:r>
              <w:rPr>
                <w:sz w:val="21"/>
              </w:rPr>
              <w:t>保险公司必须拥有获得使用被保险人的所有血液样</w:t>
            </w:r>
            <w:r>
              <w:rPr>
                <w:spacing w:val="-3"/>
                <w:sz w:val="21"/>
              </w:rPr>
              <w:t>本的权利和能够对这些样本进行独立检验的权利。</w:t>
            </w:r>
          </w:p>
        </w:tc>
      </w:tr>
      <w:tr>
        <w:trPr>
          <w:trHeight w:val="1850" w:hRule="atLeast"/>
        </w:trPr>
        <w:tc>
          <w:tcPr>
            <w:tcW w:w="1064" w:type="dxa"/>
          </w:tcPr>
          <w:p>
            <w:pPr>
              <w:pStyle w:val="TableParagraph"/>
              <w:spacing w:before="48"/>
              <w:ind w:left="108"/>
              <w:rPr>
                <w:b/>
                <w:sz w:val="21"/>
              </w:rPr>
            </w:pPr>
            <w:r>
              <w:rPr>
                <w:b/>
                <w:sz w:val="21"/>
              </w:rPr>
              <w:t>10.4</w:t>
            </w:r>
          </w:p>
        </w:tc>
        <w:tc>
          <w:tcPr>
            <w:tcW w:w="1441" w:type="dxa"/>
          </w:tcPr>
          <w:p>
            <w:pPr>
              <w:pStyle w:val="TableParagraph"/>
              <w:spacing w:line="273" w:lineRule="auto" w:before="48"/>
              <w:ind w:left="215" w:right="167"/>
              <w:jc w:val="both"/>
              <w:rPr>
                <w:b/>
                <w:sz w:val="21"/>
              </w:rPr>
            </w:pPr>
            <w:r>
              <w:rPr>
                <w:b/>
                <w:sz w:val="21"/>
              </w:rPr>
              <w:t>重大疾病定义来源及确诊医院范围</w:t>
            </w:r>
          </w:p>
        </w:tc>
        <w:tc>
          <w:tcPr>
            <w:tcW w:w="7037" w:type="dxa"/>
          </w:tcPr>
          <w:p>
            <w:pPr>
              <w:pStyle w:val="TableParagraph"/>
              <w:spacing w:line="273" w:lineRule="auto" w:before="48"/>
              <w:ind w:left="171" w:right="102" w:hanging="1"/>
              <w:jc w:val="both"/>
              <w:rPr>
                <w:sz w:val="21"/>
              </w:rPr>
            </w:pPr>
            <w:r>
              <w:rPr>
                <w:sz w:val="21"/>
              </w:rPr>
              <w:t>以上“10.3.1</w:t>
            </w:r>
            <w:r>
              <w:rPr>
                <w:spacing w:val="-7"/>
                <w:sz w:val="21"/>
              </w:rPr>
              <w:t> 恶性肿瘤”至</w:t>
            </w:r>
            <w:r>
              <w:rPr>
                <w:sz w:val="21"/>
              </w:rPr>
              <w:t>“10.3.15</w:t>
            </w:r>
            <w:r>
              <w:rPr>
                <w:spacing w:val="-6"/>
                <w:sz w:val="21"/>
              </w:rPr>
              <w:t> 重型再生障碍性贫血”所列重大疾</w:t>
            </w:r>
            <w:r>
              <w:rPr>
                <w:spacing w:val="-7"/>
                <w:sz w:val="21"/>
              </w:rPr>
              <w:t>病定义根据中国保险行业协会 </w:t>
            </w:r>
            <w:r>
              <w:rPr>
                <w:sz w:val="21"/>
              </w:rPr>
              <w:t>2007</w:t>
            </w:r>
            <w:r>
              <w:rPr>
                <w:spacing w:val="-13"/>
                <w:sz w:val="21"/>
              </w:rPr>
              <w:t> 年公布的《重大疾病保险的疾病定义使用规范》作出，其他重大疾病由我们增加，其定义由我们根据通行的医学</w:t>
            </w:r>
            <w:r>
              <w:rPr>
                <w:spacing w:val="-7"/>
                <w:sz w:val="21"/>
              </w:rPr>
              <w:t>标准制定。</w:t>
            </w:r>
          </w:p>
          <w:p>
            <w:pPr>
              <w:pStyle w:val="TableParagraph"/>
              <w:spacing w:before="86"/>
              <w:ind w:left="171"/>
              <w:jc w:val="both"/>
              <w:rPr>
                <w:rFonts w:ascii="黑体" w:eastAsia="黑体" w:hint="eastAsia"/>
                <w:sz w:val="21"/>
              </w:rPr>
            </w:pPr>
            <w:r>
              <w:rPr>
                <w:rFonts w:ascii="黑体" w:eastAsia="黑体" w:hint="eastAsia"/>
                <w:sz w:val="21"/>
              </w:rPr>
              <w:t>以上重大疾病均须在卫Th行政部门认定的二级以上（含二级）医院确诊。</w:t>
            </w:r>
          </w:p>
        </w:tc>
      </w:tr>
      <w:tr>
        <w:trPr>
          <w:trHeight w:val="312" w:hRule="atLeast"/>
        </w:trPr>
        <w:tc>
          <w:tcPr>
            <w:tcW w:w="1064" w:type="dxa"/>
            <w:shd w:val="clear" w:color="auto" w:fill="A7A8A7"/>
          </w:tcPr>
          <w:p>
            <w:pPr>
              <w:pStyle w:val="TableParagraph"/>
              <w:spacing w:line="254" w:lineRule="exact"/>
              <w:ind w:left="108"/>
              <w:rPr>
                <w:b/>
                <w:sz w:val="21"/>
              </w:rPr>
            </w:pPr>
            <w:r>
              <w:rPr>
                <w:b/>
                <w:sz w:val="21"/>
              </w:rPr>
              <w:t>11．</w:t>
            </w:r>
          </w:p>
        </w:tc>
        <w:tc>
          <w:tcPr>
            <w:tcW w:w="1441" w:type="dxa"/>
            <w:shd w:val="clear" w:color="auto" w:fill="A7A8A7"/>
          </w:tcPr>
          <w:p>
            <w:pPr>
              <w:pStyle w:val="TableParagraph"/>
              <w:spacing w:line="254" w:lineRule="exact"/>
              <w:ind w:left="215"/>
              <w:rPr>
                <w:b/>
                <w:sz w:val="21"/>
              </w:rPr>
            </w:pPr>
            <w:r>
              <w:rPr>
                <w:b/>
                <w:sz w:val="21"/>
              </w:rPr>
              <w:t>释义</w:t>
            </w:r>
          </w:p>
        </w:tc>
        <w:tc>
          <w:tcPr>
            <w:tcW w:w="7037" w:type="dxa"/>
            <w:shd w:val="clear" w:color="auto" w:fill="A7A8A7"/>
          </w:tcPr>
          <w:p>
            <w:pPr>
              <w:pStyle w:val="TableParagraph"/>
              <w:ind w:left="0"/>
              <w:rPr>
                <w:rFonts w:ascii="Times New Roman"/>
                <w:sz w:val="20"/>
              </w:rPr>
            </w:pPr>
          </w:p>
        </w:tc>
      </w:tr>
      <w:tr>
        <w:trPr>
          <w:trHeight w:val="837" w:hRule="atLeast"/>
        </w:trPr>
        <w:tc>
          <w:tcPr>
            <w:tcW w:w="1064" w:type="dxa"/>
          </w:tcPr>
          <w:p>
            <w:pPr>
              <w:pStyle w:val="TableParagraph"/>
              <w:spacing w:before="120"/>
              <w:ind w:left="108"/>
              <w:rPr>
                <w:b/>
                <w:sz w:val="21"/>
              </w:rPr>
            </w:pPr>
            <w:r>
              <w:rPr>
                <w:b/>
                <w:sz w:val="21"/>
              </w:rPr>
              <w:t>11.1</w:t>
            </w:r>
          </w:p>
        </w:tc>
        <w:tc>
          <w:tcPr>
            <w:tcW w:w="1441" w:type="dxa"/>
          </w:tcPr>
          <w:p>
            <w:pPr>
              <w:pStyle w:val="TableParagraph"/>
              <w:spacing w:before="120"/>
              <w:ind w:left="215"/>
              <w:rPr>
                <w:b/>
                <w:sz w:val="21"/>
              </w:rPr>
            </w:pPr>
            <w:r>
              <w:rPr>
                <w:b/>
                <w:sz w:val="21"/>
              </w:rPr>
              <w:t>保单年度</w:t>
            </w:r>
          </w:p>
        </w:tc>
        <w:tc>
          <w:tcPr>
            <w:tcW w:w="7037" w:type="dxa"/>
          </w:tcPr>
          <w:p>
            <w:pPr>
              <w:pStyle w:val="TableParagraph"/>
              <w:spacing w:before="120"/>
              <w:ind w:left="171"/>
              <w:rPr>
                <w:sz w:val="21"/>
              </w:rPr>
            </w:pPr>
            <w:r>
              <w:rPr>
                <w:sz w:val="21"/>
              </w:rPr>
              <w:t>从本合同生效日或保单周年日的零时起至下一个保单周年日前一日的 24</w:t>
            </w:r>
          </w:p>
          <w:p>
            <w:pPr>
              <w:pStyle w:val="TableParagraph"/>
              <w:spacing w:before="36"/>
              <w:ind w:left="171"/>
              <w:rPr>
                <w:sz w:val="21"/>
              </w:rPr>
            </w:pPr>
            <w:r>
              <w:rPr>
                <w:sz w:val="21"/>
              </w:rPr>
              <w:t>时止为一个保单年度。</w:t>
            </w:r>
          </w:p>
        </w:tc>
      </w:tr>
      <w:tr>
        <w:trPr>
          <w:trHeight w:val="765" w:hRule="atLeast"/>
        </w:trPr>
        <w:tc>
          <w:tcPr>
            <w:tcW w:w="1064" w:type="dxa"/>
          </w:tcPr>
          <w:p>
            <w:pPr>
              <w:pStyle w:val="TableParagraph"/>
              <w:spacing w:before="48"/>
              <w:ind w:left="108"/>
              <w:rPr>
                <w:b/>
                <w:sz w:val="21"/>
              </w:rPr>
            </w:pPr>
            <w:r>
              <w:rPr>
                <w:b/>
                <w:sz w:val="21"/>
              </w:rPr>
              <w:t>11.2</w:t>
            </w:r>
          </w:p>
        </w:tc>
        <w:tc>
          <w:tcPr>
            <w:tcW w:w="1441" w:type="dxa"/>
          </w:tcPr>
          <w:p>
            <w:pPr>
              <w:pStyle w:val="TableParagraph"/>
              <w:spacing w:before="48"/>
              <w:ind w:left="215"/>
              <w:rPr>
                <w:b/>
                <w:sz w:val="21"/>
              </w:rPr>
            </w:pPr>
            <w:r>
              <w:rPr>
                <w:b/>
                <w:sz w:val="21"/>
              </w:rPr>
              <w:t>保单周年日</w:t>
            </w:r>
          </w:p>
        </w:tc>
        <w:tc>
          <w:tcPr>
            <w:tcW w:w="7037" w:type="dxa"/>
          </w:tcPr>
          <w:p>
            <w:pPr>
              <w:pStyle w:val="TableParagraph"/>
              <w:spacing w:line="273" w:lineRule="auto" w:before="48"/>
              <w:ind w:left="171" w:right="138"/>
              <w:rPr>
                <w:sz w:val="21"/>
              </w:rPr>
            </w:pPr>
            <w:r>
              <w:rPr>
                <w:sz w:val="21"/>
              </w:rPr>
              <w:t>指本合同生效日在合同生效后每年的对应日，不含合同生效日当日。如果当月没有对应的同一日，则以下个月第一日为对应日。</w:t>
            </w:r>
          </w:p>
        </w:tc>
      </w:tr>
      <w:tr>
        <w:trPr>
          <w:trHeight w:val="1077" w:hRule="atLeast"/>
        </w:trPr>
        <w:tc>
          <w:tcPr>
            <w:tcW w:w="1064" w:type="dxa"/>
          </w:tcPr>
          <w:p>
            <w:pPr>
              <w:pStyle w:val="TableParagraph"/>
              <w:spacing w:before="48"/>
              <w:ind w:left="108"/>
              <w:rPr>
                <w:b/>
                <w:sz w:val="21"/>
              </w:rPr>
            </w:pPr>
            <w:r>
              <w:rPr>
                <w:b/>
                <w:sz w:val="21"/>
              </w:rPr>
              <w:t>11.3</w:t>
            </w:r>
          </w:p>
        </w:tc>
        <w:tc>
          <w:tcPr>
            <w:tcW w:w="1441" w:type="dxa"/>
          </w:tcPr>
          <w:p>
            <w:pPr>
              <w:pStyle w:val="TableParagraph"/>
              <w:spacing w:line="273" w:lineRule="auto" w:before="48"/>
              <w:ind w:left="215" w:right="167"/>
              <w:rPr>
                <w:b/>
                <w:sz w:val="21"/>
              </w:rPr>
            </w:pPr>
            <w:r>
              <w:rPr>
                <w:b/>
                <w:sz w:val="21"/>
              </w:rPr>
              <w:t>保险费约定支付日</w:t>
            </w:r>
          </w:p>
        </w:tc>
        <w:tc>
          <w:tcPr>
            <w:tcW w:w="7037" w:type="dxa"/>
          </w:tcPr>
          <w:p>
            <w:pPr>
              <w:pStyle w:val="TableParagraph"/>
              <w:spacing w:line="273" w:lineRule="auto" w:before="48"/>
              <w:ind w:left="171" w:right="138"/>
              <w:jc w:val="both"/>
              <w:rPr>
                <w:sz w:val="21"/>
              </w:rPr>
            </w:pPr>
            <w:r>
              <w:rPr>
                <w:sz w:val="21"/>
              </w:rPr>
              <w:t>指保险费交费期间内本合同生效日在每月、每季、每半年或每年（根据交费方式确定）的对应日。若当月没有对应的同一日，则以该月最后一日为对应日。</w:t>
            </w:r>
          </w:p>
        </w:tc>
      </w:tr>
      <w:tr>
        <w:trPr>
          <w:trHeight w:val="766" w:hRule="atLeast"/>
        </w:trPr>
        <w:tc>
          <w:tcPr>
            <w:tcW w:w="1064" w:type="dxa"/>
          </w:tcPr>
          <w:p>
            <w:pPr>
              <w:pStyle w:val="TableParagraph"/>
              <w:spacing w:before="48"/>
              <w:ind w:left="108"/>
              <w:rPr>
                <w:b/>
                <w:sz w:val="21"/>
              </w:rPr>
            </w:pPr>
            <w:r>
              <w:rPr>
                <w:b/>
                <w:sz w:val="21"/>
              </w:rPr>
              <w:t>11.4</w:t>
            </w:r>
          </w:p>
        </w:tc>
        <w:tc>
          <w:tcPr>
            <w:tcW w:w="1441" w:type="dxa"/>
          </w:tcPr>
          <w:p>
            <w:pPr>
              <w:pStyle w:val="TableParagraph"/>
              <w:spacing w:before="48"/>
              <w:ind w:left="215"/>
              <w:rPr>
                <w:b/>
                <w:sz w:val="21"/>
              </w:rPr>
            </w:pPr>
            <w:r>
              <w:rPr>
                <w:b/>
                <w:sz w:val="21"/>
              </w:rPr>
              <w:t>周岁</w:t>
            </w:r>
          </w:p>
        </w:tc>
        <w:tc>
          <w:tcPr>
            <w:tcW w:w="7037" w:type="dxa"/>
          </w:tcPr>
          <w:p>
            <w:pPr>
              <w:pStyle w:val="TableParagraph"/>
              <w:spacing w:line="273" w:lineRule="auto" w:before="48"/>
              <w:ind w:left="171" w:right="-15"/>
              <w:rPr>
                <w:sz w:val="21"/>
              </w:rPr>
            </w:pPr>
            <w:r>
              <w:rPr>
                <w:spacing w:val="-7"/>
                <w:sz w:val="21"/>
              </w:rPr>
              <w:t>指按有效身份证件中记载的出生日期计算的年龄，自出生之日起为零周岁， </w:t>
            </w:r>
            <w:r>
              <w:rPr>
                <w:spacing w:val="-5"/>
                <w:sz w:val="21"/>
              </w:rPr>
              <w:t>每经过一年增加一岁，不足一年的不计。</w:t>
            </w:r>
          </w:p>
        </w:tc>
      </w:tr>
      <w:tr>
        <w:trPr>
          <w:trHeight w:val="766" w:hRule="atLeast"/>
        </w:trPr>
        <w:tc>
          <w:tcPr>
            <w:tcW w:w="1064" w:type="dxa"/>
          </w:tcPr>
          <w:p>
            <w:pPr>
              <w:pStyle w:val="TableParagraph"/>
              <w:spacing w:before="50"/>
              <w:ind w:left="108"/>
              <w:rPr>
                <w:b/>
                <w:sz w:val="21"/>
              </w:rPr>
            </w:pPr>
            <w:r>
              <w:rPr>
                <w:b/>
                <w:sz w:val="21"/>
              </w:rPr>
              <w:t>11.5</w:t>
            </w:r>
          </w:p>
        </w:tc>
        <w:tc>
          <w:tcPr>
            <w:tcW w:w="1441" w:type="dxa"/>
          </w:tcPr>
          <w:p>
            <w:pPr>
              <w:pStyle w:val="TableParagraph"/>
              <w:spacing w:line="273" w:lineRule="auto" w:before="50"/>
              <w:ind w:left="215" w:right="167"/>
              <w:rPr>
                <w:b/>
                <w:sz w:val="21"/>
              </w:rPr>
            </w:pPr>
            <w:r>
              <w:rPr>
                <w:b/>
                <w:sz w:val="21"/>
              </w:rPr>
              <w:t>有效身份证件</w:t>
            </w:r>
          </w:p>
        </w:tc>
        <w:tc>
          <w:tcPr>
            <w:tcW w:w="7037" w:type="dxa"/>
          </w:tcPr>
          <w:p>
            <w:pPr>
              <w:pStyle w:val="TableParagraph"/>
              <w:spacing w:line="273" w:lineRule="auto" w:before="50"/>
              <w:ind w:left="171" w:right="103"/>
              <w:rPr>
                <w:sz w:val="21"/>
              </w:rPr>
            </w:pPr>
            <w:r>
              <w:rPr>
                <w:sz w:val="21"/>
              </w:rPr>
              <w:t>指由政府主管部门规定的证明其身份的证件，如：居民身份证、按规定可使用的有效护照、军官证、警官证等证件。</w:t>
            </w:r>
          </w:p>
        </w:tc>
      </w:tr>
      <w:tr>
        <w:trPr>
          <w:trHeight w:val="332" w:hRule="atLeast"/>
        </w:trPr>
        <w:tc>
          <w:tcPr>
            <w:tcW w:w="1064" w:type="dxa"/>
          </w:tcPr>
          <w:p>
            <w:pPr>
              <w:pStyle w:val="TableParagraph"/>
              <w:spacing w:line="264" w:lineRule="exact" w:before="48"/>
              <w:ind w:left="108"/>
              <w:rPr>
                <w:b/>
                <w:sz w:val="21"/>
              </w:rPr>
            </w:pPr>
            <w:r>
              <w:rPr>
                <w:b/>
                <w:sz w:val="21"/>
              </w:rPr>
              <w:t>11.6</w:t>
            </w:r>
          </w:p>
        </w:tc>
        <w:tc>
          <w:tcPr>
            <w:tcW w:w="1441" w:type="dxa"/>
          </w:tcPr>
          <w:p>
            <w:pPr>
              <w:pStyle w:val="TableParagraph"/>
              <w:spacing w:line="264" w:lineRule="exact" w:before="48"/>
              <w:ind w:left="215"/>
              <w:rPr>
                <w:b/>
                <w:sz w:val="21"/>
              </w:rPr>
            </w:pPr>
            <w:r>
              <w:rPr>
                <w:b/>
                <w:sz w:val="21"/>
              </w:rPr>
              <w:t>意外伤害</w:t>
            </w:r>
          </w:p>
        </w:tc>
        <w:tc>
          <w:tcPr>
            <w:tcW w:w="7037" w:type="dxa"/>
          </w:tcPr>
          <w:p>
            <w:pPr>
              <w:pStyle w:val="TableParagraph"/>
              <w:spacing w:line="264" w:lineRule="exact" w:before="48"/>
              <w:ind w:left="171"/>
              <w:rPr>
                <w:sz w:val="21"/>
              </w:rPr>
            </w:pPr>
            <w:r>
              <w:rPr>
                <w:sz w:val="21"/>
              </w:rPr>
              <w:t>指遭受外来的、突发的、非本意的、非疾病的客观事件直接致使身体受到</w:t>
            </w:r>
          </w:p>
        </w:tc>
      </w:tr>
    </w:tbl>
    <w:p>
      <w:pPr>
        <w:spacing w:after="0" w:line="264" w:lineRule="exact"/>
        <w:rPr>
          <w:sz w:val="21"/>
        </w:rPr>
        <w:sectPr>
          <w:pgSz w:w="11910" w:h="16840"/>
          <w:pgMar w:top="1460" w:bottom="280" w:left="1080" w:right="10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0"/>
        <w:gridCol w:w="1548"/>
        <w:gridCol w:w="7202"/>
      </w:tblGrid>
      <w:tr>
        <w:trPr>
          <w:trHeight w:val="1345" w:hRule="atLeast"/>
        </w:trPr>
        <w:tc>
          <w:tcPr>
            <w:tcW w:w="1050" w:type="dxa"/>
          </w:tcPr>
          <w:p>
            <w:pPr>
              <w:pStyle w:val="TableParagraph"/>
              <w:ind w:left="0"/>
              <w:rPr>
                <w:rFonts w:ascii="Times New Roman"/>
                <w:sz w:val="20"/>
              </w:rPr>
            </w:pPr>
          </w:p>
        </w:tc>
        <w:tc>
          <w:tcPr>
            <w:tcW w:w="1548" w:type="dxa"/>
          </w:tcPr>
          <w:p>
            <w:pPr>
              <w:pStyle w:val="TableParagraph"/>
              <w:ind w:left="0"/>
              <w:rPr>
                <w:rFonts w:ascii="Times New Roman"/>
                <w:sz w:val="20"/>
              </w:rPr>
            </w:pPr>
          </w:p>
        </w:tc>
        <w:tc>
          <w:tcPr>
            <w:tcW w:w="7202" w:type="dxa"/>
          </w:tcPr>
          <w:p>
            <w:pPr>
              <w:pStyle w:val="TableParagraph"/>
              <w:spacing w:line="202" w:lineRule="exact"/>
              <w:rPr>
                <w:sz w:val="21"/>
              </w:rPr>
            </w:pPr>
            <w:r>
              <w:rPr>
                <w:sz w:val="21"/>
              </w:rPr>
              <w:t>的伤害。</w:t>
            </w:r>
          </w:p>
          <w:p>
            <w:pPr>
              <w:pStyle w:val="TableParagraph"/>
              <w:spacing w:line="273" w:lineRule="auto" w:before="114"/>
              <w:ind w:right="271"/>
              <w:jc w:val="both"/>
              <w:rPr>
                <w:sz w:val="21"/>
              </w:rPr>
            </w:pPr>
            <w:r>
              <w:rPr>
                <w:spacing w:val="-5"/>
                <w:sz w:val="21"/>
              </w:rPr>
              <w:t>本合同所述的意外伤害导致的身故，</w:t>
            </w:r>
            <w:r>
              <w:rPr>
                <w:rFonts w:ascii="黑体" w:hAnsi="黑体" w:eastAsia="黑体" w:hint="eastAsia"/>
                <w:spacing w:val="-3"/>
                <w:sz w:val="21"/>
              </w:rPr>
              <w:t>不包括猝死</w:t>
            </w:r>
            <w:r>
              <w:rPr>
                <w:spacing w:val="-16"/>
                <w:sz w:val="21"/>
              </w:rPr>
              <w:t>。“猝死”是指貌似健康的</w:t>
            </w:r>
            <w:r>
              <w:rPr>
                <w:spacing w:val="-4"/>
                <w:sz w:val="21"/>
              </w:rPr>
              <w:t>人因潜在疾病、机能障碍或其他原因在出现症状后</w:t>
            </w:r>
            <w:r>
              <w:rPr>
                <w:sz w:val="21"/>
              </w:rPr>
              <w:t>24</w:t>
            </w:r>
            <w:r>
              <w:rPr>
                <w:spacing w:val="-3"/>
                <w:sz w:val="21"/>
              </w:rPr>
              <w:t>小时内发生的非暴力性突然死亡。</w:t>
            </w:r>
          </w:p>
        </w:tc>
      </w:tr>
      <w:tr>
        <w:trPr>
          <w:trHeight w:val="2014" w:hRule="atLeast"/>
        </w:trPr>
        <w:tc>
          <w:tcPr>
            <w:tcW w:w="1050" w:type="dxa"/>
          </w:tcPr>
          <w:p>
            <w:pPr>
              <w:pStyle w:val="TableParagraph"/>
              <w:spacing w:before="48"/>
              <w:ind w:left="200"/>
              <w:rPr>
                <w:b/>
                <w:sz w:val="21"/>
              </w:rPr>
            </w:pPr>
            <w:r>
              <w:rPr>
                <w:b/>
                <w:sz w:val="21"/>
              </w:rPr>
              <w:t>11.7</w:t>
            </w:r>
          </w:p>
        </w:tc>
        <w:tc>
          <w:tcPr>
            <w:tcW w:w="1548" w:type="dxa"/>
          </w:tcPr>
          <w:p>
            <w:pPr>
              <w:pStyle w:val="TableParagraph"/>
              <w:spacing w:before="48"/>
              <w:ind w:left="321"/>
              <w:rPr>
                <w:b/>
                <w:sz w:val="21"/>
              </w:rPr>
            </w:pPr>
            <w:r>
              <w:rPr>
                <w:b/>
                <w:sz w:val="21"/>
              </w:rPr>
              <w:t>约定医院</w:t>
            </w:r>
          </w:p>
        </w:tc>
        <w:tc>
          <w:tcPr>
            <w:tcW w:w="7202" w:type="dxa"/>
          </w:tcPr>
          <w:p>
            <w:pPr>
              <w:pStyle w:val="TableParagraph"/>
              <w:spacing w:line="273" w:lineRule="auto" w:before="48"/>
              <w:ind w:left="169" w:right="269"/>
              <w:jc w:val="both"/>
              <w:rPr>
                <w:sz w:val="21"/>
              </w:rPr>
            </w:pPr>
            <w:r>
              <w:rPr>
                <w:sz w:val="21"/>
              </w:rPr>
              <w:t>指经中华人民共和国卫生部门评审确定的二级或二级以上的医院，但不包括精神病院及专供康复、休养、戒毒、戒酒、护理、养老等非以直接诊治病人为目的的医疗机构。该医院必须具有符合国家有关医院管理规则设置标准的医疗设备，且全天二十四小时有合格医师及护士驻院提供医疗及护理服务。当被保险人因遭受保险事故须急救时不受此限，但经急救处理病情稳定后，必须及时转入上述约定的医院治疗。</w:t>
            </w:r>
          </w:p>
        </w:tc>
      </w:tr>
      <w:tr>
        <w:trPr>
          <w:trHeight w:val="1390" w:hRule="atLeast"/>
        </w:trPr>
        <w:tc>
          <w:tcPr>
            <w:tcW w:w="1050" w:type="dxa"/>
          </w:tcPr>
          <w:p>
            <w:pPr>
              <w:pStyle w:val="TableParagraph"/>
              <w:spacing w:before="50"/>
              <w:ind w:left="200"/>
              <w:rPr>
                <w:b/>
                <w:sz w:val="21"/>
              </w:rPr>
            </w:pPr>
            <w:r>
              <w:rPr>
                <w:b/>
                <w:sz w:val="21"/>
              </w:rPr>
              <w:t>11.8</w:t>
            </w:r>
          </w:p>
        </w:tc>
        <w:tc>
          <w:tcPr>
            <w:tcW w:w="1548" w:type="dxa"/>
          </w:tcPr>
          <w:p>
            <w:pPr>
              <w:pStyle w:val="TableParagraph"/>
              <w:spacing w:before="50"/>
              <w:ind w:left="321"/>
              <w:rPr>
                <w:b/>
                <w:sz w:val="21"/>
              </w:rPr>
            </w:pPr>
            <w:r>
              <w:rPr>
                <w:b/>
                <w:sz w:val="21"/>
              </w:rPr>
              <w:t>毒品</w:t>
            </w:r>
          </w:p>
        </w:tc>
        <w:tc>
          <w:tcPr>
            <w:tcW w:w="7202" w:type="dxa"/>
          </w:tcPr>
          <w:p>
            <w:pPr>
              <w:pStyle w:val="TableParagraph"/>
              <w:spacing w:line="273" w:lineRule="auto" w:before="50"/>
              <w:ind w:left="169" w:right="198"/>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2"/>
                <w:sz w:val="21"/>
              </w:rPr>
              <w:t>、吗啡、</w:t>
            </w:r>
            <w:r>
              <w:rPr>
                <w:spacing w:val="-3"/>
                <w:sz w:val="21"/>
              </w:rPr>
              <w:t>大麻、可卡因以及国家规定管制的其他能够使人形成瘾癖的麻醉药品和精神药品，但不包括由医生开具并遵医嘱使用的用于治疗疾病但含有毒品成分的处方药品。</w:t>
            </w:r>
          </w:p>
        </w:tc>
      </w:tr>
      <w:tr>
        <w:trPr>
          <w:trHeight w:val="1077" w:hRule="atLeast"/>
        </w:trPr>
        <w:tc>
          <w:tcPr>
            <w:tcW w:w="1050" w:type="dxa"/>
          </w:tcPr>
          <w:p>
            <w:pPr>
              <w:pStyle w:val="TableParagraph"/>
              <w:spacing w:before="48"/>
              <w:ind w:left="200"/>
              <w:rPr>
                <w:b/>
                <w:sz w:val="21"/>
              </w:rPr>
            </w:pPr>
            <w:r>
              <w:rPr>
                <w:b/>
                <w:sz w:val="21"/>
              </w:rPr>
              <w:t>11.9</w:t>
            </w:r>
          </w:p>
        </w:tc>
        <w:tc>
          <w:tcPr>
            <w:tcW w:w="1548" w:type="dxa"/>
          </w:tcPr>
          <w:p>
            <w:pPr>
              <w:pStyle w:val="TableParagraph"/>
              <w:spacing w:before="48"/>
              <w:ind w:left="321"/>
              <w:rPr>
                <w:b/>
                <w:sz w:val="21"/>
              </w:rPr>
            </w:pPr>
            <w:r>
              <w:rPr>
                <w:b/>
                <w:sz w:val="21"/>
              </w:rPr>
              <w:t>酒后驾驶</w:t>
            </w:r>
          </w:p>
        </w:tc>
        <w:tc>
          <w:tcPr>
            <w:tcW w:w="7202" w:type="dxa"/>
          </w:tcPr>
          <w:p>
            <w:pPr>
              <w:pStyle w:val="TableParagraph"/>
              <w:spacing w:line="273" w:lineRule="auto" w:before="48"/>
              <w:ind w:right="304"/>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013" w:hRule="atLeast"/>
        </w:trPr>
        <w:tc>
          <w:tcPr>
            <w:tcW w:w="1050" w:type="dxa"/>
          </w:tcPr>
          <w:p>
            <w:pPr>
              <w:pStyle w:val="TableParagraph"/>
              <w:spacing w:before="48"/>
              <w:ind w:left="200"/>
              <w:rPr>
                <w:b/>
                <w:sz w:val="21"/>
              </w:rPr>
            </w:pPr>
            <w:r>
              <w:rPr>
                <w:b/>
                <w:sz w:val="21"/>
              </w:rPr>
              <w:t>11.10</w:t>
            </w:r>
          </w:p>
        </w:tc>
        <w:tc>
          <w:tcPr>
            <w:tcW w:w="1548" w:type="dxa"/>
          </w:tcPr>
          <w:p>
            <w:pPr>
              <w:pStyle w:val="TableParagraph"/>
              <w:spacing w:line="273" w:lineRule="auto" w:before="48"/>
              <w:ind w:left="321" w:right="168"/>
              <w:rPr>
                <w:b/>
                <w:sz w:val="21"/>
              </w:rPr>
            </w:pPr>
            <w:r>
              <w:rPr>
                <w:b/>
                <w:sz w:val="21"/>
              </w:rPr>
              <w:t>无合法有效驾驶证驾驶</w:t>
            </w:r>
          </w:p>
        </w:tc>
        <w:tc>
          <w:tcPr>
            <w:tcW w:w="7202" w:type="dxa"/>
          </w:tcPr>
          <w:p>
            <w:pPr>
              <w:pStyle w:val="TableParagraph"/>
              <w:spacing w:before="48"/>
              <w:rPr>
                <w:sz w:val="21"/>
              </w:rPr>
            </w:pPr>
            <w:r>
              <w:rPr>
                <w:sz w:val="21"/>
              </w:rPr>
              <w:t>指下列情形之一：</w:t>
            </w:r>
          </w:p>
          <w:p>
            <w:pPr>
              <w:pStyle w:val="TableParagraph"/>
              <w:spacing w:before="36"/>
              <w:rPr>
                <w:sz w:val="21"/>
              </w:rPr>
            </w:pPr>
            <w:r>
              <w:rPr>
                <w:sz w:val="21"/>
              </w:rPr>
              <w:t>(1)没有取得驾驶资格；</w:t>
            </w:r>
          </w:p>
          <w:p>
            <w:pPr>
              <w:pStyle w:val="TableParagraph"/>
              <w:spacing w:before="36"/>
              <w:rPr>
                <w:sz w:val="21"/>
              </w:rPr>
            </w:pPr>
            <w:r>
              <w:rPr>
                <w:sz w:val="21"/>
              </w:rPr>
              <w:t>(2)驾驶与驾驶证准驾车型不相符合的车辆；</w:t>
            </w:r>
          </w:p>
          <w:p>
            <w:pPr>
              <w:pStyle w:val="TableParagraph"/>
              <w:spacing w:before="36"/>
              <w:rPr>
                <w:sz w:val="21"/>
              </w:rPr>
            </w:pPr>
            <w:r>
              <w:rPr>
                <w:sz w:val="21"/>
              </w:rPr>
              <w:t>(3)持审验不合格的驾驶证驾驶；</w:t>
            </w:r>
          </w:p>
          <w:p>
            <w:pPr>
              <w:pStyle w:val="TableParagraph"/>
              <w:spacing w:line="273" w:lineRule="auto" w:before="36"/>
              <w:ind w:right="270"/>
              <w:rPr>
                <w:sz w:val="21"/>
              </w:rPr>
            </w:pPr>
            <w:r>
              <w:rPr>
                <w:sz w:val="21"/>
              </w:rPr>
              <w:t>(4)</w:t>
            </w:r>
            <w:r>
              <w:rPr>
                <w:spacing w:val="-7"/>
                <w:sz w:val="21"/>
              </w:rPr>
              <w:t>持学习驾驶证件学习驾车时，无教练员随车指导，或不按指定时间、路</w:t>
            </w:r>
            <w:r>
              <w:rPr>
                <w:spacing w:val="-5"/>
                <w:sz w:val="21"/>
              </w:rPr>
              <w:t>线学习驾车。</w:t>
            </w:r>
          </w:p>
        </w:tc>
      </w:tr>
      <w:tr>
        <w:trPr>
          <w:trHeight w:val="1389" w:hRule="atLeast"/>
        </w:trPr>
        <w:tc>
          <w:tcPr>
            <w:tcW w:w="1050" w:type="dxa"/>
          </w:tcPr>
          <w:p>
            <w:pPr>
              <w:pStyle w:val="TableParagraph"/>
              <w:spacing w:before="49"/>
              <w:ind w:left="200"/>
              <w:rPr>
                <w:b/>
                <w:sz w:val="21"/>
              </w:rPr>
            </w:pPr>
            <w:r>
              <w:rPr>
                <w:b/>
                <w:sz w:val="21"/>
              </w:rPr>
              <w:t>11.11</w:t>
            </w:r>
          </w:p>
        </w:tc>
        <w:tc>
          <w:tcPr>
            <w:tcW w:w="1548" w:type="dxa"/>
          </w:tcPr>
          <w:p>
            <w:pPr>
              <w:pStyle w:val="TableParagraph"/>
              <w:spacing w:line="273" w:lineRule="auto" w:before="49"/>
              <w:ind w:left="321" w:right="168"/>
              <w:rPr>
                <w:b/>
                <w:sz w:val="21"/>
              </w:rPr>
            </w:pPr>
            <w:r>
              <w:rPr>
                <w:b/>
                <w:sz w:val="21"/>
              </w:rPr>
              <w:t>无有效行驶证</w:t>
            </w:r>
          </w:p>
        </w:tc>
        <w:tc>
          <w:tcPr>
            <w:tcW w:w="7202" w:type="dxa"/>
          </w:tcPr>
          <w:p>
            <w:pPr>
              <w:pStyle w:val="TableParagraph"/>
              <w:spacing w:before="49"/>
              <w:rPr>
                <w:sz w:val="21"/>
              </w:rPr>
            </w:pPr>
            <w:r>
              <w:rPr>
                <w:sz w:val="21"/>
              </w:rPr>
              <w:t>指下列情形之一：</w:t>
            </w:r>
          </w:p>
          <w:p>
            <w:pPr>
              <w:pStyle w:val="TableParagraph"/>
              <w:spacing w:before="37"/>
              <w:rPr>
                <w:sz w:val="21"/>
              </w:rPr>
            </w:pPr>
            <w:r>
              <w:rPr>
                <w:sz w:val="21"/>
              </w:rPr>
              <w:t>(1)未取得行驶证或临时号牌；</w:t>
            </w:r>
          </w:p>
          <w:p>
            <w:pPr>
              <w:pStyle w:val="TableParagraph"/>
              <w:spacing w:before="37"/>
              <w:rPr>
                <w:sz w:val="21"/>
              </w:rPr>
            </w:pPr>
            <w:r>
              <w:rPr>
                <w:sz w:val="21"/>
              </w:rPr>
              <w:t>(2)机动车被依法注销登记的；</w:t>
            </w:r>
          </w:p>
          <w:p>
            <w:pPr>
              <w:pStyle w:val="TableParagraph"/>
              <w:spacing w:before="37"/>
              <w:rPr>
                <w:sz w:val="21"/>
              </w:rPr>
            </w:pPr>
            <w:r>
              <w:rPr>
                <w:sz w:val="21"/>
              </w:rPr>
              <w:t>(3)未依法按时进行或通过机动车安全技术检验。</w:t>
            </w:r>
          </w:p>
        </w:tc>
      </w:tr>
      <w:tr>
        <w:trPr>
          <w:trHeight w:val="1780" w:hRule="atLeast"/>
        </w:trPr>
        <w:tc>
          <w:tcPr>
            <w:tcW w:w="1050" w:type="dxa"/>
          </w:tcPr>
          <w:p>
            <w:pPr>
              <w:pStyle w:val="TableParagraph"/>
              <w:spacing w:before="49"/>
              <w:ind w:left="200"/>
              <w:rPr>
                <w:b/>
                <w:sz w:val="21"/>
              </w:rPr>
            </w:pPr>
            <w:r>
              <w:rPr>
                <w:b/>
                <w:sz w:val="21"/>
              </w:rPr>
              <w:t>11.12</w:t>
            </w:r>
          </w:p>
        </w:tc>
        <w:tc>
          <w:tcPr>
            <w:tcW w:w="1548" w:type="dxa"/>
          </w:tcPr>
          <w:p>
            <w:pPr>
              <w:pStyle w:val="TableParagraph"/>
              <w:spacing w:line="273" w:lineRule="auto" w:before="49"/>
              <w:ind w:left="321" w:right="168"/>
              <w:jc w:val="both"/>
              <w:rPr>
                <w:b/>
                <w:sz w:val="21"/>
              </w:rPr>
            </w:pPr>
            <w:r>
              <w:rPr>
                <w:b/>
                <w:sz w:val="21"/>
              </w:rPr>
              <w:t>感染艾滋病病毒或患艾滋病</w:t>
            </w:r>
          </w:p>
        </w:tc>
        <w:tc>
          <w:tcPr>
            <w:tcW w:w="7202" w:type="dxa"/>
          </w:tcPr>
          <w:p>
            <w:pPr>
              <w:pStyle w:val="TableParagraph"/>
              <w:spacing w:line="273" w:lineRule="auto" w:before="49"/>
              <w:ind w:left="169" w:right="269"/>
              <w:jc w:val="both"/>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87"/>
              <w:ind w:left="169" w:right="269"/>
              <w:jc w:val="both"/>
              <w:rPr>
                <w:sz w:val="21"/>
              </w:rPr>
            </w:pPr>
            <w:r>
              <w:rPr>
                <w:sz w:val="21"/>
              </w:rPr>
              <w:t>在人体血液或其他样本中检测到艾滋病病毒或其抗体呈阳性，没有出现临床症状或体征的，为感染艾滋病病毒；如果同时出现了明显临床症状或体征的，为患艾滋病。</w:t>
            </w:r>
          </w:p>
        </w:tc>
      </w:tr>
      <w:tr>
        <w:trPr>
          <w:trHeight w:val="765" w:hRule="atLeast"/>
        </w:trPr>
        <w:tc>
          <w:tcPr>
            <w:tcW w:w="1050" w:type="dxa"/>
          </w:tcPr>
          <w:p>
            <w:pPr>
              <w:pStyle w:val="TableParagraph"/>
              <w:spacing w:before="49"/>
              <w:ind w:left="200"/>
              <w:rPr>
                <w:b/>
                <w:sz w:val="21"/>
              </w:rPr>
            </w:pPr>
            <w:r>
              <w:rPr>
                <w:b/>
                <w:sz w:val="21"/>
              </w:rPr>
              <w:t>11.13</w:t>
            </w:r>
          </w:p>
        </w:tc>
        <w:tc>
          <w:tcPr>
            <w:tcW w:w="1548" w:type="dxa"/>
          </w:tcPr>
          <w:p>
            <w:pPr>
              <w:pStyle w:val="TableParagraph"/>
              <w:spacing w:before="49"/>
              <w:ind w:left="321"/>
              <w:rPr>
                <w:b/>
                <w:sz w:val="21"/>
              </w:rPr>
            </w:pPr>
            <w:r>
              <w:rPr>
                <w:b/>
                <w:sz w:val="21"/>
              </w:rPr>
              <w:t>情形复杂</w:t>
            </w:r>
          </w:p>
        </w:tc>
        <w:tc>
          <w:tcPr>
            <w:tcW w:w="7202" w:type="dxa"/>
          </w:tcPr>
          <w:p>
            <w:pPr>
              <w:pStyle w:val="TableParagraph"/>
              <w:spacing w:line="273" w:lineRule="auto" w:before="49"/>
              <w:ind w:right="304"/>
              <w:rPr>
                <w:sz w:val="21"/>
              </w:rPr>
            </w:pPr>
            <w:r>
              <w:rPr>
                <w:sz w:val="21"/>
              </w:rPr>
              <w:t>指保险事故的性质、原因、伤害或损失程度等在我们收到保险金给付申请书及合同约定的证明和资料后5日内无法确定，需要进一步核实。</w:t>
            </w:r>
          </w:p>
        </w:tc>
      </w:tr>
      <w:tr>
        <w:trPr>
          <w:trHeight w:val="1892" w:hRule="atLeast"/>
        </w:trPr>
        <w:tc>
          <w:tcPr>
            <w:tcW w:w="1050" w:type="dxa"/>
          </w:tcPr>
          <w:p>
            <w:pPr>
              <w:pStyle w:val="TableParagraph"/>
              <w:spacing w:before="48"/>
              <w:ind w:left="200"/>
              <w:rPr>
                <w:b/>
                <w:sz w:val="21"/>
              </w:rPr>
            </w:pPr>
            <w:r>
              <w:rPr>
                <w:b/>
                <w:sz w:val="21"/>
              </w:rPr>
              <w:t>11.14</w:t>
            </w:r>
          </w:p>
        </w:tc>
        <w:tc>
          <w:tcPr>
            <w:tcW w:w="1548" w:type="dxa"/>
          </w:tcPr>
          <w:p>
            <w:pPr>
              <w:pStyle w:val="TableParagraph"/>
              <w:spacing w:before="48"/>
              <w:ind w:left="321"/>
              <w:rPr>
                <w:b/>
                <w:sz w:val="21"/>
              </w:rPr>
            </w:pPr>
            <w:r>
              <w:rPr>
                <w:b/>
                <w:sz w:val="21"/>
              </w:rPr>
              <w:t>专科医生</w:t>
            </w:r>
          </w:p>
        </w:tc>
        <w:tc>
          <w:tcPr>
            <w:tcW w:w="7202" w:type="dxa"/>
          </w:tcPr>
          <w:p>
            <w:pPr>
              <w:pStyle w:val="TableParagraph"/>
              <w:spacing w:before="48"/>
              <w:rPr>
                <w:sz w:val="21"/>
              </w:rPr>
            </w:pPr>
            <w:r>
              <w:rPr>
                <w:sz w:val="21"/>
              </w:rPr>
              <w:t>专科医生应当同时满足以下四项资格条件：</w:t>
            </w:r>
          </w:p>
          <w:p>
            <w:pPr>
              <w:pStyle w:val="TableParagraph"/>
              <w:spacing w:before="36"/>
              <w:ind w:left="169"/>
              <w:rPr>
                <w:sz w:val="21"/>
              </w:rPr>
            </w:pPr>
            <w:r>
              <w:rPr>
                <w:sz w:val="21"/>
              </w:rPr>
              <w:t>(1)具有有效的中华人民共和国《医师资格证书》；</w:t>
            </w:r>
          </w:p>
          <w:p>
            <w:pPr>
              <w:pStyle w:val="TableParagraph"/>
              <w:spacing w:line="273" w:lineRule="auto" w:before="36"/>
              <w:ind w:left="169" w:right="198"/>
              <w:rPr>
                <w:sz w:val="21"/>
              </w:rPr>
            </w:pPr>
            <w:r>
              <w:rPr>
                <w:sz w:val="21"/>
              </w:rPr>
              <w:t>(2)具有有效的中华人民共和国《医师执业证书》，并按期到相关部门登记注册；</w:t>
            </w:r>
          </w:p>
          <w:p>
            <w:pPr>
              <w:pStyle w:val="TableParagraph"/>
              <w:spacing w:line="312" w:lineRule="exact" w:before="2"/>
              <w:ind w:left="169" w:right="268"/>
              <w:rPr>
                <w:sz w:val="21"/>
              </w:rPr>
            </w:pPr>
            <w:r>
              <w:rPr>
                <w:sz w:val="21"/>
              </w:rPr>
              <w:t>(3)</w:t>
            </w:r>
            <w:r>
              <w:rPr>
                <w:spacing w:val="-6"/>
                <w:sz w:val="21"/>
              </w:rPr>
              <w:t>具有有效的中华人民共和国主治医师或主治医师以上职称的《医师职称</w:t>
            </w:r>
            <w:r>
              <w:rPr>
                <w:spacing w:val="-30"/>
                <w:sz w:val="21"/>
              </w:rPr>
              <w:t>证书》；</w:t>
            </w:r>
          </w:p>
        </w:tc>
      </w:tr>
    </w:tbl>
    <w:p>
      <w:pPr>
        <w:spacing w:after="0" w:line="312" w:lineRule="exact"/>
        <w:rPr>
          <w:sz w:val="21"/>
        </w:rPr>
        <w:sectPr>
          <w:pgSz w:w="11910" w:h="16840"/>
          <w:pgMar w:top="1460" w:bottom="280" w:left="980" w:right="90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0"/>
        <w:gridCol w:w="1548"/>
        <w:gridCol w:w="7131"/>
      </w:tblGrid>
      <w:tr>
        <w:trPr>
          <w:trHeight w:val="332" w:hRule="atLeast"/>
        </w:trPr>
        <w:tc>
          <w:tcPr>
            <w:tcW w:w="1050" w:type="dxa"/>
          </w:tcPr>
          <w:p>
            <w:pPr>
              <w:pStyle w:val="TableParagraph"/>
              <w:ind w:left="0"/>
              <w:rPr>
                <w:rFonts w:ascii="Times New Roman"/>
                <w:sz w:val="20"/>
              </w:rPr>
            </w:pPr>
          </w:p>
        </w:tc>
        <w:tc>
          <w:tcPr>
            <w:tcW w:w="1548" w:type="dxa"/>
          </w:tcPr>
          <w:p>
            <w:pPr>
              <w:pStyle w:val="TableParagraph"/>
              <w:ind w:left="0"/>
              <w:rPr>
                <w:rFonts w:ascii="Times New Roman"/>
                <w:sz w:val="20"/>
              </w:rPr>
            </w:pPr>
          </w:p>
        </w:tc>
        <w:tc>
          <w:tcPr>
            <w:tcW w:w="7131" w:type="dxa"/>
          </w:tcPr>
          <w:p>
            <w:pPr>
              <w:pStyle w:val="TableParagraph"/>
              <w:spacing w:line="202" w:lineRule="exact"/>
              <w:rPr>
                <w:sz w:val="21"/>
              </w:rPr>
            </w:pPr>
            <w:r>
              <w:rPr>
                <w:sz w:val="21"/>
              </w:rPr>
              <w:t>(4)在二级或二级以上医院的相应科室从事临床工作三年以上。</w:t>
            </w:r>
          </w:p>
        </w:tc>
      </w:tr>
      <w:tr>
        <w:trPr>
          <w:trHeight w:val="765" w:hRule="atLeast"/>
        </w:trPr>
        <w:tc>
          <w:tcPr>
            <w:tcW w:w="1050" w:type="dxa"/>
          </w:tcPr>
          <w:p>
            <w:pPr>
              <w:pStyle w:val="TableParagraph"/>
              <w:spacing w:before="48"/>
              <w:ind w:left="200"/>
              <w:rPr>
                <w:b/>
                <w:sz w:val="21"/>
              </w:rPr>
            </w:pPr>
            <w:r>
              <w:rPr>
                <w:b/>
                <w:sz w:val="21"/>
              </w:rPr>
              <w:t>11.15</w:t>
            </w:r>
          </w:p>
        </w:tc>
        <w:tc>
          <w:tcPr>
            <w:tcW w:w="1548" w:type="dxa"/>
          </w:tcPr>
          <w:p>
            <w:pPr>
              <w:pStyle w:val="TableParagraph"/>
              <w:spacing w:line="273" w:lineRule="auto" w:before="48"/>
              <w:ind w:left="321" w:right="168"/>
              <w:rPr>
                <w:b/>
                <w:sz w:val="21"/>
              </w:rPr>
            </w:pPr>
            <w:r>
              <w:rPr>
                <w:b/>
                <w:sz w:val="21"/>
              </w:rPr>
              <w:t>肢体机能完全丧失</w:t>
            </w:r>
          </w:p>
        </w:tc>
        <w:tc>
          <w:tcPr>
            <w:tcW w:w="7131" w:type="dxa"/>
          </w:tcPr>
          <w:p>
            <w:pPr>
              <w:pStyle w:val="TableParagraph"/>
              <w:spacing w:line="273" w:lineRule="auto" w:before="48"/>
              <w:ind w:right="198"/>
              <w:rPr>
                <w:sz w:val="21"/>
              </w:rPr>
            </w:pPr>
            <w:r>
              <w:rPr>
                <w:sz w:val="21"/>
              </w:rPr>
              <w:t>指肢体的三大关节中的两大关节僵硬，或不能随意识活动。肢体是指包括肩关节的整个上肢或包括髋关节的整个下肢。</w:t>
            </w:r>
          </w:p>
        </w:tc>
      </w:tr>
      <w:tr>
        <w:trPr>
          <w:trHeight w:val="1780" w:hRule="atLeast"/>
        </w:trPr>
        <w:tc>
          <w:tcPr>
            <w:tcW w:w="1050" w:type="dxa"/>
          </w:tcPr>
          <w:p>
            <w:pPr>
              <w:pStyle w:val="TableParagraph"/>
              <w:spacing w:before="48"/>
              <w:ind w:left="200"/>
              <w:rPr>
                <w:b/>
                <w:sz w:val="21"/>
              </w:rPr>
            </w:pPr>
            <w:r>
              <w:rPr>
                <w:b/>
                <w:sz w:val="21"/>
              </w:rPr>
              <w:t>11.16</w:t>
            </w:r>
          </w:p>
        </w:tc>
        <w:tc>
          <w:tcPr>
            <w:tcW w:w="1548" w:type="dxa"/>
          </w:tcPr>
          <w:p>
            <w:pPr>
              <w:pStyle w:val="TableParagraph"/>
              <w:spacing w:line="273" w:lineRule="auto" w:before="48"/>
              <w:ind w:left="321" w:right="168"/>
              <w:jc w:val="both"/>
              <w:rPr>
                <w:b/>
                <w:sz w:val="21"/>
              </w:rPr>
            </w:pPr>
            <w:r>
              <w:rPr>
                <w:b/>
                <w:sz w:val="21"/>
              </w:rPr>
              <w:t>语言能力或咀嚼吞咽能力完全丧失</w:t>
            </w:r>
          </w:p>
        </w:tc>
        <w:tc>
          <w:tcPr>
            <w:tcW w:w="7131" w:type="dxa"/>
          </w:tcPr>
          <w:p>
            <w:pPr>
              <w:pStyle w:val="TableParagraph"/>
              <w:spacing w:line="273" w:lineRule="auto" w:before="48"/>
              <w:ind w:right="198"/>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73" w:lineRule="auto" w:before="86"/>
              <w:ind w:right="198"/>
              <w:jc w:val="both"/>
              <w:rPr>
                <w:sz w:val="21"/>
              </w:rPr>
            </w:pPr>
            <w:r>
              <w:rPr>
                <w:sz w:val="21"/>
              </w:rPr>
              <w:t>咀嚼吞咽能力完全丧失，指因牙齿以外的原因导致器质障碍或机能障碍， 以致不能作咀嚼吞咽运动，除流质食物外不能摄取或吞咽的状态。</w:t>
            </w:r>
          </w:p>
        </w:tc>
      </w:tr>
      <w:tr>
        <w:trPr>
          <w:trHeight w:val="2325" w:hRule="atLeast"/>
        </w:trPr>
        <w:tc>
          <w:tcPr>
            <w:tcW w:w="1050" w:type="dxa"/>
          </w:tcPr>
          <w:p>
            <w:pPr>
              <w:pStyle w:val="TableParagraph"/>
              <w:spacing w:before="49"/>
              <w:ind w:left="200"/>
              <w:rPr>
                <w:b/>
                <w:sz w:val="21"/>
              </w:rPr>
            </w:pPr>
            <w:r>
              <w:rPr>
                <w:b/>
                <w:sz w:val="21"/>
              </w:rPr>
              <w:t>11.17</w:t>
            </w:r>
          </w:p>
        </w:tc>
        <w:tc>
          <w:tcPr>
            <w:tcW w:w="1548" w:type="dxa"/>
          </w:tcPr>
          <w:p>
            <w:pPr>
              <w:pStyle w:val="TableParagraph"/>
              <w:spacing w:line="273" w:lineRule="auto" w:before="49"/>
              <w:ind w:left="321" w:right="168"/>
              <w:rPr>
                <w:b/>
                <w:sz w:val="21"/>
              </w:rPr>
            </w:pPr>
            <w:r>
              <w:rPr>
                <w:b/>
                <w:sz w:val="21"/>
              </w:rPr>
              <w:t>六项基本日常生活活动</w:t>
            </w:r>
          </w:p>
        </w:tc>
        <w:tc>
          <w:tcPr>
            <w:tcW w:w="7131" w:type="dxa"/>
          </w:tcPr>
          <w:p>
            <w:pPr>
              <w:pStyle w:val="TableParagraph"/>
              <w:spacing w:before="49"/>
              <w:rPr>
                <w:sz w:val="21"/>
              </w:rPr>
            </w:pPr>
            <w:r>
              <w:rPr>
                <w:sz w:val="21"/>
              </w:rPr>
              <w:t>六项基本日常生活活动是指：</w:t>
            </w:r>
          </w:p>
          <w:p>
            <w:pPr>
              <w:pStyle w:val="TableParagraph"/>
              <w:spacing w:before="37"/>
              <w:rPr>
                <w:sz w:val="21"/>
              </w:rPr>
            </w:pPr>
            <w:r>
              <w:rPr>
                <w:sz w:val="21"/>
              </w:rPr>
              <w:t>(1)穿衣：自己能够穿衣及脱衣；</w:t>
            </w:r>
          </w:p>
          <w:p>
            <w:pPr>
              <w:pStyle w:val="TableParagraph"/>
              <w:spacing w:before="37"/>
              <w:rPr>
                <w:sz w:val="21"/>
              </w:rPr>
            </w:pPr>
            <w:r>
              <w:rPr>
                <w:sz w:val="21"/>
              </w:rPr>
              <w:t>(2)移动：自己从一个房间到另一个房间；</w:t>
            </w:r>
          </w:p>
          <w:p>
            <w:pPr>
              <w:pStyle w:val="TableParagraph"/>
              <w:spacing w:before="37"/>
              <w:rPr>
                <w:sz w:val="21"/>
              </w:rPr>
            </w:pPr>
            <w:r>
              <w:rPr>
                <w:sz w:val="21"/>
              </w:rPr>
              <w:t>(3)行动：自己上下床或上下轮椅；</w:t>
            </w:r>
          </w:p>
          <w:p>
            <w:pPr>
              <w:pStyle w:val="TableParagraph"/>
              <w:spacing w:before="37"/>
              <w:rPr>
                <w:sz w:val="21"/>
              </w:rPr>
            </w:pPr>
            <w:r>
              <w:rPr>
                <w:sz w:val="21"/>
              </w:rPr>
              <w:t>(4)如厕：自己控制进行大小便；</w:t>
            </w:r>
          </w:p>
          <w:p>
            <w:pPr>
              <w:pStyle w:val="TableParagraph"/>
              <w:spacing w:before="37"/>
              <w:rPr>
                <w:sz w:val="21"/>
              </w:rPr>
            </w:pPr>
            <w:r>
              <w:rPr>
                <w:sz w:val="21"/>
              </w:rPr>
              <w:t>(5)进食：自己从已准备好的碗或碟中取食物放入口中；</w:t>
            </w:r>
          </w:p>
          <w:p>
            <w:pPr>
              <w:pStyle w:val="TableParagraph"/>
              <w:spacing w:before="37"/>
              <w:ind w:left="169"/>
              <w:rPr>
                <w:sz w:val="21"/>
              </w:rPr>
            </w:pPr>
            <w:r>
              <w:rPr>
                <w:sz w:val="21"/>
              </w:rPr>
              <w:t>(6)洗澡：自己进行淋浴或盆浴。</w:t>
            </w:r>
          </w:p>
        </w:tc>
      </w:tr>
      <w:tr>
        <w:trPr>
          <w:trHeight w:val="644" w:hRule="atLeast"/>
        </w:trPr>
        <w:tc>
          <w:tcPr>
            <w:tcW w:w="1050" w:type="dxa"/>
          </w:tcPr>
          <w:p>
            <w:pPr>
              <w:pStyle w:val="TableParagraph"/>
              <w:spacing w:before="49"/>
              <w:ind w:left="200"/>
              <w:rPr>
                <w:b/>
                <w:sz w:val="21"/>
              </w:rPr>
            </w:pPr>
            <w:r>
              <w:rPr>
                <w:b/>
                <w:sz w:val="21"/>
              </w:rPr>
              <w:t>11.18</w:t>
            </w:r>
          </w:p>
        </w:tc>
        <w:tc>
          <w:tcPr>
            <w:tcW w:w="1548" w:type="dxa"/>
          </w:tcPr>
          <w:p>
            <w:pPr>
              <w:pStyle w:val="TableParagraph"/>
              <w:spacing w:before="49"/>
              <w:ind w:left="321"/>
              <w:rPr>
                <w:b/>
                <w:sz w:val="21"/>
              </w:rPr>
            </w:pPr>
            <w:r>
              <w:rPr>
                <w:b/>
                <w:sz w:val="21"/>
              </w:rPr>
              <w:t>永久不可逆</w:t>
            </w:r>
          </w:p>
        </w:tc>
        <w:tc>
          <w:tcPr>
            <w:tcW w:w="7131" w:type="dxa"/>
          </w:tcPr>
          <w:p>
            <w:pPr>
              <w:pStyle w:val="TableParagraph"/>
              <w:spacing w:line="310" w:lineRule="atLeast" w:before="13"/>
              <w:ind w:left="169" w:right="233"/>
              <w:rPr>
                <w:sz w:val="21"/>
              </w:rPr>
            </w:pPr>
            <w:r>
              <w:rPr>
                <w:spacing w:val="-5"/>
                <w:sz w:val="21"/>
              </w:rPr>
              <w:t>指自疾病确诊或意外伤害发生之日起，经过积极治疗 </w:t>
            </w:r>
            <w:r>
              <w:rPr>
                <w:sz w:val="21"/>
              </w:rPr>
              <w:t>180</w:t>
            </w:r>
            <w:r>
              <w:rPr>
                <w:spacing w:val="-7"/>
                <w:sz w:val="21"/>
              </w:rPr>
              <w:t> 天后，仍无法通</w:t>
            </w:r>
            <w:r>
              <w:rPr>
                <w:spacing w:val="-5"/>
                <w:sz w:val="21"/>
              </w:rPr>
              <w:t>过现有医疗手段恢复。</w:t>
            </w:r>
          </w:p>
        </w:tc>
      </w:tr>
    </w:tbl>
    <w:sectPr>
      <w:pgSz w:w="11910" w:h="16840"/>
      <w:pgMar w:top="1460" w:bottom="2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楷体">
    <w:altName w:val="楷体"/>
    <w:charset w:val="86"/>
    <w:family w:val="modern"/>
    <w:pitch w:val="fixed"/>
  </w:font>
  <w:font w:name="黑体">
    <w:altName w:val="黑体"/>
    <w:charset w:val="86"/>
    <w:family w:val="modern"/>
    <w:pitch w:val="fixed"/>
  </w:font>
  <w:font w:name="Calibri">
    <w:altName w:val="Calibri"/>
    <w:charset w:val="0"/>
    <w:family w:val="swiss"/>
    <w:pitch w:val="variable"/>
  </w:font>
  <w:font w:name="宋体">
    <w:altName w:val="宋体"/>
    <w:charset w:val="86"/>
    <w:family w:val="auto"/>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2"/>
      <w:numFmt w:val="decimal"/>
      <w:lvlText w:val="%1"/>
      <w:lvlJc w:val="left"/>
      <w:pPr>
        <w:ind w:left="2676" w:hanging="1172"/>
        <w:jc w:val="left"/>
      </w:pPr>
      <w:rPr>
        <w:rFonts w:hint="default"/>
      </w:rPr>
    </w:lvl>
    <w:lvl w:ilvl="1">
      <w:start w:val="3"/>
      <w:numFmt w:val="decimal"/>
      <w:lvlText w:val="%1.%2"/>
      <w:lvlJc w:val="left"/>
      <w:pPr>
        <w:ind w:left="2676" w:hanging="1172"/>
        <w:jc w:val="left"/>
      </w:pPr>
      <w:rPr>
        <w:rFonts w:hint="default" w:ascii="宋体" w:hAnsi="宋体" w:eastAsia="宋体" w:cs="宋体"/>
        <w:b/>
        <w:bCs/>
        <w:w w:val="99"/>
        <w:sz w:val="21"/>
        <w:szCs w:val="21"/>
      </w:rPr>
    </w:lvl>
    <w:lvl w:ilvl="2">
      <w:start w:val="0"/>
      <w:numFmt w:val="bullet"/>
      <w:lvlText w:val="•"/>
      <w:lvlJc w:val="left"/>
      <w:pPr>
        <w:ind w:left="4053" w:hanging="1172"/>
      </w:pPr>
      <w:rPr>
        <w:rFonts w:hint="default"/>
      </w:rPr>
    </w:lvl>
    <w:lvl w:ilvl="3">
      <w:start w:val="0"/>
      <w:numFmt w:val="bullet"/>
      <w:lvlText w:val="•"/>
      <w:lvlJc w:val="left"/>
      <w:pPr>
        <w:ind w:left="4739" w:hanging="1172"/>
      </w:pPr>
      <w:rPr>
        <w:rFonts w:hint="default"/>
      </w:rPr>
    </w:lvl>
    <w:lvl w:ilvl="4">
      <w:start w:val="0"/>
      <w:numFmt w:val="bullet"/>
      <w:lvlText w:val="•"/>
      <w:lvlJc w:val="left"/>
      <w:pPr>
        <w:ind w:left="5426" w:hanging="1172"/>
      </w:pPr>
      <w:rPr>
        <w:rFonts w:hint="default"/>
      </w:rPr>
    </w:lvl>
    <w:lvl w:ilvl="5">
      <w:start w:val="0"/>
      <w:numFmt w:val="bullet"/>
      <w:lvlText w:val="•"/>
      <w:lvlJc w:val="left"/>
      <w:pPr>
        <w:ind w:left="6113" w:hanging="1172"/>
      </w:pPr>
      <w:rPr>
        <w:rFonts w:hint="default"/>
      </w:rPr>
    </w:lvl>
    <w:lvl w:ilvl="6">
      <w:start w:val="0"/>
      <w:numFmt w:val="bullet"/>
      <w:lvlText w:val="•"/>
      <w:lvlJc w:val="left"/>
      <w:pPr>
        <w:ind w:left="6799" w:hanging="1172"/>
      </w:pPr>
      <w:rPr>
        <w:rFonts w:hint="default"/>
      </w:rPr>
    </w:lvl>
    <w:lvl w:ilvl="7">
      <w:start w:val="0"/>
      <w:numFmt w:val="bullet"/>
      <w:lvlText w:val="•"/>
      <w:lvlJc w:val="left"/>
      <w:pPr>
        <w:ind w:left="7486" w:hanging="1172"/>
      </w:pPr>
      <w:rPr>
        <w:rFonts w:hint="default"/>
      </w:rPr>
    </w:lvl>
    <w:lvl w:ilvl="8">
      <w:start w:val="0"/>
      <w:numFmt w:val="bullet"/>
      <w:lvlText w:val="•"/>
      <w:lvlJc w:val="left"/>
      <w:pPr>
        <w:ind w:left="8173" w:hanging="1172"/>
      </w:pPr>
      <w:rPr>
        <w:rFonts w:hint="default"/>
      </w:rPr>
    </w:lvl>
  </w:abstractNum>
  <w:abstractNum w:abstractNumId="8">
    <w:multiLevelType w:val="hybridMultilevel"/>
    <w:lvl w:ilvl="0">
      <w:start w:val="11"/>
      <w:numFmt w:val="decimal"/>
      <w:lvlText w:val="%1"/>
      <w:lvlJc w:val="left"/>
      <w:pPr>
        <w:ind w:left="529" w:hanging="632"/>
        <w:jc w:val="left"/>
      </w:pPr>
      <w:rPr>
        <w:rFonts w:hint="default"/>
      </w:rPr>
    </w:lvl>
    <w:lvl w:ilvl="1">
      <w:start w:val="11"/>
      <w:numFmt w:val="decimal"/>
      <w:lvlText w:val="%1.%2"/>
      <w:lvlJc w:val="left"/>
      <w:pPr>
        <w:ind w:left="529" w:hanging="632"/>
        <w:jc w:val="left"/>
      </w:pPr>
      <w:rPr>
        <w:rFonts w:hint="default" w:ascii="黑体" w:hAnsi="黑体" w:eastAsia="黑体" w:cs="黑体"/>
        <w:w w:val="100"/>
        <w:sz w:val="21"/>
        <w:szCs w:val="21"/>
      </w:rPr>
    </w:lvl>
    <w:lvl w:ilvl="2">
      <w:start w:val="0"/>
      <w:numFmt w:val="bullet"/>
      <w:lvlText w:val="•"/>
      <w:lvlJc w:val="left"/>
      <w:pPr>
        <w:ind w:left="1223" w:hanging="632"/>
      </w:pPr>
      <w:rPr>
        <w:rFonts w:hint="default"/>
      </w:rPr>
    </w:lvl>
    <w:lvl w:ilvl="3">
      <w:start w:val="0"/>
      <w:numFmt w:val="bullet"/>
      <w:lvlText w:val="•"/>
      <w:lvlJc w:val="left"/>
      <w:pPr>
        <w:ind w:left="1575" w:hanging="632"/>
      </w:pPr>
      <w:rPr>
        <w:rFonts w:hint="default"/>
      </w:rPr>
    </w:lvl>
    <w:lvl w:ilvl="4">
      <w:start w:val="0"/>
      <w:numFmt w:val="bullet"/>
      <w:lvlText w:val="•"/>
      <w:lvlJc w:val="left"/>
      <w:pPr>
        <w:ind w:left="1927" w:hanging="632"/>
      </w:pPr>
      <w:rPr>
        <w:rFonts w:hint="default"/>
      </w:rPr>
    </w:lvl>
    <w:lvl w:ilvl="5">
      <w:start w:val="0"/>
      <w:numFmt w:val="bullet"/>
      <w:lvlText w:val="•"/>
      <w:lvlJc w:val="left"/>
      <w:pPr>
        <w:ind w:left="2279" w:hanging="632"/>
      </w:pPr>
      <w:rPr>
        <w:rFonts w:hint="default"/>
      </w:rPr>
    </w:lvl>
    <w:lvl w:ilvl="6">
      <w:start w:val="0"/>
      <w:numFmt w:val="bullet"/>
      <w:lvlText w:val="•"/>
      <w:lvlJc w:val="left"/>
      <w:pPr>
        <w:ind w:left="2630" w:hanging="632"/>
      </w:pPr>
      <w:rPr>
        <w:rFonts w:hint="default"/>
      </w:rPr>
    </w:lvl>
    <w:lvl w:ilvl="7">
      <w:start w:val="0"/>
      <w:numFmt w:val="bullet"/>
      <w:lvlText w:val="•"/>
      <w:lvlJc w:val="left"/>
      <w:pPr>
        <w:ind w:left="2982" w:hanging="632"/>
      </w:pPr>
      <w:rPr>
        <w:rFonts w:hint="default"/>
      </w:rPr>
    </w:lvl>
    <w:lvl w:ilvl="8">
      <w:start w:val="0"/>
      <w:numFmt w:val="bullet"/>
      <w:lvlText w:val="•"/>
      <w:lvlJc w:val="left"/>
      <w:pPr>
        <w:ind w:left="3334" w:hanging="632"/>
      </w:pPr>
      <w:rPr>
        <w:rFonts w:hint="default"/>
      </w:rPr>
    </w:lvl>
  </w:abstractNum>
  <w:abstractNum w:abstractNumId="7">
    <w:multiLevelType w:val="hybridMultilevel"/>
    <w:lvl w:ilvl="0">
      <w:start w:val="11"/>
      <w:numFmt w:val="decimal"/>
      <w:lvlText w:val="%1"/>
      <w:lvlJc w:val="left"/>
      <w:pPr>
        <w:ind w:left="1049" w:hanging="526"/>
        <w:jc w:val="left"/>
      </w:pPr>
      <w:rPr>
        <w:rFonts w:hint="default"/>
      </w:rPr>
    </w:lvl>
    <w:lvl w:ilvl="1">
      <w:start w:val="6"/>
      <w:numFmt w:val="decimal"/>
      <w:lvlText w:val="%1.%2"/>
      <w:lvlJc w:val="left"/>
      <w:pPr>
        <w:ind w:left="1049" w:hanging="526"/>
        <w:jc w:val="left"/>
      </w:pPr>
      <w:rPr>
        <w:rFonts w:hint="default" w:ascii="黑体" w:hAnsi="黑体" w:eastAsia="黑体" w:cs="黑体"/>
        <w:w w:val="100"/>
        <w:sz w:val="21"/>
        <w:szCs w:val="21"/>
      </w:rPr>
    </w:lvl>
    <w:lvl w:ilvl="2">
      <w:start w:val="0"/>
      <w:numFmt w:val="bullet"/>
      <w:lvlText w:val="•"/>
      <w:lvlJc w:val="left"/>
      <w:pPr>
        <w:ind w:left="1639" w:hanging="526"/>
      </w:pPr>
      <w:rPr>
        <w:rFonts w:hint="default"/>
      </w:rPr>
    </w:lvl>
    <w:lvl w:ilvl="3">
      <w:start w:val="0"/>
      <w:numFmt w:val="bullet"/>
      <w:lvlText w:val="•"/>
      <w:lvlJc w:val="left"/>
      <w:pPr>
        <w:ind w:left="1939" w:hanging="526"/>
      </w:pPr>
      <w:rPr>
        <w:rFonts w:hint="default"/>
      </w:rPr>
    </w:lvl>
    <w:lvl w:ilvl="4">
      <w:start w:val="0"/>
      <w:numFmt w:val="bullet"/>
      <w:lvlText w:val="•"/>
      <w:lvlJc w:val="left"/>
      <w:pPr>
        <w:ind w:left="2239" w:hanging="526"/>
      </w:pPr>
      <w:rPr>
        <w:rFonts w:hint="default"/>
      </w:rPr>
    </w:lvl>
    <w:lvl w:ilvl="5">
      <w:start w:val="0"/>
      <w:numFmt w:val="bullet"/>
      <w:lvlText w:val="•"/>
      <w:lvlJc w:val="left"/>
      <w:pPr>
        <w:ind w:left="2539" w:hanging="526"/>
      </w:pPr>
      <w:rPr>
        <w:rFonts w:hint="default"/>
      </w:rPr>
    </w:lvl>
    <w:lvl w:ilvl="6">
      <w:start w:val="0"/>
      <w:numFmt w:val="bullet"/>
      <w:lvlText w:val="•"/>
      <w:lvlJc w:val="left"/>
      <w:pPr>
        <w:ind w:left="2838" w:hanging="526"/>
      </w:pPr>
      <w:rPr>
        <w:rFonts w:hint="default"/>
      </w:rPr>
    </w:lvl>
    <w:lvl w:ilvl="7">
      <w:start w:val="0"/>
      <w:numFmt w:val="bullet"/>
      <w:lvlText w:val="•"/>
      <w:lvlJc w:val="left"/>
      <w:pPr>
        <w:ind w:left="3138" w:hanging="526"/>
      </w:pPr>
      <w:rPr>
        <w:rFonts w:hint="default"/>
      </w:rPr>
    </w:lvl>
    <w:lvl w:ilvl="8">
      <w:start w:val="0"/>
      <w:numFmt w:val="bullet"/>
      <w:lvlText w:val="•"/>
      <w:lvlJc w:val="left"/>
      <w:pPr>
        <w:ind w:left="3438" w:hanging="526"/>
      </w:pPr>
      <w:rPr>
        <w:rFonts w:hint="default"/>
      </w:rPr>
    </w:lvl>
  </w:abstractNum>
  <w:abstractNum w:abstractNumId="6">
    <w:multiLevelType w:val="hybridMultilevel"/>
    <w:lvl w:ilvl="0">
      <w:start w:val="10"/>
      <w:numFmt w:val="decimal"/>
      <w:lvlText w:val="%1"/>
      <w:lvlJc w:val="left"/>
      <w:pPr>
        <w:ind w:left="1052" w:hanging="526"/>
        <w:jc w:val="left"/>
      </w:pPr>
      <w:rPr>
        <w:rFonts w:hint="default"/>
      </w:rPr>
    </w:lvl>
    <w:lvl w:ilvl="1">
      <w:start w:val="1"/>
      <w:numFmt w:val="decimal"/>
      <w:lvlText w:val="%1.%2"/>
      <w:lvlJc w:val="left"/>
      <w:pPr>
        <w:ind w:left="531" w:hanging="526"/>
        <w:jc w:val="left"/>
      </w:pPr>
      <w:rPr>
        <w:rFonts w:hint="default" w:ascii="黑体" w:hAnsi="黑体" w:eastAsia="黑体" w:cs="黑体"/>
        <w:w w:val="100"/>
        <w:sz w:val="21"/>
        <w:szCs w:val="21"/>
      </w:rPr>
    </w:lvl>
    <w:lvl w:ilvl="2">
      <w:start w:val="0"/>
      <w:numFmt w:val="bullet"/>
      <w:lvlText w:val="•"/>
      <w:lvlJc w:val="left"/>
      <w:pPr>
        <w:ind w:left="1305" w:hanging="526"/>
      </w:pPr>
      <w:rPr>
        <w:rFonts w:hint="default"/>
      </w:rPr>
    </w:lvl>
    <w:lvl w:ilvl="3">
      <w:start w:val="0"/>
      <w:numFmt w:val="bullet"/>
      <w:lvlText w:val="•"/>
      <w:lvlJc w:val="left"/>
      <w:pPr>
        <w:ind w:left="1551" w:hanging="526"/>
      </w:pPr>
      <w:rPr>
        <w:rFonts w:hint="default"/>
      </w:rPr>
    </w:lvl>
    <w:lvl w:ilvl="4">
      <w:start w:val="0"/>
      <w:numFmt w:val="bullet"/>
      <w:lvlText w:val="•"/>
      <w:lvlJc w:val="left"/>
      <w:pPr>
        <w:ind w:left="1797" w:hanging="526"/>
      </w:pPr>
      <w:rPr>
        <w:rFonts w:hint="default"/>
      </w:rPr>
    </w:lvl>
    <w:lvl w:ilvl="5">
      <w:start w:val="0"/>
      <w:numFmt w:val="bullet"/>
      <w:lvlText w:val="•"/>
      <w:lvlJc w:val="left"/>
      <w:pPr>
        <w:ind w:left="2043" w:hanging="526"/>
      </w:pPr>
      <w:rPr>
        <w:rFonts w:hint="default"/>
      </w:rPr>
    </w:lvl>
    <w:lvl w:ilvl="6">
      <w:start w:val="0"/>
      <w:numFmt w:val="bullet"/>
      <w:lvlText w:val="•"/>
      <w:lvlJc w:val="left"/>
      <w:pPr>
        <w:ind w:left="2289" w:hanging="526"/>
      </w:pPr>
      <w:rPr>
        <w:rFonts w:hint="default"/>
      </w:rPr>
    </w:lvl>
    <w:lvl w:ilvl="7">
      <w:start w:val="0"/>
      <w:numFmt w:val="bullet"/>
      <w:lvlText w:val="•"/>
      <w:lvlJc w:val="left"/>
      <w:pPr>
        <w:ind w:left="2534" w:hanging="526"/>
      </w:pPr>
      <w:rPr>
        <w:rFonts w:hint="default"/>
      </w:rPr>
    </w:lvl>
    <w:lvl w:ilvl="8">
      <w:start w:val="0"/>
      <w:numFmt w:val="bullet"/>
      <w:lvlText w:val="•"/>
      <w:lvlJc w:val="left"/>
      <w:pPr>
        <w:ind w:left="2780" w:hanging="526"/>
      </w:pPr>
      <w:rPr>
        <w:rFonts w:hint="default"/>
      </w:rPr>
    </w:lvl>
  </w:abstractNum>
  <w:abstractNum w:abstractNumId="5">
    <w:multiLevelType w:val="hybridMultilevel"/>
    <w:lvl w:ilvl="0">
      <w:start w:val="9"/>
      <w:numFmt w:val="decimal"/>
      <w:lvlText w:val="%1"/>
      <w:lvlJc w:val="left"/>
      <w:pPr>
        <w:ind w:left="948" w:hanging="423"/>
        <w:jc w:val="left"/>
      </w:pPr>
      <w:rPr>
        <w:rFonts w:hint="default"/>
      </w:rPr>
    </w:lvl>
    <w:lvl w:ilvl="1">
      <w:start w:val="1"/>
      <w:numFmt w:val="decimal"/>
      <w:lvlText w:val="%1.%2"/>
      <w:lvlJc w:val="left"/>
      <w:pPr>
        <w:ind w:left="948" w:hanging="423"/>
        <w:jc w:val="left"/>
      </w:pPr>
      <w:rPr>
        <w:rFonts w:hint="default" w:ascii="黑体" w:hAnsi="黑体" w:eastAsia="黑体" w:cs="黑体"/>
        <w:w w:val="100"/>
        <w:sz w:val="21"/>
        <w:szCs w:val="21"/>
      </w:rPr>
    </w:lvl>
    <w:lvl w:ilvl="2">
      <w:start w:val="0"/>
      <w:numFmt w:val="bullet"/>
      <w:lvlText w:val="•"/>
      <w:lvlJc w:val="left"/>
      <w:pPr>
        <w:ind w:left="1406" w:hanging="423"/>
      </w:pPr>
      <w:rPr>
        <w:rFonts w:hint="default"/>
      </w:rPr>
    </w:lvl>
    <w:lvl w:ilvl="3">
      <w:start w:val="0"/>
      <w:numFmt w:val="bullet"/>
      <w:lvlText w:val="•"/>
      <w:lvlJc w:val="left"/>
      <w:pPr>
        <w:ind w:left="1639" w:hanging="423"/>
      </w:pPr>
      <w:rPr>
        <w:rFonts w:hint="default"/>
      </w:rPr>
    </w:lvl>
    <w:lvl w:ilvl="4">
      <w:start w:val="0"/>
      <w:numFmt w:val="bullet"/>
      <w:lvlText w:val="•"/>
      <w:lvlJc w:val="left"/>
      <w:pPr>
        <w:ind w:left="1872" w:hanging="423"/>
      </w:pPr>
      <w:rPr>
        <w:rFonts w:hint="default"/>
      </w:rPr>
    </w:lvl>
    <w:lvl w:ilvl="5">
      <w:start w:val="0"/>
      <w:numFmt w:val="bullet"/>
      <w:lvlText w:val="•"/>
      <w:lvlJc w:val="left"/>
      <w:pPr>
        <w:ind w:left="2106" w:hanging="423"/>
      </w:pPr>
      <w:rPr>
        <w:rFonts w:hint="default"/>
      </w:rPr>
    </w:lvl>
    <w:lvl w:ilvl="6">
      <w:start w:val="0"/>
      <w:numFmt w:val="bullet"/>
      <w:lvlText w:val="•"/>
      <w:lvlJc w:val="left"/>
      <w:pPr>
        <w:ind w:left="2339" w:hanging="423"/>
      </w:pPr>
      <w:rPr>
        <w:rFonts w:hint="default"/>
      </w:rPr>
    </w:lvl>
    <w:lvl w:ilvl="7">
      <w:start w:val="0"/>
      <w:numFmt w:val="bullet"/>
      <w:lvlText w:val="•"/>
      <w:lvlJc w:val="left"/>
      <w:pPr>
        <w:ind w:left="2572" w:hanging="423"/>
      </w:pPr>
      <w:rPr>
        <w:rFonts w:hint="default"/>
      </w:rPr>
    </w:lvl>
    <w:lvl w:ilvl="8">
      <w:start w:val="0"/>
      <w:numFmt w:val="bullet"/>
      <w:lvlText w:val="•"/>
      <w:lvlJc w:val="left"/>
      <w:pPr>
        <w:ind w:left="2805" w:hanging="423"/>
      </w:pPr>
      <w:rPr>
        <w:rFonts w:hint="default"/>
      </w:rPr>
    </w:lvl>
  </w:abstractNum>
  <w:abstractNum w:abstractNumId="4">
    <w:multiLevelType w:val="hybridMultilevel"/>
    <w:lvl w:ilvl="0">
      <w:start w:val="8"/>
      <w:numFmt w:val="decimal"/>
      <w:lvlText w:val="%1"/>
      <w:lvlJc w:val="left"/>
      <w:pPr>
        <w:ind w:left="948" w:hanging="423"/>
        <w:jc w:val="left"/>
      </w:pPr>
      <w:rPr>
        <w:rFonts w:hint="default"/>
      </w:rPr>
    </w:lvl>
    <w:lvl w:ilvl="1">
      <w:start w:val="1"/>
      <w:numFmt w:val="decimal"/>
      <w:lvlText w:val="%1.%2"/>
      <w:lvlJc w:val="left"/>
      <w:pPr>
        <w:ind w:left="948" w:hanging="423"/>
        <w:jc w:val="left"/>
      </w:pPr>
      <w:rPr>
        <w:rFonts w:hint="default" w:ascii="黑体" w:hAnsi="黑体" w:eastAsia="黑体" w:cs="黑体"/>
        <w:w w:val="100"/>
        <w:sz w:val="21"/>
        <w:szCs w:val="21"/>
      </w:rPr>
    </w:lvl>
    <w:lvl w:ilvl="2">
      <w:start w:val="0"/>
      <w:numFmt w:val="bullet"/>
      <w:lvlText w:val="•"/>
      <w:lvlJc w:val="left"/>
      <w:pPr>
        <w:ind w:left="1406" w:hanging="423"/>
      </w:pPr>
      <w:rPr>
        <w:rFonts w:hint="default"/>
      </w:rPr>
    </w:lvl>
    <w:lvl w:ilvl="3">
      <w:start w:val="0"/>
      <w:numFmt w:val="bullet"/>
      <w:lvlText w:val="•"/>
      <w:lvlJc w:val="left"/>
      <w:pPr>
        <w:ind w:left="1639" w:hanging="423"/>
      </w:pPr>
      <w:rPr>
        <w:rFonts w:hint="default"/>
      </w:rPr>
    </w:lvl>
    <w:lvl w:ilvl="4">
      <w:start w:val="0"/>
      <w:numFmt w:val="bullet"/>
      <w:lvlText w:val="•"/>
      <w:lvlJc w:val="left"/>
      <w:pPr>
        <w:ind w:left="1872" w:hanging="423"/>
      </w:pPr>
      <w:rPr>
        <w:rFonts w:hint="default"/>
      </w:rPr>
    </w:lvl>
    <w:lvl w:ilvl="5">
      <w:start w:val="0"/>
      <w:numFmt w:val="bullet"/>
      <w:lvlText w:val="•"/>
      <w:lvlJc w:val="left"/>
      <w:pPr>
        <w:ind w:left="2106" w:hanging="423"/>
      </w:pPr>
      <w:rPr>
        <w:rFonts w:hint="default"/>
      </w:rPr>
    </w:lvl>
    <w:lvl w:ilvl="6">
      <w:start w:val="0"/>
      <w:numFmt w:val="bullet"/>
      <w:lvlText w:val="•"/>
      <w:lvlJc w:val="left"/>
      <w:pPr>
        <w:ind w:left="2339" w:hanging="423"/>
      </w:pPr>
      <w:rPr>
        <w:rFonts w:hint="default"/>
      </w:rPr>
    </w:lvl>
    <w:lvl w:ilvl="7">
      <w:start w:val="0"/>
      <w:numFmt w:val="bullet"/>
      <w:lvlText w:val="•"/>
      <w:lvlJc w:val="left"/>
      <w:pPr>
        <w:ind w:left="2572" w:hanging="423"/>
      </w:pPr>
      <w:rPr>
        <w:rFonts w:hint="default"/>
      </w:rPr>
    </w:lvl>
    <w:lvl w:ilvl="8">
      <w:start w:val="0"/>
      <w:numFmt w:val="bullet"/>
      <w:lvlText w:val="•"/>
      <w:lvlJc w:val="left"/>
      <w:pPr>
        <w:ind w:left="2805" w:hanging="423"/>
      </w:pPr>
      <w:rPr>
        <w:rFonts w:hint="default"/>
      </w:rPr>
    </w:lvl>
  </w:abstractNum>
  <w:abstractNum w:abstractNumId="3">
    <w:multiLevelType w:val="hybridMultilevel"/>
    <w:lvl w:ilvl="0">
      <w:start w:val="4"/>
      <w:numFmt w:val="decimal"/>
      <w:lvlText w:val="%1."/>
      <w:lvlJc w:val="left"/>
      <w:pPr>
        <w:ind w:left="849" w:hanging="317"/>
        <w:jc w:val="left"/>
      </w:pPr>
      <w:rPr>
        <w:rFonts w:hint="default"/>
        <w:w w:val="100"/>
        <w:highlight w:val="lightGray"/>
      </w:rPr>
    </w:lvl>
    <w:lvl w:ilvl="1">
      <w:start w:val="1"/>
      <w:numFmt w:val="decimal"/>
      <w:lvlText w:val="%1.%2"/>
      <w:lvlJc w:val="left"/>
      <w:pPr>
        <w:ind w:left="955" w:hanging="423"/>
        <w:jc w:val="left"/>
      </w:pPr>
      <w:rPr>
        <w:rFonts w:hint="default" w:ascii="黑体" w:hAnsi="黑体" w:eastAsia="黑体" w:cs="黑体"/>
        <w:w w:val="100"/>
        <w:sz w:val="21"/>
        <w:szCs w:val="21"/>
      </w:rPr>
    </w:lvl>
    <w:lvl w:ilvl="2">
      <w:start w:val="0"/>
      <w:numFmt w:val="bullet"/>
      <w:lvlText w:val="•"/>
      <w:lvlJc w:val="left"/>
      <w:pPr>
        <w:ind w:left="1217" w:hanging="423"/>
      </w:pPr>
      <w:rPr>
        <w:rFonts w:hint="default"/>
      </w:rPr>
    </w:lvl>
    <w:lvl w:ilvl="3">
      <w:start w:val="0"/>
      <w:numFmt w:val="bullet"/>
      <w:lvlText w:val="•"/>
      <w:lvlJc w:val="left"/>
      <w:pPr>
        <w:ind w:left="1474" w:hanging="423"/>
      </w:pPr>
      <w:rPr>
        <w:rFonts w:hint="default"/>
      </w:rPr>
    </w:lvl>
    <w:lvl w:ilvl="4">
      <w:start w:val="0"/>
      <w:numFmt w:val="bullet"/>
      <w:lvlText w:val="•"/>
      <w:lvlJc w:val="left"/>
      <w:pPr>
        <w:ind w:left="1732" w:hanging="423"/>
      </w:pPr>
      <w:rPr>
        <w:rFonts w:hint="default"/>
      </w:rPr>
    </w:lvl>
    <w:lvl w:ilvl="5">
      <w:start w:val="0"/>
      <w:numFmt w:val="bullet"/>
      <w:lvlText w:val="•"/>
      <w:lvlJc w:val="left"/>
      <w:pPr>
        <w:ind w:left="1989" w:hanging="423"/>
      </w:pPr>
      <w:rPr>
        <w:rFonts w:hint="default"/>
      </w:rPr>
    </w:lvl>
    <w:lvl w:ilvl="6">
      <w:start w:val="0"/>
      <w:numFmt w:val="bullet"/>
      <w:lvlText w:val="•"/>
      <w:lvlJc w:val="left"/>
      <w:pPr>
        <w:ind w:left="2246" w:hanging="423"/>
      </w:pPr>
      <w:rPr>
        <w:rFonts w:hint="default"/>
      </w:rPr>
    </w:lvl>
    <w:lvl w:ilvl="7">
      <w:start w:val="0"/>
      <w:numFmt w:val="bullet"/>
      <w:lvlText w:val="•"/>
      <w:lvlJc w:val="left"/>
      <w:pPr>
        <w:ind w:left="2504" w:hanging="423"/>
      </w:pPr>
      <w:rPr>
        <w:rFonts w:hint="default"/>
      </w:rPr>
    </w:lvl>
    <w:lvl w:ilvl="8">
      <w:start w:val="0"/>
      <w:numFmt w:val="bullet"/>
      <w:lvlText w:val="•"/>
      <w:lvlJc w:val="left"/>
      <w:pPr>
        <w:ind w:left="2761" w:hanging="423"/>
      </w:pPr>
      <w:rPr>
        <w:rFonts w:hint="default"/>
      </w:rPr>
    </w:lvl>
  </w:abstractNum>
  <w:abstractNum w:abstractNumId="2">
    <w:multiLevelType w:val="hybridMultilevel"/>
    <w:lvl w:ilvl="0">
      <w:start w:val="3"/>
      <w:numFmt w:val="decimal"/>
      <w:lvlText w:val="%1"/>
      <w:lvlJc w:val="left"/>
      <w:pPr>
        <w:ind w:left="955" w:hanging="423"/>
        <w:jc w:val="left"/>
      </w:pPr>
      <w:rPr>
        <w:rFonts w:hint="default"/>
      </w:rPr>
    </w:lvl>
    <w:lvl w:ilvl="1">
      <w:start w:val="1"/>
      <w:numFmt w:val="decimal"/>
      <w:lvlText w:val="%1.%2"/>
      <w:lvlJc w:val="left"/>
      <w:pPr>
        <w:ind w:left="955" w:hanging="423"/>
        <w:jc w:val="left"/>
      </w:pPr>
      <w:rPr>
        <w:rFonts w:hint="default" w:ascii="黑体" w:hAnsi="黑体" w:eastAsia="黑体" w:cs="黑体"/>
        <w:w w:val="100"/>
        <w:sz w:val="21"/>
        <w:szCs w:val="21"/>
      </w:rPr>
    </w:lvl>
    <w:lvl w:ilvl="2">
      <w:start w:val="0"/>
      <w:numFmt w:val="bullet"/>
      <w:lvlText w:val="•"/>
      <w:lvlJc w:val="left"/>
      <w:pPr>
        <w:ind w:left="1423" w:hanging="423"/>
      </w:pPr>
      <w:rPr>
        <w:rFonts w:hint="default"/>
      </w:rPr>
    </w:lvl>
    <w:lvl w:ilvl="3">
      <w:start w:val="0"/>
      <w:numFmt w:val="bullet"/>
      <w:lvlText w:val="•"/>
      <w:lvlJc w:val="left"/>
      <w:pPr>
        <w:ind w:left="1654" w:hanging="423"/>
      </w:pPr>
      <w:rPr>
        <w:rFonts w:hint="default"/>
      </w:rPr>
    </w:lvl>
    <w:lvl w:ilvl="4">
      <w:start w:val="0"/>
      <w:numFmt w:val="bullet"/>
      <w:lvlText w:val="•"/>
      <w:lvlJc w:val="left"/>
      <w:pPr>
        <w:ind w:left="1886" w:hanging="423"/>
      </w:pPr>
      <w:rPr>
        <w:rFonts w:hint="default"/>
      </w:rPr>
    </w:lvl>
    <w:lvl w:ilvl="5">
      <w:start w:val="0"/>
      <w:numFmt w:val="bullet"/>
      <w:lvlText w:val="•"/>
      <w:lvlJc w:val="left"/>
      <w:pPr>
        <w:ind w:left="2118" w:hanging="423"/>
      </w:pPr>
      <w:rPr>
        <w:rFonts w:hint="default"/>
      </w:rPr>
    </w:lvl>
    <w:lvl w:ilvl="6">
      <w:start w:val="0"/>
      <w:numFmt w:val="bullet"/>
      <w:lvlText w:val="•"/>
      <w:lvlJc w:val="left"/>
      <w:pPr>
        <w:ind w:left="2349" w:hanging="423"/>
      </w:pPr>
      <w:rPr>
        <w:rFonts w:hint="default"/>
      </w:rPr>
    </w:lvl>
    <w:lvl w:ilvl="7">
      <w:start w:val="0"/>
      <w:numFmt w:val="bullet"/>
      <w:lvlText w:val="•"/>
      <w:lvlJc w:val="left"/>
      <w:pPr>
        <w:ind w:left="2581" w:hanging="423"/>
      </w:pPr>
      <w:rPr>
        <w:rFonts w:hint="default"/>
      </w:rPr>
    </w:lvl>
    <w:lvl w:ilvl="8">
      <w:start w:val="0"/>
      <w:numFmt w:val="bullet"/>
      <w:lvlText w:val="•"/>
      <w:lvlJc w:val="left"/>
      <w:pPr>
        <w:ind w:left="2812" w:hanging="423"/>
      </w:pPr>
      <w:rPr>
        <w:rFonts w:hint="default"/>
      </w:rPr>
    </w:lvl>
  </w:abstractNum>
  <w:abstractNum w:abstractNumId="1">
    <w:multiLevelType w:val="hybridMultilevel"/>
    <w:lvl w:ilvl="0">
      <w:start w:val="2"/>
      <w:numFmt w:val="decimal"/>
      <w:lvlText w:val="%1"/>
      <w:lvlJc w:val="left"/>
      <w:pPr>
        <w:ind w:left="955" w:hanging="423"/>
        <w:jc w:val="left"/>
      </w:pPr>
      <w:rPr>
        <w:rFonts w:hint="default"/>
      </w:rPr>
    </w:lvl>
    <w:lvl w:ilvl="1">
      <w:start w:val="1"/>
      <w:numFmt w:val="decimal"/>
      <w:lvlText w:val="%1.%2"/>
      <w:lvlJc w:val="left"/>
      <w:pPr>
        <w:ind w:left="955" w:hanging="423"/>
        <w:jc w:val="left"/>
      </w:pPr>
      <w:rPr>
        <w:rFonts w:hint="default" w:ascii="黑体" w:hAnsi="黑体" w:eastAsia="黑体" w:cs="黑体"/>
        <w:w w:val="100"/>
        <w:sz w:val="21"/>
        <w:szCs w:val="21"/>
      </w:rPr>
    </w:lvl>
    <w:lvl w:ilvl="2">
      <w:start w:val="0"/>
      <w:numFmt w:val="bullet"/>
      <w:lvlText w:val="•"/>
      <w:lvlJc w:val="left"/>
      <w:pPr>
        <w:ind w:left="1423" w:hanging="423"/>
      </w:pPr>
      <w:rPr>
        <w:rFonts w:hint="default"/>
      </w:rPr>
    </w:lvl>
    <w:lvl w:ilvl="3">
      <w:start w:val="0"/>
      <w:numFmt w:val="bullet"/>
      <w:lvlText w:val="•"/>
      <w:lvlJc w:val="left"/>
      <w:pPr>
        <w:ind w:left="1654" w:hanging="423"/>
      </w:pPr>
      <w:rPr>
        <w:rFonts w:hint="default"/>
      </w:rPr>
    </w:lvl>
    <w:lvl w:ilvl="4">
      <w:start w:val="0"/>
      <w:numFmt w:val="bullet"/>
      <w:lvlText w:val="•"/>
      <w:lvlJc w:val="left"/>
      <w:pPr>
        <w:ind w:left="1886" w:hanging="423"/>
      </w:pPr>
      <w:rPr>
        <w:rFonts w:hint="default"/>
      </w:rPr>
    </w:lvl>
    <w:lvl w:ilvl="5">
      <w:start w:val="0"/>
      <w:numFmt w:val="bullet"/>
      <w:lvlText w:val="•"/>
      <w:lvlJc w:val="left"/>
      <w:pPr>
        <w:ind w:left="2118" w:hanging="423"/>
      </w:pPr>
      <w:rPr>
        <w:rFonts w:hint="default"/>
      </w:rPr>
    </w:lvl>
    <w:lvl w:ilvl="6">
      <w:start w:val="0"/>
      <w:numFmt w:val="bullet"/>
      <w:lvlText w:val="•"/>
      <w:lvlJc w:val="left"/>
      <w:pPr>
        <w:ind w:left="2349" w:hanging="423"/>
      </w:pPr>
      <w:rPr>
        <w:rFonts w:hint="default"/>
      </w:rPr>
    </w:lvl>
    <w:lvl w:ilvl="7">
      <w:start w:val="0"/>
      <w:numFmt w:val="bullet"/>
      <w:lvlText w:val="•"/>
      <w:lvlJc w:val="left"/>
      <w:pPr>
        <w:ind w:left="2581" w:hanging="423"/>
      </w:pPr>
      <w:rPr>
        <w:rFonts w:hint="default"/>
      </w:rPr>
    </w:lvl>
    <w:lvl w:ilvl="8">
      <w:start w:val="0"/>
      <w:numFmt w:val="bullet"/>
      <w:lvlText w:val="•"/>
      <w:lvlJc w:val="left"/>
      <w:pPr>
        <w:ind w:left="2812" w:hanging="423"/>
      </w:pPr>
      <w:rPr>
        <w:rFonts w:hint="default"/>
      </w:rPr>
    </w:lvl>
  </w:abstractNum>
  <w:abstractNum w:abstractNumId="0">
    <w:multiLevelType w:val="hybridMultilevel"/>
    <w:lvl w:ilvl="0">
      <w:start w:val="0"/>
      <w:numFmt w:val="bullet"/>
      <w:lvlText w:val=""/>
      <w:lvlJc w:val="left"/>
      <w:pPr>
        <w:ind w:left="849" w:hanging="454"/>
      </w:pPr>
      <w:rPr>
        <w:rFonts w:hint="default" w:ascii="Wingdings" w:hAnsi="Wingdings" w:eastAsia="Wingdings" w:cs="Wingdings"/>
        <w:w w:val="100"/>
        <w:sz w:val="21"/>
        <w:szCs w:val="21"/>
      </w:rPr>
    </w:lvl>
    <w:lvl w:ilvl="1">
      <w:start w:val="0"/>
      <w:numFmt w:val="bullet"/>
      <w:lvlText w:val="•"/>
      <w:lvlJc w:val="left"/>
      <w:pPr>
        <w:ind w:left="1822" w:hanging="454"/>
      </w:pPr>
      <w:rPr>
        <w:rFonts w:hint="default"/>
      </w:rPr>
    </w:lvl>
    <w:lvl w:ilvl="2">
      <w:start w:val="0"/>
      <w:numFmt w:val="bullet"/>
      <w:lvlText w:val="•"/>
      <w:lvlJc w:val="left"/>
      <w:pPr>
        <w:ind w:left="2805" w:hanging="454"/>
      </w:pPr>
      <w:rPr>
        <w:rFonts w:hint="default"/>
      </w:rPr>
    </w:lvl>
    <w:lvl w:ilvl="3">
      <w:start w:val="0"/>
      <w:numFmt w:val="bullet"/>
      <w:lvlText w:val="•"/>
      <w:lvlJc w:val="left"/>
      <w:pPr>
        <w:ind w:left="3787" w:hanging="454"/>
      </w:pPr>
      <w:rPr>
        <w:rFonts w:hint="default"/>
      </w:rPr>
    </w:lvl>
    <w:lvl w:ilvl="4">
      <w:start w:val="0"/>
      <w:numFmt w:val="bullet"/>
      <w:lvlText w:val="•"/>
      <w:lvlJc w:val="left"/>
      <w:pPr>
        <w:ind w:left="4770" w:hanging="454"/>
      </w:pPr>
      <w:rPr>
        <w:rFonts w:hint="default"/>
      </w:rPr>
    </w:lvl>
    <w:lvl w:ilvl="5">
      <w:start w:val="0"/>
      <w:numFmt w:val="bullet"/>
      <w:lvlText w:val="•"/>
      <w:lvlJc w:val="left"/>
      <w:pPr>
        <w:ind w:left="5753" w:hanging="454"/>
      </w:pPr>
      <w:rPr>
        <w:rFonts w:hint="default"/>
      </w:rPr>
    </w:lvl>
    <w:lvl w:ilvl="6">
      <w:start w:val="0"/>
      <w:numFmt w:val="bullet"/>
      <w:lvlText w:val="•"/>
      <w:lvlJc w:val="left"/>
      <w:pPr>
        <w:ind w:left="6735" w:hanging="454"/>
      </w:pPr>
      <w:rPr>
        <w:rFonts w:hint="default"/>
      </w:rPr>
    </w:lvl>
    <w:lvl w:ilvl="7">
      <w:start w:val="0"/>
      <w:numFmt w:val="bullet"/>
      <w:lvlText w:val="•"/>
      <w:lvlJc w:val="left"/>
      <w:pPr>
        <w:ind w:left="7718" w:hanging="454"/>
      </w:pPr>
      <w:rPr>
        <w:rFonts w:hint="default"/>
      </w:rPr>
    </w:lvl>
    <w:lvl w:ilvl="8">
      <w:start w:val="0"/>
      <w:numFmt w:val="bullet"/>
      <w:lvlText w:val="•"/>
      <w:lvlJc w:val="left"/>
      <w:pPr>
        <w:ind w:left="8701" w:hanging="454"/>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44"/>
    </w:pPr>
    <w:rPr>
      <w:rFonts w:ascii="黑体" w:hAnsi="黑体" w:eastAsia="黑体" w:cs="黑体"/>
      <w:sz w:val="21"/>
      <w:szCs w:val="21"/>
    </w:rPr>
  </w:style>
  <w:style w:styleId="Heading1" w:type="paragraph">
    <w:name w:val="Heading 1"/>
    <w:basedOn w:val="Normal"/>
    <w:uiPriority w:val="1"/>
    <w:qFormat/>
    <w:pPr>
      <w:spacing w:before="205"/>
      <w:ind w:left="1877"/>
      <w:jc w:val="center"/>
      <w:outlineLvl w:val="1"/>
    </w:pPr>
    <w:rPr>
      <w:rFonts w:ascii="黑体" w:hAnsi="黑体" w:eastAsia="黑体" w:cs="黑体"/>
      <w:b/>
      <w:bCs/>
      <w:sz w:val="32"/>
      <w:szCs w:val="32"/>
    </w:rPr>
  </w:style>
  <w:style w:styleId="ListParagraph" w:type="paragraph">
    <w:name w:val="List Paragraph"/>
    <w:basedOn w:val="Normal"/>
    <w:uiPriority w:val="1"/>
    <w:qFormat/>
    <w:pPr>
      <w:spacing w:before="44"/>
      <w:ind w:left="955" w:hanging="423"/>
    </w:pPr>
    <w:rPr>
      <w:rFonts w:ascii="黑体" w:hAnsi="黑体" w:eastAsia="黑体" w:cs="黑体"/>
    </w:rPr>
  </w:style>
  <w:style w:styleId="TableParagraph" w:type="paragraph">
    <w:name w:val="Table Paragraph"/>
    <w:basedOn w:val="Normal"/>
    <w:uiPriority w:val="1"/>
    <w:qFormat/>
    <w:pPr>
      <w:ind w:left="17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dcterms:created xsi:type="dcterms:W3CDTF">2018-10-20T03:46:21Z</dcterms:created>
  <dcterms:modified xsi:type="dcterms:W3CDTF">2018-10-20T03:46:21Z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2014-06-27T00:00:00Z</vt:filetime>
  </property>
  <property fmtid="{D5CDD505-2E9C-101B-9397-08002B2CF9AE}" pid="3" name="Creator">
    <vt:lpwstr>Acrobat PDFMaker 9.0 Word 版</vt:lpwstr>
  </property>
  <property fmtid="{D5CDD505-2E9C-101B-9397-08002B2CF9AE}" pid="4" name="LastSaved">
    <vt:filetime>2018-10-19T00:00:00Z</vt:filetime>
  </property>
</Properties>
</file>