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[2011]</w:t>
      </w:r>
      <w:r>
        <w:rPr>
          <w:sz w:val="20"/>
        </w:rPr>
        <w:t>疾病保险 </w:t>
      </w:r>
      <w:r>
        <w:rPr>
          <w:rFonts w:ascii="Times New Roman" w:eastAsia="Times New Roman"/>
          <w:sz w:val="20"/>
        </w:rPr>
        <w:t>010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9" w:right="0" w:firstLine="0"/>
        <w:jc w:val="center"/>
        <w:rPr>
          <w:sz w:val="32"/>
        </w:rPr>
      </w:pPr>
      <w:r>
        <w:rPr>
          <w:sz w:val="32"/>
        </w:rPr>
        <w:t>恒 安 标 准 人 寿 保 险 有 限 公 司</w:t>
      </w:r>
    </w:p>
    <w:p>
      <w:pPr>
        <w:spacing w:before="76"/>
        <w:ind w:left="21" w:right="0"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spacing w:before="162"/>
        <w:ind w:left="6" w:right="0" w:firstLine="0"/>
        <w:jc w:val="center"/>
        <w:rPr>
          <w:rFonts w:ascii="黑体" w:eastAsia="黑体" w:hint="eastAsia"/>
          <w:sz w:val="30"/>
        </w:rPr>
      </w:pPr>
      <w:r>
        <w:rPr>
          <w:rFonts w:ascii="黑体" w:eastAsia="黑体" w:hint="eastAsia"/>
          <w:sz w:val="30"/>
        </w:rPr>
        <w:t>恒安标准附加定期重大疾病保险条款</w:t>
      </w:r>
    </w:p>
    <w:p>
      <w:pPr>
        <w:pStyle w:val="BodyText"/>
        <w:spacing w:before="1"/>
        <w:ind w:left="0"/>
        <w:rPr>
          <w:rFonts w:ascii="黑体"/>
          <w:sz w:val="20"/>
        </w:rPr>
      </w:pPr>
    </w:p>
    <w:p>
      <w:pPr>
        <w:tabs>
          <w:tab w:pos="566" w:val="left" w:leader="none"/>
        </w:tabs>
        <w:spacing w:before="13"/>
        <w:ind w:left="4" w:right="0" w:firstLine="0"/>
        <w:jc w:val="center"/>
        <w:rPr>
          <w:rFonts w:ascii="黑体" w:eastAsia="黑体" w:hint="eastAsia"/>
          <w:sz w:val="28"/>
        </w:rPr>
      </w:pPr>
      <w:r>
        <w:rPr>
          <w:rFonts w:ascii="黑体" w:eastAsia="黑体" w:hint="eastAsia"/>
          <w:sz w:val="28"/>
        </w:rPr>
        <w:t>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163"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5">
            <w:r>
              <w:rPr/>
              <w:t>您与我们订立本附加合同时需要了解的内容</w:t>
              <w:tab/>
            </w:r>
            <w:r>
              <w:rPr>
                <w:rFonts w:ascii="Times New Roman" w:eastAsia="Times New Roman"/>
                <w:b/>
              </w:rPr>
              <w:t>2</w:t>
            </w:r>
          </w:hyperlink>
        </w:p>
        <w:p>
          <w:pPr>
            <w:pStyle w:val="TOC2"/>
            <w:numPr>
              <w:ilvl w:val="1"/>
              <w:numId w:val="1"/>
            </w:numPr>
            <w:tabs>
              <w:tab w:pos="955" w:val="left" w:leader="none"/>
              <w:tab w:pos="9740" w:val="right" w:leader="dot"/>
            </w:tabs>
            <w:spacing w:line="240" w:lineRule="auto" w:before="3" w:after="0"/>
            <w:ind w:left="954" w:right="0" w:hanging="420"/>
            <w:jc w:val="left"/>
            <w:rPr>
              <w:rFonts w:ascii="Times New Roman" w:eastAsia="Times New Roman"/>
            </w:rPr>
          </w:pPr>
          <w:hyperlink w:history="true" w:anchor="_TOC_250024">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3">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2">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21">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0">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9">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8">
            <w:r>
              <w:rPr/>
              <w:t>本附加合同项下的保障和利益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6">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5">
            <w:r>
              <w:rPr/>
              <w:t>我们不承担的责任</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4">
            <w:r>
              <w:rPr/>
              <w:t>保险金受益人的指定和变更</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3">
            <w:r>
              <w:rPr/>
              <w:t>保险事故的通知</w:t>
              <w:tab/>
            </w:r>
            <w:r>
              <w:rPr>
                <w:rFonts w:ascii="Times New Roman" w:eastAsia="Times New Roman"/>
              </w:rPr>
              <w:t>3</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2">
            <w:r>
              <w:rPr/>
              <w:t>如何申请领取保险金</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1">
            <w:r>
              <w:rPr/>
              <w:t>您在本附加合同项下的权利和义务</w:t>
              <w:tab/>
            </w:r>
            <w:r>
              <w:rPr>
                <w:rFonts w:ascii="Times New Roman" w:eastAsia="Times New Roman"/>
                <w:b/>
              </w:rPr>
              <w:t>4</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0">
            <w:r>
              <w:rPr/>
              <w:t>保险费的交付</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9">
            <w:r>
              <w:rPr/>
              <w:t>宽限期</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8">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7">
            <w:r>
              <w:rPr/>
              <w:t>合同内容的变更</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06">
            <w:r>
              <w:rPr/>
              <w:t>犹豫期后解除合同的处理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5">
            <w:r>
              <w:rPr/>
              <w:t>您需要了解的其他内容</w:t>
              <w:tab/>
            </w:r>
            <w:r>
              <w:rPr>
                <w:rFonts w:ascii="Times New Roman" w:eastAsia="Times New Roman"/>
                <w:b/>
              </w:rPr>
              <w:t>4</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04">
            <w:r>
              <w:rPr/>
              <w:t>被保险人身故或意外伤害永久完全残疾的处理</w:t>
              <w:tab/>
            </w:r>
            <w:r>
              <w:rPr>
                <w:rFonts w:ascii="Times New Roman" w:eastAsia="Times New Roman"/>
              </w:rPr>
              <w:t>4</w:t>
            </w:r>
          </w:hyperlink>
        </w:p>
        <w:p>
          <w:pPr>
            <w:pStyle w:val="TOC2"/>
            <w:numPr>
              <w:ilvl w:val="1"/>
              <w:numId w:val="1"/>
            </w:numPr>
            <w:tabs>
              <w:tab w:pos="955" w:val="left" w:leader="none"/>
              <w:tab w:pos="9740" w:val="right" w:leader="dot"/>
            </w:tabs>
            <w:spacing w:line="240" w:lineRule="auto" w:before="21"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998" w:top="1080" w:bottom="118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pPr>
      <w:bookmarkStart w:name="_TOC_250025" w:id="1"/>
      <w:bookmarkEnd w:id="1"/>
      <w:r>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24" w:id="2"/>
      <w:bookmarkEnd w:id="2"/>
      <w:r>
        <w:rPr/>
        <w:t>保险合同的种类和构成</w:t>
      </w:r>
    </w:p>
    <w:p>
      <w:pPr>
        <w:pStyle w:val="BodyText"/>
        <w:spacing w:line="273" w:lineRule="auto" w:before="15"/>
        <w:ind w:right="184" w:firstLine="422"/>
        <w:jc w:val="both"/>
      </w:pPr>
      <w:r>
        <w:rPr>
          <w:spacing w:val="-3"/>
        </w:rPr>
        <w:t>您作为投保人，与我们订立的本附加保险合同为恒安标准附加定期重大疾病保险合同</w:t>
      </w:r>
      <w:r>
        <w:rPr/>
        <w:t>（</w:t>
      </w:r>
      <w:r>
        <w:rPr>
          <w:spacing w:val="-3"/>
        </w:rPr>
        <w:t>以下简称“本</w:t>
      </w:r>
      <w:r>
        <w:rPr>
          <w:spacing w:val="-24"/>
        </w:rPr>
        <w:t>附加合同”</w:t>
      </w:r>
      <w:r>
        <w:rPr>
          <w:spacing w:val="-106"/>
        </w:rPr>
        <w:t>）</w:t>
      </w:r>
      <w:r>
        <w:rPr/>
        <w:t>，所使用的保险条款为恒安标准附加定期重大疾病保险条款（</w:t>
      </w:r>
      <w:r>
        <w:rPr>
          <w:spacing w:val="-9"/>
        </w:rPr>
        <w:t>以下简称“本附加保险条款”</w:t>
      </w:r>
      <w:r>
        <w:rPr>
          <w:spacing w:val="-106"/>
        </w:rPr>
        <w:t>）</w:t>
      </w:r>
      <w:r>
        <w:rPr/>
        <w:t>。您只有在与我们订立我们所规定的其他保险合同</w:t>
      </w:r>
      <w:r>
        <w:rPr>
          <w:spacing w:val="1"/>
        </w:rPr>
        <w:t>（</w:t>
      </w:r>
      <w:r>
        <w:rPr>
          <w:spacing w:val="-11"/>
        </w:rPr>
        <w:t>以下简称“主险合同”</w:t>
      </w:r>
      <w:r>
        <w:rPr>
          <w:spacing w:val="1"/>
        </w:rPr>
        <w:t>）</w:t>
      </w:r>
      <w:r>
        <w:rPr/>
        <w:t>时，才可以申请订立本附加合同。</w:t>
      </w:r>
    </w:p>
    <w:p>
      <w:pPr>
        <w:pStyle w:val="BodyText"/>
        <w:spacing w:line="273" w:lineRule="auto" w:before="8"/>
        <w:ind w:right="100" w:firstLine="420"/>
      </w:pPr>
      <w:r>
        <w:rPr>
          <w:spacing w:val="-8"/>
        </w:rPr>
        <w:t>本附加保险条款、与本附加合同有关的保险单或其他保险凭证、投保文件、声明、批单、现金价值表、</w:t>
      </w:r>
      <w:r>
        <w:rPr>
          <w:spacing w:val="-7"/>
        </w:rPr>
        <w:t>协议，以及与本附加合同有关的主险合同所附保险条款、保险单、现金价值表等均为本附加合同的组成部分。</w:t>
      </w:r>
    </w:p>
    <w:p>
      <w:pPr>
        <w:pStyle w:val="BodyText"/>
        <w:spacing w:line="273" w:lineRule="auto" w:before="8"/>
        <w:ind w:right="155" w:firstLine="420"/>
      </w:pPr>
      <w:r>
        <w:rPr/>
        <w:t>如果本附加合同保险条款与主险合同保险条款或其他有关文件的规定不一致，以本附加合同保险条款为准。</w:t>
      </w:r>
    </w:p>
    <w:p>
      <w:pPr>
        <w:pStyle w:val="BodyText"/>
        <w:spacing w:line="256" w:lineRule="auto" w:before="8"/>
        <w:ind w:right="129" w:firstLine="420"/>
      </w:pPr>
      <w:r>
        <w:rPr/>
        <w:t>我们在本附加保险条款第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5" w:after="0"/>
        <w:ind w:left="594" w:right="0" w:hanging="480"/>
        <w:jc w:val="left"/>
      </w:pPr>
      <w:bookmarkStart w:name="_TOC_250023" w:id="3"/>
      <w:bookmarkEnd w:id="3"/>
      <w:r>
        <w:rPr/>
        <w:t>投保条件</w:t>
      </w:r>
    </w:p>
    <w:p>
      <w:pPr>
        <w:pStyle w:val="BodyText"/>
        <w:spacing w:before="14"/>
        <w:ind w:left="578"/>
      </w:pPr>
      <w:r>
        <w:rPr/>
        <w:t>本附加合同的投保条件与主险合同的相关规定一致。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2" w:id="4"/>
      <w:bookmarkEnd w:id="4"/>
      <w:r>
        <w:rPr/>
        <w:t>保险期间</w:t>
      </w:r>
    </w:p>
    <w:p>
      <w:pPr>
        <w:pStyle w:val="BodyText"/>
        <w:spacing w:before="15"/>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21" w:id="5"/>
      <w:bookmarkEnd w:id="5"/>
      <w:r>
        <w:rPr/>
        <w:t>保险责任的开始和终止</w:t>
      </w:r>
    </w:p>
    <w:p>
      <w:pPr>
        <w:pStyle w:val="BodyText"/>
        <w:spacing w:before="15"/>
        <w:ind w:left="534"/>
      </w:pPr>
      <w:r>
        <w:rPr/>
        <w:t>一、保险责任的开始</w:t>
      </w:r>
    </w:p>
    <w:p>
      <w:pPr>
        <w:pStyle w:val="BodyText"/>
        <w:spacing w:line="273" w:lineRule="auto" w:before="36"/>
        <w:ind w:right="185" w:firstLine="420"/>
      </w:pPr>
      <w:r>
        <w:rPr/>
        <w:t>您完成投保申请，经我们审核同意，本附加合同成立。本附加合同自您交付的保险费到达我们的账户之日起生效，具体的生效日期在保险单中载明。我们自本附加合同生效日次日零时起开始承担保险责任。</w:t>
      </w:r>
    </w:p>
    <w:p>
      <w:pPr>
        <w:pStyle w:val="BodyText"/>
        <w:spacing w:before="7"/>
        <w:ind w:left="533"/>
      </w:pPr>
      <w:r>
        <w:rPr/>
        <w:t>二、保险责任的终止</w:t>
      </w:r>
    </w:p>
    <w:p>
      <w:pPr>
        <w:pStyle w:val="BodyText"/>
        <w:ind w:left="533"/>
      </w:pPr>
      <w:r>
        <w:rPr/>
        <w:t>发生下列情况之一时，本附加合同保险责任自动终止：</w:t>
      </w:r>
    </w:p>
    <w:p>
      <w:pPr>
        <w:pStyle w:val="ListParagraph"/>
        <w:numPr>
          <w:ilvl w:val="0"/>
          <w:numId w:val="3"/>
        </w:numPr>
        <w:tabs>
          <w:tab w:pos="850" w:val="left" w:leader="none"/>
        </w:tabs>
        <w:spacing w:line="240" w:lineRule="auto" w:before="37" w:after="0"/>
        <w:ind w:left="849" w:right="0" w:hanging="315"/>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z w:val="21"/>
        </w:rPr>
        <w:t>被保险人被确诊患有本附加合同约定的重大疾病；</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本附加合同效力依据本附加合同的有关规定中止，未在中止期间内恢复效力的；</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79" w:after="0"/>
        <w:ind w:left="594" w:right="0" w:hanging="480"/>
        <w:jc w:val="left"/>
      </w:pPr>
      <w:bookmarkStart w:name="_TOC_250020" w:id="6"/>
      <w:bookmarkEnd w:id="6"/>
      <w:r>
        <w:rPr/>
        <w:t>犹豫期</w:t>
      </w:r>
    </w:p>
    <w:p>
      <w:pPr>
        <w:pStyle w:val="BodyText"/>
        <w:spacing w:before="14"/>
        <w:ind w:left="534"/>
      </w:pPr>
      <w:r>
        <w:rPr/>
        <w:t>本附加合同的犹豫期与主险合同的相关规定一致。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19" w:id="7"/>
      <w:bookmarkEnd w:id="7"/>
      <w:r>
        <w:rPr/>
        <w:t>明确说明与如实告知</w:t>
      </w:r>
    </w:p>
    <w:p>
      <w:pPr>
        <w:pStyle w:val="BodyText"/>
        <w:spacing w:line="273" w:lineRule="auto" w:before="15"/>
        <w:ind w:left="114" w:right="20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7"/>
        <w:ind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对保险事故的发生有严重影响的，我们对本附加合同解除前发生的保险事故不承担给付保险金的责任，但将退还保险费。</w:t>
      </w:r>
    </w:p>
    <w:p>
      <w:pPr>
        <w:pStyle w:val="BodyText"/>
        <w:spacing w:before="7"/>
        <w:ind w:left="533"/>
      </w:pPr>
      <w:r>
        <w:rPr/>
        <w:t>前项规定的合同解除权，自我们知道有解除事由之日起，超过 30 日不行使而消灭。自本附加合同成</w:t>
      </w:r>
    </w:p>
    <w:p>
      <w:pPr>
        <w:pStyle w:val="BodyText"/>
      </w:pPr>
      <w:r>
        <w:rPr/>
        <w:t>立之日起超过 2 年的，我们不得解除本附加合同；发生保险事故的，我们承担给付保险金的责任。</w:t>
      </w:r>
    </w:p>
    <w:p>
      <w:pPr>
        <w:pStyle w:val="BodyText"/>
        <w:spacing w:line="273" w:lineRule="auto"/>
        <w:ind w:right="15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8" w:id="8"/>
      <w:bookmarkEnd w:id="8"/>
      <w:r>
        <w:rPr/>
        <w:t>本附加合同项下的保障和利益</w:t>
      </w:r>
    </w:p>
    <w:p>
      <w:pPr>
        <w:pStyle w:val="Heading2"/>
        <w:numPr>
          <w:ilvl w:val="1"/>
          <w:numId w:val="2"/>
        </w:numPr>
        <w:tabs>
          <w:tab w:pos="594" w:val="left" w:leader="none"/>
        </w:tabs>
        <w:spacing w:line="240" w:lineRule="auto" w:before="64" w:after="0"/>
        <w:ind w:left="594" w:right="0" w:hanging="480"/>
        <w:jc w:val="left"/>
      </w:pPr>
      <w:bookmarkStart w:name="_TOC_250017" w:id="9"/>
      <w:bookmarkEnd w:id="9"/>
      <w:r>
        <w:rPr/>
        <w:t>保险金额</w:t>
      </w:r>
    </w:p>
    <w:p>
      <w:pPr>
        <w:pStyle w:val="BodyText"/>
        <w:spacing w:before="15"/>
        <w:ind w:left="534"/>
      </w:pPr>
      <w:r>
        <w:rPr/>
        <w:t>本附加合同的保险金额由您与我们约定，并在保险单中载明。</w:t>
      </w:r>
    </w:p>
    <w:p>
      <w:pPr>
        <w:spacing w:after="0"/>
        <w:sectPr>
          <w:pgSz w:w="11900" w:h="16840"/>
          <w:pgMar w:header="0" w:footer="998" w:top="1080" w:bottom="1180" w:left="1020" w:right="920"/>
        </w:sectPr>
      </w:pPr>
    </w:p>
    <w:p>
      <w:pPr>
        <w:pStyle w:val="Heading2"/>
        <w:numPr>
          <w:ilvl w:val="1"/>
          <w:numId w:val="2"/>
        </w:numPr>
        <w:tabs>
          <w:tab w:pos="594" w:val="left" w:leader="none"/>
        </w:tabs>
        <w:spacing w:line="240" w:lineRule="auto" w:before="11" w:after="0"/>
        <w:ind w:left="594" w:right="0" w:hanging="480"/>
        <w:jc w:val="left"/>
      </w:pPr>
      <w:bookmarkStart w:name="_TOC_250016" w:id="10"/>
      <w:bookmarkEnd w:id="10"/>
      <w:r>
        <w:rPr/>
        <w:t>我们为您提供的保障</w:t>
      </w:r>
    </w:p>
    <w:p>
      <w:pPr>
        <w:pStyle w:val="BodyText"/>
        <w:spacing w:line="273" w:lineRule="auto" w:before="15"/>
        <w:ind w:right="101" w:firstLine="420"/>
      </w:pPr>
      <w:r>
        <w:rPr>
          <w:spacing w:val="-1"/>
        </w:rPr>
        <w:t>自本附加合同生效日次日零时起</w:t>
      </w:r>
      <w:r>
        <w:rPr/>
        <w:t>（</w:t>
      </w:r>
      <w:r>
        <w:rPr>
          <w:spacing w:val="-1"/>
        </w:rPr>
        <w:t>在本附加合同履行中有复效情形下，自每一次复效日次日零时起</w:t>
      </w:r>
      <w:r>
        <w:rPr>
          <w:spacing w:val="-105"/>
        </w:rPr>
        <w:t>）</w:t>
      </w:r>
      <w:r>
        <w:rPr/>
        <w:t>，在本附加合同的保险期间内，我们承担下列保险责任。</w:t>
      </w:r>
    </w:p>
    <w:p>
      <w:pPr>
        <w:pStyle w:val="BodyText"/>
        <w:spacing w:before="7"/>
        <w:ind w:left="533"/>
      </w:pPr>
      <w:r>
        <w:rPr>
          <w:spacing w:val="-2"/>
        </w:rPr>
        <w:t>一、自本附加合同生效日次日零时起满 </w:t>
      </w:r>
      <w:r>
        <w:rPr>
          <w:rFonts w:ascii="Times New Roman" w:eastAsia="Times New Roman"/>
        </w:rPr>
        <w:t>180</w:t>
      </w:r>
      <w:r>
        <w:rPr>
          <w:rFonts w:ascii="Times New Roman" w:eastAsia="Times New Roman"/>
          <w:spacing w:val="20"/>
        </w:rPr>
        <w:t> </w:t>
      </w:r>
      <w:r>
        <w:rPr>
          <w:spacing w:val="-1"/>
        </w:rPr>
        <w:t>日后</w:t>
      </w:r>
      <w:r>
        <w:rPr/>
        <w:t>（</w:t>
      </w:r>
      <w:r>
        <w:rPr>
          <w:spacing w:val="-8"/>
        </w:rPr>
        <w:t>不含第 </w:t>
      </w:r>
      <w:r>
        <w:rPr>
          <w:rFonts w:ascii="Times New Roman" w:eastAsia="Times New Roman"/>
        </w:rPr>
        <w:t>180</w:t>
      </w:r>
      <w:r>
        <w:rPr>
          <w:rFonts w:ascii="Times New Roman" w:eastAsia="Times New Roman"/>
          <w:spacing w:val="20"/>
        </w:rPr>
        <w:t> </w:t>
      </w:r>
      <w:r>
        <w:rPr>
          <w:spacing w:val="-2"/>
        </w:rPr>
        <w:t>日</w:t>
      </w:r>
      <w:r>
        <w:rPr>
          <w:spacing w:val="-105"/>
        </w:rPr>
        <w:t>）</w:t>
      </w:r>
      <w:r>
        <w:rPr>
          <w:spacing w:val="-1"/>
        </w:rPr>
        <w:t>，并且在本附加合同履行中有复效</w:t>
      </w:r>
    </w:p>
    <w:p>
      <w:pPr>
        <w:pStyle w:val="BodyText"/>
        <w:spacing w:line="273" w:lineRule="auto" w:before="21"/>
        <w:ind w:left="114" w:right="204" w:hanging="1"/>
        <w:jc w:val="both"/>
      </w:pPr>
      <w:r>
        <w:rPr>
          <w:spacing w:val="-2"/>
        </w:rPr>
        <w:t>情形的情况下每一次复效日次日零时起满 </w:t>
      </w:r>
      <w:r>
        <w:rPr/>
        <w:t>180</w:t>
      </w:r>
      <w:r>
        <w:rPr>
          <w:spacing w:val="-12"/>
        </w:rPr>
        <w:t> 日后</w:t>
      </w:r>
      <w:r>
        <w:rPr/>
        <w:t>（</w:t>
      </w:r>
      <w:r>
        <w:rPr>
          <w:spacing w:val="-9"/>
        </w:rPr>
        <w:t>不含第 </w:t>
      </w:r>
      <w:r>
        <w:rPr/>
        <w:t>180</w:t>
      </w:r>
      <w:r>
        <w:rPr>
          <w:spacing w:val="-18"/>
        </w:rPr>
        <w:t> 日</w:t>
      </w:r>
      <w:r>
        <w:rPr>
          <w:spacing w:val="-105"/>
        </w:rPr>
        <w:t>）</w:t>
      </w:r>
      <w:r>
        <w:rPr>
          <w:spacing w:val="-2"/>
        </w:rPr>
        <w:t>，若被保险人初次罹患并被我们指定或认可的医院的专科医生确诊为本附加合同约定的一项或多项重大疾病，本附加合同终止，我们按照本附加合同的保险金额给付重大疾病保险金。</w:t>
      </w:r>
    </w:p>
    <w:p>
      <w:pPr>
        <w:spacing w:line="297" w:lineRule="exact" w:before="0"/>
        <w:ind w:left="589" w:right="0" w:firstLine="0"/>
        <w:jc w:val="left"/>
        <w:rPr>
          <w:rFonts w:ascii="黑体" w:eastAsia="黑体" w:hint="eastAsia"/>
          <w:sz w:val="24"/>
        </w:rPr>
      </w:pPr>
      <w:r>
        <w:rPr>
          <w:rFonts w:ascii="黑体" w:eastAsia="黑体" w:hint="eastAsia"/>
          <w:spacing w:val="-5"/>
          <w:sz w:val="24"/>
        </w:rPr>
        <w:t>二、自本附加合同</w:t>
      </w:r>
      <w:r>
        <w:rPr>
          <w:rFonts w:ascii="黑体" w:eastAsia="黑体" w:hint="eastAsia"/>
          <w:sz w:val="24"/>
        </w:rPr>
        <w:t>Th</w:t>
      </w:r>
      <w:r>
        <w:rPr>
          <w:rFonts w:ascii="黑体" w:eastAsia="黑体" w:hint="eastAsia"/>
          <w:spacing w:val="-8"/>
          <w:sz w:val="24"/>
        </w:rPr>
        <w:t>效日次日零时起 </w:t>
      </w:r>
      <w:r>
        <w:rPr>
          <w:rFonts w:ascii="黑体" w:eastAsia="黑体" w:hint="eastAsia"/>
          <w:sz w:val="24"/>
        </w:rPr>
        <w:t>180</w:t>
      </w:r>
      <w:r>
        <w:rPr>
          <w:rFonts w:ascii="黑体" w:eastAsia="黑体" w:hint="eastAsia"/>
          <w:spacing w:val="-29"/>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73"/>
          <w:sz w:val="24"/>
        </w:rPr>
        <w:t>）</w:t>
      </w:r>
      <w:r>
        <w:rPr>
          <w:rFonts w:ascii="黑体" w:eastAsia="黑体" w:hint="eastAsia"/>
          <w:spacing w:val="-9"/>
          <w:sz w:val="24"/>
        </w:rPr>
        <w:t>，以及在本附加合同履行中</w:t>
      </w:r>
    </w:p>
    <w:p>
      <w:pPr>
        <w:spacing w:line="237" w:lineRule="auto" w:before="2"/>
        <w:ind w:left="113" w:right="204" w:firstLine="0"/>
        <w:jc w:val="both"/>
        <w:rPr>
          <w:rFonts w:ascii="黑体" w:eastAsia="黑体" w:hint="eastAsia"/>
          <w:sz w:val="24"/>
        </w:rPr>
      </w:pPr>
      <w:r>
        <w:rPr>
          <w:rFonts w:ascii="黑体" w:eastAsia="黑体" w:hint="eastAsia"/>
          <w:spacing w:val="-3"/>
          <w:sz w:val="24"/>
        </w:rPr>
        <w:t>有复效情形的情况下每一次复效日次日零时起 </w:t>
      </w:r>
      <w:r>
        <w:rPr>
          <w:rFonts w:ascii="黑体" w:eastAsia="黑体" w:hint="eastAsia"/>
          <w:sz w:val="24"/>
        </w:rPr>
        <w:t>180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，若被保险人初次罹患并被我们指定或认可的医院的专科医Th确诊为本附加合同约定的一项或多项重大疾病，本附加合同终止，我们不承担保险责任，但向您返还本附加合同终止时您已交付保险费和保险单</w:t>
      </w:r>
      <w:r>
        <w:rPr>
          <w:rFonts w:ascii="黑体" w:eastAsia="黑体" w:hint="eastAsia"/>
          <w:spacing w:val="-1"/>
          <w:sz w:val="24"/>
        </w:rPr>
        <w:t>现金价值两者中金额较大者。</w:t>
      </w:r>
    </w:p>
    <w:p>
      <w:pPr>
        <w:pStyle w:val="Heading2"/>
        <w:numPr>
          <w:ilvl w:val="1"/>
          <w:numId w:val="2"/>
        </w:numPr>
        <w:tabs>
          <w:tab w:pos="594" w:val="left" w:leader="none"/>
        </w:tabs>
        <w:spacing w:line="300" w:lineRule="exact" w:before="64" w:after="0"/>
        <w:ind w:left="594" w:right="0" w:hanging="480"/>
        <w:jc w:val="left"/>
      </w:pPr>
      <w:bookmarkStart w:name="_TOC_250015" w:id="11"/>
      <w:bookmarkEnd w:id="11"/>
      <w:r>
        <w:rPr/>
        <w:t>我们不承担的责任</w:t>
      </w:r>
    </w:p>
    <w:p>
      <w:pPr>
        <w:spacing w:line="237" w:lineRule="auto" w:before="0"/>
        <w:ind w:left="113" w:right="205" w:firstLine="480"/>
        <w:jc w:val="left"/>
        <w:rPr>
          <w:rFonts w:ascii="黑体" w:eastAsia="黑体" w:hint="eastAsia"/>
          <w:sz w:val="24"/>
        </w:rPr>
      </w:pPr>
      <w:r>
        <w:rPr>
          <w:rFonts w:ascii="黑体" w:eastAsia="黑体" w:hint="eastAsia"/>
          <w:sz w:val="24"/>
        </w:rPr>
        <w:t>本附加合同有效期内，因下列任一情形导致被保险人发Th重大疾病的，我们不承担保险责任：</w:t>
      </w:r>
    </w:p>
    <w:p>
      <w:pPr>
        <w:spacing w:line="311" w:lineRule="exact" w:before="1"/>
        <w:ind w:left="593"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237" w:lineRule="auto" w:before="1"/>
        <w:ind w:left="593" w:right="21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0"/>
        <w:ind w:left="594" w:right="69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594" w:right="50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left="114" w:right="155" w:firstLine="420"/>
      </w:pPr>
      <w:r>
        <w:rPr/>
        <w:t>被保险人因上述任一情形身患重大疾病，本附加合同终止。我们向您退还本附加合同终止时的保险单现金价值。</w:t>
      </w:r>
    </w:p>
    <w:p>
      <w:pPr>
        <w:pStyle w:val="Heading2"/>
        <w:numPr>
          <w:ilvl w:val="1"/>
          <w:numId w:val="2"/>
        </w:numPr>
        <w:tabs>
          <w:tab w:pos="594" w:val="left" w:leader="none"/>
        </w:tabs>
        <w:spacing w:line="240" w:lineRule="auto" w:before="50" w:after="0"/>
        <w:ind w:left="594" w:right="0" w:hanging="480"/>
        <w:jc w:val="left"/>
      </w:pPr>
      <w:bookmarkStart w:name="_TOC_250014" w:id="12"/>
      <w:bookmarkEnd w:id="12"/>
      <w:r>
        <w:rPr/>
        <w:t>保险金受益人的指定和变更</w:t>
      </w:r>
    </w:p>
    <w:p>
      <w:pPr>
        <w:pStyle w:val="BodyText"/>
        <w:spacing w:line="273" w:lineRule="auto" w:before="14"/>
        <w:ind w:left="534" w:right="2935" w:hanging="22"/>
      </w:pPr>
      <w:r>
        <w:rPr/>
        <w:t>除本附加合同另有约定外，重大疾病保险金的受益人为被保险人本人。因受益人变更引起的法律纠纷，我们不承担任何责任。</w:t>
      </w:r>
    </w:p>
    <w:p>
      <w:pPr>
        <w:pStyle w:val="Heading2"/>
        <w:numPr>
          <w:ilvl w:val="1"/>
          <w:numId w:val="2"/>
        </w:numPr>
        <w:tabs>
          <w:tab w:pos="594" w:val="left" w:leader="none"/>
        </w:tabs>
        <w:spacing w:line="240" w:lineRule="auto" w:before="49" w:after="0"/>
        <w:ind w:left="594" w:right="0" w:hanging="480"/>
        <w:jc w:val="left"/>
      </w:pPr>
      <w:bookmarkStart w:name="_TOC_250013" w:id="13"/>
      <w:bookmarkEnd w:id="13"/>
      <w:r>
        <w:rPr/>
        <w:t>保险事故的通知</w:t>
      </w:r>
    </w:p>
    <w:p>
      <w:pPr>
        <w:pStyle w:val="BodyText"/>
        <w:spacing w:line="266" w:lineRule="auto" w:before="14"/>
        <w:ind w:right="18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5" w:after="0"/>
        <w:ind w:left="594" w:right="0" w:hanging="480"/>
        <w:jc w:val="both"/>
      </w:pPr>
      <w:bookmarkStart w:name="_TOC_250012" w:id="14"/>
      <w:bookmarkEnd w:id="14"/>
      <w:r>
        <w:rPr/>
        <w:t>如何申请领取保险金</w:t>
      </w:r>
    </w:p>
    <w:p>
      <w:pPr>
        <w:pStyle w:val="BodyText"/>
        <w:spacing w:before="15"/>
        <w:ind w:left="534"/>
      </w:pPr>
      <w:r>
        <w:rPr/>
        <w:t>一、由重大疾病保险金的受益人作为申请人，向我们提交保险金给付申请书和下列证明材料：</w:t>
      </w:r>
    </w:p>
    <w:p>
      <w:pPr>
        <w:pStyle w:val="BodyText"/>
        <w:ind w:left="533"/>
      </w:pPr>
      <w:r>
        <w:rPr>
          <w:rFonts w:ascii="Times New Roman" w:eastAsia="Times New Roman"/>
        </w:rPr>
        <w:t>1</w:t>
      </w:r>
      <w:r>
        <w:rPr/>
        <w:t>．保险合同原件；</w:t>
      </w:r>
    </w:p>
    <w:p>
      <w:pPr>
        <w:pStyle w:val="BodyText"/>
        <w:spacing w:before="21"/>
        <w:ind w:left="534"/>
      </w:pPr>
      <w:r>
        <w:rPr>
          <w:rFonts w:ascii="Times New Roman" w:eastAsia="Times New Roman"/>
        </w:rPr>
        <w:t>2</w:t>
      </w:r>
      <w:r>
        <w:rPr/>
        <w:t>．被保险人的户籍证明或身份证件原件；</w:t>
      </w:r>
    </w:p>
    <w:p>
      <w:pPr>
        <w:pStyle w:val="BodyText"/>
        <w:spacing w:line="256" w:lineRule="auto" w:before="21"/>
        <w:ind w:left="114" w:right="203" w:firstLine="420"/>
      </w:pPr>
      <w:r>
        <w:rPr>
          <w:rFonts w:ascii="Times New Roman" w:eastAsia="Times New Roman"/>
        </w:rPr>
        <w:t>3</w:t>
      </w:r>
      <w:r>
        <w:rPr/>
        <w:t>．由我们指定或认可的医院出具的被保险人身患重大疾病的诊断证明书原件，并应附有病理显微镜检查、血液检验及其他科学方法的检验报告；</w:t>
      </w:r>
    </w:p>
    <w:p>
      <w:pPr>
        <w:pStyle w:val="BodyText"/>
        <w:spacing w:before="22"/>
        <w:ind w:left="534"/>
      </w:pPr>
      <w:r>
        <w:rPr>
          <w:rFonts w:ascii="Times New Roman" w:eastAsia="Times New Roman"/>
        </w:rPr>
        <w:t>4.</w:t>
      </w:r>
      <w:r>
        <w:rPr>
          <w:rFonts w:ascii="Times New Roman" w:eastAsia="Times New Roman"/>
          <w:spacing w:val="50"/>
        </w:rPr>
        <w:t> </w:t>
      </w:r>
      <w:r>
        <w:rPr/>
        <w:t>申请人所能提供的与确认保险事故的性质、原因、程度等有关的其他证明材料。</w:t>
      </w:r>
    </w:p>
    <w:p>
      <w:pPr>
        <w:pStyle w:val="BodyText"/>
        <w:spacing w:line="273" w:lineRule="auto" w:before="21"/>
        <w:ind w:left="114" w:right="20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ind w:left="114"/>
        <w:jc w:val="both"/>
      </w:pPr>
      <w:r>
        <w:rPr/>
        <w:t>的，将在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．被保险人身处偏远地区，导致我们不能及时了解情况；</w:t>
      </w:r>
    </w:p>
    <w:p>
      <w:pPr>
        <w:spacing w:after="0"/>
        <w:sectPr>
          <w:pgSz w:w="11900" w:h="16840"/>
          <w:pgMar w:header="0" w:footer="998" w:top="1100" w:bottom="1180" w:left="1020" w:right="920"/>
        </w:sectPr>
      </w:pPr>
    </w:p>
    <w:p>
      <w:pPr>
        <w:pStyle w:val="BodyText"/>
        <w:spacing w:before="19"/>
        <w:ind w:left="512"/>
      </w:pPr>
      <w:r>
        <w:rPr>
          <w:rFonts w:ascii="Times New Roman" w:eastAsia="Times New Roman"/>
        </w:rPr>
        <w:t>3</w:t>
      </w:r>
      <w:r>
        <w:rPr/>
        <w:t>．其他不可抗力导致我们不能及时进行理赔。</w:t>
      </w:r>
    </w:p>
    <w:p>
      <w:pPr>
        <w:pStyle w:val="BodyText"/>
        <w:spacing w:line="264" w:lineRule="auto" w:before="21"/>
        <w:ind w:left="114"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left="114" w:right="205" w:firstLine="420"/>
        <w:jc w:val="both"/>
      </w:pPr>
      <w:r>
        <w:rPr>
          <w:spacing w:val="-1"/>
        </w:rPr>
        <w:t>我们在收到保险金给付申请书及有关证明和材料之日起 </w:t>
      </w:r>
      <w:r>
        <w:rPr/>
        <w:t>60</w:t>
      </w:r>
      <w:r>
        <w:rPr>
          <w:spacing w:val="-3"/>
        </w:rPr>
        <w:t> 日内，对给付保险金的数额不能确定的， </w:t>
      </w:r>
      <w:r>
        <w:rPr>
          <w:spacing w:val="-5"/>
        </w:rPr>
        <w:t>将先予支付根据已有证明和材料可以确定的数额。最终确定应给付保险金的数额后，我们将扣除已先予支付的保险金数额，支付相应的差额。</w:t>
      </w:r>
    </w:p>
    <w:p>
      <w:pPr>
        <w:pStyle w:val="BodyText"/>
        <w:spacing w:line="289" w:lineRule="exact" w:before="10"/>
        <w:ind w:left="534"/>
      </w:pPr>
      <w:r>
        <w:rPr/>
        <w:t>三、申请人请求给付保险金的诉讼时效期间为</w:t>
      </w:r>
      <w:r>
        <w:rPr>
          <w:rFonts w:ascii="Times New Roman" w:eastAsia="Times New Roman"/>
        </w:rPr>
        <w:t>2</w:t>
      </w:r>
      <w:r>
        <w:rPr/>
        <w:t>年，自其知道或者应当知道保险事故发生之日起计算。</w:t>
      </w:r>
    </w:p>
    <w:p>
      <w:pPr>
        <w:pStyle w:val="Heading1"/>
        <w:numPr>
          <w:ilvl w:val="0"/>
          <w:numId w:val="2"/>
        </w:numPr>
        <w:tabs>
          <w:tab w:pos="593" w:val="left" w:leader="none"/>
          <w:tab w:pos="594" w:val="left" w:leader="none"/>
        </w:tabs>
        <w:spacing w:line="313" w:lineRule="exact" w:before="0" w:after="0"/>
        <w:ind w:left="594" w:right="0" w:hanging="480"/>
        <w:jc w:val="left"/>
      </w:pPr>
      <w:bookmarkStart w:name="_TOC_250011" w:id="15"/>
      <w:bookmarkEnd w:id="15"/>
      <w:r>
        <w:rPr/>
        <w:t>您在本附加合同项下的权利和义务</w:t>
      </w:r>
    </w:p>
    <w:p>
      <w:pPr>
        <w:pStyle w:val="Heading2"/>
        <w:numPr>
          <w:ilvl w:val="1"/>
          <w:numId w:val="2"/>
        </w:numPr>
        <w:tabs>
          <w:tab w:pos="594" w:val="left" w:leader="none"/>
        </w:tabs>
        <w:spacing w:line="240" w:lineRule="auto" w:before="64" w:after="0"/>
        <w:ind w:left="594" w:right="0" w:hanging="480"/>
        <w:jc w:val="left"/>
      </w:pPr>
      <w:bookmarkStart w:name="_TOC_250010" w:id="16"/>
      <w:bookmarkEnd w:id="16"/>
      <w:r>
        <w:rPr/>
        <w:t>保险费的交付</w:t>
      </w:r>
    </w:p>
    <w:p>
      <w:pPr>
        <w:pStyle w:val="BodyText"/>
        <w:spacing w:line="273" w:lineRule="auto" w:before="15"/>
        <w:ind w:left="114" w:right="205" w:firstLine="420"/>
        <w:jc w:val="both"/>
      </w:pPr>
      <w:r>
        <w:rPr>
          <w:spacing w:val="-2"/>
        </w:rPr>
        <w:t>本附加合同的保险费按约定的保险金额和保险费率确定。交费方式和交费期间由您和我们约定，并在保险单中载明。</w:t>
      </w:r>
    </w:p>
    <w:p>
      <w:pPr>
        <w:pStyle w:val="BodyText"/>
        <w:spacing w:line="273" w:lineRule="auto" w:before="7"/>
        <w:ind w:left="114" w:right="205" w:firstLine="420"/>
        <w:jc w:val="both"/>
      </w:pPr>
      <w:r>
        <w:rPr>
          <w:spacing w:val="-2"/>
        </w:rPr>
        <w:t>本附加合同的保险费应与主险合同的保险费同时交付，您只有交付了主险合同的应交续期保险费，才</w:t>
      </w:r>
      <w:r>
        <w:rPr>
          <w:spacing w:val="-4"/>
        </w:rPr>
        <w:t>可以交付本附加合同的续期保险费。我们有权根据对未来重大疾病发生率变化的预测与其他相关因素，在每年合同生效日的对应日调整本附加合同保险费率。</w:t>
      </w:r>
    </w:p>
    <w:p>
      <w:pPr>
        <w:pStyle w:val="Heading2"/>
        <w:numPr>
          <w:ilvl w:val="1"/>
          <w:numId w:val="2"/>
        </w:numPr>
        <w:tabs>
          <w:tab w:pos="594" w:val="left" w:leader="none"/>
        </w:tabs>
        <w:spacing w:line="240" w:lineRule="auto" w:before="49" w:after="0"/>
        <w:ind w:left="594" w:right="0" w:hanging="480"/>
        <w:jc w:val="left"/>
      </w:pPr>
      <w:bookmarkStart w:name="_TOC_250009" w:id="17"/>
      <w:bookmarkEnd w:id="17"/>
      <w:r>
        <w:rPr/>
        <w:t>宽限期</w:t>
      </w:r>
    </w:p>
    <w:p>
      <w:pPr>
        <w:pStyle w:val="BodyText"/>
        <w:spacing w:line="273" w:lineRule="auto" w:before="14"/>
        <w:ind w:left="114" w:right="205" w:firstLine="420"/>
        <w:jc w:val="both"/>
      </w:pPr>
      <w:r>
        <w:rPr>
          <w:spacing w:val="-1"/>
        </w:rPr>
        <w:t>您未按本附加合同约定日期交付续期保险费的，自该应交付日起 </w:t>
      </w:r>
      <w:r>
        <w:rPr/>
        <w:t>60</w:t>
      </w:r>
      <w:r>
        <w:rPr>
          <w:spacing w:val="-3"/>
        </w:rPr>
        <w:t> 日为宽限期。在宽限期内您可以</w:t>
      </w:r>
      <w:r>
        <w:rPr>
          <w:spacing w:val="-6"/>
        </w:rPr>
        <w:t>继续交付续期保险费，如果发生保险事故，我们仍按本附加合同的约定承担保险责任，但在给付保险金时将扣除您欠交的续期保险费。</w:t>
      </w:r>
    </w:p>
    <w:p>
      <w:pPr>
        <w:pStyle w:val="Heading2"/>
        <w:numPr>
          <w:ilvl w:val="1"/>
          <w:numId w:val="2"/>
        </w:numPr>
        <w:tabs>
          <w:tab w:pos="594" w:val="left" w:leader="none"/>
        </w:tabs>
        <w:spacing w:line="240" w:lineRule="auto" w:before="50" w:after="0"/>
        <w:ind w:left="594" w:right="0" w:hanging="480"/>
        <w:jc w:val="left"/>
      </w:pPr>
      <w:bookmarkStart w:name="_TOC_250008" w:id="18"/>
      <w:bookmarkEnd w:id="18"/>
      <w:r>
        <w:rPr/>
        <w:t>合同效力的中止和恢复</w:t>
      </w:r>
    </w:p>
    <w:p>
      <w:pPr>
        <w:spacing w:line="254" w:lineRule="auto" w:before="15"/>
        <w:ind w:left="113" w:right="185" w:firstLine="420"/>
        <w:jc w:val="both"/>
        <w:rPr>
          <w:sz w:val="21"/>
        </w:rPr>
      </w:pPr>
      <w:r>
        <w:rPr>
          <w:sz w:val="21"/>
        </w:rPr>
        <w:t>如果您在宽限期届满时仍未交付续期保险费，则自宽限期届满日次日零时起，本附加合同效力中止， </w:t>
      </w:r>
      <w:r>
        <w:rPr>
          <w:spacing w:val="-3"/>
          <w:sz w:val="21"/>
        </w:rPr>
        <w:t>效力中止期间最长为两年。</w:t>
      </w:r>
      <w:r>
        <w:rPr>
          <w:rFonts w:ascii="黑体" w:eastAsia="黑体" w:hint="eastAsia"/>
          <w:spacing w:val="-3"/>
          <w:sz w:val="24"/>
        </w:rPr>
        <w:t>无论本附加合同效力是否恢复，对效力中止期间发</w:t>
      </w:r>
      <w:r>
        <w:rPr>
          <w:rFonts w:ascii="黑体" w:eastAsia="黑体" w:hint="eastAsia"/>
          <w:sz w:val="24"/>
        </w:rPr>
        <w:t>Th</w:t>
      </w:r>
      <w:r>
        <w:rPr>
          <w:rFonts w:ascii="黑体" w:eastAsia="黑体" w:hint="eastAsia"/>
          <w:spacing w:val="-6"/>
          <w:sz w:val="24"/>
        </w:rPr>
        <w:t>的保险事故，我</w:t>
      </w:r>
      <w:r>
        <w:rPr>
          <w:rFonts w:ascii="黑体" w:eastAsia="黑体" w:hint="eastAsia"/>
          <w:spacing w:val="-10"/>
          <w:sz w:val="24"/>
        </w:rPr>
        <w:t>们不承担保险责任。</w:t>
      </w:r>
      <w:r>
        <w:rPr>
          <w:spacing w:val="-3"/>
          <w:sz w:val="21"/>
        </w:rPr>
        <w:t>在中止期间内您可申请恢复本附加合同效力，经我们审核同意后，自我们收到您补</w:t>
      </w:r>
      <w:r>
        <w:rPr>
          <w:spacing w:val="-5"/>
          <w:sz w:val="21"/>
        </w:rPr>
        <w:t>交所欠续期保险费之日起，本附加合同效力恢复，我们自合同效力恢复之日的次日零时起开始承担保险责任。</w:t>
      </w:r>
    </w:p>
    <w:p>
      <w:pPr>
        <w:pStyle w:val="BodyText"/>
        <w:spacing w:line="273" w:lineRule="auto" w:before="24"/>
        <w:ind w:left="114" w:right="205" w:firstLine="420"/>
        <w:jc w:val="both"/>
      </w:pPr>
      <w:r>
        <w:rPr>
          <w:spacing w:val="-1"/>
        </w:rPr>
        <w:t>本附加合同自效力中止之日起满两年未恢复效力的，则自该两年中止期间届满日次日的零时起自动终止，我们将向您支付本附加合同效力中止之日的保险单现金价值，但我们将从中扣除您的各项欠款。</w:t>
      </w:r>
    </w:p>
    <w:p>
      <w:pPr>
        <w:pStyle w:val="Heading2"/>
        <w:numPr>
          <w:ilvl w:val="1"/>
          <w:numId w:val="2"/>
        </w:numPr>
        <w:tabs>
          <w:tab w:pos="594" w:val="left" w:leader="none"/>
        </w:tabs>
        <w:spacing w:line="240" w:lineRule="auto" w:before="50" w:after="0"/>
        <w:ind w:left="594" w:right="0" w:hanging="480"/>
        <w:jc w:val="left"/>
      </w:pPr>
      <w:bookmarkStart w:name="_TOC_250007" w:id="19"/>
      <w:bookmarkEnd w:id="19"/>
      <w:r>
        <w:rPr/>
        <w:t>合同内容的变更</w:t>
      </w:r>
    </w:p>
    <w:p>
      <w:pPr>
        <w:pStyle w:val="BodyText"/>
        <w:spacing w:line="273" w:lineRule="auto" w:before="15"/>
        <w:ind w:left="114" w:right="205" w:firstLine="420"/>
        <w:jc w:val="both"/>
      </w:pPr>
      <w:r>
        <w:rPr>
          <w:spacing w:val="-3"/>
        </w:rPr>
        <w:t>在本附加合同有效期内，您与我们经协商一致，可以变更本附加合同内容。我们同意您的变更申请并出具修改批单，或与您订立书面的变更协议后，变更方为生效。</w:t>
      </w:r>
    </w:p>
    <w:p>
      <w:pPr>
        <w:pStyle w:val="Heading2"/>
        <w:numPr>
          <w:ilvl w:val="1"/>
          <w:numId w:val="2"/>
        </w:numPr>
        <w:tabs>
          <w:tab w:pos="594" w:val="left" w:leader="none"/>
        </w:tabs>
        <w:spacing w:line="240" w:lineRule="auto" w:before="49" w:after="0"/>
        <w:ind w:left="594" w:right="0" w:hanging="480"/>
        <w:jc w:val="left"/>
      </w:pPr>
      <w:bookmarkStart w:name="_TOC_250006" w:id="20"/>
      <w:bookmarkEnd w:id="20"/>
      <w:r>
        <w:rPr/>
        <w:t>犹豫期后解除合同的处理</w:t>
      </w:r>
    </w:p>
    <w:p>
      <w:pPr>
        <w:pStyle w:val="BodyText"/>
        <w:spacing w:before="14"/>
        <w:ind w:left="534"/>
      </w:pPr>
      <w:r>
        <w:rPr/>
        <w:t>本附加合同犹豫期过后，您要求解除本附加合同的，应填写解除合同申请，并向我们提供下列材料：</w:t>
      </w:r>
    </w:p>
    <w:p>
      <w:pPr>
        <w:pStyle w:val="BodyText"/>
        <w:ind w:left="533"/>
      </w:pPr>
      <w:r>
        <w:rPr/>
        <w:t>（1）保险合同；</w:t>
      </w:r>
    </w:p>
    <w:p>
      <w:pPr>
        <w:pStyle w:val="BodyText"/>
        <w:ind w:left="533"/>
      </w:pPr>
      <w:r>
        <w:rPr/>
        <w:t>（2）您的有效身份证件。</w:t>
      </w:r>
    </w:p>
    <w:p>
      <w:pPr>
        <w:pStyle w:val="BodyText"/>
        <w:spacing w:line="273" w:lineRule="auto"/>
        <w:ind w:right="205" w:firstLine="420"/>
        <w:jc w:val="both"/>
      </w:pPr>
      <w:r>
        <w:rPr>
          <w:spacing w:val="-2"/>
        </w:rPr>
        <w:t>本附加合同自我们收到您的解除合同申请时终止。我们在收到上述完整解除合同申请材料后，计算收</w:t>
      </w:r>
      <w:r>
        <w:rPr>
          <w:spacing w:val="-5"/>
        </w:rPr>
        <w:t>到当日的保险单现金价值，并在收到解除合同申请之日起 </w:t>
      </w:r>
      <w:r>
        <w:rPr>
          <w:rFonts w:ascii="Times New Roman" w:eastAsia="Times New Roman"/>
        </w:rPr>
        <w:t>10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2"/>
        </w:numPr>
        <w:tabs>
          <w:tab w:pos="593" w:val="left" w:leader="none"/>
          <w:tab w:pos="594" w:val="left" w:leader="none"/>
        </w:tabs>
        <w:spacing w:line="240" w:lineRule="auto" w:before="13" w:after="0"/>
        <w:ind w:left="594" w:right="0" w:hanging="480"/>
        <w:jc w:val="left"/>
      </w:pPr>
      <w:bookmarkStart w:name="_TOC_250005" w:id="21"/>
      <w:bookmarkEnd w:id="21"/>
      <w:r>
        <w:rPr/>
        <w:t>您需要了解的其他内容</w:t>
      </w:r>
    </w:p>
    <w:p>
      <w:pPr>
        <w:pStyle w:val="Heading2"/>
        <w:numPr>
          <w:ilvl w:val="1"/>
          <w:numId w:val="2"/>
        </w:numPr>
        <w:tabs>
          <w:tab w:pos="594" w:val="left" w:leader="none"/>
        </w:tabs>
        <w:spacing w:line="240" w:lineRule="auto" w:before="64" w:after="0"/>
        <w:ind w:left="594" w:right="0" w:hanging="480"/>
        <w:jc w:val="left"/>
      </w:pPr>
      <w:bookmarkStart w:name="_TOC_250004" w:id="22"/>
      <w:bookmarkEnd w:id="22"/>
      <w:r>
        <w:rPr/>
        <w:t>被保险人身故或意外伤害永久完全残疾的处理</w:t>
      </w:r>
    </w:p>
    <w:p>
      <w:pPr>
        <w:pStyle w:val="BodyText"/>
        <w:spacing w:line="273" w:lineRule="auto" w:before="15"/>
        <w:ind w:left="114" w:right="205" w:firstLine="420"/>
        <w:jc w:val="both"/>
      </w:pPr>
      <w:r>
        <w:rPr>
          <w:spacing w:val="-2"/>
        </w:rPr>
        <w:t>若被保险人身故或因意外伤害导致永久完全残疾的，则本附加合同终止，并返还本附加合同保险金额所对应的现金价值。</w:t>
      </w:r>
    </w:p>
    <w:p>
      <w:pPr>
        <w:pStyle w:val="Heading2"/>
        <w:numPr>
          <w:ilvl w:val="1"/>
          <w:numId w:val="2"/>
        </w:numPr>
        <w:tabs>
          <w:tab w:pos="594" w:val="left" w:leader="none"/>
        </w:tabs>
        <w:spacing w:line="240" w:lineRule="auto" w:before="50" w:after="0"/>
        <w:ind w:left="594" w:right="0" w:hanging="480"/>
        <w:jc w:val="left"/>
      </w:pPr>
      <w:bookmarkStart w:name="_TOC_250003" w:id="23"/>
      <w:bookmarkEnd w:id="23"/>
      <w:r>
        <w:rPr/>
        <w:t>年龄计算及错误处理</w:t>
      </w:r>
    </w:p>
    <w:p>
      <w:pPr>
        <w:pStyle w:val="BodyText"/>
        <w:spacing w:line="273" w:lineRule="auto" w:before="15"/>
        <w:ind w:right="206" w:firstLine="420"/>
        <w:jc w:val="both"/>
      </w:pPr>
      <w:r>
        <w:rPr>
          <w:spacing w:val="-2"/>
        </w:rPr>
        <w:t>被保险人的投保年龄按周岁计算。您在投保本保险时，应将被保险人的真实年龄准确填写在投保申请书上。如果发生错误，我们按照下列规定办理：</w:t>
      </w:r>
    </w:p>
    <w:p>
      <w:pPr>
        <w:pStyle w:val="BodyText"/>
        <w:spacing w:before="7"/>
        <w:ind w:left="533"/>
      </w:pPr>
      <w:r>
        <w:rPr/>
        <w:t>一、您申报的被保险人年龄不真实并且其真实年龄不符合本附加合同约定的年龄限制的，我们有权解</w:t>
      </w:r>
    </w:p>
    <w:p>
      <w:pPr>
        <w:spacing w:after="0"/>
        <w:sectPr>
          <w:pgSz w:w="11900" w:h="16840"/>
          <w:pgMar w:header="0" w:footer="998" w:top="1100" w:bottom="1180" w:left="1020" w:right="920"/>
        </w:sectPr>
      </w:pPr>
    </w:p>
    <w:p>
      <w:pPr>
        <w:pStyle w:val="BodyText"/>
        <w:spacing w:line="264" w:lineRule="auto" w:before="19"/>
        <w:ind w:left="114" w:right="205"/>
        <w:jc w:val="both"/>
      </w:pPr>
      <w:r>
        <w:rPr>
          <w:spacing w:val="-4"/>
        </w:rPr>
        <w:t>除本附加合同，并向您退还本附加合同解除之日的保险单现金价值，该合同解除权，自我们知道年龄申报</w:t>
      </w:r>
      <w:r>
        <w:rPr>
          <w:spacing w:val="-7"/>
        </w:rPr>
        <w:t>不真实之日起，超过 </w:t>
      </w:r>
      <w:r>
        <w:rPr>
          <w:rFonts w:ascii="Times New Roman" w:eastAsia="Times New Roman"/>
        </w:rPr>
        <w:t>30 </w:t>
      </w:r>
      <w:r>
        <w:rPr>
          <w:spacing w:val="-2"/>
        </w:rPr>
        <w:t>日不行使而消灭。但自本附加合同成立之日起超过 </w:t>
      </w:r>
      <w:r>
        <w:rPr/>
        <w:t>2</w:t>
      </w:r>
      <w:r>
        <w:rPr>
          <w:spacing w:val="-6"/>
        </w:rPr>
        <w:t> 年的，我们不得解除本附加合同；发生保险事故的，我们承担给付保险金的责任并依据本款第二、第三项办理。</w:t>
      </w:r>
    </w:p>
    <w:p>
      <w:pPr>
        <w:pStyle w:val="BodyText"/>
        <w:spacing w:line="273" w:lineRule="auto" w:before="16"/>
        <w:ind w:left="114" w:right="205" w:firstLine="420"/>
      </w:pPr>
      <w:r>
        <w:rPr>
          <w:spacing w:val="-5"/>
        </w:rPr>
        <w:t>二、您申报的被保险人年龄不真实，致使您的实交保险费少于应交保险费的，我们有权更正并要求您予以补交保险费。若已经发生保险事故，在给付保险金时按照实交保险费与应交保险费的比例给付。</w:t>
      </w:r>
    </w:p>
    <w:p>
      <w:pPr>
        <w:pStyle w:val="BodyText"/>
        <w:spacing w:line="273" w:lineRule="auto" w:before="7"/>
        <w:ind w:left="114" w:right="205" w:firstLine="420"/>
      </w:pPr>
      <w:r>
        <w:rPr>
          <w:spacing w:val="-5"/>
        </w:rPr>
        <w:t>三、您申报的被保险人年龄不真实，致使您的实交保险费多于应交保险费，我们在给付保险金时将多收的保险费无息退还给您。</w:t>
      </w:r>
    </w:p>
    <w:p>
      <w:pPr>
        <w:pStyle w:val="Heading2"/>
        <w:numPr>
          <w:ilvl w:val="1"/>
          <w:numId w:val="2"/>
        </w:numPr>
        <w:tabs>
          <w:tab w:pos="594" w:val="left" w:leader="none"/>
        </w:tabs>
        <w:spacing w:line="240" w:lineRule="auto" w:before="49" w:after="0"/>
        <w:ind w:left="594" w:right="0" w:hanging="480"/>
        <w:jc w:val="both"/>
      </w:pPr>
      <w:bookmarkStart w:name="_TOC_250002" w:id="24"/>
      <w:bookmarkEnd w:id="24"/>
      <w:r>
        <w:rPr/>
        <w:t>住所或通讯地址的变更</w:t>
      </w:r>
    </w:p>
    <w:p>
      <w:pPr>
        <w:pStyle w:val="BodyText"/>
        <w:spacing w:line="273" w:lineRule="auto" w:before="15"/>
        <w:ind w:left="114"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2"/>
        </w:numPr>
        <w:tabs>
          <w:tab w:pos="594" w:val="left" w:leader="none"/>
        </w:tabs>
        <w:spacing w:line="240" w:lineRule="auto" w:before="50" w:after="0"/>
        <w:ind w:left="594" w:right="0" w:hanging="480"/>
        <w:jc w:val="both"/>
      </w:pPr>
      <w:bookmarkStart w:name="_TOC_250001" w:id="25"/>
      <w:bookmarkEnd w:id="25"/>
      <w:r>
        <w:rPr/>
        <w:t>争议处理</w:t>
      </w:r>
    </w:p>
    <w:p>
      <w:pPr>
        <w:pStyle w:val="BodyText"/>
        <w:spacing w:before="14"/>
        <w:ind w:left="534"/>
      </w:pPr>
      <w:r>
        <w:rPr/>
        <w:t>本附加合同争议解决方式由当事人从下列两种方式中选择一种：</w:t>
      </w:r>
    </w:p>
    <w:p>
      <w:pPr>
        <w:pStyle w:val="BodyText"/>
        <w:spacing w:line="273" w:lineRule="auto"/>
        <w:ind w:left="114" w:right="206" w:firstLine="420"/>
      </w:pPr>
      <w:r>
        <w:rPr>
          <w:spacing w:val="-6"/>
        </w:rPr>
        <w:t>一、因履行本附加合同发生的争议，由当事人协商解决，协商不成的，提交双方均认可的仲裁委员会仲裁；</w:t>
      </w:r>
    </w:p>
    <w:p>
      <w:pPr>
        <w:pStyle w:val="BodyText"/>
        <w:spacing w:before="8"/>
        <w:ind w:left="534"/>
      </w:pPr>
      <w:r>
        <w:rPr/>
        <w:t>二、因履行本附加合同发生的争议，由当事人协商解决，协商不成的，依法向人民法院起诉。</w:t>
      </w:r>
    </w:p>
    <w:p>
      <w:pPr>
        <w:pStyle w:val="Heading1"/>
        <w:numPr>
          <w:ilvl w:val="0"/>
          <w:numId w:val="2"/>
        </w:numPr>
        <w:tabs>
          <w:tab w:pos="594" w:val="left" w:leader="none"/>
        </w:tabs>
        <w:spacing w:line="240" w:lineRule="auto" w:before="13" w:after="0"/>
        <w:ind w:left="594" w:right="0" w:hanging="480"/>
        <w:jc w:val="both"/>
      </w:pPr>
      <w:bookmarkStart w:name="_TOC_250000" w:id="26"/>
      <w:bookmarkEnd w:id="26"/>
      <w:r>
        <w:rPr/>
        <w:t>条款的解释</w:t>
      </w:r>
    </w:p>
    <w:p>
      <w:pPr>
        <w:pStyle w:val="BodyText"/>
        <w:spacing w:before="22"/>
        <w:ind w:left="114"/>
        <w:jc w:val="both"/>
      </w:pPr>
      <w:r>
        <w:rPr/>
        <w:t>【您】：指的是投保人，即购买本附加合同项下保险的人。</w:t>
      </w:r>
    </w:p>
    <w:p>
      <w:pPr>
        <w:pStyle w:val="BodyText"/>
        <w:jc w:val="both"/>
      </w:pPr>
      <w:r>
        <w:rPr/>
        <w:t>【我们】：指的是恒安标准人寿保险有限公司。</w:t>
      </w:r>
    </w:p>
    <w:p>
      <w:pPr>
        <w:pStyle w:val="BodyText"/>
        <w:jc w:val="both"/>
      </w:pPr>
      <w:r>
        <w:rPr/>
        <w:t>【保险费】：指您为购买本附加合同项下保险而支付的金额。</w:t>
      </w:r>
    </w:p>
    <w:p>
      <w:pPr>
        <w:pStyle w:val="BodyText"/>
        <w:jc w:val="both"/>
      </w:pPr>
      <w:r>
        <w:rPr/>
        <w:t>【保险事故】：是指本附加合同约定的我们承担的保险责任范围内的事故。</w:t>
      </w:r>
    </w:p>
    <w:p>
      <w:pPr>
        <w:pStyle w:val="BodyText"/>
        <w:jc w:val="both"/>
      </w:pPr>
      <w:r>
        <w:rPr/>
        <w:t>【保险金】：是指被保险人发生保险事故时，我们给付的金额。</w:t>
      </w:r>
    </w:p>
    <w:p>
      <w:pPr>
        <w:pStyle w:val="BodyText"/>
        <w:spacing w:line="273" w:lineRule="auto"/>
        <w:ind w:right="208"/>
      </w:pPr>
      <w:r>
        <w:rPr>
          <w:spacing w:val="-11"/>
        </w:rPr>
        <w:t>【保险金额】：是指我们与您在本附加合同中约定的，被保险人发生保险事故时，我们承担给付保险金责任的最高限额。</w:t>
      </w:r>
    </w:p>
    <w:p>
      <w:pPr>
        <w:pStyle w:val="BodyText"/>
        <w:spacing w:before="7"/>
      </w:pPr>
      <w:r>
        <w:rPr/>
        <w:t>【初次罹患】：是指被保险人一生中首次罹患某种疾病。</w:t>
      </w:r>
    </w:p>
    <w:p>
      <w:pPr>
        <w:pStyle w:val="BodyText"/>
        <w:spacing w:line="273" w:lineRule="auto" w:before="36"/>
        <w:ind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们指定的医院，则为国家卫生部规定的医院等级分类中的二级甲等或以上的医院。当被保险人因紧急抢救不受此限制，但经急救处理伤情稳定后，必须及时转入我们指定或认可的医院治疗。</w:t>
      </w:r>
    </w:p>
    <w:p>
      <w:pPr>
        <w:pStyle w:val="BodyText"/>
        <w:spacing w:before="7"/>
      </w:pPr>
      <w:r>
        <w:rPr>
          <w:spacing w:val="-18"/>
        </w:rPr>
        <w:t>【专科医生】：专科医生应当同时满足以下四项资格条件：①具有有效的中华人民共和国《医师资格证书》；</w:t>
      </w:r>
    </w:p>
    <w:p>
      <w:pPr>
        <w:pStyle w:val="BodyText"/>
        <w:spacing w:line="273" w:lineRule="auto"/>
        <w:ind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8"/>
        <w:ind w:right="207"/>
      </w:pPr>
      <w:r>
        <w:rPr>
          <w:spacing w:val="-11"/>
        </w:rPr>
        <w:t>【现金价值】：指保险单所具有的价值，通常体现为解除合同时，根据精算原理计算的，由我们退还的那部分金额。</w:t>
      </w:r>
    </w:p>
    <w:p>
      <w:pPr>
        <w:pStyle w:val="BodyText"/>
        <w:spacing w:line="273" w:lineRule="auto" w:before="8"/>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8"/>
        <w:ind w:right="208"/>
      </w:pPr>
      <w:r>
        <w:rPr>
          <w:spacing w:val="-11"/>
        </w:rPr>
        <w:t>【酒后驾驶】：指经检测或鉴定，发生事故时车辆驾驶人员每百毫升血液中的酒精含量达到或超过一定的标准，被国家有关机关认定为酒后驾驶。</w:t>
      </w:r>
    </w:p>
    <w:p>
      <w:pPr>
        <w:pStyle w:val="BodyText"/>
        <w:spacing w:before="8"/>
        <w:jc w:val="both"/>
      </w:pPr>
      <w:r>
        <w:rPr/>
        <w:t>【无合法有效驾驶证驾驶】：指下列情形之一：</w:t>
      </w:r>
    </w:p>
    <w:p>
      <w:pPr>
        <w:pStyle w:val="BodyText"/>
        <w:jc w:val="both"/>
      </w:pPr>
      <w:r>
        <w:rPr/>
        <w:t>（</w:t>
      </w:r>
      <w:r>
        <w:rPr>
          <w:rFonts w:ascii="Arial" w:eastAsia="Arial"/>
        </w:rPr>
        <w:t>1</w:t>
      </w:r>
      <w:r>
        <w:rPr/>
        <w:t>）没有驾驶证驾驶；</w:t>
      </w:r>
    </w:p>
    <w:p>
      <w:pPr>
        <w:pStyle w:val="BodyText"/>
        <w:spacing w:before="22"/>
        <w:jc w:val="both"/>
      </w:pPr>
      <w:r>
        <w:rPr/>
        <w:t>（</w:t>
      </w:r>
      <w:r>
        <w:rPr>
          <w:rFonts w:ascii="Arial" w:eastAsia="Arial"/>
        </w:rPr>
        <w:t>2</w:t>
      </w:r>
      <w:r>
        <w:rPr/>
        <w:t>）驾驶与驾驶证准驾车型不相符合的车辆；</w:t>
      </w:r>
    </w:p>
    <w:p>
      <w:pPr>
        <w:pStyle w:val="BodyText"/>
        <w:spacing w:before="22"/>
        <w:jc w:val="both"/>
      </w:pPr>
      <w:r>
        <w:rPr/>
        <w:t>（</w:t>
      </w:r>
      <w:r>
        <w:rPr>
          <w:rFonts w:ascii="Arial" w:eastAsia="Arial"/>
        </w:rPr>
        <w:t>3</w:t>
      </w:r>
      <w:r>
        <w:rPr/>
        <w:t>）驾驶员持审验不合格的驾驶证驾驶；</w:t>
      </w:r>
    </w:p>
    <w:p>
      <w:pPr>
        <w:pStyle w:val="BodyText"/>
        <w:spacing w:before="22"/>
        <w:jc w:val="both"/>
      </w:pPr>
      <w:r>
        <w:rPr/>
        <w:t>（</w:t>
      </w:r>
      <w:r>
        <w:rPr>
          <w:rFonts w:ascii="Arial" w:eastAsia="Arial"/>
        </w:rPr>
        <w:t>4</w:t>
      </w:r>
      <w:r>
        <w:rPr/>
        <w:t>）未经公安交通管理部门同意，持未审验的驾驶证驾驶；</w:t>
      </w:r>
    </w:p>
    <w:p>
      <w:pPr>
        <w:pStyle w:val="BodyText"/>
        <w:spacing w:before="22"/>
        <w:jc w:val="both"/>
      </w:pPr>
      <w:r>
        <w:rPr/>
        <w:t>（</w:t>
      </w:r>
      <w:r>
        <w:rPr>
          <w:rFonts w:ascii="Arial" w:eastAsia="Arial"/>
        </w:rPr>
        <w:t>5</w:t>
      </w:r>
      <w:r>
        <w:rPr/>
        <w:t>）持学习驾驶证学习驾车时，无教练员随车指导，或不按指定时间、路线学习驾车；</w:t>
      </w:r>
    </w:p>
    <w:p>
      <w:pPr>
        <w:pStyle w:val="BodyText"/>
        <w:spacing w:before="22"/>
        <w:jc w:val="both"/>
      </w:pPr>
      <w:r>
        <w:rPr/>
        <w:t>（</w:t>
      </w:r>
      <w:r>
        <w:rPr>
          <w:rFonts w:ascii="Arial" w:eastAsia="Arial"/>
        </w:rPr>
        <w:t>6</w:t>
      </w:r>
      <w:r>
        <w:rPr/>
        <w:t>）公安交通管理部门规定的其他无有效驾驶证驾驶的情况。</w:t>
      </w:r>
    </w:p>
    <w:p>
      <w:pPr>
        <w:pStyle w:val="BodyText"/>
        <w:spacing w:before="22"/>
        <w:jc w:val="both"/>
      </w:pPr>
      <w:r>
        <w:rPr/>
        <w:t>【驾驶无有效行驶证的机动车】：指下列情形之一：</w:t>
      </w:r>
    </w:p>
    <w:p>
      <w:pPr>
        <w:spacing w:after="0"/>
        <w:jc w:val="both"/>
        <w:sectPr>
          <w:pgSz w:w="11900" w:h="16840"/>
          <w:pgMar w:header="0" w:footer="998" w:top="1100" w:bottom="1180" w:left="1020" w:right="920"/>
        </w:sectPr>
      </w:pPr>
    </w:p>
    <w:p>
      <w:pPr>
        <w:pStyle w:val="BodyText"/>
        <w:spacing w:before="19"/>
        <w:ind w:left="114"/>
      </w:pPr>
      <w:r>
        <w:rPr/>
        <w:t>（</w:t>
      </w:r>
      <w:r>
        <w:rPr>
          <w:rFonts w:ascii="Arial" w:eastAsia="Arial"/>
        </w:rPr>
        <w:t>1</w:t>
      </w:r>
      <w:r>
        <w:rPr/>
        <w:t>）没有机动车行驶证；</w:t>
      </w:r>
    </w:p>
    <w:p>
      <w:pPr>
        <w:pStyle w:val="BodyText"/>
        <w:spacing w:before="22"/>
        <w:ind w:left="114"/>
      </w:pPr>
      <w:r>
        <w:rPr/>
        <w:t>（</w:t>
      </w:r>
      <w:r>
        <w:rPr>
          <w:rFonts w:ascii="Arial" w:eastAsia="Arial"/>
        </w:rPr>
        <w:t>2</w:t>
      </w:r>
      <w:r>
        <w:rPr/>
        <w:t>）未在法律规定期限内按时进行或通过安全技术检验。</w:t>
      </w:r>
    </w:p>
    <w:p>
      <w:pPr>
        <w:pStyle w:val="BodyText"/>
        <w:spacing w:line="256" w:lineRule="auto" w:before="22"/>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Heading2"/>
        <w:spacing w:line="288" w:lineRule="exact" w:before="0"/>
        <w:ind w:left="114" w:firstLine="0"/>
        <w:rPr>
          <w:rFonts w:ascii="宋体" w:eastAsia="宋体" w:hint="eastAsia"/>
        </w:rPr>
      </w:pPr>
      <w:r>
        <w:rPr>
          <w:rFonts w:ascii="宋体" w:eastAsia="宋体" w:hint="eastAsia"/>
        </w:rPr>
        <w:t>【不可抗力】：是指不能预见、不可避免且无法克服的客观情况。</w:t>
      </w:r>
    </w:p>
    <w:p>
      <w:pPr>
        <w:pStyle w:val="BodyText"/>
        <w:spacing w:before="33"/>
        <w:ind w:left="114"/>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pStyle w:val="BodyText"/>
        <w:spacing w:line="273" w:lineRule="auto" w:before="21"/>
        <w:ind w:right="205"/>
      </w:pPr>
      <w:r>
        <w:rPr>
          <w:spacing w:val="-10"/>
        </w:rPr>
        <w:t>【永久完全残疾】：指被保险人在本附加合同保险期间内由于意外伤害事故引起下列之一的情况发生，且</w:t>
      </w:r>
      <w:r>
        <w:rPr>
          <w:spacing w:val="-13"/>
        </w:rPr>
        <w:t>自意外伤害事故发生之日起经过 </w:t>
      </w:r>
      <w:r>
        <w:rPr>
          <w:rFonts w:ascii="Times New Roman" w:eastAsia="Times New Roman"/>
        </w:rPr>
        <w:t>180 </w:t>
      </w:r>
      <w:r>
        <w:rPr>
          <w:spacing w:val="-7"/>
        </w:rPr>
        <w:t>日</w:t>
      </w:r>
      <w:r>
        <w:rPr/>
        <w:t>（</w:t>
      </w:r>
      <w:r>
        <w:rPr>
          <w:spacing w:val="-18"/>
        </w:rPr>
        <w:t>含第 </w:t>
      </w:r>
      <w:r>
        <w:rPr>
          <w:rFonts w:ascii="Times New Roman" w:eastAsia="Times New Roman"/>
        </w:rPr>
        <w:t>180 </w:t>
      </w:r>
      <w:r>
        <w:rPr/>
        <w:t>日</w:t>
      </w:r>
      <w:r>
        <w:rPr>
          <w:spacing w:val="-7"/>
        </w:rPr>
        <w:t>）</w:t>
      </w:r>
      <w:r>
        <w:rPr>
          <w:spacing w:val="-3"/>
        </w:rPr>
        <w:t>的治疗，机能仍然完全丧失。但眼球摘除等明显无</w:t>
      </w:r>
    </w:p>
    <w:p>
      <w:pPr>
        <w:pStyle w:val="BodyText"/>
        <w:spacing w:line="279" w:lineRule="exact" w:before="0"/>
      </w:pPr>
      <w:r>
        <w:rPr/>
        <w:t>法复原的情况，不受此 </w:t>
      </w:r>
      <w:r>
        <w:rPr>
          <w:rFonts w:ascii="Times New Roman" w:eastAsia="Times New Roman"/>
        </w:rPr>
        <w:t>180 </w:t>
      </w:r>
      <w:r>
        <w:rPr/>
        <w:t>日期限的限制。</w:t>
      </w:r>
    </w:p>
    <w:p>
      <w:pPr>
        <w:pStyle w:val="BodyText"/>
        <w:tabs>
          <w:tab w:pos="1193" w:val="left" w:leader="none"/>
        </w:tabs>
        <w:spacing w:before="21"/>
        <w:ind w:left="653"/>
      </w:pPr>
      <w:r>
        <w:rPr>
          <w:rFonts w:ascii="Times New Roman" w:eastAsia="Times New Roman"/>
        </w:rPr>
        <w:t>1</w:t>
      </w:r>
      <w:r>
        <w:rPr/>
        <w:t>．</w:t>
        <w:tab/>
        <w:t>双目永久完全失明的（</w:t>
      </w:r>
      <w:r>
        <w:rPr>
          <w:spacing w:val="-27"/>
        </w:rPr>
        <w:t>注 </w:t>
      </w:r>
      <w:r>
        <w:rPr>
          <w:rFonts w:ascii="Times New Roman" w:eastAsia="Times New Roman"/>
        </w:rPr>
        <w:t>1</w:t>
      </w:r>
      <w:r>
        <w:rPr>
          <w:spacing w:val="-105"/>
        </w:rPr>
        <w:t>）</w:t>
      </w:r>
      <w:r>
        <w:rPr/>
        <w:t>；</w:t>
      </w:r>
    </w:p>
    <w:p>
      <w:pPr>
        <w:pStyle w:val="BodyText"/>
        <w:tabs>
          <w:tab w:pos="1193" w:val="left" w:leader="none"/>
        </w:tabs>
        <w:spacing w:before="20"/>
        <w:ind w:left="654"/>
      </w:pPr>
      <w:r>
        <w:rPr>
          <w:rFonts w:ascii="Times New Roman" w:eastAsia="Times New Roman"/>
        </w:rPr>
        <w:t>2</w:t>
      </w:r>
      <w:r>
        <w:rPr/>
        <w:t>．</w:t>
        <w:tab/>
        <w:t>两上肢腕关节以上或两下肢踝关节以上缺失的；</w:t>
      </w:r>
    </w:p>
    <w:p>
      <w:pPr>
        <w:pStyle w:val="BodyText"/>
        <w:tabs>
          <w:tab w:pos="1193" w:val="left" w:leader="none"/>
        </w:tabs>
        <w:spacing w:before="20"/>
        <w:ind w:left="654"/>
      </w:pPr>
      <w:r>
        <w:rPr>
          <w:rFonts w:ascii="Times New Roman" w:eastAsia="Times New Roman"/>
        </w:rPr>
        <w:t>3</w:t>
      </w:r>
      <w:r>
        <w:rPr/>
        <w:t>．</w:t>
        <w:tab/>
        <w:t>一上肢腕关节以上及一下肢踝关节以上缺失的；</w:t>
      </w:r>
    </w:p>
    <w:p>
      <w:pPr>
        <w:pStyle w:val="BodyText"/>
        <w:tabs>
          <w:tab w:pos="1193" w:val="left" w:leader="none"/>
        </w:tabs>
        <w:spacing w:before="20"/>
        <w:ind w:left="654"/>
      </w:pPr>
      <w:r>
        <w:rPr>
          <w:rFonts w:ascii="Times New Roman" w:eastAsia="Times New Roman"/>
        </w:rPr>
        <w:t>4</w:t>
      </w:r>
      <w:r>
        <w:rPr/>
        <w:t>．</w:t>
        <w:tab/>
        <w:t>一目永久完全失明及一上肢腕关节以上缺失的；</w:t>
      </w:r>
    </w:p>
    <w:p>
      <w:pPr>
        <w:pStyle w:val="BodyText"/>
        <w:tabs>
          <w:tab w:pos="1193" w:val="left" w:leader="none"/>
        </w:tabs>
        <w:spacing w:before="20"/>
        <w:ind w:left="654"/>
      </w:pPr>
      <w:r>
        <w:rPr>
          <w:rFonts w:ascii="Times New Roman" w:eastAsia="Times New Roman"/>
        </w:rPr>
        <w:t>5</w:t>
      </w:r>
      <w:r>
        <w:rPr/>
        <w:t>．</w:t>
        <w:tab/>
        <w:t>一目永久完全失明及一下肢踝关节以上缺失的；</w:t>
      </w:r>
    </w:p>
    <w:p>
      <w:pPr>
        <w:pStyle w:val="BodyText"/>
        <w:tabs>
          <w:tab w:pos="1194" w:val="left" w:leader="none"/>
        </w:tabs>
        <w:spacing w:before="20"/>
        <w:ind w:left="654"/>
      </w:pPr>
      <w:r>
        <w:rPr>
          <w:rFonts w:ascii="Times New Roman" w:eastAsia="Times New Roman"/>
        </w:rPr>
        <w:t>6</w:t>
      </w:r>
      <w:r>
        <w:rPr/>
        <w:t>．</w:t>
        <w:tab/>
        <w:t>四肢关节机能永久完全丧失的（</w:t>
      </w:r>
      <w:r>
        <w:rPr>
          <w:spacing w:val="-27"/>
        </w:rPr>
        <w:t>注 </w:t>
      </w:r>
      <w:r>
        <w:rPr>
          <w:rFonts w:ascii="Times New Roman" w:eastAsia="Times New Roman"/>
          <w:spacing w:val="-1"/>
        </w:rPr>
        <w:t>2</w:t>
      </w:r>
      <w:r>
        <w:rPr>
          <w:spacing w:val="-105"/>
        </w:rPr>
        <w:t>）</w:t>
      </w:r>
      <w:r>
        <w:rPr/>
        <w:t>；</w:t>
      </w:r>
    </w:p>
    <w:p>
      <w:pPr>
        <w:pStyle w:val="BodyText"/>
        <w:tabs>
          <w:tab w:pos="1194" w:val="left" w:leader="none"/>
        </w:tabs>
        <w:spacing w:before="20"/>
        <w:ind w:left="654"/>
      </w:pPr>
      <w:r>
        <w:rPr>
          <w:rFonts w:ascii="Times New Roman" w:eastAsia="Times New Roman"/>
        </w:rPr>
        <w:t>7</w:t>
      </w:r>
      <w:r>
        <w:rPr/>
        <w:t>．</w:t>
        <w:tab/>
        <w:t>咀嚼、吞咽机能永久完全丧失的（</w:t>
      </w:r>
      <w:r>
        <w:rPr>
          <w:spacing w:val="-27"/>
        </w:rPr>
        <w:t>注 </w:t>
      </w:r>
      <w:r>
        <w:rPr>
          <w:rFonts w:ascii="Times New Roman" w:eastAsia="Times New Roman"/>
        </w:rPr>
        <w:t>3</w:t>
      </w:r>
      <w:r>
        <w:rPr>
          <w:spacing w:val="-105"/>
        </w:rPr>
        <w:t>）</w:t>
      </w:r>
      <w:r>
        <w:rPr/>
        <w:t>；</w:t>
      </w:r>
    </w:p>
    <w:p>
      <w:pPr>
        <w:pStyle w:val="BodyText"/>
        <w:tabs>
          <w:tab w:pos="1194" w:val="left" w:leader="none"/>
        </w:tabs>
        <w:spacing w:line="256" w:lineRule="auto" w:before="20"/>
        <w:ind w:left="1194" w:right="204" w:hanging="541"/>
      </w:pPr>
      <w:r>
        <w:rPr>
          <w:rFonts w:ascii="Times New Roman" w:eastAsia="Times New Roman"/>
        </w:rPr>
        <w:t>8</w:t>
      </w:r>
      <w:r>
        <w:rPr/>
        <w:t>．</w:t>
        <w:tab/>
      </w:r>
      <w:r>
        <w:rPr>
          <w:spacing w:val="-4"/>
        </w:rPr>
        <w:t>中枢神经系统机能或胸、腹部脏器机能极度障碍，终身不能从事任何工作，为维持生命必要的日常生活活动，全需他人扶助的（</w:t>
      </w:r>
      <w:r>
        <w:rPr>
          <w:spacing w:val="-29"/>
        </w:rPr>
        <w:t>注 </w:t>
      </w:r>
      <w:r>
        <w:rPr>
          <w:rFonts w:ascii="Times New Roman" w:eastAsia="Times New Roman"/>
        </w:rPr>
        <w:t>4</w:t>
      </w:r>
      <w:r>
        <w:rPr>
          <w:spacing w:val="-105"/>
        </w:rPr>
        <w:t>）</w:t>
      </w:r>
      <w:r>
        <w:rPr/>
        <w:t>。</w:t>
      </w:r>
    </w:p>
    <w:p>
      <w:pPr>
        <w:pStyle w:val="BodyText"/>
        <w:spacing w:before="4"/>
        <w:ind w:left="576"/>
      </w:pPr>
      <w:r>
        <w:rPr/>
        <w:t>注：</w:t>
      </w:r>
    </w:p>
    <w:p>
      <w:pPr>
        <w:pStyle w:val="ListParagraph"/>
        <w:numPr>
          <w:ilvl w:val="0"/>
          <w:numId w:val="4"/>
        </w:numPr>
        <w:tabs>
          <w:tab w:pos="1194" w:val="left" w:leader="none"/>
          <w:tab w:pos="1195" w:val="left" w:leader="none"/>
        </w:tabs>
        <w:spacing w:line="256" w:lineRule="auto" w:before="36" w:after="0"/>
        <w:ind w:left="1194" w:right="101" w:hanging="546"/>
        <w:jc w:val="left"/>
        <w:rPr>
          <w:sz w:val="21"/>
        </w:rPr>
      </w:pPr>
      <w:r>
        <w:rPr>
          <w:spacing w:val="-4"/>
          <w:sz w:val="21"/>
        </w:rPr>
        <w:t>失明包括眼球缺失或摘除、或不能辨别明暗、或仅能辨别眼前手动者，最佳矫正视力低于国际</w:t>
      </w:r>
      <w:r>
        <w:rPr>
          <w:spacing w:val="-13"/>
          <w:sz w:val="21"/>
        </w:rPr>
        <w:t>标准视力表 </w:t>
      </w:r>
      <w:r>
        <w:rPr>
          <w:rFonts w:ascii="Times New Roman" w:eastAsia="Times New Roman"/>
          <w:spacing w:val="-17"/>
          <w:sz w:val="21"/>
        </w:rPr>
        <w:t>0.02</w:t>
      </w:r>
      <w:r>
        <w:rPr>
          <w:spacing w:val="-10"/>
          <w:sz w:val="21"/>
        </w:rPr>
        <w:t>，或视野半径小于 </w:t>
      </w:r>
      <w:r>
        <w:rPr>
          <w:rFonts w:ascii="Times New Roman" w:eastAsia="Times New Roman"/>
          <w:sz w:val="21"/>
        </w:rPr>
        <w:t>5</w:t>
      </w:r>
      <w:r>
        <w:rPr>
          <w:rFonts w:ascii="Times New Roman" w:eastAsia="Times New Roman"/>
          <w:spacing w:val="-1"/>
          <w:sz w:val="21"/>
        </w:rPr>
        <w:t> </w:t>
      </w:r>
      <w:r>
        <w:rPr>
          <w:spacing w:val="-9"/>
          <w:sz w:val="21"/>
        </w:rPr>
        <w:t>度，并由本公司指定有资格的眼科医师出具医疗诊断证明。</w:t>
      </w:r>
    </w:p>
    <w:p>
      <w:pPr>
        <w:pStyle w:val="ListParagraph"/>
        <w:numPr>
          <w:ilvl w:val="0"/>
          <w:numId w:val="4"/>
        </w:numPr>
        <w:tabs>
          <w:tab w:pos="1194" w:val="left" w:leader="none"/>
          <w:tab w:pos="1195" w:val="left" w:leader="none"/>
        </w:tabs>
        <w:spacing w:line="240" w:lineRule="auto" w:before="4" w:after="0"/>
        <w:ind w:left="1194" w:right="0" w:hanging="546"/>
        <w:jc w:val="left"/>
        <w:rPr>
          <w:sz w:val="21"/>
        </w:rPr>
      </w:pPr>
      <w:r>
        <w:rPr>
          <w:w w:val="95"/>
          <w:sz w:val="21"/>
        </w:rPr>
        <w:t>关节机能的丧失系指关节永久完全僵硬、或麻痹、或关节不能随意识活动。</w:t>
      </w:r>
    </w:p>
    <w:p>
      <w:pPr>
        <w:pStyle w:val="ListParagraph"/>
        <w:numPr>
          <w:ilvl w:val="0"/>
          <w:numId w:val="4"/>
        </w:numPr>
        <w:tabs>
          <w:tab w:pos="1194" w:val="left" w:leader="none"/>
          <w:tab w:pos="1195" w:val="left" w:leader="none"/>
        </w:tabs>
        <w:spacing w:line="256" w:lineRule="auto" w:before="21" w:after="0"/>
        <w:ind w:left="1194" w:right="153" w:hanging="546"/>
        <w:jc w:val="left"/>
        <w:rPr>
          <w:sz w:val="21"/>
        </w:rPr>
      </w:pPr>
      <w:r>
        <w:rPr>
          <w:sz w:val="21"/>
        </w:rPr>
        <w:t>咀嚼、吞咽机能的丧失是指由于牙齿以外的原因引起器质障碍或机能障碍，以致不能作咀嚼、</w:t>
      </w:r>
      <w:r>
        <w:rPr>
          <w:w w:val="95"/>
          <w:sz w:val="21"/>
        </w:rPr>
        <w:t>吞咽运动，除流质食物外不能摄取或吞咽的状态。</w:t>
      </w:r>
    </w:p>
    <w:p>
      <w:pPr>
        <w:pStyle w:val="ListParagraph"/>
        <w:numPr>
          <w:ilvl w:val="0"/>
          <w:numId w:val="4"/>
        </w:numPr>
        <w:tabs>
          <w:tab w:pos="1194" w:val="left" w:leader="none"/>
          <w:tab w:pos="1195" w:val="left" w:leader="none"/>
        </w:tabs>
        <w:spacing w:line="256" w:lineRule="auto" w:before="22" w:after="0"/>
        <w:ind w:left="1194" w:right="102" w:hanging="546"/>
        <w:jc w:val="left"/>
        <w:rPr>
          <w:sz w:val="21"/>
        </w:rPr>
      </w:pPr>
      <w:r>
        <w:rPr>
          <w:spacing w:val="-8"/>
          <w:sz w:val="21"/>
        </w:rPr>
        <w:t>为维持生命必要的日常生活活动，全需他人扶助系指食物摄取、大小便始末、穿脱衣服、起居、</w:t>
      </w:r>
      <w:r>
        <w:rPr>
          <w:spacing w:val="-8"/>
          <w:w w:val="95"/>
          <w:sz w:val="21"/>
        </w:rPr>
        <w:t>步行、入浴等，皆不能自己为之，需要他人帮助。</w:t>
      </w:r>
    </w:p>
    <w:p>
      <w:pPr>
        <w:spacing w:line="256" w:lineRule="auto" w:before="0"/>
        <w:ind w:left="114" w:right="206" w:firstLine="0"/>
        <w:jc w:val="left"/>
        <w:rPr>
          <w:sz w:val="21"/>
        </w:rPr>
      </w:pPr>
      <w:r>
        <w:rPr>
          <w:spacing w:val="-18"/>
          <w:sz w:val="21"/>
        </w:rPr>
        <w:t>【重大疾病】：</w:t>
      </w:r>
      <w:r>
        <w:rPr>
          <w:rFonts w:ascii="黑体" w:eastAsia="黑体" w:hint="eastAsia"/>
          <w:spacing w:val="-1"/>
          <w:sz w:val="24"/>
        </w:rPr>
        <w:t>本附加合同仅对以下所列并符合其程度和条件的重大疾病承担保险责任，</w:t>
      </w:r>
      <w:r>
        <w:rPr>
          <w:sz w:val="21"/>
        </w:rPr>
        <w:t>以下重大疾病的定义为中国保险行业协会与中国医师协会共同制定：</w:t>
      </w:r>
    </w:p>
    <w:p>
      <w:pPr>
        <w:pStyle w:val="BodyText"/>
        <w:spacing w:before="24"/>
        <w:ind w:left="534"/>
      </w:pPr>
      <w:r>
        <w:rPr/>
        <w:t>一、恶性肿瘤</w:t>
      </w:r>
    </w:p>
    <w:p>
      <w:pPr>
        <w:pStyle w:val="BodyText"/>
        <w:spacing w:line="273" w:lineRule="auto" w:before="36"/>
        <w:ind w:left="114"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spacing w:line="297" w:lineRule="exact" w:before="0"/>
        <w:ind w:left="564" w:right="0" w:firstLine="0"/>
        <w:jc w:val="left"/>
        <w:rPr>
          <w:rFonts w:ascii="黑体" w:eastAsia="黑体" w:hint="eastAsia"/>
          <w:sz w:val="24"/>
        </w:rPr>
      </w:pPr>
      <w:r>
        <w:rPr>
          <w:rFonts w:ascii="黑体" w:eastAsia="黑体" w:hint="eastAsia"/>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spacing w:after="0"/>
        <w:sectPr>
          <w:pgSz w:w="11900" w:h="16840"/>
          <w:pgMar w:header="0" w:footer="998" w:top="1100" w:bottom="1180" w:left="1020" w:right="920"/>
        </w:sectPr>
      </w:pPr>
    </w:p>
    <w:p>
      <w:pPr>
        <w:pStyle w:val="BodyText"/>
        <w:spacing w:before="19"/>
        <w:ind w:left="534"/>
      </w:pPr>
      <w:r>
        <w:rPr/>
        <w:t>指因冠状动脉阻塞导致的相应区域供血不足造成部分心肌坏死。须满足下列至少三项条件：</w:t>
      </w:r>
    </w:p>
    <w:p>
      <w:pPr>
        <w:pStyle w:val="BodyText"/>
        <w:ind w:left="324"/>
      </w:pPr>
      <w:r>
        <w:rPr/>
        <w:t>（1）典型临床表现，例如急性胸痛等；</w:t>
      </w:r>
    </w:p>
    <w:p>
      <w:pPr>
        <w:pStyle w:val="BodyText"/>
        <w:ind w:left="324"/>
      </w:pPr>
      <w:r>
        <w:rPr/>
        <w:t>（2）新近的心电图改变提示急性心肌梗塞；</w:t>
      </w:r>
    </w:p>
    <w:p>
      <w:pPr>
        <w:pStyle w:val="BodyText"/>
        <w:ind w:left="324"/>
      </w:pPr>
      <w:r>
        <w:rPr/>
        <w:t>（3）心肌酶或肌钙蛋白有诊断意义的升高，或呈符合急性心肌梗塞的动态性变化；</w:t>
      </w:r>
    </w:p>
    <w:p>
      <w:pPr>
        <w:pStyle w:val="BodyText"/>
        <w:spacing w:line="273" w:lineRule="auto"/>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before="7"/>
        <w:ind w:left="114"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7"/>
        <w:ind w:left="324"/>
      </w:pPr>
      <w:r>
        <w:rPr/>
        <w:t>（1）一肢或一肢以上肢体机能完全丧失；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left="114"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left="114"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left="114"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left="114"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四、重大器官移植术或造血干细胞移植术</w:t>
      </w:r>
    </w:p>
    <w:p>
      <w:pPr>
        <w:pStyle w:val="BodyText"/>
        <w:spacing w:line="273" w:lineRule="auto"/>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7"/>
        <w:ind w:left="536" w:right="3755" w:hanging="423"/>
      </w:pPr>
      <w:r>
        <w:rPr/>
        <w:t>干细胞、外周血造血干细胞和脐血造血干细胞）的异体移植手术。五、冠状动脉搭桥术（或称冠状动脉旁路移植术）</w:t>
      </w:r>
    </w:p>
    <w:p>
      <w:pPr>
        <w:pStyle w:val="BodyText"/>
        <w:spacing w:before="7"/>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ind w:left="114" w:right="155" w:firstLine="420"/>
      </w:pPr>
      <w:r>
        <w:rPr/>
        <w:t>指双肾功能慢性不可逆性衰竭，达到尿毒症期，经诊断后已经进行了至少 90 日的规律性透析治疗或实施了肾脏移植手术。</w:t>
      </w:r>
    </w:p>
    <w:p>
      <w:pPr>
        <w:pStyle w:val="BodyText"/>
        <w:spacing w:before="7"/>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left="114" w:right="183" w:firstLine="420"/>
      </w:pPr>
      <w:r>
        <w:rPr/>
        <w:t>指因肝炎病毒感染引起肝脏组织弥漫性坏死，导致急性肝功能衰竭，且经血清学或病毒学检查证实， 并须满足下列全部条件：</w:t>
      </w:r>
    </w:p>
    <w:p>
      <w:pPr>
        <w:pStyle w:val="BodyText"/>
        <w:spacing w:before="7"/>
        <w:ind w:left="324"/>
      </w:pPr>
      <w:r>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before="7"/>
        <w:ind w:left="114"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7"/>
        <w:ind w:left="324"/>
      </w:pPr>
      <w:r>
        <w:rPr/>
        <w:t>（1）实际实施了开颅进行的脑肿瘤完全切除或部分切除的手术；</w:t>
      </w:r>
    </w:p>
    <w:p>
      <w:pPr>
        <w:pStyle w:val="BodyText"/>
        <w:spacing w:before="36"/>
        <w:ind w:left="324"/>
      </w:pPr>
      <w:r>
        <w:rPr/>
        <w:t>（2）实际实施了对脑肿瘤进行的放射治疗。</w:t>
      </w:r>
    </w:p>
    <w:p>
      <w:pPr>
        <w:spacing w:after="0"/>
        <w:sectPr>
          <w:pgSz w:w="11900" w:h="16840"/>
          <w:pgMar w:header="0" w:footer="998" w:top="1100" w:bottom="1180" w:left="1020" w:right="920"/>
        </w:sectPr>
      </w:pPr>
    </w:p>
    <w:p>
      <w:pPr>
        <w:spacing w:before="15"/>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十、慢性肝功能衰竭失代偿期</w:t>
      </w:r>
    </w:p>
    <w:p>
      <w:pPr>
        <w:pStyle w:val="BodyText"/>
        <w:ind w:left="534"/>
      </w:pPr>
      <w:r>
        <w:rPr/>
        <w:t>指因慢性肝脏疾病导致肝功能衰竭。须满足下列全部条件：</w:t>
      </w:r>
    </w:p>
    <w:p>
      <w:pPr>
        <w:pStyle w:val="BodyText"/>
        <w:ind w:left="324"/>
      </w:pPr>
      <w:r>
        <w:rPr/>
        <w:t>（1）持续性黄疸；</w:t>
      </w:r>
    </w:p>
    <w:p>
      <w:pPr>
        <w:pStyle w:val="BodyText"/>
        <w:ind w:left="324"/>
      </w:pPr>
      <w:r>
        <w:rPr/>
        <w:t>（2）腹水；</w:t>
      </w:r>
    </w:p>
    <w:p>
      <w:pPr>
        <w:pStyle w:val="BodyText"/>
        <w:ind w:left="324"/>
      </w:pPr>
      <w:r>
        <w:rPr/>
        <w:t>（3）肝性脑病；</w:t>
      </w:r>
    </w:p>
    <w:p>
      <w:pPr>
        <w:pStyle w:val="BodyText"/>
        <w:ind w:left="324"/>
      </w:pPr>
      <w:r>
        <w:rPr/>
        <w:t>（4）充血性脾肿大伴脾功能亢进或食管胃底静脉曲张。</w:t>
      </w:r>
    </w:p>
    <w:p>
      <w:pPr>
        <w:spacing w:before="13"/>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ind w:right="1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before="7"/>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十二、 深度昏迷</w:t>
      </w:r>
    </w:p>
    <w:p>
      <w:pPr>
        <w:pStyle w:val="BodyText"/>
        <w:spacing w:line="273" w:lineRule="auto" w:before="36"/>
        <w:ind w:right="14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3"/>
        <w:ind w:left="536"/>
      </w:pPr>
      <w:r>
        <w:rPr/>
        <w:t>十三、双耳失聪</w:t>
      </w:r>
    </w:p>
    <w:p>
      <w:pPr>
        <w:pStyle w:val="BodyText"/>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ind w:left="114"/>
      </w:pPr>
      <w:r>
        <w:rPr/>
        <w:t>下，平均听阈大于 90 分贝，且经纯音听力测试、声导抗检测或听觉诱发电位检测等证实。</w:t>
      </w:r>
    </w:p>
    <w:p>
      <w:pPr>
        <w:pStyle w:val="BodyText"/>
        <w:spacing w:line="273" w:lineRule="auto"/>
        <w:ind w:left="114" w:right="1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十四、双目失明</w:t>
      </w:r>
    </w:p>
    <w:p>
      <w:pPr>
        <w:pStyle w:val="BodyText"/>
        <w:spacing w:before="36"/>
        <w:ind w:left="534"/>
      </w:pPr>
      <w:r>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6"/>
        <w:ind w:left="324"/>
      </w:pPr>
      <w:r>
        <w:rPr/>
        <w:t>（3）视野半径小于 5 度。</w:t>
      </w:r>
    </w:p>
    <w:p>
      <w:pPr>
        <w:pStyle w:val="BodyText"/>
        <w:spacing w:before="36"/>
        <w:ind w:left="534"/>
      </w:pPr>
      <w:r>
        <w:rPr>
          <w:spacing w:val="-7"/>
        </w:rPr>
        <w:t>注：永久不可逆：指自疾病确诊或意外伤害发生之日起，经过积极治疗 </w:t>
      </w:r>
      <w:r>
        <w:rPr/>
        <w:t>180</w:t>
      </w:r>
      <w:r>
        <w:rPr>
          <w:spacing w:val="-8"/>
        </w:rPr>
        <w:t> 日后，仍无法通过现有医</w:t>
      </w:r>
    </w:p>
    <w:p>
      <w:pPr>
        <w:pStyle w:val="BodyText"/>
        <w:spacing w:line="273" w:lineRule="auto" w:before="36"/>
        <w:ind w:left="536" w:right="260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7"/>
        <w:ind w:left="114" w:right="5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7"/>
        <w:ind w:left="536"/>
      </w:pPr>
      <w:r>
        <w:rPr/>
        <w:t>十六、心脏瓣膜手术</w:t>
      </w:r>
    </w:p>
    <w:p>
      <w:pPr>
        <w:pStyle w:val="BodyText"/>
        <w:spacing w:line="273" w:lineRule="auto" w:before="36"/>
        <w:ind w:left="536" w:right="2183" w:hanging="3"/>
      </w:pPr>
      <w:r>
        <w:rPr/>
        <w:t>指为治疗心脏瓣膜疾病，实际实施了开胸进行的心脏瓣膜置换或修复的手术。十七、严重阿尔茨海默病</w:t>
      </w:r>
    </w:p>
    <w:p>
      <w:pPr>
        <w:spacing w:after="0" w:line="273" w:lineRule="auto"/>
        <w:sectPr>
          <w:pgSz w:w="11900" w:h="16840"/>
          <w:pgMar w:header="0" w:footer="998" w:top="1080" w:bottom="1180" w:left="1020" w:right="1020"/>
        </w:sectPr>
      </w:pPr>
    </w:p>
    <w:p>
      <w:pPr>
        <w:pStyle w:val="BodyText"/>
        <w:spacing w:line="273" w:lineRule="auto" w:before="19"/>
        <w:ind w:right="18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left="114"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4"/>
      </w:pPr>
      <w:r>
        <w:rPr/>
        <w:t>十八、严重脑损伤</w:t>
      </w:r>
    </w:p>
    <w:p>
      <w:pPr>
        <w:pStyle w:val="BodyText"/>
        <w:spacing w:line="273" w:lineRule="auto" w:before="36"/>
        <w:ind w:left="114" w:right="20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spacing w:before="7"/>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left="114"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left="114" w:right="2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before="7"/>
        <w:ind w:left="114" w:right="20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before="7"/>
        <w:ind w:left="114" w:right="20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spacing w:before="7"/>
        <w:ind w:left="536"/>
      </w:pPr>
      <w:r>
        <w:rPr/>
        <w:t>十九、严重帕金森病</w:t>
      </w:r>
    </w:p>
    <w:p>
      <w:pPr>
        <w:pStyle w:val="BodyText"/>
        <w:ind w:left="534"/>
      </w:pPr>
      <w:r>
        <w:rPr/>
        <w:t>指一种中枢神经系统的退行性疾病，临床表现为震颤麻痹、共济失调等。须满足下列全部条件：</w:t>
      </w:r>
    </w:p>
    <w:p>
      <w:pPr>
        <w:pStyle w:val="BodyText"/>
        <w:ind w:left="324"/>
      </w:pPr>
      <w:r>
        <w:rPr/>
        <w:t>（1）药物治疗无法控制病情；</w:t>
      </w:r>
    </w:p>
    <w:p>
      <w:pPr>
        <w:pStyle w:val="BodyText"/>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left="114"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二十、严重 III 度烧伤</w:t>
      </w:r>
    </w:p>
    <w:p>
      <w:pPr>
        <w:pStyle w:val="BodyText"/>
        <w:spacing w:line="273" w:lineRule="auto" w:before="36"/>
        <w:ind w:left="114" w:right="205" w:firstLine="420"/>
        <w:jc w:val="both"/>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spacing w:before="7"/>
        <w:ind w:left="536"/>
      </w:pPr>
      <w:r>
        <w:rPr/>
        <w:t>二十一、严重原发性肺动脉高压</w:t>
      </w:r>
    </w:p>
    <w:p>
      <w:pPr>
        <w:pStyle w:val="BodyText"/>
        <w:spacing w:line="273" w:lineRule="auto"/>
        <w:ind w:left="114"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7"/>
        <w:ind w:right="206" w:firstLine="420"/>
        <w:jc w:val="both"/>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二十二、严重运动神经元病</w:t>
      </w:r>
    </w:p>
    <w:p>
      <w:pPr>
        <w:pStyle w:val="BodyText"/>
        <w:spacing w:line="273" w:lineRule="auto"/>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w:t>
      </w:r>
    </w:p>
    <w:p>
      <w:pPr>
        <w:spacing w:after="0" w:line="273" w:lineRule="auto"/>
        <w:jc w:val="both"/>
        <w:sectPr>
          <w:pgSz w:w="11900" w:h="16840"/>
          <w:pgMar w:header="0" w:footer="998" w:top="1100" w:bottom="1180" w:left="1020" w:right="920"/>
        </w:sectPr>
      </w:pPr>
    </w:p>
    <w:p>
      <w:pPr>
        <w:pStyle w:val="BodyText"/>
        <w:spacing w:line="273" w:lineRule="auto" w:before="19"/>
        <w:ind w:left="536" w:right="4805" w:hanging="423"/>
      </w:pPr>
      <w:r>
        <w:rPr/>
        <w:t>碟中取食物放入口中；⑥洗澡：自己进行淋浴或盆浴。二十三、语言能力丧失</w:t>
      </w:r>
    </w:p>
    <w:p>
      <w:pPr>
        <w:pStyle w:val="BodyText"/>
        <w:spacing w:line="273" w:lineRule="auto" w:before="7"/>
        <w:ind w:left="114"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3"/>
        <w:ind w:left="114"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8"/>
        <w:ind w:left="534"/>
      </w:pPr>
      <w:r>
        <w:rPr/>
        <w:t>二十四、重型再生障碍性贫血</w:t>
      </w:r>
    </w:p>
    <w:p>
      <w:pPr>
        <w:pStyle w:val="BodyText"/>
        <w:ind w:left="534"/>
      </w:pPr>
      <w:r>
        <w:rPr>
          <w:spacing w:val="-6"/>
        </w:rPr>
        <w:t>指因骨髓造血功能慢性持续性衰竭导致的贫血、中性粒细胞减少及血小板减少。须满足下列全部条件：</w:t>
      </w:r>
    </w:p>
    <w:p>
      <w:pPr>
        <w:pStyle w:val="BodyText"/>
        <w:ind w:left="323"/>
      </w:pPr>
      <w:r>
        <w:rPr/>
        <w:t>（1）骨髓穿刺检查或骨髓活检结果支持诊断；</w:t>
      </w:r>
    </w:p>
    <w:p>
      <w:pPr>
        <w:pStyle w:val="BodyText"/>
        <w:ind w:left="323"/>
      </w:pPr>
      <w:r>
        <w:rPr/>
        <w:t>（2）外周血象须具备以下三项条件：</w:t>
      </w:r>
    </w:p>
    <w:p>
      <w:pPr>
        <w:pStyle w:val="BodyText"/>
        <w:spacing w:before="9"/>
        <w:ind w:left="0"/>
        <w:rPr>
          <w:sz w:val="16"/>
        </w:rPr>
      </w:pPr>
    </w:p>
    <w:p>
      <w:pPr>
        <w:pStyle w:val="BodyText"/>
        <w:spacing w:before="1"/>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spacing w:before="6"/>
        <w:ind w:left="0"/>
        <w:rPr>
          <w:sz w:val="15"/>
        </w:rPr>
      </w:pPr>
    </w:p>
    <w:p>
      <w:pPr>
        <w:pStyle w:val="BodyText"/>
        <w:spacing w:line="357" w:lineRule="auto" w:before="1"/>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sectPr>
      <w:pgSz w:w="11900" w:h="16840"/>
      <w:pgMar w:header="0" w:footer="998" w:top="1100" w:bottom="118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76.399689pt;margin-top:781.119995pt;width:23.55pt;height:12pt;mso-position-horizontal-relative:page;mso-position-vertical-relative:page;z-index:-10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94" w:hanging="546"/>
        <w:jc w:val="left"/>
      </w:pPr>
      <w:rPr>
        <w:rFonts w:hint="default" w:ascii="Times New Roman" w:hAnsi="Times New Roman" w:eastAsia="Times New Roman" w:cs="Times New Roman"/>
        <w:spacing w:val="-78"/>
        <w:w w:val="99"/>
        <w:sz w:val="21"/>
        <w:szCs w:val="21"/>
      </w:rPr>
    </w:lvl>
    <w:lvl w:ilvl="1">
      <w:start w:val="0"/>
      <w:numFmt w:val="bullet"/>
      <w:lvlText w:val="•"/>
      <w:lvlJc w:val="left"/>
      <w:pPr>
        <w:ind w:left="2076" w:hanging="546"/>
      </w:pPr>
      <w:rPr>
        <w:rFonts w:hint="default"/>
      </w:rPr>
    </w:lvl>
    <w:lvl w:ilvl="2">
      <w:start w:val="0"/>
      <w:numFmt w:val="bullet"/>
      <w:lvlText w:val="•"/>
      <w:lvlJc w:val="left"/>
      <w:pPr>
        <w:ind w:left="2952" w:hanging="546"/>
      </w:pPr>
      <w:rPr>
        <w:rFonts w:hint="default"/>
      </w:rPr>
    </w:lvl>
    <w:lvl w:ilvl="3">
      <w:start w:val="0"/>
      <w:numFmt w:val="bullet"/>
      <w:lvlText w:val="•"/>
      <w:lvlJc w:val="left"/>
      <w:pPr>
        <w:ind w:left="3828" w:hanging="546"/>
      </w:pPr>
      <w:rPr>
        <w:rFonts w:hint="default"/>
      </w:rPr>
    </w:lvl>
    <w:lvl w:ilvl="4">
      <w:start w:val="0"/>
      <w:numFmt w:val="bullet"/>
      <w:lvlText w:val="•"/>
      <w:lvlJc w:val="left"/>
      <w:pPr>
        <w:ind w:left="4704" w:hanging="546"/>
      </w:pPr>
      <w:rPr>
        <w:rFonts w:hint="default"/>
      </w:rPr>
    </w:lvl>
    <w:lvl w:ilvl="5">
      <w:start w:val="0"/>
      <w:numFmt w:val="bullet"/>
      <w:lvlText w:val="•"/>
      <w:lvlJc w:val="left"/>
      <w:pPr>
        <w:ind w:left="5580" w:hanging="546"/>
      </w:pPr>
      <w:rPr>
        <w:rFonts w:hint="default"/>
      </w:rPr>
    </w:lvl>
    <w:lvl w:ilvl="6">
      <w:start w:val="0"/>
      <w:numFmt w:val="bullet"/>
      <w:lvlText w:val="•"/>
      <w:lvlJc w:val="left"/>
      <w:pPr>
        <w:ind w:left="6456" w:hanging="546"/>
      </w:pPr>
      <w:rPr>
        <w:rFonts w:hint="default"/>
      </w:rPr>
    </w:lvl>
    <w:lvl w:ilvl="7">
      <w:start w:val="0"/>
      <w:numFmt w:val="bullet"/>
      <w:lvlText w:val="•"/>
      <w:lvlJc w:val="left"/>
      <w:pPr>
        <w:ind w:left="7332" w:hanging="546"/>
      </w:pPr>
      <w:rPr>
        <w:rFonts w:hint="default"/>
      </w:rPr>
    </w:lvl>
    <w:lvl w:ilvl="8">
      <w:start w:val="0"/>
      <w:numFmt w:val="bullet"/>
      <w:lvlText w:val="•"/>
      <w:lvlJc w:val="left"/>
      <w:pPr>
        <w:ind w:left="8208" w:hanging="546"/>
      </w:pPr>
      <w:rPr>
        <w:rFonts w:hint="default"/>
      </w:rPr>
    </w:lvl>
  </w:abstractNum>
  <w:abstractNum w:abstractNumId="2">
    <w:multiLevelType w:val="hybridMultilevel"/>
    <w:lvl w:ilvl="0">
      <w:start w:val="1"/>
      <w:numFmt w:val="decimal"/>
      <w:lvlText w:val="%1."/>
      <w:lvlJc w:val="left"/>
      <w:pPr>
        <w:ind w:left="849" w:hanging="316"/>
        <w:jc w:val="left"/>
      </w:pPr>
      <w:rPr>
        <w:rFonts w:hint="default"/>
        <w:spacing w:val="-2"/>
        <w:w w:val="100"/>
      </w:rPr>
    </w:lvl>
    <w:lvl w:ilvl="1">
      <w:start w:val="0"/>
      <w:numFmt w:val="bullet"/>
      <w:lvlText w:val="•"/>
      <w:lvlJc w:val="left"/>
      <w:pPr>
        <w:ind w:left="1752" w:hanging="316"/>
      </w:pPr>
      <w:rPr>
        <w:rFonts w:hint="default"/>
      </w:rPr>
    </w:lvl>
    <w:lvl w:ilvl="2">
      <w:start w:val="0"/>
      <w:numFmt w:val="bullet"/>
      <w:lvlText w:val="•"/>
      <w:lvlJc w:val="left"/>
      <w:pPr>
        <w:ind w:left="2664" w:hanging="316"/>
      </w:pPr>
      <w:rPr>
        <w:rFonts w:hint="default"/>
      </w:rPr>
    </w:lvl>
    <w:lvl w:ilvl="3">
      <w:start w:val="0"/>
      <w:numFmt w:val="bullet"/>
      <w:lvlText w:val="•"/>
      <w:lvlJc w:val="left"/>
      <w:pPr>
        <w:ind w:left="3576" w:hanging="316"/>
      </w:pPr>
      <w:rPr>
        <w:rFonts w:hint="default"/>
      </w:rPr>
    </w:lvl>
    <w:lvl w:ilvl="4">
      <w:start w:val="0"/>
      <w:numFmt w:val="bullet"/>
      <w:lvlText w:val="•"/>
      <w:lvlJc w:val="left"/>
      <w:pPr>
        <w:ind w:left="4488" w:hanging="316"/>
      </w:pPr>
      <w:rPr>
        <w:rFonts w:hint="default"/>
      </w:rPr>
    </w:lvl>
    <w:lvl w:ilvl="5">
      <w:start w:val="0"/>
      <w:numFmt w:val="bullet"/>
      <w:lvlText w:val="•"/>
      <w:lvlJc w:val="left"/>
      <w:pPr>
        <w:ind w:left="5400" w:hanging="316"/>
      </w:pPr>
      <w:rPr>
        <w:rFonts w:hint="default"/>
      </w:rPr>
    </w:lvl>
    <w:lvl w:ilvl="6">
      <w:start w:val="0"/>
      <w:numFmt w:val="bullet"/>
      <w:lvlText w:val="•"/>
      <w:lvlJc w:val="left"/>
      <w:pPr>
        <w:ind w:left="6312" w:hanging="316"/>
      </w:pPr>
      <w:rPr>
        <w:rFonts w:hint="default"/>
      </w:rPr>
    </w:lvl>
    <w:lvl w:ilvl="7">
      <w:start w:val="0"/>
      <w:numFmt w:val="bullet"/>
      <w:lvlText w:val="•"/>
      <w:lvlJc w:val="left"/>
      <w:pPr>
        <w:ind w:left="7224" w:hanging="316"/>
      </w:pPr>
      <w:rPr>
        <w:rFonts w:hint="default"/>
      </w:rPr>
    </w:lvl>
    <w:lvl w:ilvl="8">
      <w:start w:val="0"/>
      <w:numFmt w:val="bullet"/>
      <w:lvlText w:val="•"/>
      <w:lvlJc w:val="left"/>
      <w:pPr>
        <w:ind w:left="8136" w:hanging="316"/>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37"/>
      <w:ind w:left="113"/>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50"/>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&lt;4D6963726F736F667420576F7264202D20B8BDBCFE332E325FBAE3B0B2B1EAD7BCB8BDBCD3B6A8C6DAD6D8B4F3BCB2B2A1B1A3CFD5CCF5BFEE5F56312E385FCEDED0DEB6A95F2E646F63&gt;</dc:title>
  <dcterms:created xsi:type="dcterms:W3CDTF">2018-10-20T03:45:24Z</dcterms:created>
  <dcterms:modified xsi:type="dcterms:W3CDTF">2018-10-20T03:45:24Z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