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工银安盛人寿〔</w:t>
      </w:r>
      <w:r>
        <w:rPr>
          <w:rFonts w:ascii="Times New Roman" w:eastAsia="Times New Roman"/>
          <w:sz w:val="18"/>
        </w:rPr>
        <w:t>2012</w:t>
      </w:r>
      <w:r>
        <w:rPr>
          <w:sz w:val="18"/>
        </w:rPr>
        <w:t>〕疾病保险 </w:t>
      </w:r>
      <w:r>
        <w:rPr>
          <w:rFonts w:ascii="Times New Roman" w:eastAsia="Times New Roman"/>
          <w:sz w:val="18"/>
        </w:rPr>
        <w:t>049 </w:t>
      </w:r>
      <w:r>
        <w:rPr>
          <w:sz w:val="18"/>
        </w:rPr>
        <w:t>号</w:t>
      </w:r>
    </w:p>
    <w:p>
      <w:pPr>
        <w:pStyle w:val="BodyText"/>
        <w:ind w:left="878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2344" w:right="2169" w:firstLine="0"/>
        <w:jc w:val="center"/>
        <w:rPr>
          <w:b/>
          <w:sz w:val="32"/>
        </w:rPr>
      </w:pPr>
      <w:r>
        <w:rPr>
          <w:b/>
          <w:w w:val="95"/>
          <w:sz w:val="32"/>
        </w:rPr>
        <w:t>工银安盛人寿保险有限公司</w:t>
      </w:r>
    </w:p>
    <w:p>
      <w:pPr>
        <w:spacing w:before="205"/>
        <w:ind w:left="2346" w:right="2169" w:firstLine="0"/>
        <w:jc w:val="center"/>
        <w:rPr>
          <w:b/>
          <w:sz w:val="32"/>
        </w:rPr>
      </w:pPr>
      <w:r>
        <w:rPr>
          <w:b/>
          <w:w w:val="95"/>
          <w:sz w:val="32"/>
        </w:rPr>
        <w:t>工银安盛人寿附加康顺重大疾病保险条款</w:t>
      </w:r>
    </w:p>
    <w:p>
      <w:pPr>
        <w:pStyle w:val="BodyText"/>
        <w:spacing w:before="13"/>
        <w:rPr>
          <w:b/>
          <w:sz w:val="32"/>
        </w:rPr>
      </w:pPr>
    </w:p>
    <w:p>
      <w:pPr>
        <w:pStyle w:val="BodyText"/>
        <w:ind w:left="3746" w:right="3563" w:firstLine="208"/>
      </w:pPr>
      <w:r>
        <w:rPr/>
        <w:t>[2012</w:t>
      </w:r>
      <w:r>
        <w:rPr>
          <w:spacing w:val="-12"/>
        </w:rPr>
        <w:t>]字第 </w:t>
      </w:r>
      <w:r>
        <w:rPr/>
        <w:t>1-1</w:t>
      </w:r>
      <w:r>
        <w:rPr>
          <w:spacing w:val="-10"/>
        </w:rPr>
        <w:t> 号文呈报中</w:t>
      </w:r>
      <w:r>
        <w:rPr>
          <w:spacing w:val="-4"/>
        </w:rPr>
        <w:t>国保险监督管理委员会备案</w:t>
      </w:r>
    </w:p>
    <w:p>
      <w:pPr>
        <w:pStyle w:val="BodyText"/>
        <w:rPr>
          <w:sz w:val="20"/>
        </w:rPr>
      </w:pPr>
    </w:p>
    <w:p>
      <w:pPr>
        <w:pStyle w:val="Heading1"/>
        <w:spacing w:before="169"/>
        <w:ind w:left="2346" w:right="2169"/>
      </w:pPr>
      <w:r>
        <w:rPr>
          <w:w w:val="95"/>
        </w:rPr>
        <w:t>目录</w:t>
      </w:r>
    </w:p>
    <w:p>
      <w:pPr>
        <w:pStyle w:val="BodyText"/>
        <w:rPr>
          <w:b/>
          <w:sz w:val="36"/>
        </w:rPr>
      </w:pPr>
    </w:p>
    <w:p>
      <w:pPr>
        <w:pStyle w:val="BodyText"/>
        <w:ind w:left="292"/>
      </w:pPr>
      <w:r>
        <w:rPr/>
        <w:t>感谢您</w:t>
      </w:r>
      <w:r>
        <w:rPr>
          <w:position w:val="11"/>
          <w:sz w:val="11"/>
        </w:rPr>
        <w:t>（1）</w:t>
      </w:r>
      <w:r>
        <w:rPr/>
        <w:t>选择了我们-工银安盛人寿保险有限公司。</w:t>
      </w:r>
    </w:p>
    <w:p>
      <w:pPr>
        <w:pStyle w:val="BodyText"/>
        <w:spacing w:before="37"/>
        <w:ind w:left="292"/>
      </w:pPr>
      <w:r>
        <w:rPr/>
        <w:t>在您阅读本条款之前，请浏览一下目录，对条款结构有一个大致的了解。</w:t>
      </w:r>
    </w:p>
    <w:p>
      <w:pPr>
        <w:pStyle w:val="BodyText"/>
        <w:spacing w:before="10"/>
        <w:rPr>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3"/>
        <w:gridCol w:w="6875"/>
      </w:tblGrid>
      <w:tr>
        <w:trPr>
          <w:trHeight w:val="594" w:hRule="atLeast"/>
        </w:trPr>
        <w:tc>
          <w:tcPr>
            <w:tcW w:w="9048"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42"/>
              <w:rPr>
                <w:sz w:val="21"/>
              </w:rPr>
            </w:pPr>
            <w:r>
              <w:rPr>
                <w:sz w:val="21"/>
              </w:rPr>
              <w:t>的保障及给付利益。</w:t>
            </w:r>
          </w:p>
        </w:tc>
      </w:tr>
      <w:tr>
        <w:trPr>
          <w:trHeight w:val="319" w:hRule="atLeast"/>
        </w:trPr>
        <w:tc>
          <w:tcPr>
            <w:tcW w:w="2173" w:type="dxa"/>
          </w:tcPr>
          <w:p>
            <w:pPr>
              <w:pStyle w:val="TableParagraph"/>
              <w:spacing w:line="242" w:lineRule="exact"/>
              <w:ind w:left="934"/>
              <w:rPr>
                <w:sz w:val="21"/>
              </w:rPr>
            </w:pPr>
            <w:r>
              <w:rPr>
                <w:sz w:val="21"/>
              </w:rPr>
              <w:t>第一条</w:t>
            </w:r>
          </w:p>
        </w:tc>
        <w:tc>
          <w:tcPr>
            <w:tcW w:w="6875" w:type="dxa"/>
          </w:tcPr>
          <w:p>
            <w:pPr>
              <w:pStyle w:val="TableParagraph"/>
              <w:spacing w:line="242" w:lineRule="exact"/>
              <w:ind w:left="395"/>
              <w:rPr>
                <w:sz w:val="21"/>
              </w:rPr>
            </w:pPr>
            <w:r>
              <w:rPr>
                <w:sz w:val="21"/>
              </w:rPr>
              <w:t>合同的构成</w:t>
            </w:r>
          </w:p>
        </w:tc>
      </w:tr>
      <w:tr>
        <w:trPr>
          <w:trHeight w:val="363" w:hRule="atLeast"/>
        </w:trPr>
        <w:tc>
          <w:tcPr>
            <w:tcW w:w="2173" w:type="dxa"/>
          </w:tcPr>
          <w:p>
            <w:pPr>
              <w:pStyle w:val="TableParagraph"/>
              <w:spacing w:before="13"/>
              <w:ind w:left="934"/>
              <w:rPr>
                <w:sz w:val="21"/>
              </w:rPr>
            </w:pPr>
            <w:r>
              <w:rPr>
                <w:sz w:val="21"/>
              </w:rPr>
              <w:t>第二条</w:t>
            </w:r>
          </w:p>
        </w:tc>
        <w:tc>
          <w:tcPr>
            <w:tcW w:w="6875" w:type="dxa"/>
          </w:tcPr>
          <w:p>
            <w:pPr>
              <w:pStyle w:val="TableParagraph"/>
              <w:spacing w:before="13"/>
              <w:ind w:left="395"/>
              <w:rPr>
                <w:sz w:val="21"/>
              </w:rPr>
            </w:pPr>
            <w:r>
              <w:rPr>
                <w:sz w:val="21"/>
              </w:rPr>
              <w:t>投保范围</w:t>
            </w:r>
          </w:p>
        </w:tc>
      </w:tr>
      <w:tr>
        <w:trPr>
          <w:trHeight w:val="363" w:hRule="atLeast"/>
        </w:trPr>
        <w:tc>
          <w:tcPr>
            <w:tcW w:w="2173" w:type="dxa"/>
          </w:tcPr>
          <w:p>
            <w:pPr>
              <w:pStyle w:val="TableParagraph"/>
              <w:spacing w:before="12"/>
              <w:ind w:left="934"/>
              <w:rPr>
                <w:sz w:val="21"/>
              </w:rPr>
            </w:pPr>
            <w:r>
              <w:rPr>
                <w:sz w:val="21"/>
              </w:rPr>
              <w:t>第三条</w:t>
            </w:r>
          </w:p>
        </w:tc>
        <w:tc>
          <w:tcPr>
            <w:tcW w:w="6875" w:type="dxa"/>
          </w:tcPr>
          <w:p>
            <w:pPr>
              <w:pStyle w:val="TableParagraph"/>
              <w:spacing w:before="12"/>
              <w:ind w:left="395"/>
              <w:rPr>
                <w:sz w:val="21"/>
              </w:rPr>
            </w:pPr>
            <w:r>
              <w:rPr>
                <w:sz w:val="21"/>
              </w:rPr>
              <w:t>保险期间和续保</w:t>
            </w:r>
          </w:p>
        </w:tc>
      </w:tr>
      <w:tr>
        <w:trPr>
          <w:trHeight w:val="364" w:hRule="atLeast"/>
        </w:trPr>
        <w:tc>
          <w:tcPr>
            <w:tcW w:w="2173" w:type="dxa"/>
          </w:tcPr>
          <w:p>
            <w:pPr>
              <w:pStyle w:val="TableParagraph"/>
              <w:spacing w:before="13"/>
              <w:ind w:left="934"/>
              <w:rPr>
                <w:sz w:val="21"/>
              </w:rPr>
            </w:pPr>
            <w:r>
              <w:rPr>
                <w:sz w:val="21"/>
              </w:rPr>
              <w:t>第四条</w:t>
            </w:r>
          </w:p>
        </w:tc>
        <w:tc>
          <w:tcPr>
            <w:tcW w:w="6875" w:type="dxa"/>
          </w:tcPr>
          <w:p>
            <w:pPr>
              <w:pStyle w:val="TableParagraph"/>
              <w:spacing w:before="13"/>
              <w:ind w:left="395"/>
              <w:rPr>
                <w:sz w:val="21"/>
              </w:rPr>
            </w:pPr>
            <w:r>
              <w:rPr>
                <w:sz w:val="21"/>
              </w:rPr>
              <w:t>保险金额</w:t>
            </w:r>
          </w:p>
        </w:tc>
      </w:tr>
      <w:tr>
        <w:trPr>
          <w:trHeight w:val="363" w:hRule="atLeast"/>
        </w:trPr>
        <w:tc>
          <w:tcPr>
            <w:tcW w:w="2173" w:type="dxa"/>
          </w:tcPr>
          <w:p>
            <w:pPr>
              <w:pStyle w:val="TableParagraph"/>
              <w:spacing w:before="13"/>
              <w:ind w:left="934"/>
              <w:rPr>
                <w:sz w:val="21"/>
              </w:rPr>
            </w:pPr>
            <w:r>
              <w:rPr>
                <w:sz w:val="21"/>
              </w:rPr>
              <w:t>第五条</w:t>
            </w:r>
          </w:p>
        </w:tc>
        <w:tc>
          <w:tcPr>
            <w:tcW w:w="6875" w:type="dxa"/>
          </w:tcPr>
          <w:p>
            <w:pPr>
              <w:pStyle w:val="TableParagraph"/>
              <w:spacing w:before="13"/>
              <w:ind w:left="395"/>
              <w:rPr>
                <w:sz w:val="21"/>
              </w:rPr>
            </w:pPr>
            <w:r>
              <w:rPr>
                <w:sz w:val="21"/>
              </w:rPr>
              <w:t>保险责任</w:t>
            </w:r>
          </w:p>
        </w:tc>
      </w:tr>
      <w:tr>
        <w:trPr>
          <w:trHeight w:val="368" w:hRule="atLeast"/>
        </w:trPr>
        <w:tc>
          <w:tcPr>
            <w:tcW w:w="2173" w:type="dxa"/>
          </w:tcPr>
          <w:p>
            <w:pPr>
              <w:pStyle w:val="TableParagraph"/>
              <w:spacing w:before="12"/>
              <w:ind w:left="934"/>
              <w:rPr>
                <w:sz w:val="21"/>
              </w:rPr>
            </w:pPr>
            <w:r>
              <w:rPr>
                <w:sz w:val="21"/>
              </w:rPr>
              <w:t>第六条</w:t>
            </w:r>
          </w:p>
        </w:tc>
        <w:tc>
          <w:tcPr>
            <w:tcW w:w="6875" w:type="dxa"/>
          </w:tcPr>
          <w:p>
            <w:pPr>
              <w:pStyle w:val="TableParagraph"/>
              <w:spacing w:before="12"/>
              <w:ind w:left="395"/>
              <w:rPr>
                <w:sz w:val="21"/>
              </w:rPr>
            </w:pPr>
            <w:r>
              <w:rPr>
                <w:sz w:val="21"/>
              </w:rPr>
              <w:t>责任免除</w:t>
            </w:r>
          </w:p>
        </w:tc>
      </w:tr>
      <w:tr>
        <w:trPr>
          <w:trHeight w:val="677" w:hRule="atLeast"/>
        </w:trPr>
        <w:tc>
          <w:tcPr>
            <w:tcW w:w="9048" w:type="dxa"/>
            <w:gridSpan w:val="2"/>
          </w:tcPr>
          <w:p>
            <w:pPr>
              <w:pStyle w:val="TableParagraph"/>
              <w:tabs>
                <w:tab w:pos="1162" w:val="left" w:leader="none"/>
              </w:tabs>
              <w:spacing w:line="247" w:lineRule="auto"/>
              <w:ind w:left="2362" w:right="198"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w:t>
            </w:r>
            <w:r>
              <w:rPr>
                <w:sz w:val="21"/>
              </w:rPr>
              <w:t>的 具体</w:t>
            </w:r>
            <w:r>
              <w:rPr>
                <w:spacing w:val="-3"/>
                <w:sz w:val="21"/>
              </w:rPr>
              <w:t>要</w:t>
            </w:r>
            <w:r>
              <w:rPr>
                <w:sz w:val="21"/>
              </w:rPr>
              <w:t>求。</w:t>
            </w:r>
          </w:p>
        </w:tc>
      </w:tr>
      <w:tr>
        <w:trPr>
          <w:trHeight w:val="317" w:hRule="atLeast"/>
        </w:trPr>
        <w:tc>
          <w:tcPr>
            <w:tcW w:w="2173" w:type="dxa"/>
          </w:tcPr>
          <w:p>
            <w:pPr>
              <w:pStyle w:val="TableParagraph"/>
              <w:spacing w:line="241" w:lineRule="exact"/>
              <w:ind w:left="934"/>
              <w:rPr>
                <w:sz w:val="21"/>
              </w:rPr>
            </w:pPr>
            <w:r>
              <w:rPr>
                <w:sz w:val="21"/>
              </w:rPr>
              <w:t>第七条</w:t>
            </w:r>
          </w:p>
        </w:tc>
        <w:tc>
          <w:tcPr>
            <w:tcW w:w="6875" w:type="dxa"/>
          </w:tcPr>
          <w:p>
            <w:pPr>
              <w:pStyle w:val="TableParagraph"/>
              <w:spacing w:line="241" w:lineRule="exact"/>
              <w:ind w:left="395"/>
              <w:rPr>
                <w:sz w:val="21"/>
              </w:rPr>
            </w:pPr>
            <w:r>
              <w:rPr>
                <w:sz w:val="21"/>
              </w:rPr>
              <w:t>保险费的交付和宽限期</w:t>
            </w:r>
          </w:p>
        </w:tc>
      </w:tr>
      <w:tr>
        <w:trPr>
          <w:trHeight w:val="364" w:hRule="atLeast"/>
        </w:trPr>
        <w:tc>
          <w:tcPr>
            <w:tcW w:w="2173" w:type="dxa"/>
          </w:tcPr>
          <w:p>
            <w:pPr>
              <w:pStyle w:val="TableParagraph"/>
              <w:spacing w:before="13"/>
              <w:ind w:left="934"/>
              <w:rPr>
                <w:sz w:val="21"/>
              </w:rPr>
            </w:pPr>
            <w:r>
              <w:rPr>
                <w:sz w:val="21"/>
              </w:rPr>
              <w:t>第八条</w:t>
            </w:r>
          </w:p>
        </w:tc>
        <w:tc>
          <w:tcPr>
            <w:tcW w:w="6875" w:type="dxa"/>
          </w:tcPr>
          <w:p>
            <w:pPr>
              <w:pStyle w:val="TableParagraph"/>
              <w:spacing w:before="13"/>
              <w:ind w:left="395"/>
              <w:rPr>
                <w:sz w:val="21"/>
              </w:rPr>
            </w:pPr>
            <w:r>
              <w:rPr>
                <w:sz w:val="21"/>
              </w:rPr>
              <w:t>合同的解除</w:t>
            </w:r>
          </w:p>
        </w:tc>
      </w:tr>
      <w:tr>
        <w:trPr>
          <w:trHeight w:val="363" w:hRule="atLeast"/>
        </w:trPr>
        <w:tc>
          <w:tcPr>
            <w:tcW w:w="2173" w:type="dxa"/>
          </w:tcPr>
          <w:p>
            <w:pPr>
              <w:pStyle w:val="TableParagraph"/>
              <w:spacing w:before="13"/>
              <w:ind w:left="934"/>
              <w:rPr>
                <w:sz w:val="21"/>
              </w:rPr>
            </w:pPr>
            <w:r>
              <w:rPr>
                <w:sz w:val="21"/>
              </w:rPr>
              <w:t>第九条</w:t>
            </w:r>
          </w:p>
        </w:tc>
        <w:tc>
          <w:tcPr>
            <w:tcW w:w="6875" w:type="dxa"/>
          </w:tcPr>
          <w:p>
            <w:pPr>
              <w:pStyle w:val="TableParagraph"/>
              <w:spacing w:before="13"/>
              <w:ind w:left="395"/>
              <w:rPr>
                <w:sz w:val="21"/>
              </w:rPr>
            </w:pPr>
            <w:r>
              <w:rPr>
                <w:sz w:val="21"/>
              </w:rPr>
              <w:t>合同效力的终止</w:t>
            </w:r>
          </w:p>
        </w:tc>
      </w:tr>
      <w:tr>
        <w:trPr>
          <w:trHeight w:val="363" w:hRule="atLeast"/>
        </w:trPr>
        <w:tc>
          <w:tcPr>
            <w:tcW w:w="2173" w:type="dxa"/>
          </w:tcPr>
          <w:p>
            <w:pPr>
              <w:pStyle w:val="TableParagraph"/>
              <w:spacing w:before="12"/>
              <w:ind w:left="934"/>
              <w:rPr>
                <w:sz w:val="21"/>
              </w:rPr>
            </w:pPr>
            <w:r>
              <w:rPr>
                <w:sz w:val="21"/>
              </w:rPr>
              <w:t>第十条</w:t>
            </w:r>
          </w:p>
        </w:tc>
        <w:tc>
          <w:tcPr>
            <w:tcW w:w="6875" w:type="dxa"/>
          </w:tcPr>
          <w:p>
            <w:pPr>
              <w:pStyle w:val="TableParagraph"/>
              <w:spacing w:before="12"/>
              <w:ind w:left="395"/>
              <w:rPr>
                <w:sz w:val="21"/>
              </w:rPr>
            </w:pPr>
            <w:r>
              <w:rPr>
                <w:sz w:val="21"/>
              </w:rPr>
              <w:t>保险费率的调整</w:t>
            </w:r>
          </w:p>
        </w:tc>
      </w:tr>
      <w:tr>
        <w:trPr>
          <w:trHeight w:val="364" w:hRule="atLeast"/>
        </w:trPr>
        <w:tc>
          <w:tcPr>
            <w:tcW w:w="2173" w:type="dxa"/>
          </w:tcPr>
          <w:p>
            <w:pPr>
              <w:pStyle w:val="TableParagraph"/>
              <w:spacing w:before="13"/>
              <w:ind w:left="934"/>
              <w:rPr>
                <w:sz w:val="21"/>
              </w:rPr>
            </w:pPr>
            <w:r>
              <w:rPr>
                <w:sz w:val="21"/>
              </w:rPr>
              <w:t>第十一条</w:t>
            </w:r>
          </w:p>
        </w:tc>
        <w:tc>
          <w:tcPr>
            <w:tcW w:w="6875" w:type="dxa"/>
          </w:tcPr>
          <w:p>
            <w:pPr>
              <w:pStyle w:val="TableParagraph"/>
              <w:spacing w:before="13"/>
              <w:ind w:left="395"/>
              <w:rPr>
                <w:sz w:val="21"/>
              </w:rPr>
            </w:pPr>
            <w:r>
              <w:rPr>
                <w:sz w:val="21"/>
              </w:rPr>
              <w:t>受益人的指定和变更</w:t>
            </w:r>
          </w:p>
        </w:tc>
      </w:tr>
      <w:tr>
        <w:trPr>
          <w:trHeight w:val="363" w:hRule="atLeast"/>
        </w:trPr>
        <w:tc>
          <w:tcPr>
            <w:tcW w:w="2173" w:type="dxa"/>
          </w:tcPr>
          <w:p>
            <w:pPr>
              <w:pStyle w:val="TableParagraph"/>
              <w:spacing w:before="13"/>
              <w:ind w:left="934"/>
              <w:rPr>
                <w:sz w:val="21"/>
              </w:rPr>
            </w:pPr>
            <w:r>
              <w:rPr>
                <w:sz w:val="21"/>
              </w:rPr>
              <w:t>第十二条</w:t>
            </w:r>
          </w:p>
        </w:tc>
        <w:tc>
          <w:tcPr>
            <w:tcW w:w="6875" w:type="dxa"/>
          </w:tcPr>
          <w:p>
            <w:pPr>
              <w:pStyle w:val="TableParagraph"/>
              <w:spacing w:before="13"/>
              <w:ind w:left="395"/>
              <w:rPr>
                <w:sz w:val="21"/>
              </w:rPr>
            </w:pPr>
            <w:r>
              <w:rPr>
                <w:sz w:val="21"/>
              </w:rPr>
              <w:t>保险事故的通知</w:t>
            </w:r>
          </w:p>
        </w:tc>
      </w:tr>
      <w:tr>
        <w:trPr>
          <w:trHeight w:val="363" w:hRule="atLeast"/>
        </w:trPr>
        <w:tc>
          <w:tcPr>
            <w:tcW w:w="2173" w:type="dxa"/>
          </w:tcPr>
          <w:p>
            <w:pPr>
              <w:pStyle w:val="TableParagraph"/>
              <w:spacing w:before="12"/>
              <w:ind w:left="934"/>
              <w:rPr>
                <w:sz w:val="21"/>
              </w:rPr>
            </w:pPr>
            <w:r>
              <w:rPr>
                <w:sz w:val="21"/>
              </w:rPr>
              <w:t>第十三条</w:t>
            </w:r>
          </w:p>
        </w:tc>
        <w:tc>
          <w:tcPr>
            <w:tcW w:w="6875" w:type="dxa"/>
          </w:tcPr>
          <w:p>
            <w:pPr>
              <w:pStyle w:val="TableParagraph"/>
              <w:spacing w:before="12"/>
              <w:ind w:left="395"/>
              <w:rPr>
                <w:sz w:val="21"/>
              </w:rPr>
            </w:pPr>
            <w:r>
              <w:rPr>
                <w:sz w:val="21"/>
              </w:rPr>
              <w:t>保险金的申请</w:t>
            </w:r>
          </w:p>
        </w:tc>
      </w:tr>
      <w:tr>
        <w:trPr>
          <w:trHeight w:val="364" w:hRule="atLeast"/>
        </w:trPr>
        <w:tc>
          <w:tcPr>
            <w:tcW w:w="2173" w:type="dxa"/>
          </w:tcPr>
          <w:p>
            <w:pPr>
              <w:pStyle w:val="TableParagraph"/>
              <w:spacing w:before="13"/>
              <w:ind w:left="934"/>
              <w:rPr>
                <w:sz w:val="21"/>
              </w:rPr>
            </w:pPr>
            <w:r>
              <w:rPr>
                <w:sz w:val="21"/>
              </w:rPr>
              <w:t>第十四条</w:t>
            </w:r>
          </w:p>
        </w:tc>
        <w:tc>
          <w:tcPr>
            <w:tcW w:w="6875" w:type="dxa"/>
          </w:tcPr>
          <w:p>
            <w:pPr>
              <w:pStyle w:val="TableParagraph"/>
              <w:spacing w:before="13"/>
              <w:ind w:left="395"/>
              <w:rPr>
                <w:sz w:val="21"/>
              </w:rPr>
            </w:pPr>
            <w:r>
              <w:rPr>
                <w:sz w:val="21"/>
              </w:rPr>
              <w:t>如实告知</w:t>
            </w:r>
          </w:p>
        </w:tc>
      </w:tr>
      <w:tr>
        <w:trPr>
          <w:trHeight w:val="363" w:hRule="atLeast"/>
        </w:trPr>
        <w:tc>
          <w:tcPr>
            <w:tcW w:w="2173" w:type="dxa"/>
          </w:tcPr>
          <w:p>
            <w:pPr>
              <w:pStyle w:val="TableParagraph"/>
              <w:spacing w:before="13"/>
              <w:ind w:left="934"/>
              <w:rPr>
                <w:sz w:val="21"/>
              </w:rPr>
            </w:pPr>
            <w:r>
              <w:rPr>
                <w:sz w:val="21"/>
              </w:rPr>
              <w:t>第十五条</w:t>
            </w:r>
          </w:p>
        </w:tc>
        <w:tc>
          <w:tcPr>
            <w:tcW w:w="6875" w:type="dxa"/>
          </w:tcPr>
          <w:p>
            <w:pPr>
              <w:pStyle w:val="TableParagraph"/>
              <w:spacing w:before="13"/>
              <w:ind w:left="395"/>
              <w:rPr>
                <w:sz w:val="21"/>
              </w:rPr>
            </w:pPr>
            <w:r>
              <w:rPr>
                <w:sz w:val="21"/>
              </w:rPr>
              <w:t>合同解除权的限制</w:t>
            </w:r>
          </w:p>
        </w:tc>
      </w:tr>
      <w:tr>
        <w:trPr>
          <w:trHeight w:val="363" w:hRule="atLeast"/>
        </w:trPr>
        <w:tc>
          <w:tcPr>
            <w:tcW w:w="2173" w:type="dxa"/>
          </w:tcPr>
          <w:p>
            <w:pPr>
              <w:pStyle w:val="TableParagraph"/>
              <w:spacing w:before="12"/>
              <w:ind w:left="934"/>
              <w:rPr>
                <w:sz w:val="21"/>
              </w:rPr>
            </w:pPr>
            <w:r>
              <w:rPr>
                <w:sz w:val="21"/>
              </w:rPr>
              <w:t>第十六条</w:t>
            </w:r>
          </w:p>
        </w:tc>
        <w:tc>
          <w:tcPr>
            <w:tcW w:w="6875" w:type="dxa"/>
          </w:tcPr>
          <w:p>
            <w:pPr>
              <w:pStyle w:val="TableParagraph"/>
              <w:spacing w:before="12"/>
              <w:ind w:left="395"/>
              <w:rPr>
                <w:sz w:val="21"/>
              </w:rPr>
            </w:pPr>
            <w:r>
              <w:rPr>
                <w:sz w:val="21"/>
              </w:rPr>
              <w:t>年龄及性别的确定与错误处理</w:t>
            </w:r>
          </w:p>
        </w:tc>
      </w:tr>
      <w:tr>
        <w:trPr>
          <w:trHeight w:val="364" w:hRule="atLeast"/>
        </w:trPr>
        <w:tc>
          <w:tcPr>
            <w:tcW w:w="2173" w:type="dxa"/>
          </w:tcPr>
          <w:p>
            <w:pPr>
              <w:pStyle w:val="TableParagraph"/>
              <w:spacing w:before="13"/>
              <w:ind w:left="934"/>
              <w:rPr>
                <w:sz w:val="21"/>
              </w:rPr>
            </w:pPr>
            <w:r>
              <w:rPr>
                <w:sz w:val="21"/>
              </w:rPr>
              <w:t>第十七条</w:t>
            </w:r>
          </w:p>
        </w:tc>
        <w:tc>
          <w:tcPr>
            <w:tcW w:w="6875" w:type="dxa"/>
          </w:tcPr>
          <w:p>
            <w:pPr>
              <w:pStyle w:val="TableParagraph"/>
              <w:spacing w:before="13"/>
              <w:ind w:left="395"/>
              <w:rPr>
                <w:sz w:val="21"/>
              </w:rPr>
            </w:pPr>
            <w:r>
              <w:rPr>
                <w:sz w:val="21"/>
              </w:rPr>
              <w:t>合同内容的变更</w:t>
            </w:r>
          </w:p>
        </w:tc>
      </w:tr>
      <w:tr>
        <w:trPr>
          <w:trHeight w:val="363" w:hRule="atLeast"/>
        </w:trPr>
        <w:tc>
          <w:tcPr>
            <w:tcW w:w="2173" w:type="dxa"/>
          </w:tcPr>
          <w:p>
            <w:pPr>
              <w:pStyle w:val="TableParagraph"/>
              <w:spacing w:before="13"/>
              <w:ind w:left="934"/>
              <w:rPr>
                <w:sz w:val="21"/>
              </w:rPr>
            </w:pPr>
            <w:r>
              <w:rPr>
                <w:sz w:val="21"/>
              </w:rPr>
              <w:t>第十八条</w:t>
            </w:r>
          </w:p>
        </w:tc>
        <w:tc>
          <w:tcPr>
            <w:tcW w:w="6875" w:type="dxa"/>
          </w:tcPr>
          <w:p>
            <w:pPr>
              <w:pStyle w:val="TableParagraph"/>
              <w:spacing w:before="13"/>
              <w:ind w:left="395"/>
              <w:rPr>
                <w:sz w:val="21"/>
              </w:rPr>
            </w:pPr>
            <w:r>
              <w:rPr>
                <w:sz w:val="21"/>
              </w:rPr>
              <w:t>地址的变更</w:t>
            </w:r>
          </w:p>
        </w:tc>
      </w:tr>
      <w:tr>
        <w:trPr>
          <w:trHeight w:val="363" w:hRule="atLeast"/>
        </w:trPr>
        <w:tc>
          <w:tcPr>
            <w:tcW w:w="2173" w:type="dxa"/>
          </w:tcPr>
          <w:p>
            <w:pPr>
              <w:pStyle w:val="TableParagraph"/>
              <w:spacing w:before="12"/>
              <w:ind w:left="934"/>
              <w:rPr>
                <w:sz w:val="21"/>
              </w:rPr>
            </w:pPr>
            <w:r>
              <w:rPr>
                <w:sz w:val="21"/>
              </w:rPr>
              <w:t>第十九条</w:t>
            </w:r>
          </w:p>
        </w:tc>
        <w:tc>
          <w:tcPr>
            <w:tcW w:w="6875" w:type="dxa"/>
          </w:tcPr>
          <w:p>
            <w:pPr>
              <w:pStyle w:val="TableParagraph"/>
              <w:spacing w:before="12"/>
              <w:ind w:left="395"/>
              <w:rPr>
                <w:sz w:val="21"/>
              </w:rPr>
            </w:pPr>
            <w:r>
              <w:rPr>
                <w:sz w:val="21"/>
              </w:rPr>
              <w:t>职业或工种的变更</w:t>
            </w:r>
          </w:p>
        </w:tc>
      </w:tr>
      <w:tr>
        <w:trPr>
          <w:trHeight w:val="366" w:hRule="atLeast"/>
        </w:trPr>
        <w:tc>
          <w:tcPr>
            <w:tcW w:w="2173" w:type="dxa"/>
          </w:tcPr>
          <w:p>
            <w:pPr>
              <w:pStyle w:val="TableParagraph"/>
              <w:spacing w:before="13"/>
              <w:ind w:left="934"/>
              <w:rPr>
                <w:sz w:val="21"/>
              </w:rPr>
            </w:pPr>
            <w:r>
              <w:rPr>
                <w:sz w:val="21"/>
              </w:rPr>
              <w:t>第二十条</w:t>
            </w:r>
          </w:p>
        </w:tc>
        <w:tc>
          <w:tcPr>
            <w:tcW w:w="6875" w:type="dxa"/>
          </w:tcPr>
          <w:p>
            <w:pPr>
              <w:pStyle w:val="TableParagraph"/>
              <w:spacing w:before="13"/>
              <w:ind w:left="395"/>
              <w:rPr>
                <w:sz w:val="21"/>
              </w:rPr>
            </w:pPr>
            <w:r>
              <w:rPr>
                <w:sz w:val="21"/>
              </w:rPr>
              <w:t>争议处理</w:t>
            </w:r>
          </w:p>
        </w:tc>
      </w:tr>
      <w:tr>
        <w:trPr>
          <w:trHeight w:val="597" w:hRule="atLeast"/>
        </w:trPr>
        <w:tc>
          <w:tcPr>
            <w:tcW w:w="9048" w:type="dxa"/>
            <w:gridSpan w:val="2"/>
          </w:tcPr>
          <w:p>
            <w:pPr>
              <w:pStyle w:val="TableParagraph"/>
              <w:tabs>
                <w:tab w:pos="1162" w:val="left" w:leader="none"/>
              </w:tabs>
              <w:spacing w:line="280" w:lineRule="atLeast" w:before="4"/>
              <w:ind w:left="2362" w:right="202"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r>
              <w:rPr>
                <w:sz w:val="21"/>
              </w:rPr>
              <w:t>。</w:t>
            </w:r>
          </w:p>
        </w:tc>
      </w:tr>
    </w:tbl>
    <w:p>
      <w:pPr>
        <w:spacing w:after="0" w:line="280" w:lineRule="atLeast"/>
        <w:rPr>
          <w:sz w:val="21"/>
        </w:rPr>
        <w:sectPr>
          <w:type w:val="continuous"/>
          <w:pgSz w:w="11910" w:h="16840"/>
          <w:pgMar w:top="780" w:bottom="280" w:left="840" w:right="1020"/>
        </w:sectPr>
      </w:pPr>
    </w:p>
    <w:p>
      <w:pPr>
        <w:pStyle w:val="BodyText"/>
        <w:spacing w:before="4"/>
        <w:rPr>
          <w:rFonts w:ascii="Times New Roman"/>
          <w:sz w:val="17"/>
        </w:rPr>
      </w:pPr>
    </w:p>
    <w:p>
      <w:pPr>
        <w:spacing w:after="0"/>
        <w:rPr>
          <w:rFonts w:ascii="Times New Roman"/>
          <w:sz w:val="17"/>
        </w:rPr>
        <w:sectPr>
          <w:footerReference w:type="default" r:id="rId6"/>
          <w:pgSz w:w="11910" w:h="16840"/>
          <w:pgMar w:footer="492" w:header="0" w:top="1580" w:bottom="680" w:left="1680" w:right="1020"/>
          <w:pgNumType w:start="2"/>
        </w:sectPr>
      </w:pPr>
    </w:p>
    <w:p>
      <w:pPr>
        <w:pStyle w:val="Heading1"/>
        <w:tabs>
          <w:tab w:pos="1123" w:val="left" w:leader="none"/>
        </w:tabs>
        <w:spacing w:line="352" w:lineRule="exact" w:before="0"/>
      </w:pPr>
      <w:r>
        <w:rPr/>
        <w:t>第一章</w:t>
        <w:tab/>
      </w:r>
      <w:r>
        <w:rPr>
          <w:w w:val="95"/>
        </w:rPr>
        <w:t>保险</w:t>
      </w:r>
      <w:r>
        <w:rPr>
          <w:spacing w:val="-3"/>
          <w:w w:val="95"/>
        </w:rPr>
        <w:t>责任</w:t>
      </w:r>
      <w:r>
        <w:rPr>
          <w:w w:val="95"/>
        </w:rPr>
        <w:t>条款</w:t>
      </w:r>
    </w:p>
    <w:p>
      <w:pPr>
        <w:pStyle w:val="BodyText"/>
        <w:rPr>
          <w:b/>
          <w:sz w:val="20"/>
        </w:rPr>
      </w:pPr>
    </w:p>
    <w:p>
      <w:pPr>
        <w:pStyle w:val="Heading2"/>
        <w:tabs>
          <w:tab w:pos="1682" w:val="left" w:leader="none"/>
        </w:tabs>
        <w:spacing w:before="181"/>
      </w:pPr>
      <w:r>
        <w:rPr/>
        <w:t>第一条</w:t>
        <w:tab/>
      </w:r>
      <w:r>
        <w:rPr>
          <w:w w:val="95"/>
        </w:rPr>
        <w:t>合同的构成</w:t>
      </w:r>
    </w:p>
    <w:p>
      <w:pPr>
        <w:pStyle w:val="BodyText"/>
        <w:spacing w:before="1"/>
        <w:rPr>
          <w:b/>
          <w:sz w:val="24"/>
        </w:rPr>
      </w:pPr>
    </w:p>
    <w:p>
      <w:pPr>
        <w:pStyle w:val="BodyText"/>
        <w:ind w:left="112" w:right="113" w:firstLine="424"/>
      </w:pPr>
      <w:r>
        <w:rPr>
          <w:spacing w:val="-9"/>
          <w:w w:val="100"/>
        </w:rPr>
        <w:t>《工银安盛人寿附加康顺重大疾病保险合同》</w:t>
      </w:r>
      <w:r>
        <w:rPr>
          <w:w w:val="100"/>
        </w:rPr>
        <w:t>（</w:t>
      </w:r>
      <w:r>
        <w:rPr>
          <w:spacing w:val="-14"/>
          <w:w w:val="100"/>
        </w:rPr>
        <w:t>以下简称“本附加合同”</w:t>
      </w:r>
      <w:r>
        <w:rPr>
          <w:spacing w:val="-13"/>
          <w:w w:val="100"/>
        </w:rPr>
        <w:t>）</w:t>
      </w:r>
      <w:r>
        <w:rPr>
          <w:spacing w:val="-5"/>
          <w:w w:val="100"/>
        </w:rPr>
        <w:t>依您的申请，经列于保险单</w:t>
      </w:r>
      <w:r>
        <w:rPr>
          <w:spacing w:val="-3"/>
        </w:rPr>
        <w:t>后始生效。除非批单另有规定，本附加合同生效日与主合同生效日一致。</w:t>
      </w:r>
    </w:p>
    <w:p>
      <w:pPr>
        <w:pStyle w:val="BodyText"/>
        <w:spacing w:before="7"/>
        <w:rPr>
          <w:sz w:val="20"/>
        </w:rPr>
      </w:pPr>
    </w:p>
    <w:p>
      <w:pPr>
        <w:pStyle w:val="BodyText"/>
        <w:spacing w:before="1"/>
        <w:ind w:left="112" w:right="107" w:firstLine="424"/>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pStyle w:val="BodyText"/>
        <w:spacing w:before="3"/>
        <w:rPr>
          <w:sz w:val="22"/>
        </w:rPr>
      </w:pPr>
    </w:p>
    <w:p>
      <w:pPr>
        <w:pStyle w:val="BodyText"/>
        <w:ind w:left="537"/>
      </w:pPr>
      <w:r>
        <w:rPr/>
        <w:t>本附加合同的英文简称 NELI。</w:t>
      </w:r>
    </w:p>
    <w:p>
      <w:pPr>
        <w:pStyle w:val="BodyText"/>
        <w:spacing w:before="7"/>
        <w:rPr>
          <w:sz w:val="24"/>
        </w:rPr>
      </w:pPr>
    </w:p>
    <w:p>
      <w:pPr>
        <w:pStyle w:val="Heading2"/>
        <w:tabs>
          <w:tab w:pos="1682" w:val="left" w:leader="none"/>
        </w:tabs>
      </w:pPr>
      <w:r>
        <w:rPr/>
        <w:t>第二条</w:t>
        <w:tab/>
      </w:r>
      <w:r>
        <w:rPr>
          <w:w w:val="95"/>
        </w:rPr>
        <w:t>投保范围</w:t>
      </w:r>
    </w:p>
    <w:p>
      <w:pPr>
        <w:pStyle w:val="BodyText"/>
        <w:spacing w:before="2"/>
        <w:rPr>
          <w:b/>
          <w:sz w:val="24"/>
        </w:rPr>
      </w:pPr>
    </w:p>
    <w:p>
      <w:pPr>
        <w:pStyle w:val="BodyText"/>
        <w:ind w:left="537"/>
      </w:pPr>
      <w:r>
        <w:rPr/>
        <w:t>凡年满 18 周岁</w:t>
      </w:r>
      <w:r>
        <w:rPr>
          <w:position w:val="11"/>
          <w:sz w:val="11"/>
        </w:rPr>
        <w:t>（2）</w:t>
      </w:r>
      <w:r>
        <w:rPr/>
        <w:t>至 60 周岁（续保可至 65 周岁）且身体健康的人，可作为被保险人参加本保险。</w:t>
      </w:r>
    </w:p>
    <w:p>
      <w:pPr>
        <w:pStyle w:val="BodyText"/>
        <w:spacing w:before="3"/>
        <w:rPr>
          <w:sz w:val="23"/>
        </w:rPr>
      </w:pPr>
    </w:p>
    <w:p>
      <w:pPr>
        <w:pStyle w:val="Heading2"/>
        <w:tabs>
          <w:tab w:pos="1682" w:val="left" w:leader="none"/>
        </w:tabs>
      </w:pPr>
      <w:r>
        <w:rPr/>
        <w:t>第三条</w:t>
        <w:tab/>
      </w:r>
      <w:r>
        <w:rPr>
          <w:w w:val="95"/>
        </w:rPr>
        <w:t>保险期间和续保</w:t>
      </w:r>
    </w:p>
    <w:p>
      <w:pPr>
        <w:pStyle w:val="BodyText"/>
        <w:spacing w:before="2"/>
        <w:rPr>
          <w:b/>
        </w:rPr>
      </w:pPr>
    </w:p>
    <w:p>
      <w:pPr>
        <w:pStyle w:val="BodyText"/>
        <w:ind w:left="112" w:right="109" w:firstLine="516"/>
      </w:pPr>
      <w:r>
        <w:rPr/>
        <w:t>您提出保险申请、经我们同意承保，本附加合同成立。本附加合同自我们同意承保、收取保险费并签发保险合同开始生效，具体生效日期在保险单上载明。</w:t>
      </w:r>
    </w:p>
    <w:p>
      <w:pPr>
        <w:pStyle w:val="BodyText"/>
        <w:spacing w:before="7"/>
        <w:rPr>
          <w:sz w:val="20"/>
        </w:rPr>
      </w:pPr>
    </w:p>
    <w:p>
      <w:pPr>
        <w:pStyle w:val="BodyText"/>
        <w:spacing w:line="274" w:lineRule="exact" w:before="1"/>
        <w:ind w:left="537"/>
      </w:pPr>
      <w:r>
        <w:rPr>
          <w:spacing w:val="-6"/>
        </w:rPr>
        <w:t>本附加合同的保险期间为 </w:t>
      </w:r>
      <w:r>
        <w:rPr/>
        <w:t>1</w:t>
      </w:r>
      <w:r>
        <w:rPr>
          <w:spacing w:val="-9"/>
        </w:rPr>
        <w:t> 年。除非有另外的约定，本附加合同的保险期间自保险单所载生效日当日</w:t>
      </w:r>
    </w:p>
    <w:p>
      <w:pPr>
        <w:pStyle w:val="BodyText"/>
        <w:spacing w:line="274" w:lineRule="exact"/>
        <w:ind w:left="112"/>
      </w:pPr>
      <w:r>
        <w:rPr/>
        <w:t>24 时起至本附加合同约定的任一种终止情况发生之日 24 时为止。</w:t>
      </w:r>
    </w:p>
    <w:p>
      <w:pPr>
        <w:pStyle w:val="BodyText"/>
        <w:spacing w:before="3"/>
        <w:rPr>
          <w:sz w:val="22"/>
        </w:rPr>
      </w:pPr>
    </w:p>
    <w:p>
      <w:pPr>
        <w:pStyle w:val="BodyText"/>
        <w:spacing w:line="273" w:lineRule="auto"/>
        <w:ind w:left="112" w:right="110" w:firstLine="420"/>
      </w:pPr>
      <w:r>
        <w:rPr>
          <w:spacing w:val="-6"/>
        </w:rPr>
        <w:t>每一保险期间届满之前，若我们未收到您不再继续投保的书面通知，则视作您申请续保，我们将按照</w:t>
      </w:r>
      <w:r>
        <w:rPr>
          <w:spacing w:val="-3"/>
        </w:rPr>
        <w:t>以下约定续保本附加合同：</w:t>
      </w:r>
    </w:p>
    <w:p>
      <w:pPr>
        <w:pStyle w:val="BodyText"/>
        <w:spacing w:before="5"/>
        <w:rPr>
          <w:sz w:val="24"/>
        </w:rPr>
      </w:pPr>
    </w:p>
    <w:p>
      <w:pPr>
        <w:pStyle w:val="BodyText"/>
        <w:spacing w:line="273" w:lineRule="auto"/>
        <w:ind w:left="112" w:right="106" w:firstLine="419"/>
        <w:jc w:val="both"/>
      </w:pPr>
      <w:r>
        <w:rPr>
          <w:spacing w:val="-6"/>
        </w:rPr>
        <w:t>自本附加合同的生效日起，每连续 </w:t>
      </w:r>
      <w:r>
        <w:rPr/>
        <w:t>5</w:t>
      </w:r>
      <w:r>
        <w:rPr>
          <w:spacing w:val="-8"/>
        </w:rPr>
        <w:t> 年为一保证续保期间。您未在保证续保期间内续保的，保证续保</w:t>
      </w:r>
      <w:r>
        <w:rPr>
          <w:spacing w:val="-6"/>
        </w:rPr>
        <w:t>期间即终止。在保证续保期间内，当每一保险期间届满时，我们按被保险人续保时的年龄及职业工种对应</w:t>
      </w:r>
      <w:r>
        <w:rPr>
          <w:spacing w:val="-4"/>
        </w:rPr>
        <w:t>的费率收取保险费后本附加合同将延续有效。但若于保证续保期间内每一保险期间届满时发生下列情形之</w:t>
      </w:r>
      <w:r>
        <w:rPr>
          <w:spacing w:val="-3"/>
        </w:rPr>
        <w:t>一时，本附加合同自动不再接受续保：</w:t>
      </w:r>
    </w:p>
    <w:p>
      <w:pPr>
        <w:pStyle w:val="ListParagraph"/>
        <w:numPr>
          <w:ilvl w:val="0"/>
          <w:numId w:val="1"/>
        </w:numPr>
        <w:tabs>
          <w:tab w:pos="1254" w:val="left" w:leader="none"/>
        </w:tabs>
        <w:spacing w:line="240" w:lineRule="auto" w:before="7" w:after="0"/>
        <w:ind w:left="1253" w:right="0" w:hanging="720"/>
        <w:jc w:val="left"/>
        <w:rPr>
          <w:sz w:val="21"/>
        </w:rPr>
      </w:pPr>
      <w:r>
        <w:rPr>
          <w:spacing w:val="-8"/>
          <w:sz w:val="21"/>
        </w:rPr>
        <w:t>被保险人续保时年满 </w:t>
      </w:r>
      <w:r>
        <w:rPr>
          <w:sz w:val="21"/>
        </w:rPr>
        <w:t>65</w:t>
      </w:r>
      <w:r>
        <w:rPr>
          <w:spacing w:val="-11"/>
          <w:sz w:val="21"/>
        </w:rPr>
        <w:t> 周岁的；</w:t>
      </w:r>
    </w:p>
    <w:p>
      <w:pPr>
        <w:pStyle w:val="ListParagraph"/>
        <w:numPr>
          <w:ilvl w:val="0"/>
          <w:numId w:val="1"/>
        </w:numPr>
        <w:tabs>
          <w:tab w:pos="1254" w:val="left" w:leader="none"/>
        </w:tabs>
        <w:spacing w:line="240" w:lineRule="auto" w:before="36" w:after="0"/>
        <w:ind w:left="1253" w:right="0" w:hanging="720"/>
        <w:jc w:val="left"/>
        <w:rPr>
          <w:sz w:val="21"/>
        </w:rPr>
      </w:pPr>
      <w:r>
        <w:rPr>
          <w:spacing w:val="-3"/>
          <w:sz w:val="21"/>
        </w:rPr>
        <w:t>被保险人变更后的职业工种不属于我们的承保范围的；</w:t>
      </w:r>
    </w:p>
    <w:p>
      <w:pPr>
        <w:pStyle w:val="ListParagraph"/>
        <w:numPr>
          <w:ilvl w:val="0"/>
          <w:numId w:val="1"/>
        </w:numPr>
        <w:tabs>
          <w:tab w:pos="1254" w:val="left" w:leader="none"/>
        </w:tabs>
        <w:spacing w:line="240" w:lineRule="auto" w:before="36" w:after="0"/>
        <w:ind w:left="1253" w:right="0" w:hanging="720"/>
        <w:jc w:val="left"/>
        <w:rPr>
          <w:sz w:val="21"/>
        </w:rPr>
      </w:pPr>
      <w:r>
        <w:rPr>
          <w:spacing w:val="-3"/>
          <w:sz w:val="21"/>
        </w:rPr>
        <w:t>主合同效力终止或中止的；</w:t>
      </w:r>
    </w:p>
    <w:p>
      <w:pPr>
        <w:pStyle w:val="ListParagraph"/>
        <w:numPr>
          <w:ilvl w:val="0"/>
          <w:numId w:val="1"/>
        </w:numPr>
        <w:tabs>
          <w:tab w:pos="1254" w:val="left" w:leader="none"/>
        </w:tabs>
        <w:spacing w:line="240" w:lineRule="auto" w:before="36" w:after="0"/>
        <w:ind w:left="1253" w:right="0" w:hanging="720"/>
        <w:jc w:val="left"/>
        <w:rPr>
          <w:sz w:val="21"/>
        </w:rPr>
      </w:pPr>
      <w:r>
        <w:rPr>
          <w:spacing w:val="-3"/>
          <w:sz w:val="21"/>
        </w:rPr>
        <w:t>主合同豁免保险费的；</w:t>
      </w:r>
    </w:p>
    <w:p>
      <w:pPr>
        <w:pStyle w:val="ListParagraph"/>
        <w:numPr>
          <w:ilvl w:val="0"/>
          <w:numId w:val="1"/>
        </w:numPr>
        <w:tabs>
          <w:tab w:pos="1254" w:val="left" w:leader="none"/>
        </w:tabs>
        <w:spacing w:line="240" w:lineRule="auto" w:before="36" w:after="0"/>
        <w:ind w:left="1253" w:right="0" w:hanging="720"/>
        <w:jc w:val="left"/>
        <w:rPr>
          <w:sz w:val="21"/>
        </w:rPr>
      </w:pPr>
      <w:r>
        <w:rPr>
          <w:spacing w:val="-3"/>
          <w:sz w:val="21"/>
        </w:rPr>
        <w:t>本附加合同效力终止的。</w:t>
      </w:r>
    </w:p>
    <w:p>
      <w:pPr>
        <w:pStyle w:val="BodyText"/>
        <w:spacing w:before="2"/>
        <w:rPr>
          <w:sz w:val="25"/>
        </w:rPr>
      </w:pPr>
    </w:p>
    <w:p>
      <w:pPr>
        <w:pStyle w:val="BodyText"/>
        <w:spacing w:line="297" w:lineRule="auto"/>
        <w:ind w:left="113" w:right="109" w:firstLine="412"/>
        <w:jc w:val="both"/>
      </w:pPr>
      <w:r>
        <w:rPr>
          <w:spacing w:val="-5"/>
        </w:rPr>
        <w:t>每个保证续保期间届满时，我们会审核被保险人是否符合续保条件。如果我们审核同意续保，在此后</w:t>
      </w:r>
      <w:r>
        <w:rPr/>
        <w:t>一个保证续保期间内，除上述自动不再续保情形以外， 如您仍按照本合同约定向我们支付保险费，则本</w:t>
      </w:r>
      <w:r>
        <w:rPr>
          <w:spacing w:val="-3"/>
        </w:rPr>
        <w:t>附加合同将延续有效；如果我们不接受续保的，我们将于新的保证续保期间开始前以书面形式通知您。</w:t>
      </w:r>
    </w:p>
    <w:p>
      <w:pPr>
        <w:pStyle w:val="BodyText"/>
        <w:spacing w:before="6"/>
      </w:pPr>
    </w:p>
    <w:p>
      <w:pPr>
        <w:pStyle w:val="Heading2"/>
        <w:tabs>
          <w:tab w:pos="1682" w:val="left" w:leader="none"/>
        </w:tabs>
      </w:pPr>
      <w:r>
        <w:rPr/>
        <w:t>第四条</w:t>
        <w:tab/>
      </w:r>
      <w:r>
        <w:rPr>
          <w:w w:val="95"/>
        </w:rPr>
        <w:t>保险金额</w:t>
      </w:r>
    </w:p>
    <w:p>
      <w:pPr>
        <w:pStyle w:val="BodyText"/>
        <w:spacing w:before="9"/>
        <w:rPr>
          <w:b/>
          <w:sz w:val="25"/>
        </w:rPr>
      </w:pPr>
    </w:p>
    <w:p>
      <w:pPr>
        <w:pStyle w:val="BodyText"/>
        <w:spacing w:line="273" w:lineRule="auto"/>
        <w:ind w:left="112" w:right="106" w:firstLine="420"/>
      </w:pPr>
      <w:r>
        <w:rPr>
          <w:spacing w:val="-5"/>
        </w:rPr>
        <w:t>本附加合同所称保险金额是指保险单所载的本附加合同的保险金额，若发生变更，则以变更后的金额为准。</w:t>
      </w:r>
    </w:p>
    <w:p>
      <w:pPr>
        <w:pStyle w:val="BodyText"/>
        <w:spacing w:before="3"/>
        <w:rPr>
          <w:sz w:val="22"/>
        </w:rPr>
      </w:pPr>
    </w:p>
    <w:p>
      <w:pPr>
        <w:pStyle w:val="Heading2"/>
        <w:tabs>
          <w:tab w:pos="1682" w:val="left" w:leader="none"/>
        </w:tabs>
      </w:pPr>
      <w:r>
        <w:rPr/>
        <w:t>第五条</w:t>
        <w:tab/>
      </w:r>
      <w:r>
        <w:rPr>
          <w:w w:val="95"/>
        </w:rPr>
        <w:t>保险责任</w:t>
      </w:r>
    </w:p>
    <w:p>
      <w:pPr>
        <w:spacing w:after="0"/>
        <w:sectPr>
          <w:pgSz w:w="11910" w:h="16840"/>
          <w:pgMar w:header="0" w:footer="492" w:top="1500" w:bottom="680" w:left="1020" w:right="1020"/>
        </w:sectPr>
      </w:pPr>
    </w:p>
    <w:p>
      <w:pPr>
        <w:pStyle w:val="BodyText"/>
        <w:spacing w:line="530" w:lineRule="auto" w:before="26"/>
        <w:ind w:left="112" w:right="4710" w:firstLine="516"/>
      </w:pPr>
      <w:r>
        <w:rPr/>
        <w:t>在本附加合同保险期间，我们承担下列保险责任： 重大疾病保险金：</w:t>
      </w:r>
    </w:p>
    <w:p>
      <w:pPr>
        <w:pStyle w:val="BodyText"/>
        <w:spacing w:before="73"/>
        <w:ind w:left="112" w:right="102" w:firstLine="424"/>
      </w:pPr>
      <w:r>
        <w:rPr>
          <w:spacing w:val="-5"/>
        </w:rPr>
        <w:t>被保险人于本附加合同生效日起 </w:t>
      </w:r>
      <w:r>
        <w:rPr/>
        <w:t>90</w:t>
      </w:r>
      <w:r>
        <w:rPr>
          <w:spacing w:val="-13"/>
        </w:rPr>
        <w:t> 天后，按本附加合同约定的四十种重大疾病</w:t>
      </w:r>
      <w:r>
        <w:rPr>
          <w:spacing w:val="-3"/>
          <w:position w:val="11"/>
          <w:sz w:val="11"/>
        </w:rPr>
        <w:t>（3）</w:t>
      </w:r>
      <w:r>
        <w:rPr>
          <w:spacing w:val="-3"/>
        </w:rPr>
        <w:t>的定义和诊断标准， 被专科医生</w:t>
      </w:r>
      <w:r>
        <w:rPr>
          <w:position w:val="11"/>
          <w:sz w:val="11"/>
        </w:rPr>
        <w:t>（4）</w:t>
      </w:r>
      <w:r>
        <w:rPr>
          <w:spacing w:val="-3"/>
        </w:rPr>
        <w:t>或符合条件的医疗机构</w:t>
      </w:r>
      <w:r>
        <w:rPr>
          <w:position w:val="11"/>
          <w:sz w:val="11"/>
        </w:rPr>
        <w:t>（5）</w:t>
      </w:r>
      <w:r>
        <w:rPr>
          <w:spacing w:val="-7"/>
        </w:rPr>
        <w:t>首次诊断为患有重大疾病的</w:t>
      </w:r>
      <w:r>
        <w:rPr>
          <w:spacing w:val="-3"/>
        </w:rPr>
        <w:t>（</w:t>
      </w:r>
      <w:r>
        <w:rPr>
          <w:spacing w:val="-2"/>
        </w:rPr>
        <w:t>无论一种或多种</w:t>
      </w:r>
      <w:r>
        <w:rPr>
          <w:spacing w:val="-73"/>
        </w:rPr>
        <w:t>）</w:t>
      </w:r>
      <w:r>
        <w:rPr>
          <w:spacing w:val="-11"/>
        </w:rPr>
        <w:t>，我们将按本附加</w:t>
      </w:r>
      <w:r>
        <w:rPr>
          <w:spacing w:val="-6"/>
        </w:rPr>
        <w:t>合同约定的保险金额给付“重大疾病保险金”予被保险人，本附加合同保险责任终止。</w:t>
      </w:r>
    </w:p>
    <w:p>
      <w:pPr>
        <w:pStyle w:val="BodyText"/>
        <w:spacing w:before="9"/>
        <w:rPr>
          <w:sz w:val="26"/>
        </w:rPr>
      </w:pPr>
    </w:p>
    <w:p>
      <w:pPr>
        <w:pStyle w:val="Heading2"/>
        <w:tabs>
          <w:tab w:pos="1682" w:val="left" w:leader="none"/>
        </w:tabs>
        <w:rPr>
          <w:rFonts w:ascii="黑体" w:eastAsia="黑体" w:hint="eastAsia"/>
        </w:rPr>
      </w:pPr>
      <w:r>
        <w:rPr>
          <w:rFonts w:ascii="黑体" w:eastAsia="黑体" w:hint="eastAsia"/>
        </w:rPr>
        <w:t>第六条</w:t>
        <w:tab/>
      </w:r>
      <w:r>
        <w:rPr>
          <w:rFonts w:ascii="黑体" w:eastAsia="黑体" w:hint="eastAsia"/>
          <w:w w:val="95"/>
        </w:rPr>
        <w:t>责任免除</w:t>
      </w:r>
    </w:p>
    <w:p>
      <w:pPr>
        <w:pStyle w:val="Heading3"/>
        <w:spacing w:line="624" w:lineRule="exact" w:before="45"/>
        <w:ind w:left="561" w:right="525" w:hanging="5"/>
      </w:pPr>
      <w:r>
        <w:rPr/>
        <w:t>因下列情形之一，导致被保险人发Th疾病、达到疾病状态或进行手术的，我们不承担保险责任： 一、您对被保险人的故意杀害、故意伤害；</w:t>
      </w:r>
    </w:p>
    <w:p>
      <w:pPr>
        <w:spacing w:line="217" w:lineRule="exact" w:before="0"/>
        <w:ind w:left="561"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1" w:right="0" w:firstLine="0"/>
        <w:jc w:val="left"/>
        <w:rPr>
          <w:rFonts w:ascii="黑体" w:eastAsia="黑体" w:hint="eastAsia"/>
          <w:b/>
          <w:sz w:val="21"/>
        </w:rPr>
      </w:pPr>
      <w:r>
        <w:rPr>
          <w:rFonts w:ascii="黑体" w:eastAsia="黑体" w:hint="eastAsia"/>
          <w:b/>
          <w:spacing w:val="-3"/>
          <w:w w:val="100"/>
          <w:sz w:val="21"/>
        </w:rPr>
        <w:t>三、被保险人主动吸食或注射毒品</w:t>
      </w:r>
      <w:r>
        <w:rPr>
          <w:rFonts w:ascii="黑体" w:eastAsia="黑体" w:hint="eastAsia"/>
          <w:b/>
          <w:w w:val="99"/>
          <w:position w:val="11"/>
          <w:sz w:val="11"/>
        </w:rPr>
        <w:t>（</w:t>
      </w:r>
      <w:r>
        <w:rPr>
          <w:rFonts w:ascii="黑体" w:eastAsia="黑体" w:hint="eastAsia"/>
          <w:b/>
          <w:w w:val="99"/>
          <w:position w:val="11"/>
          <w:sz w:val="11"/>
        </w:rPr>
        <w:t>6</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37"/>
        <w:ind w:left="561" w:right="1115" w:firstLine="0"/>
        <w:jc w:val="left"/>
        <w:rPr>
          <w:rFonts w:ascii="黑体" w:eastAsia="黑体" w:hint="eastAsia"/>
          <w:b/>
          <w:sz w:val="21"/>
        </w:rPr>
      </w:pPr>
      <w:r>
        <w:rPr>
          <w:rFonts w:ascii="黑体" w:eastAsia="黑体" w:hint="eastAsia"/>
          <w:b/>
          <w:spacing w:val="-3"/>
          <w:w w:val="100"/>
          <w:sz w:val="21"/>
        </w:rPr>
        <w:t>四、被保险人酒后驾驶</w:t>
      </w:r>
      <w:r>
        <w:rPr>
          <w:rFonts w:ascii="黑体" w:eastAsia="黑体" w:hint="eastAsia"/>
          <w:b/>
          <w:w w:val="99"/>
          <w:position w:val="11"/>
          <w:sz w:val="11"/>
        </w:rPr>
        <w:t>（</w:t>
      </w:r>
      <w:r>
        <w:rPr>
          <w:rFonts w:ascii="黑体" w:eastAsia="黑体" w:hint="eastAsia"/>
          <w:b/>
          <w:w w:val="99"/>
          <w:position w:val="11"/>
          <w:sz w:val="11"/>
        </w:rPr>
        <w:t>7</w:t>
      </w:r>
      <w:r>
        <w:rPr>
          <w:rFonts w:ascii="黑体" w:eastAsia="黑体" w:hint="eastAsia"/>
          <w:b/>
          <w:spacing w:val="-58"/>
          <w:w w:val="99"/>
          <w:position w:val="11"/>
          <w:sz w:val="11"/>
        </w:rPr>
        <w:t>）</w:t>
      </w:r>
      <w:r>
        <w:rPr>
          <w:rFonts w:ascii="黑体" w:eastAsia="黑体" w:hint="eastAsia"/>
          <w:b/>
          <w:spacing w:val="-3"/>
          <w:w w:val="100"/>
          <w:sz w:val="21"/>
        </w:rPr>
        <w:t>、无合法有效驾驶证驾驶</w:t>
      </w:r>
      <w:r>
        <w:rPr>
          <w:rFonts w:ascii="黑体" w:eastAsia="黑体" w:hint="eastAsia"/>
          <w:b/>
          <w:spacing w:val="-3"/>
          <w:w w:val="99"/>
          <w:position w:val="11"/>
          <w:sz w:val="11"/>
        </w:rPr>
        <w:t>（</w:t>
      </w:r>
      <w:r>
        <w:rPr>
          <w:rFonts w:ascii="黑体" w:eastAsia="黑体" w:hint="eastAsia"/>
          <w:b/>
          <w:w w:val="99"/>
          <w:position w:val="11"/>
          <w:sz w:val="11"/>
        </w:rPr>
        <w:t>8</w:t>
      </w:r>
      <w:r>
        <w:rPr>
          <w:rFonts w:ascii="黑体" w:eastAsia="黑体" w:hint="eastAsia"/>
          <w:b/>
          <w:spacing w:val="-56"/>
          <w:w w:val="99"/>
          <w:position w:val="11"/>
          <w:sz w:val="11"/>
        </w:rPr>
        <w:t>）</w:t>
      </w:r>
      <w:r>
        <w:rPr>
          <w:rFonts w:ascii="黑体" w:eastAsia="黑体" w:hint="eastAsia"/>
          <w:b/>
          <w:spacing w:val="-3"/>
          <w:w w:val="100"/>
          <w:sz w:val="21"/>
        </w:rPr>
        <w:t>，或驾驶无有效行驶证</w:t>
      </w:r>
      <w:r>
        <w:rPr>
          <w:rFonts w:ascii="黑体" w:eastAsia="黑体" w:hint="eastAsia"/>
          <w:b/>
          <w:w w:val="99"/>
          <w:position w:val="11"/>
          <w:sz w:val="11"/>
        </w:rPr>
        <w:t>（</w:t>
      </w:r>
      <w:r>
        <w:rPr>
          <w:rFonts w:ascii="黑体" w:eastAsia="黑体" w:hint="eastAsia"/>
          <w:b/>
          <w:spacing w:val="-3"/>
          <w:w w:val="99"/>
          <w:position w:val="11"/>
          <w:sz w:val="11"/>
        </w:rPr>
        <w:t>9</w:t>
      </w:r>
      <w:r>
        <w:rPr>
          <w:rFonts w:ascii="黑体" w:eastAsia="黑体" w:hint="eastAsia"/>
          <w:b/>
          <w:w w:val="99"/>
          <w:position w:val="11"/>
          <w:sz w:val="11"/>
        </w:rPr>
        <w:t>）</w:t>
      </w:r>
      <w:r>
        <w:rPr>
          <w:rFonts w:ascii="黑体" w:eastAsia="黑体" w:hint="eastAsia"/>
          <w:b/>
          <w:spacing w:val="-1"/>
          <w:w w:val="100"/>
          <w:sz w:val="21"/>
        </w:rPr>
        <w:t>的机动车；</w:t>
      </w:r>
      <w:r>
        <w:rPr>
          <w:rFonts w:ascii="黑体" w:eastAsia="黑体" w:hint="eastAsia"/>
          <w:b/>
          <w:spacing w:val="-3"/>
          <w:w w:val="100"/>
          <w:sz w:val="21"/>
        </w:rPr>
        <w:t>五、被保险人感染艾滋病病毒或患艾滋病</w:t>
      </w:r>
      <w:r>
        <w:rPr>
          <w:rFonts w:ascii="黑体" w:eastAsia="黑体" w:hint="eastAsia"/>
          <w:b/>
          <w:w w:val="99"/>
          <w:position w:val="11"/>
          <w:sz w:val="11"/>
        </w:rPr>
        <w:t>（</w:t>
      </w:r>
      <w:r>
        <w:rPr>
          <w:rFonts w:ascii="黑体" w:eastAsia="黑体" w:hint="eastAsia"/>
          <w:b/>
          <w:w w:val="99"/>
          <w:position w:val="11"/>
          <w:sz w:val="11"/>
        </w:rPr>
        <w:t>10</w:t>
      </w:r>
      <w:r>
        <w:rPr>
          <w:rFonts w:ascii="黑体" w:eastAsia="黑体" w:hint="eastAsia"/>
          <w:b/>
          <w:spacing w:val="-56"/>
          <w:w w:val="99"/>
          <w:position w:val="11"/>
          <w:sz w:val="11"/>
        </w:rPr>
        <w:t>）</w:t>
      </w:r>
      <w:r>
        <w:rPr>
          <w:rFonts w:ascii="黑体" w:eastAsia="黑体" w:hint="eastAsia"/>
          <w:b/>
          <w:w w:val="100"/>
          <w:sz w:val="21"/>
        </w:rPr>
        <w:t>；</w:t>
      </w:r>
    </w:p>
    <w:p>
      <w:pPr>
        <w:spacing w:line="273" w:lineRule="auto" w:before="4"/>
        <w:ind w:left="561" w:right="5574"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7"/>
        <w:ind w:left="561" w:right="0" w:firstLine="0"/>
        <w:jc w:val="left"/>
        <w:rPr>
          <w:rFonts w:ascii="黑体" w:eastAsia="黑体" w:hint="eastAsia"/>
          <w:b/>
          <w:sz w:val="21"/>
        </w:rPr>
      </w:pPr>
      <w:r>
        <w:rPr>
          <w:rFonts w:ascii="黑体" w:eastAsia="黑体" w:hint="eastAsia"/>
          <w:b/>
          <w:spacing w:val="-2"/>
          <w:w w:val="100"/>
          <w:sz w:val="21"/>
        </w:rPr>
        <w:t>八、遗传性疾病</w:t>
      </w:r>
      <w:r>
        <w:rPr>
          <w:rFonts w:ascii="黑体" w:eastAsia="黑体" w:hint="eastAsia"/>
          <w:b/>
          <w:w w:val="99"/>
          <w:position w:val="11"/>
          <w:sz w:val="11"/>
        </w:rPr>
        <w:t>（</w:t>
      </w:r>
      <w:r>
        <w:rPr>
          <w:rFonts w:ascii="黑体" w:eastAsia="黑体" w:hint="eastAsia"/>
          <w:b/>
          <w:w w:val="99"/>
          <w:position w:val="11"/>
          <w:sz w:val="11"/>
        </w:rPr>
        <w:t>11</w:t>
      </w:r>
      <w:r>
        <w:rPr>
          <w:rFonts w:ascii="黑体" w:eastAsia="黑体" w:hint="eastAsia"/>
          <w:b/>
          <w:spacing w:val="-56"/>
          <w:w w:val="99"/>
          <w:position w:val="11"/>
          <w:sz w:val="11"/>
        </w:rPr>
        <w:t>）</w:t>
      </w:r>
      <w:r>
        <w:rPr>
          <w:rFonts w:ascii="黑体" w:eastAsia="黑体" w:hint="eastAsia"/>
          <w:b/>
          <w:spacing w:val="-3"/>
          <w:w w:val="100"/>
          <w:sz w:val="21"/>
        </w:rPr>
        <w:t>，先天性畸形、变形或染色体异常</w:t>
      </w:r>
      <w:r>
        <w:rPr>
          <w:rFonts w:ascii="黑体" w:eastAsia="黑体" w:hint="eastAsia"/>
          <w:b/>
          <w:w w:val="99"/>
          <w:position w:val="11"/>
          <w:sz w:val="11"/>
        </w:rPr>
        <w:t>（</w:t>
      </w:r>
      <w:r>
        <w:rPr>
          <w:rFonts w:ascii="黑体" w:eastAsia="黑体" w:hint="eastAsia"/>
          <w:b/>
          <w:w w:val="99"/>
          <w:position w:val="11"/>
          <w:sz w:val="11"/>
        </w:rPr>
        <w:t>12</w:t>
      </w:r>
      <w:r>
        <w:rPr>
          <w:rFonts w:ascii="黑体" w:eastAsia="黑体" w:hint="eastAsia"/>
          <w:b/>
          <w:spacing w:val="-56"/>
          <w:w w:val="99"/>
          <w:position w:val="11"/>
          <w:sz w:val="11"/>
        </w:rPr>
        <w:t>）</w:t>
      </w:r>
      <w:r>
        <w:rPr>
          <w:rFonts w:ascii="黑体" w:eastAsia="黑体" w:hint="eastAsia"/>
          <w:b/>
          <w:w w:val="100"/>
          <w:sz w:val="21"/>
        </w:rPr>
        <w:t>。</w:t>
      </w:r>
    </w:p>
    <w:p>
      <w:pPr>
        <w:spacing w:after="0"/>
        <w:jc w:val="left"/>
        <w:rPr>
          <w:rFonts w:ascii="黑体" w:eastAsia="黑体" w:hint="eastAsia"/>
          <w:sz w:val="21"/>
        </w:rPr>
        <w:sectPr>
          <w:pgSz w:w="11910" w:h="16840"/>
          <w:pgMar w:header="0" w:footer="492" w:top="1580" w:bottom="680" w:left="1020" w:right="920"/>
        </w:sectPr>
      </w:pPr>
    </w:p>
    <w:p>
      <w:pPr>
        <w:pStyle w:val="BodyText"/>
        <w:spacing w:before="7"/>
        <w:rPr>
          <w:rFonts w:ascii="黑体"/>
          <w:b/>
          <w:sz w:val="15"/>
        </w:rPr>
      </w:pPr>
    </w:p>
    <w:p>
      <w:pPr>
        <w:pStyle w:val="Heading1"/>
        <w:tabs>
          <w:tab w:pos="1123" w:val="left" w:leader="none"/>
        </w:tabs>
      </w:pPr>
      <w:r>
        <w:rPr/>
        <w:t>第二章</w:t>
        <w:tab/>
      </w:r>
      <w:r>
        <w:rPr>
          <w:w w:val="95"/>
        </w:rPr>
        <w:t>一般</w:t>
      </w:r>
      <w:r>
        <w:rPr>
          <w:spacing w:val="-3"/>
          <w:w w:val="95"/>
        </w:rPr>
        <w:t>条</w:t>
      </w:r>
      <w:r>
        <w:rPr>
          <w:w w:val="95"/>
        </w:rPr>
        <w:t>款</w:t>
      </w:r>
    </w:p>
    <w:p>
      <w:pPr>
        <w:pStyle w:val="BodyText"/>
        <w:spacing w:before="11"/>
        <w:rPr>
          <w:b/>
          <w:sz w:val="33"/>
        </w:rPr>
      </w:pPr>
    </w:p>
    <w:p>
      <w:pPr>
        <w:pStyle w:val="Heading2"/>
        <w:tabs>
          <w:tab w:pos="1682" w:val="left" w:leader="none"/>
        </w:tabs>
      </w:pPr>
      <w:r>
        <w:rPr/>
        <w:t>第七条</w:t>
        <w:tab/>
      </w:r>
      <w:r>
        <w:rPr>
          <w:w w:val="95"/>
        </w:rPr>
        <w:t>保险费的交付和宽限期</w:t>
      </w:r>
    </w:p>
    <w:p>
      <w:pPr>
        <w:pStyle w:val="BodyText"/>
        <w:spacing w:before="10"/>
        <w:rPr>
          <w:b/>
          <w:sz w:val="25"/>
        </w:rPr>
      </w:pPr>
    </w:p>
    <w:p>
      <w:pPr>
        <w:pStyle w:val="BodyText"/>
        <w:ind w:left="532"/>
      </w:pPr>
      <w:r>
        <w:rPr/>
        <w:t>您应按照本附加合同约定向我们支付保险费。</w:t>
      </w:r>
    </w:p>
    <w:p>
      <w:pPr>
        <w:pStyle w:val="BodyText"/>
        <w:spacing w:before="8"/>
        <w:rPr>
          <w:sz w:val="26"/>
        </w:rPr>
      </w:pPr>
    </w:p>
    <w:p>
      <w:pPr>
        <w:pStyle w:val="BodyText"/>
        <w:ind w:left="533"/>
      </w:pPr>
      <w:r>
        <w:rPr>
          <w:spacing w:val="-7"/>
        </w:rPr>
        <w:t>在本附加合同 </w:t>
      </w:r>
      <w:r>
        <w:rPr/>
        <w:t>1</w:t>
      </w:r>
      <w:r>
        <w:rPr>
          <w:spacing w:val="-13"/>
        </w:rPr>
        <w:t> 年保险期间届满时，若您和我们均未提出不接受续保的要求，则自保险期满日当日 </w:t>
      </w:r>
      <w:r>
        <w:rPr/>
        <w:t>24</w:t>
      </w:r>
    </w:p>
    <w:p>
      <w:pPr>
        <w:pStyle w:val="BodyText"/>
        <w:spacing w:line="273" w:lineRule="auto" w:before="36"/>
        <w:ind w:left="113" w:right="72"/>
      </w:pPr>
      <w:r>
        <w:rPr/>
        <w:t>时起 60 日为宽限期。在此期间，您可以按照被保险人在续保时的职业工种和年龄，根据我们当时核定的保险费率计算并交付续保保险费。</w:t>
      </w:r>
    </w:p>
    <w:p>
      <w:pPr>
        <w:pStyle w:val="BodyText"/>
        <w:spacing w:before="5"/>
        <w:rPr>
          <w:sz w:val="24"/>
        </w:rPr>
      </w:pPr>
    </w:p>
    <w:p>
      <w:pPr>
        <w:pStyle w:val="BodyText"/>
        <w:spacing w:line="273" w:lineRule="auto"/>
        <w:ind w:left="112" w:right="108" w:firstLine="420"/>
      </w:pPr>
      <w:r>
        <w:rPr/>
        <w:t>宽限期内被保险人发生保险事故</w:t>
      </w:r>
      <w:r>
        <w:rPr>
          <w:position w:val="11"/>
          <w:sz w:val="11"/>
        </w:rPr>
        <w:t>（13）</w:t>
      </w:r>
      <w:r>
        <w:rPr/>
        <w:t>的，我们仍会承担保险责任，但在给付保险金时会扣减该保险合同欠交的保险费。</w:t>
      </w:r>
    </w:p>
    <w:p>
      <w:pPr>
        <w:pStyle w:val="BodyText"/>
        <w:spacing w:before="8"/>
        <w:rPr>
          <w:sz w:val="26"/>
        </w:rPr>
      </w:pPr>
    </w:p>
    <w:p>
      <w:pPr>
        <w:pStyle w:val="BodyText"/>
        <w:ind w:left="532"/>
      </w:pPr>
      <w:r>
        <w:rPr/>
        <w:t>如果您宽限期结束之后仍未支付续保保险费，则我们自宽限期满当日 24 时起不再承担保险责任。</w:t>
      </w:r>
    </w:p>
    <w:p>
      <w:pPr>
        <w:pStyle w:val="BodyText"/>
        <w:rPr>
          <w:sz w:val="20"/>
        </w:rPr>
      </w:pPr>
    </w:p>
    <w:p>
      <w:pPr>
        <w:pStyle w:val="BodyText"/>
        <w:spacing w:before="6"/>
        <w:rPr>
          <w:sz w:val="22"/>
        </w:rPr>
      </w:pPr>
    </w:p>
    <w:p>
      <w:pPr>
        <w:pStyle w:val="Heading2"/>
        <w:tabs>
          <w:tab w:pos="1682" w:val="left" w:leader="none"/>
        </w:tabs>
      </w:pPr>
      <w:r>
        <w:rPr/>
        <w:t>第八条</w:t>
        <w:tab/>
      </w:r>
      <w:r>
        <w:rPr>
          <w:w w:val="95"/>
        </w:rPr>
        <w:t>合同的解除</w:t>
      </w:r>
    </w:p>
    <w:p>
      <w:pPr>
        <w:pStyle w:val="BodyText"/>
        <w:spacing w:before="2"/>
        <w:rPr>
          <w:b/>
        </w:rPr>
      </w:pPr>
    </w:p>
    <w:p>
      <w:pPr>
        <w:pStyle w:val="BodyText"/>
        <w:ind w:left="525"/>
      </w:pPr>
      <w:r>
        <w:rPr/>
        <w:t>如您在本附加合同有效期内申请解除本附加合同，请填写解除合同申请书并向我们提供下列资料：</w:t>
      </w:r>
    </w:p>
    <w:p>
      <w:pPr>
        <w:pStyle w:val="ListParagraph"/>
        <w:numPr>
          <w:ilvl w:val="0"/>
          <w:numId w:val="2"/>
        </w:numPr>
        <w:tabs>
          <w:tab w:pos="962" w:val="left" w:leader="none"/>
          <w:tab w:pos="963" w:val="left" w:leader="none"/>
        </w:tabs>
        <w:spacing w:line="240" w:lineRule="auto" w:before="65" w:after="0"/>
        <w:ind w:left="962" w:right="0" w:hanging="437"/>
        <w:jc w:val="left"/>
        <w:rPr>
          <w:sz w:val="21"/>
        </w:rPr>
      </w:pPr>
      <w:r>
        <w:rPr>
          <w:spacing w:val="-2"/>
          <w:sz w:val="21"/>
        </w:rPr>
        <w:t>保险合同原件；</w:t>
      </w:r>
    </w:p>
    <w:p>
      <w:pPr>
        <w:pStyle w:val="ListParagraph"/>
        <w:numPr>
          <w:ilvl w:val="0"/>
          <w:numId w:val="2"/>
        </w:numPr>
        <w:tabs>
          <w:tab w:pos="962" w:val="left" w:leader="none"/>
          <w:tab w:pos="963" w:val="left" w:leader="none"/>
        </w:tabs>
        <w:spacing w:line="240" w:lineRule="auto" w:before="67" w:after="0"/>
        <w:ind w:left="962" w:right="0" w:hanging="437"/>
        <w:jc w:val="left"/>
        <w:rPr>
          <w:sz w:val="21"/>
        </w:rPr>
      </w:pPr>
      <w:r>
        <w:rPr>
          <w:spacing w:val="-3"/>
          <w:sz w:val="21"/>
        </w:rPr>
        <w:t>您的有效身份证件。</w:t>
      </w:r>
    </w:p>
    <w:p>
      <w:pPr>
        <w:pStyle w:val="BodyText"/>
        <w:rPr>
          <w:sz w:val="20"/>
        </w:rPr>
      </w:pPr>
    </w:p>
    <w:p>
      <w:pPr>
        <w:pStyle w:val="BodyText"/>
        <w:spacing w:before="144"/>
        <w:ind w:left="525"/>
      </w:pPr>
      <w:r>
        <w:rPr/>
        <w:t>自我们收到完整的解除合同申请材料之日 24 时起，本附加合同效力终止。</w:t>
      </w:r>
    </w:p>
    <w:p>
      <w:pPr>
        <w:pStyle w:val="BodyText"/>
        <w:spacing w:before="2"/>
        <w:rPr>
          <w:sz w:val="28"/>
        </w:rPr>
      </w:pPr>
    </w:p>
    <w:p>
      <w:pPr>
        <w:pStyle w:val="Heading2"/>
        <w:tabs>
          <w:tab w:pos="1682" w:val="left" w:leader="none"/>
        </w:tabs>
      </w:pPr>
      <w:r>
        <w:rPr/>
        <w:t>第九条</w:t>
        <w:tab/>
      </w:r>
      <w:r>
        <w:rPr>
          <w:w w:val="95"/>
        </w:rPr>
        <w:t>合同效力的终止</w:t>
      </w:r>
    </w:p>
    <w:p>
      <w:pPr>
        <w:pStyle w:val="BodyText"/>
        <w:spacing w:before="10"/>
        <w:rPr>
          <w:b/>
          <w:sz w:val="25"/>
        </w:rPr>
      </w:pPr>
    </w:p>
    <w:p>
      <w:pPr>
        <w:pStyle w:val="BodyText"/>
        <w:ind w:left="532"/>
      </w:pPr>
      <w:r>
        <w:rPr/>
        <w:t>发生下列情况之一时，本附加合同效力终止：</w:t>
      </w:r>
    </w:p>
    <w:p>
      <w:pPr>
        <w:pStyle w:val="ListParagraph"/>
        <w:numPr>
          <w:ilvl w:val="0"/>
          <w:numId w:val="3"/>
        </w:numPr>
        <w:tabs>
          <w:tab w:pos="952" w:val="left" w:leader="none"/>
          <w:tab w:pos="953" w:val="left" w:leader="none"/>
        </w:tabs>
        <w:spacing w:line="240" w:lineRule="auto" w:before="36" w:after="0"/>
        <w:ind w:left="952" w:right="0" w:hanging="427"/>
        <w:jc w:val="left"/>
        <w:rPr>
          <w:sz w:val="21"/>
        </w:rPr>
      </w:pPr>
      <w:r>
        <w:rPr>
          <w:sz w:val="21"/>
        </w:rPr>
        <w:t>1</w:t>
      </w:r>
      <w:r>
        <w:rPr>
          <w:spacing w:val="-7"/>
          <w:sz w:val="21"/>
        </w:rPr>
        <w:t> 年保险期间届满且本附加合同未续保时；</w:t>
      </w:r>
    </w:p>
    <w:p>
      <w:pPr>
        <w:pStyle w:val="ListParagraph"/>
        <w:numPr>
          <w:ilvl w:val="0"/>
          <w:numId w:val="3"/>
        </w:numPr>
        <w:tabs>
          <w:tab w:pos="952" w:val="left" w:leader="none"/>
          <w:tab w:pos="954" w:val="left" w:leader="none"/>
        </w:tabs>
        <w:spacing w:line="240" w:lineRule="auto" w:before="36" w:after="0"/>
        <w:ind w:left="953" w:right="0" w:hanging="428"/>
        <w:jc w:val="left"/>
        <w:rPr>
          <w:sz w:val="21"/>
        </w:rPr>
      </w:pPr>
      <w:r>
        <w:rPr>
          <w:spacing w:val="-3"/>
          <w:sz w:val="21"/>
        </w:rPr>
        <w:t>主合同效力终止时；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主合同豁免保险费的；</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您于本附加合同有效期内向我们申请解除本附加合同的；</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我们根据保险责任给付重大疾病保险金时；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在合同有效期内，被保险人身故时；</w:t>
      </w:r>
    </w:p>
    <w:p>
      <w:pPr>
        <w:pStyle w:val="ListParagraph"/>
        <w:numPr>
          <w:ilvl w:val="0"/>
          <w:numId w:val="3"/>
        </w:numPr>
        <w:tabs>
          <w:tab w:pos="953" w:val="left" w:leader="none"/>
          <w:tab w:pos="954" w:val="left" w:leader="none"/>
        </w:tabs>
        <w:spacing w:line="240" w:lineRule="auto" w:before="36" w:after="0"/>
        <w:ind w:left="953" w:right="0" w:hanging="427"/>
        <w:jc w:val="left"/>
        <w:rPr>
          <w:sz w:val="21"/>
        </w:rPr>
      </w:pPr>
      <w:r>
        <w:rPr>
          <w:spacing w:val="-3"/>
          <w:sz w:val="21"/>
        </w:rPr>
        <w:t>本附加合同约定的其它效力终止的情况。</w:t>
      </w:r>
    </w:p>
    <w:p>
      <w:pPr>
        <w:pStyle w:val="BodyText"/>
        <w:spacing w:before="7"/>
        <w:rPr>
          <w:sz w:val="24"/>
        </w:rPr>
      </w:pPr>
    </w:p>
    <w:p>
      <w:pPr>
        <w:pStyle w:val="Heading2"/>
        <w:tabs>
          <w:tab w:pos="1682" w:val="left" w:leader="none"/>
        </w:tabs>
      </w:pPr>
      <w:r>
        <w:rPr/>
        <w:t>第十条</w:t>
        <w:tab/>
      </w:r>
      <w:r>
        <w:rPr>
          <w:w w:val="95"/>
        </w:rPr>
        <w:t>保险费率的调整</w:t>
      </w:r>
    </w:p>
    <w:p>
      <w:pPr>
        <w:pStyle w:val="BodyText"/>
        <w:spacing w:before="10"/>
        <w:rPr>
          <w:b/>
          <w:sz w:val="25"/>
        </w:rPr>
      </w:pPr>
    </w:p>
    <w:p>
      <w:pPr>
        <w:pStyle w:val="BodyText"/>
        <w:spacing w:line="544" w:lineRule="auto"/>
        <w:ind w:left="532" w:right="5546"/>
      </w:pPr>
      <w:r>
        <w:rPr>
          <w:spacing w:val="-3"/>
        </w:rPr>
        <w:t>我们保留提高或降低保险费率的权利。 保险费率的调整将向保险监管机关备案。</w:t>
      </w:r>
    </w:p>
    <w:p>
      <w:pPr>
        <w:pStyle w:val="BodyText"/>
        <w:spacing w:line="273" w:lineRule="auto" w:before="82"/>
        <w:ind w:left="112" w:right="107" w:firstLine="420"/>
        <w:jc w:val="both"/>
      </w:pPr>
      <w:r>
        <w:rPr>
          <w:spacing w:val="-6"/>
        </w:rPr>
        <w:t>本保险的费率调整针对所有被保险人或相同性别、年龄所有被保险人。我们进行保险费率调整后，您须按调整后的保险费率交纳续保保险费，保险费率调整前已经到期的保险费</w:t>
      </w:r>
      <w:r>
        <w:rPr/>
        <w:t>（</w:t>
      </w:r>
      <w:r>
        <w:rPr>
          <w:spacing w:val="-3"/>
        </w:rPr>
        <w:t>包括您已经交纳和欠交的保险费）不受影响。</w:t>
      </w:r>
    </w:p>
    <w:p>
      <w:pPr>
        <w:spacing w:after="0" w:line="273" w:lineRule="auto"/>
        <w:jc w:val="both"/>
        <w:sectPr>
          <w:pgSz w:w="11910" w:h="16840"/>
          <w:pgMar w:header="0" w:footer="492" w:top="1580" w:bottom="760" w:left="1020" w:right="1020"/>
        </w:sectPr>
      </w:pPr>
    </w:p>
    <w:p>
      <w:pPr>
        <w:pStyle w:val="Heading2"/>
        <w:tabs>
          <w:tab w:pos="1682" w:val="left" w:leader="none"/>
        </w:tabs>
        <w:spacing w:before="91"/>
      </w:pPr>
      <w:r>
        <w:rPr/>
        <w:t>第十一条</w:t>
        <w:tab/>
      </w:r>
      <w:r>
        <w:rPr>
          <w:w w:val="95"/>
        </w:rPr>
        <w:t>受益人的指定和变更</w:t>
      </w:r>
    </w:p>
    <w:p>
      <w:pPr>
        <w:pStyle w:val="BodyText"/>
        <w:spacing w:before="9"/>
        <w:rPr>
          <w:b/>
          <w:sz w:val="25"/>
        </w:rPr>
      </w:pPr>
    </w:p>
    <w:p>
      <w:pPr>
        <w:pStyle w:val="BodyText"/>
        <w:spacing w:line="273" w:lineRule="auto" w:before="1"/>
        <w:ind w:left="112" w:right="211" w:firstLine="424"/>
        <w:jc w:val="both"/>
      </w:pPr>
      <w:r>
        <w:rPr/>
        <w:t>除有特殊约定,本附加合同“重大疾病保险金”的受益人为被保险人本人。若被保险人身故，本附加合同受益人同主合同受益人。</w:t>
      </w:r>
    </w:p>
    <w:p>
      <w:pPr>
        <w:pStyle w:val="BodyText"/>
        <w:spacing w:before="5"/>
        <w:rPr>
          <w:sz w:val="19"/>
        </w:rPr>
      </w:pPr>
    </w:p>
    <w:p>
      <w:pPr>
        <w:pStyle w:val="Heading2"/>
        <w:tabs>
          <w:tab w:pos="1682" w:val="left" w:leader="none"/>
        </w:tabs>
      </w:pPr>
      <w:r>
        <w:rPr/>
        <w:t>第十二条</w:t>
        <w:tab/>
      </w:r>
      <w:r>
        <w:rPr>
          <w:w w:val="95"/>
        </w:rPr>
        <w:t>保险事故的通知</w:t>
      </w:r>
    </w:p>
    <w:p>
      <w:pPr>
        <w:pStyle w:val="BodyText"/>
        <w:spacing w:before="4"/>
        <w:rPr>
          <w:b/>
          <w:sz w:val="24"/>
        </w:rPr>
      </w:pPr>
    </w:p>
    <w:p>
      <w:pPr>
        <w:pStyle w:val="Heading3"/>
        <w:spacing w:line="237" w:lineRule="auto"/>
        <w:ind w:left="112" w:right="205" w:firstLine="420"/>
        <w:jc w:val="both"/>
      </w:pPr>
      <w:r>
        <w:rPr>
          <w:spacing w:val="-3"/>
        </w:rPr>
        <w:t>您、被保险人或受益人应于知道保险事故发</w:t>
      </w:r>
      <w:r>
        <w:rPr/>
        <w:t>Th</w:t>
      </w:r>
      <w:r>
        <w:rPr>
          <w:spacing w:val="-5"/>
        </w:rPr>
        <w:t>之日起 </w:t>
      </w:r>
      <w:r>
        <w:rPr/>
        <w:t>10</w:t>
      </w:r>
      <w:r>
        <w:rPr>
          <w:spacing w:val="-4"/>
        </w:rPr>
        <w:t> 日内通知我们。如果您、被保险人或受益人</w:t>
      </w:r>
      <w:r>
        <w:rPr>
          <w:spacing w:val="-7"/>
        </w:rPr>
        <w:t>故意或者因重大过失未及时通知，致使保险事故的性质、原因、损失程度等难以确定的，我们对无法确定</w:t>
      </w:r>
      <w:r>
        <w:rPr>
          <w:spacing w:val="-8"/>
        </w:rPr>
        <w:t>的部分，不承担给付保险金的责任，但我们通过其他途径已经及时知道或者应当及时知道保险事故发</w:t>
      </w:r>
      <w:r>
        <w:rPr/>
        <w:t>Th或</w:t>
      </w:r>
      <w:r>
        <w:rPr>
          <w:spacing w:val="-3"/>
        </w:rPr>
        <w:t>者虽未及时通知但不影响我们确定保险事故的性质、原因、损失程度的除外。</w:t>
      </w:r>
    </w:p>
    <w:p>
      <w:pPr>
        <w:pStyle w:val="BodyText"/>
        <w:spacing w:before="5"/>
        <w:rPr>
          <w:rFonts w:ascii="黑体"/>
          <w:b/>
          <w:sz w:val="25"/>
        </w:rPr>
      </w:pPr>
    </w:p>
    <w:p>
      <w:pPr>
        <w:tabs>
          <w:tab w:pos="1682" w:val="left" w:leader="none"/>
        </w:tabs>
        <w:spacing w:before="0"/>
        <w:ind w:left="112" w:right="0" w:firstLine="0"/>
        <w:jc w:val="left"/>
        <w:rPr>
          <w:b/>
          <w:sz w:val="24"/>
        </w:rPr>
      </w:pPr>
      <w:r>
        <w:rPr>
          <w:b/>
          <w:sz w:val="24"/>
        </w:rPr>
        <w:t>第十三条</w:t>
        <w:tab/>
      </w:r>
      <w:r>
        <w:rPr>
          <w:b/>
          <w:w w:val="95"/>
          <w:sz w:val="24"/>
        </w:rPr>
        <w:t>保险金的申请</w:t>
      </w:r>
    </w:p>
    <w:p>
      <w:pPr>
        <w:pStyle w:val="BodyText"/>
        <w:rPr>
          <w:b/>
          <w:sz w:val="28"/>
        </w:rPr>
      </w:pPr>
    </w:p>
    <w:p>
      <w:pPr>
        <w:pStyle w:val="BodyText"/>
        <w:spacing w:line="237" w:lineRule="auto"/>
        <w:ind w:left="1358" w:right="209" w:hanging="826"/>
        <w:jc w:val="both"/>
      </w:pPr>
      <w:r>
        <w:rPr>
          <w:spacing w:val="-4"/>
        </w:rPr>
        <w:t>一、   在本附加合同有效期内被保险人首次被诊断为患有本附加合同所指定的重大疾病的，由受益人</w:t>
      </w:r>
      <w:r>
        <w:rPr/>
        <w:t>（</w:t>
      </w:r>
      <w:r>
        <w:rPr>
          <w:spacing w:val="-3"/>
        </w:rPr>
        <w:t>或受益人的委托代理人或法定代理人）作为申请人填写保险金给付申请书，并凭下列证明、资料原件向我们申请给付保险金：</w:t>
      </w:r>
    </w:p>
    <w:p>
      <w:pPr>
        <w:pStyle w:val="BodyText"/>
        <w:spacing w:before="10"/>
        <w:rPr>
          <w:sz w:val="20"/>
        </w:rPr>
      </w:pPr>
    </w:p>
    <w:p>
      <w:pPr>
        <w:pStyle w:val="ListParagraph"/>
        <w:numPr>
          <w:ilvl w:val="1"/>
          <w:numId w:val="3"/>
        </w:numPr>
        <w:tabs>
          <w:tab w:pos="1812" w:val="left" w:leader="none"/>
          <w:tab w:pos="1813" w:val="left" w:leader="none"/>
        </w:tabs>
        <w:spacing w:line="274" w:lineRule="exact" w:before="0" w:after="0"/>
        <w:ind w:left="1822" w:right="0" w:hanging="517"/>
        <w:jc w:val="left"/>
        <w:rPr>
          <w:sz w:val="21"/>
        </w:rPr>
      </w:pPr>
      <w:r>
        <w:rPr>
          <w:spacing w:val="-1"/>
          <w:sz w:val="21"/>
        </w:rPr>
        <w:t>保险合同；</w:t>
      </w:r>
    </w:p>
    <w:p>
      <w:pPr>
        <w:pStyle w:val="ListParagraph"/>
        <w:numPr>
          <w:ilvl w:val="1"/>
          <w:numId w:val="3"/>
        </w:numPr>
        <w:tabs>
          <w:tab w:pos="1812" w:val="left" w:leader="none"/>
          <w:tab w:pos="1813" w:val="left" w:leader="none"/>
        </w:tabs>
        <w:spacing w:line="272" w:lineRule="exact" w:before="0" w:after="0"/>
        <w:ind w:left="1822" w:right="0" w:hanging="517"/>
        <w:jc w:val="left"/>
        <w:rPr>
          <w:sz w:val="21"/>
        </w:rPr>
      </w:pPr>
      <w:r>
        <w:rPr>
          <w:spacing w:val="-3"/>
          <w:sz w:val="21"/>
        </w:rPr>
        <w:t>受益人的有效身份证件；</w:t>
      </w:r>
    </w:p>
    <w:p>
      <w:pPr>
        <w:pStyle w:val="ListParagraph"/>
        <w:numPr>
          <w:ilvl w:val="1"/>
          <w:numId w:val="3"/>
        </w:numPr>
        <w:tabs>
          <w:tab w:pos="1812" w:val="left" w:leader="none"/>
          <w:tab w:pos="1813" w:val="left" w:leader="none"/>
        </w:tabs>
        <w:spacing w:line="272" w:lineRule="exact" w:before="0" w:after="0"/>
        <w:ind w:left="1812" w:right="0" w:hanging="506"/>
        <w:jc w:val="left"/>
        <w:rPr>
          <w:sz w:val="21"/>
        </w:rPr>
      </w:pPr>
      <w:r>
        <w:rPr>
          <w:spacing w:val="-3"/>
          <w:sz w:val="21"/>
        </w:rPr>
        <w:t>受益人的委托代理人或法定代理人的有效身份证件及委托授权书或法定代理关系证明；</w:t>
      </w:r>
    </w:p>
    <w:p>
      <w:pPr>
        <w:pStyle w:val="ListParagraph"/>
        <w:numPr>
          <w:ilvl w:val="1"/>
          <w:numId w:val="3"/>
        </w:numPr>
        <w:tabs>
          <w:tab w:pos="1812" w:val="left" w:leader="none"/>
          <w:tab w:pos="1813" w:val="left" w:leader="none"/>
        </w:tabs>
        <w:spacing w:line="240" w:lineRule="auto" w:before="0" w:after="0"/>
        <w:ind w:left="1822" w:right="206" w:hanging="516"/>
        <w:jc w:val="left"/>
        <w:rPr>
          <w:sz w:val="21"/>
        </w:rPr>
      </w:pPr>
      <w:r>
        <w:rPr>
          <w:spacing w:val="-6"/>
          <w:sz w:val="21"/>
        </w:rPr>
        <w:t>专科医生或符合条件的医疗机构出具的病历、必要病理检验、血液检验及其他科学诊断</w:t>
      </w:r>
      <w:r>
        <w:rPr>
          <w:spacing w:val="-4"/>
          <w:sz w:val="21"/>
        </w:rPr>
        <w:t>报告、诊断书；</w:t>
      </w:r>
    </w:p>
    <w:p>
      <w:pPr>
        <w:pStyle w:val="ListParagraph"/>
        <w:numPr>
          <w:ilvl w:val="1"/>
          <w:numId w:val="3"/>
        </w:numPr>
        <w:tabs>
          <w:tab w:pos="1812" w:val="left" w:leader="none"/>
          <w:tab w:pos="1813" w:val="left" w:leader="none"/>
        </w:tabs>
        <w:spacing w:line="240" w:lineRule="auto" w:before="0" w:after="0"/>
        <w:ind w:left="1822" w:right="212" w:hanging="516"/>
        <w:jc w:val="left"/>
        <w:rPr>
          <w:sz w:val="21"/>
        </w:rPr>
      </w:pPr>
      <w:r>
        <w:rPr>
          <w:spacing w:val="-5"/>
          <w:sz w:val="21"/>
        </w:rPr>
        <w:t>受益人或其委托代理人或法定代理人所能提供的与确认保险事故的性质、原因、伤害程</w:t>
      </w:r>
      <w:r>
        <w:rPr>
          <w:spacing w:val="-4"/>
          <w:sz w:val="21"/>
        </w:rPr>
        <w:t>度等有关的其他证明、资料。</w:t>
      </w:r>
    </w:p>
    <w:p>
      <w:pPr>
        <w:pStyle w:val="BodyText"/>
        <w:tabs>
          <w:tab w:pos="1349" w:val="left" w:leader="none"/>
        </w:tabs>
        <w:spacing w:line="540" w:lineRule="atLeast" w:before="9"/>
        <w:ind w:left="533" w:right="838" w:hanging="1"/>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 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t>，</w:t>
      </w:r>
      <w:r>
        <w:rPr>
          <w:spacing w:val="-3"/>
        </w:rPr>
        <w:t>将</w:t>
      </w:r>
      <w:r>
        <w:rPr/>
        <w:t>在</w:t>
      </w:r>
      <w:r>
        <w:rPr>
          <w:spacing w:val="-32"/>
        </w:rPr>
        <w:t> </w:t>
      </w:r>
      <w:r>
        <w:rPr/>
        <w:t>5</w:t>
      </w:r>
      <w:r>
        <w:rPr>
          <w:spacing w:val="-35"/>
        </w:rPr>
        <w:t> </w:t>
      </w:r>
      <w:r>
        <w:rPr/>
        <w:t>日</w:t>
      </w:r>
      <w:r>
        <w:rPr>
          <w:spacing w:val="-3"/>
        </w:rPr>
        <w:t>内</w:t>
      </w:r>
      <w:r>
        <w:rPr/>
        <w:t>作</w:t>
      </w:r>
      <w:r>
        <w:rPr>
          <w:spacing w:val="-3"/>
        </w:rPr>
        <w:t>出</w:t>
      </w:r>
      <w:r>
        <w:rPr/>
        <w:t>核定</w:t>
      </w:r>
      <w:r>
        <w:rPr>
          <w:spacing w:val="-3"/>
        </w:rPr>
        <w:t>；</w:t>
      </w:r>
      <w:r>
        <w:rPr/>
        <w:t>情</w:t>
      </w:r>
    </w:p>
    <w:p>
      <w:pPr>
        <w:pStyle w:val="BodyText"/>
        <w:spacing w:line="273" w:lineRule="exact"/>
        <w:ind w:left="1374"/>
      </w:pPr>
      <w:r>
        <w:rPr>
          <w:spacing w:val="-8"/>
        </w:rPr>
        <w:t>形复杂的，在 </w:t>
      </w:r>
      <w:r>
        <w:rPr/>
        <w:t>30</w:t>
      </w:r>
      <w:r>
        <w:rPr>
          <w:spacing w:val="-8"/>
        </w:rPr>
        <w:t> 日内作出核定</w:t>
      </w:r>
      <w:r>
        <w:rPr/>
        <w:t>（</w:t>
      </w:r>
      <w:r>
        <w:rPr>
          <w:spacing w:val="-4"/>
        </w:rPr>
        <w:t>若需补充资料，以我们收到补充资料之日起算</w:t>
      </w:r>
      <w:r>
        <w:rPr>
          <w:spacing w:val="-108"/>
        </w:rPr>
        <w:t>）</w:t>
      </w:r>
      <w:r>
        <w:rPr>
          <w:spacing w:val="-3"/>
        </w:rPr>
        <w:t>。对属于保</w:t>
      </w:r>
    </w:p>
    <w:p>
      <w:pPr>
        <w:pStyle w:val="BodyText"/>
        <w:spacing w:line="480" w:lineRule="auto"/>
        <w:ind w:left="1387" w:right="588" w:hanging="14"/>
      </w:pPr>
      <w:r>
        <w:rPr>
          <w:spacing w:val="-5"/>
        </w:rPr>
        <w:t>险责任的，我们在与受益人达成给付保险金的协议后 </w:t>
      </w:r>
      <w:r>
        <w:rPr/>
        <w:t>10</w:t>
      </w:r>
      <w:r>
        <w:rPr>
          <w:spacing w:val="-8"/>
        </w:rPr>
        <w:t> 日内，履行给付保险金义务。</w:t>
      </w:r>
      <w:r>
        <w:rPr>
          <w:spacing w:val="-3"/>
        </w:rPr>
        <w:t>我们未及时履行前款规定义务的，除支付保险金外，应当赔偿受益人因此受到的损失。</w:t>
      </w:r>
    </w:p>
    <w:p>
      <w:pPr>
        <w:pStyle w:val="BodyText"/>
        <w:spacing w:before="62"/>
        <w:ind w:left="1387" w:right="207"/>
      </w:pPr>
      <w:r>
        <w:rPr>
          <w:spacing w:val="-9"/>
        </w:rPr>
        <w:t>对不属于保险责任的，我们自作出核定之日起 </w:t>
      </w:r>
      <w:r>
        <w:rPr/>
        <w:t>3</w:t>
      </w:r>
      <w:r>
        <w:rPr>
          <w:spacing w:val="-7"/>
        </w:rPr>
        <w:t> 日内向受益人发出拒绝给付保险金通知书并</w:t>
      </w:r>
      <w:r>
        <w:rPr>
          <w:spacing w:val="-4"/>
        </w:rPr>
        <w:t>说明理由。</w:t>
      </w:r>
    </w:p>
    <w:p>
      <w:pPr>
        <w:pStyle w:val="BodyText"/>
        <w:spacing w:before="7"/>
        <w:rPr>
          <w:sz w:val="20"/>
        </w:rPr>
      </w:pPr>
    </w:p>
    <w:p>
      <w:pPr>
        <w:pStyle w:val="BodyText"/>
        <w:spacing w:before="1"/>
        <w:ind w:left="1387" w:right="108"/>
      </w:pPr>
      <w:r>
        <w:rPr>
          <w:spacing w:val="-4"/>
        </w:rPr>
        <w:t>我们在收到保险金给付申请书及有关证明和资料之日起 </w:t>
      </w:r>
      <w:r>
        <w:rPr/>
        <w:t>60</w:t>
      </w:r>
      <w:r>
        <w:rPr>
          <w:spacing w:val="-3"/>
        </w:rPr>
        <w:t> 日内，对给付保险金的数额不能</w:t>
      </w:r>
      <w:r>
        <w:rPr>
          <w:spacing w:val="-14"/>
        </w:rPr>
        <w:t>确定的，根据已有证明和资料可以确定的数额先予支付；我们最终确定给付保险金的数额后， </w:t>
      </w:r>
      <w:r>
        <w:rPr>
          <w:spacing w:val="-3"/>
        </w:rPr>
        <w:t>将支付相应的差额。</w:t>
      </w:r>
    </w:p>
    <w:p>
      <w:pPr>
        <w:pStyle w:val="BodyText"/>
        <w:spacing w:before="11"/>
        <w:rPr>
          <w:sz w:val="20"/>
        </w:rPr>
      </w:pPr>
    </w:p>
    <w:p>
      <w:pPr>
        <w:pStyle w:val="BodyText"/>
        <w:tabs>
          <w:tab w:pos="1348" w:val="left" w:leader="none"/>
        </w:tabs>
        <w:ind w:left="532"/>
      </w:pPr>
      <w:r>
        <w:rPr/>
        <w:t>四、</w:t>
        <w:tab/>
        <w:t>受益</w:t>
      </w:r>
      <w:r>
        <w:rPr>
          <w:spacing w:val="-3"/>
        </w:rPr>
        <w:t>人未</w:t>
      </w:r>
      <w:r>
        <w:rPr/>
        <w:t>满</w:t>
      </w:r>
      <w:r>
        <w:rPr>
          <w:spacing w:val="-33"/>
        </w:rPr>
        <w:t> </w:t>
      </w:r>
      <w:r>
        <w:rPr/>
        <w:t>18</w:t>
      </w:r>
      <w:r>
        <w:rPr>
          <w:spacing w:val="-35"/>
        </w:rPr>
        <w:t> </w:t>
      </w:r>
      <w:r>
        <w:rPr/>
        <w:t>周</w:t>
      </w:r>
      <w:r>
        <w:rPr>
          <w:spacing w:val="-3"/>
        </w:rPr>
        <w:t>岁</w:t>
      </w:r>
      <w:r>
        <w:rPr/>
        <w:t>的</w:t>
      </w:r>
      <w:r>
        <w:rPr>
          <w:spacing w:val="-3"/>
        </w:rPr>
        <w:t>，由</w:t>
      </w:r>
      <w:r>
        <w:rPr/>
        <w:t>其父</w:t>
      </w:r>
      <w:r>
        <w:rPr>
          <w:spacing w:val="-3"/>
        </w:rPr>
        <w:t>母</w:t>
      </w:r>
      <w:r>
        <w:rPr/>
        <w:t>或</w:t>
      </w:r>
      <w:r>
        <w:rPr>
          <w:spacing w:val="-3"/>
        </w:rPr>
        <w:t>监</w:t>
      </w:r>
      <w:r>
        <w:rPr/>
        <w:t>护</w:t>
      </w:r>
      <w:r>
        <w:rPr>
          <w:spacing w:val="-3"/>
        </w:rPr>
        <w:t>人</w:t>
      </w:r>
      <w:r>
        <w:rPr/>
        <w:t>作</w:t>
      </w:r>
      <w:r>
        <w:rPr>
          <w:spacing w:val="-3"/>
        </w:rPr>
        <w:t>为</w:t>
      </w:r>
      <w:r>
        <w:rPr/>
        <w:t>申</w:t>
      </w:r>
      <w:r>
        <w:rPr>
          <w:spacing w:val="-3"/>
        </w:rPr>
        <w:t>请</w:t>
      </w:r>
      <w:r>
        <w:rPr/>
        <w:t>人向</w:t>
      </w:r>
      <w:r>
        <w:rPr>
          <w:spacing w:val="-3"/>
        </w:rPr>
        <w:t>我</w:t>
      </w:r>
      <w:r>
        <w:rPr/>
        <w:t>们</w:t>
      </w:r>
      <w:r>
        <w:rPr>
          <w:spacing w:val="-3"/>
        </w:rPr>
        <w:t>申</w:t>
      </w:r>
      <w:r>
        <w:rPr/>
        <w:t>请</w:t>
      </w:r>
      <w:r>
        <w:rPr>
          <w:spacing w:val="-3"/>
        </w:rPr>
        <w:t>给</w:t>
      </w:r>
      <w:r>
        <w:rPr/>
        <w:t>付</w:t>
      </w:r>
      <w:r>
        <w:rPr>
          <w:spacing w:val="-3"/>
        </w:rPr>
        <w:t>保</w:t>
      </w:r>
      <w:r>
        <w:rPr/>
        <w:t>险</w:t>
      </w:r>
      <w:r>
        <w:rPr>
          <w:spacing w:val="-3"/>
        </w:rPr>
        <w:t>金</w:t>
      </w:r>
      <w:r>
        <w:rPr/>
        <w:t>。</w:t>
      </w:r>
    </w:p>
    <w:p>
      <w:pPr>
        <w:pStyle w:val="BodyText"/>
        <w:spacing w:before="10"/>
        <w:rPr>
          <w:sz w:val="20"/>
        </w:rPr>
      </w:pPr>
    </w:p>
    <w:p>
      <w:pPr>
        <w:pStyle w:val="BodyText"/>
        <w:tabs>
          <w:tab w:pos="1349" w:val="left" w:leader="none"/>
        </w:tabs>
        <w:ind w:left="1373" w:right="838" w:hanging="841"/>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1"/>
        </w:rPr>
        <w:t> </w:t>
      </w:r>
      <w:r>
        <w:rPr/>
        <w:t>2</w:t>
      </w:r>
      <w:r>
        <w:rPr>
          <w:spacing w:val="-34"/>
        </w:rPr>
        <w:t> </w:t>
      </w:r>
      <w:r>
        <w:rPr/>
        <w:t>年，</w:t>
      </w:r>
      <w:r>
        <w:rPr>
          <w:spacing w:val="-3"/>
        </w:rPr>
        <w:t>自</w:t>
      </w:r>
      <w:r>
        <w:rPr/>
        <w:t>其</w:t>
      </w:r>
      <w:r>
        <w:rPr>
          <w:spacing w:val="-3"/>
        </w:rPr>
        <w:t>知</w:t>
      </w:r>
      <w:r>
        <w:rPr/>
        <w:t>道</w:t>
      </w:r>
      <w:r>
        <w:rPr>
          <w:spacing w:val="-3"/>
        </w:rPr>
        <w:t>或</w:t>
      </w:r>
      <w:r>
        <w:rPr/>
        <w:t>者</w:t>
      </w:r>
      <w:r>
        <w:rPr>
          <w:spacing w:val="-3"/>
        </w:rPr>
        <w:t>应</w:t>
      </w:r>
      <w:r>
        <w:rPr/>
        <w:t>当</w:t>
      </w:r>
      <w:r>
        <w:rPr>
          <w:spacing w:val="-3"/>
        </w:rPr>
        <w:t>知</w:t>
      </w:r>
      <w:r>
        <w:rPr/>
        <w:t>道保</w:t>
      </w:r>
      <w:r>
        <w:rPr>
          <w:spacing w:val="-3"/>
        </w:rPr>
        <w:t>险</w:t>
      </w:r>
      <w:r>
        <w:rPr/>
        <w:t>事故发</w:t>
      </w:r>
      <w:r>
        <w:rPr>
          <w:spacing w:val="-3"/>
        </w:rPr>
        <w:t>生</w:t>
      </w:r>
      <w:r>
        <w:rPr/>
        <w:t>之</w:t>
      </w:r>
      <w:r>
        <w:rPr>
          <w:spacing w:val="-3"/>
        </w:rPr>
        <w:t>日</w:t>
      </w:r>
      <w:r>
        <w:rPr/>
        <w:t>起</w:t>
      </w:r>
      <w:r>
        <w:rPr>
          <w:spacing w:val="-3"/>
        </w:rPr>
        <w:t>计</w:t>
      </w:r>
      <w:r>
        <w:rPr/>
        <w:t>算。</w:t>
      </w:r>
    </w:p>
    <w:p>
      <w:pPr>
        <w:pStyle w:val="BodyText"/>
        <w:spacing w:before="1"/>
        <w:rPr>
          <w:sz w:val="23"/>
        </w:rPr>
      </w:pPr>
    </w:p>
    <w:p>
      <w:pPr>
        <w:pStyle w:val="Heading2"/>
        <w:tabs>
          <w:tab w:pos="1682" w:val="left" w:leader="none"/>
        </w:tabs>
        <w:rPr>
          <w:rFonts w:ascii="黑体" w:eastAsia="黑体" w:hint="eastAsia"/>
        </w:rPr>
      </w:pPr>
      <w:r>
        <w:rPr>
          <w:rFonts w:ascii="黑体" w:eastAsia="黑体" w:hint="eastAsia"/>
        </w:rPr>
        <w:t>第十四条</w:t>
        <w:tab/>
      </w:r>
      <w:r>
        <w:rPr>
          <w:rFonts w:ascii="黑体" w:eastAsia="黑体" w:hint="eastAsia"/>
          <w:w w:val="95"/>
        </w:rPr>
        <w:t>如实告知</w:t>
      </w:r>
    </w:p>
    <w:p>
      <w:pPr>
        <w:pStyle w:val="BodyText"/>
        <w:spacing w:before="8"/>
        <w:rPr>
          <w:rFonts w:ascii="黑体"/>
          <w:b/>
          <w:sz w:val="29"/>
        </w:rPr>
      </w:pPr>
    </w:p>
    <w:p>
      <w:pPr>
        <w:pStyle w:val="Heading3"/>
        <w:ind w:left="532"/>
      </w:pPr>
      <w:r>
        <w:rPr/>
        <w:t>订立本附加合同时，我们应当向您说明本附加合同的内容。</w:t>
      </w:r>
    </w:p>
    <w:p>
      <w:pPr>
        <w:spacing w:after="0"/>
        <w:sectPr>
          <w:pgSz w:w="11910" w:h="16840"/>
          <w:pgMar w:header="0" w:footer="492" w:top="1580" w:bottom="760" w:left="1020" w:right="920"/>
        </w:sectPr>
      </w:pPr>
    </w:p>
    <w:p>
      <w:pPr>
        <w:pStyle w:val="BodyText"/>
        <w:spacing w:before="6"/>
        <w:rPr>
          <w:rFonts w:ascii="黑体"/>
          <w:b/>
          <w:sz w:val="18"/>
        </w:rPr>
      </w:pPr>
    </w:p>
    <w:p>
      <w:pPr>
        <w:spacing w:line="362" w:lineRule="auto" w:before="36"/>
        <w:ind w:left="112" w:right="107" w:firstLine="420"/>
        <w:jc w:val="both"/>
        <w:rPr>
          <w:rFonts w:ascii="黑体" w:eastAsia="黑体" w:hint="eastAsia"/>
          <w:b/>
          <w:sz w:val="21"/>
        </w:rPr>
      </w:pPr>
      <w:r>
        <w:rPr>
          <w:rFonts w:ascii="黑体" w:eastAsia="黑体" w:hint="eastAsia"/>
          <w:b/>
          <w:spacing w:val="-5"/>
          <w:sz w:val="21"/>
        </w:rPr>
        <w:t>对保险条款中免除我们责任的条款，我们在订立本附加合同时应当在投保单、保险单或者其他保险凭</w:t>
      </w:r>
      <w:r>
        <w:rPr>
          <w:rFonts w:ascii="黑体" w:eastAsia="黑体" w:hint="eastAsia"/>
          <w:b/>
          <w:spacing w:val="-7"/>
          <w:sz w:val="21"/>
        </w:rPr>
        <w:t>证上作出足以引起您注意的提示，并对该条款的内容以书面或者口头形式向您作出明确说明，未作提示或</w:t>
      </w:r>
      <w:r>
        <w:rPr>
          <w:rFonts w:ascii="黑体" w:eastAsia="黑体" w:hint="eastAsia"/>
          <w:b/>
          <w:spacing w:val="-3"/>
          <w:sz w:val="21"/>
        </w:rPr>
        <w:t>者明确说明的，该条款不产</w:t>
      </w:r>
      <w:r>
        <w:rPr>
          <w:rFonts w:ascii="黑体" w:eastAsia="黑体" w:hint="eastAsia"/>
          <w:b/>
          <w:sz w:val="21"/>
        </w:rPr>
        <w:t>Th</w:t>
      </w:r>
      <w:r>
        <w:rPr>
          <w:rFonts w:ascii="黑体" w:eastAsia="黑体" w:hint="eastAsia"/>
          <w:b/>
          <w:spacing w:val="-2"/>
          <w:sz w:val="21"/>
        </w:rPr>
        <w:t>效力。</w:t>
      </w:r>
    </w:p>
    <w:p>
      <w:pPr>
        <w:pStyle w:val="BodyText"/>
        <w:rPr>
          <w:rFonts w:ascii="黑体"/>
          <w:b/>
          <w:sz w:val="20"/>
        </w:rPr>
      </w:pPr>
    </w:p>
    <w:p>
      <w:pPr>
        <w:pStyle w:val="BodyText"/>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我们就您和被保险人的有关情况提出询问，您应当如实告知。</w:t>
      </w:r>
    </w:p>
    <w:p>
      <w:pPr>
        <w:pStyle w:val="BodyText"/>
        <w:rPr>
          <w:rFonts w:ascii="黑体"/>
          <w:b/>
          <w:sz w:val="20"/>
        </w:rPr>
      </w:pPr>
    </w:p>
    <w:p>
      <w:pPr>
        <w:pStyle w:val="BodyText"/>
        <w:spacing w:before="12"/>
        <w:rPr>
          <w:rFonts w:ascii="黑体"/>
          <w:b/>
          <w:sz w:val="22"/>
        </w:rPr>
      </w:pPr>
    </w:p>
    <w:p>
      <w:pPr>
        <w:spacing w:before="0"/>
        <w:ind w:left="532" w:right="0" w:firstLine="0"/>
        <w:jc w:val="left"/>
        <w:rPr>
          <w:rFonts w:ascii="黑体" w:eastAsia="黑体" w:hint="eastAsia"/>
          <w:b/>
          <w:sz w:val="21"/>
        </w:rPr>
      </w:pPr>
      <w:r>
        <w:rPr>
          <w:rFonts w:ascii="黑体" w:eastAsia="黑体" w:hint="eastAsia"/>
          <w:b/>
          <w:sz w:val="21"/>
        </w:rPr>
        <w:t>复效及申请变更时，您也应当如实告知您和被保险人的有关情况。</w:t>
      </w:r>
    </w:p>
    <w:p>
      <w:pPr>
        <w:pStyle w:val="BodyText"/>
        <w:rPr>
          <w:rFonts w:ascii="黑体"/>
          <w:b/>
          <w:sz w:val="20"/>
        </w:rPr>
      </w:pPr>
    </w:p>
    <w:p>
      <w:pPr>
        <w:pStyle w:val="BodyText"/>
        <w:spacing w:before="10"/>
        <w:rPr>
          <w:rFonts w:ascii="黑体"/>
          <w:b/>
          <w:sz w:val="22"/>
        </w:rPr>
      </w:pPr>
    </w:p>
    <w:p>
      <w:pPr>
        <w:spacing w:line="362" w:lineRule="auto" w:before="0"/>
        <w:ind w:left="112" w:right="104" w:firstLine="420"/>
        <w:jc w:val="left"/>
        <w:rPr>
          <w:rFonts w:ascii="黑体" w:eastAsia="黑体" w:hint="eastAsia"/>
          <w:b/>
          <w:sz w:val="21"/>
        </w:rPr>
      </w:pPr>
      <w:r>
        <w:rPr>
          <w:rFonts w:ascii="黑体" w:eastAsia="黑体" w:hint="eastAsia"/>
          <w:b/>
          <w:spacing w:val="-5"/>
          <w:sz w:val="21"/>
        </w:rPr>
        <w:t>如果您故意或者因重大过失未履行前款规定的如实告知义务，足以影响我们决定是否同意承保或者提</w:t>
      </w:r>
      <w:r>
        <w:rPr>
          <w:rFonts w:ascii="黑体" w:eastAsia="黑体" w:hint="eastAsia"/>
          <w:b/>
          <w:spacing w:val="-4"/>
          <w:sz w:val="21"/>
        </w:rPr>
        <w:t>高保险费率的，我们有权解除本附加合同。</w:t>
      </w:r>
    </w:p>
    <w:p>
      <w:pPr>
        <w:pStyle w:val="BodyText"/>
        <w:rPr>
          <w:rFonts w:ascii="黑体"/>
          <w:b/>
          <w:sz w:val="20"/>
        </w:rPr>
      </w:pPr>
    </w:p>
    <w:p>
      <w:pPr>
        <w:pStyle w:val="BodyText"/>
        <w:rPr>
          <w:rFonts w:ascii="黑体"/>
          <w:b/>
          <w:sz w:val="14"/>
        </w:rPr>
      </w:pPr>
    </w:p>
    <w:p>
      <w:pPr>
        <w:spacing w:line="362" w:lineRule="auto" w:before="0"/>
        <w:ind w:left="112" w:right="107" w:firstLine="420"/>
        <w:jc w:val="left"/>
        <w:rPr>
          <w:rFonts w:ascii="黑体" w:eastAsia="黑体" w:hint="eastAsia"/>
          <w:b/>
          <w:sz w:val="21"/>
        </w:rPr>
      </w:pPr>
      <w:r>
        <w:rPr>
          <w:rFonts w:ascii="黑体" w:eastAsia="黑体" w:hint="eastAsia"/>
          <w:b/>
          <w:spacing w:val="-5"/>
          <w:sz w:val="21"/>
        </w:rPr>
        <w:t>如果您故意不履行如实告知义务，对于本附加合同解除前发</w:t>
      </w:r>
      <w:r>
        <w:rPr>
          <w:rFonts w:ascii="黑体" w:eastAsia="黑体" w:hint="eastAsia"/>
          <w:b/>
          <w:sz w:val="21"/>
        </w:rPr>
        <w:t>Th</w:t>
      </w:r>
      <w:r>
        <w:rPr>
          <w:rFonts w:ascii="黑体" w:eastAsia="黑体" w:hint="eastAsia"/>
          <w:b/>
          <w:spacing w:val="-6"/>
          <w:sz w:val="21"/>
        </w:rPr>
        <w:t>的保险事故，我们不承担给付保险金的</w:t>
      </w:r>
      <w:r>
        <w:rPr>
          <w:rFonts w:ascii="黑体" w:eastAsia="黑体" w:hint="eastAsia"/>
          <w:b/>
          <w:spacing w:val="-4"/>
          <w:sz w:val="21"/>
        </w:rPr>
        <w:t>责任，并不退还保险费。</w:t>
      </w:r>
    </w:p>
    <w:p>
      <w:pPr>
        <w:pStyle w:val="BodyText"/>
        <w:rPr>
          <w:rFonts w:ascii="黑体"/>
          <w:b/>
          <w:sz w:val="20"/>
        </w:rPr>
      </w:pPr>
    </w:p>
    <w:p>
      <w:pPr>
        <w:pStyle w:val="BodyText"/>
        <w:spacing w:before="2"/>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如果您因重大过失未履行如实告知义务，对保险事故的发Th有严重影响的，对于本附加合同解除前发</w:t>
      </w:r>
    </w:p>
    <w:p>
      <w:pPr>
        <w:spacing w:before="139"/>
        <w:ind w:left="112" w:right="0" w:firstLine="0"/>
        <w:jc w:val="left"/>
        <w:rPr>
          <w:rFonts w:ascii="黑体" w:eastAsia="黑体" w:hint="eastAsia"/>
          <w:b/>
          <w:sz w:val="21"/>
        </w:rPr>
      </w:pPr>
      <w:r>
        <w:rPr>
          <w:rFonts w:ascii="黑体" w:eastAsia="黑体" w:hint="eastAsia"/>
          <w:b/>
          <w:sz w:val="21"/>
        </w:rPr>
        <w:t>Th的保险事故，我们不承担给付保险金的责任，但应当退还保险费。</w:t>
      </w:r>
    </w:p>
    <w:p>
      <w:pPr>
        <w:pStyle w:val="BodyText"/>
        <w:rPr>
          <w:rFonts w:ascii="黑体"/>
          <w:b/>
          <w:sz w:val="20"/>
        </w:rPr>
      </w:pPr>
    </w:p>
    <w:p>
      <w:pPr>
        <w:pStyle w:val="BodyText"/>
        <w:spacing w:before="2"/>
        <w:rPr>
          <w:rFonts w:ascii="黑体"/>
          <w:b/>
          <w:sz w:val="22"/>
        </w:rPr>
      </w:pPr>
    </w:p>
    <w:p>
      <w:pPr>
        <w:spacing w:line="362" w:lineRule="auto" w:before="1"/>
        <w:ind w:left="112" w:right="58" w:firstLine="420"/>
        <w:jc w:val="left"/>
        <w:rPr>
          <w:rFonts w:ascii="黑体" w:eastAsia="黑体" w:hint="eastAsia"/>
          <w:b/>
          <w:sz w:val="21"/>
        </w:rPr>
      </w:pPr>
      <w:r>
        <w:rPr>
          <w:rFonts w:ascii="黑体" w:eastAsia="黑体" w:hint="eastAsia"/>
          <w:b/>
          <w:sz w:val="21"/>
        </w:rPr>
        <w:t>我们在订立本附加合同时已经知道您未如实告知的情况的，我们不得解除本附加合同；发Th保险事故的，我们承担给付保险金的责任。</w:t>
      </w:r>
    </w:p>
    <w:p>
      <w:pPr>
        <w:pStyle w:val="BodyText"/>
        <w:spacing w:before="7"/>
        <w:rPr>
          <w:rFonts w:ascii="黑体"/>
          <w:b/>
          <w:sz w:val="22"/>
        </w:rPr>
      </w:pPr>
    </w:p>
    <w:p>
      <w:pPr>
        <w:tabs>
          <w:tab w:pos="1682" w:val="left" w:leader="none"/>
        </w:tabs>
        <w:spacing w:before="1"/>
        <w:ind w:left="112" w:right="0" w:firstLine="0"/>
        <w:jc w:val="left"/>
        <w:rPr>
          <w:b/>
          <w:sz w:val="24"/>
        </w:rPr>
      </w:pPr>
      <w:r>
        <w:rPr>
          <w:b/>
          <w:sz w:val="24"/>
        </w:rPr>
        <w:t>第十五条</w:t>
        <w:tab/>
      </w:r>
      <w:r>
        <w:rPr>
          <w:b/>
          <w:w w:val="95"/>
          <w:sz w:val="24"/>
        </w:rPr>
        <w:t>合同解除权的限制</w:t>
      </w:r>
    </w:p>
    <w:p>
      <w:pPr>
        <w:pStyle w:val="BodyText"/>
        <w:spacing w:before="2"/>
        <w:rPr>
          <w:b/>
          <w:sz w:val="24"/>
        </w:rPr>
      </w:pPr>
    </w:p>
    <w:p>
      <w:pPr>
        <w:pStyle w:val="BodyText"/>
        <w:ind w:left="532"/>
      </w:pPr>
      <w:r>
        <w:rPr/>
        <w:t>前条规定的合同解除权，自我们知道有解除事由之日起，超过 30 日不行使而消灭。</w:t>
      </w:r>
    </w:p>
    <w:p>
      <w:pPr>
        <w:pStyle w:val="BodyText"/>
        <w:rPr>
          <w:sz w:val="20"/>
        </w:rPr>
      </w:pPr>
    </w:p>
    <w:p>
      <w:pPr>
        <w:pStyle w:val="BodyText"/>
        <w:spacing w:before="1"/>
        <w:rPr>
          <w:sz w:val="27"/>
        </w:rPr>
      </w:pPr>
    </w:p>
    <w:p>
      <w:pPr>
        <w:pStyle w:val="Heading2"/>
        <w:tabs>
          <w:tab w:pos="1682" w:val="left" w:leader="none"/>
        </w:tabs>
      </w:pPr>
      <w:r>
        <w:rPr/>
        <w:t>第十六条</w:t>
        <w:tab/>
      </w:r>
      <w:r>
        <w:rPr>
          <w:w w:val="95"/>
        </w:rPr>
        <w:t>年龄及性别的确定与错误处理</w:t>
      </w:r>
    </w:p>
    <w:p>
      <w:pPr>
        <w:pStyle w:val="BodyText"/>
        <w:rPr>
          <w:b/>
          <w:sz w:val="30"/>
        </w:rPr>
      </w:pPr>
    </w:p>
    <w:p>
      <w:pPr>
        <w:pStyle w:val="BodyText"/>
        <w:tabs>
          <w:tab w:pos="1451" w:val="left" w:leader="none"/>
        </w:tabs>
        <w:ind w:left="652"/>
      </w:pPr>
      <w:r>
        <w:rPr/>
        <w:t>一、</w:t>
        <w:tab/>
        <w:t>被保</w:t>
      </w:r>
      <w:r>
        <w:rPr>
          <w:spacing w:val="-3"/>
        </w:rPr>
        <w:t>险</w:t>
      </w:r>
      <w:r>
        <w:rPr/>
        <w:t>人</w:t>
      </w:r>
      <w:r>
        <w:rPr>
          <w:spacing w:val="-3"/>
        </w:rPr>
        <w:t>的</w:t>
      </w:r>
      <w:r>
        <w:rPr/>
        <w:t>年</w:t>
      </w:r>
      <w:r>
        <w:rPr>
          <w:spacing w:val="-3"/>
        </w:rPr>
        <w:t>龄</w:t>
      </w:r>
      <w:r>
        <w:rPr/>
        <w:t>以</w:t>
      </w:r>
      <w:r>
        <w:rPr>
          <w:spacing w:val="-3"/>
        </w:rPr>
        <w:t>周</w:t>
      </w:r>
      <w:r>
        <w:rPr/>
        <w:t>岁</w:t>
      </w:r>
      <w:r>
        <w:rPr>
          <w:spacing w:val="-3"/>
        </w:rPr>
        <w:t>计</w:t>
      </w:r>
      <w:r>
        <w:rPr/>
        <w:t>算。</w:t>
      </w:r>
    </w:p>
    <w:p>
      <w:pPr>
        <w:pStyle w:val="BodyText"/>
        <w:rPr>
          <w:sz w:val="20"/>
        </w:rPr>
      </w:pPr>
    </w:p>
    <w:p>
      <w:pPr>
        <w:pStyle w:val="BodyText"/>
        <w:spacing w:before="4"/>
        <w:rPr>
          <w:sz w:val="23"/>
        </w:rPr>
      </w:pPr>
    </w:p>
    <w:p>
      <w:pPr>
        <w:pStyle w:val="BodyText"/>
        <w:tabs>
          <w:tab w:pos="1451" w:val="left" w:leader="none"/>
        </w:tabs>
        <w:spacing w:before="1"/>
        <w:ind w:left="652"/>
      </w:pPr>
      <w:r>
        <w:rPr/>
        <w:t>二、</w:t>
        <w:tab/>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年</w:t>
      </w:r>
      <w:r>
        <w:rPr>
          <w:spacing w:val="-3"/>
        </w:rPr>
        <w:t>龄</w:t>
      </w:r>
      <w:r>
        <w:rPr/>
        <w:t>及</w:t>
      </w:r>
      <w:r>
        <w:rPr>
          <w:spacing w:val="-3"/>
        </w:rPr>
        <w:t>性</w:t>
      </w:r>
      <w:r>
        <w:rPr/>
        <w:t>别</w:t>
      </w:r>
      <w:r>
        <w:rPr>
          <w:spacing w:val="-3"/>
        </w:rPr>
        <w:t>在</w:t>
      </w:r>
      <w:r>
        <w:rPr/>
        <w:t>投</w:t>
      </w:r>
      <w:r>
        <w:rPr>
          <w:spacing w:val="-3"/>
        </w:rPr>
        <w:t>保</w:t>
      </w:r>
      <w:r>
        <w:rPr/>
        <w:t>单上</w:t>
      </w:r>
      <w:r>
        <w:rPr>
          <w:spacing w:val="-3"/>
        </w:rPr>
        <w:t>写</w:t>
      </w:r>
      <w:r>
        <w:rPr/>
        <w:t>明。</w:t>
      </w:r>
    </w:p>
    <w:p>
      <w:pPr>
        <w:pStyle w:val="BodyText"/>
        <w:rPr>
          <w:sz w:val="20"/>
        </w:rPr>
      </w:pPr>
    </w:p>
    <w:p>
      <w:pPr>
        <w:pStyle w:val="BodyText"/>
        <w:spacing w:before="5"/>
        <w:rPr>
          <w:sz w:val="23"/>
        </w:rPr>
      </w:pPr>
    </w:p>
    <w:p>
      <w:pPr>
        <w:pStyle w:val="BodyText"/>
        <w:spacing w:line="367" w:lineRule="auto"/>
        <w:ind w:left="1492" w:right="107" w:hanging="840"/>
        <w:jc w:val="both"/>
      </w:pPr>
      <w:r>
        <w:rPr>
          <w:spacing w:val="-8"/>
        </w:rPr>
        <w:t>三、 如果您申报的被保险人年龄不真实，并且其真实年龄不符合我们规定的投保年龄限制的，我</w:t>
      </w:r>
      <w:r>
        <w:rPr>
          <w:spacing w:val="1"/>
          <w:w w:val="100"/>
        </w:rPr>
        <w:t>们</w:t>
      </w:r>
      <w:r>
        <w:rPr>
          <w:w w:val="100"/>
        </w:rPr>
        <w:t>可以解除合同，并退还扣除手续费</w:t>
      </w:r>
      <w:r>
        <w:rPr>
          <w:spacing w:val="1"/>
          <w:w w:val="100"/>
          <w:position w:val="11"/>
          <w:sz w:val="11"/>
        </w:rPr>
        <w:t>（</w:t>
      </w:r>
      <w:r>
        <w:rPr>
          <w:w w:val="100"/>
          <w:position w:val="11"/>
          <w:sz w:val="11"/>
        </w:rPr>
        <w:t>1</w:t>
      </w:r>
      <w:r>
        <w:rPr>
          <w:spacing w:val="1"/>
          <w:w w:val="100"/>
          <w:position w:val="11"/>
          <w:sz w:val="11"/>
        </w:rPr>
        <w:t>4</w:t>
      </w:r>
      <w:r>
        <w:rPr>
          <w:spacing w:val="-1"/>
          <w:w w:val="100"/>
          <w:position w:val="11"/>
          <w:sz w:val="11"/>
        </w:rPr>
        <w:t>）</w:t>
      </w:r>
      <w:r>
        <w:rPr>
          <w:w w:val="100"/>
        </w:rPr>
        <w:t>后的未满期保险费</w:t>
      </w:r>
      <w:r>
        <w:rPr>
          <w:spacing w:val="1"/>
          <w:w w:val="100"/>
          <w:position w:val="11"/>
          <w:sz w:val="11"/>
        </w:rPr>
        <w:t>（</w:t>
      </w:r>
      <w:r>
        <w:rPr>
          <w:spacing w:val="-3"/>
          <w:w w:val="100"/>
          <w:position w:val="11"/>
          <w:sz w:val="11"/>
        </w:rPr>
        <w:t>1</w:t>
      </w:r>
      <w:r>
        <w:rPr>
          <w:spacing w:val="1"/>
          <w:w w:val="100"/>
          <w:position w:val="11"/>
          <w:sz w:val="11"/>
        </w:rPr>
        <w:t>5</w:t>
      </w:r>
      <w:r>
        <w:rPr>
          <w:spacing w:val="-53"/>
          <w:w w:val="100"/>
          <w:position w:val="11"/>
          <w:sz w:val="11"/>
        </w:rPr>
        <w:t>）</w:t>
      </w:r>
      <w:r>
        <w:rPr>
          <w:w w:val="100"/>
        </w:rPr>
        <w:t>。我们行使合同解除权时，</w:t>
      </w:r>
      <w:r>
        <w:rPr/>
        <w:t>适</w:t>
      </w:r>
      <w:r>
        <w:rPr>
          <w:spacing w:val="-3"/>
        </w:rPr>
        <w:t>用于本附加合同第十五条的规定。</w:t>
      </w:r>
    </w:p>
    <w:p>
      <w:pPr>
        <w:pStyle w:val="BodyText"/>
        <w:rPr>
          <w:sz w:val="20"/>
        </w:rPr>
      </w:pPr>
    </w:p>
    <w:p>
      <w:pPr>
        <w:pStyle w:val="BodyText"/>
        <w:spacing w:before="11"/>
        <w:rPr>
          <w:sz w:val="14"/>
        </w:rPr>
      </w:pPr>
    </w:p>
    <w:p>
      <w:pPr>
        <w:pStyle w:val="Heading3"/>
        <w:tabs>
          <w:tab w:pos="1451" w:val="left" w:leader="none"/>
        </w:tabs>
        <w:ind w:left="652"/>
      </w:pPr>
      <w:r>
        <w:rPr/>
        <w:t>四、</w:t>
        <w:tab/>
        <w:t>如果您申报的被保险人年龄或性别不真实，我们可以根据其真实年龄或性别按照下列规定</w:t>
      </w:r>
    </w:p>
    <w:p>
      <w:pPr>
        <w:spacing w:after="0"/>
        <w:sectPr>
          <w:pgSz w:w="11910" w:h="16840"/>
          <w:pgMar w:header="0" w:footer="492" w:top="1580" w:bottom="760" w:left="1020" w:right="1020"/>
        </w:sectPr>
      </w:pPr>
    </w:p>
    <w:p>
      <w:pPr>
        <w:spacing w:before="22"/>
        <w:ind w:left="652" w:right="0" w:firstLine="0"/>
        <w:jc w:val="left"/>
        <w:rPr>
          <w:rFonts w:ascii="黑体" w:eastAsia="黑体" w:hint="eastAsia"/>
          <w:b/>
          <w:sz w:val="21"/>
        </w:rPr>
      </w:pPr>
      <w:r>
        <w:rPr>
          <w:rFonts w:ascii="黑体" w:eastAsia="黑体" w:hint="eastAsia"/>
          <w:b/>
          <w:sz w:val="21"/>
        </w:rPr>
        <w:t>进行调整：</w:t>
      </w:r>
    </w:p>
    <w:p>
      <w:pPr>
        <w:pStyle w:val="BodyText"/>
        <w:rPr>
          <w:rFonts w:ascii="黑体"/>
          <w:b/>
          <w:sz w:val="20"/>
        </w:rPr>
      </w:pPr>
    </w:p>
    <w:p>
      <w:pPr>
        <w:pStyle w:val="BodyText"/>
        <w:spacing w:before="4"/>
        <w:rPr>
          <w:rFonts w:ascii="黑体"/>
          <w:b/>
          <w:sz w:val="23"/>
        </w:rPr>
      </w:pPr>
    </w:p>
    <w:p>
      <w:pPr>
        <w:spacing w:line="367" w:lineRule="auto" w:before="0"/>
        <w:ind w:left="1447" w:right="107" w:hanging="612"/>
        <w:jc w:val="both"/>
        <w:rPr>
          <w:rFonts w:ascii="黑体" w:eastAsia="黑体" w:hint="eastAsia"/>
          <w:b/>
          <w:sz w:val="21"/>
        </w:rPr>
      </w:pPr>
      <w:r>
        <w:rPr>
          <w:rFonts w:ascii="黑体" w:eastAsia="黑体" w:hint="eastAsia"/>
          <w:b/>
          <w:spacing w:val="-6"/>
          <w:sz w:val="21"/>
        </w:rPr>
        <w:t>(一) 您申报的被保险人年龄或性别不真实，致使实交保险费少于应交保险费的，我们有权更正并</w:t>
      </w:r>
      <w:r>
        <w:rPr>
          <w:rFonts w:ascii="黑体" w:eastAsia="黑体" w:hint="eastAsia"/>
          <w:b/>
          <w:spacing w:val="-9"/>
          <w:sz w:val="21"/>
        </w:rPr>
        <w:t>要求您补交保险费。若已发</w:t>
      </w:r>
      <w:r>
        <w:rPr>
          <w:rFonts w:ascii="黑体" w:eastAsia="黑体" w:hint="eastAsia"/>
          <w:b/>
          <w:sz w:val="21"/>
        </w:rPr>
        <w:t>Th</w:t>
      </w:r>
      <w:r>
        <w:rPr>
          <w:rFonts w:ascii="黑体" w:eastAsia="黑体" w:hint="eastAsia"/>
          <w:b/>
          <w:spacing w:val="-9"/>
          <w:sz w:val="21"/>
        </w:rPr>
        <w:t>保险事故，我们有权按其原收保险费与应收保险费的比例计算</w:t>
      </w:r>
      <w:r>
        <w:rPr>
          <w:rFonts w:ascii="黑体" w:eastAsia="黑体" w:hint="eastAsia"/>
          <w:b/>
          <w:spacing w:val="-5"/>
          <w:sz w:val="21"/>
        </w:rPr>
        <w:t>并给付保险金。</w:t>
      </w:r>
    </w:p>
    <w:p>
      <w:pPr>
        <w:pStyle w:val="BodyText"/>
        <w:rPr>
          <w:rFonts w:ascii="黑体"/>
          <w:b/>
          <w:sz w:val="20"/>
        </w:rPr>
      </w:pPr>
    </w:p>
    <w:p>
      <w:pPr>
        <w:pStyle w:val="BodyText"/>
        <w:spacing w:before="11"/>
        <w:rPr>
          <w:rFonts w:ascii="黑体"/>
          <w:b/>
          <w:sz w:val="14"/>
        </w:rPr>
      </w:pPr>
    </w:p>
    <w:p>
      <w:pPr>
        <w:spacing w:line="367" w:lineRule="auto" w:before="0"/>
        <w:ind w:left="1447" w:right="108" w:hanging="612"/>
        <w:jc w:val="both"/>
        <w:rPr>
          <w:rFonts w:ascii="黑体" w:eastAsia="黑体" w:hint="eastAsia"/>
          <w:b/>
          <w:sz w:val="21"/>
        </w:rPr>
      </w:pPr>
      <w:r>
        <w:rPr>
          <w:rFonts w:ascii="黑体" w:eastAsia="黑体" w:hint="eastAsia"/>
          <w:b/>
          <w:spacing w:val="-6"/>
          <w:sz w:val="21"/>
        </w:rPr>
        <w:t>(二) 您申报的被保险人年龄或性别不真实，致使实交保险费多于应交保险费的，我们将多收的保</w:t>
      </w:r>
      <w:r>
        <w:rPr>
          <w:rFonts w:ascii="黑体" w:eastAsia="黑体" w:hint="eastAsia"/>
          <w:b/>
          <w:spacing w:val="-4"/>
          <w:sz w:val="21"/>
        </w:rPr>
        <w:t>险费无息退还给您。</w:t>
      </w:r>
    </w:p>
    <w:p>
      <w:pPr>
        <w:pStyle w:val="BodyText"/>
        <w:spacing w:before="3"/>
        <w:rPr>
          <w:rFonts w:ascii="黑体"/>
          <w:b/>
          <w:sz w:val="20"/>
        </w:rPr>
      </w:pPr>
    </w:p>
    <w:p>
      <w:pPr>
        <w:tabs>
          <w:tab w:pos="1682" w:val="left" w:leader="none"/>
        </w:tabs>
        <w:spacing w:before="0"/>
        <w:ind w:left="112" w:right="0" w:firstLine="0"/>
        <w:jc w:val="left"/>
        <w:rPr>
          <w:b/>
          <w:sz w:val="24"/>
        </w:rPr>
      </w:pPr>
      <w:r>
        <w:rPr>
          <w:b/>
          <w:sz w:val="24"/>
        </w:rPr>
        <w:t>第十七条</w:t>
        <w:tab/>
      </w:r>
      <w:r>
        <w:rPr>
          <w:b/>
          <w:w w:val="95"/>
          <w:sz w:val="24"/>
        </w:rPr>
        <w:t>合同内容的变更</w:t>
      </w:r>
    </w:p>
    <w:p>
      <w:pPr>
        <w:pStyle w:val="BodyText"/>
        <w:spacing w:before="10"/>
        <w:rPr>
          <w:b/>
          <w:sz w:val="25"/>
        </w:rPr>
      </w:pPr>
    </w:p>
    <w:p>
      <w:pPr>
        <w:pStyle w:val="BodyText"/>
        <w:spacing w:line="273" w:lineRule="auto"/>
        <w:ind w:left="112" w:right="106" w:firstLine="420"/>
        <w:jc w:val="both"/>
      </w:pPr>
      <w:r>
        <w:rPr>
          <w:spacing w:val="-6"/>
        </w:rPr>
        <w:t>在本附加合同有效期内，您可申请变更本附加合同的有关内容，经我们审核同意后，应当由我们在原</w:t>
      </w:r>
      <w:r>
        <w:rPr>
          <w:spacing w:val="-4"/>
        </w:rPr>
        <w:t>保险合同或者其他保险凭证上批注或者附贴批单，或者由您和我们订立变更合同内容的书面协议。</w:t>
      </w:r>
    </w:p>
    <w:p>
      <w:pPr>
        <w:pStyle w:val="BodyText"/>
        <w:spacing w:before="3"/>
        <w:rPr>
          <w:sz w:val="22"/>
        </w:rPr>
      </w:pPr>
    </w:p>
    <w:p>
      <w:pPr>
        <w:pStyle w:val="Heading2"/>
        <w:tabs>
          <w:tab w:pos="1682" w:val="left" w:leader="none"/>
        </w:tabs>
        <w:spacing w:before="1"/>
      </w:pPr>
      <w:r>
        <w:rPr/>
        <w:t>第十八条</w:t>
        <w:tab/>
      </w:r>
      <w:r>
        <w:rPr>
          <w:w w:val="95"/>
        </w:rPr>
        <w:t>地址的变更</w:t>
      </w:r>
    </w:p>
    <w:p>
      <w:pPr>
        <w:pStyle w:val="BodyText"/>
        <w:spacing w:before="10"/>
        <w:rPr>
          <w:b/>
          <w:sz w:val="25"/>
        </w:rPr>
      </w:pPr>
    </w:p>
    <w:p>
      <w:pPr>
        <w:pStyle w:val="BodyText"/>
        <w:spacing w:line="273" w:lineRule="auto"/>
        <w:ind w:left="112" w:right="106" w:firstLine="420"/>
        <w:jc w:val="both"/>
      </w:pPr>
      <w:r>
        <w:rPr>
          <w:spacing w:val="-6"/>
        </w:rPr>
        <w:t>您住所或通讯地址变更时，应及时以书面形式通知我们；您未及时通知的，我们将按本附加合同注明</w:t>
      </w:r>
      <w:r>
        <w:rPr>
          <w:spacing w:val="-4"/>
        </w:rPr>
        <w:t>的最后住所或通讯地址发送有关通知，均视为已送达您。</w:t>
      </w:r>
    </w:p>
    <w:p>
      <w:pPr>
        <w:pStyle w:val="BodyText"/>
        <w:rPr>
          <w:sz w:val="20"/>
        </w:rPr>
      </w:pPr>
    </w:p>
    <w:p>
      <w:pPr>
        <w:pStyle w:val="BodyText"/>
        <w:spacing w:before="12"/>
        <w:rPr>
          <w:sz w:val="14"/>
        </w:rPr>
      </w:pPr>
    </w:p>
    <w:p>
      <w:pPr>
        <w:pStyle w:val="Heading2"/>
        <w:tabs>
          <w:tab w:pos="1451" w:val="left" w:leader="none"/>
        </w:tabs>
      </w:pPr>
      <w:r>
        <w:rPr/>
        <w:t>第十九条</w:t>
        <w:tab/>
      </w:r>
      <w:r>
        <w:rPr>
          <w:w w:val="95"/>
        </w:rPr>
        <w:t>职业或工种变更</w:t>
      </w:r>
    </w:p>
    <w:p>
      <w:pPr>
        <w:pStyle w:val="BodyText"/>
        <w:rPr>
          <w:b/>
          <w:sz w:val="24"/>
        </w:rPr>
      </w:pPr>
    </w:p>
    <w:p>
      <w:pPr>
        <w:pStyle w:val="BodyText"/>
        <w:spacing w:line="273" w:lineRule="auto" w:before="184"/>
        <w:ind w:left="112" w:right="106" w:firstLine="419"/>
        <w:jc w:val="both"/>
      </w:pPr>
      <w:r>
        <w:rPr>
          <w:spacing w:val="-3"/>
        </w:rPr>
        <w:t>被保险人变更其职业或工种时，您或被保险人应于 </w:t>
      </w:r>
      <w:r>
        <w:rPr/>
        <w:t>10</w:t>
      </w:r>
      <w:r>
        <w:rPr>
          <w:spacing w:val="-3"/>
        </w:rPr>
        <w:t> 日内以书面形式通知我们。被保险人所变更的</w:t>
      </w:r>
      <w:r>
        <w:rPr>
          <w:spacing w:val="-6"/>
        </w:rPr>
        <w:t>职业或者工种，依照我们职业分类其危险程度降低时，我们自接到通知之日起，按其保险费差额退还未满</w:t>
      </w:r>
      <w:r>
        <w:rPr>
          <w:spacing w:val="-5"/>
        </w:rPr>
        <w:t>期保险费；其危险程度增加时，我们于接到通知后，自职业变更之日起，按其保险费差额增收未满期保险</w:t>
      </w:r>
      <w:r>
        <w:rPr>
          <w:spacing w:val="-6"/>
        </w:rPr>
        <w:t>费。被保险人所变更的职业或者工种依照我们职业分类在拒保范围内者，我们对该被保险人所负保险责任</w:t>
      </w:r>
      <w:r>
        <w:rPr>
          <w:spacing w:val="-4"/>
        </w:rPr>
        <w:t>自其职业或工种变更之日起终止，并退还未满期保险费。</w:t>
      </w:r>
    </w:p>
    <w:p>
      <w:pPr>
        <w:pStyle w:val="BodyText"/>
        <w:rPr>
          <w:sz w:val="20"/>
        </w:rPr>
      </w:pPr>
    </w:p>
    <w:p>
      <w:pPr>
        <w:spacing w:line="273" w:lineRule="auto" w:before="168"/>
        <w:ind w:left="112" w:right="108" w:firstLine="420"/>
        <w:jc w:val="both"/>
        <w:rPr>
          <w:rFonts w:ascii="黑体" w:eastAsia="黑体" w:hint="eastAsia"/>
          <w:b/>
          <w:sz w:val="21"/>
        </w:rPr>
      </w:pPr>
      <w:r>
        <w:rPr>
          <w:sz w:val="21"/>
        </w:rPr>
        <w:t>被保险人所变更的职业或工种，依照我们职业分类,其危险程度增加而未依前项约定通知而发生保险</w:t>
      </w:r>
      <w:r>
        <w:rPr>
          <w:spacing w:val="-5"/>
          <w:sz w:val="21"/>
        </w:rPr>
        <w:t>事故的，我们按其原收保险费与应收保险费的比例计算并给付保险金。</w:t>
      </w:r>
      <w:r>
        <w:rPr>
          <w:rFonts w:ascii="黑体" w:eastAsia="黑体" w:hint="eastAsia"/>
          <w:b/>
          <w:spacing w:val="-3"/>
          <w:sz w:val="21"/>
        </w:rPr>
        <w:t>但依照我们职业分类在我们拒保范围内而未依前项约定通知我们而发</w:t>
      </w:r>
      <w:r>
        <w:rPr>
          <w:rFonts w:ascii="黑体" w:eastAsia="黑体" w:hint="eastAsia"/>
          <w:b/>
          <w:sz w:val="21"/>
        </w:rPr>
        <w:t>Th</w:t>
      </w:r>
      <w:r>
        <w:rPr>
          <w:rFonts w:ascii="黑体" w:eastAsia="黑体" w:hint="eastAsia"/>
          <w:b/>
          <w:spacing w:val="-3"/>
          <w:sz w:val="21"/>
        </w:rPr>
        <w:t>保险事故的，我们不承担给付保险金的责任。</w:t>
      </w:r>
    </w:p>
    <w:p>
      <w:pPr>
        <w:pStyle w:val="BodyText"/>
        <w:rPr>
          <w:rFonts w:ascii="黑体"/>
          <w:b/>
          <w:sz w:val="20"/>
        </w:rPr>
      </w:pPr>
    </w:p>
    <w:p>
      <w:pPr>
        <w:pStyle w:val="BodyText"/>
        <w:spacing w:before="1"/>
        <w:rPr>
          <w:rFonts w:ascii="黑体"/>
          <w:b/>
          <w:sz w:val="26"/>
        </w:rPr>
      </w:pPr>
    </w:p>
    <w:p>
      <w:pPr>
        <w:pStyle w:val="Heading2"/>
        <w:tabs>
          <w:tab w:pos="1682" w:val="left" w:leader="none"/>
        </w:tabs>
      </w:pPr>
      <w:r>
        <w:rPr/>
        <w:t>第二十条</w:t>
        <w:tab/>
      </w:r>
      <w:r>
        <w:rPr>
          <w:w w:val="95"/>
        </w:rPr>
        <w:t>争议处理</w:t>
      </w:r>
    </w:p>
    <w:p>
      <w:pPr>
        <w:pStyle w:val="BodyText"/>
        <w:spacing w:before="4"/>
        <w:rPr>
          <w:b/>
          <w:sz w:val="28"/>
        </w:rPr>
      </w:pPr>
    </w:p>
    <w:p>
      <w:pPr>
        <w:pStyle w:val="BodyText"/>
        <w:ind w:left="626"/>
      </w:pPr>
      <w:r>
        <w:rPr/>
        <w:t>在本附加合同履行过程中发生任何争议，其解决方式同主合同。</w:t>
      </w:r>
    </w:p>
    <w:p>
      <w:pPr>
        <w:spacing w:after="0"/>
        <w:sectPr>
          <w:pgSz w:w="11910" w:h="16840"/>
          <w:pgMar w:header="0" w:footer="492" w:top="1420" w:bottom="760" w:left="1020" w:right="1020"/>
        </w:sectPr>
      </w:pPr>
    </w:p>
    <w:p>
      <w:pPr>
        <w:pStyle w:val="BodyText"/>
        <w:spacing w:before="10"/>
        <w:rPr>
          <w:sz w:val="19"/>
        </w:rPr>
      </w:pPr>
    </w:p>
    <w:p>
      <w:pPr>
        <w:pStyle w:val="Heading1"/>
        <w:tabs>
          <w:tab w:pos="1123" w:val="left" w:leader="none"/>
        </w:tabs>
        <w:ind w:right="118"/>
      </w:pPr>
      <w:r>
        <w:rPr/>
        <w:t>第三章</w:t>
        <w:tab/>
      </w:r>
      <w:r>
        <w:rPr>
          <w:w w:val="95"/>
        </w:rPr>
        <w:t>名词</w:t>
      </w:r>
      <w:r>
        <w:rPr>
          <w:spacing w:val="-3"/>
          <w:w w:val="95"/>
        </w:rPr>
        <w:t>释</w:t>
      </w:r>
      <w:r>
        <w:rPr>
          <w:w w:val="95"/>
        </w:rPr>
        <w:t>义</w:t>
      </w:r>
    </w:p>
    <w:p>
      <w:pPr>
        <w:pStyle w:val="BodyText"/>
        <w:spacing w:before="7"/>
        <w:rPr>
          <w:b/>
          <w:sz w:val="1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202"/>
      </w:tblGrid>
      <w:tr>
        <w:trPr>
          <w:trHeight w:val="275" w:hRule="atLeast"/>
        </w:trPr>
        <w:tc>
          <w:tcPr>
            <w:tcW w:w="1728" w:type="dxa"/>
          </w:tcPr>
          <w:p>
            <w:pPr>
              <w:pStyle w:val="TableParagraph"/>
              <w:spacing w:line="234" w:lineRule="exact"/>
              <w:ind w:left="200"/>
              <w:rPr>
                <w:sz w:val="11"/>
              </w:rPr>
            </w:pPr>
            <w:r>
              <w:rPr>
                <w:position w:val="-10"/>
                <w:sz w:val="21"/>
              </w:rPr>
              <w:t>您</w:t>
            </w:r>
            <w:r>
              <w:rPr>
                <w:sz w:val="11"/>
              </w:rPr>
              <w:t>（1）</w:t>
            </w:r>
          </w:p>
        </w:tc>
        <w:tc>
          <w:tcPr>
            <w:tcW w:w="8202" w:type="dxa"/>
          </w:tcPr>
          <w:p>
            <w:pPr>
              <w:pStyle w:val="TableParagraph"/>
              <w:spacing w:line="235" w:lineRule="exact"/>
              <w:ind w:left="428"/>
              <w:rPr>
                <w:sz w:val="21"/>
              </w:rPr>
            </w:pPr>
            <w:r>
              <w:rPr>
                <w:sz w:val="21"/>
              </w:rPr>
              <w:t>：保险合同中所载明的投保人。</w:t>
            </w:r>
          </w:p>
        </w:tc>
      </w:tr>
      <w:tr>
        <w:trPr>
          <w:trHeight w:val="315" w:hRule="atLeast"/>
        </w:trPr>
        <w:tc>
          <w:tcPr>
            <w:tcW w:w="1728" w:type="dxa"/>
          </w:tcPr>
          <w:p>
            <w:pPr>
              <w:pStyle w:val="TableParagraph"/>
              <w:ind w:left="200"/>
              <w:rPr>
                <w:sz w:val="11"/>
              </w:rPr>
            </w:pPr>
            <w:r>
              <w:rPr>
                <w:position w:val="-10"/>
                <w:sz w:val="21"/>
              </w:rPr>
              <w:t>周岁</w:t>
            </w:r>
            <w:r>
              <w:rPr>
                <w:sz w:val="11"/>
              </w:rPr>
              <w:t>（2）</w:t>
            </w:r>
          </w:p>
        </w:tc>
        <w:tc>
          <w:tcPr>
            <w:tcW w:w="8202" w:type="dxa"/>
          </w:tcPr>
          <w:p>
            <w:pPr>
              <w:pStyle w:val="TableParagraph"/>
              <w:spacing w:before="1"/>
              <w:ind w:left="428"/>
              <w:rPr>
                <w:sz w:val="21"/>
              </w:rPr>
            </w:pPr>
            <w:r>
              <w:rPr>
                <w:sz w:val="21"/>
              </w:rPr>
              <w:t>：以有效身份证件中记载的出生日期为计算基础。</w:t>
            </w:r>
          </w:p>
        </w:tc>
      </w:tr>
      <w:tr>
        <w:trPr>
          <w:trHeight w:val="12627" w:hRule="atLeast"/>
        </w:trPr>
        <w:tc>
          <w:tcPr>
            <w:tcW w:w="1728" w:type="dxa"/>
          </w:tcPr>
          <w:p>
            <w:pPr>
              <w:pStyle w:val="TableParagraph"/>
              <w:spacing w:line="275" w:lineRule="exact"/>
              <w:ind w:left="200"/>
              <w:rPr>
                <w:sz w:val="11"/>
              </w:rPr>
            </w:pPr>
            <w:r>
              <w:rPr>
                <w:sz w:val="21"/>
              </w:rPr>
              <w:t>重大疾病</w:t>
            </w:r>
            <w:r>
              <w:rPr>
                <w:position w:val="11"/>
                <w:sz w:val="11"/>
              </w:rPr>
              <w:t>（3）</w:t>
            </w:r>
          </w:p>
        </w:tc>
        <w:tc>
          <w:tcPr>
            <w:tcW w:w="8202" w:type="dxa"/>
          </w:tcPr>
          <w:p>
            <w:pPr>
              <w:pStyle w:val="TableParagraph"/>
              <w:spacing w:line="298" w:lineRule="exact"/>
              <w:ind w:left="428"/>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27" w:right="199"/>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7"/>
              <w:ind w:left="428"/>
              <w:rPr>
                <w:rFonts w:ascii="黑体" w:eastAsia="黑体" w:hint="eastAsia"/>
                <w:b/>
                <w:sz w:val="21"/>
              </w:rPr>
            </w:pPr>
            <w:r>
              <w:rPr>
                <w:rFonts w:ascii="黑体" w:eastAsia="黑体" w:hint="eastAsia"/>
                <w:b/>
                <w:sz w:val="21"/>
              </w:rPr>
              <w:t>下列疾病不在保障范围内：</w:t>
            </w:r>
          </w:p>
          <w:p>
            <w:pPr>
              <w:pStyle w:val="TableParagraph"/>
              <w:numPr>
                <w:ilvl w:val="0"/>
                <w:numId w:val="4"/>
              </w:numPr>
              <w:tabs>
                <w:tab w:pos="1174" w:val="left" w:leader="none"/>
                <w:tab w:pos="1175" w:val="left" w:leader="none"/>
              </w:tabs>
              <w:spacing w:line="240" w:lineRule="auto" w:before="75" w:after="0"/>
              <w:ind w:left="1174" w:right="0" w:hanging="746"/>
              <w:jc w:val="left"/>
              <w:rPr>
                <w:rFonts w:ascii="黑体" w:eastAsia="黑体" w:hint="eastAsia"/>
                <w:b/>
                <w:sz w:val="21"/>
              </w:rPr>
            </w:pPr>
            <w:r>
              <w:rPr>
                <w:rFonts w:ascii="黑体" w:eastAsia="黑体" w:hint="eastAsia"/>
                <w:b/>
                <w:sz w:val="21"/>
              </w:rPr>
              <w:t>原位癌；</w:t>
            </w:r>
          </w:p>
          <w:p>
            <w:pPr>
              <w:pStyle w:val="TableParagraph"/>
              <w:numPr>
                <w:ilvl w:val="0"/>
                <w:numId w:val="4"/>
              </w:numPr>
              <w:tabs>
                <w:tab w:pos="1174" w:val="left" w:leader="none"/>
                <w:tab w:pos="1175" w:val="left" w:leader="none"/>
              </w:tabs>
              <w:spacing w:line="240" w:lineRule="auto" w:before="63" w:after="0"/>
              <w:ind w:left="1174"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4"/>
              </w:numPr>
              <w:tabs>
                <w:tab w:pos="1174" w:val="left" w:leader="none"/>
                <w:tab w:pos="1175" w:val="left" w:leader="none"/>
              </w:tabs>
              <w:spacing w:line="240" w:lineRule="auto" w:before="60" w:after="0"/>
              <w:ind w:left="1174"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4"/>
              </w:numPr>
              <w:tabs>
                <w:tab w:pos="1174" w:val="left" w:leader="none"/>
                <w:tab w:pos="1175" w:val="left" w:leader="none"/>
              </w:tabs>
              <w:spacing w:line="240" w:lineRule="auto" w:before="60" w:after="0"/>
              <w:ind w:left="1174"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4"/>
              </w:numPr>
              <w:tabs>
                <w:tab w:pos="1174" w:val="left" w:leader="none"/>
                <w:tab w:pos="1175" w:val="left" w:leader="none"/>
              </w:tabs>
              <w:spacing w:line="282" w:lineRule="exact" w:before="60" w:after="0"/>
              <w:ind w:left="1174"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4"/>
              </w:numPr>
              <w:tabs>
                <w:tab w:pos="1174" w:val="left" w:leader="none"/>
                <w:tab w:pos="1175" w:val="left" w:leader="none"/>
              </w:tabs>
              <w:spacing w:line="282" w:lineRule="exact" w:before="0" w:after="0"/>
              <w:ind w:left="1174"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28"/>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6"/>
              <w:ind w:left="428" w:right="302"/>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5"/>
              </w:numPr>
              <w:tabs>
                <w:tab w:pos="1174" w:val="left" w:leader="none"/>
                <w:tab w:pos="1175" w:val="left" w:leader="none"/>
              </w:tabs>
              <w:spacing w:line="240" w:lineRule="auto" w:before="77" w:after="0"/>
              <w:ind w:left="1128" w:right="0" w:hanging="700"/>
              <w:jc w:val="left"/>
              <w:rPr>
                <w:sz w:val="21"/>
              </w:rPr>
            </w:pPr>
            <w:r>
              <w:rPr>
                <w:spacing w:val="-3"/>
                <w:sz w:val="21"/>
              </w:rPr>
              <w:t>典型临床表现，例如急性胸痛等；</w:t>
            </w:r>
          </w:p>
          <w:p>
            <w:pPr>
              <w:pStyle w:val="TableParagraph"/>
              <w:numPr>
                <w:ilvl w:val="0"/>
                <w:numId w:val="5"/>
              </w:numPr>
              <w:tabs>
                <w:tab w:pos="1174" w:val="left" w:leader="none"/>
                <w:tab w:pos="1175" w:val="left" w:leader="none"/>
              </w:tabs>
              <w:spacing w:line="240" w:lineRule="auto" w:before="60" w:after="0"/>
              <w:ind w:left="1128" w:right="0" w:hanging="700"/>
              <w:jc w:val="left"/>
              <w:rPr>
                <w:sz w:val="21"/>
              </w:rPr>
            </w:pPr>
            <w:r>
              <w:rPr>
                <w:spacing w:val="-3"/>
                <w:sz w:val="21"/>
              </w:rPr>
              <w:t>新近的心电图改变提示急性心肌梗塞；</w:t>
            </w:r>
          </w:p>
          <w:p>
            <w:pPr>
              <w:pStyle w:val="TableParagraph"/>
              <w:numPr>
                <w:ilvl w:val="0"/>
                <w:numId w:val="5"/>
              </w:numPr>
              <w:tabs>
                <w:tab w:pos="1155" w:val="left" w:leader="none"/>
                <w:tab w:pos="1156" w:val="left" w:leader="none"/>
              </w:tabs>
              <w:spacing w:line="225" w:lineRule="auto" w:before="78" w:after="0"/>
              <w:ind w:left="1128" w:right="318" w:hanging="720"/>
              <w:jc w:val="left"/>
              <w:rPr>
                <w:sz w:val="21"/>
              </w:rPr>
            </w:pPr>
            <w:r>
              <w:rPr>
                <w:spacing w:val="-3"/>
                <w:sz w:val="21"/>
              </w:rPr>
              <w:t>心肌酶或肌钙蛋白有诊断意义的升高，或呈符合急性心肌梗塞的动态性变化；</w:t>
            </w:r>
          </w:p>
          <w:p>
            <w:pPr>
              <w:pStyle w:val="TableParagraph"/>
              <w:numPr>
                <w:ilvl w:val="0"/>
                <w:numId w:val="5"/>
              </w:numPr>
              <w:tabs>
                <w:tab w:pos="1149" w:val="left" w:leader="none"/>
              </w:tabs>
              <w:spacing w:line="288" w:lineRule="exact" w:before="0" w:after="0"/>
              <w:ind w:left="1148"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59"/>
              <w:ind w:left="428"/>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2"/>
              <w:ind w:left="428" w:right="304"/>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6"/>
              </w:numPr>
              <w:tabs>
                <w:tab w:pos="1174" w:val="left" w:leader="none"/>
                <w:tab w:pos="1175" w:val="left" w:leader="none"/>
              </w:tabs>
              <w:spacing w:line="358" w:lineRule="exact" w:before="11" w:after="0"/>
              <w:ind w:left="1147" w:right="0" w:hanging="719"/>
              <w:jc w:val="left"/>
              <w:rPr>
                <w:sz w:val="21"/>
              </w:rPr>
            </w:pPr>
            <w:r>
              <w:rPr>
                <w:spacing w:val="-3"/>
                <w:w w:val="100"/>
                <w:sz w:val="21"/>
              </w:rPr>
              <w:t>一肢或一肢以上</w:t>
            </w:r>
            <w:r>
              <w:rPr>
                <w:rFonts w:ascii="Microsoft JhengHei" w:eastAsia="Microsoft JhengHei" w:hint="eastAsia"/>
                <w:b/>
                <w:spacing w:val="-3"/>
                <w:w w:val="100"/>
                <w:sz w:val="21"/>
              </w:rPr>
              <w:t>肢体机能完全丧失</w:t>
            </w:r>
            <w:r>
              <w:rPr>
                <w:w w:val="100"/>
                <w:position w:val="11"/>
                <w:sz w:val="11"/>
              </w:rPr>
              <w:t>（16</w:t>
            </w:r>
            <w:r>
              <w:rPr>
                <w:spacing w:val="-58"/>
                <w:w w:val="100"/>
                <w:position w:val="11"/>
                <w:sz w:val="11"/>
              </w:rPr>
              <w:t>）</w:t>
            </w:r>
            <w:r>
              <w:rPr>
                <w:w w:val="100"/>
                <w:sz w:val="21"/>
              </w:rPr>
              <w:t>；</w:t>
            </w:r>
          </w:p>
          <w:p>
            <w:pPr>
              <w:pStyle w:val="TableParagraph"/>
              <w:numPr>
                <w:ilvl w:val="0"/>
                <w:numId w:val="6"/>
              </w:numPr>
              <w:tabs>
                <w:tab w:pos="1174" w:val="left" w:leader="none"/>
                <w:tab w:pos="1175" w:val="left" w:leader="none"/>
              </w:tabs>
              <w:spacing w:line="352" w:lineRule="exact" w:before="0" w:after="0"/>
              <w:ind w:left="1174" w:right="0" w:hanging="746"/>
              <w:jc w:val="left"/>
              <w:rPr>
                <w:sz w:val="21"/>
              </w:rPr>
            </w:pPr>
            <w:r>
              <w:rPr>
                <w:rFonts w:ascii="Microsoft JhengHei" w:eastAsia="Microsoft JhengHei" w:hint="eastAsia"/>
                <w:b/>
                <w:spacing w:val="-3"/>
                <w:w w:val="100"/>
                <w:sz w:val="21"/>
              </w:rPr>
              <w:t>语言能力或咀嚼吞咽能力完全丧失</w:t>
            </w:r>
            <w:r>
              <w:rPr>
                <w:w w:val="100"/>
                <w:position w:val="11"/>
                <w:sz w:val="11"/>
              </w:rPr>
              <w:t>（17</w:t>
            </w:r>
            <w:r>
              <w:rPr>
                <w:spacing w:val="-58"/>
                <w:w w:val="100"/>
                <w:position w:val="11"/>
                <w:sz w:val="11"/>
              </w:rPr>
              <w:t>）</w:t>
            </w:r>
            <w:r>
              <w:rPr>
                <w:w w:val="100"/>
                <w:sz w:val="21"/>
              </w:rPr>
              <w:t>；</w:t>
            </w:r>
          </w:p>
          <w:p>
            <w:pPr>
              <w:pStyle w:val="TableParagraph"/>
              <w:numPr>
                <w:ilvl w:val="0"/>
                <w:numId w:val="6"/>
              </w:numPr>
              <w:tabs>
                <w:tab w:pos="1174" w:val="left" w:leader="none"/>
                <w:tab w:pos="1175" w:val="left" w:leader="none"/>
              </w:tabs>
              <w:spacing w:line="218" w:lineRule="auto" w:before="26" w:after="0"/>
              <w:ind w:left="1147" w:right="394" w:hanging="719"/>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（18）</w:t>
            </w:r>
            <w:r>
              <w:rPr>
                <w:spacing w:val="-3"/>
                <w:sz w:val="21"/>
              </w:rPr>
              <w:t>中的三</w:t>
            </w:r>
            <w:r>
              <w:rPr>
                <w:spacing w:val="-2"/>
                <w:sz w:val="21"/>
              </w:rPr>
              <w:t>项或三项以上。</w:t>
            </w:r>
          </w:p>
          <w:p>
            <w:pPr>
              <w:pStyle w:val="TableParagraph"/>
              <w:spacing w:before="1"/>
              <w:ind w:left="0"/>
              <w:rPr>
                <w:b/>
                <w:sz w:val="19"/>
              </w:rPr>
            </w:pPr>
          </w:p>
          <w:p>
            <w:pPr>
              <w:pStyle w:val="TableParagraph"/>
              <w:spacing w:before="1"/>
              <w:ind w:left="428"/>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before="52"/>
              <w:ind w:left="428" w:right="306"/>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before="75"/>
              <w:ind w:left="428" w:right="199"/>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1"/>
              <w:ind w:left="0"/>
              <w:rPr>
                <w:b/>
                <w:sz w:val="19"/>
              </w:rPr>
            </w:pPr>
          </w:p>
          <w:p>
            <w:pPr>
              <w:pStyle w:val="TableParagraph"/>
              <w:ind w:left="428"/>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4" w:lineRule="exact" w:before="51"/>
              <w:ind w:left="428"/>
              <w:rPr>
                <w:sz w:val="21"/>
              </w:rPr>
            </w:pPr>
            <w:r>
              <w:rPr>
                <w:sz w:val="21"/>
              </w:rPr>
              <w:t>指为治疗严重的冠心病，实际实施了开胸进行的冠状动脉血管旁路移植的手术。</w:t>
            </w:r>
          </w:p>
          <w:p>
            <w:pPr>
              <w:pStyle w:val="TableParagraph"/>
              <w:spacing w:line="272" w:lineRule="exact" w:before="27"/>
              <w:ind w:left="428" w:right="201"/>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2" w:lineRule="exact"/>
        <w:rPr>
          <w:rFonts w:ascii="黑体" w:eastAsia="黑体" w:hint="eastAsia"/>
          <w:sz w:val="21"/>
        </w:rPr>
        <w:sectPr>
          <w:pgSz w:w="11910" w:h="16840"/>
          <w:pgMar w:header="0" w:footer="492" w:top="1580" w:bottom="760" w:left="940" w:right="82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519" w:right="145"/>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519" w:right="218"/>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519" w:right="217"/>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3"/>
        </w:numPr>
        <w:tabs>
          <w:tab w:pos="2265" w:val="left" w:leader="none"/>
          <w:tab w:pos="2266" w:val="left" w:leader="none"/>
        </w:tabs>
        <w:spacing w:line="240" w:lineRule="auto" w:before="75" w:after="0"/>
        <w:ind w:left="2265" w:right="0" w:hanging="746"/>
        <w:jc w:val="left"/>
        <w:rPr>
          <w:sz w:val="21"/>
        </w:rPr>
      </w:pPr>
      <w:r>
        <w:rPr>
          <w:spacing w:val="-3"/>
          <w:sz w:val="21"/>
        </w:rPr>
        <w:t>重度黄疸或黄疸迅速加重；</w:t>
      </w:r>
    </w:p>
    <w:p>
      <w:pPr>
        <w:pStyle w:val="ListParagraph"/>
        <w:numPr>
          <w:ilvl w:val="2"/>
          <w:numId w:val="3"/>
        </w:numPr>
        <w:tabs>
          <w:tab w:pos="2265" w:val="left" w:leader="none"/>
          <w:tab w:pos="2266" w:val="left" w:leader="none"/>
        </w:tabs>
        <w:spacing w:line="240" w:lineRule="auto" w:before="62" w:after="0"/>
        <w:ind w:left="2265" w:right="0" w:hanging="746"/>
        <w:jc w:val="left"/>
        <w:rPr>
          <w:sz w:val="21"/>
        </w:rPr>
      </w:pPr>
      <w:r>
        <w:rPr>
          <w:spacing w:val="-1"/>
          <w:sz w:val="21"/>
        </w:rPr>
        <w:t>肝性脑病；</w:t>
      </w:r>
    </w:p>
    <w:p>
      <w:pPr>
        <w:pStyle w:val="ListParagraph"/>
        <w:numPr>
          <w:ilvl w:val="2"/>
          <w:numId w:val="3"/>
        </w:numPr>
        <w:tabs>
          <w:tab w:pos="2265" w:val="left" w:leader="none"/>
          <w:tab w:pos="2267" w:val="left" w:leader="none"/>
        </w:tabs>
        <w:spacing w:line="280" w:lineRule="exact" w:before="60" w:after="0"/>
        <w:ind w:left="2266"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3"/>
        </w:numPr>
        <w:tabs>
          <w:tab w:pos="2265" w:val="left" w:leader="none"/>
          <w:tab w:pos="2267" w:val="left" w:leader="none"/>
        </w:tabs>
        <w:spacing w:line="280" w:lineRule="exact" w:before="0" w:after="0"/>
        <w:ind w:left="2266"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519" w:right="119"/>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519" w:right="164"/>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7"/>
        </w:numPr>
        <w:tabs>
          <w:tab w:pos="2265" w:val="left" w:leader="none"/>
          <w:tab w:pos="2266" w:val="left" w:leader="none"/>
        </w:tabs>
        <w:spacing w:line="240" w:lineRule="auto" w:before="77" w:after="0"/>
        <w:ind w:left="2265" w:right="0" w:hanging="746"/>
        <w:jc w:val="left"/>
        <w:rPr>
          <w:sz w:val="21"/>
        </w:rPr>
      </w:pPr>
      <w:r>
        <w:rPr>
          <w:spacing w:val="-3"/>
          <w:sz w:val="21"/>
        </w:rPr>
        <w:t>实际实施了开颅进行的脑肿瘤完全切除或部分切除的手术；</w:t>
      </w:r>
    </w:p>
    <w:p>
      <w:pPr>
        <w:pStyle w:val="ListParagraph"/>
        <w:numPr>
          <w:ilvl w:val="0"/>
          <w:numId w:val="7"/>
        </w:numPr>
        <w:tabs>
          <w:tab w:pos="2265" w:val="left" w:leader="none"/>
          <w:tab w:pos="2266" w:val="left" w:leader="none"/>
        </w:tabs>
        <w:spacing w:line="280" w:lineRule="exact" w:before="60" w:after="0"/>
        <w:ind w:left="2265"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519"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519"/>
      </w:pPr>
      <w:r>
        <w:rPr/>
        <w:t>指因慢性肝脏疾病导致肝功能衰竭。须满足下列全部条件：</w:t>
      </w:r>
    </w:p>
    <w:p>
      <w:pPr>
        <w:pStyle w:val="ListParagraph"/>
        <w:numPr>
          <w:ilvl w:val="0"/>
          <w:numId w:val="8"/>
        </w:numPr>
        <w:tabs>
          <w:tab w:pos="2265" w:val="left" w:leader="none"/>
          <w:tab w:pos="2266" w:val="left" w:leader="none"/>
        </w:tabs>
        <w:spacing w:line="240" w:lineRule="auto" w:before="77" w:after="0"/>
        <w:ind w:left="2265" w:right="0" w:hanging="746"/>
        <w:jc w:val="left"/>
        <w:rPr>
          <w:sz w:val="21"/>
        </w:rPr>
      </w:pPr>
      <w:r>
        <w:rPr>
          <w:spacing w:val="-2"/>
          <w:sz w:val="21"/>
        </w:rPr>
        <w:t>持续性黄疸；</w:t>
      </w:r>
    </w:p>
    <w:p>
      <w:pPr>
        <w:pStyle w:val="ListParagraph"/>
        <w:numPr>
          <w:ilvl w:val="0"/>
          <w:numId w:val="8"/>
        </w:numPr>
        <w:tabs>
          <w:tab w:pos="2265" w:val="left" w:leader="none"/>
          <w:tab w:pos="2266" w:val="left" w:leader="none"/>
        </w:tabs>
        <w:spacing w:line="240" w:lineRule="auto" w:before="60" w:after="0"/>
        <w:ind w:left="2265" w:right="0" w:hanging="746"/>
        <w:jc w:val="left"/>
        <w:rPr>
          <w:sz w:val="21"/>
        </w:rPr>
      </w:pPr>
      <w:r>
        <w:rPr>
          <w:sz w:val="21"/>
        </w:rPr>
        <w:t>腹水；</w:t>
      </w:r>
    </w:p>
    <w:p>
      <w:pPr>
        <w:pStyle w:val="ListParagraph"/>
        <w:numPr>
          <w:ilvl w:val="0"/>
          <w:numId w:val="8"/>
        </w:numPr>
        <w:tabs>
          <w:tab w:pos="2265" w:val="left" w:leader="none"/>
          <w:tab w:pos="2266" w:val="left" w:leader="none"/>
        </w:tabs>
        <w:spacing w:line="240" w:lineRule="auto" w:before="60" w:after="0"/>
        <w:ind w:left="2265" w:right="0" w:hanging="746"/>
        <w:jc w:val="left"/>
        <w:rPr>
          <w:sz w:val="21"/>
        </w:rPr>
      </w:pPr>
      <w:r>
        <w:rPr>
          <w:spacing w:val="-1"/>
          <w:sz w:val="21"/>
        </w:rPr>
        <w:t>肝性脑病；</w:t>
      </w:r>
    </w:p>
    <w:p>
      <w:pPr>
        <w:pStyle w:val="ListParagraph"/>
        <w:numPr>
          <w:ilvl w:val="0"/>
          <w:numId w:val="8"/>
        </w:numPr>
        <w:tabs>
          <w:tab w:pos="2265" w:val="left" w:leader="none"/>
          <w:tab w:pos="2267" w:val="left" w:leader="none"/>
        </w:tabs>
        <w:spacing w:line="282" w:lineRule="exact" w:before="60" w:after="0"/>
        <w:ind w:left="2266"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519"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519" w:right="215"/>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9"/>
        </w:numPr>
        <w:tabs>
          <w:tab w:pos="2265" w:val="left" w:leader="none"/>
          <w:tab w:pos="2266" w:val="left" w:leader="none"/>
        </w:tabs>
        <w:spacing w:line="240" w:lineRule="auto" w:before="62" w:after="0"/>
        <w:ind w:left="2253" w:right="0" w:hanging="734"/>
        <w:jc w:val="left"/>
        <w:rPr>
          <w:sz w:val="21"/>
        </w:rPr>
      </w:pPr>
      <w:r>
        <w:rPr>
          <w:spacing w:val="-3"/>
          <w:sz w:val="21"/>
        </w:rPr>
        <w:t>一肢或一肢以上肢体机能完全丧失；</w:t>
      </w:r>
    </w:p>
    <w:p>
      <w:pPr>
        <w:pStyle w:val="ListParagraph"/>
        <w:numPr>
          <w:ilvl w:val="0"/>
          <w:numId w:val="9"/>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9"/>
        </w:numPr>
        <w:tabs>
          <w:tab w:pos="2263" w:val="left" w:leader="none"/>
          <w:tab w:pos="2264" w:val="left" w:leader="none"/>
        </w:tabs>
        <w:spacing w:line="225" w:lineRule="auto" w:before="8"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25" w:lineRule="auto" w:before="4"/>
        <w:ind w:left="1519" w:right="216"/>
        <w:jc w:val="both"/>
      </w:pPr>
      <w:r>
        <w:rPr>
          <w:spacing w:val="2"/>
        </w:rPr>
        <w:t>指因疾病或意外伤害导致意识丧失</w:t>
      </w:r>
      <w:r>
        <w:rPr>
          <w:rFonts w:ascii="Arial" w:eastAsia="Arial"/>
        </w:rPr>
        <w:t>,</w:t>
      </w:r>
      <w:r>
        <w:rPr>
          <w:spacing w:val="2"/>
        </w:rPr>
        <w:t>对外界刺激和体内需求均无反应</w:t>
      </w:r>
      <w:r>
        <w:rPr>
          <w:rFonts w:ascii="Arial" w:eastAsia="Arial"/>
        </w:rPr>
        <w:t>,</w:t>
      </w:r>
      <w:r>
        <w:rPr>
          <w:spacing w:val="2"/>
        </w:rPr>
        <w:t>昏迷程度按</w:t>
      </w:r>
      <w:r>
        <w:rPr>
          <w:spacing w:val="-3"/>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37"/>
      </w:pPr>
      <w:r>
        <w:rPr/>
        <w:t>因酗酒或药物滥用导致的深度昏迷不在保障范围内。</w:t>
      </w:r>
    </w:p>
    <w:p>
      <w:pPr>
        <w:spacing w:line="318" w:lineRule="exact" w:before="174"/>
        <w:ind w:left="1519"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519"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（19）</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492" w:top="1340" w:bottom="760" w:left="1680" w:right="1020"/>
        </w:sectPr>
      </w:pPr>
    </w:p>
    <w:p>
      <w:pPr>
        <w:pStyle w:val="BodyText"/>
        <w:spacing w:line="225" w:lineRule="auto" w:before="43"/>
        <w:ind w:left="151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519" w:right="215"/>
      </w:pPr>
      <w:r>
        <w:rPr>
          <w:spacing w:val="-7"/>
        </w:rPr>
        <w:t>指因疾病或意外伤害导致双眼视力永久不可逆性丧失，双眼中较好眼须满足下列至</w:t>
      </w:r>
      <w:r>
        <w:rPr>
          <w:spacing w:val="-5"/>
        </w:rPr>
        <w:t>少一项条件：</w:t>
      </w:r>
    </w:p>
    <w:p>
      <w:pPr>
        <w:pStyle w:val="ListParagraph"/>
        <w:numPr>
          <w:ilvl w:val="0"/>
          <w:numId w:val="10"/>
        </w:numPr>
        <w:tabs>
          <w:tab w:pos="2265" w:val="left" w:leader="none"/>
          <w:tab w:pos="2266" w:val="left" w:leader="none"/>
        </w:tabs>
        <w:spacing w:line="240" w:lineRule="auto" w:before="78" w:after="0"/>
        <w:ind w:left="2239" w:right="0" w:hanging="720"/>
        <w:jc w:val="left"/>
        <w:rPr>
          <w:sz w:val="21"/>
        </w:rPr>
      </w:pPr>
      <w:r>
        <w:rPr>
          <w:spacing w:val="-3"/>
          <w:sz w:val="21"/>
        </w:rPr>
        <w:t>眼球缺失或摘除；</w:t>
      </w:r>
    </w:p>
    <w:p>
      <w:pPr>
        <w:pStyle w:val="ListParagraph"/>
        <w:numPr>
          <w:ilvl w:val="0"/>
          <w:numId w:val="10"/>
        </w:numPr>
        <w:tabs>
          <w:tab w:pos="2249" w:val="left" w:leader="none"/>
        </w:tabs>
        <w:spacing w:line="225" w:lineRule="auto" w:before="78" w:after="0"/>
        <w:ind w:left="223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10"/>
        </w:numPr>
        <w:tabs>
          <w:tab w:pos="2265" w:val="left" w:leader="none"/>
          <w:tab w:pos="2266" w:val="left" w:leader="none"/>
        </w:tabs>
        <w:spacing w:line="288" w:lineRule="exact" w:before="0" w:after="0"/>
        <w:ind w:left="223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Heading3"/>
        <w:spacing w:line="353" w:lineRule="exact" w:before="157"/>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51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519"/>
      </w:pPr>
      <w:r>
        <w:rPr/>
        <w:t>指为治疗心脏瓣膜疾病，实际实施了开胸进行的心脏瓣膜置换或修复的手术。</w:t>
      </w:r>
    </w:p>
    <w:p>
      <w:pPr>
        <w:pStyle w:val="Heading3"/>
        <w:spacing w:before="172"/>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51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pPr>
      <w:r>
        <w:rPr/>
        <w:t>神经官能症和精神疾病不在保障范围内。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151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51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1"/>
        </w:numPr>
        <w:tabs>
          <w:tab w:pos="2265" w:val="left" w:leader="none"/>
          <w:tab w:pos="2266" w:val="left" w:leader="none"/>
        </w:tabs>
        <w:spacing w:line="240" w:lineRule="auto" w:before="78" w:after="0"/>
        <w:ind w:left="2253" w:right="0" w:hanging="734"/>
        <w:jc w:val="left"/>
        <w:rPr>
          <w:sz w:val="21"/>
        </w:rPr>
      </w:pPr>
      <w:r>
        <w:rPr>
          <w:spacing w:val="-3"/>
          <w:sz w:val="21"/>
        </w:rPr>
        <w:t>一肢或一肢以上肢体机能完全丧失；</w:t>
      </w:r>
    </w:p>
    <w:p>
      <w:pPr>
        <w:pStyle w:val="ListParagraph"/>
        <w:numPr>
          <w:ilvl w:val="0"/>
          <w:numId w:val="11"/>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11"/>
        </w:numPr>
        <w:tabs>
          <w:tab w:pos="2263" w:val="left" w:leader="none"/>
          <w:tab w:pos="2264" w:val="left" w:leader="none"/>
        </w:tabs>
        <w:spacing w:line="225" w:lineRule="auto" w:before="7"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519" w:right="217"/>
      </w:pPr>
      <w:r>
        <w:rPr>
          <w:spacing w:val="-8"/>
        </w:rPr>
        <w:t>是一种中枢神经系统的退行性疾病，临床表现为震颤麻痹、共济失调等。须满足下</w:t>
      </w:r>
      <w:r>
        <w:rPr>
          <w:spacing w:val="-5"/>
        </w:rPr>
        <w:t>列全部条件：</w:t>
      </w:r>
    </w:p>
    <w:p>
      <w:pPr>
        <w:pStyle w:val="ListParagraph"/>
        <w:numPr>
          <w:ilvl w:val="0"/>
          <w:numId w:val="12"/>
        </w:numPr>
        <w:tabs>
          <w:tab w:pos="2265" w:val="left" w:leader="none"/>
          <w:tab w:pos="2266" w:val="left" w:leader="none"/>
        </w:tabs>
        <w:spacing w:line="240" w:lineRule="auto" w:before="75" w:after="0"/>
        <w:ind w:left="2239" w:right="0" w:hanging="720"/>
        <w:jc w:val="left"/>
        <w:rPr>
          <w:sz w:val="21"/>
        </w:rPr>
      </w:pPr>
      <w:r>
        <w:rPr>
          <w:spacing w:val="-3"/>
          <w:sz w:val="21"/>
        </w:rPr>
        <w:t>药物治疗无法控制病情；</w:t>
      </w:r>
    </w:p>
    <w:p>
      <w:pPr>
        <w:pStyle w:val="ListParagraph"/>
        <w:numPr>
          <w:ilvl w:val="0"/>
          <w:numId w:val="12"/>
        </w:numPr>
        <w:tabs>
          <w:tab w:pos="2263" w:val="left" w:leader="none"/>
          <w:tab w:pos="2264" w:val="left" w:leader="none"/>
        </w:tabs>
        <w:spacing w:line="225" w:lineRule="auto" w:before="80" w:after="0"/>
        <w:ind w:left="223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pPr>
      <w:r>
        <w:rPr/>
        <w:t>继发性帕金森综合征不在保障范围内。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151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151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492" w:top="1340" w:bottom="760" w:left="168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519" w:right="113"/>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519" w:right="215"/>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519" w:right="218"/>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519"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519" w:right="217"/>
      </w:pPr>
      <w:r>
        <w:rPr>
          <w:spacing w:val="-8"/>
        </w:rPr>
        <w:t>指因骨髓造血功能慢性持续性衰竭导致的贫血、中性粒细胞减少及血小板减少。须</w:t>
      </w:r>
      <w:r>
        <w:rPr>
          <w:spacing w:val="-5"/>
        </w:rPr>
        <w:t>满足下列全部条件：</w:t>
      </w:r>
    </w:p>
    <w:p>
      <w:pPr>
        <w:pStyle w:val="ListParagraph"/>
        <w:numPr>
          <w:ilvl w:val="0"/>
          <w:numId w:val="13"/>
        </w:numPr>
        <w:tabs>
          <w:tab w:pos="2265" w:val="left" w:leader="none"/>
          <w:tab w:pos="2266" w:val="left" w:leader="none"/>
        </w:tabs>
        <w:spacing w:line="240" w:lineRule="auto" w:before="77" w:after="0"/>
        <w:ind w:left="2265" w:right="0" w:hanging="746"/>
        <w:jc w:val="left"/>
        <w:rPr>
          <w:sz w:val="21"/>
        </w:rPr>
      </w:pPr>
      <w:r>
        <w:rPr>
          <w:spacing w:val="-3"/>
          <w:sz w:val="21"/>
        </w:rPr>
        <w:t>骨髓穿刺检查或骨髓活检结果支持诊断；</w:t>
      </w:r>
    </w:p>
    <w:p>
      <w:pPr>
        <w:pStyle w:val="ListParagraph"/>
        <w:numPr>
          <w:ilvl w:val="0"/>
          <w:numId w:val="13"/>
        </w:numPr>
        <w:tabs>
          <w:tab w:pos="2265" w:val="left" w:leader="none"/>
          <w:tab w:pos="2266" w:val="left" w:leader="none"/>
        </w:tabs>
        <w:spacing w:line="240" w:lineRule="auto" w:before="60" w:after="0"/>
        <w:ind w:left="2265" w:right="0" w:hanging="746"/>
        <w:jc w:val="left"/>
        <w:rPr>
          <w:sz w:val="21"/>
        </w:rPr>
      </w:pPr>
      <w:r>
        <w:rPr>
          <w:spacing w:val="-3"/>
          <w:sz w:val="21"/>
        </w:rPr>
        <w:t>外周血象须具备以下三项条件：</w:t>
      </w:r>
    </w:p>
    <w:p>
      <w:pPr>
        <w:pStyle w:val="BodyText"/>
        <w:spacing w:before="60"/>
        <w:ind w:left="2359"/>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0" w:lineRule="exact" w:before="62"/>
        <w:ind w:left="2343" w:right="4738"/>
        <w:jc w:val="center"/>
      </w:pPr>
      <w:r>
        <w:rPr/>
        <w:t>② 网织红细胞＜</w:t>
      </w:r>
      <w:r>
        <w:rPr>
          <w:rFonts w:ascii="Arial" w:hAnsi="Arial" w:eastAsia="Arial"/>
        </w:rPr>
        <w:t>1%</w:t>
      </w:r>
      <w:r>
        <w:rPr/>
        <w:t>；</w:t>
      </w:r>
    </w:p>
    <w:p>
      <w:pPr>
        <w:pStyle w:val="BodyText"/>
        <w:spacing w:line="280" w:lineRule="exact"/>
        <w:ind w:left="2359"/>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519" w:right="217"/>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519"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519" w:right="215"/>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519" w:right="110"/>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6"/>
        <w:ind w:left="1519" w:right="215"/>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519"/>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519"/>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0" w:lineRule="exact" w:before="61"/>
        <w:ind w:left="1519"/>
      </w:pPr>
      <w:r>
        <w:rPr/>
        <w:t>（</w:t>
      </w:r>
      <w:r>
        <w:rPr>
          <w:rFonts w:ascii="Arial" w:eastAsia="Arial"/>
        </w:rPr>
        <w:t>3</w:t>
      </w:r>
      <w:r>
        <w:rPr/>
        <w:t>）因缺氧必须接受持续的输氧治疗。</w:t>
      </w:r>
    </w:p>
    <w:p>
      <w:pPr>
        <w:pStyle w:val="BodyText"/>
        <w:spacing w:line="266" w:lineRule="exact"/>
        <w:ind w:left="1519"/>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3"/>
        <w:ind w:left="1519"/>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519"/>
      </w:pPr>
      <w:r>
        <w:rPr/>
        <w:t>理赔时必须提供由神经外科医生出具的诊断书及手术报告。</w:t>
      </w:r>
    </w:p>
    <w:p>
      <w:pPr>
        <w:pStyle w:val="Heading3"/>
        <w:spacing w:before="174"/>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492" w:top="1340" w:bottom="760" w:left="1680" w:right="1020"/>
        </w:sectPr>
      </w:pPr>
    </w:p>
    <w:p>
      <w:pPr>
        <w:pStyle w:val="BodyText"/>
        <w:spacing w:line="235" w:lineRule="auto" w:before="30"/>
        <w:ind w:left="1519" w:right="4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519"/>
      </w:pPr>
      <w:r>
        <w:rPr/>
        <w:t>（</w:t>
      </w:r>
      <w:r>
        <w:rPr>
          <w:rFonts w:ascii="Arial" w:eastAsia="Arial"/>
        </w:rPr>
        <w:t>1</w:t>
      </w:r>
      <w:r>
        <w:rPr/>
        <w:t>）晨僵；</w:t>
      </w:r>
    </w:p>
    <w:p>
      <w:pPr>
        <w:pStyle w:val="BodyText"/>
        <w:spacing w:before="60"/>
        <w:ind w:left="1519"/>
      </w:pPr>
      <w:r>
        <w:rPr/>
        <w:t>（</w:t>
      </w:r>
      <w:r>
        <w:rPr>
          <w:rFonts w:ascii="Arial" w:eastAsia="Arial"/>
        </w:rPr>
        <w:t>2</w:t>
      </w:r>
      <w:r>
        <w:rPr/>
        <w:t>）对称性关节炎；</w:t>
      </w:r>
    </w:p>
    <w:p>
      <w:pPr>
        <w:pStyle w:val="BodyText"/>
        <w:spacing w:line="280" w:lineRule="exact" w:before="62"/>
        <w:ind w:left="1519"/>
      </w:pPr>
      <w:r>
        <w:rPr/>
        <w:t>（</w:t>
      </w:r>
      <w:r>
        <w:rPr>
          <w:rFonts w:ascii="Arial" w:eastAsia="Arial"/>
        </w:rPr>
        <w:t>3</w:t>
      </w:r>
      <w:r>
        <w:rPr/>
        <w:t>）类风湿性皮下结节；</w:t>
      </w:r>
    </w:p>
    <w:p>
      <w:pPr>
        <w:pStyle w:val="BodyText"/>
        <w:spacing w:line="280" w:lineRule="exact"/>
        <w:ind w:left="1519"/>
      </w:pPr>
      <w:r>
        <w:rPr/>
        <w:t>（</w:t>
      </w:r>
      <w:r>
        <w:rPr>
          <w:rFonts w:ascii="Arial" w:eastAsia="Arial"/>
        </w:rPr>
        <w:t>4</w:t>
      </w:r>
      <w:r>
        <w:rPr/>
        <w:t>）类风湿因子滴度升高。</w:t>
      </w:r>
    </w:p>
    <w:p>
      <w:pPr>
        <w:pStyle w:val="Heading3"/>
        <w:spacing w:line="353" w:lineRule="exact" w:before="158"/>
        <w:rPr>
          <w:rFonts w:ascii="Microsoft JhengHei" w:eastAsia="Microsoft JhengHei" w:hint="eastAsia"/>
        </w:rPr>
      </w:pPr>
      <w:r>
        <w:rPr>
          <w:rFonts w:ascii="Arial" w:eastAsia="Arial"/>
        </w:rPr>
        <w:t>30. </w:t>
      </w:r>
      <w:r>
        <w:rPr>
          <w:rFonts w:ascii="Microsoft JhengHei" w:eastAsia="Microsoft JhengHei" w:hint="eastAsia"/>
          <w:spacing w:val="-1"/>
        </w:rPr>
        <w:t>严重冠心病</w:t>
      </w:r>
    </w:p>
    <w:p>
      <w:pPr>
        <w:pStyle w:val="BodyText"/>
        <w:spacing w:line="225" w:lineRule="auto" w:before="5"/>
        <w:ind w:left="1519" w:right="405"/>
      </w:pPr>
      <w:r>
        <w:rPr/>
        <w:t>指根据冠状动脉造影检查结果确诊的三支主要血管</w:t>
      </w:r>
      <w:r>
        <w:rPr>
          <w:rFonts w:ascii="Arial" w:eastAsia="Arial"/>
        </w:rPr>
        <w:t>(</w:t>
      </w:r>
      <w:r>
        <w:rPr/>
        <w:t>左冠状动脉主干和右冠状动脉，或前降支、左旋支和右冠状动脉</w:t>
      </w:r>
      <w:r>
        <w:rPr>
          <w:rFonts w:ascii="Arial" w:eastAsia="Arial"/>
        </w:rPr>
        <w:t>)</w:t>
      </w:r>
      <w:r>
        <w:rPr/>
        <w:t>严重狭窄性病变</w:t>
      </w:r>
      <w:r>
        <w:rPr>
          <w:rFonts w:ascii="Arial" w:eastAsia="Arial"/>
        </w:rPr>
        <w:t>(</w:t>
      </w:r>
      <w:r>
        <w:rPr/>
        <w:t>至少一支血管管腔直径减少</w:t>
      </w:r>
    </w:p>
    <w:p>
      <w:pPr>
        <w:pStyle w:val="BodyText"/>
        <w:spacing w:line="225" w:lineRule="auto"/>
        <w:ind w:left="1519" w:right="370" w:hanging="1"/>
      </w:pPr>
      <w:r>
        <w:rPr>
          <w:rFonts w:ascii="Arial" w:eastAsia="Arial"/>
        </w:rPr>
        <w:t>75%</w:t>
      </w:r>
      <w:r>
        <w:rPr/>
        <w:t>以上和其他两支血管管腔直径减少 </w:t>
      </w:r>
      <w:r>
        <w:rPr>
          <w:rFonts w:ascii="Arial" w:eastAsia="Arial"/>
        </w:rPr>
        <w:t>60%</w:t>
      </w:r>
      <w:r>
        <w:rPr/>
        <w:t>以上</w:t>
      </w:r>
      <w:r>
        <w:rPr>
          <w:rFonts w:ascii="Arial" w:eastAsia="Arial"/>
        </w:rPr>
        <w:t>)</w:t>
      </w:r>
      <w:r>
        <w:rPr/>
        <w:t>。前降支、左旋支及右冠状动脉的分支血管的狭窄不作为本保障的衡量指标。</w:t>
      </w:r>
    </w:p>
    <w:p>
      <w:pPr>
        <w:pStyle w:val="Heading3"/>
        <w:spacing w:line="352" w:lineRule="exact" w:before="175"/>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1519" w:right="4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pPr>
      <w:r>
        <w:rPr/>
        <w:t>因饮酒所致的急性出血坏死性胰腺炎或经腹腔镜手术进行的治疗不在保障范围内。</w:t>
      </w:r>
    </w:p>
    <w:p>
      <w:pPr>
        <w:spacing w:before="172"/>
        <w:ind w:left="151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519" w:right="4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519" w:right="3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before="9"/>
        <w:rPr>
          <w:rFonts w:ascii="黑体"/>
          <w:b/>
          <w:sz w:val="23"/>
        </w:rPr>
      </w:pPr>
    </w:p>
    <w:p>
      <w:pPr>
        <w:pStyle w:val="BodyText"/>
        <w:spacing w:line="508" w:lineRule="auto"/>
        <w:ind w:left="1519" w:right="4028"/>
      </w:pPr>
      <w:r>
        <w:rPr/>
        <w:pict>
          <v:shape style="position:absolute;margin-left:214.639999pt;margin-top:53.343983pt;width:335.4pt;height:66.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4"/>
                    <w:gridCol w:w="4093"/>
                  </w:tblGrid>
                  <w:tr>
                    <w:trPr>
                      <w:trHeight w:val="254" w:hRule="atLeast"/>
                    </w:trPr>
                    <w:tc>
                      <w:tcPr>
                        <w:tcW w:w="2614" w:type="dxa"/>
                      </w:tcPr>
                      <w:p>
                        <w:pPr>
                          <w:pStyle w:val="TableParagraph"/>
                          <w:spacing w:line="235" w:lineRule="exact"/>
                          <w:ind w:left="202"/>
                          <w:rPr>
                            <w:sz w:val="21"/>
                          </w:rPr>
                        </w:pPr>
                        <w:r>
                          <w:rPr>
                            <w:rFonts w:ascii="Arial" w:eastAsia="Arial"/>
                            <w:sz w:val="21"/>
                          </w:rPr>
                          <w:t>I </w:t>
                        </w:r>
                        <w:r>
                          <w:rPr>
                            <w:sz w:val="21"/>
                          </w:rPr>
                          <w:t>型（微小病变型）</w:t>
                        </w:r>
                      </w:p>
                    </w:tc>
                    <w:tc>
                      <w:tcPr>
                        <w:tcW w:w="4093" w:type="dxa"/>
                      </w:tcPr>
                      <w:p>
                        <w:pPr>
                          <w:pStyle w:val="TableParagraph"/>
                          <w:spacing w:line="221" w:lineRule="exact"/>
                          <w:ind w:left="108"/>
                          <w:rPr>
                            <w:sz w:val="21"/>
                          </w:rPr>
                        </w:pPr>
                        <w:r>
                          <w:rPr>
                            <w:sz w:val="21"/>
                          </w:rPr>
                          <w:t>镜下阴性，尿液正常</w:t>
                        </w:r>
                      </w:p>
                    </w:tc>
                  </w:tr>
                  <w:tr>
                    <w:trPr>
                      <w:trHeight w:val="273" w:hRule="atLeast"/>
                    </w:trPr>
                    <w:tc>
                      <w:tcPr>
                        <w:tcW w:w="2614" w:type="dxa"/>
                      </w:tcPr>
                      <w:p>
                        <w:pPr>
                          <w:pStyle w:val="TableParagraph"/>
                          <w:spacing w:line="254" w:lineRule="exact"/>
                          <w:ind w:left="202"/>
                          <w:rPr>
                            <w:sz w:val="21"/>
                          </w:rPr>
                        </w:pPr>
                        <w:r>
                          <w:rPr>
                            <w:rFonts w:ascii="Arial" w:eastAsia="Arial"/>
                            <w:sz w:val="21"/>
                          </w:rPr>
                          <w:t>II </w:t>
                        </w:r>
                        <w:r>
                          <w:rPr>
                            <w:sz w:val="21"/>
                          </w:rPr>
                          <w:t>型（系膜病变型）</w:t>
                        </w:r>
                      </w:p>
                    </w:tc>
                    <w:tc>
                      <w:tcPr>
                        <w:tcW w:w="4093" w:type="dxa"/>
                      </w:tcPr>
                      <w:p>
                        <w:pPr>
                          <w:pStyle w:val="TableParagraph"/>
                          <w:spacing w:line="240" w:lineRule="exact"/>
                          <w:ind w:left="108"/>
                          <w:rPr>
                            <w:sz w:val="21"/>
                          </w:rPr>
                        </w:pPr>
                        <w:r>
                          <w:rPr>
                            <w:sz w:val="21"/>
                          </w:rPr>
                          <w:t>中度蛋白尿，偶有尿沉渣改变</w:t>
                        </w:r>
                      </w:p>
                    </w:tc>
                  </w:tr>
                  <w:tr>
                    <w:trPr>
                      <w:trHeight w:val="272" w:hRule="atLeast"/>
                    </w:trPr>
                    <w:tc>
                      <w:tcPr>
                        <w:tcW w:w="2614" w:type="dxa"/>
                      </w:tcPr>
                      <w:p>
                        <w:pPr>
                          <w:pStyle w:val="TableParagraph"/>
                          <w:spacing w:line="252" w:lineRule="exact"/>
                          <w:ind w:left="202" w:right="-15"/>
                          <w:rPr>
                            <w:sz w:val="21"/>
                          </w:rPr>
                        </w:pPr>
                        <w:r>
                          <w:rPr>
                            <w:rFonts w:ascii="Arial" w:eastAsia="Arial"/>
                            <w:sz w:val="21"/>
                          </w:rPr>
                          <w:t>III</w:t>
                        </w:r>
                        <w:r>
                          <w:rPr>
                            <w:rFonts w:ascii="Arial" w:eastAsia="Arial"/>
                            <w:spacing w:val="-21"/>
                            <w:sz w:val="21"/>
                          </w:rPr>
                          <w:t> </w:t>
                        </w:r>
                        <w:r>
                          <w:rPr>
                            <w:spacing w:val="-106"/>
                            <w:sz w:val="21"/>
                          </w:rPr>
                          <w:t>型</w:t>
                        </w:r>
                        <w:r>
                          <w:rPr>
                            <w:sz w:val="21"/>
                          </w:rPr>
                          <w:t>（</w:t>
                        </w:r>
                        <w:r>
                          <w:rPr>
                            <w:spacing w:val="-3"/>
                            <w:sz w:val="21"/>
                          </w:rPr>
                          <w:t>局灶及节段增生型</w:t>
                        </w:r>
                        <w:r>
                          <w:rPr>
                            <w:sz w:val="21"/>
                          </w:rPr>
                          <w:t>）</w:t>
                        </w:r>
                      </w:p>
                    </w:tc>
                    <w:tc>
                      <w:tcPr>
                        <w:tcW w:w="4093" w:type="dxa"/>
                      </w:tcPr>
                      <w:p>
                        <w:pPr>
                          <w:pStyle w:val="TableParagraph"/>
                          <w:spacing w:line="240" w:lineRule="exact"/>
                          <w:ind w:left="108"/>
                          <w:rPr>
                            <w:sz w:val="21"/>
                          </w:rPr>
                        </w:pPr>
                        <w:r>
                          <w:rPr>
                            <w:sz w:val="21"/>
                          </w:rPr>
                          <w:t>蛋白尿，尿沉渣改变</w:t>
                        </w:r>
                      </w:p>
                    </w:tc>
                  </w:tr>
                  <w:tr>
                    <w:trPr>
                      <w:trHeight w:val="272" w:hRule="atLeast"/>
                    </w:trPr>
                    <w:tc>
                      <w:tcPr>
                        <w:tcW w:w="2614" w:type="dxa"/>
                      </w:tcPr>
                      <w:p>
                        <w:pPr>
                          <w:pStyle w:val="TableParagraph"/>
                          <w:spacing w:line="252" w:lineRule="exact"/>
                          <w:ind w:left="202"/>
                          <w:rPr>
                            <w:sz w:val="21"/>
                          </w:rPr>
                        </w:pPr>
                        <w:r>
                          <w:rPr>
                            <w:rFonts w:ascii="Arial" w:eastAsia="Arial"/>
                            <w:sz w:val="21"/>
                          </w:rPr>
                          <w:t>IV </w:t>
                        </w:r>
                        <w:r>
                          <w:rPr>
                            <w:sz w:val="21"/>
                          </w:rPr>
                          <w:t>型（弥漫增生型）</w:t>
                        </w:r>
                      </w:p>
                    </w:tc>
                    <w:tc>
                      <w:tcPr>
                        <w:tcW w:w="4093" w:type="dxa"/>
                      </w:tcPr>
                      <w:p>
                        <w:pPr>
                          <w:pStyle w:val="TableParagraph"/>
                          <w:spacing w:line="238" w:lineRule="exact"/>
                          <w:ind w:left="108"/>
                          <w:rPr>
                            <w:sz w:val="21"/>
                          </w:rPr>
                        </w:pPr>
                        <w:r>
                          <w:rPr>
                            <w:sz w:val="21"/>
                          </w:rPr>
                          <w:t>急性肾炎伴有尿沉渣改变及／或肾病综合</w:t>
                        </w:r>
                      </w:p>
                    </w:tc>
                  </w:tr>
                  <w:tr>
                    <w:trPr>
                      <w:trHeight w:val="254" w:hRule="atLeast"/>
                    </w:trPr>
                    <w:tc>
                      <w:tcPr>
                        <w:tcW w:w="2614" w:type="dxa"/>
                      </w:tcPr>
                      <w:p>
                        <w:pPr>
                          <w:pStyle w:val="TableParagraph"/>
                          <w:spacing w:line="235" w:lineRule="exact"/>
                          <w:ind w:left="200"/>
                          <w:rPr>
                            <w:sz w:val="21"/>
                          </w:rPr>
                        </w:pPr>
                        <w:r>
                          <w:rPr>
                            <w:rFonts w:ascii="Arial" w:eastAsia="Arial"/>
                            <w:sz w:val="21"/>
                          </w:rPr>
                          <w:t>V </w:t>
                        </w:r>
                        <w:r>
                          <w:rPr>
                            <w:sz w:val="21"/>
                          </w:rPr>
                          <w:t>型（膜型）</w:t>
                        </w:r>
                      </w:p>
                    </w:tc>
                    <w:tc>
                      <w:tcPr>
                        <w:tcW w:w="4093" w:type="dxa"/>
                      </w:tcPr>
                      <w:p>
                        <w:pPr>
                          <w:pStyle w:val="TableParagraph"/>
                          <w:spacing w:line="235" w:lineRule="exact"/>
                          <w:ind w:left="0"/>
                          <w:rPr>
                            <w:sz w:val="21"/>
                          </w:rPr>
                        </w:pPr>
                        <w:r>
                          <w:rPr>
                            <w:sz w:val="21"/>
                          </w:rPr>
                          <w:t>肾病综合征或重度蛋白尿</w:t>
                        </w:r>
                      </w:p>
                    </w:tc>
                  </w:tr>
                </w:tbl>
                <w:p>
                  <w:pPr>
                    <w:pStyle w:val="BodyText"/>
                  </w:pPr>
                </w:p>
              </w:txbxContent>
            </v:textbox>
            <w10:wrap type="none"/>
          </v:shape>
        </w:pict>
      </w:r>
      <w:r>
        <w:rPr/>
        <w:t>本病必须由免疫和风湿科专家医师确诊。</w:t>
      </w:r>
      <w:r>
        <w:rPr>
          <w:u w:val="single"/>
        </w:rPr>
        <w:t>世界卫生组织（</w:t>
      </w:r>
      <w:r>
        <w:rPr>
          <w:rFonts w:ascii="Arial" w:eastAsia="Arial"/>
          <w:u w:val="single"/>
        </w:rPr>
        <w:t>WHO</w:t>
      </w:r>
      <w:r>
        <w:rPr>
          <w:u w:val="single"/>
        </w:rPr>
        <w:t>）狼疮性肾炎分型：</w:t>
      </w:r>
    </w:p>
    <w:p>
      <w:pPr>
        <w:pStyle w:val="BodyText"/>
        <w:rPr>
          <w:sz w:val="24"/>
        </w:rPr>
      </w:pPr>
    </w:p>
    <w:p>
      <w:pPr>
        <w:pStyle w:val="BodyText"/>
        <w:rPr>
          <w:sz w:val="24"/>
        </w:rPr>
      </w:pPr>
    </w:p>
    <w:p>
      <w:pPr>
        <w:pStyle w:val="BodyText"/>
        <w:rPr>
          <w:sz w:val="24"/>
        </w:rPr>
      </w:pPr>
    </w:p>
    <w:p>
      <w:pPr>
        <w:pStyle w:val="BodyText"/>
        <w:rPr>
          <w:sz w:val="24"/>
        </w:rPr>
      </w:pPr>
    </w:p>
    <w:p>
      <w:pPr>
        <w:pStyle w:val="Heading3"/>
        <w:spacing w:before="161"/>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519"/>
      </w:pPr>
      <w:r>
        <w:rPr/>
        <w:t>被保险人因输血而感染上人类免疫缺陷病毒（</w:t>
      </w:r>
      <w:r>
        <w:rPr>
          <w:rFonts w:ascii="Arial" w:eastAsia="Arial"/>
        </w:rPr>
        <w:t>HIV</w:t>
      </w:r>
      <w:r>
        <w:rPr/>
        <w:t>）必须满足以下的条件：</w:t>
      </w:r>
    </w:p>
    <w:p>
      <w:pPr>
        <w:pStyle w:val="BodyText"/>
        <w:spacing w:before="62"/>
        <w:ind w:left="151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519" w:right="3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519" w:right="438"/>
      </w:pPr>
      <w:r>
        <w:rPr/>
        <w:t>保险公司必须拥有获得使用被保险人的所有血液样本的权利和能够对这些样本进行独立检验的权利。</w:t>
      </w:r>
    </w:p>
    <w:p>
      <w:pPr>
        <w:pStyle w:val="Heading3"/>
        <w:spacing w:before="174"/>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519" w:right="439"/>
      </w:pPr>
      <w:r>
        <w:rPr>
          <w:spacing w:val="-2"/>
          <w:w w:val="100"/>
        </w:rPr>
        <w:t>系统性硬皮病</w:t>
      </w:r>
      <w:r>
        <w:rPr>
          <w:spacing w:val="-3"/>
          <w:w w:val="100"/>
        </w:rPr>
        <w:t>（须累及内脏器官</w:t>
      </w:r>
      <w:r>
        <w:rPr>
          <w:spacing w:val="-106"/>
          <w:w w:val="100"/>
        </w:rPr>
        <w:t>）</w:t>
      </w:r>
      <w:r>
        <w:rPr>
          <w:spacing w:val="-4"/>
          <w:w w:val="100"/>
        </w:rPr>
        <w:t>，指一种以局限性或弥漫性皮肤增厚和皮肤、血</w:t>
      </w:r>
      <w:r>
        <w:rPr>
          <w:spacing w:val="-10"/>
        </w:rPr>
        <w:t>管、内脏器官异常纤维化为特征的结缔组织病。本病须经专科医师明确诊断，并须</w:t>
      </w:r>
    </w:p>
    <w:p>
      <w:pPr>
        <w:spacing w:after="0"/>
        <w:sectPr>
          <w:pgSz w:w="11910" w:h="16840"/>
          <w:pgMar w:header="0" w:footer="492" w:top="1420" w:bottom="760" w:left="168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7881"/>
      </w:tblGrid>
      <w:tr>
        <w:trPr>
          <w:trHeight w:val="12208" w:hRule="atLeast"/>
        </w:trPr>
        <w:tc>
          <w:tcPr>
            <w:tcW w:w="2050" w:type="dxa"/>
          </w:tcPr>
          <w:p>
            <w:pPr>
              <w:pStyle w:val="TableParagraph"/>
              <w:ind w:left="0"/>
              <w:rPr>
                <w:rFonts w:ascii="Times New Roman"/>
                <w:sz w:val="20"/>
              </w:rPr>
            </w:pPr>
          </w:p>
        </w:tc>
        <w:tc>
          <w:tcPr>
            <w:tcW w:w="7881" w:type="dxa"/>
          </w:tcPr>
          <w:p>
            <w:pPr>
              <w:pStyle w:val="TableParagraph"/>
              <w:spacing w:line="211" w:lineRule="exact"/>
              <w:jc w:val="both"/>
              <w:rPr>
                <w:sz w:val="21"/>
              </w:rPr>
            </w:pPr>
            <w:r>
              <w:rPr>
                <w:sz w:val="21"/>
              </w:rPr>
              <w:t>满足下列至少一项条件：</w:t>
            </w:r>
          </w:p>
          <w:p>
            <w:pPr>
              <w:pStyle w:val="TableParagraph"/>
              <w:numPr>
                <w:ilvl w:val="0"/>
                <w:numId w:val="14"/>
              </w:numPr>
              <w:tabs>
                <w:tab w:pos="853" w:val="left" w:leader="none"/>
              </w:tabs>
              <w:spacing w:line="240" w:lineRule="auto" w:before="78" w:after="0"/>
              <w:ind w:left="852" w:right="0" w:hanging="746"/>
              <w:jc w:val="both"/>
              <w:rPr>
                <w:sz w:val="21"/>
              </w:rPr>
            </w:pPr>
            <w:r>
              <w:rPr>
                <w:spacing w:val="-3"/>
                <w:sz w:val="21"/>
              </w:rPr>
              <w:t>肺脏：肺部病变进而发展为肺间质纤维化和肺动脉高压；</w:t>
            </w:r>
          </w:p>
          <w:p>
            <w:pPr>
              <w:pStyle w:val="TableParagraph"/>
              <w:numPr>
                <w:ilvl w:val="0"/>
                <w:numId w:val="14"/>
              </w:numPr>
              <w:tabs>
                <w:tab w:pos="853" w:val="left" w:leader="none"/>
              </w:tabs>
              <w:spacing w:line="280" w:lineRule="exact" w:before="60" w:after="0"/>
              <w:ind w:left="852"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4"/>
              </w:numPr>
              <w:tabs>
                <w:tab w:pos="853" w:val="left" w:leader="none"/>
              </w:tabs>
              <w:spacing w:line="280" w:lineRule="exact" w:before="0" w:after="0"/>
              <w:ind w:left="852" w:right="0" w:hanging="746"/>
              <w:jc w:val="both"/>
              <w:rPr>
                <w:sz w:val="21"/>
              </w:rPr>
            </w:pPr>
            <w:r>
              <w:rPr>
                <w:spacing w:val="-3"/>
                <w:sz w:val="21"/>
              </w:rPr>
              <w:t>肾脏：肾脏受损导致双肾功能慢性不可逆衰竭，达到尿毒症期。</w:t>
            </w:r>
          </w:p>
          <w:p>
            <w:pPr>
              <w:pStyle w:val="TableParagraph"/>
              <w:spacing w:before="158"/>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right="303"/>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5"/>
              </w:numPr>
              <w:tabs>
                <w:tab w:pos="852" w:val="left" w:leader="none"/>
                <w:tab w:pos="853" w:val="left" w:leader="none"/>
              </w:tabs>
              <w:spacing w:line="240" w:lineRule="auto" w:before="78" w:after="0"/>
              <w:ind w:left="840" w:right="0" w:hanging="734"/>
              <w:jc w:val="left"/>
              <w:rPr>
                <w:sz w:val="21"/>
              </w:rPr>
            </w:pPr>
            <w:r>
              <w:rPr>
                <w:spacing w:val="-3"/>
                <w:sz w:val="21"/>
              </w:rPr>
              <w:t>经药物、胸腺手术治疗一年以上无法控制病情，丧失正常工作能力；</w:t>
            </w:r>
          </w:p>
          <w:p>
            <w:pPr>
              <w:pStyle w:val="TableParagraph"/>
              <w:numPr>
                <w:ilvl w:val="0"/>
                <w:numId w:val="15"/>
              </w:numPr>
              <w:tabs>
                <w:tab w:pos="832" w:val="left" w:leader="none"/>
              </w:tabs>
              <w:spacing w:line="225" w:lineRule="auto" w:before="78" w:after="0"/>
              <w:ind w:left="840" w:right="306" w:hanging="734"/>
              <w:jc w:val="left"/>
              <w:rPr>
                <w:sz w:val="21"/>
              </w:rPr>
            </w:pPr>
            <w:r>
              <w:rPr>
                <w:spacing w:val="-6"/>
                <w:sz w:val="21"/>
              </w:rPr>
              <w:t>出现眼睑下垂，或延髓肌受累引起的构音困难、进食呛咳</w:t>
            </w:r>
            <w:r>
              <w:rPr>
                <w:rFonts w:ascii="Arial" w:eastAsia="Arial"/>
                <w:spacing w:val="-3"/>
                <w:sz w:val="21"/>
              </w:rPr>
              <w:t>,</w:t>
            </w:r>
            <w:r>
              <w:rPr>
                <w:spacing w:val="-3"/>
                <w:sz w:val="21"/>
              </w:rPr>
              <w:t>或由于肌无力累及延髓肌、呼吸肌而致机体呼吸功能不正常的危急状态即肌无力危象；</w:t>
            </w:r>
          </w:p>
          <w:p>
            <w:pPr>
              <w:pStyle w:val="TableParagraph"/>
              <w:numPr>
                <w:ilvl w:val="0"/>
                <w:numId w:val="15"/>
              </w:numPr>
              <w:tabs>
                <w:tab w:pos="850" w:val="left" w:leader="none"/>
                <w:tab w:pos="851" w:val="left" w:leader="none"/>
              </w:tabs>
              <w:spacing w:line="225" w:lineRule="auto" w:before="16" w:after="0"/>
              <w:ind w:left="840" w:right="305" w:hanging="734"/>
              <w:jc w:val="left"/>
              <w:rPr>
                <w:sz w:val="21"/>
              </w:rPr>
            </w:pPr>
            <w:r>
              <w:rPr>
                <w:spacing w:val="-3"/>
                <w:sz w:val="21"/>
              </w:rPr>
              <w:t>症状缓解、复发及恶化交替出现，临床接受新斯的明等抗胆碱酯酶药物治疗的病史。</w:t>
            </w:r>
          </w:p>
          <w:p>
            <w:pPr>
              <w:pStyle w:val="TableParagraph"/>
              <w:spacing w:before="172"/>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5" w:right="303"/>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right="305"/>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spacing w:before="1"/>
              <w:ind w:left="0"/>
              <w:rPr>
                <w:sz w:val="14"/>
              </w:rPr>
            </w:pPr>
          </w:p>
          <w:p>
            <w:pPr>
              <w:pStyle w:val="TableParagraph"/>
              <w:spacing w:line="352" w:lineRule="exact"/>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right="304"/>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jc w:val="both"/>
              <w:rPr>
                <w:sz w:val="21"/>
              </w:rPr>
            </w:pPr>
            <w:r>
              <w:rPr>
                <w:sz w:val="21"/>
              </w:rPr>
              <w:t>坏死性筋膜炎的诊断须同时符合下列要求：</w:t>
            </w:r>
          </w:p>
          <w:p>
            <w:pPr>
              <w:pStyle w:val="TableParagraph"/>
              <w:numPr>
                <w:ilvl w:val="0"/>
                <w:numId w:val="16"/>
              </w:numPr>
              <w:tabs>
                <w:tab w:pos="853" w:val="left" w:leader="none"/>
              </w:tabs>
              <w:spacing w:line="240" w:lineRule="auto" w:before="75" w:after="0"/>
              <w:ind w:left="106" w:right="0" w:firstLine="0"/>
              <w:jc w:val="both"/>
              <w:rPr>
                <w:sz w:val="21"/>
              </w:rPr>
            </w:pPr>
            <w:r>
              <w:rPr>
                <w:spacing w:val="-3"/>
                <w:sz w:val="21"/>
              </w:rPr>
              <w:t>符合坏死性筋膜炎的一般临床表现；</w:t>
            </w:r>
          </w:p>
          <w:p>
            <w:pPr>
              <w:pStyle w:val="TableParagraph"/>
              <w:numPr>
                <w:ilvl w:val="0"/>
                <w:numId w:val="16"/>
              </w:numPr>
              <w:tabs>
                <w:tab w:pos="853" w:val="left" w:leader="none"/>
              </w:tabs>
              <w:spacing w:line="282" w:lineRule="exact" w:before="60" w:after="0"/>
              <w:ind w:left="106" w:right="0" w:firstLine="0"/>
              <w:jc w:val="both"/>
              <w:rPr>
                <w:sz w:val="21"/>
              </w:rPr>
            </w:pPr>
            <w:r>
              <w:rPr>
                <w:spacing w:val="-3"/>
                <w:sz w:val="21"/>
              </w:rPr>
              <w:t>细菌培养检出致病菌；</w:t>
            </w:r>
          </w:p>
          <w:p>
            <w:pPr>
              <w:pStyle w:val="TableParagraph"/>
              <w:numPr>
                <w:ilvl w:val="0"/>
                <w:numId w:val="16"/>
              </w:numPr>
              <w:tabs>
                <w:tab w:pos="798" w:val="left" w:leader="none"/>
              </w:tabs>
              <w:spacing w:line="225" w:lineRule="auto" w:before="9" w:after="0"/>
              <w:ind w:left="106" w:right="197"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right="303"/>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p>
          <w:p>
            <w:pPr>
              <w:pStyle w:val="TableParagraph"/>
              <w:spacing w:line="273" w:lineRule="exact" w:before="10"/>
              <w:jc w:val="both"/>
              <w:rPr>
                <w:sz w:val="21"/>
              </w:rPr>
            </w:pPr>
            <w:r>
              <w:rPr>
                <w:sz w:val="21"/>
              </w:rPr>
              <w:t>或肠穿孔。</w:t>
            </w:r>
          </w:p>
        </w:tc>
      </w:tr>
      <w:tr>
        <w:trPr>
          <w:trHeight w:val="1377" w:hRule="atLeast"/>
        </w:trPr>
        <w:tc>
          <w:tcPr>
            <w:tcW w:w="2050" w:type="dxa"/>
          </w:tcPr>
          <w:p>
            <w:pPr>
              <w:pStyle w:val="TableParagraph"/>
              <w:spacing w:line="254" w:lineRule="exact"/>
              <w:ind w:left="200"/>
              <w:rPr>
                <w:sz w:val="11"/>
              </w:rPr>
            </w:pPr>
            <w:r>
              <w:rPr>
                <w:sz w:val="21"/>
              </w:rPr>
              <w:t>专科医生</w:t>
            </w:r>
            <w:r>
              <w:rPr>
                <w:position w:val="11"/>
                <w:sz w:val="11"/>
              </w:rPr>
              <w:t>（4）</w:t>
            </w:r>
          </w:p>
        </w:tc>
        <w:tc>
          <w:tcPr>
            <w:tcW w:w="7881" w:type="dxa"/>
          </w:tcPr>
          <w:p>
            <w:pPr>
              <w:pStyle w:val="TableParagraph"/>
              <w:spacing w:line="253" w:lineRule="exact"/>
              <w:ind w:left="105"/>
              <w:rPr>
                <w:sz w:val="21"/>
              </w:rPr>
            </w:pPr>
            <w:r>
              <w:rPr>
                <w:sz w:val="21"/>
              </w:rPr>
              <w:t>：专科医生应当同时满足以下四项资格条件：</w:t>
            </w:r>
          </w:p>
          <w:p>
            <w:pPr>
              <w:pStyle w:val="TableParagraph"/>
              <w:spacing w:line="272" w:lineRule="exact"/>
              <w:ind w:left="105"/>
              <w:rPr>
                <w:sz w:val="21"/>
              </w:rPr>
            </w:pPr>
            <w:r>
              <w:rPr>
                <w:sz w:val="21"/>
              </w:rPr>
              <w:t>（1）具有有效的中华人民共和国《医师资格证书》；</w:t>
            </w:r>
          </w:p>
          <w:p>
            <w:pPr>
              <w:pStyle w:val="TableParagraph"/>
              <w:spacing w:line="272" w:lineRule="exact"/>
              <w:rPr>
                <w:sz w:val="21"/>
              </w:rPr>
            </w:pPr>
            <w:r>
              <w:rPr>
                <w:sz w:val="21"/>
              </w:rPr>
              <w:t>（2）具有有效的中华人民共和国《医师执业证书》，并按期到相关部门登记注册；</w:t>
            </w:r>
          </w:p>
          <w:p>
            <w:pPr>
              <w:pStyle w:val="TableParagraph"/>
              <w:spacing w:line="274" w:lineRule="exact"/>
              <w:rPr>
                <w:sz w:val="21"/>
              </w:rPr>
            </w:pPr>
            <w:r>
              <w:rPr>
                <w:w w:val="100"/>
                <w:sz w:val="21"/>
              </w:rPr>
              <w:t>（3</w:t>
            </w:r>
            <w:r>
              <w:rPr>
                <w:spacing w:val="-104"/>
                <w:w w:val="100"/>
                <w:sz w:val="21"/>
              </w:rPr>
              <w:t>）</w:t>
            </w:r>
            <w:r>
              <w:rPr>
                <w:spacing w:val="-10"/>
                <w:w w:val="100"/>
                <w:sz w:val="21"/>
              </w:rPr>
              <w:t>具有有效的中华人民共和国主治医师或主治医师以上职称的《医师职称证书》；</w:t>
            </w:r>
          </w:p>
          <w:p>
            <w:pPr>
              <w:pStyle w:val="TableParagraph"/>
              <w:spacing w:line="274" w:lineRule="exact"/>
              <w:rPr>
                <w:sz w:val="21"/>
              </w:rPr>
            </w:pPr>
            <w:r>
              <w:rPr>
                <w:sz w:val="21"/>
              </w:rPr>
              <w:t>（4）在二级或二级以上医院的相应科室从事临床工作三年以上。</w:t>
            </w:r>
          </w:p>
        </w:tc>
      </w:tr>
      <w:tr>
        <w:trPr>
          <w:trHeight w:val="787" w:hRule="atLeast"/>
        </w:trPr>
        <w:tc>
          <w:tcPr>
            <w:tcW w:w="2050" w:type="dxa"/>
          </w:tcPr>
          <w:p>
            <w:pPr>
              <w:pStyle w:val="TableParagraph"/>
              <w:spacing w:line="240" w:lineRule="exact"/>
              <w:ind w:left="200"/>
              <w:rPr>
                <w:b/>
                <w:sz w:val="21"/>
              </w:rPr>
            </w:pPr>
            <w:r>
              <w:rPr>
                <w:b/>
                <w:sz w:val="21"/>
              </w:rPr>
              <w:t>符合条件的医疗机</w:t>
            </w:r>
          </w:p>
          <w:p>
            <w:pPr>
              <w:pStyle w:val="TableParagraph"/>
              <w:spacing w:line="273" w:lineRule="exact"/>
              <w:ind w:left="200"/>
              <w:rPr>
                <w:sz w:val="11"/>
              </w:rPr>
            </w:pPr>
            <w:r>
              <w:rPr>
                <w:b/>
                <w:position w:val="-10"/>
                <w:sz w:val="21"/>
              </w:rPr>
              <w:t>构</w:t>
            </w:r>
            <w:r>
              <w:rPr>
                <w:sz w:val="11"/>
              </w:rPr>
              <w:t>（5）</w:t>
            </w:r>
          </w:p>
        </w:tc>
        <w:tc>
          <w:tcPr>
            <w:tcW w:w="7881" w:type="dxa"/>
          </w:tcPr>
          <w:p>
            <w:pPr>
              <w:pStyle w:val="TableParagraph"/>
              <w:spacing w:line="240" w:lineRule="exact"/>
              <w:rPr>
                <w:b/>
                <w:sz w:val="21"/>
              </w:rPr>
            </w:pPr>
            <w:r>
              <w:rPr>
                <w:sz w:val="21"/>
              </w:rPr>
              <w:t>：</w:t>
            </w:r>
            <w:r>
              <w:rPr>
                <w:b/>
                <w:sz w:val="21"/>
              </w:rPr>
              <w:t>是指符合下列所有条件之中国境内机构：</w:t>
            </w:r>
          </w:p>
          <w:p>
            <w:pPr>
              <w:pStyle w:val="TableParagraph"/>
              <w:spacing w:line="272" w:lineRule="exact"/>
              <w:ind w:left="101"/>
              <w:rPr>
                <w:b/>
                <w:sz w:val="21"/>
              </w:rPr>
            </w:pPr>
            <w:r>
              <w:rPr>
                <w:b/>
                <w:sz w:val="21"/>
              </w:rPr>
              <w:t>（1）拥有合法经营执照；</w:t>
            </w:r>
          </w:p>
          <w:p>
            <w:pPr>
              <w:pStyle w:val="TableParagraph"/>
              <w:spacing w:line="254" w:lineRule="exact"/>
              <w:ind w:left="101"/>
              <w:rPr>
                <w:b/>
                <w:sz w:val="21"/>
              </w:rPr>
            </w:pPr>
            <w:r>
              <w:rPr>
                <w:b/>
                <w:sz w:val="21"/>
              </w:rPr>
              <w:t>（2）设立的主要目的为向受伤者和患病者提供住院治疗；</w:t>
            </w:r>
          </w:p>
        </w:tc>
      </w:tr>
    </w:tbl>
    <w:p>
      <w:pPr>
        <w:spacing w:after="0" w:line="254" w:lineRule="exact"/>
        <w:rPr>
          <w:sz w:val="21"/>
        </w:rPr>
        <w:sectPr>
          <w:pgSz w:w="11910" w:h="16840"/>
          <w:pgMar w:header="0" w:footer="492" w:top="1420" w:bottom="680" w:left="940" w:right="820"/>
        </w:sectPr>
      </w:pPr>
    </w:p>
    <w:p>
      <w:pPr>
        <w:pStyle w:val="Heading3"/>
        <w:spacing w:line="274" w:lineRule="exact" w:before="26"/>
        <w:ind w:left="2054"/>
        <w:rPr>
          <w:rFonts w:ascii="宋体" w:eastAsia="宋体" w:hint="eastAsia"/>
        </w:rPr>
      </w:pPr>
      <w:r>
        <w:rPr>
          <w:rFonts w:ascii="宋体" w:eastAsia="宋体" w:hint="eastAsia"/>
        </w:rPr>
        <w:t>（3）有合格的医生和护士提供全日 24 小时的医疗和护理服务；</w:t>
      </w:r>
    </w:p>
    <w:p>
      <w:pPr>
        <w:spacing w:line="272" w:lineRule="exact" w:before="0"/>
        <w:ind w:left="2059" w:right="0" w:firstLine="0"/>
        <w:jc w:val="left"/>
        <w:rPr>
          <w:b/>
          <w:sz w:val="21"/>
        </w:rPr>
      </w:pPr>
      <w:r>
        <w:rPr>
          <w:b/>
          <w:sz w:val="21"/>
        </w:rPr>
        <w:t>（4）非主要作为康复、护理、疗养、戒酒、戒毒、或类似的医疗机构；</w:t>
      </w:r>
    </w:p>
    <w:p>
      <w:pPr>
        <w:spacing w:before="0"/>
        <w:ind w:left="2059" w:right="170" w:firstLine="2"/>
        <w:jc w:val="left"/>
        <w:rPr>
          <w:b/>
          <w:sz w:val="21"/>
        </w:rPr>
      </w:pPr>
      <w:r>
        <w:rPr>
          <w:b/>
          <w:sz w:val="21"/>
        </w:rPr>
        <w:t>（5）在为当地社会（基本）医疗保险机构指定或认可的二级或二级以上及同等级别的医院。</w:t>
      </w:r>
    </w:p>
    <w:p>
      <w:pPr>
        <w:pStyle w:val="BodyText"/>
        <w:tabs>
          <w:tab w:pos="2059" w:val="left" w:leader="none"/>
        </w:tabs>
        <w:spacing w:line="237" w:lineRule="auto" w:before="3"/>
        <w:ind w:left="2232" w:right="112" w:hanging="2105"/>
      </w:pPr>
      <w:r>
        <w:rPr/>
        <w:t>毒品</w:t>
      </w:r>
      <w:r>
        <w:rPr>
          <w:position w:val="11"/>
          <w:sz w:val="11"/>
        </w:rPr>
        <w:t>（6）</w:t>
        <w:tab/>
      </w:r>
      <w:r>
        <w:rPr>
          <w:spacing w:val="-17"/>
        </w:rPr>
        <w:t>：</w:t>
      </w:r>
      <w:r>
        <w:rPr/>
        <w:t>指</w:t>
      </w:r>
      <w:r>
        <w:rPr>
          <w:spacing w:val="-3"/>
        </w:rPr>
        <w:t>中</w:t>
      </w:r>
      <w:r>
        <w:rPr/>
        <w:t>华</w:t>
      </w:r>
      <w:r>
        <w:rPr>
          <w:spacing w:val="-3"/>
        </w:rPr>
        <w:t>人</w:t>
      </w:r>
      <w:r>
        <w:rPr/>
        <w:t>民</w:t>
      </w:r>
      <w:r>
        <w:rPr>
          <w:spacing w:val="-3"/>
        </w:rPr>
        <w:t>共</w:t>
      </w:r>
      <w:r>
        <w:rPr/>
        <w:t>和</w:t>
      </w:r>
      <w:r>
        <w:rPr>
          <w:spacing w:val="-3"/>
        </w:rPr>
        <w:t>国</w:t>
      </w:r>
      <w:r>
        <w:rPr/>
        <w:t>刑</w:t>
      </w:r>
      <w:r>
        <w:rPr>
          <w:spacing w:val="-3"/>
        </w:rPr>
        <w:t>法</w:t>
      </w:r>
      <w:r>
        <w:rPr/>
        <w:t>规定</w:t>
      </w:r>
      <w:r>
        <w:rPr>
          <w:spacing w:val="-3"/>
        </w:rPr>
        <w:t>的</w:t>
      </w:r>
      <w:r>
        <w:rPr/>
        <w:t>鸦</w:t>
      </w:r>
      <w:r>
        <w:rPr>
          <w:spacing w:val="-3"/>
        </w:rPr>
        <w:t>片</w:t>
      </w:r>
      <w:r>
        <w:rPr>
          <w:spacing w:val="-17"/>
        </w:rPr>
        <w:t>、</w:t>
      </w:r>
      <w:r>
        <w:rPr>
          <w:spacing w:val="-3"/>
        </w:rPr>
        <w:t>海</w:t>
      </w:r>
      <w:r>
        <w:rPr/>
        <w:t>洛因</w:t>
      </w:r>
      <w:r>
        <w:rPr>
          <w:spacing w:val="-20"/>
        </w:rPr>
        <w:t>、</w:t>
      </w:r>
      <w:r>
        <w:rPr>
          <w:spacing w:val="-3"/>
        </w:rPr>
        <w:t>甲</w:t>
      </w:r>
      <w:r>
        <w:rPr/>
        <w:t>基苯</w:t>
      </w:r>
      <w:r>
        <w:rPr>
          <w:spacing w:val="-3"/>
        </w:rPr>
        <w:t>丙</w:t>
      </w:r>
      <w:r>
        <w:rPr>
          <w:spacing w:val="-17"/>
        </w:rPr>
        <w:t>胺</w:t>
      </w:r>
      <w:r>
        <w:rPr>
          <w:spacing w:val="-3"/>
        </w:rPr>
        <w:t>（</w:t>
      </w:r>
      <w:r>
        <w:rPr/>
        <w:t>冰毒</w:t>
      </w:r>
      <w:r>
        <w:rPr>
          <w:spacing w:val="-108"/>
        </w:rPr>
        <w:t>）</w:t>
      </w:r>
      <w:r>
        <w:rPr>
          <w:spacing w:val="-17"/>
        </w:rPr>
        <w:t>、</w:t>
      </w:r>
      <w:r>
        <w:rPr>
          <w:spacing w:val="-3"/>
        </w:rPr>
        <w:t>吗</w:t>
      </w:r>
      <w:r>
        <w:rPr/>
        <w:t>啡</w:t>
      </w:r>
      <w:r>
        <w:rPr>
          <w:spacing w:val="-20"/>
        </w:rPr>
        <w:t>、</w:t>
      </w:r>
      <w:r>
        <w:rPr/>
        <w:t>大麻、 可卡</w:t>
      </w:r>
      <w:r>
        <w:rPr>
          <w:spacing w:val="-3"/>
        </w:rPr>
        <w:t>因</w:t>
      </w:r>
      <w:r>
        <w:rPr/>
        <w:t>以</w:t>
      </w:r>
      <w:r>
        <w:rPr>
          <w:spacing w:val="-3"/>
        </w:rPr>
        <w:t>及</w:t>
      </w:r>
      <w:r>
        <w:rPr/>
        <w:t>国</w:t>
      </w:r>
      <w:r>
        <w:rPr>
          <w:spacing w:val="-3"/>
        </w:rPr>
        <w:t>家</w:t>
      </w:r>
      <w:r>
        <w:rPr/>
        <w:t>规</w:t>
      </w:r>
      <w:r>
        <w:rPr>
          <w:spacing w:val="-3"/>
        </w:rPr>
        <w:t>定</w:t>
      </w:r>
      <w:r>
        <w:rPr/>
        <w:t>管</w:t>
      </w:r>
      <w:r>
        <w:rPr>
          <w:spacing w:val="-3"/>
        </w:rPr>
        <w:t>制</w:t>
      </w:r>
      <w:r>
        <w:rPr/>
        <w:t>的其</w:t>
      </w:r>
      <w:r>
        <w:rPr>
          <w:spacing w:val="-3"/>
        </w:rPr>
        <w:t>他</w:t>
      </w:r>
      <w:r>
        <w:rPr/>
        <w:t>能</w:t>
      </w:r>
      <w:r>
        <w:rPr>
          <w:spacing w:val="-3"/>
        </w:rPr>
        <w:t>够</w:t>
      </w:r>
      <w:r>
        <w:rPr/>
        <w:t>使</w:t>
      </w:r>
      <w:r>
        <w:rPr>
          <w:spacing w:val="-3"/>
        </w:rPr>
        <w:t>人</w:t>
      </w:r>
      <w:r>
        <w:rPr/>
        <w:t>形</w:t>
      </w:r>
      <w:r>
        <w:rPr>
          <w:spacing w:val="-3"/>
        </w:rPr>
        <w:t>成</w:t>
      </w:r>
      <w:r>
        <w:rPr/>
        <w:t>瘾</w:t>
      </w:r>
      <w:r>
        <w:rPr>
          <w:spacing w:val="-3"/>
        </w:rPr>
        <w:t>癖</w:t>
      </w:r>
      <w:r>
        <w:rPr/>
        <w:t>的麻</w:t>
      </w:r>
      <w:r>
        <w:rPr>
          <w:spacing w:val="-3"/>
        </w:rPr>
        <w:t>醉</w:t>
      </w:r>
      <w:r>
        <w:rPr/>
        <w:t>药</w:t>
      </w:r>
      <w:r>
        <w:rPr>
          <w:spacing w:val="-3"/>
        </w:rPr>
        <w:t>品</w:t>
      </w:r>
      <w:r>
        <w:rPr/>
        <w:t>和</w:t>
      </w:r>
      <w:r>
        <w:rPr>
          <w:spacing w:val="-3"/>
        </w:rPr>
        <w:t>精</w:t>
      </w:r>
      <w:r>
        <w:rPr/>
        <w:t>神</w:t>
      </w:r>
      <w:r>
        <w:rPr>
          <w:spacing w:val="-3"/>
        </w:rPr>
        <w:t>药品</w:t>
      </w:r>
      <w:r>
        <w:rPr>
          <w:spacing w:val="-63"/>
        </w:rPr>
        <w:t>，</w:t>
      </w:r>
      <w:r>
        <w:rPr/>
        <w:t>但不包括</w:t>
      </w:r>
      <w:r>
        <w:rPr>
          <w:spacing w:val="-3"/>
        </w:rPr>
        <w:t>由</w:t>
      </w:r>
      <w:r>
        <w:rPr/>
        <w:t>医</w:t>
      </w:r>
      <w:r>
        <w:rPr>
          <w:spacing w:val="-3"/>
        </w:rPr>
        <w:t>生</w:t>
      </w:r>
      <w:r>
        <w:rPr/>
        <w:t>开</w:t>
      </w:r>
      <w:r>
        <w:rPr>
          <w:spacing w:val="-3"/>
        </w:rPr>
        <w:t>具</w:t>
      </w:r>
      <w:r>
        <w:rPr/>
        <w:t>并</w:t>
      </w:r>
      <w:r>
        <w:rPr>
          <w:spacing w:val="-3"/>
        </w:rPr>
        <w:t>遵</w:t>
      </w:r>
      <w:r>
        <w:rPr/>
        <w:t>医</w:t>
      </w:r>
      <w:r>
        <w:rPr>
          <w:spacing w:val="-3"/>
        </w:rPr>
        <w:t>嘱</w:t>
      </w:r>
      <w:r>
        <w:rPr/>
        <w:t>使用</w:t>
      </w:r>
      <w:r>
        <w:rPr>
          <w:spacing w:val="-3"/>
        </w:rPr>
        <w:t>的</w:t>
      </w:r>
      <w:r>
        <w:rPr/>
        <w:t>用</w:t>
      </w:r>
      <w:r>
        <w:rPr>
          <w:spacing w:val="-3"/>
        </w:rPr>
        <w:t>于</w:t>
      </w:r>
      <w:r>
        <w:rPr/>
        <w:t>治</w:t>
      </w:r>
      <w:r>
        <w:rPr>
          <w:spacing w:val="-3"/>
        </w:rPr>
        <w:t>疗</w:t>
      </w:r>
      <w:r>
        <w:rPr/>
        <w:t>疾</w:t>
      </w:r>
      <w:r>
        <w:rPr>
          <w:spacing w:val="-3"/>
        </w:rPr>
        <w:t>病</w:t>
      </w:r>
      <w:r>
        <w:rPr/>
        <w:t>但</w:t>
      </w:r>
      <w:r>
        <w:rPr>
          <w:spacing w:val="-3"/>
        </w:rPr>
        <w:t>含</w:t>
      </w:r>
      <w:r>
        <w:rPr/>
        <w:t>有毒</w:t>
      </w:r>
      <w:r>
        <w:rPr>
          <w:spacing w:val="-3"/>
        </w:rPr>
        <w:t>品</w:t>
      </w:r>
      <w:r>
        <w:rPr/>
        <w:t>成</w:t>
      </w:r>
      <w:r>
        <w:rPr>
          <w:spacing w:val="-3"/>
        </w:rPr>
        <w:t>分</w:t>
      </w:r>
      <w:r>
        <w:rPr/>
        <w:t>的</w:t>
      </w:r>
      <w:r>
        <w:rPr>
          <w:spacing w:val="-3"/>
        </w:rPr>
        <w:t>处</w:t>
      </w:r>
      <w:r>
        <w:rPr/>
        <w:t>方</w:t>
      </w:r>
      <w:r>
        <w:rPr>
          <w:spacing w:val="-3"/>
        </w:rPr>
        <w:t>药</w:t>
      </w:r>
      <w:r>
        <w:rPr/>
        <w:t>品。</w:t>
      </w:r>
    </w:p>
    <w:p>
      <w:pPr>
        <w:pStyle w:val="BodyText"/>
        <w:ind w:left="2232" w:right="215" w:hanging="2105"/>
        <w:jc w:val="both"/>
      </w:pPr>
      <w:r>
        <w:rPr>
          <w:spacing w:val="-1"/>
        </w:rPr>
        <w:t>酒后驾驶</w:t>
      </w:r>
      <w:r>
        <w:rPr>
          <w:position w:val="11"/>
          <w:sz w:val="11"/>
        </w:rPr>
        <w:t>（7）            </w:t>
      </w:r>
      <w:r>
        <w:rPr>
          <w:spacing w:val="-12"/>
        </w:rPr>
        <w:t>：指经检测或鉴定，发生事故时车辆驾驶人员每百毫升血液中的酒精含量达到或超</w:t>
      </w:r>
      <w:r>
        <w:rPr>
          <w:spacing w:val="-10"/>
        </w:rPr>
        <w:t>过一定的标准，公安机关交通管理部门依据《道路交通安全法》的规定认定为饮</w:t>
      </w:r>
      <w:r>
        <w:rPr>
          <w:spacing w:val="-5"/>
        </w:rPr>
        <w:t>酒后驾驶或醉酒后驾驶。</w:t>
      </w:r>
    </w:p>
    <w:p>
      <w:pPr>
        <w:spacing w:after="0"/>
        <w:jc w:val="both"/>
        <w:sectPr>
          <w:pgSz w:w="11910" w:h="16840"/>
          <w:pgMar w:header="0" w:footer="492" w:top="1340" w:bottom="680" w:left="1140" w:right="1020"/>
        </w:sectPr>
      </w:pPr>
    </w:p>
    <w:p>
      <w:pPr>
        <w:spacing w:before="0"/>
        <w:ind w:left="127" w:right="0" w:firstLine="0"/>
        <w:jc w:val="left"/>
        <w:rPr>
          <w:sz w:val="11"/>
        </w:rPr>
      </w:pPr>
      <w:r>
        <w:rPr>
          <w:sz w:val="21"/>
        </w:rPr>
        <w:t>无合法有效驾驶证</w:t>
      </w:r>
      <w:r>
        <w:rPr>
          <w:position w:val="-10"/>
          <w:sz w:val="21"/>
        </w:rPr>
        <w:t>驾驶</w:t>
      </w:r>
      <w:r>
        <w:rPr>
          <w:sz w:val="11"/>
        </w:rPr>
        <w:t>（8）</w:t>
      </w:r>
    </w:p>
    <w:p>
      <w:pPr>
        <w:pStyle w:val="BodyText"/>
        <w:spacing w:line="272" w:lineRule="exact"/>
        <w:ind w:left="127"/>
      </w:pPr>
      <w:r>
        <w:rPr/>
        <w:br w:type="column"/>
      </w:r>
      <w:r>
        <w:rPr/>
        <w:t>：指下列情形之一：</w:t>
      </w:r>
    </w:p>
    <w:p>
      <w:pPr>
        <w:pStyle w:val="BodyText"/>
        <w:spacing w:line="274" w:lineRule="exact"/>
        <w:ind w:left="127"/>
      </w:pPr>
      <w:r>
        <w:rPr/>
        <w:t>（1）没有取得驾驶资格；</w:t>
      </w:r>
    </w:p>
    <w:p>
      <w:pPr>
        <w:pStyle w:val="BodyText"/>
        <w:spacing w:line="274" w:lineRule="exact"/>
        <w:ind w:left="127"/>
      </w:pPr>
      <w:r>
        <w:rPr/>
        <w:t>（2）驾驶与驾驶证准驾车型不相符合的车辆；</w:t>
      </w:r>
    </w:p>
    <w:p>
      <w:pPr>
        <w:pStyle w:val="BodyText"/>
        <w:spacing w:line="272" w:lineRule="exact"/>
        <w:ind w:left="127"/>
      </w:pPr>
      <w:r>
        <w:rPr/>
        <w:t>（3）持审验不合格的驾驶证驾驶；</w:t>
      </w:r>
    </w:p>
    <w:p>
      <w:pPr>
        <w:pStyle w:val="BodyText"/>
        <w:ind w:left="635" w:right="217" w:hanging="509"/>
      </w:pPr>
      <w:r>
        <w:rPr/>
        <w:t>（4）持学习驾驶证学习驾车时，无教练员随车指导，或不按指定时间、路线学习驾车。</w:t>
      </w:r>
    </w:p>
    <w:p>
      <w:pPr>
        <w:spacing w:after="0"/>
        <w:sectPr>
          <w:type w:val="continuous"/>
          <w:pgSz w:w="11910" w:h="16840"/>
          <w:pgMar w:top="780" w:bottom="280" w:left="1140" w:right="1020"/>
          <w:cols w:num="2" w:equalWidth="0">
            <w:col w:w="1846" w:space="86"/>
            <w:col w:w="7818"/>
          </w:cols>
        </w:sectPr>
      </w:pPr>
    </w:p>
    <w:p>
      <w:pPr>
        <w:tabs>
          <w:tab w:pos="2059" w:val="left" w:leader="none"/>
        </w:tabs>
        <w:spacing w:line="274" w:lineRule="exact" w:before="1"/>
        <w:ind w:left="127" w:right="0" w:firstLine="0"/>
        <w:jc w:val="left"/>
        <w:rPr>
          <w:sz w:val="21"/>
        </w:rPr>
      </w:pPr>
      <w:r>
        <w:rPr>
          <w:sz w:val="21"/>
        </w:rPr>
        <w:t>无有</w:t>
      </w:r>
      <w:r>
        <w:rPr>
          <w:spacing w:val="-3"/>
          <w:sz w:val="21"/>
        </w:rPr>
        <w:t>效</w:t>
      </w:r>
      <w:r>
        <w:rPr>
          <w:sz w:val="21"/>
        </w:rPr>
        <w:t>行</w:t>
      </w:r>
      <w:r>
        <w:rPr>
          <w:spacing w:val="-3"/>
          <w:sz w:val="21"/>
        </w:rPr>
        <w:t>驶</w:t>
      </w:r>
      <w:r>
        <w:rPr>
          <w:sz w:val="21"/>
        </w:rPr>
        <w:t>证</w:t>
      </w:r>
      <w:r>
        <w:rPr>
          <w:position w:val="11"/>
          <w:sz w:val="11"/>
        </w:rPr>
        <w:t>（9）</w:t>
        <w:tab/>
      </w:r>
      <w:r>
        <w:rPr>
          <w:sz w:val="21"/>
        </w:rPr>
        <w:t>：指</w:t>
      </w:r>
      <w:r>
        <w:rPr>
          <w:spacing w:val="-3"/>
          <w:sz w:val="21"/>
        </w:rPr>
        <w:t>下</w:t>
      </w:r>
      <w:r>
        <w:rPr>
          <w:sz w:val="21"/>
        </w:rPr>
        <w:t>列</w:t>
      </w:r>
      <w:r>
        <w:rPr>
          <w:spacing w:val="-3"/>
          <w:sz w:val="21"/>
        </w:rPr>
        <w:t>情</w:t>
      </w:r>
      <w:r>
        <w:rPr>
          <w:sz w:val="21"/>
        </w:rPr>
        <w:t>形</w:t>
      </w:r>
      <w:r>
        <w:rPr>
          <w:spacing w:val="-3"/>
          <w:sz w:val="21"/>
        </w:rPr>
        <w:t>之</w:t>
      </w:r>
      <w:r>
        <w:rPr>
          <w:sz w:val="21"/>
        </w:rPr>
        <w:t>一：</w:t>
      </w:r>
    </w:p>
    <w:p>
      <w:pPr>
        <w:pStyle w:val="BodyText"/>
        <w:spacing w:line="272" w:lineRule="exact"/>
        <w:ind w:left="2059"/>
      </w:pPr>
      <w:r>
        <w:rPr/>
        <w:t>（1）机动车被依法注销登记的；</w:t>
      </w:r>
    </w:p>
    <w:p>
      <w:pPr>
        <w:pStyle w:val="BodyText"/>
        <w:spacing w:line="273" w:lineRule="exact"/>
        <w:ind w:left="2059"/>
      </w:pPr>
      <w:r>
        <w:rPr/>
        <w:t>（2）未依法按时进行或通过机动车安全技术检验。</w:t>
      </w:r>
    </w:p>
    <w:p>
      <w:pPr>
        <w:spacing w:after="0" w:line="273" w:lineRule="exact"/>
        <w:sectPr>
          <w:type w:val="continuous"/>
          <w:pgSz w:w="11910" w:h="16840"/>
          <w:pgMar w:top="780" w:bottom="280" w:left="1140" w:right="1020"/>
        </w:sectPr>
      </w:pPr>
    </w:p>
    <w:p>
      <w:pPr>
        <w:spacing w:before="0"/>
        <w:ind w:left="127" w:right="0" w:firstLine="0"/>
        <w:jc w:val="left"/>
        <w:rPr>
          <w:sz w:val="11"/>
        </w:rPr>
      </w:pPr>
      <w:r>
        <w:rPr>
          <w:sz w:val="21"/>
        </w:rPr>
        <w:t>感染艾滋病病毒或</w:t>
      </w:r>
      <w:r>
        <w:rPr>
          <w:position w:val="-10"/>
          <w:sz w:val="21"/>
        </w:rPr>
        <w:t>患艾滋病</w:t>
      </w:r>
      <w:r>
        <w:rPr>
          <w:sz w:val="11"/>
        </w:rPr>
        <w:t>（10）</w:t>
      </w:r>
    </w:p>
    <w:p>
      <w:pPr>
        <w:pStyle w:val="BodyText"/>
        <w:spacing w:line="232" w:lineRule="auto" w:before="8"/>
        <w:ind w:left="300" w:right="217" w:hanging="173"/>
        <w:jc w:val="both"/>
      </w:pPr>
      <w:r>
        <w:rPr/>
        <w:br w:type="column"/>
      </w:r>
      <w:r>
        <w:rPr>
          <w:spacing w:val="-10"/>
        </w:rPr>
        <w:t>：艾滋病病毒指人类免疫缺陷病毒，英文缩写为 </w:t>
      </w:r>
      <w:r>
        <w:rPr>
          <w:rFonts w:ascii="Times New Roman" w:hAnsi="Times New Roman" w:eastAsia="Times New Roman"/>
          <w:spacing w:val="-2"/>
        </w:rPr>
        <w:t>HIV</w:t>
      </w:r>
      <w:r>
        <w:rPr>
          <w:spacing w:val="-7"/>
        </w:rPr>
        <w:t>。艾滋病指人类免疫缺陷病毒</w:t>
      </w:r>
      <w:r>
        <w:rPr>
          <w:spacing w:val="-5"/>
        </w:rPr>
        <w:t>引起的获得性免疫缺陷综合征，英文缩写为 </w:t>
      </w:r>
      <w:r>
        <w:rPr>
          <w:rFonts w:ascii="Times New Roman" w:hAnsi="Times New Roman" w:eastAsia="Times New Roman"/>
        </w:rPr>
        <w:t>AIDS</w:t>
      </w:r>
      <w:r>
        <w:rPr>
          <w:spacing w:val="-3"/>
        </w:rPr>
        <w:t>。在人体血液或其它样本中检</w:t>
      </w:r>
      <w:r>
        <w:rPr>
          <w:spacing w:val="-6"/>
        </w:rPr>
        <w:t>测到艾滋病病毒或其抗体呈阳性，没有出现临床症状或体征的，为感染艾滋病病</w:t>
      </w:r>
      <w:r>
        <w:rPr>
          <w:spacing w:val="-9"/>
        </w:rPr>
        <w:t>毒；如果同时出现了明显临床症状或体征的，为患艾滋病。但经输血导致的人类</w:t>
      </w:r>
      <w:r>
        <w:rPr>
          <w:spacing w:val="-5"/>
          <w:w w:val="100"/>
        </w:rPr>
        <w:t>免疫缺陷病毒感染</w:t>
      </w:r>
      <w:r>
        <w:rPr>
          <w:spacing w:val="-3"/>
          <w:w w:val="100"/>
        </w:rPr>
        <w:t>（</w:t>
      </w:r>
      <w:r>
        <w:rPr>
          <w:rFonts w:ascii="Times New Roman" w:hAnsi="Times New Roman" w:eastAsia="Times New Roman"/>
          <w:spacing w:val="0"/>
          <w:w w:val="100"/>
        </w:rPr>
        <w:t>H</w:t>
      </w:r>
      <w:r>
        <w:rPr>
          <w:rFonts w:ascii="Times New Roman" w:hAnsi="Times New Roman" w:eastAsia="Times New Roman"/>
          <w:spacing w:val="-4"/>
          <w:w w:val="100"/>
        </w:rPr>
        <w:t>I</w:t>
      </w:r>
      <w:r>
        <w:rPr>
          <w:rFonts w:ascii="Times New Roman" w:hAnsi="Times New Roman" w:eastAsia="Times New Roman"/>
          <w:spacing w:val="0"/>
          <w:w w:val="100"/>
        </w:rPr>
        <w:t>V</w:t>
      </w:r>
      <w:r>
        <w:rPr>
          <w:spacing w:val="-108"/>
          <w:w w:val="100"/>
        </w:rPr>
        <w:t>）</w:t>
      </w:r>
      <w:r>
        <w:rPr>
          <w:w w:val="100"/>
        </w:rPr>
        <w:t>（</w:t>
      </w:r>
      <w:r>
        <w:rPr>
          <w:spacing w:val="-3"/>
          <w:w w:val="100"/>
        </w:rPr>
        <w:t>定义见释义“重大疾病”第</w:t>
      </w:r>
      <w:r>
        <w:rPr>
          <w:spacing w:val="-3"/>
        </w:rPr>
        <w:t> </w:t>
      </w:r>
      <w:r>
        <w:rPr>
          <w:rFonts w:ascii="Times New Roman" w:hAnsi="Times New Roman" w:eastAsia="Times New Roman"/>
          <w:spacing w:val="-3"/>
          <w:w w:val="100"/>
        </w:rPr>
        <w:t>3</w:t>
      </w:r>
      <w:r>
        <w:rPr>
          <w:rFonts w:ascii="Times New Roman" w:hAnsi="Times New Roman" w:eastAsia="Times New Roman"/>
          <w:w w:val="100"/>
        </w:rPr>
        <w:t>3</w:t>
      </w:r>
      <w:r>
        <w:rPr>
          <w:rFonts w:ascii="Times New Roman" w:hAnsi="Times New Roman" w:eastAsia="Times New Roman"/>
        </w:rPr>
        <w:t> </w:t>
      </w:r>
      <w:r>
        <w:rPr>
          <w:spacing w:val="-3"/>
          <w:w w:val="100"/>
        </w:rPr>
        <w:t>种疾病</w:t>
      </w:r>
      <w:r>
        <w:rPr>
          <w:spacing w:val="-1"/>
          <w:w w:val="100"/>
        </w:rPr>
        <w:t>）</w:t>
      </w:r>
      <w:r>
        <w:rPr>
          <w:spacing w:val="-2"/>
          <w:w w:val="100"/>
        </w:rPr>
        <w:t>除外。</w:t>
      </w:r>
    </w:p>
    <w:p>
      <w:pPr>
        <w:spacing w:after="0" w:line="232" w:lineRule="auto"/>
        <w:jc w:val="both"/>
        <w:sectPr>
          <w:type w:val="continuous"/>
          <w:pgSz w:w="11910" w:h="16840"/>
          <w:pgMar w:top="780" w:bottom="280" w:left="1140" w:right="1020"/>
          <w:cols w:num="2" w:equalWidth="0">
            <w:col w:w="1846" w:space="85"/>
            <w:col w:w="7819"/>
          </w:cols>
        </w:sectPr>
      </w:pPr>
    </w:p>
    <w:p>
      <w:pPr>
        <w:pStyle w:val="BodyText"/>
        <w:tabs>
          <w:tab w:pos="2059" w:val="left" w:leader="none"/>
        </w:tabs>
        <w:spacing w:line="274" w:lineRule="exact" w:before="9"/>
        <w:ind w:left="2232" w:right="112" w:hanging="2129"/>
      </w:pPr>
      <w:r>
        <w:rPr/>
        <w:t>遗传</w:t>
      </w:r>
      <w:r>
        <w:rPr>
          <w:spacing w:val="-3"/>
        </w:rPr>
        <w:t>性</w:t>
      </w:r>
      <w:r>
        <w:rPr/>
        <w:t>疾</w:t>
      </w:r>
      <w:r>
        <w:rPr>
          <w:spacing w:val="-3"/>
        </w:rPr>
        <w:t>病</w:t>
      </w:r>
      <w:r>
        <w:rPr>
          <w:position w:val="11"/>
          <w:sz w:val="11"/>
        </w:rPr>
        <w:t>（11）</w:t>
        <w:tab/>
      </w:r>
      <w:r>
        <w:rPr>
          <w:spacing w:val="-68"/>
        </w:rPr>
        <w:t>：</w:t>
      </w:r>
      <w:r>
        <w:rPr>
          <w:spacing w:val="-3"/>
        </w:rPr>
        <w:t>指</w:t>
      </w:r>
      <w:r>
        <w:rPr/>
        <w:t>生</w:t>
      </w:r>
      <w:r>
        <w:rPr>
          <w:spacing w:val="-3"/>
        </w:rPr>
        <w:t>殖</w:t>
      </w:r>
      <w:r>
        <w:rPr/>
        <w:t>细</w:t>
      </w:r>
      <w:r>
        <w:rPr>
          <w:spacing w:val="-3"/>
        </w:rPr>
        <w:t>胞</w:t>
      </w:r>
      <w:r>
        <w:rPr/>
        <w:t>或受</w:t>
      </w:r>
      <w:r>
        <w:rPr>
          <w:spacing w:val="-3"/>
        </w:rPr>
        <w:t>精</w:t>
      </w:r>
      <w:r>
        <w:rPr/>
        <w:t>卵</w:t>
      </w:r>
      <w:r>
        <w:rPr>
          <w:spacing w:val="-3"/>
        </w:rPr>
        <w:t>的遗</w:t>
      </w:r>
      <w:r>
        <w:rPr/>
        <w:t>传物</w:t>
      </w:r>
      <w:r>
        <w:rPr>
          <w:spacing w:val="-70"/>
        </w:rPr>
        <w:t>质</w:t>
      </w:r>
      <w:r>
        <w:rPr>
          <w:spacing w:val="-3"/>
        </w:rPr>
        <w:t>（</w:t>
      </w:r>
      <w:r>
        <w:rPr/>
        <w:t>染</w:t>
      </w:r>
      <w:r>
        <w:rPr>
          <w:spacing w:val="-3"/>
        </w:rPr>
        <w:t>色</w:t>
      </w:r>
      <w:r>
        <w:rPr/>
        <w:t>体和</w:t>
      </w:r>
      <w:r>
        <w:rPr>
          <w:spacing w:val="-3"/>
        </w:rPr>
        <w:t>基因</w:t>
      </w:r>
      <w:r>
        <w:rPr>
          <w:spacing w:val="-68"/>
        </w:rPr>
        <w:t>）</w:t>
      </w:r>
      <w:r>
        <w:rPr>
          <w:spacing w:val="-3"/>
        </w:rPr>
        <w:t>发</w:t>
      </w:r>
      <w:r>
        <w:rPr/>
        <w:t>生突</w:t>
      </w:r>
      <w:r>
        <w:rPr>
          <w:spacing w:val="-3"/>
        </w:rPr>
        <w:t>变</w:t>
      </w:r>
      <w:r>
        <w:rPr/>
        <w:t>或</w:t>
      </w:r>
      <w:r>
        <w:rPr>
          <w:spacing w:val="-3"/>
        </w:rPr>
        <w:t>畸</w:t>
      </w:r>
      <w:r>
        <w:rPr/>
        <w:t>变</w:t>
      </w:r>
      <w:r>
        <w:rPr>
          <w:spacing w:val="-3"/>
        </w:rPr>
        <w:t>所</w:t>
      </w:r>
      <w:r>
        <w:rPr/>
        <w:t>引</w:t>
      </w:r>
      <w:r>
        <w:rPr>
          <w:spacing w:val="-3"/>
        </w:rPr>
        <w:t>起</w:t>
      </w:r>
      <w:r>
        <w:rPr/>
        <w:t>的</w:t>
      </w:r>
      <w:r>
        <w:rPr>
          <w:spacing w:val="-3"/>
        </w:rPr>
        <w:t>疾</w:t>
      </w:r>
      <w:r>
        <w:rPr/>
        <w:t>病， 通常</w:t>
      </w:r>
      <w:r>
        <w:rPr>
          <w:spacing w:val="-3"/>
        </w:rPr>
        <w:t>具</w:t>
      </w:r>
      <w:r>
        <w:rPr/>
        <w:t>有</w:t>
      </w:r>
      <w:r>
        <w:rPr>
          <w:spacing w:val="-3"/>
        </w:rPr>
        <w:t>由</w:t>
      </w:r>
      <w:r>
        <w:rPr/>
        <w:t>亲</w:t>
      </w:r>
      <w:r>
        <w:rPr>
          <w:spacing w:val="-3"/>
        </w:rPr>
        <w:t>代</w:t>
      </w:r>
      <w:r>
        <w:rPr/>
        <w:t>传</w:t>
      </w:r>
      <w:r>
        <w:rPr>
          <w:spacing w:val="-3"/>
        </w:rPr>
        <w:t>至</w:t>
      </w:r>
      <w:r>
        <w:rPr/>
        <w:t>后</w:t>
      </w:r>
      <w:r>
        <w:rPr>
          <w:spacing w:val="-3"/>
        </w:rPr>
        <w:t>代</w:t>
      </w:r>
      <w:r>
        <w:rPr/>
        <w:t>的垂</w:t>
      </w:r>
      <w:r>
        <w:rPr>
          <w:spacing w:val="-3"/>
        </w:rPr>
        <w:t>直</w:t>
      </w:r>
      <w:r>
        <w:rPr/>
        <w:t>传</w:t>
      </w:r>
      <w:r>
        <w:rPr>
          <w:spacing w:val="-3"/>
        </w:rPr>
        <w:t>递</w:t>
      </w:r>
      <w:r>
        <w:rPr/>
        <w:t>的</w:t>
      </w:r>
      <w:r>
        <w:rPr>
          <w:spacing w:val="-3"/>
        </w:rPr>
        <w:t>特</w:t>
      </w:r>
      <w:r>
        <w:rPr/>
        <w:t>征。</w:t>
      </w:r>
    </w:p>
    <w:p>
      <w:pPr>
        <w:spacing w:after="0" w:line="274" w:lineRule="exact"/>
        <w:sectPr>
          <w:type w:val="continuous"/>
          <w:pgSz w:w="11910" w:h="16840"/>
          <w:pgMar w:top="780" w:bottom="280" w:left="1140" w:right="1020"/>
        </w:sectPr>
      </w:pPr>
    </w:p>
    <w:p>
      <w:pPr>
        <w:pStyle w:val="BodyText"/>
        <w:spacing w:line="245" w:lineRule="exact"/>
        <w:ind w:left="103"/>
      </w:pPr>
      <w:r>
        <w:rPr/>
        <w:t>先天性畸形、变形</w:t>
      </w:r>
    </w:p>
    <w:p>
      <w:pPr>
        <w:spacing w:line="274" w:lineRule="exact" w:before="0"/>
        <w:ind w:left="103" w:right="0" w:firstLine="0"/>
        <w:jc w:val="left"/>
        <w:rPr>
          <w:sz w:val="11"/>
        </w:rPr>
      </w:pPr>
      <w:r>
        <w:rPr>
          <w:sz w:val="21"/>
        </w:rPr>
        <w:t>或染色体异常</w:t>
      </w:r>
      <w:r>
        <w:rPr>
          <w:position w:val="11"/>
          <w:sz w:val="11"/>
        </w:rPr>
        <w:t>（12）</w:t>
      </w:r>
    </w:p>
    <w:p>
      <w:pPr>
        <w:pStyle w:val="BodyText"/>
        <w:spacing w:line="245" w:lineRule="exact"/>
        <w:ind w:left="103"/>
      </w:pPr>
      <w:r>
        <w:rPr/>
        <w:br w:type="column"/>
      </w:r>
      <w:r>
        <w:rPr/>
        <w:t>：指被保险人出生时就具有的畸形、变形或染色体异常。先天性畸形、变形和染色</w:t>
      </w:r>
    </w:p>
    <w:p>
      <w:pPr>
        <w:pStyle w:val="BodyText"/>
        <w:spacing w:line="225" w:lineRule="auto" w:before="16"/>
        <w:ind w:left="275" w:right="153"/>
      </w:pPr>
      <w:r>
        <w:rPr/>
        <w:t>体异常依照世界卫生组织《疾病和有关健康问题的国际统计分类》（</w:t>
      </w:r>
      <w:r>
        <w:rPr>
          <w:rFonts w:ascii="Times New Roman" w:eastAsia="Times New Roman"/>
        </w:rPr>
        <w:t>ICD-10</w:t>
      </w:r>
      <w:r>
        <w:rPr/>
        <w:t>）确定。</w:t>
      </w:r>
    </w:p>
    <w:p>
      <w:pPr>
        <w:spacing w:after="0" w:line="225" w:lineRule="auto"/>
        <w:sectPr>
          <w:type w:val="continuous"/>
          <w:pgSz w:w="11910" w:h="16840"/>
          <w:pgMar w:top="780" w:bottom="280" w:left="1140" w:right="1020"/>
          <w:cols w:num="2" w:equalWidth="0">
            <w:col w:w="1853" w:space="103"/>
            <w:col w:w="7794"/>
          </w:cols>
        </w:sectPr>
      </w:pPr>
    </w:p>
    <w:p>
      <w:pPr>
        <w:pStyle w:val="BodyText"/>
        <w:tabs>
          <w:tab w:pos="2059" w:val="left" w:leader="none"/>
        </w:tabs>
        <w:spacing w:line="276" w:lineRule="auto"/>
        <w:ind w:left="103" w:right="3270"/>
      </w:pPr>
      <w:r>
        <w:rPr/>
        <w:t>保险</w:t>
      </w:r>
      <w:r>
        <w:rPr>
          <w:spacing w:val="-3"/>
        </w:rPr>
        <w:t>事</w:t>
      </w:r>
      <w:r>
        <w:rPr/>
        <w:t>故</w:t>
      </w:r>
      <w:r>
        <w:rPr>
          <w:position w:val="11"/>
          <w:sz w:val="11"/>
        </w:rPr>
        <w:t>（13）</w:t>
        <w:tab/>
      </w:r>
      <w:r>
        <w:rPr/>
        <w:t>：是</w:t>
      </w:r>
      <w:r>
        <w:rPr>
          <w:spacing w:val="-3"/>
        </w:rPr>
        <w:t>指</w:t>
      </w:r>
      <w:r>
        <w:rPr/>
        <w:t>保</w:t>
      </w:r>
      <w:r>
        <w:rPr>
          <w:spacing w:val="-3"/>
        </w:rPr>
        <w:t>险</w:t>
      </w:r>
      <w:r>
        <w:rPr/>
        <w:t>合</w:t>
      </w:r>
      <w:r>
        <w:rPr>
          <w:spacing w:val="-3"/>
        </w:rPr>
        <w:t>同</w:t>
      </w:r>
      <w:r>
        <w:rPr/>
        <w:t>约</w:t>
      </w:r>
      <w:r>
        <w:rPr>
          <w:spacing w:val="-3"/>
        </w:rPr>
        <w:t>定</w:t>
      </w:r>
      <w:r>
        <w:rPr/>
        <w:t>的</w:t>
      </w:r>
      <w:r>
        <w:rPr>
          <w:spacing w:val="-3"/>
        </w:rPr>
        <w:t>保</w:t>
      </w:r>
      <w:r>
        <w:rPr/>
        <w:t>险责</w:t>
      </w:r>
      <w:r>
        <w:rPr>
          <w:spacing w:val="-3"/>
        </w:rPr>
        <w:t>任</w:t>
      </w:r>
      <w:r>
        <w:rPr/>
        <w:t>范</w:t>
      </w:r>
      <w:r>
        <w:rPr>
          <w:spacing w:val="-3"/>
        </w:rPr>
        <w:t>围</w:t>
      </w:r>
      <w:r>
        <w:rPr/>
        <w:t>内</w:t>
      </w:r>
      <w:r>
        <w:rPr>
          <w:spacing w:val="-3"/>
        </w:rPr>
        <w:t>的</w:t>
      </w:r>
      <w:r>
        <w:rPr/>
        <w:t>事</w:t>
      </w:r>
      <w:r>
        <w:rPr>
          <w:spacing w:val="-3"/>
        </w:rPr>
        <w:t>故</w:t>
      </w:r>
      <w:r>
        <w:rPr/>
        <w:t>。 手续</w:t>
      </w:r>
      <w:r>
        <w:rPr>
          <w:spacing w:val="-3"/>
        </w:rPr>
        <w:t>费</w:t>
      </w:r>
      <w:r>
        <w:rPr>
          <w:position w:val="11"/>
          <w:sz w:val="11"/>
        </w:rPr>
        <w:t>（14）</w:t>
        <w:tab/>
      </w:r>
      <w:r>
        <w:rPr>
          <w:spacing w:val="-1"/>
        </w:rPr>
        <w:t>：其</w:t>
      </w:r>
      <w:r>
        <w:rPr>
          <w:spacing w:val="-3"/>
        </w:rPr>
        <w:t>计</w:t>
      </w:r>
      <w:r>
        <w:rPr>
          <w:spacing w:val="-1"/>
        </w:rPr>
        <w:t>算</w:t>
      </w:r>
      <w:r>
        <w:rPr>
          <w:spacing w:val="-3"/>
        </w:rPr>
        <w:t>公</w:t>
      </w:r>
      <w:r>
        <w:rPr>
          <w:spacing w:val="-1"/>
        </w:rPr>
        <w:t>式</w:t>
      </w:r>
      <w:r>
        <w:rPr>
          <w:spacing w:val="-3"/>
        </w:rPr>
        <w:t>为</w:t>
      </w:r>
      <w:r>
        <w:rPr>
          <w:spacing w:val="-1"/>
        </w:rPr>
        <w:t>：</w:t>
      </w:r>
      <w:r>
        <w:rPr>
          <w:spacing w:val="-3"/>
        </w:rPr>
        <w:t>手</w:t>
      </w:r>
      <w:r>
        <w:rPr>
          <w:spacing w:val="-1"/>
        </w:rPr>
        <w:t>续</w:t>
      </w:r>
      <w:r>
        <w:rPr>
          <w:spacing w:val="-3"/>
        </w:rPr>
        <w:t>费=</w:t>
      </w:r>
      <w:r>
        <w:rPr/>
        <w:t>本期</w:t>
      </w:r>
      <w:r>
        <w:rPr>
          <w:spacing w:val="-3"/>
        </w:rPr>
        <w:t>应</w:t>
      </w:r>
      <w:r>
        <w:rPr/>
        <w:t>交</w:t>
      </w:r>
      <w:r>
        <w:rPr>
          <w:spacing w:val="-3"/>
        </w:rPr>
        <w:t>保</w:t>
      </w:r>
      <w:r>
        <w:rPr/>
        <w:t>险</w:t>
      </w:r>
      <w:r>
        <w:rPr>
          <w:spacing w:val="-3"/>
        </w:rPr>
        <w:t>费</w:t>
      </w:r>
      <w:r>
        <w:rPr/>
        <w:t>×35%</w:t>
      </w:r>
    </w:p>
    <w:p>
      <w:pPr>
        <w:pStyle w:val="BodyText"/>
        <w:spacing w:line="274" w:lineRule="exact" w:before="6"/>
        <w:ind w:left="103"/>
      </w:pPr>
      <w:r>
        <w:rPr/>
        <w:t>未满期保险费</w:t>
      </w:r>
      <w:r>
        <w:rPr>
          <w:position w:val="11"/>
          <w:sz w:val="11"/>
        </w:rPr>
        <w:t>（15）    </w:t>
      </w:r>
      <w:r>
        <w:rPr/>
        <w:t>：按本期应交保险费乘以本期保险费未经过天数除以本期保险费承保天数（年交：</w:t>
      </w:r>
    </w:p>
    <w:p>
      <w:pPr>
        <w:pStyle w:val="BodyText"/>
        <w:spacing w:line="274" w:lineRule="exact"/>
        <w:ind w:left="2258"/>
      </w:pPr>
      <w:r>
        <w:rPr/>
        <w:t>365 天；半年交：180 天；季交：90 天；月交：30 天）计算的保险费。</w:t>
      </w:r>
    </w:p>
    <w:p>
      <w:pPr>
        <w:pStyle w:val="BodyText"/>
        <w:spacing w:line="205" w:lineRule="exact" w:before="129"/>
        <w:ind w:left="6158"/>
      </w:pPr>
      <w:r>
        <w:rPr/>
        <w:t>本期保险费未经过天数</w:t>
      </w:r>
    </w:p>
    <w:p>
      <w:pPr>
        <w:spacing w:after="0" w:line="205" w:lineRule="exact"/>
        <w:sectPr>
          <w:type w:val="continuous"/>
          <w:pgSz w:w="11910" w:h="16840"/>
          <w:pgMar w:top="780" w:bottom="280" w:left="1140" w:right="1020"/>
        </w:sectPr>
      </w:pPr>
    </w:p>
    <w:p>
      <w:pPr>
        <w:pStyle w:val="BodyText"/>
        <w:spacing w:line="211" w:lineRule="exact"/>
        <w:ind w:left="2258"/>
      </w:pPr>
      <w:r>
        <w:rPr/>
        <w:t>公式：未满期保险费=本期应交保险费×</w:t>
      </w:r>
    </w:p>
    <w:p>
      <w:pPr>
        <w:pStyle w:val="BodyText"/>
        <w:spacing w:before="9"/>
        <w:rPr>
          <w:sz w:val="7"/>
        </w:rPr>
      </w:pPr>
      <w:r>
        <w:rPr/>
        <w:br w:type="column"/>
      </w:r>
      <w:r>
        <w:rPr>
          <w:sz w:val="7"/>
        </w:rPr>
      </w:r>
    </w:p>
    <w:p>
      <w:pPr>
        <w:pStyle w:val="BodyText"/>
        <w:spacing w:line="20" w:lineRule="exact"/>
        <w:ind w:left="104"/>
        <w:rPr>
          <w:sz w:val="2"/>
        </w:rPr>
      </w:pPr>
      <w:r>
        <w:rPr>
          <w:rFonts w:ascii="Times New Roman"/>
          <w:spacing w:val="5"/>
          <w:sz w:val="2"/>
        </w:rPr>
        <w:t> </w:t>
      </w:r>
      <w:r>
        <w:rPr>
          <w:spacing w:val="5"/>
          <w:sz w:val="2"/>
        </w:rPr>
        <w:pict>
          <v:group style="width:110.25pt;height:.75pt;mso-position-horizontal-relative:char;mso-position-vertical-relative:line" coordorigin="0,0" coordsize="2205,15">
            <v:line style="position:absolute" from="0,7" to="2205,7" stroked="true" strokeweight=".75pt" strokecolor="#000000">
              <v:stroke dashstyle="solid"/>
            </v:line>
          </v:group>
        </w:pict>
      </w:r>
      <w:r>
        <w:rPr>
          <w:spacing w:val="5"/>
          <w:sz w:val="2"/>
        </w:rPr>
      </w:r>
    </w:p>
    <w:p>
      <w:pPr>
        <w:pStyle w:val="BodyText"/>
        <w:ind w:left="206"/>
      </w:pPr>
      <w:r>
        <w:rPr/>
        <w:t>本期保险费承保天数</w:t>
      </w:r>
    </w:p>
    <w:p>
      <w:pPr>
        <w:spacing w:after="0"/>
        <w:sectPr>
          <w:type w:val="continuous"/>
          <w:pgSz w:w="11910" w:h="16840"/>
          <w:pgMar w:top="780" w:bottom="280" w:left="1140" w:right="1020"/>
          <w:cols w:num="2" w:equalWidth="0">
            <w:col w:w="5934" w:space="40"/>
            <w:col w:w="3776"/>
          </w:cols>
        </w:sectPr>
      </w:pPr>
    </w:p>
    <w:p>
      <w:pPr>
        <w:pStyle w:val="BodyText"/>
        <w:spacing w:before="106"/>
        <w:ind w:left="103"/>
      </w:pPr>
      <w:r>
        <w:rPr/>
        <w:t>肢体机能完全丧失</w:t>
      </w:r>
    </w:p>
    <w:p>
      <w:pPr>
        <w:spacing w:before="5"/>
        <w:ind w:left="103" w:right="0" w:firstLine="0"/>
        <w:jc w:val="left"/>
        <w:rPr>
          <w:sz w:val="11"/>
        </w:rPr>
      </w:pPr>
      <w:r>
        <w:rPr>
          <w:sz w:val="11"/>
        </w:rPr>
        <w:t>（16）</w:t>
      </w:r>
    </w:p>
    <w:p>
      <w:pPr>
        <w:pStyle w:val="BodyText"/>
        <w:spacing w:before="3"/>
        <w:rPr>
          <w:sz w:val="9"/>
        </w:rPr>
      </w:pPr>
    </w:p>
    <w:p>
      <w:pPr>
        <w:spacing w:before="0"/>
        <w:ind w:left="103" w:right="0" w:firstLine="0"/>
        <w:jc w:val="left"/>
        <w:rPr>
          <w:sz w:val="11"/>
        </w:rPr>
      </w:pPr>
      <w:r>
        <w:rPr>
          <w:spacing w:val="5"/>
          <w:sz w:val="21"/>
        </w:rPr>
        <w:t>语言能力或咀嚼吞</w:t>
      </w:r>
      <w:r>
        <w:rPr>
          <w:spacing w:val="-4"/>
          <w:sz w:val="21"/>
        </w:rPr>
        <w:t>咽能力完全丧失</w:t>
      </w:r>
      <w:r>
        <w:rPr>
          <w:position w:val="11"/>
          <w:sz w:val="11"/>
        </w:rPr>
        <w:t>（17）</w:t>
      </w:r>
    </w:p>
    <w:p>
      <w:pPr>
        <w:pStyle w:val="BodyText"/>
        <w:rPr>
          <w:sz w:val="22"/>
        </w:rPr>
      </w:pPr>
    </w:p>
    <w:p>
      <w:pPr>
        <w:pStyle w:val="BodyText"/>
        <w:spacing w:before="6"/>
        <w:rPr>
          <w:sz w:val="19"/>
        </w:rPr>
      </w:pPr>
    </w:p>
    <w:p>
      <w:pPr>
        <w:spacing w:before="1"/>
        <w:ind w:left="103" w:right="46" w:firstLine="0"/>
        <w:jc w:val="left"/>
        <w:rPr>
          <w:sz w:val="11"/>
        </w:rPr>
      </w:pPr>
      <w:r>
        <w:rPr>
          <w:sz w:val="21"/>
        </w:rPr>
        <w:t>六项基本日常生活</w:t>
      </w:r>
      <w:r>
        <w:rPr>
          <w:position w:val="-10"/>
          <w:sz w:val="21"/>
        </w:rPr>
        <w:t>活动</w:t>
      </w:r>
      <w:r>
        <w:rPr>
          <w:sz w:val="11"/>
        </w:rPr>
        <w:t>（18）</w:t>
      </w:r>
    </w:p>
    <w:p>
      <w:pPr>
        <w:pStyle w:val="BodyText"/>
        <w:spacing w:before="107"/>
        <w:ind w:left="314" w:right="217" w:hanging="212"/>
      </w:pPr>
      <w:r>
        <w:rPr/>
        <w:br w:type="column"/>
      </w:r>
      <w:r>
        <w:rPr>
          <w:spacing w:val="-10"/>
        </w:rPr>
        <w:t>：指肢体的三大关节中的两大关节僵硬，或不能随意识活动。肢体是指包括肩关节</w:t>
      </w:r>
      <w:r>
        <w:rPr>
          <w:spacing w:val="-5"/>
        </w:rPr>
        <w:t>的整个上肢或包括髋关节的整个下肢。</w:t>
      </w:r>
    </w:p>
    <w:p>
      <w:pPr>
        <w:pStyle w:val="BodyText"/>
        <w:ind w:left="302" w:right="215" w:hanging="200"/>
      </w:pPr>
      <w:r>
        <w:rPr>
          <w:spacing w:val="-9"/>
        </w:rPr>
        <w:t>：语言能力完全丧失，指无法发出四种语音</w:t>
      </w:r>
      <w:r>
        <w:rPr/>
        <w:t>（</w:t>
      </w:r>
      <w:r>
        <w:rPr>
          <w:spacing w:val="-8"/>
        </w:rPr>
        <w:t>包括口唇音、齿舌音、口盖音和喉头音）</w:t>
      </w:r>
      <w:r>
        <w:rPr>
          <w:spacing w:val="-3"/>
        </w:rPr>
        <w:t>中的任何三种、或声带全部切除，或因大脑语言中枢受伤害而患失语症。</w:t>
      </w:r>
      <w:r>
        <w:rPr>
          <w:spacing w:val="-9"/>
        </w:rPr>
        <w:t>咀嚼吞咽能力完全丧失，指因牙齿以外的原因导致器质障碍或机能障碍，以致不</w:t>
      </w:r>
      <w:r>
        <w:rPr>
          <w:spacing w:val="-5"/>
        </w:rPr>
        <w:t>能作咀嚼吞咽运动，除流质食物外不能摄取或吞咽的状态。</w:t>
      </w:r>
    </w:p>
    <w:p>
      <w:pPr>
        <w:pStyle w:val="BodyText"/>
        <w:ind w:left="314" w:right="217" w:hanging="212"/>
        <w:jc w:val="both"/>
      </w:pPr>
      <w:r>
        <w:rPr>
          <w:spacing w:val="-12"/>
        </w:rPr>
        <w:t>：六项基本日常生活活动是指：①穿衣：自己能够穿衣及脱衣；②移动：自己从一</w:t>
      </w:r>
      <w:r>
        <w:rPr>
          <w:spacing w:val="-13"/>
        </w:rPr>
        <w:t>个房间到另一个房间；③行动：自己上下床或上下轮椅；④如厕：自己控制进行</w:t>
      </w:r>
      <w:r>
        <w:rPr>
          <w:spacing w:val="-14"/>
        </w:rPr>
        <w:t>大小便；⑤进食：自己从已准备好的碗或碟中取食物放入口中；⑥洗澡：自己进</w:t>
      </w:r>
      <w:r>
        <w:rPr>
          <w:spacing w:val="-6"/>
        </w:rPr>
        <w:t>行淋浴或盆浴。</w:t>
      </w:r>
    </w:p>
    <w:p>
      <w:pPr>
        <w:spacing w:after="0"/>
        <w:jc w:val="both"/>
        <w:sectPr>
          <w:type w:val="continuous"/>
          <w:pgSz w:w="11910" w:h="16840"/>
          <w:pgMar w:top="780" w:bottom="280" w:left="1140" w:right="1020"/>
          <w:cols w:num="2" w:equalWidth="0">
            <w:col w:w="1901" w:space="55"/>
            <w:col w:w="7794"/>
          </w:cols>
        </w:sectPr>
      </w:pPr>
    </w:p>
    <w:p>
      <w:pPr>
        <w:pStyle w:val="BodyText"/>
        <w:tabs>
          <w:tab w:pos="2059" w:val="left" w:leader="none"/>
        </w:tabs>
        <w:ind w:left="2270" w:right="252" w:hanging="2168"/>
      </w:pPr>
      <w:r>
        <w:rPr/>
        <w:t>永久</w:t>
      </w:r>
      <w:r>
        <w:rPr>
          <w:spacing w:val="-3"/>
        </w:rPr>
        <w:t>不</w:t>
      </w:r>
      <w:r>
        <w:rPr/>
        <w:t>可</w:t>
      </w:r>
      <w:r>
        <w:rPr>
          <w:spacing w:val="-3"/>
        </w:rPr>
        <w:t>逆</w:t>
      </w:r>
      <w:r>
        <w:rPr>
          <w:position w:val="11"/>
          <w:sz w:val="11"/>
        </w:rPr>
        <w:t>（19）</w:t>
        <w:tab/>
      </w:r>
      <w:r>
        <w:rPr>
          <w:spacing w:val="-32"/>
        </w:rPr>
        <w:t>：</w:t>
      </w:r>
      <w:r>
        <w:rPr>
          <w:spacing w:val="-3"/>
        </w:rPr>
        <w:t>永</w:t>
      </w:r>
      <w:r>
        <w:rPr/>
        <w:t>久</w:t>
      </w:r>
      <w:r>
        <w:rPr>
          <w:spacing w:val="-3"/>
        </w:rPr>
        <w:t>不</w:t>
      </w:r>
      <w:r>
        <w:rPr/>
        <w:t>可</w:t>
      </w:r>
      <w:r>
        <w:rPr>
          <w:spacing w:val="-3"/>
        </w:rPr>
        <w:t>逆</w:t>
      </w:r>
      <w:r>
        <w:rPr/>
        <w:t>系</w:t>
      </w:r>
      <w:r>
        <w:rPr>
          <w:spacing w:val="-3"/>
        </w:rPr>
        <w:t>指</w:t>
      </w:r>
      <w:r>
        <w:rPr/>
        <w:t>自</w:t>
      </w:r>
      <w:r>
        <w:rPr>
          <w:spacing w:val="-3"/>
        </w:rPr>
        <w:t>疾病</w:t>
      </w:r>
      <w:r>
        <w:rPr/>
        <w:t>确诊</w:t>
      </w:r>
      <w:r>
        <w:rPr>
          <w:spacing w:val="-3"/>
        </w:rPr>
        <w:t>或</w:t>
      </w:r>
      <w:r>
        <w:rPr/>
        <w:t>意</w:t>
      </w:r>
      <w:r>
        <w:rPr>
          <w:spacing w:val="-3"/>
        </w:rPr>
        <w:t>外</w:t>
      </w:r>
      <w:r>
        <w:rPr/>
        <w:t>伤</w:t>
      </w:r>
      <w:r>
        <w:rPr>
          <w:spacing w:val="-3"/>
        </w:rPr>
        <w:t>害</w:t>
      </w:r>
      <w:r>
        <w:rPr/>
        <w:t>发</w:t>
      </w:r>
      <w:r>
        <w:rPr>
          <w:spacing w:val="-3"/>
        </w:rPr>
        <w:t>生</w:t>
      </w:r>
      <w:r>
        <w:rPr/>
        <w:t>之</w:t>
      </w:r>
      <w:r>
        <w:rPr>
          <w:spacing w:val="-3"/>
        </w:rPr>
        <w:t>日</w:t>
      </w:r>
      <w:r>
        <w:rPr/>
        <w:t>起</w:t>
      </w:r>
      <w:r>
        <w:rPr>
          <w:spacing w:val="-34"/>
        </w:rPr>
        <w:t>，</w:t>
      </w:r>
      <w:r>
        <w:rPr/>
        <w:t>经</w:t>
      </w:r>
      <w:r>
        <w:rPr>
          <w:spacing w:val="-3"/>
        </w:rPr>
        <w:t>过</w:t>
      </w:r>
      <w:r>
        <w:rPr/>
        <w:t>积</w:t>
      </w:r>
      <w:r>
        <w:rPr>
          <w:spacing w:val="-3"/>
        </w:rPr>
        <w:t>极治</w:t>
      </w:r>
      <w:r>
        <w:rPr/>
        <w:t>疗</w:t>
      </w:r>
      <w:r>
        <w:rPr>
          <w:spacing w:val="-33"/>
        </w:rPr>
        <w:t> </w:t>
      </w:r>
      <w:r>
        <w:rPr/>
        <w:t>180</w:t>
      </w:r>
      <w:r>
        <w:rPr>
          <w:spacing w:val="-34"/>
        </w:rPr>
        <w:t> </w:t>
      </w:r>
      <w:r>
        <w:rPr>
          <w:spacing w:val="-3"/>
        </w:rPr>
        <w:t>天</w:t>
      </w:r>
      <w:r>
        <w:rPr/>
        <w:t>后</w:t>
      </w:r>
      <w:r>
        <w:rPr>
          <w:spacing w:val="-34"/>
        </w:rPr>
        <w:t>，仍</w:t>
      </w:r>
      <w:r>
        <w:rPr/>
        <w:t>无法</w:t>
      </w:r>
      <w:r>
        <w:rPr>
          <w:spacing w:val="-3"/>
        </w:rPr>
        <w:t>通</w:t>
      </w:r>
      <w:r>
        <w:rPr/>
        <w:t>过</w:t>
      </w:r>
      <w:r>
        <w:rPr>
          <w:spacing w:val="-3"/>
        </w:rPr>
        <w:t>现</w:t>
      </w:r>
      <w:r>
        <w:rPr/>
        <w:t>有</w:t>
      </w:r>
      <w:r>
        <w:rPr>
          <w:spacing w:val="-3"/>
        </w:rPr>
        <w:t>医</w:t>
      </w:r>
      <w:r>
        <w:rPr/>
        <w:t>疗</w:t>
      </w:r>
      <w:r>
        <w:rPr>
          <w:spacing w:val="-3"/>
        </w:rPr>
        <w:t>手</w:t>
      </w:r>
      <w:r>
        <w:rPr/>
        <w:t>段</w:t>
      </w:r>
      <w:r>
        <w:rPr>
          <w:spacing w:val="-3"/>
        </w:rPr>
        <w:t>恢</w:t>
      </w:r>
      <w:r>
        <w:rPr/>
        <w:t>复。</w:t>
      </w:r>
    </w:p>
    <w:p>
      <w:pPr>
        <w:pStyle w:val="BodyText"/>
        <w:rPr>
          <w:sz w:val="20"/>
        </w:rPr>
      </w:pPr>
    </w:p>
    <w:p>
      <w:pPr>
        <w:pStyle w:val="BodyText"/>
        <w:spacing w:before="5"/>
        <w:rPr>
          <w:sz w:val="27"/>
        </w:rPr>
      </w:pPr>
    </w:p>
    <w:p>
      <w:pPr>
        <w:spacing w:before="0"/>
        <w:ind w:left="3992" w:right="4114" w:firstLine="0"/>
        <w:jc w:val="center"/>
        <w:rPr>
          <w:b/>
          <w:sz w:val="24"/>
        </w:rPr>
      </w:pPr>
      <w:r>
        <w:rPr>
          <w:b/>
          <w:w w:val="95"/>
          <w:sz w:val="24"/>
        </w:rPr>
        <w:t>[本页内容结束]</w:t>
      </w:r>
    </w:p>
    <w:sectPr>
      <w:type w:val="continuous"/>
      <w:pgSz w:w="11910" w:h="16840"/>
      <w:pgMar w:top="78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9.040009pt;margin-top:802.299988pt;width:41.65pt;height:12pt;mso-position-horizontal-relative:page;mso-position-vertical-relative:page;z-index:-19048" type="#_x0000_t202" filled="false" stroked="false">
          <v:textbox inset="0,0,0,0">
            <w:txbxContent>
              <w:p>
                <w:pPr>
                  <w:spacing w:before="12"/>
                  <w:ind w:left="20" w:right="0" w:firstLine="0"/>
                  <w:jc w:val="left"/>
                  <w:rPr>
                    <w:rFonts w:ascii="Times New Roman"/>
                    <w:sz w:val="18"/>
                  </w:rPr>
                </w:pPr>
                <w:r>
                  <w:rPr>
                    <w:rFonts w:ascii="Times New Roman"/>
                    <w:sz w:val="18"/>
                  </w:rPr>
                  <w:t>NELI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253" w:hanging="720"/>
        <w:jc w:val="left"/>
      </w:pPr>
      <w:rPr>
        <w:rFonts w:hint="default" w:ascii="宋体" w:hAnsi="宋体" w:eastAsia="宋体" w:cs="宋体"/>
        <w:w w:val="100"/>
        <w:sz w:val="21"/>
        <w:szCs w:val="21"/>
      </w:rPr>
    </w:lvl>
    <w:lvl w:ilvl="1">
      <w:start w:val="0"/>
      <w:numFmt w:val="bullet"/>
      <w:lvlText w:val="•"/>
      <w:lvlJc w:val="left"/>
      <w:pPr>
        <w:ind w:left="2120" w:hanging="720"/>
      </w:pPr>
      <w:rPr>
        <w:rFonts w:hint="default"/>
      </w:rPr>
    </w:lvl>
    <w:lvl w:ilvl="2">
      <w:start w:val="0"/>
      <w:numFmt w:val="bullet"/>
      <w:lvlText w:val="•"/>
      <w:lvlJc w:val="left"/>
      <w:pPr>
        <w:ind w:left="2981" w:hanging="720"/>
      </w:pPr>
      <w:rPr>
        <w:rFonts w:hint="default"/>
      </w:rPr>
    </w:lvl>
    <w:lvl w:ilvl="3">
      <w:start w:val="0"/>
      <w:numFmt w:val="bullet"/>
      <w:lvlText w:val="•"/>
      <w:lvlJc w:val="left"/>
      <w:pPr>
        <w:ind w:left="3841" w:hanging="720"/>
      </w:pPr>
      <w:rPr>
        <w:rFonts w:hint="default"/>
      </w:rPr>
    </w:lvl>
    <w:lvl w:ilvl="4">
      <w:start w:val="0"/>
      <w:numFmt w:val="bullet"/>
      <w:lvlText w:val="•"/>
      <w:lvlJc w:val="left"/>
      <w:pPr>
        <w:ind w:left="4702" w:hanging="720"/>
      </w:pPr>
      <w:rPr>
        <w:rFonts w:hint="default"/>
      </w:rPr>
    </w:lvl>
    <w:lvl w:ilvl="5">
      <w:start w:val="0"/>
      <w:numFmt w:val="bullet"/>
      <w:lvlText w:val="•"/>
      <w:lvlJc w:val="left"/>
      <w:pPr>
        <w:ind w:left="5563" w:hanging="720"/>
      </w:pPr>
      <w:rPr>
        <w:rFonts w:hint="default"/>
      </w:rPr>
    </w:lvl>
    <w:lvl w:ilvl="6">
      <w:start w:val="0"/>
      <w:numFmt w:val="bullet"/>
      <w:lvlText w:val="•"/>
      <w:lvlJc w:val="left"/>
      <w:pPr>
        <w:ind w:left="6423" w:hanging="720"/>
      </w:pPr>
      <w:rPr>
        <w:rFonts w:hint="default"/>
      </w:rPr>
    </w:lvl>
    <w:lvl w:ilvl="7">
      <w:start w:val="0"/>
      <w:numFmt w:val="bullet"/>
      <w:lvlText w:val="•"/>
      <w:lvlJc w:val="left"/>
      <w:pPr>
        <w:ind w:left="7284" w:hanging="720"/>
      </w:pPr>
      <w:rPr>
        <w:rFonts w:hint="default"/>
      </w:rPr>
    </w:lvl>
    <w:lvl w:ilvl="8">
      <w:start w:val="0"/>
      <w:numFmt w:val="bullet"/>
      <w:lvlText w:val="•"/>
      <w:lvlJc w:val="left"/>
      <w:pPr>
        <w:ind w:left="8145" w:hanging="720"/>
      </w:pPr>
      <w:rPr>
        <w:rFonts w:hint="default"/>
      </w:rPr>
    </w:lvl>
  </w:abstractNum>
  <w:abstractNum w:abstractNumId="15">
    <w:multiLevelType w:val="hybridMultilevel"/>
    <w:lvl w:ilvl="0">
      <w:start w:val="1"/>
      <w:numFmt w:val="decimal"/>
      <w:lvlText w:val="（%1）"/>
      <w:lvlJc w:val="left"/>
      <w:pPr>
        <w:ind w:left="106" w:hanging="747"/>
        <w:jc w:val="left"/>
      </w:pPr>
      <w:rPr>
        <w:rFonts w:hint="default" w:ascii="宋体" w:hAnsi="宋体" w:eastAsia="宋体" w:cs="宋体"/>
        <w:w w:val="100"/>
        <w:sz w:val="21"/>
        <w:szCs w:val="21"/>
      </w:rPr>
    </w:lvl>
    <w:lvl w:ilvl="1">
      <w:start w:val="0"/>
      <w:numFmt w:val="bullet"/>
      <w:lvlText w:val="•"/>
      <w:lvlJc w:val="left"/>
      <w:pPr>
        <w:ind w:left="878" w:hanging="747"/>
      </w:pPr>
      <w:rPr>
        <w:rFonts w:hint="default"/>
      </w:rPr>
    </w:lvl>
    <w:lvl w:ilvl="2">
      <w:start w:val="0"/>
      <w:numFmt w:val="bullet"/>
      <w:lvlText w:val="•"/>
      <w:lvlJc w:val="left"/>
      <w:pPr>
        <w:ind w:left="1656" w:hanging="747"/>
      </w:pPr>
      <w:rPr>
        <w:rFonts w:hint="default"/>
      </w:rPr>
    </w:lvl>
    <w:lvl w:ilvl="3">
      <w:start w:val="0"/>
      <w:numFmt w:val="bullet"/>
      <w:lvlText w:val="•"/>
      <w:lvlJc w:val="left"/>
      <w:pPr>
        <w:ind w:left="2434" w:hanging="747"/>
      </w:pPr>
      <w:rPr>
        <w:rFonts w:hint="default"/>
      </w:rPr>
    </w:lvl>
    <w:lvl w:ilvl="4">
      <w:start w:val="0"/>
      <w:numFmt w:val="bullet"/>
      <w:lvlText w:val="•"/>
      <w:lvlJc w:val="left"/>
      <w:pPr>
        <w:ind w:left="3212" w:hanging="747"/>
      </w:pPr>
      <w:rPr>
        <w:rFonts w:hint="default"/>
      </w:rPr>
    </w:lvl>
    <w:lvl w:ilvl="5">
      <w:start w:val="0"/>
      <w:numFmt w:val="bullet"/>
      <w:lvlText w:val="•"/>
      <w:lvlJc w:val="left"/>
      <w:pPr>
        <w:ind w:left="3990" w:hanging="747"/>
      </w:pPr>
      <w:rPr>
        <w:rFonts w:hint="default"/>
      </w:rPr>
    </w:lvl>
    <w:lvl w:ilvl="6">
      <w:start w:val="0"/>
      <w:numFmt w:val="bullet"/>
      <w:lvlText w:val="•"/>
      <w:lvlJc w:val="left"/>
      <w:pPr>
        <w:ind w:left="4768" w:hanging="747"/>
      </w:pPr>
      <w:rPr>
        <w:rFonts w:hint="default"/>
      </w:rPr>
    </w:lvl>
    <w:lvl w:ilvl="7">
      <w:start w:val="0"/>
      <w:numFmt w:val="bullet"/>
      <w:lvlText w:val="•"/>
      <w:lvlJc w:val="left"/>
      <w:pPr>
        <w:ind w:left="5546" w:hanging="747"/>
      </w:pPr>
      <w:rPr>
        <w:rFonts w:hint="default"/>
      </w:rPr>
    </w:lvl>
    <w:lvl w:ilvl="8">
      <w:start w:val="0"/>
      <w:numFmt w:val="bullet"/>
      <w:lvlText w:val="•"/>
      <w:lvlJc w:val="left"/>
      <w:pPr>
        <w:ind w:left="6324" w:hanging="747"/>
      </w:pPr>
      <w:rPr>
        <w:rFonts w:hint="default"/>
      </w:rPr>
    </w:lvl>
  </w:abstractNum>
  <w:abstractNum w:abstractNumId="14">
    <w:multiLevelType w:val="hybridMultilevel"/>
    <w:lvl w:ilvl="0">
      <w:start w:val="1"/>
      <w:numFmt w:val="decimal"/>
      <w:lvlText w:val="（%1）"/>
      <w:lvlJc w:val="left"/>
      <w:pPr>
        <w:ind w:left="840" w:hanging="747"/>
        <w:jc w:val="left"/>
      </w:pPr>
      <w:rPr>
        <w:rFonts w:hint="default" w:ascii="宋体" w:hAnsi="宋体" w:eastAsia="宋体" w:cs="宋体"/>
        <w:w w:val="100"/>
        <w:sz w:val="21"/>
        <w:szCs w:val="21"/>
      </w:rPr>
    </w:lvl>
    <w:lvl w:ilvl="1">
      <w:start w:val="0"/>
      <w:numFmt w:val="bullet"/>
      <w:lvlText w:val="•"/>
      <w:lvlJc w:val="left"/>
      <w:pPr>
        <w:ind w:left="1544" w:hanging="747"/>
      </w:pPr>
      <w:rPr>
        <w:rFonts w:hint="default"/>
      </w:rPr>
    </w:lvl>
    <w:lvl w:ilvl="2">
      <w:start w:val="0"/>
      <w:numFmt w:val="bullet"/>
      <w:lvlText w:val="•"/>
      <w:lvlJc w:val="left"/>
      <w:pPr>
        <w:ind w:left="2248" w:hanging="747"/>
      </w:pPr>
      <w:rPr>
        <w:rFonts w:hint="default"/>
      </w:rPr>
    </w:lvl>
    <w:lvl w:ilvl="3">
      <w:start w:val="0"/>
      <w:numFmt w:val="bullet"/>
      <w:lvlText w:val="•"/>
      <w:lvlJc w:val="left"/>
      <w:pPr>
        <w:ind w:left="2952" w:hanging="747"/>
      </w:pPr>
      <w:rPr>
        <w:rFonts w:hint="default"/>
      </w:rPr>
    </w:lvl>
    <w:lvl w:ilvl="4">
      <w:start w:val="0"/>
      <w:numFmt w:val="bullet"/>
      <w:lvlText w:val="•"/>
      <w:lvlJc w:val="left"/>
      <w:pPr>
        <w:ind w:left="3656" w:hanging="747"/>
      </w:pPr>
      <w:rPr>
        <w:rFonts w:hint="default"/>
      </w:rPr>
    </w:lvl>
    <w:lvl w:ilvl="5">
      <w:start w:val="0"/>
      <w:numFmt w:val="bullet"/>
      <w:lvlText w:val="•"/>
      <w:lvlJc w:val="left"/>
      <w:pPr>
        <w:ind w:left="4360" w:hanging="747"/>
      </w:pPr>
      <w:rPr>
        <w:rFonts w:hint="default"/>
      </w:rPr>
    </w:lvl>
    <w:lvl w:ilvl="6">
      <w:start w:val="0"/>
      <w:numFmt w:val="bullet"/>
      <w:lvlText w:val="•"/>
      <w:lvlJc w:val="left"/>
      <w:pPr>
        <w:ind w:left="5064" w:hanging="747"/>
      </w:pPr>
      <w:rPr>
        <w:rFonts w:hint="default"/>
      </w:rPr>
    </w:lvl>
    <w:lvl w:ilvl="7">
      <w:start w:val="0"/>
      <w:numFmt w:val="bullet"/>
      <w:lvlText w:val="•"/>
      <w:lvlJc w:val="left"/>
      <w:pPr>
        <w:ind w:left="5768" w:hanging="747"/>
      </w:pPr>
      <w:rPr>
        <w:rFonts w:hint="default"/>
      </w:rPr>
    </w:lvl>
    <w:lvl w:ilvl="8">
      <w:start w:val="0"/>
      <w:numFmt w:val="bullet"/>
      <w:lvlText w:val="•"/>
      <w:lvlJc w:val="left"/>
      <w:pPr>
        <w:ind w:left="6472" w:hanging="747"/>
      </w:pPr>
      <w:rPr>
        <w:rFonts w:hint="default"/>
      </w:rPr>
    </w:lvl>
  </w:abstractNum>
  <w:abstractNum w:abstractNumId="13">
    <w:multiLevelType w:val="hybridMultilevel"/>
    <w:lvl w:ilvl="0">
      <w:start w:val="1"/>
      <w:numFmt w:val="decimal"/>
      <w:lvlText w:val="（%1）"/>
      <w:lvlJc w:val="left"/>
      <w:pPr>
        <w:ind w:left="852" w:hanging="747"/>
        <w:jc w:val="left"/>
      </w:pPr>
      <w:rPr>
        <w:rFonts w:hint="default" w:ascii="宋体" w:hAnsi="宋体" w:eastAsia="宋体" w:cs="宋体"/>
        <w:w w:val="100"/>
        <w:sz w:val="21"/>
        <w:szCs w:val="21"/>
      </w:rPr>
    </w:lvl>
    <w:lvl w:ilvl="1">
      <w:start w:val="0"/>
      <w:numFmt w:val="bullet"/>
      <w:lvlText w:val="•"/>
      <w:lvlJc w:val="left"/>
      <w:pPr>
        <w:ind w:left="1562" w:hanging="747"/>
      </w:pPr>
      <w:rPr>
        <w:rFonts w:hint="default"/>
      </w:rPr>
    </w:lvl>
    <w:lvl w:ilvl="2">
      <w:start w:val="0"/>
      <w:numFmt w:val="bullet"/>
      <w:lvlText w:val="•"/>
      <w:lvlJc w:val="left"/>
      <w:pPr>
        <w:ind w:left="2264" w:hanging="747"/>
      </w:pPr>
      <w:rPr>
        <w:rFonts w:hint="default"/>
      </w:rPr>
    </w:lvl>
    <w:lvl w:ilvl="3">
      <w:start w:val="0"/>
      <w:numFmt w:val="bullet"/>
      <w:lvlText w:val="•"/>
      <w:lvlJc w:val="left"/>
      <w:pPr>
        <w:ind w:left="2966" w:hanging="747"/>
      </w:pPr>
      <w:rPr>
        <w:rFonts w:hint="default"/>
      </w:rPr>
    </w:lvl>
    <w:lvl w:ilvl="4">
      <w:start w:val="0"/>
      <w:numFmt w:val="bullet"/>
      <w:lvlText w:val="•"/>
      <w:lvlJc w:val="left"/>
      <w:pPr>
        <w:ind w:left="3668" w:hanging="747"/>
      </w:pPr>
      <w:rPr>
        <w:rFonts w:hint="default"/>
      </w:rPr>
    </w:lvl>
    <w:lvl w:ilvl="5">
      <w:start w:val="0"/>
      <w:numFmt w:val="bullet"/>
      <w:lvlText w:val="•"/>
      <w:lvlJc w:val="left"/>
      <w:pPr>
        <w:ind w:left="4370" w:hanging="747"/>
      </w:pPr>
      <w:rPr>
        <w:rFonts w:hint="default"/>
      </w:rPr>
    </w:lvl>
    <w:lvl w:ilvl="6">
      <w:start w:val="0"/>
      <w:numFmt w:val="bullet"/>
      <w:lvlText w:val="•"/>
      <w:lvlJc w:val="left"/>
      <w:pPr>
        <w:ind w:left="5072" w:hanging="747"/>
      </w:pPr>
      <w:rPr>
        <w:rFonts w:hint="default"/>
      </w:rPr>
    </w:lvl>
    <w:lvl w:ilvl="7">
      <w:start w:val="0"/>
      <w:numFmt w:val="bullet"/>
      <w:lvlText w:val="•"/>
      <w:lvlJc w:val="left"/>
      <w:pPr>
        <w:ind w:left="5774" w:hanging="747"/>
      </w:pPr>
      <w:rPr>
        <w:rFonts w:hint="default"/>
      </w:rPr>
    </w:lvl>
    <w:lvl w:ilvl="8">
      <w:start w:val="0"/>
      <w:numFmt w:val="bullet"/>
      <w:lvlText w:val="•"/>
      <w:lvlJc w:val="left"/>
      <w:pPr>
        <w:ind w:left="6476" w:hanging="747"/>
      </w:pPr>
      <w:rPr>
        <w:rFonts w:hint="default"/>
      </w:rPr>
    </w:lvl>
  </w:abstractNum>
  <w:abstractNum w:abstractNumId="12">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11">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10">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9">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8">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7">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6">
    <w:multiLevelType w:val="hybridMultilevel"/>
    <w:lvl w:ilvl="0">
      <w:start w:val="1"/>
      <w:numFmt w:val="decimal"/>
      <w:lvlText w:val="（%1）"/>
      <w:lvlJc w:val="left"/>
      <w:pPr>
        <w:ind w:left="2265"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5">
    <w:multiLevelType w:val="hybridMultilevel"/>
    <w:lvl w:ilvl="0">
      <w:start w:val="1"/>
      <w:numFmt w:val="decimal"/>
      <w:lvlText w:val="（%1）"/>
      <w:lvlJc w:val="left"/>
      <w:pPr>
        <w:ind w:left="1147" w:hanging="747"/>
        <w:jc w:val="left"/>
      </w:pPr>
      <w:rPr>
        <w:rFonts w:hint="default"/>
        <w:w w:val="100"/>
      </w:rPr>
    </w:lvl>
    <w:lvl w:ilvl="1">
      <w:start w:val="0"/>
      <w:numFmt w:val="bullet"/>
      <w:lvlText w:val="•"/>
      <w:lvlJc w:val="left"/>
      <w:pPr>
        <w:ind w:left="1846" w:hanging="747"/>
      </w:pPr>
      <w:rPr>
        <w:rFonts w:hint="default"/>
      </w:rPr>
    </w:lvl>
    <w:lvl w:ilvl="2">
      <w:start w:val="0"/>
      <w:numFmt w:val="bullet"/>
      <w:lvlText w:val="•"/>
      <w:lvlJc w:val="left"/>
      <w:pPr>
        <w:ind w:left="2552" w:hanging="747"/>
      </w:pPr>
      <w:rPr>
        <w:rFonts w:hint="default"/>
      </w:rPr>
    </w:lvl>
    <w:lvl w:ilvl="3">
      <w:start w:val="0"/>
      <w:numFmt w:val="bullet"/>
      <w:lvlText w:val="•"/>
      <w:lvlJc w:val="left"/>
      <w:pPr>
        <w:ind w:left="3258" w:hanging="747"/>
      </w:pPr>
      <w:rPr>
        <w:rFonts w:hint="default"/>
      </w:rPr>
    </w:lvl>
    <w:lvl w:ilvl="4">
      <w:start w:val="0"/>
      <w:numFmt w:val="bullet"/>
      <w:lvlText w:val="•"/>
      <w:lvlJc w:val="left"/>
      <w:pPr>
        <w:ind w:left="3964" w:hanging="747"/>
      </w:pPr>
      <w:rPr>
        <w:rFonts w:hint="default"/>
      </w:rPr>
    </w:lvl>
    <w:lvl w:ilvl="5">
      <w:start w:val="0"/>
      <w:numFmt w:val="bullet"/>
      <w:lvlText w:val="•"/>
      <w:lvlJc w:val="left"/>
      <w:pPr>
        <w:ind w:left="4671" w:hanging="747"/>
      </w:pPr>
      <w:rPr>
        <w:rFonts w:hint="default"/>
      </w:rPr>
    </w:lvl>
    <w:lvl w:ilvl="6">
      <w:start w:val="0"/>
      <w:numFmt w:val="bullet"/>
      <w:lvlText w:val="•"/>
      <w:lvlJc w:val="left"/>
      <w:pPr>
        <w:ind w:left="5377" w:hanging="747"/>
      </w:pPr>
      <w:rPr>
        <w:rFonts w:hint="default"/>
      </w:rPr>
    </w:lvl>
    <w:lvl w:ilvl="7">
      <w:start w:val="0"/>
      <w:numFmt w:val="bullet"/>
      <w:lvlText w:val="•"/>
      <w:lvlJc w:val="left"/>
      <w:pPr>
        <w:ind w:left="6083" w:hanging="747"/>
      </w:pPr>
      <w:rPr>
        <w:rFonts w:hint="default"/>
      </w:rPr>
    </w:lvl>
    <w:lvl w:ilvl="8">
      <w:start w:val="0"/>
      <w:numFmt w:val="bullet"/>
      <w:lvlText w:val="•"/>
      <w:lvlJc w:val="left"/>
      <w:pPr>
        <w:ind w:left="6789" w:hanging="747"/>
      </w:pPr>
      <w:rPr>
        <w:rFonts w:hint="default"/>
      </w:rPr>
    </w:lvl>
  </w:abstractNum>
  <w:abstractNum w:abstractNumId="4">
    <w:multiLevelType w:val="hybridMultilevel"/>
    <w:lvl w:ilvl="0">
      <w:start w:val="1"/>
      <w:numFmt w:val="decimal"/>
      <w:lvlText w:val="（%1）"/>
      <w:lvlJc w:val="left"/>
      <w:pPr>
        <w:ind w:left="1128" w:hanging="747"/>
        <w:jc w:val="left"/>
      </w:pPr>
      <w:rPr>
        <w:rFonts w:hint="default" w:ascii="宋体" w:hAnsi="宋体" w:eastAsia="宋体" w:cs="宋体"/>
        <w:w w:val="100"/>
        <w:sz w:val="21"/>
        <w:szCs w:val="21"/>
      </w:rPr>
    </w:lvl>
    <w:lvl w:ilvl="1">
      <w:start w:val="0"/>
      <w:numFmt w:val="bullet"/>
      <w:lvlText w:val="•"/>
      <w:lvlJc w:val="left"/>
      <w:pPr>
        <w:ind w:left="1828" w:hanging="747"/>
      </w:pPr>
      <w:rPr>
        <w:rFonts w:hint="default"/>
      </w:rPr>
    </w:lvl>
    <w:lvl w:ilvl="2">
      <w:start w:val="0"/>
      <w:numFmt w:val="bullet"/>
      <w:lvlText w:val="•"/>
      <w:lvlJc w:val="left"/>
      <w:pPr>
        <w:ind w:left="2536" w:hanging="747"/>
      </w:pPr>
      <w:rPr>
        <w:rFonts w:hint="default"/>
      </w:rPr>
    </w:lvl>
    <w:lvl w:ilvl="3">
      <w:start w:val="0"/>
      <w:numFmt w:val="bullet"/>
      <w:lvlText w:val="•"/>
      <w:lvlJc w:val="left"/>
      <w:pPr>
        <w:ind w:left="3244" w:hanging="747"/>
      </w:pPr>
      <w:rPr>
        <w:rFonts w:hint="default"/>
      </w:rPr>
    </w:lvl>
    <w:lvl w:ilvl="4">
      <w:start w:val="0"/>
      <w:numFmt w:val="bullet"/>
      <w:lvlText w:val="•"/>
      <w:lvlJc w:val="left"/>
      <w:pPr>
        <w:ind w:left="3952" w:hanging="747"/>
      </w:pPr>
      <w:rPr>
        <w:rFonts w:hint="default"/>
      </w:rPr>
    </w:lvl>
    <w:lvl w:ilvl="5">
      <w:start w:val="0"/>
      <w:numFmt w:val="bullet"/>
      <w:lvlText w:val="•"/>
      <w:lvlJc w:val="left"/>
      <w:pPr>
        <w:ind w:left="4661" w:hanging="747"/>
      </w:pPr>
      <w:rPr>
        <w:rFonts w:hint="default"/>
      </w:rPr>
    </w:lvl>
    <w:lvl w:ilvl="6">
      <w:start w:val="0"/>
      <w:numFmt w:val="bullet"/>
      <w:lvlText w:val="•"/>
      <w:lvlJc w:val="left"/>
      <w:pPr>
        <w:ind w:left="5369" w:hanging="747"/>
      </w:pPr>
      <w:rPr>
        <w:rFonts w:hint="default"/>
      </w:rPr>
    </w:lvl>
    <w:lvl w:ilvl="7">
      <w:start w:val="0"/>
      <w:numFmt w:val="bullet"/>
      <w:lvlText w:val="•"/>
      <w:lvlJc w:val="left"/>
      <w:pPr>
        <w:ind w:left="6077" w:hanging="747"/>
      </w:pPr>
      <w:rPr>
        <w:rFonts w:hint="default"/>
      </w:rPr>
    </w:lvl>
    <w:lvl w:ilvl="8">
      <w:start w:val="0"/>
      <w:numFmt w:val="bullet"/>
      <w:lvlText w:val="•"/>
      <w:lvlJc w:val="left"/>
      <w:pPr>
        <w:ind w:left="6785" w:hanging="747"/>
      </w:pPr>
      <w:rPr>
        <w:rFonts w:hint="default"/>
      </w:rPr>
    </w:lvl>
  </w:abstractNum>
  <w:abstractNum w:abstractNumId="3">
    <w:multiLevelType w:val="hybridMultilevel"/>
    <w:lvl w:ilvl="0">
      <w:start w:val="1"/>
      <w:numFmt w:val="decimal"/>
      <w:lvlText w:val="（%1）"/>
      <w:lvlJc w:val="left"/>
      <w:pPr>
        <w:ind w:left="1174" w:hanging="747"/>
        <w:jc w:val="left"/>
      </w:pPr>
      <w:rPr>
        <w:rFonts w:hint="default" w:ascii="黑体" w:hAnsi="黑体" w:eastAsia="黑体" w:cs="黑体"/>
        <w:b/>
        <w:bCs/>
        <w:spacing w:val="-3"/>
        <w:w w:val="100"/>
        <w:sz w:val="21"/>
        <w:szCs w:val="21"/>
      </w:rPr>
    </w:lvl>
    <w:lvl w:ilvl="1">
      <w:start w:val="0"/>
      <w:numFmt w:val="bullet"/>
      <w:lvlText w:val="•"/>
      <w:lvlJc w:val="left"/>
      <w:pPr>
        <w:ind w:left="1882" w:hanging="747"/>
      </w:pPr>
      <w:rPr>
        <w:rFonts w:hint="default"/>
      </w:rPr>
    </w:lvl>
    <w:lvl w:ilvl="2">
      <w:start w:val="0"/>
      <w:numFmt w:val="bullet"/>
      <w:lvlText w:val="•"/>
      <w:lvlJc w:val="left"/>
      <w:pPr>
        <w:ind w:left="2584" w:hanging="747"/>
      </w:pPr>
      <w:rPr>
        <w:rFonts w:hint="default"/>
      </w:rPr>
    </w:lvl>
    <w:lvl w:ilvl="3">
      <w:start w:val="0"/>
      <w:numFmt w:val="bullet"/>
      <w:lvlText w:val="•"/>
      <w:lvlJc w:val="left"/>
      <w:pPr>
        <w:ind w:left="3286" w:hanging="747"/>
      </w:pPr>
      <w:rPr>
        <w:rFonts w:hint="default"/>
      </w:rPr>
    </w:lvl>
    <w:lvl w:ilvl="4">
      <w:start w:val="0"/>
      <w:numFmt w:val="bullet"/>
      <w:lvlText w:val="•"/>
      <w:lvlJc w:val="left"/>
      <w:pPr>
        <w:ind w:left="3988" w:hanging="747"/>
      </w:pPr>
      <w:rPr>
        <w:rFonts w:hint="default"/>
      </w:rPr>
    </w:lvl>
    <w:lvl w:ilvl="5">
      <w:start w:val="0"/>
      <w:numFmt w:val="bullet"/>
      <w:lvlText w:val="•"/>
      <w:lvlJc w:val="left"/>
      <w:pPr>
        <w:ind w:left="4691" w:hanging="747"/>
      </w:pPr>
      <w:rPr>
        <w:rFonts w:hint="default"/>
      </w:rPr>
    </w:lvl>
    <w:lvl w:ilvl="6">
      <w:start w:val="0"/>
      <w:numFmt w:val="bullet"/>
      <w:lvlText w:val="•"/>
      <w:lvlJc w:val="left"/>
      <w:pPr>
        <w:ind w:left="5393" w:hanging="747"/>
      </w:pPr>
      <w:rPr>
        <w:rFonts w:hint="default"/>
      </w:rPr>
    </w:lvl>
    <w:lvl w:ilvl="7">
      <w:start w:val="0"/>
      <w:numFmt w:val="bullet"/>
      <w:lvlText w:val="•"/>
      <w:lvlJc w:val="left"/>
      <w:pPr>
        <w:ind w:left="6095" w:hanging="747"/>
      </w:pPr>
      <w:rPr>
        <w:rFonts w:hint="default"/>
      </w:rPr>
    </w:lvl>
    <w:lvl w:ilvl="8">
      <w:start w:val="0"/>
      <w:numFmt w:val="bullet"/>
      <w:lvlText w:val="•"/>
      <w:lvlJc w:val="left"/>
      <w:pPr>
        <w:ind w:left="6797" w:hanging="747"/>
      </w:pPr>
      <w:rPr>
        <w:rFonts w:hint="default"/>
      </w:rPr>
    </w:lvl>
  </w:abstractNum>
  <w:abstractNum w:abstractNumId="2">
    <w:multiLevelType w:val="hybridMultilevel"/>
    <w:lvl w:ilvl="0">
      <w:start w:val="1"/>
      <w:numFmt w:val="decimal"/>
      <w:lvlText w:val="%1."/>
      <w:lvlJc w:val="left"/>
      <w:pPr>
        <w:ind w:left="952" w:hanging="428"/>
        <w:jc w:val="left"/>
      </w:pPr>
      <w:rPr>
        <w:rFonts w:hint="default" w:ascii="宋体" w:hAnsi="宋体" w:eastAsia="宋体" w:cs="宋体"/>
        <w:w w:val="100"/>
        <w:sz w:val="21"/>
        <w:szCs w:val="21"/>
      </w:rPr>
    </w:lvl>
    <w:lvl w:ilvl="1">
      <w:start w:val="1"/>
      <w:numFmt w:val="decimal"/>
      <w:lvlText w:val="%2."/>
      <w:lvlJc w:val="left"/>
      <w:pPr>
        <w:ind w:left="1822" w:hanging="507"/>
        <w:jc w:val="left"/>
      </w:pPr>
      <w:rPr>
        <w:rFonts w:hint="default" w:ascii="宋体" w:hAnsi="宋体" w:eastAsia="宋体" w:cs="宋体"/>
        <w:w w:val="100"/>
        <w:sz w:val="21"/>
        <w:szCs w:val="21"/>
      </w:rPr>
    </w:lvl>
    <w:lvl w:ilvl="2">
      <w:start w:val="1"/>
      <w:numFmt w:val="decimal"/>
      <w:lvlText w:val="（%3）"/>
      <w:lvlJc w:val="left"/>
      <w:pPr>
        <w:ind w:left="2265" w:hanging="747"/>
        <w:jc w:val="left"/>
      </w:pPr>
      <w:rPr>
        <w:rFonts w:hint="default" w:ascii="宋体" w:hAnsi="宋体" w:eastAsia="宋体" w:cs="宋体"/>
        <w:w w:val="100"/>
        <w:sz w:val="21"/>
        <w:szCs w:val="21"/>
      </w:rPr>
    </w:lvl>
    <w:lvl w:ilvl="3">
      <w:start w:val="0"/>
      <w:numFmt w:val="bullet"/>
      <w:lvlText w:val="•"/>
      <w:lvlJc w:val="left"/>
      <w:pPr>
        <w:ind w:left="3128" w:hanging="747"/>
      </w:pPr>
      <w:rPr>
        <w:rFonts w:hint="default"/>
      </w:rPr>
    </w:lvl>
    <w:lvl w:ilvl="4">
      <w:start w:val="0"/>
      <w:numFmt w:val="bullet"/>
      <w:lvlText w:val="•"/>
      <w:lvlJc w:val="left"/>
      <w:pPr>
        <w:ind w:left="3996" w:hanging="747"/>
      </w:pPr>
      <w:rPr>
        <w:rFonts w:hint="default"/>
      </w:rPr>
    </w:lvl>
    <w:lvl w:ilvl="5">
      <w:start w:val="0"/>
      <w:numFmt w:val="bullet"/>
      <w:lvlText w:val="•"/>
      <w:lvlJc w:val="left"/>
      <w:pPr>
        <w:ind w:left="4864" w:hanging="747"/>
      </w:pPr>
      <w:rPr>
        <w:rFonts w:hint="default"/>
      </w:rPr>
    </w:lvl>
    <w:lvl w:ilvl="6">
      <w:start w:val="0"/>
      <w:numFmt w:val="bullet"/>
      <w:lvlText w:val="•"/>
      <w:lvlJc w:val="left"/>
      <w:pPr>
        <w:ind w:left="5733" w:hanging="747"/>
      </w:pPr>
      <w:rPr>
        <w:rFonts w:hint="default"/>
      </w:rPr>
    </w:lvl>
    <w:lvl w:ilvl="7">
      <w:start w:val="0"/>
      <w:numFmt w:val="bullet"/>
      <w:lvlText w:val="•"/>
      <w:lvlJc w:val="left"/>
      <w:pPr>
        <w:ind w:left="6601" w:hanging="747"/>
      </w:pPr>
      <w:rPr>
        <w:rFonts w:hint="default"/>
      </w:rPr>
    </w:lvl>
    <w:lvl w:ilvl="8">
      <w:start w:val="0"/>
      <w:numFmt w:val="bullet"/>
      <w:lvlText w:val="•"/>
      <w:lvlJc w:val="left"/>
      <w:pPr>
        <w:ind w:left="7469" w:hanging="747"/>
      </w:pPr>
      <w:rPr>
        <w:rFonts w:hint="default"/>
      </w:rPr>
    </w:lvl>
  </w:abstractNum>
  <w:abstractNum w:abstractNumId="1">
    <w:multiLevelType w:val="hybridMultilevel"/>
    <w:lvl w:ilvl="0">
      <w:start w:val="1"/>
      <w:numFmt w:val="decimal"/>
      <w:lvlText w:val="%1."/>
      <w:lvlJc w:val="left"/>
      <w:pPr>
        <w:ind w:left="962" w:hanging="437"/>
        <w:jc w:val="left"/>
      </w:pPr>
      <w:rPr>
        <w:rFonts w:hint="default" w:ascii="宋体" w:hAnsi="宋体" w:eastAsia="宋体" w:cs="宋体"/>
        <w:w w:val="100"/>
        <w:sz w:val="21"/>
        <w:szCs w:val="21"/>
      </w:rPr>
    </w:lvl>
    <w:lvl w:ilvl="1">
      <w:start w:val="0"/>
      <w:numFmt w:val="bullet"/>
      <w:lvlText w:val="•"/>
      <w:lvlJc w:val="left"/>
      <w:pPr>
        <w:ind w:left="1850" w:hanging="437"/>
      </w:pPr>
      <w:rPr>
        <w:rFonts w:hint="default"/>
      </w:rPr>
    </w:lvl>
    <w:lvl w:ilvl="2">
      <w:start w:val="0"/>
      <w:numFmt w:val="bullet"/>
      <w:lvlText w:val="•"/>
      <w:lvlJc w:val="left"/>
      <w:pPr>
        <w:ind w:left="2741" w:hanging="437"/>
      </w:pPr>
      <w:rPr>
        <w:rFonts w:hint="default"/>
      </w:rPr>
    </w:lvl>
    <w:lvl w:ilvl="3">
      <w:start w:val="0"/>
      <w:numFmt w:val="bullet"/>
      <w:lvlText w:val="•"/>
      <w:lvlJc w:val="left"/>
      <w:pPr>
        <w:ind w:left="3631" w:hanging="437"/>
      </w:pPr>
      <w:rPr>
        <w:rFonts w:hint="default"/>
      </w:rPr>
    </w:lvl>
    <w:lvl w:ilvl="4">
      <w:start w:val="0"/>
      <w:numFmt w:val="bullet"/>
      <w:lvlText w:val="•"/>
      <w:lvlJc w:val="left"/>
      <w:pPr>
        <w:ind w:left="4522" w:hanging="437"/>
      </w:pPr>
      <w:rPr>
        <w:rFonts w:hint="default"/>
      </w:rPr>
    </w:lvl>
    <w:lvl w:ilvl="5">
      <w:start w:val="0"/>
      <w:numFmt w:val="bullet"/>
      <w:lvlText w:val="•"/>
      <w:lvlJc w:val="left"/>
      <w:pPr>
        <w:ind w:left="5413" w:hanging="437"/>
      </w:pPr>
      <w:rPr>
        <w:rFonts w:hint="default"/>
      </w:rPr>
    </w:lvl>
    <w:lvl w:ilvl="6">
      <w:start w:val="0"/>
      <w:numFmt w:val="bullet"/>
      <w:lvlText w:val="•"/>
      <w:lvlJc w:val="left"/>
      <w:pPr>
        <w:ind w:left="6303" w:hanging="437"/>
      </w:pPr>
      <w:rPr>
        <w:rFonts w:hint="default"/>
      </w:rPr>
    </w:lvl>
    <w:lvl w:ilvl="7">
      <w:start w:val="0"/>
      <w:numFmt w:val="bullet"/>
      <w:lvlText w:val="•"/>
      <w:lvlJc w:val="left"/>
      <w:pPr>
        <w:ind w:left="7194" w:hanging="437"/>
      </w:pPr>
      <w:rPr>
        <w:rFonts w:hint="default"/>
      </w:rPr>
    </w:lvl>
    <w:lvl w:ilvl="8">
      <w:start w:val="0"/>
      <w:numFmt w:val="bullet"/>
      <w:lvlText w:val="•"/>
      <w:lvlJc w:val="left"/>
      <w:pPr>
        <w:ind w:left="8085" w:hanging="437"/>
      </w:pPr>
      <w:rPr>
        <w:rFonts w:hint="default"/>
      </w:rPr>
    </w:lvl>
  </w:abstractNum>
  <w:num w:numId="1">
    <w:abstractNumId w:val="0"/>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2"/>
      <w:outlineLvl w:val="2"/>
    </w:pPr>
    <w:rPr>
      <w:rFonts w:ascii="宋体" w:hAnsi="宋体" w:eastAsia="宋体" w:cs="宋体"/>
      <w:b/>
      <w:bCs/>
      <w:sz w:val="24"/>
      <w:szCs w:val="24"/>
    </w:rPr>
  </w:style>
  <w:style w:styleId="Heading3" w:type="paragraph">
    <w:name w:val="Heading 3"/>
    <w:basedOn w:val="Normal"/>
    <w:uiPriority w:val="1"/>
    <w:qFormat/>
    <w:pPr>
      <w:ind w:left="1519"/>
      <w:outlineLvl w:val="3"/>
    </w:pPr>
    <w:rPr>
      <w:rFonts w:ascii="黑体" w:hAnsi="黑体" w:eastAsia="黑体" w:cs="黑体"/>
      <w:b/>
      <w:bCs/>
      <w:sz w:val="21"/>
      <w:szCs w:val="21"/>
    </w:rPr>
  </w:style>
  <w:style w:styleId="ListParagraph" w:type="paragraph">
    <w:name w:val="List Paragraph"/>
    <w:basedOn w:val="Normal"/>
    <w:uiPriority w:val="1"/>
    <w:qFormat/>
    <w:pPr>
      <w:spacing w:before="36"/>
      <w:ind w:left="2265" w:hanging="7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 Yu</dc:creator>
  <dc:title>金盛人寿保险有限公司</dc:title>
  <dcterms:created xsi:type="dcterms:W3CDTF">2018-10-20T03:46:27Z</dcterms:created>
  <dcterms:modified xsi:type="dcterms:W3CDTF">2018-10-20T03:46:27Z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