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0" w:right="213" w:firstLine="0"/>
        <w:jc w:val="right"/>
        <w:rPr>
          <w:sz w:val="15"/>
        </w:rPr>
      </w:pPr>
      <w:r>
        <w:rPr>
          <w:sz w:val="15"/>
        </w:rPr>
        <w:t>新华保险[2012]疾病保险 018 号</w:t>
      </w:r>
    </w:p>
    <w:p>
      <w:pPr>
        <w:spacing w:before="79"/>
        <w:ind w:left="1877" w:right="2626" w:firstLine="0"/>
        <w:jc w:val="center"/>
        <w:rPr>
          <w:sz w:val="32"/>
        </w:rPr>
      </w:pPr>
      <w:r>
        <w:rPr/>
        <w:drawing>
          <wp:anchor distT="0" distB="0" distL="0" distR="0" allowOverlap="1" layoutInCell="1" locked="0" behindDoc="1" simplePos="0" relativeHeight="268417775">
            <wp:simplePos x="0" y="0"/>
            <wp:positionH relativeFrom="page">
              <wp:posOffset>6479771</wp:posOffset>
            </wp:positionH>
            <wp:positionV relativeFrom="paragraph">
              <wp:posOffset>55847</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55"/>
        <w:ind w:left="1881" w:right="262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7"/>
        <w:rPr>
          <w:sz w:val="9"/>
        </w:rPr>
      </w:pPr>
    </w:p>
    <w:p>
      <w:pPr>
        <w:spacing w:before="55"/>
        <w:ind w:left="805" w:right="0" w:firstLine="0"/>
        <w:jc w:val="left"/>
        <w:rPr>
          <w:sz w:val="15"/>
        </w:rPr>
      </w:pPr>
      <w:r>
        <w:rPr>
          <w:sz w:val="21"/>
        </w:rPr>
        <w:t>在本条款中，“您”指投保人，“我们”、“本公司”均指新华人寿保险股份有限公司。</w:t>
      </w:r>
      <w:r>
        <w:rPr>
          <w:position w:val="7"/>
          <w:sz w:val="15"/>
        </w:rPr>
        <w:t>请扫描以查询验证条款</w:t>
      </w:r>
    </w:p>
    <w:p>
      <w:pPr>
        <w:pStyle w:val="BodyText"/>
        <w:tabs>
          <w:tab w:pos="1263" w:val="left" w:leader="none"/>
        </w:tabs>
        <w:spacing w:line="558" w:lineRule="exact" w:before="142"/>
        <w:ind w:left="253"/>
      </w:pPr>
      <w:r>
        <w:rPr/>
        <w:drawing>
          <wp:anchor distT="0" distB="0" distL="0" distR="0" allowOverlap="1" layoutInCell="1" locked="0" behindDoc="1" simplePos="0" relativeHeight="268417751">
            <wp:simplePos x="0" y="0"/>
            <wp:positionH relativeFrom="page">
              <wp:posOffset>808967</wp:posOffset>
            </wp:positionH>
            <wp:positionV relativeFrom="paragraph">
              <wp:posOffset>81450</wp:posOffset>
            </wp:positionV>
            <wp:extent cx="6086856" cy="784402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844028"/>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45" w:val="left" w:leader="none"/>
        </w:tabs>
        <w:spacing w:line="246" w:lineRule="exact" w:before="0"/>
        <w:ind w:left="1225"/>
      </w:pPr>
      <w:r>
        <w:rPr>
          <w:rFonts w:ascii="Times New Roman" w:hAnsi="Times New Roman" w:eastAsia="Times New Roman"/>
          <w:w w:val="150"/>
        </w:rPr>
        <w:t>v</w:t>
        <w:tab/>
      </w:r>
      <w:r>
        <w:rPr>
          <w:spacing w:val="-3"/>
        </w:rPr>
        <w:t>被保险人享受本保险合同提供的保障…………………………………………第</w:t>
      </w:r>
      <w:r>
        <w:rPr/>
        <w:t>2.3条</w:t>
      </w:r>
    </w:p>
    <w:p>
      <w:pPr>
        <w:pStyle w:val="BodyText"/>
        <w:tabs>
          <w:tab w:pos="1263" w:val="left" w:leader="none"/>
        </w:tabs>
        <w:spacing w:line="554" w:lineRule="exact" w:before="0"/>
        <w:ind w:left="253"/>
      </w:pPr>
      <w:r>
        <w:rPr>
          <w:rFonts w:ascii="Times New Roman" w:eastAsia="Times New Roman"/>
          <w:w w:val="125"/>
          <w:position w:val="-11"/>
          <w:sz w:val="52"/>
        </w:rPr>
        <w:t>C</w:t>
        <w:tab/>
      </w:r>
      <w:r>
        <w:rPr>
          <w:spacing w:val="-1"/>
        </w:rPr>
        <w:t>您应当特别注意的事项</w:t>
      </w:r>
    </w:p>
    <w:p>
      <w:pPr>
        <w:pStyle w:val="BodyText"/>
        <w:tabs>
          <w:tab w:pos="1664" w:val="left" w:leader="none"/>
        </w:tabs>
        <w:spacing w:line="252" w:lineRule="exact" w:before="0"/>
        <w:ind w:left="1225"/>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64" w:val="left" w:leader="none"/>
        </w:tabs>
        <w:spacing w:before="108"/>
        <w:ind w:left="1225"/>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64" w:val="left" w:leader="none"/>
        </w:tabs>
        <w:spacing w:before="110"/>
        <w:ind w:left="1225"/>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4" w:val="left" w:leader="none"/>
        </w:tabs>
        <w:spacing w:before="110"/>
        <w:ind w:left="1225"/>
      </w:pPr>
      <w:r>
        <w:rPr>
          <w:rFonts w:ascii="Times New Roman" w:hAnsi="Times New Roman" w:eastAsia="Times New Roman"/>
          <w:w w:val="150"/>
        </w:rPr>
        <w:t>v</w:t>
        <w:tab/>
      </w:r>
      <w:r>
        <w:rPr>
          <w:spacing w:val="-3"/>
        </w:rPr>
        <w:t>本公司对一些重要术语进行了解释，请您注意………………………………第 </w:t>
      </w:r>
      <w:r>
        <w:rPr/>
        <w:t>5</w:t>
      </w:r>
      <w:r>
        <w:rPr>
          <w:spacing w:val="7"/>
        </w:rPr>
        <w:t> 条</w:t>
      </w:r>
    </w:p>
    <w:p>
      <w:pPr>
        <w:pStyle w:val="BodyText"/>
        <w:tabs>
          <w:tab w:pos="1664" w:val="left" w:leader="none"/>
        </w:tabs>
        <w:spacing w:line="302" w:lineRule="auto" w:before="21"/>
        <w:ind w:left="1637" w:right="1521" w:hanging="413"/>
      </w:pPr>
      <w:r>
        <w:rPr>
          <w:rFonts w:ascii="Times New Roman" w:eastAsia="Times New Roman"/>
          <w:w w:val="160"/>
        </w:rPr>
        <w:t>v</w:t>
        <w:tab/>
        <w:tab/>
      </w:r>
      <w:r>
        <w:rPr>
          <w:spacing w:val="-3"/>
        </w:rPr>
        <w:t>我们对可能影响被保险人享受本保险合同保障的重要内容进行了显著标识，请您 仔细阅读正文加粗的部分。</w:t>
      </w:r>
    </w:p>
    <w:p>
      <w:pPr>
        <w:pStyle w:val="BodyText"/>
        <w:tabs>
          <w:tab w:pos="1263" w:val="left" w:leader="none"/>
        </w:tabs>
        <w:spacing w:line="441" w:lineRule="exact" w:before="0"/>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3" w:val="left" w:leader="none"/>
        </w:tabs>
        <w:spacing w:line="499" w:lineRule="exact" w:before="0"/>
        <w:ind w:left="253" w:right="0" w:firstLine="0"/>
        <w:jc w:val="left"/>
        <w:rPr>
          <w:sz w:val="21"/>
        </w:rPr>
      </w:pPr>
      <w:r>
        <w:rPr>
          <w:rFonts w:ascii="Times New Roman" w:eastAsia="Times New Roman"/>
          <w:w w:val="125"/>
          <w:position w:val="-11"/>
          <w:sz w:val="52"/>
        </w:rPr>
        <w:t>C</w:t>
        <w:tab/>
      </w:r>
      <w:r>
        <w:rPr>
          <w:sz w:val="21"/>
        </w:rPr>
        <w:t>条款目录</w:t>
      </w:r>
    </w:p>
    <w:p>
      <w:pPr>
        <w:pStyle w:val="BodyText"/>
        <w:spacing w:before="6"/>
        <w:rPr>
          <w:sz w:val="11"/>
        </w:rPr>
      </w:pPr>
    </w:p>
    <w:p>
      <w:pPr>
        <w:spacing w:after="0"/>
        <w:rPr>
          <w:sz w:val="11"/>
        </w:rPr>
        <w:sectPr>
          <w:headerReference w:type="default" r:id="rId5"/>
          <w:footerReference w:type="default" r:id="rId6"/>
          <w:type w:val="continuous"/>
          <w:pgSz w:w="11910" w:h="16840"/>
          <w:pgMar w:header="879" w:footer="999" w:top="1120" w:bottom="1180" w:left="1160" w:right="180"/>
        </w:sectPr>
      </w:pPr>
    </w:p>
    <w:p>
      <w:pPr>
        <w:pStyle w:val="BodyText"/>
        <w:ind w:left="1309"/>
      </w:pPr>
      <w:r>
        <w:rPr/>
        <w:t>1.您与我们的合同</w:t>
      </w:r>
    </w:p>
    <w:p>
      <w:pPr>
        <w:pStyle w:val="ListParagraph"/>
        <w:numPr>
          <w:ilvl w:val="1"/>
          <w:numId w:val="1"/>
        </w:numPr>
        <w:tabs>
          <w:tab w:pos="1943" w:val="left" w:leader="none"/>
        </w:tabs>
        <w:spacing w:line="240" w:lineRule="auto" w:before="123" w:after="0"/>
        <w:ind w:left="1940" w:right="0" w:hanging="420"/>
        <w:jc w:val="left"/>
        <w:rPr>
          <w:sz w:val="21"/>
        </w:rPr>
      </w:pPr>
      <w:r>
        <w:rPr>
          <w:spacing w:val="-3"/>
          <w:sz w:val="21"/>
        </w:rPr>
        <w:t>合同构成</w:t>
      </w:r>
    </w:p>
    <w:p>
      <w:pPr>
        <w:pStyle w:val="ListParagraph"/>
        <w:numPr>
          <w:ilvl w:val="1"/>
          <w:numId w:val="1"/>
        </w:numPr>
        <w:tabs>
          <w:tab w:pos="1943" w:val="left" w:leader="none"/>
        </w:tabs>
        <w:spacing w:line="240" w:lineRule="auto" w:before="125" w:after="0"/>
        <w:ind w:left="1940" w:right="0" w:hanging="420"/>
        <w:jc w:val="left"/>
        <w:rPr>
          <w:sz w:val="21"/>
        </w:rPr>
      </w:pPr>
      <w:r>
        <w:rPr>
          <w:spacing w:val="-3"/>
          <w:sz w:val="21"/>
        </w:rPr>
        <w:t>投保范围</w:t>
      </w:r>
    </w:p>
    <w:p>
      <w:pPr>
        <w:pStyle w:val="ListParagraph"/>
        <w:numPr>
          <w:ilvl w:val="1"/>
          <w:numId w:val="1"/>
        </w:numPr>
        <w:tabs>
          <w:tab w:pos="1943" w:val="left" w:leader="none"/>
        </w:tabs>
        <w:spacing w:line="240" w:lineRule="auto" w:before="125" w:after="0"/>
        <w:ind w:left="1940" w:right="0" w:hanging="420"/>
        <w:jc w:val="left"/>
        <w:rPr>
          <w:sz w:val="21"/>
        </w:rPr>
      </w:pPr>
      <w:r>
        <w:rPr>
          <w:spacing w:val="-3"/>
          <w:sz w:val="21"/>
        </w:rPr>
        <w:t>合同成立与生效</w:t>
      </w:r>
    </w:p>
    <w:p>
      <w:pPr>
        <w:pStyle w:val="ListParagraph"/>
        <w:numPr>
          <w:ilvl w:val="1"/>
          <w:numId w:val="1"/>
        </w:numPr>
        <w:tabs>
          <w:tab w:pos="1943" w:val="left" w:leader="none"/>
        </w:tabs>
        <w:spacing w:line="240" w:lineRule="auto" w:before="123" w:after="0"/>
        <w:ind w:left="1940" w:right="0" w:hanging="420"/>
        <w:jc w:val="left"/>
        <w:rPr>
          <w:sz w:val="21"/>
        </w:rPr>
      </w:pPr>
      <w:r>
        <w:rPr>
          <w:spacing w:val="-3"/>
          <w:sz w:val="21"/>
        </w:rPr>
        <w:t>合同效力</w:t>
      </w:r>
    </w:p>
    <w:p>
      <w:pPr>
        <w:pStyle w:val="ListParagraph"/>
        <w:numPr>
          <w:ilvl w:val="1"/>
          <w:numId w:val="1"/>
        </w:numPr>
        <w:tabs>
          <w:tab w:pos="1943" w:val="left" w:leader="none"/>
        </w:tabs>
        <w:spacing w:line="350" w:lineRule="auto" w:before="126" w:after="0"/>
        <w:ind w:left="1940" w:right="0" w:hanging="420"/>
        <w:jc w:val="left"/>
        <w:rPr>
          <w:sz w:val="21"/>
        </w:rPr>
      </w:pPr>
      <w:r>
        <w:rPr>
          <w:spacing w:val="-3"/>
          <w:sz w:val="21"/>
        </w:rPr>
        <w:t>投保人解除合同的手续及风险</w:t>
      </w:r>
    </w:p>
    <w:p>
      <w:pPr>
        <w:pStyle w:val="ListParagraph"/>
        <w:numPr>
          <w:ilvl w:val="1"/>
          <w:numId w:val="1"/>
        </w:numPr>
        <w:tabs>
          <w:tab w:pos="1943" w:val="left" w:leader="none"/>
        </w:tabs>
        <w:spacing w:line="240" w:lineRule="auto" w:before="27" w:after="0"/>
        <w:ind w:left="1940" w:right="0" w:hanging="420"/>
        <w:jc w:val="left"/>
        <w:rPr>
          <w:sz w:val="21"/>
        </w:rPr>
      </w:pPr>
      <w:r>
        <w:rPr>
          <w:spacing w:val="-3"/>
          <w:sz w:val="21"/>
        </w:rPr>
        <w:t>合同终止</w:t>
      </w:r>
    </w:p>
    <w:p>
      <w:pPr>
        <w:pStyle w:val="BodyText"/>
        <w:spacing w:before="0"/>
        <w:rPr>
          <w:sz w:val="20"/>
        </w:rPr>
      </w:pPr>
    </w:p>
    <w:p>
      <w:pPr>
        <w:pStyle w:val="BodyText"/>
        <w:spacing w:before="3"/>
        <w:rPr>
          <w:sz w:val="20"/>
        </w:rPr>
      </w:pPr>
    </w:p>
    <w:p>
      <w:pPr>
        <w:pStyle w:val="BodyText"/>
        <w:spacing w:before="0"/>
        <w:ind w:left="1309"/>
      </w:pPr>
      <w:r>
        <w:rPr/>
        <w:t>2.我们提供的保障</w:t>
      </w:r>
    </w:p>
    <w:p>
      <w:pPr>
        <w:pStyle w:val="ListParagraph"/>
        <w:numPr>
          <w:ilvl w:val="0"/>
          <w:numId w:val="2"/>
        </w:numPr>
        <w:tabs>
          <w:tab w:pos="1626" w:val="left" w:leader="none"/>
        </w:tabs>
        <w:spacing w:line="240" w:lineRule="auto" w:before="37" w:after="0"/>
        <w:ind w:left="1625" w:right="0" w:hanging="316"/>
        <w:jc w:val="left"/>
        <w:rPr>
          <w:sz w:val="21"/>
        </w:rPr>
      </w:pPr>
      <w:r>
        <w:rPr>
          <w:w w:val="100"/>
          <w:sz w:val="21"/>
        </w:rPr>
        <w:br w:type="column"/>
      </w:r>
      <w:r>
        <w:rPr>
          <w:sz w:val="21"/>
        </w:rPr>
        <w:t>如何申请领取保险金</w:t>
      </w:r>
    </w:p>
    <w:p>
      <w:pPr>
        <w:pStyle w:val="ListParagraph"/>
        <w:numPr>
          <w:ilvl w:val="1"/>
          <w:numId w:val="2"/>
        </w:numPr>
        <w:tabs>
          <w:tab w:pos="1943" w:val="left" w:leader="none"/>
        </w:tabs>
        <w:spacing w:line="240" w:lineRule="auto" w:before="123" w:after="0"/>
        <w:ind w:left="1942" w:right="0" w:hanging="422"/>
        <w:jc w:val="left"/>
        <w:rPr>
          <w:sz w:val="21"/>
        </w:rPr>
      </w:pPr>
      <w:r>
        <w:rPr>
          <w:spacing w:val="-3"/>
          <w:sz w:val="21"/>
        </w:rPr>
        <w:t>保险金受益人</w:t>
      </w:r>
    </w:p>
    <w:p>
      <w:pPr>
        <w:pStyle w:val="ListParagraph"/>
        <w:numPr>
          <w:ilvl w:val="1"/>
          <w:numId w:val="2"/>
        </w:numPr>
        <w:tabs>
          <w:tab w:pos="1943" w:val="left" w:leader="none"/>
        </w:tabs>
        <w:spacing w:line="240" w:lineRule="auto" w:before="125" w:after="0"/>
        <w:ind w:left="1942" w:right="0" w:hanging="422"/>
        <w:jc w:val="left"/>
        <w:rPr>
          <w:sz w:val="21"/>
        </w:rPr>
      </w:pPr>
      <w:r>
        <w:rPr>
          <w:spacing w:val="-3"/>
          <w:sz w:val="21"/>
        </w:rPr>
        <w:t>保险事故通知</w:t>
      </w:r>
    </w:p>
    <w:p>
      <w:pPr>
        <w:pStyle w:val="ListParagraph"/>
        <w:numPr>
          <w:ilvl w:val="1"/>
          <w:numId w:val="2"/>
        </w:numPr>
        <w:tabs>
          <w:tab w:pos="1941" w:val="left" w:leader="none"/>
        </w:tabs>
        <w:spacing w:line="240" w:lineRule="auto" w:before="125" w:after="0"/>
        <w:ind w:left="1940" w:right="0" w:hanging="420"/>
        <w:jc w:val="left"/>
        <w:rPr>
          <w:sz w:val="21"/>
        </w:rPr>
      </w:pPr>
      <w:r>
        <w:rPr>
          <w:spacing w:val="-3"/>
          <w:sz w:val="21"/>
        </w:rPr>
        <w:t>保险金的申请</w:t>
      </w:r>
    </w:p>
    <w:p>
      <w:pPr>
        <w:pStyle w:val="BodyText"/>
        <w:spacing w:before="0"/>
        <w:rPr>
          <w:sz w:val="20"/>
        </w:rPr>
      </w:pPr>
    </w:p>
    <w:p>
      <w:pPr>
        <w:pStyle w:val="BodyText"/>
        <w:spacing w:before="0"/>
        <w:rPr>
          <w:sz w:val="20"/>
        </w:rPr>
      </w:pPr>
    </w:p>
    <w:p>
      <w:pPr>
        <w:pStyle w:val="BodyText"/>
        <w:spacing w:before="0"/>
        <w:ind w:left="1309"/>
      </w:pPr>
      <w:r>
        <w:rPr/>
        <w:t>5.释义</w:t>
      </w:r>
    </w:p>
    <w:p>
      <w:pPr>
        <w:pStyle w:val="ListParagraph"/>
        <w:numPr>
          <w:ilvl w:val="1"/>
          <w:numId w:val="3"/>
        </w:numPr>
        <w:tabs>
          <w:tab w:pos="1943" w:val="left" w:leader="none"/>
        </w:tabs>
        <w:spacing w:line="240" w:lineRule="auto" w:before="125" w:after="0"/>
        <w:ind w:left="1923" w:right="0" w:hanging="403"/>
        <w:jc w:val="left"/>
        <w:rPr>
          <w:sz w:val="21"/>
        </w:rPr>
      </w:pPr>
      <w:r>
        <w:rPr>
          <w:spacing w:val="-3"/>
          <w:sz w:val="21"/>
        </w:rPr>
        <w:t>认可医院</w:t>
      </w:r>
    </w:p>
    <w:p>
      <w:pPr>
        <w:pStyle w:val="ListParagraph"/>
        <w:numPr>
          <w:ilvl w:val="1"/>
          <w:numId w:val="3"/>
        </w:numPr>
        <w:tabs>
          <w:tab w:pos="1943" w:val="left" w:leader="none"/>
        </w:tabs>
        <w:spacing w:line="240" w:lineRule="auto" w:before="123" w:after="0"/>
        <w:ind w:left="1923" w:right="0" w:hanging="403"/>
        <w:jc w:val="left"/>
        <w:rPr>
          <w:sz w:val="21"/>
        </w:rPr>
      </w:pPr>
      <w:r>
        <w:rPr>
          <w:spacing w:val="-3"/>
          <w:sz w:val="21"/>
        </w:rPr>
        <w:t>专科医生</w:t>
      </w:r>
    </w:p>
    <w:p>
      <w:pPr>
        <w:pStyle w:val="ListParagraph"/>
        <w:numPr>
          <w:ilvl w:val="1"/>
          <w:numId w:val="3"/>
        </w:numPr>
        <w:tabs>
          <w:tab w:pos="1943" w:val="left" w:leader="none"/>
        </w:tabs>
        <w:spacing w:line="350" w:lineRule="auto" w:before="126" w:after="0"/>
        <w:ind w:left="1923" w:right="3112" w:hanging="403"/>
        <w:jc w:val="left"/>
        <w:rPr>
          <w:sz w:val="21"/>
        </w:rPr>
      </w:pPr>
      <w:r>
        <w:rPr>
          <w:spacing w:val="-3"/>
          <w:sz w:val="21"/>
        </w:rPr>
        <w:t>本合同所指的重大疾病</w:t>
      </w:r>
    </w:p>
    <w:p>
      <w:pPr>
        <w:spacing w:after="0" w:line="350" w:lineRule="auto"/>
        <w:jc w:val="left"/>
        <w:rPr>
          <w:sz w:val="21"/>
        </w:rPr>
        <w:sectPr>
          <w:type w:val="continuous"/>
          <w:pgSz w:w="11910" w:h="16840"/>
          <w:pgMar w:top="1120" w:bottom="1180" w:left="1160" w:right="180"/>
          <w:cols w:num="2" w:equalWidth="0">
            <w:col w:w="3415" w:space="833"/>
            <w:col w:w="6322"/>
          </w:cols>
        </w:sectPr>
      </w:pPr>
    </w:p>
    <w:p>
      <w:pPr>
        <w:pStyle w:val="BodyText"/>
        <w:spacing w:before="12"/>
        <w:rPr>
          <w:sz w:val="6"/>
        </w:rPr>
      </w:pPr>
    </w:p>
    <w:tbl>
      <w:tblPr>
        <w:tblW w:w="0" w:type="auto"/>
        <w:jc w:val="left"/>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386"/>
        <w:gridCol w:w="1860"/>
        <w:gridCol w:w="1783"/>
      </w:tblGrid>
      <w:tr>
        <w:trPr>
          <w:trHeight w:val="306" w:hRule="atLeast"/>
        </w:trPr>
        <w:tc>
          <w:tcPr>
            <w:tcW w:w="418" w:type="dxa"/>
          </w:tcPr>
          <w:p>
            <w:pPr>
              <w:pStyle w:val="TableParagraph"/>
              <w:spacing w:line="211" w:lineRule="exact" w:before="0"/>
              <w:ind w:left="31" w:right="32"/>
              <w:jc w:val="center"/>
              <w:rPr>
                <w:sz w:val="21"/>
              </w:rPr>
            </w:pPr>
            <w:r>
              <w:rPr>
                <w:sz w:val="21"/>
              </w:rPr>
              <w:t>2.1</w:t>
            </w:r>
          </w:p>
        </w:tc>
        <w:tc>
          <w:tcPr>
            <w:tcW w:w="2386" w:type="dxa"/>
          </w:tcPr>
          <w:p>
            <w:pPr>
              <w:pStyle w:val="TableParagraph"/>
              <w:spacing w:line="211" w:lineRule="exact" w:before="0"/>
              <w:ind w:left="54"/>
              <w:rPr>
                <w:sz w:val="21"/>
              </w:rPr>
            </w:pPr>
            <w:r>
              <w:rPr>
                <w:sz w:val="21"/>
              </w:rPr>
              <w:t>保险金额</w:t>
            </w:r>
          </w:p>
        </w:tc>
        <w:tc>
          <w:tcPr>
            <w:tcW w:w="1860" w:type="dxa"/>
          </w:tcPr>
          <w:p>
            <w:pPr>
              <w:pStyle w:val="TableParagraph"/>
              <w:spacing w:line="211" w:lineRule="exact" w:before="0"/>
              <w:ind w:right="47"/>
              <w:jc w:val="right"/>
              <w:rPr>
                <w:sz w:val="21"/>
              </w:rPr>
            </w:pPr>
            <w:r>
              <w:rPr>
                <w:sz w:val="21"/>
              </w:rPr>
              <w:t>5.4</w:t>
            </w:r>
          </w:p>
        </w:tc>
        <w:tc>
          <w:tcPr>
            <w:tcW w:w="1783" w:type="dxa"/>
          </w:tcPr>
          <w:p>
            <w:pPr>
              <w:pStyle w:val="TableParagraph"/>
              <w:spacing w:line="211" w:lineRule="exact" w:before="0"/>
              <w:ind w:left="53"/>
              <w:rPr>
                <w:sz w:val="21"/>
              </w:rPr>
            </w:pPr>
            <w:r>
              <w:rPr>
                <w:sz w:val="21"/>
              </w:rPr>
              <w:t>本保险实际交纳的</w:t>
            </w:r>
          </w:p>
        </w:tc>
      </w:tr>
      <w:tr>
        <w:trPr>
          <w:trHeight w:val="400" w:hRule="atLeast"/>
        </w:trPr>
        <w:tc>
          <w:tcPr>
            <w:tcW w:w="418" w:type="dxa"/>
          </w:tcPr>
          <w:p>
            <w:pPr>
              <w:pStyle w:val="TableParagraph"/>
              <w:ind w:left="31" w:right="32"/>
              <w:jc w:val="center"/>
              <w:rPr>
                <w:sz w:val="21"/>
              </w:rPr>
            </w:pPr>
            <w:r>
              <w:rPr>
                <w:sz w:val="21"/>
              </w:rPr>
              <w:t>2.2</w:t>
            </w:r>
          </w:p>
        </w:tc>
        <w:tc>
          <w:tcPr>
            <w:tcW w:w="2386" w:type="dxa"/>
          </w:tcPr>
          <w:p>
            <w:pPr>
              <w:pStyle w:val="TableParagraph"/>
              <w:ind w:left="54"/>
              <w:rPr>
                <w:sz w:val="21"/>
              </w:rPr>
            </w:pPr>
            <w:r>
              <w:rPr>
                <w:sz w:val="21"/>
              </w:rPr>
              <w:t>保险期间</w:t>
            </w:r>
          </w:p>
        </w:tc>
        <w:tc>
          <w:tcPr>
            <w:tcW w:w="1860" w:type="dxa"/>
          </w:tcPr>
          <w:p>
            <w:pPr>
              <w:pStyle w:val="TableParagraph"/>
              <w:spacing w:before="0"/>
              <w:rPr>
                <w:rFonts w:ascii="Times New Roman"/>
                <w:sz w:val="20"/>
              </w:rPr>
            </w:pPr>
          </w:p>
        </w:tc>
        <w:tc>
          <w:tcPr>
            <w:tcW w:w="1783" w:type="dxa"/>
          </w:tcPr>
          <w:p>
            <w:pPr>
              <w:pStyle w:val="TableParagraph"/>
              <w:ind w:left="53"/>
              <w:rPr>
                <w:sz w:val="21"/>
              </w:rPr>
            </w:pPr>
            <w:r>
              <w:rPr>
                <w:sz w:val="21"/>
              </w:rPr>
              <w:t>保险费</w:t>
            </w:r>
          </w:p>
        </w:tc>
      </w:tr>
      <w:tr>
        <w:trPr>
          <w:trHeight w:val="399" w:hRule="atLeast"/>
        </w:trPr>
        <w:tc>
          <w:tcPr>
            <w:tcW w:w="418" w:type="dxa"/>
          </w:tcPr>
          <w:p>
            <w:pPr>
              <w:pStyle w:val="TableParagraph"/>
              <w:ind w:left="31" w:right="32"/>
              <w:jc w:val="center"/>
              <w:rPr>
                <w:sz w:val="21"/>
              </w:rPr>
            </w:pPr>
            <w:r>
              <w:rPr>
                <w:sz w:val="21"/>
              </w:rPr>
              <w:t>2.3</w:t>
            </w:r>
          </w:p>
        </w:tc>
        <w:tc>
          <w:tcPr>
            <w:tcW w:w="2386" w:type="dxa"/>
          </w:tcPr>
          <w:p>
            <w:pPr>
              <w:pStyle w:val="TableParagraph"/>
              <w:ind w:left="51"/>
              <w:rPr>
                <w:sz w:val="21"/>
              </w:rPr>
            </w:pPr>
            <w:r>
              <w:rPr>
                <w:sz w:val="21"/>
              </w:rPr>
              <w:t>保险责任</w:t>
            </w:r>
          </w:p>
        </w:tc>
        <w:tc>
          <w:tcPr>
            <w:tcW w:w="1860" w:type="dxa"/>
          </w:tcPr>
          <w:p>
            <w:pPr>
              <w:pStyle w:val="TableParagraph"/>
              <w:ind w:right="47"/>
              <w:jc w:val="right"/>
              <w:rPr>
                <w:sz w:val="21"/>
              </w:rPr>
            </w:pPr>
            <w:r>
              <w:rPr>
                <w:sz w:val="21"/>
              </w:rPr>
              <w:t>5.5</w:t>
            </w:r>
          </w:p>
        </w:tc>
        <w:tc>
          <w:tcPr>
            <w:tcW w:w="1783" w:type="dxa"/>
          </w:tcPr>
          <w:p>
            <w:pPr>
              <w:pStyle w:val="TableParagraph"/>
              <w:ind w:left="56"/>
              <w:rPr>
                <w:sz w:val="21"/>
              </w:rPr>
            </w:pPr>
            <w:r>
              <w:rPr>
                <w:sz w:val="21"/>
              </w:rPr>
              <w:t>意外伤害</w:t>
            </w:r>
          </w:p>
        </w:tc>
      </w:tr>
      <w:tr>
        <w:trPr>
          <w:trHeight w:val="399" w:hRule="atLeast"/>
        </w:trPr>
        <w:tc>
          <w:tcPr>
            <w:tcW w:w="418" w:type="dxa"/>
          </w:tcPr>
          <w:p>
            <w:pPr>
              <w:pStyle w:val="TableParagraph"/>
              <w:spacing w:before="30"/>
              <w:ind w:left="31" w:right="32"/>
              <w:jc w:val="center"/>
              <w:rPr>
                <w:sz w:val="21"/>
              </w:rPr>
            </w:pPr>
            <w:r>
              <w:rPr>
                <w:sz w:val="21"/>
              </w:rPr>
              <w:t>2.4</w:t>
            </w:r>
          </w:p>
        </w:tc>
        <w:tc>
          <w:tcPr>
            <w:tcW w:w="2386" w:type="dxa"/>
          </w:tcPr>
          <w:p>
            <w:pPr>
              <w:pStyle w:val="TableParagraph"/>
              <w:spacing w:before="30"/>
              <w:ind w:left="51"/>
              <w:rPr>
                <w:sz w:val="21"/>
              </w:rPr>
            </w:pPr>
            <w:r>
              <w:rPr>
                <w:sz w:val="21"/>
              </w:rPr>
              <w:t>责任免除</w:t>
            </w:r>
          </w:p>
        </w:tc>
        <w:tc>
          <w:tcPr>
            <w:tcW w:w="1860" w:type="dxa"/>
          </w:tcPr>
          <w:p>
            <w:pPr>
              <w:pStyle w:val="TableParagraph"/>
              <w:spacing w:before="30"/>
              <w:ind w:right="47"/>
              <w:jc w:val="right"/>
              <w:rPr>
                <w:sz w:val="21"/>
              </w:rPr>
            </w:pPr>
            <w:r>
              <w:rPr>
                <w:sz w:val="21"/>
              </w:rPr>
              <w:t>5.6</w:t>
            </w:r>
          </w:p>
        </w:tc>
        <w:tc>
          <w:tcPr>
            <w:tcW w:w="1783" w:type="dxa"/>
          </w:tcPr>
          <w:p>
            <w:pPr>
              <w:pStyle w:val="TableParagraph"/>
              <w:spacing w:before="30"/>
              <w:ind w:left="56"/>
              <w:rPr>
                <w:sz w:val="21"/>
              </w:rPr>
            </w:pPr>
            <w:r>
              <w:rPr>
                <w:sz w:val="21"/>
              </w:rPr>
              <w:t>遗传性疾病</w:t>
            </w:r>
          </w:p>
        </w:tc>
      </w:tr>
      <w:tr>
        <w:trPr>
          <w:trHeight w:val="306" w:hRule="atLeast"/>
        </w:trPr>
        <w:tc>
          <w:tcPr>
            <w:tcW w:w="418" w:type="dxa"/>
          </w:tcPr>
          <w:p>
            <w:pPr>
              <w:pStyle w:val="TableParagraph"/>
              <w:spacing w:before="0"/>
              <w:rPr>
                <w:rFonts w:ascii="Times New Roman"/>
                <w:sz w:val="20"/>
              </w:rPr>
            </w:pPr>
          </w:p>
        </w:tc>
        <w:tc>
          <w:tcPr>
            <w:tcW w:w="2386" w:type="dxa"/>
          </w:tcPr>
          <w:p>
            <w:pPr>
              <w:pStyle w:val="TableParagraph"/>
              <w:spacing w:before="0"/>
              <w:rPr>
                <w:rFonts w:ascii="Times New Roman"/>
                <w:sz w:val="20"/>
              </w:rPr>
            </w:pPr>
          </w:p>
        </w:tc>
        <w:tc>
          <w:tcPr>
            <w:tcW w:w="1860" w:type="dxa"/>
          </w:tcPr>
          <w:p>
            <w:pPr>
              <w:pStyle w:val="TableParagraph"/>
              <w:spacing w:line="255" w:lineRule="exact"/>
              <w:ind w:right="47"/>
              <w:jc w:val="right"/>
              <w:rPr>
                <w:sz w:val="21"/>
              </w:rPr>
            </w:pPr>
            <w:r>
              <w:rPr>
                <w:sz w:val="21"/>
              </w:rPr>
              <w:t>5.7</w:t>
            </w:r>
          </w:p>
        </w:tc>
        <w:tc>
          <w:tcPr>
            <w:tcW w:w="1783" w:type="dxa"/>
          </w:tcPr>
          <w:p>
            <w:pPr>
              <w:pStyle w:val="TableParagraph"/>
              <w:spacing w:line="255" w:lineRule="exact"/>
              <w:ind w:left="56"/>
              <w:rPr>
                <w:sz w:val="21"/>
              </w:rPr>
            </w:pPr>
            <w:r>
              <w:rPr>
                <w:sz w:val="21"/>
              </w:rPr>
              <w:t>先天性畸形、变形</w:t>
            </w:r>
          </w:p>
        </w:tc>
      </w:tr>
    </w:tbl>
    <w:p>
      <w:pPr>
        <w:pStyle w:val="BodyText"/>
        <w:spacing w:before="11"/>
        <w:rPr>
          <w:sz w:val="6"/>
        </w:rPr>
      </w:pPr>
    </w:p>
    <w:p>
      <w:pPr>
        <w:spacing w:after="0"/>
        <w:rPr>
          <w:sz w:val="6"/>
        </w:rPr>
        <w:sectPr>
          <w:type w:val="continuous"/>
          <w:pgSz w:w="11910" w:h="16840"/>
          <w:pgMar w:top="1120" w:bottom="1180" w:left="1160" w:right="180"/>
        </w:sectPr>
      </w:pPr>
    </w:p>
    <w:p>
      <w:pPr>
        <w:pStyle w:val="BodyText"/>
        <w:spacing w:before="36"/>
        <w:ind w:left="1309"/>
      </w:pPr>
      <w:r>
        <w:rPr/>
        <w:t>3.您的权利与义务</w:t>
      </w:r>
    </w:p>
    <w:p>
      <w:pPr>
        <w:pStyle w:val="ListParagraph"/>
        <w:numPr>
          <w:ilvl w:val="1"/>
          <w:numId w:val="4"/>
        </w:numPr>
        <w:tabs>
          <w:tab w:pos="1943" w:val="left" w:leader="none"/>
        </w:tabs>
        <w:spacing w:line="240" w:lineRule="auto" w:before="123" w:after="0"/>
        <w:ind w:left="1942" w:right="0" w:hanging="422"/>
        <w:jc w:val="left"/>
        <w:rPr>
          <w:sz w:val="21"/>
        </w:rPr>
      </w:pPr>
      <w:r>
        <w:rPr>
          <w:spacing w:val="-3"/>
          <w:sz w:val="21"/>
        </w:rPr>
        <w:t>保险费的交纳</w:t>
      </w:r>
    </w:p>
    <w:p>
      <w:pPr>
        <w:pStyle w:val="ListParagraph"/>
        <w:numPr>
          <w:ilvl w:val="1"/>
          <w:numId w:val="4"/>
        </w:numPr>
        <w:tabs>
          <w:tab w:pos="1943" w:val="left" w:leader="none"/>
        </w:tabs>
        <w:spacing w:line="240" w:lineRule="auto" w:before="125" w:after="0"/>
        <w:ind w:left="1942" w:right="0" w:hanging="422"/>
        <w:jc w:val="left"/>
        <w:rPr>
          <w:sz w:val="21"/>
        </w:rPr>
      </w:pPr>
      <w:r>
        <w:rPr>
          <w:spacing w:val="-2"/>
          <w:sz w:val="21"/>
        </w:rPr>
        <w:t>续保</w:t>
      </w:r>
    </w:p>
    <w:p>
      <w:pPr>
        <w:pStyle w:val="BodyText"/>
        <w:spacing w:before="36"/>
        <w:ind w:left="1731"/>
      </w:pPr>
      <w:r>
        <w:rPr/>
        <w:br w:type="column"/>
      </w:r>
      <w:r>
        <w:rPr/>
        <w:t>或染色体异常</w:t>
      </w:r>
    </w:p>
    <w:p>
      <w:pPr>
        <w:pStyle w:val="BodyText"/>
        <w:spacing w:line="350" w:lineRule="auto" w:before="123"/>
        <w:ind w:left="1731" w:right="2692" w:hanging="423"/>
      </w:pPr>
      <w:r>
        <w:rPr/>
        <w:t>5.8 感染艾滋病病毒或患艾滋病</w:t>
      </w:r>
    </w:p>
    <w:p>
      <w:pPr>
        <w:spacing w:after="0" w:line="350" w:lineRule="auto"/>
        <w:sectPr>
          <w:type w:val="continuous"/>
          <w:pgSz w:w="11910" w:h="16840"/>
          <w:pgMar w:top="1120" w:bottom="1180" w:left="1160" w:right="180"/>
          <w:cols w:num="2" w:equalWidth="0">
            <w:col w:w="3203" w:space="1256"/>
            <w:col w:w="6111"/>
          </w:cols>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3068" w:right="2941" w:firstLine="0"/>
        <w:jc w:val="center"/>
        <w:rPr>
          <w:sz w:val="28"/>
        </w:rPr>
      </w:pPr>
      <w:r>
        <w:rPr>
          <w:sz w:val="28"/>
        </w:rPr>
        <w:t>附加学生平安重大疾病保险条款</w:t>
      </w:r>
    </w:p>
    <w:p>
      <w:pPr>
        <w:pStyle w:val="BodyText"/>
        <w:spacing w:before="0"/>
        <w:rPr>
          <w:sz w:val="20"/>
        </w:rPr>
      </w:pPr>
    </w:p>
    <w:p>
      <w:pPr>
        <w:pStyle w:val="Heading2"/>
        <w:numPr>
          <w:ilvl w:val="0"/>
          <w:numId w:val="5"/>
        </w:numPr>
        <w:tabs>
          <w:tab w:pos="1000" w:val="left" w:leader="none"/>
          <w:tab w:pos="1001" w:val="left" w:leader="none"/>
        </w:tabs>
        <w:spacing w:line="240" w:lineRule="auto" w:before="181" w:after="0"/>
        <w:ind w:left="1000" w:right="0" w:hanging="778"/>
        <w:jc w:val="left"/>
      </w:pPr>
      <w:r>
        <w:rPr/>
        <w:pict>
          <v:group style="position:absolute;margin-left:56.738258pt;margin-top:26.665594pt;width:481.95pt;height:1pt;mso-position-horizontal-relative:page;mso-position-vertical-relative:paragraph;z-index:1072;mso-wrap-distance-left:0;mso-wrap-distance-right:0" coordorigin="1135,533" coordsize="9639,20">
            <v:line style="position:absolute" from="1135,543" to="1912,543" stroked="true" strokeweight=".96pt" strokecolor="#000000">
              <v:stroke dashstyle="solid"/>
            </v:line>
            <v:rect style="position:absolute;left:1912;top:533;width:20;height:20" filled="true" fillcolor="#000000" stroked="false">
              <v:fill type="solid"/>
            </v:rect>
            <v:line style="position:absolute" from="1932,543" to="3223,543" stroked="true" strokeweight=".96pt" strokecolor="#000000">
              <v:stroke dashstyle="solid"/>
            </v:line>
            <v:rect style="position:absolute;left:3222;top:533;width:20;height:20" filled="true" fillcolor="#000000" stroked="false">
              <v:fill type="solid"/>
            </v:rect>
            <v:line style="position:absolute" from="3242,543" to="10773,543" stroked="true" strokeweight=".96pt" strokecolor="#000000">
              <v:stroke dashstyle="solid"/>
            </v:line>
            <w10:wrap type="topAndBottom"/>
          </v:group>
        </w:pict>
      </w:r>
      <w:r>
        <w:rPr/>
        <w:t>您与我们的合同</w:t>
      </w:r>
    </w:p>
    <w:p>
      <w:pPr>
        <w:pStyle w:val="BodyText"/>
        <w:spacing w:before="11"/>
        <w:rPr>
          <w:sz w:val="17"/>
        </w:rPr>
      </w:pPr>
    </w:p>
    <w:p>
      <w:pPr>
        <w:pStyle w:val="ListParagraph"/>
        <w:numPr>
          <w:ilvl w:val="1"/>
          <w:numId w:val="5"/>
        </w:numPr>
        <w:tabs>
          <w:tab w:pos="1001" w:val="left" w:leader="none"/>
        </w:tabs>
        <w:spacing w:line="273" w:lineRule="auto" w:before="36" w:after="0"/>
        <w:ind w:left="2310" w:right="313" w:hanging="2088"/>
        <w:jc w:val="both"/>
        <w:rPr>
          <w:sz w:val="21"/>
        </w:rPr>
      </w:pPr>
      <w:r>
        <w:rPr>
          <w:w w:val="100"/>
          <w:sz w:val="21"/>
        </w:rPr>
        <w:t>合同构成</w:t>
      </w:r>
      <w:r>
        <w:rPr>
          <w:spacing w:val="5"/>
          <w:sz w:val="21"/>
        </w:rPr>
        <w:t>        </w:t>
      </w:r>
      <w:r>
        <w:rPr>
          <w:w w:val="100"/>
          <w:sz w:val="21"/>
        </w:rPr>
        <w:t>附加学生平安重大疾病保险合同（</w:t>
      </w:r>
      <w:r>
        <w:rPr>
          <w:spacing w:val="-12"/>
          <w:w w:val="100"/>
          <w:sz w:val="21"/>
        </w:rPr>
        <w:t>以下简称“本合同”</w:t>
      </w:r>
      <w:r>
        <w:rPr>
          <w:spacing w:val="1"/>
          <w:w w:val="100"/>
          <w:sz w:val="21"/>
        </w:rPr>
        <w:t>）</w:t>
      </w:r>
      <w:r>
        <w:rPr>
          <w:w w:val="100"/>
          <w:sz w:val="21"/>
        </w:rPr>
        <w:t>是主保险合同（以</w:t>
      </w:r>
      <w:r>
        <w:rPr>
          <w:spacing w:val="-12"/>
          <w:w w:val="100"/>
          <w:sz w:val="21"/>
        </w:rPr>
        <w:t>下简称“主险合同”</w:t>
      </w:r>
      <w:r>
        <w:rPr>
          <w:spacing w:val="1"/>
          <w:w w:val="100"/>
          <w:sz w:val="21"/>
        </w:rPr>
        <w:t>）</w:t>
      </w:r>
      <w:r>
        <w:rPr>
          <w:w w:val="100"/>
          <w:sz w:val="21"/>
        </w:rPr>
        <w:t>的附加合同。本合同由保险单及所附附加学生平安重大疾</w:t>
      </w:r>
      <w:r>
        <w:rPr>
          <w:spacing w:val="-2"/>
          <w:sz w:val="21"/>
        </w:rPr>
        <w:t>病保险条款</w:t>
      </w:r>
      <w:r>
        <w:rPr>
          <w:spacing w:val="-3"/>
          <w:sz w:val="21"/>
        </w:rPr>
        <w:t>（</w:t>
      </w:r>
      <w:r>
        <w:rPr>
          <w:spacing w:val="-15"/>
          <w:sz w:val="21"/>
        </w:rPr>
        <w:t>以下简称“本条款”</w:t>
      </w:r>
      <w:r>
        <w:rPr>
          <w:spacing w:val="-107"/>
          <w:sz w:val="21"/>
        </w:rPr>
        <w:t>）</w:t>
      </w:r>
      <w:r>
        <w:rPr>
          <w:spacing w:val="-4"/>
          <w:sz w:val="21"/>
        </w:rPr>
        <w:t>、投保单、与本合同有关的其他投保文件、健</w:t>
      </w:r>
      <w:r>
        <w:rPr>
          <w:spacing w:val="-3"/>
          <w:sz w:val="21"/>
        </w:rPr>
        <w:t>康告知书、变更申请书、声明、批注、附贴批单及其他书面协议构成。</w:t>
      </w:r>
    </w:p>
    <w:p>
      <w:pPr>
        <w:pStyle w:val="BodyText"/>
        <w:spacing w:before="5"/>
        <w:rPr>
          <w:sz w:val="24"/>
        </w:rPr>
      </w:pPr>
    </w:p>
    <w:p>
      <w:pPr>
        <w:pStyle w:val="ListParagraph"/>
        <w:numPr>
          <w:ilvl w:val="1"/>
          <w:numId w:val="5"/>
        </w:numPr>
        <w:tabs>
          <w:tab w:pos="1000" w:val="left" w:leader="none"/>
          <w:tab w:pos="1001" w:val="left" w:leader="none"/>
          <w:tab w:pos="2730" w:val="left" w:leader="none"/>
        </w:tabs>
        <w:spacing w:line="240" w:lineRule="auto" w:before="0" w:after="0"/>
        <w:ind w:left="2310" w:right="0" w:hanging="2088"/>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pgSz w:w="11910" w:h="16840"/>
          <w:pgMar w:header="879" w:footer="999" w:top="1120" w:bottom="1180" w:left="1020" w:right="920"/>
        </w:sectPr>
      </w:pPr>
    </w:p>
    <w:p>
      <w:pPr>
        <w:pStyle w:val="ListParagraph"/>
        <w:numPr>
          <w:ilvl w:val="1"/>
          <w:numId w:val="5"/>
        </w:numPr>
        <w:tabs>
          <w:tab w:pos="1000" w:val="left" w:leader="none"/>
          <w:tab w:pos="1001" w:val="left" w:leader="none"/>
        </w:tabs>
        <w:spacing w:line="273" w:lineRule="auto" w:before="37" w:after="0"/>
        <w:ind w:left="1000" w:right="0" w:hanging="778"/>
        <w:jc w:val="left"/>
        <w:rPr>
          <w:sz w:val="21"/>
        </w:rPr>
      </w:pPr>
      <w:r>
        <w:rPr>
          <w:sz w:val="21"/>
        </w:rPr>
        <w:t>合同成立与生效</w:t>
      </w:r>
    </w:p>
    <w:p>
      <w:pPr>
        <w:pStyle w:val="BodyText"/>
        <w:spacing w:line="273" w:lineRule="auto"/>
        <w:ind w:left="214" w:right="315" w:firstLine="420"/>
        <w:jc w:val="both"/>
      </w:pPr>
      <w:r>
        <w:rPr/>
        <w:br w:type="column"/>
      </w:r>
      <w:r>
        <w:rPr>
          <w:spacing w:val="-6"/>
        </w:rPr>
        <w:t>您提出保险申请、本公司同意承保，本合同成立，合同成立日期在保险单上载明。</w:t>
      </w:r>
    </w:p>
    <w:p>
      <w:pPr>
        <w:pStyle w:val="BodyText"/>
        <w:spacing w:line="273" w:lineRule="auto" w:before="7"/>
        <w:ind w:left="214" w:right="315" w:firstLine="422"/>
        <w:jc w:val="both"/>
      </w:pPr>
      <w:r>
        <w:rPr>
          <w:spacing w:val="-6"/>
        </w:rPr>
        <w:t>除另有约定外，自本合同成立、本公司收取保险费并签发保险单的次日零时</w:t>
      </w:r>
      <w:r>
        <w:rPr>
          <w:spacing w:val="-9"/>
        </w:rPr>
        <w:t>起本合同生效，本公司开始承担保险责任，合同生效日期在保险单上载明。本合</w:t>
      </w:r>
      <w:r>
        <w:rPr>
          <w:spacing w:val="-5"/>
        </w:rPr>
        <w:t>同生效日即为保单生效日。</w:t>
      </w:r>
    </w:p>
    <w:p>
      <w:pPr>
        <w:spacing w:after="0" w:line="273" w:lineRule="auto"/>
        <w:jc w:val="both"/>
        <w:sectPr>
          <w:type w:val="continuous"/>
          <w:pgSz w:w="11910" w:h="16840"/>
          <w:pgMar w:top="1120" w:bottom="1180" w:left="1020" w:right="920"/>
          <w:cols w:num="2" w:equalWidth="0">
            <w:col w:w="2057" w:space="40"/>
            <w:col w:w="7873"/>
          </w:cols>
        </w:sectPr>
      </w:pPr>
    </w:p>
    <w:p>
      <w:pPr>
        <w:pStyle w:val="BodyText"/>
        <w:spacing w:before="8"/>
      </w:pPr>
    </w:p>
    <w:p>
      <w:pPr>
        <w:pStyle w:val="ListParagraph"/>
        <w:numPr>
          <w:ilvl w:val="1"/>
          <w:numId w:val="5"/>
        </w:numPr>
        <w:tabs>
          <w:tab w:pos="1000" w:val="left" w:leader="none"/>
          <w:tab w:pos="1001" w:val="left" w:leader="none"/>
          <w:tab w:pos="2730" w:val="left" w:leader="none"/>
        </w:tabs>
        <w:spacing w:line="273" w:lineRule="auto" w:before="36" w:after="0"/>
        <w:ind w:left="2310" w:right="315" w:hanging="2088"/>
        <w:jc w:val="left"/>
        <w:rPr>
          <w:sz w:val="21"/>
        </w:rPr>
      </w:pPr>
      <w:r>
        <w:rPr>
          <w:sz w:val="21"/>
        </w:rPr>
        <w:t>合同效力</w:t>
        <w:tab/>
        <w:tab/>
      </w:r>
      <w:r>
        <w:rPr>
          <w:spacing w:val="-1"/>
          <w:sz w:val="21"/>
        </w:rPr>
        <w:t>主</w:t>
      </w:r>
      <w:r>
        <w:rPr>
          <w:sz w:val="21"/>
        </w:rPr>
        <w:t>险</w:t>
      </w:r>
      <w:r>
        <w:rPr>
          <w:spacing w:val="-3"/>
          <w:sz w:val="21"/>
        </w:rPr>
        <w:t>合</w:t>
      </w:r>
      <w:r>
        <w:rPr>
          <w:sz w:val="21"/>
        </w:rPr>
        <w:t>同</w:t>
      </w:r>
      <w:r>
        <w:rPr>
          <w:spacing w:val="-3"/>
          <w:sz w:val="21"/>
        </w:rPr>
        <w:t>中</w:t>
      </w:r>
      <w:r>
        <w:rPr>
          <w:sz w:val="21"/>
        </w:rPr>
        <w:t>的</w:t>
      </w:r>
      <w:r>
        <w:rPr>
          <w:spacing w:val="-3"/>
          <w:sz w:val="21"/>
        </w:rPr>
        <w:t>合</w:t>
      </w:r>
      <w:r>
        <w:rPr>
          <w:sz w:val="21"/>
        </w:rPr>
        <w:t>同</w:t>
      </w:r>
      <w:r>
        <w:rPr>
          <w:spacing w:val="-3"/>
          <w:sz w:val="21"/>
        </w:rPr>
        <w:t>内</w:t>
      </w:r>
      <w:r>
        <w:rPr>
          <w:sz w:val="21"/>
        </w:rPr>
        <w:t>容</w:t>
      </w:r>
      <w:r>
        <w:rPr>
          <w:spacing w:val="-3"/>
          <w:sz w:val="21"/>
        </w:rPr>
        <w:t>变</w:t>
      </w:r>
      <w:r>
        <w:rPr>
          <w:sz w:val="21"/>
        </w:rPr>
        <w:t>更</w:t>
      </w:r>
      <w:r>
        <w:rPr>
          <w:spacing w:val="-8"/>
          <w:sz w:val="21"/>
        </w:rPr>
        <w:t>、</w:t>
      </w:r>
      <w:r>
        <w:rPr>
          <w:sz w:val="21"/>
        </w:rPr>
        <w:t>保</w:t>
      </w:r>
      <w:r>
        <w:rPr>
          <w:spacing w:val="-3"/>
          <w:sz w:val="21"/>
        </w:rPr>
        <w:t>险</w:t>
      </w:r>
      <w:r>
        <w:rPr>
          <w:sz w:val="21"/>
        </w:rPr>
        <w:t>金</w:t>
      </w:r>
      <w:r>
        <w:rPr>
          <w:spacing w:val="-3"/>
          <w:sz w:val="21"/>
        </w:rPr>
        <w:t>的</w:t>
      </w:r>
      <w:r>
        <w:rPr>
          <w:sz w:val="21"/>
        </w:rPr>
        <w:t>给</w:t>
      </w:r>
      <w:r>
        <w:rPr>
          <w:spacing w:val="-3"/>
          <w:sz w:val="21"/>
        </w:rPr>
        <w:t>付</w:t>
      </w:r>
      <w:r>
        <w:rPr>
          <w:spacing w:val="-5"/>
          <w:sz w:val="21"/>
        </w:rPr>
        <w:t>、</w:t>
      </w:r>
      <w:r>
        <w:rPr>
          <w:spacing w:val="-3"/>
          <w:sz w:val="21"/>
        </w:rPr>
        <w:t>明确</w:t>
      </w:r>
      <w:r>
        <w:rPr>
          <w:sz w:val="21"/>
        </w:rPr>
        <w:t>说明</w:t>
      </w:r>
      <w:r>
        <w:rPr>
          <w:spacing w:val="-3"/>
          <w:sz w:val="21"/>
        </w:rPr>
        <w:t>与</w:t>
      </w:r>
      <w:r>
        <w:rPr>
          <w:sz w:val="21"/>
        </w:rPr>
        <w:t>如</w:t>
      </w:r>
      <w:r>
        <w:rPr>
          <w:spacing w:val="-3"/>
          <w:sz w:val="21"/>
        </w:rPr>
        <w:t>实</w:t>
      </w:r>
      <w:r>
        <w:rPr>
          <w:sz w:val="21"/>
        </w:rPr>
        <w:t>告</w:t>
      </w:r>
      <w:r>
        <w:rPr>
          <w:spacing w:val="-3"/>
          <w:sz w:val="21"/>
        </w:rPr>
        <w:t>知</w:t>
      </w:r>
      <w:r>
        <w:rPr>
          <w:spacing w:val="-8"/>
          <w:sz w:val="21"/>
        </w:rPr>
        <w:t>、</w:t>
      </w:r>
      <w:r>
        <w:rPr>
          <w:sz w:val="21"/>
        </w:rPr>
        <w:t>本</w:t>
      </w:r>
      <w:r>
        <w:rPr>
          <w:spacing w:val="-3"/>
          <w:sz w:val="21"/>
        </w:rPr>
        <w:t>公</w:t>
      </w:r>
      <w:r>
        <w:rPr>
          <w:sz w:val="21"/>
        </w:rPr>
        <w:t>司 合同</w:t>
      </w:r>
      <w:r>
        <w:rPr>
          <w:spacing w:val="-3"/>
          <w:sz w:val="21"/>
        </w:rPr>
        <w:t>解</w:t>
      </w:r>
      <w:r>
        <w:rPr>
          <w:sz w:val="21"/>
        </w:rPr>
        <w:t>除</w:t>
      </w:r>
      <w:r>
        <w:rPr>
          <w:spacing w:val="-3"/>
          <w:sz w:val="21"/>
        </w:rPr>
        <w:t>权</w:t>
      </w:r>
      <w:r>
        <w:rPr>
          <w:sz w:val="21"/>
        </w:rPr>
        <w:t>的</w:t>
      </w:r>
      <w:r>
        <w:rPr>
          <w:spacing w:val="-3"/>
          <w:sz w:val="21"/>
        </w:rPr>
        <w:t>限</w:t>
      </w:r>
      <w:r>
        <w:rPr>
          <w:sz w:val="21"/>
        </w:rPr>
        <w:t>制</w:t>
      </w:r>
      <w:r>
        <w:rPr>
          <w:spacing w:val="-3"/>
          <w:sz w:val="21"/>
        </w:rPr>
        <w:t>、</w:t>
      </w:r>
      <w:r>
        <w:rPr>
          <w:sz w:val="21"/>
        </w:rPr>
        <w:t>地</w:t>
      </w:r>
      <w:r>
        <w:rPr>
          <w:spacing w:val="-3"/>
          <w:sz w:val="21"/>
        </w:rPr>
        <w:t>址</w:t>
      </w:r>
      <w:r>
        <w:rPr>
          <w:sz w:val="21"/>
        </w:rPr>
        <w:t>变更</w:t>
      </w:r>
      <w:r>
        <w:rPr>
          <w:spacing w:val="-3"/>
          <w:sz w:val="21"/>
        </w:rPr>
        <w:t>（</w:t>
      </w:r>
      <w:r>
        <w:rPr>
          <w:sz w:val="21"/>
        </w:rPr>
        <w:t>或</w:t>
      </w:r>
      <w:r>
        <w:rPr>
          <w:spacing w:val="-3"/>
          <w:sz w:val="21"/>
        </w:rPr>
        <w:t>联</w:t>
      </w:r>
      <w:r>
        <w:rPr>
          <w:sz w:val="21"/>
        </w:rPr>
        <w:t>系</w:t>
      </w:r>
      <w:r>
        <w:rPr>
          <w:spacing w:val="-3"/>
          <w:sz w:val="21"/>
        </w:rPr>
        <w:t>方</w:t>
      </w:r>
      <w:r>
        <w:rPr>
          <w:sz w:val="21"/>
        </w:rPr>
        <w:t>式</w:t>
      </w:r>
      <w:r>
        <w:rPr>
          <w:spacing w:val="-3"/>
          <w:sz w:val="21"/>
        </w:rPr>
        <w:t>变</w:t>
      </w:r>
      <w:r>
        <w:rPr>
          <w:sz w:val="21"/>
        </w:rPr>
        <w:t>更</w:t>
      </w:r>
      <w:r>
        <w:rPr>
          <w:spacing w:val="-108"/>
          <w:sz w:val="21"/>
        </w:rPr>
        <w:t>）</w:t>
      </w:r>
      <w:r>
        <w:rPr>
          <w:spacing w:val="-3"/>
          <w:sz w:val="21"/>
        </w:rPr>
        <w:t>、</w:t>
      </w:r>
      <w:r>
        <w:rPr>
          <w:sz w:val="21"/>
        </w:rPr>
        <w:t>争议</w:t>
      </w:r>
      <w:r>
        <w:rPr>
          <w:spacing w:val="-3"/>
          <w:sz w:val="21"/>
        </w:rPr>
        <w:t>处</w:t>
      </w:r>
      <w:r>
        <w:rPr>
          <w:sz w:val="21"/>
        </w:rPr>
        <w:t>理</w:t>
      </w:r>
      <w:r>
        <w:rPr>
          <w:spacing w:val="-3"/>
          <w:sz w:val="21"/>
        </w:rPr>
        <w:t>事</w:t>
      </w:r>
      <w:r>
        <w:rPr>
          <w:sz w:val="21"/>
        </w:rPr>
        <w:t>项</w:t>
      </w:r>
      <w:r>
        <w:rPr>
          <w:spacing w:val="-3"/>
          <w:sz w:val="21"/>
        </w:rPr>
        <w:t>以</w:t>
      </w:r>
      <w:r>
        <w:rPr>
          <w:sz w:val="21"/>
        </w:rPr>
        <w:t>及</w:t>
      </w:r>
      <w:r>
        <w:rPr>
          <w:spacing w:val="-3"/>
          <w:sz w:val="21"/>
        </w:rPr>
        <w:t>释</w:t>
      </w:r>
      <w:r>
        <w:rPr>
          <w:sz w:val="21"/>
        </w:rPr>
        <w:t>义</w:t>
      </w:r>
      <w:r>
        <w:rPr>
          <w:spacing w:val="-3"/>
          <w:sz w:val="21"/>
        </w:rPr>
        <w:t>适</w:t>
      </w:r>
      <w:r>
        <w:rPr>
          <w:sz w:val="21"/>
        </w:rPr>
        <w:t>用</w:t>
      </w:r>
      <w:r>
        <w:rPr>
          <w:spacing w:val="-1"/>
          <w:sz w:val="21"/>
        </w:rPr>
        <w:t>于本</w:t>
      </w:r>
      <w:r>
        <w:rPr>
          <w:spacing w:val="-3"/>
          <w:sz w:val="21"/>
        </w:rPr>
        <w:t>合</w:t>
      </w:r>
      <w:r>
        <w:rPr>
          <w:spacing w:val="-1"/>
          <w:sz w:val="21"/>
        </w:rPr>
        <w:t>同</w:t>
      </w:r>
      <w:r>
        <w:rPr>
          <w:spacing w:val="-3"/>
          <w:sz w:val="21"/>
        </w:rPr>
        <w:t>。</w:t>
      </w:r>
      <w:r>
        <w:rPr>
          <w:sz w:val="21"/>
        </w:rPr>
        <w:t>本</w:t>
      </w:r>
      <w:r>
        <w:rPr>
          <w:spacing w:val="-3"/>
          <w:sz w:val="21"/>
        </w:rPr>
        <w:t>合</w:t>
      </w:r>
      <w:r>
        <w:rPr>
          <w:sz w:val="21"/>
        </w:rPr>
        <w:t>同</w:t>
      </w:r>
      <w:r>
        <w:rPr>
          <w:spacing w:val="-3"/>
          <w:sz w:val="21"/>
        </w:rPr>
        <w:t>内</w:t>
      </w:r>
      <w:r>
        <w:rPr>
          <w:sz w:val="21"/>
        </w:rPr>
        <w:t>容</w:t>
      </w:r>
      <w:r>
        <w:rPr>
          <w:spacing w:val="-3"/>
          <w:sz w:val="21"/>
        </w:rPr>
        <w:t>与</w:t>
      </w:r>
      <w:r>
        <w:rPr>
          <w:sz w:val="21"/>
        </w:rPr>
        <w:t>主险</w:t>
      </w:r>
      <w:r>
        <w:rPr>
          <w:spacing w:val="-3"/>
          <w:sz w:val="21"/>
        </w:rPr>
        <w:t>合</w:t>
      </w:r>
      <w:r>
        <w:rPr>
          <w:sz w:val="21"/>
        </w:rPr>
        <w:t>同</w:t>
      </w:r>
      <w:r>
        <w:rPr>
          <w:spacing w:val="-3"/>
          <w:sz w:val="21"/>
        </w:rPr>
        <w:t>相</w:t>
      </w:r>
      <w:r>
        <w:rPr>
          <w:sz w:val="21"/>
        </w:rPr>
        <w:t>抵</w:t>
      </w:r>
      <w:r>
        <w:rPr>
          <w:spacing w:val="-3"/>
          <w:sz w:val="21"/>
        </w:rPr>
        <w:t>触</w:t>
      </w:r>
      <w:r>
        <w:rPr>
          <w:sz w:val="21"/>
        </w:rPr>
        <w:t>的</w:t>
      </w:r>
      <w:r>
        <w:rPr>
          <w:spacing w:val="-3"/>
          <w:sz w:val="21"/>
        </w:rPr>
        <w:t>，</w:t>
      </w:r>
      <w:r>
        <w:rPr>
          <w:sz w:val="21"/>
        </w:rPr>
        <w:t>以</w:t>
      </w:r>
      <w:r>
        <w:rPr>
          <w:spacing w:val="-3"/>
          <w:sz w:val="21"/>
        </w:rPr>
        <w:t>本</w:t>
      </w:r>
      <w:r>
        <w:rPr>
          <w:sz w:val="21"/>
        </w:rPr>
        <w:t>合同</w:t>
      </w:r>
      <w:r>
        <w:rPr>
          <w:spacing w:val="-3"/>
          <w:sz w:val="21"/>
        </w:rPr>
        <w:t>为</w:t>
      </w:r>
      <w:r>
        <w:rPr>
          <w:sz w:val="21"/>
        </w:rPr>
        <w:t>准。</w:t>
      </w:r>
    </w:p>
    <w:p>
      <w:pPr>
        <w:pStyle w:val="BodyText"/>
        <w:spacing w:line="273" w:lineRule="auto" w:before="7"/>
        <w:ind w:left="2745" w:right="4273"/>
      </w:pPr>
      <w:r>
        <w:rPr/>
        <w:t>主险合同无效，本合同亦无效。主险合同终止，本合同终止。</w:t>
      </w:r>
    </w:p>
    <w:p>
      <w:pPr>
        <w:pStyle w:val="BodyText"/>
        <w:spacing w:line="273" w:lineRule="auto" w:before="7"/>
        <w:ind w:left="2310" w:right="315" w:firstLine="434"/>
        <w:jc w:val="both"/>
      </w:pPr>
      <w:r>
        <w:rPr/>
        <w:t>主险合同因责任免除条款所列事项而终止的，本公司退还本合同的现金价</w:t>
      </w:r>
      <w:r>
        <w:rPr>
          <w:spacing w:val="-5"/>
        </w:rPr>
        <w:t>值。主险合同因本公司已承担保险责任而终止的，本公司不退还本合同的现金价值。</w:t>
      </w:r>
    </w:p>
    <w:p>
      <w:pPr>
        <w:pStyle w:val="BodyText"/>
        <w:spacing w:before="8"/>
      </w:pPr>
    </w:p>
    <w:p>
      <w:pPr>
        <w:spacing w:after="0"/>
        <w:sectPr>
          <w:type w:val="continuous"/>
          <w:pgSz w:w="11910" w:h="16840"/>
          <w:pgMar w:top="1120" w:bottom="1180" w:left="1020" w:right="920"/>
        </w:sectPr>
      </w:pPr>
    </w:p>
    <w:p>
      <w:pPr>
        <w:pStyle w:val="ListParagraph"/>
        <w:numPr>
          <w:ilvl w:val="1"/>
          <w:numId w:val="5"/>
        </w:numPr>
        <w:tabs>
          <w:tab w:pos="1001" w:val="left" w:leader="none"/>
        </w:tabs>
        <w:spacing w:line="273" w:lineRule="auto" w:before="36" w:after="0"/>
        <w:ind w:left="1000" w:right="0" w:hanging="778"/>
        <w:jc w:val="both"/>
        <w:rPr>
          <w:sz w:val="21"/>
        </w:rPr>
      </w:pPr>
      <w:r>
        <w:rPr>
          <w:sz w:val="21"/>
        </w:rPr>
        <w:t>投保人解除合同的手续及风险</w:t>
      </w:r>
    </w:p>
    <w:p>
      <w:pPr>
        <w:pStyle w:val="BodyText"/>
        <w:spacing w:line="273" w:lineRule="auto" w:before="36"/>
        <w:ind w:left="214" w:right="404" w:firstLine="420"/>
      </w:pPr>
      <w:r>
        <w:rPr/>
        <w:br w:type="column"/>
      </w:r>
      <w:r>
        <w:rPr/>
        <w:t>1. 主险合同解除时，本合同同时解除。您要求解除本合同时，应填写合同解除申请书，并提供下列证明和资料：</w:t>
      </w:r>
    </w:p>
    <w:p>
      <w:pPr>
        <w:pStyle w:val="BodyText"/>
        <w:spacing w:before="7"/>
        <w:ind w:left="634"/>
      </w:pPr>
      <w:r>
        <w:rPr/>
        <w:t>（1）保险合同；</w:t>
      </w:r>
    </w:p>
    <w:p>
      <w:pPr>
        <w:pStyle w:val="BodyText"/>
        <w:ind w:left="634"/>
      </w:pPr>
      <w:r>
        <w:rPr/>
        <w:t>（2）您的有效身份证件。</w:t>
      </w:r>
    </w:p>
    <w:p>
      <w:pPr>
        <w:pStyle w:val="BodyText"/>
        <w:spacing w:line="273" w:lineRule="auto"/>
        <w:ind w:left="214" w:right="313" w:firstLine="420"/>
        <w:jc w:val="both"/>
      </w:pPr>
      <w:r>
        <w:rPr/>
        <w:t>2.</w:t>
      </w:r>
      <w:r>
        <w:rPr>
          <w:spacing w:val="-5"/>
        </w:rPr>
        <w:t>自本公司收到合同解除申请书及上述证明和资料之日起，本合同终止。本</w:t>
      </w:r>
      <w:r>
        <w:rPr>
          <w:spacing w:val="-4"/>
        </w:rPr>
        <w:t>公司自本合同解除之日起 </w:t>
      </w:r>
      <w:r>
        <w:rPr/>
        <w:t>10</w:t>
      </w:r>
      <w:r>
        <w:rPr>
          <w:spacing w:val="-3"/>
        </w:rPr>
        <w:t> 日内向您退还保险单的现金价值。您解除合同可能会遭受一定损失。</w:t>
      </w:r>
    </w:p>
    <w:p>
      <w:pPr>
        <w:spacing w:after="0" w:line="273" w:lineRule="auto"/>
        <w:jc w:val="both"/>
        <w:sectPr>
          <w:type w:val="continuous"/>
          <w:pgSz w:w="11910" w:h="16840"/>
          <w:pgMar w:top="1120" w:bottom="1180" w:left="1020" w:right="920"/>
          <w:cols w:num="2" w:equalWidth="0">
            <w:col w:w="2057" w:space="40"/>
            <w:col w:w="7873"/>
          </w:cols>
        </w:sectPr>
      </w:pPr>
    </w:p>
    <w:p>
      <w:pPr>
        <w:pStyle w:val="BodyText"/>
        <w:spacing w:before="8"/>
      </w:pPr>
    </w:p>
    <w:p>
      <w:pPr>
        <w:pStyle w:val="ListParagraph"/>
        <w:numPr>
          <w:ilvl w:val="1"/>
          <w:numId w:val="5"/>
        </w:numPr>
        <w:tabs>
          <w:tab w:pos="1000" w:val="left" w:leader="none"/>
          <w:tab w:pos="1001" w:val="left" w:leader="none"/>
          <w:tab w:pos="2730" w:val="left" w:leader="none"/>
        </w:tabs>
        <w:spacing w:line="240" w:lineRule="auto" w:before="37" w:after="0"/>
        <w:ind w:left="2310" w:right="0" w:hanging="2088"/>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ind w:left="2730"/>
      </w:pPr>
      <w:r>
        <w:rPr/>
        <w:t>1.在本合同有效期内解除本合同的；</w:t>
      </w:r>
    </w:p>
    <w:p>
      <w:pPr>
        <w:pStyle w:val="BodyText"/>
        <w:ind w:left="2730"/>
      </w:pPr>
      <w:r>
        <w:rPr/>
        <w:t>2.本公司已经履行完毕保险责任的；</w:t>
      </w:r>
    </w:p>
    <w:p>
      <w:pPr>
        <w:pStyle w:val="BodyText"/>
        <w:ind w:left="2730"/>
      </w:pPr>
      <w:r>
        <w:rPr/>
        <w:t>3.被保险人身故的；</w:t>
      </w:r>
    </w:p>
    <w:p>
      <w:pPr>
        <w:pStyle w:val="BodyText"/>
        <w:ind w:left="2730"/>
      </w:pPr>
      <w:r>
        <w:rPr/>
        <w:t>4.本合同因条款所列其他情况而终止的。</w:t>
      </w:r>
    </w:p>
    <w:p>
      <w:pPr>
        <w:pStyle w:val="BodyText"/>
        <w:spacing w:before="7"/>
        <w:rPr>
          <w:sz w:val="24"/>
        </w:rPr>
      </w:pPr>
    </w:p>
    <w:p>
      <w:pPr>
        <w:pStyle w:val="Heading2"/>
        <w:numPr>
          <w:ilvl w:val="0"/>
          <w:numId w:val="5"/>
        </w:numPr>
        <w:tabs>
          <w:tab w:pos="1000" w:val="left" w:leader="none"/>
          <w:tab w:pos="1001" w:val="left" w:leader="none"/>
        </w:tabs>
        <w:spacing w:line="240" w:lineRule="auto" w:before="0" w:after="0"/>
        <w:ind w:left="1000" w:right="0" w:hanging="778"/>
        <w:jc w:val="left"/>
      </w:pPr>
      <w:r>
        <w:rPr/>
        <w:pict>
          <v:group style="position:absolute;margin-left:56.018261pt;margin-top:17.615623pt;width:482.65pt;height:1pt;mso-position-horizontal-relative:page;mso-position-vertical-relative:paragraph;z-index:1096;mso-wrap-distance-left:0;mso-wrap-distance-right:0" coordorigin="1120,352" coordsize="9653,20">
            <v:line style="position:absolute" from="1120,362" to="1912,362" stroked="true" strokeweight=".96pt" strokecolor="#000000">
              <v:stroke dashstyle="solid"/>
            </v:line>
            <v:rect style="position:absolute;left:1897;top:352;width:20;height:20" filled="true" fillcolor="#000000" stroked="false">
              <v:fill type="solid"/>
            </v:rect>
            <v:line style="position:absolute" from="1917,362" to="10773,362" stroked="true" strokeweight=".96pt" strokecolor="#000000">
              <v:stroke dashstyle="solid"/>
            </v:line>
            <w10:wrap type="topAndBottom"/>
          </v:group>
        </w:pict>
      </w:r>
      <w:r>
        <w:rPr/>
        <w:t>我们提供的保障</w:t>
      </w:r>
    </w:p>
    <w:p>
      <w:pPr>
        <w:spacing w:after="0" w:line="240" w:lineRule="auto"/>
        <w:jc w:val="left"/>
        <w:sectPr>
          <w:type w:val="continuous"/>
          <w:pgSz w:w="11910" w:h="16840"/>
          <w:pgMar w:top="1120" w:bottom="1180" w:left="1020" w:right="920"/>
        </w:sectPr>
      </w:pPr>
    </w:p>
    <w:p>
      <w:pPr>
        <w:pStyle w:val="BodyText"/>
        <w:spacing w:before="2"/>
        <w:rPr>
          <w:sz w:val="19"/>
        </w:rPr>
      </w:pPr>
    </w:p>
    <w:p>
      <w:pPr>
        <w:pStyle w:val="ListParagraph"/>
        <w:numPr>
          <w:ilvl w:val="1"/>
          <w:numId w:val="5"/>
        </w:numPr>
        <w:tabs>
          <w:tab w:pos="1000" w:val="left" w:leader="none"/>
          <w:tab w:pos="1001" w:val="left" w:leader="none"/>
          <w:tab w:pos="2730" w:val="left" w:leader="none"/>
        </w:tabs>
        <w:spacing w:line="273" w:lineRule="auto" w:before="37" w:after="0"/>
        <w:ind w:left="2310" w:right="313" w:hanging="2088"/>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20"/>
          <w:sz w:val="21"/>
        </w:rPr>
        <w:t>，</w:t>
      </w:r>
      <w:r>
        <w:rPr>
          <w:sz w:val="21"/>
        </w:rPr>
        <w:t>但</w:t>
      </w:r>
      <w:r>
        <w:rPr>
          <w:spacing w:val="-3"/>
          <w:sz w:val="21"/>
        </w:rPr>
        <w:t>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保规 </w:t>
      </w:r>
      <w:r>
        <w:rPr>
          <w:spacing w:val="-1"/>
          <w:sz w:val="21"/>
        </w:rPr>
        <w:t>定</w:t>
      </w:r>
      <w:r>
        <w:rPr>
          <w:sz w:val="21"/>
        </w:rPr>
        <w:t>，</w:t>
      </w:r>
      <w:r>
        <w:rPr>
          <w:spacing w:val="-3"/>
          <w:sz w:val="21"/>
        </w:rPr>
        <w:t>约</w:t>
      </w:r>
      <w:r>
        <w:rPr>
          <w:sz w:val="21"/>
        </w:rPr>
        <w:t>定</w:t>
      </w:r>
      <w:r>
        <w:rPr>
          <w:spacing w:val="-3"/>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保险</w:t>
      </w:r>
      <w:r>
        <w:rPr>
          <w:spacing w:val="-3"/>
          <w:sz w:val="21"/>
        </w:rPr>
        <w:t>单</w:t>
      </w:r>
      <w:r>
        <w:rPr>
          <w:sz w:val="21"/>
        </w:rPr>
        <w:t>上</w:t>
      </w:r>
      <w:r>
        <w:rPr>
          <w:spacing w:val="-3"/>
          <w:sz w:val="21"/>
        </w:rPr>
        <w:t>载</w:t>
      </w:r>
      <w:r>
        <w:rPr>
          <w:sz w:val="21"/>
        </w:rPr>
        <w:t>明。</w:t>
      </w:r>
    </w:p>
    <w:p>
      <w:pPr>
        <w:pStyle w:val="BodyText"/>
        <w:spacing w:before="5"/>
        <w:rPr>
          <w:sz w:val="24"/>
        </w:rPr>
      </w:pPr>
    </w:p>
    <w:p>
      <w:pPr>
        <w:pStyle w:val="ListParagraph"/>
        <w:numPr>
          <w:ilvl w:val="1"/>
          <w:numId w:val="5"/>
        </w:numPr>
        <w:tabs>
          <w:tab w:pos="1000" w:val="left" w:leader="none"/>
          <w:tab w:pos="1001" w:val="left" w:leader="none"/>
          <w:tab w:pos="2730" w:val="left" w:leader="none"/>
        </w:tabs>
        <w:spacing w:line="240" w:lineRule="auto" w:before="1" w:after="0"/>
        <w:ind w:left="2310" w:right="0" w:hanging="2088"/>
        <w:jc w:val="left"/>
        <w:rPr>
          <w:sz w:val="21"/>
        </w:rPr>
      </w:pPr>
      <w:r>
        <w:rPr>
          <w:sz w:val="21"/>
        </w:rPr>
        <w:t>保险期间</w:t>
        <w:tab/>
        <w:t>同主</w:t>
      </w:r>
      <w:r>
        <w:rPr>
          <w:spacing w:val="-3"/>
          <w:sz w:val="21"/>
        </w:rPr>
        <w:t>险</w:t>
      </w:r>
      <w:r>
        <w:rPr>
          <w:sz w:val="21"/>
        </w:rPr>
        <w:t>合</w:t>
      </w:r>
      <w:r>
        <w:rPr>
          <w:spacing w:val="-3"/>
          <w:sz w:val="21"/>
        </w:rPr>
        <w:t>同</w:t>
      </w:r>
      <w:r>
        <w:rPr>
          <w:sz w:val="21"/>
        </w:rPr>
        <w:t>。</w:t>
      </w:r>
    </w:p>
    <w:p>
      <w:pPr>
        <w:pStyle w:val="BodyText"/>
        <w:spacing w:before="9"/>
        <w:rPr>
          <w:sz w:val="26"/>
        </w:rPr>
      </w:pPr>
    </w:p>
    <w:p>
      <w:pPr>
        <w:pStyle w:val="ListParagraph"/>
        <w:numPr>
          <w:ilvl w:val="1"/>
          <w:numId w:val="5"/>
        </w:numPr>
        <w:tabs>
          <w:tab w:pos="1000" w:val="left" w:leader="none"/>
          <w:tab w:pos="1001" w:val="left" w:leader="none"/>
          <w:tab w:pos="2730" w:val="left" w:leader="none"/>
        </w:tabs>
        <w:spacing w:line="240" w:lineRule="auto" w:before="0" w:after="0"/>
        <w:ind w:left="2310" w:right="0" w:hanging="2088"/>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1"/>
        <w:rPr>
          <w:sz w:val="23"/>
        </w:rPr>
      </w:pPr>
    </w:p>
    <w:p>
      <w:pPr>
        <w:spacing w:after="0"/>
        <w:rPr>
          <w:sz w:val="23"/>
        </w:rPr>
        <w:sectPr>
          <w:pgSz w:w="11910" w:h="16840"/>
          <w:pgMar w:header="879" w:footer="999" w:top="1120" w:bottom="1180" w:left="1020" w:right="920"/>
        </w:sectPr>
      </w:pPr>
    </w:p>
    <w:p>
      <w:pPr>
        <w:pStyle w:val="BodyText"/>
        <w:spacing w:line="273" w:lineRule="auto"/>
        <w:ind w:left="1000"/>
      </w:pPr>
      <w:r>
        <w:rPr/>
        <w:t>重大疾病保险金</w:t>
      </w:r>
    </w:p>
    <w:p>
      <w:pPr>
        <w:pStyle w:val="BodyText"/>
        <w:spacing w:line="273" w:lineRule="auto"/>
        <w:ind w:left="214" w:right="315" w:firstLine="422"/>
        <w:jc w:val="both"/>
      </w:pPr>
      <w:r>
        <w:rPr/>
        <w:br w:type="column"/>
      </w:r>
      <w:r>
        <w:rPr>
          <w:spacing w:val="-5"/>
        </w:rPr>
        <w:t>您首次投保或非连续投保本保险时，本保险设置等待期，等待期为本合同生效之日起30</w:t>
      </w:r>
      <w:r>
        <w:rPr>
          <w:spacing w:val="-7"/>
        </w:rPr>
        <w:t>日内的期间。被保险人在等待期内由本公司认可医院</w:t>
      </w:r>
      <w:r>
        <w:rPr>
          <w:spacing w:val="-3"/>
        </w:rPr>
        <w:t>（</w:t>
      </w:r>
      <w:r>
        <w:rPr>
          <w:spacing w:val="-1"/>
        </w:rPr>
        <w:t>详见释义</w:t>
      </w:r>
      <w:r>
        <w:rPr>
          <w:spacing w:val="-15"/>
        </w:rPr>
        <w:t>）</w:t>
      </w:r>
      <w:r>
        <w:rPr/>
        <w:t>的</w:t>
      </w:r>
      <w:r>
        <w:rPr>
          <w:w w:val="100"/>
        </w:rPr>
        <w:t>专科医生（</w:t>
      </w:r>
      <w:r>
        <w:rPr>
          <w:spacing w:val="-1"/>
          <w:w w:val="100"/>
        </w:rPr>
        <w:t>详见释义</w:t>
      </w:r>
      <w:r>
        <w:rPr>
          <w:w w:val="100"/>
        </w:rPr>
        <w:t>）</w:t>
      </w:r>
      <w:r>
        <w:rPr>
          <w:spacing w:val="-3"/>
          <w:w w:val="100"/>
        </w:rPr>
        <w:t>确诊初次发生本合同所指的重大疾病</w:t>
      </w:r>
      <w:r>
        <w:rPr>
          <w:w w:val="100"/>
        </w:rPr>
        <w:t>（详见释义</w:t>
      </w:r>
      <w:r>
        <w:rPr>
          <w:spacing w:val="-108"/>
          <w:w w:val="100"/>
        </w:rPr>
        <w:t>）</w:t>
      </w:r>
      <w:r>
        <w:rPr>
          <w:spacing w:val="-2"/>
          <w:w w:val="100"/>
        </w:rPr>
        <w:t>，本公</w:t>
      </w:r>
      <w:r>
        <w:rPr>
          <w:spacing w:val="-4"/>
        </w:rPr>
        <w:t>司给付重大疾病保险金,其金额为本保险实际交纳的保险费</w:t>
      </w:r>
      <w:r>
        <w:rPr/>
        <w:t>（</w:t>
      </w:r>
      <w:r>
        <w:rPr>
          <w:spacing w:val="-1"/>
        </w:rPr>
        <w:t>详见释义</w:t>
      </w:r>
      <w:r>
        <w:rPr>
          <w:spacing w:val="-64"/>
        </w:rPr>
        <w:t>）</w:t>
      </w:r>
      <w:r>
        <w:rPr>
          <w:spacing w:val="-18"/>
        </w:rPr>
        <w:t>，本合同终止。</w:t>
      </w:r>
    </w:p>
    <w:p>
      <w:pPr>
        <w:pStyle w:val="BodyText"/>
        <w:spacing w:line="273" w:lineRule="auto" w:before="7"/>
        <w:ind w:left="214" w:right="313" w:firstLine="420"/>
        <w:jc w:val="both"/>
      </w:pPr>
      <w:r>
        <w:rPr>
          <w:spacing w:val="-3"/>
        </w:rPr>
        <w:t>因意外伤害（详见释义</w:t>
      </w:r>
      <w:r>
        <w:rPr>
          <w:spacing w:val="-10"/>
        </w:rPr>
        <w:t>）</w:t>
      </w:r>
      <w:r>
        <w:rPr>
          <w:spacing w:val="-3"/>
        </w:rPr>
        <w:t>导致的保险事故或本合同保险期间届满后经本公司同意续保的，不适用前述等待期的约定。</w:t>
      </w:r>
    </w:p>
    <w:p>
      <w:pPr>
        <w:pStyle w:val="BodyText"/>
        <w:spacing w:line="273" w:lineRule="auto" w:before="7"/>
        <w:ind w:left="214" w:right="313" w:firstLine="420"/>
        <w:jc w:val="both"/>
      </w:pPr>
      <w:r>
        <w:rPr>
          <w:spacing w:val="1"/>
        </w:rPr>
        <w:t>被保险人因意外伤害或于本合同等待期期满后由本公司认可医院的专科医</w:t>
      </w:r>
      <w:r>
        <w:rPr>
          <w:spacing w:val="-4"/>
        </w:rPr>
        <w:t>生确诊初次发生本合同所指的重大疾病，本公司按本合同保险金额给付重大疾病</w:t>
      </w:r>
      <w:r>
        <w:rPr>
          <w:spacing w:val="-3"/>
        </w:rPr>
        <w:t>保险金，本合同终止。</w:t>
      </w:r>
    </w:p>
    <w:p>
      <w:pPr>
        <w:spacing w:after="0" w:line="273" w:lineRule="auto"/>
        <w:jc w:val="both"/>
        <w:sectPr>
          <w:type w:val="continuous"/>
          <w:pgSz w:w="11910" w:h="16840"/>
          <w:pgMar w:top="1120" w:bottom="1180" w:left="1020" w:right="920"/>
          <w:cols w:num="2" w:equalWidth="0">
            <w:col w:w="2057" w:space="40"/>
            <w:col w:w="7873"/>
          </w:cols>
        </w:sectPr>
      </w:pPr>
    </w:p>
    <w:p>
      <w:pPr>
        <w:pStyle w:val="BodyText"/>
        <w:spacing w:before="8"/>
      </w:pPr>
    </w:p>
    <w:p>
      <w:pPr>
        <w:pStyle w:val="ListParagraph"/>
        <w:numPr>
          <w:ilvl w:val="1"/>
          <w:numId w:val="5"/>
        </w:numPr>
        <w:tabs>
          <w:tab w:pos="1000" w:val="left" w:leader="none"/>
          <w:tab w:pos="1001" w:val="left" w:leader="none"/>
          <w:tab w:pos="2730" w:val="left" w:leader="none"/>
        </w:tabs>
        <w:spacing w:line="273" w:lineRule="auto" w:before="37" w:after="0"/>
        <w:ind w:left="2308" w:right="315" w:hanging="2086"/>
        <w:jc w:val="left"/>
        <w:rPr>
          <w:sz w:val="21"/>
        </w:rPr>
      </w:pPr>
      <w:r>
        <w:rPr>
          <w:sz w:val="21"/>
        </w:rPr>
        <w:t>责任免除</w:t>
        <w:tab/>
        <w:tab/>
      </w:r>
      <w:r>
        <w:rPr>
          <w:spacing w:val="-1"/>
          <w:sz w:val="21"/>
        </w:rPr>
        <w:t>被</w:t>
      </w:r>
      <w:r>
        <w:rPr>
          <w:sz w:val="21"/>
        </w:rPr>
        <w:t>保险人因下列情</w:t>
      </w:r>
      <w:r>
        <w:rPr>
          <w:spacing w:val="-3"/>
          <w:sz w:val="21"/>
        </w:rPr>
        <w:t>形</w:t>
      </w:r>
      <w:r>
        <w:rPr>
          <w:sz w:val="21"/>
        </w:rPr>
        <w:t>之</w:t>
      </w:r>
      <w:r>
        <w:rPr>
          <w:spacing w:val="-3"/>
          <w:sz w:val="21"/>
        </w:rPr>
        <w:t>一</w:t>
      </w:r>
      <w:r>
        <w:rPr>
          <w:sz w:val="21"/>
        </w:rPr>
        <w:t>发生本合同所指的</w:t>
      </w:r>
      <w:r>
        <w:rPr>
          <w:spacing w:val="-3"/>
          <w:sz w:val="21"/>
        </w:rPr>
        <w:t>重</w:t>
      </w:r>
      <w:r>
        <w:rPr>
          <w:sz w:val="21"/>
        </w:rPr>
        <w:t>大</w:t>
      </w:r>
      <w:r>
        <w:rPr>
          <w:spacing w:val="-3"/>
          <w:sz w:val="21"/>
        </w:rPr>
        <w:t>疾</w:t>
      </w:r>
      <w:r>
        <w:rPr>
          <w:sz w:val="21"/>
        </w:rPr>
        <w:t>病的</w:t>
      </w:r>
      <w:r>
        <w:rPr>
          <w:spacing w:val="-44"/>
          <w:sz w:val="21"/>
        </w:rPr>
        <w:t>，</w:t>
      </w:r>
      <w:r>
        <w:rPr>
          <w:sz w:val="21"/>
        </w:rPr>
        <w:t>本公司不承担保险 责任：</w:t>
      </w:r>
    </w:p>
    <w:p>
      <w:pPr>
        <w:pStyle w:val="BodyText"/>
        <w:spacing w:before="8"/>
        <w:ind w:left="2733"/>
      </w:pPr>
      <w:r>
        <w:rPr/>
        <w:t>1.投保人对被保险人的故意杀害、故意伤害；</w:t>
      </w:r>
    </w:p>
    <w:p>
      <w:pPr>
        <w:pStyle w:val="BodyText"/>
        <w:ind w:left="2723"/>
      </w:pPr>
      <w:r>
        <w:rPr/>
        <w:t>2.被保险人故意犯罪或抗拒依法采取的刑事强制措施；</w:t>
      </w:r>
    </w:p>
    <w:p>
      <w:pPr>
        <w:pStyle w:val="BodyText"/>
        <w:ind w:left="2733"/>
      </w:pPr>
      <w:r>
        <w:rPr/>
        <w:t>3.被保险人主动吸食或注射毒品；</w:t>
      </w:r>
    </w:p>
    <w:p>
      <w:pPr>
        <w:pStyle w:val="BodyText"/>
        <w:spacing w:line="273" w:lineRule="auto"/>
        <w:ind w:left="2310" w:right="318" w:firstLine="420"/>
      </w:pPr>
      <w:r>
        <w:rPr/>
        <w:t>4.被保险人酒后驾驶、无合法有效驾驶证驾驶或驾驶无有效行驶证的机动车；</w:t>
      </w:r>
    </w:p>
    <w:p>
      <w:pPr>
        <w:pStyle w:val="BodyText"/>
        <w:spacing w:before="7"/>
        <w:ind w:left="2730"/>
      </w:pPr>
      <w:r>
        <w:rPr/>
        <w:t>5.战争、军事冲突、暴乱或武装叛乱；</w:t>
      </w:r>
    </w:p>
    <w:p>
      <w:pPr>
        <w:pStyle w:val="BodyText"/>
        <w:spacing w:before="36"/>
        <w:ind w:left="2730"/>
      </w:pPr>
      <w:r>
        <w:rPr/>
        <w:t>6.核爆炸、核辐射或核污染；</w:t>
      </w:r>
    </w:p>
    <w:p>
      <w:pPr>
        <w:pStyle w:val="BodyText"/>
        <w:spacing w:before="36"/>
        <w:ind w:left="2733"/>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before="36"/>
        <w:ind w:left="2733"/>
      </w:pPr>
      <w:r>
        <w:rPr>
          <w:spacing w:val="-1"/>
        </w:rPr>
        <w:t>8.被保险人感染艾滋病病毒或患艾滋病</w:t>
      </w:r>
      <w:r>
        <w:rPr/>
        <w:t>（</w:t>
      </w:r>
      <w:r>
        <w:rPr>
          <w:spacing w:val="-2"/>
        </w:rPr>
        <w:t>详见释义</w:t>
      </w:r>
      <w:r>
        <w:rPr>
          <w:spacing w:val="-108"/>
        </w:rPr>
        <w:t>）</w:t>
      </w:r>
      <w:r>
        <w:rPr/>
        <w:t>。</w:t>
      </w:r>
    </w:p>
    <w:p>
      <w:pPr>
        <w:pStyle w:val="BodyText"/>
        <w:spacing w:before="6"/>
        <w:rPr>
          <w:sz w:val="24"/>
        </w:rPr>
      </w:pPr>
    </w:p>
    <w:p>
      <w:pPr>
        <w:pStyle w:val="Heading2"/>
        <w:numPr>
          <w:ilvl w:val="0"/>
          <w:numId w:val="5"/>
        </w:numPr>
        <w:tabs>
          <w:tab w:pos="1000" w:val="left" w:leader="none"/>
          <w:tab w:pos="1001" w:val="left" w:leader="none"/>
        </w:tabs>
        <w:spacing w:line="240" w:lineRule="auto" w:before="0" w:after="0"/>
        <w:ind w:left="1000" w:right="0" w:hanging="778"/>
        <w:jc w:val="left"/>
      </w:pPr>
      <w:r>
        <w:rPr/>
        <w:pict>
          <v:group style="position:absolute;margin-left:56.738258pt;margin-top:17.615625pt;width:481.95pt;height:1pt;mso-position-horizontal-relative:page;mso-position-vertical-relative:paragraph;z-index:1120;mso-wrap-distance-left:0;mso-wrap-distance-right:0" coordorigin="1135,352" coordsize="9639,20">
            <v:line style="position:absolute" from="1135,362" to="1912,362" stroked="true" strokeweight=".96pt" strokecolor="#000000">
              <v:stroke dashstyle="solid"/>
            </v:line>
            <v:rect style="position:absolute;left:1912;top:352;width:20;height:20" filled="true" fillcolor="#000000" stroked="false">
              <v:fill type="solid"/>
            </v:rect>
            <v:line style="position:absolute" from="1932,362" to="3223,362" stroked="true" strokeweight=".96pt" strokecolor="#000000">
              <v:stroke dashstyle="solid"/>
            </v:line>
            <v:rect style="position:absolute;left:3222;top:352;width:20;height:20" filled="true" fillcolor="#000000" stroked="false">
              <v:fill type="solid"/>
            </v:rect>
            <v:line style="position:absolute" from="3242,362" to="10773,362" stroked="true" strokeweight=".96pt" strokecolor="#000000">
              <v:stroke dashstyle="solid"/>
            </v:line>
            <w10:wrap type="topAndBottom"/>
          </v:group>
        </w:pict>
      </w:r>
      <w:r>
        <w:rPr/>
        <w:t>您的权利与义务</w:t>
      </w:r>
    </w:p>
    <w:p>
      <w:pPr>
        <w:pStyle w:val="BodyText"/>
        <w:spacing w:before="11"/>
        <w:rPr>
          <w:sz w:val="17"/>
        </w:rPr>
      </w:pPr>
    </w:p>
    <w:p>
      <w:pPr>
        <w:spacing w:after="0"/>
        <w:rPr>
          <w:sz w:val="17"/>
        </w:rPr>
        <w:sectPr>
          <w:type w:val="continuous"/>
          <w:pgSz w:w="11910" w:h="16840"/>
          <w:pgMar w:top="1120" w:bottom="1180" w:left="1020" w:right="920"/>
        </w:sectPr>
      </w:pPr>
    </w:p>
    <w:p>
      <w:pPr>
        <w:pStyle w:val="ListParagraph"/>
        <w:numPr>
          <w:ilvl w:val="1"/>
          <w:numId w:val="5"/>
        </w:numPr>
        <w:tabs>
          <w:tab w:pos="1000" w:val="left" w:leader="none"/>
          <w:tab w:pos="1001" w:val="left" w:leader="none"/>
        </w:tabs>
        <w:spacing w:line="273" w:lineRule="auto" w:before="36" w:after="0"/>
        <w:ind w:left="1000" w:right="0" w:hanging="778"/>
        <w:jc w:val="left"/>
        <w:rPr>
          <w:sz w:val="21"/>
        </w:rPr>
      </w:pPr>
      <w:r>
        <w:rPr>
          <w:sz w:val="21"/>
        </w:rPr>
        <w:t>保险费的交纳</w:t>
      </w:r>
    </w:p>
    <w:p>
      <w:pPr>
        <w:pStyle w:val="BodyText"/>
        <w:spacing w:before="36"/>
        <w:ind w:left="222"/>
      </w:pPr>
      <w:r>
        <w:rPr/>
        <w:br w:type="column"/>
      </w:r>
      <w:r>
        <w:rPr/>
        <w:t>本合同交费方式为一次交清，并在保险单上载明。</w:t>
      </w:r>
    </w:p>
    <w:p>
      <w:pPr>
        <w:spacing w:after="0"/>
        <w:sectPr>
          <w:type w:val="continuous"/>
          <w:pgSz w:w="11910" w:h="16840"/>
          <w:pgMar w:top="1120" w:bottom="1180" w:left="1020" w:right="920"/>
          <w:cols w:num="2" w:equalWidth="0">
            <w:col w:w="2057" w:space="451"/>
            <w:col w:w="7462"/>
          </w:cols>
        </w:sectPr>
      </w:pPr>
    </w:p>
    <w:p>
      <w:pPr>
        <w:pStyle w:val="BodyText"/>
        <w:spacing w:before="8"/>
      </w:pPr>
    </w:p>
    <w:p>
      <w:pPr>
        <w:pStyle w:val="ListParagraph"/>
        <w:numPr>
          <w:ilvl w:val="1"/>
          <w:numId w:val="5"/>
        </w:numPr>
        <w:tabs>
          <w:tab w:pos="1000" w:val="left" w:leader="none"/>
          <w:tab w:pos="1001" w:val="left" w:leader="none"/>
          <w:tab w:pos="2730" w:val="left" w:leader="none"/>
        </w:tabs>
        <w:spacing w:line="273" w:lineRule="auto" w:before="36" w:after="0"/>
        <w:ind w:left="2310" w:right="404" w:hanging="2088"/>
        <w:jc w:val="left"/>
        <w:rPr>
          <w:sz w:val="21"/>
        </w:rPr>
      </w:pPr>
      <w:r>
        <w:rPr>
          <w:sz w:val="21"/>
        </w:rPr>
        <w:t>续保</w:t>
        <w:tab/>
        <w:tab/>
        <w:t>本合</w:t>
      </w:r>
      <w:r>
        <w:rPr>
          <w:spacing w:val="-3"/>
          <w:sz w:val="21"/>
        </w:rPr>
        <w:t>同</w:t>
      </w:r>
      <w:r>
        <w:rPr>
          <w:sz w:val="21"/>
        </w:rPr>
        <w:t>保</w:t>
      </w:r>
      <w:r>
        <w:rPr>
          <w:spacing w:val="-3"/>
          <w:sz w:val="21"/>
        </w:rPr>
        <w:t>险</w:t>
      </w:r>
      <w:r>
        <w:rPr>
          <w:sz w:val="21"/>
        </w:rPr>
        <w:t>期</w:t>
      </w:r>
      <w:r>
        <w:rPr>
          <w:spacing w:val="-3"/>
          <w:sz w:val="21"/>
        </w:rPr>
        <w:t>间</w:t>
      </w:r>
      <w:r>
        <w:rPr>
          <w:sz w:val="21"/>
        </w:rPr>
        <w:t>届</w:t>
      </w:r>
      <w:r>
        <w:rPr>
          <w:spacing w:val="-3"/>
          <w:sz w:val="21"/>
        </w:rPr>
        <w:t>满</w:t>
      </w:r>
      <w:r>
        <w:rPr>
          <w:sz w:val="21"/>
        </w:rPr>
        <w:t>前</w:t>
      </w:r>
      <w:r>
        <w:rPr>
          <w:spacing w:val="-35"/>
          <w:sz w:val="21"/>
        </w:rPr>
        <w:t> </w:t>
      </w:r>
      <w:r>
        <w:rPr>
          <w:sz w:val="21"/>
        </w:rPr>
        <w:t>30</w:t>
      </w:r>
      <w:r>
        <w:rPr>
          <w:spacing w:val="-38"/>
          <w:sz w:val="21"/>
        </w:rPr>
        <w:t> </w:t>
      </w:r>
      <w:r>
        <w:rPr>
          <w:sz w:val="21"/>
        </w:rPr>
        <w:t>日内</w:t>
      </w:r>
      <w:r>
        <w:rPr>
          <w:spacing w:val="-3"/>
          <w:sz w:val="21"/>
        </w:rPr>
        <w:t>，</w:t>
      </w:r>
      <w:r>
        <w:rPr>
          <w:sz w:val="21"/>
        </w:rPr>
        <w:t>您</w:t>
      </w:r>
      <w:r>
        <w:rPr>
          <w:spacing w:val="-3"/>
          <w:sz w:val="21"/>
        </w:rPr>
        <w:t>可</w:t>
      </w:r>
      <w:r>
        <w:rPr>
          <w:sz w:val="21"/>
        </w:rPr>
        <w:t>向</w:t>
      </w:r>
      <w:r>
        <w:rPr>
          <w:spacing w:val="-3"/>
          <w:sz w:val="21"/>
        </w:rPr>
        <w:t>本</w:t>
      </w:r>
      <w:r>
        <w:rPr>
          <w:sz w:val="21"/>
        </w:rPr>
        <w:t>公</w:t>
      </w:r>
      <w:r>
        <w:rPr>
          <w:spacing w:val="-3"/>
          <w:sz w:val="21"/>
        </w:rPr>
        <w:t>司</w:t>
      </w:r>
      <w:r>
        <w:rPr>
          <w:sz w:val="21"/>
        </w:rPr>
        <w:t>提</w:t>
      </w:r>
      <w:r>
        <w:rPr>
          <w:spacing w:val="-3"/>
          <w:sz w:val="21"/>
        </w:rPr>
        <w:t>出</w:t>
      </w:r>
      <w:r>
        <w:rPr>
          <w:sz w:val="21"/>
        </w:rPr>
        <w:t>续保</w:t>
      </w:r>
      <w:r>
        <w:rPr>
          <w:spacing w:val="-3"/>
          <w:sz w:val="21"/>
        </w:rPr>
        <w:t>申</w:t>
      </w:r>
      <w:r>
        <w:rPr>
          <w:sz w:val="21"/>
        </w:rPr>
        <w:t>请</w:t>
      </w:r>
      <w:r>
        <w:rPr>
          <w:spacing w:val="-3"/>
          <w:sz w:val="21"/>
        </w:rPr>
        <w:t>。</w:t>
      </w:r>
      <w:r>
        <w:rPr>
          <w:sz w:val="21"/>
        </w:rPr>
        <w:t>经</w:t>
      </w:r>
      <w:r>
        <w:rPr>
          <w:spacing w:val="-3"/>
          <w:sz w:val="21"/>
        </w:rPr>
        <w:t>本</w:t>
      </w:r>
      <w:r>
        <w:rPr>
          <w:sz w:val="21"/>
        </w:rPr>
        <w:t>公</w:t>
      </w:r>
      <w:r>
        <w:rPr>
          <w:spacing w:val="-3"/>
          <w:sz w:val="21"/>
        </w:rPr>
        <w:t>司</w:t>
      </w:r>
      <w:r>
        <w:rPr>
          <w:sz w:val="21"/>
        </w:rPr>
        <w:t>审</w:t>
      </w:r>
      <w:r>
        <w:rPr>
          <w:spacing w:val="-1"/>
          <w:sz w:val="21"/>
        </w:rPr>
        <w:t>核同</w:t>
      </w:r>
      <w:r>
        <w:rPr>
          <w:spacing w:val="-3"/>
          <w:sz w:val="21"/>
        </w:rPr>
        <w:t>意</w:t>
      </w:r>
      <w:r>
        <w:rPr>
          <w:sz w:val="21"/>
        </w:rPr>
        <w:t>且</w:t>
      </w:r>
      <w:r>
        <w:rPr>
          <w:spacing w:val="-3"/>
          <w:sz w:val="21"/>
        </w:rPr>
        <w:t>您</w:t>
      </w:r>
      <w:r>
        <w:rPr>
          <w:sz w:val="21"/>
        </w:rPr>
        <w:t>已</w:t>
      </w:r>
      <w:r>
        <w:rPr>
          <w:spacing w:val="-3"/>
          <w:sz w:val="21"/>
        </w:rPr>
        <w:t>按</w:t>
      </w:r>
      <w:r>
        <w:rPr>
          <w:sz w:val="21"/>
        </w:rPr>
        <w:t>规</w:t>
      </w:r>
      <w:r>
        <w:rPr>
          <w:spacing w:val="-3"/>
          <w:sz w:val="21"/>
        </w:rPr>
        <w:t>定</w:t>
      </w:r>
      <w:r>
        <w:rPr>
          <w:sz w:val="21"/>
        </w:rPr>
        <w:t>交</w:t>
      </w:r>
      <w:r>
        <w:rPr>
          <w:spacing w:val="-3"/>
          <w:sz w:val="21"/>
        </w:rPr>
        <w:t>纳</w:t>
      </w:r>
      <w:r>
        <w:rPr>
          <w:sz w:val="21"/>
        </w:rPr>
        <w:t>续保</w:t>
      </w:r>
      <w:r>
        <w:rPr>
          <w:spacing w:val="-3"/>
          <w:sz w:val="21"/>
        </w:rPr>
        <w:t>保</w:t>
      </w:r>
      <w:r>
        <w:rPr>
          <w:sz w:val="21"/>
        </w:rPr>
        <w:t>险</w:t>
      </w:r>
      <w:r>
        <w:rPr>
          <w:spacing w:val="-3"/>
          <w:sz w:val="21"/>
        </w:rPr>
        <w:t>费</w:t>
      </w:r>
      <w:r>
        <w:rPr>
          <w:sz w:val="21"/>
        </w:rPr>
        <w:t>的</w:t>
      </w:r>
      <w:r>
        <w:rPr>
          <w:spacing w:val="-3"/>
          <w:sz w:val="21"/>
        </w:rPr>
        <w:t>，</w:t>
      </w:r>
      <w:r>
        <w:rPr>
          <w:sz w:val="21"/>
        </w:rPr>
        <w:t>本</w:t>
      </w:r>
      <w:r>
        <w:rPr>
          <w:spacing w:val="-3"/>
          <w:sz w:val="21"/>
        </w:rPr>
        <w:t>合</w:t>
      </w:r>
      <w:r>
        <w:rPr>
          <w:sz w:val="21"/>
        </w:rPr>
        <w:t>同</w:t>
      </w:r>
      <w:r>
        <w:rPr>
          <w:spacing w:val="-3"/>
          <w:sz w:val="21"/>
        </w:rPr>
        <w:t>续</w:t>
      </w:r>
      <w:r>
        <w:rPr>
          <w:sz w:val="21"/>
        </w:rPr>
        <w:t>保。</w:t>
      </w:r>
    </w:p>
    <w:p>
      <w:pPr>
        <w:pStyle w:val="BodyText"/>
        <w:spacing w:before="3"/>
        <w:rPr>
          <w:sz w:val="22"/>
        </w:rPr>
      </w:pPr>
    </w:p>
    <w:p>
      <w:pPr>
        <w:pStyle w:val="Heading2"/>
        <w:numPr>
          <w:ilvl w:val="0"/>
          <w:numId w:val="5"/>
        </w:numPr>
        <w:tabs>
          <w:tab w:pos="1000" w:val="left" w:leader="none"/>
          <w:tab w:pos="1001" w:val="left" w:leader="none"/>
        </w:tabs>
        <w:spacing w:line="240" w:lineRule="auto" w:before="0" w:after="0"/>
        <w:ind w:left="1000" w:right="0" w:hanging="778"/>
        <w:jc w:val="left"/>
      </w:pPr>
      <w:r>
        <w:rPr/>
        <w:pict>
          <v:group style="position:absolute;margin-left:56.738258pt;margin-top:17.615631pt;width:481.95pt;height:1pt;mso-position-horizontal-relative:page;mso-position-vertical-relative:paragraph;z-index:1144;mso-wrap-distance-left:0;mso-wrap-distance-right:0" coordorigin="1135,352" coordsize="9639,20">
            <v:line style="position:absolute" from="1135,362" to="1912,362" stroked="true" strokeweight=".96pt" strokecolor="#000000">
              <v:stroke dashstyle="solid"/>
            </v:line>
            <v:rect style="position:absolute;left:1912;top:352;width:20;height:20" filled="true" fillcolor="#000000" stroked="false">
              <v:fill type="solid"/>
            </v:rect>
            <v:line style="position:absolute" from="1932,362" to="3223,362" stroked="true" strokeweight=".96pt" strokecolor="#000000">
              <v:stroke dashstyle="solid"/>
            </v:line>
            <v:rect style="position:absolute;left:3222;top:352;width:20;height:20" filled="true" fillcolor="#000000" stroked="false">
              <v:fill type="solid"/>
            </v:rect>
            <v:line style="position:absolute" from="3242,362" to="10773,362" stroked="true" strokeweight=".96pt" strokecolor="#000000">
              <v:stroke dashstyle="solid"/>
            </v:line>
            <w10:wrap type="topAndBottom"/>
          </v:group>
        </w:pict>
      </w:r>
      <w:r>
        <w:rPr/>
        <w:t>如何申请领取保险金</w:t>
      </w:r>
    </w:p>
    <w:p>
      <w:pPr>
        <w:pStyle w:val="BodyText"/>
        <w:spacing w:before="11"/>
        <w:rPr>
          <w:sz w:val="17"/>
        </w:rPr>
      </w:pPr>
    </w:p>
    <w:p>
      <w:pPr>
        <w:spacing w:after="0"/>
        <w:rPr>
          <w:sz w:val="17"/>
        </w:rPr>
        <w:sectPr>
          <w:type w:val="continuous"/>
          <w:pgSz w:w="11910" w:h="16840"/>
          <w:pgMar w:top="1120" w:bottom="1180" w:left="1020" w:right="920"/>
        </w:sectPr>
      </w:pPr>
    </w:p>
    <w:p>
      <w:pPr>
        <w:pStyle w:val="ListParagraph"/>
        <w:numPr>
          <w:ilvl w:val="1"/>
          <w:numId w:val="5"/>
        </w:numPr>
        <w:tabs>
          <w:tab w:pos="1000" w:val="left" w:leader="none"/>
          <w:tab w:pos="1001" w:val="left" w:leader="none"/>
        </w:tabs>
        <w:spacing w:line="273" w:lineRule="auto" w:before="36" w:after="0"/>
        <w:ind w:left="1000" w:right="0" w:hanging="778"/>
        <w:jc w:val="left"/>
        <w:rPr>
          <w:sz w:val="21"/>
        </w:rPr>
      </w:pPr>
      <w:r>
        <w:rPr>
          <w:sz w:val="21"/>
        </w:rPr>
        <w:t>保险金受益人</w:t>
      </w:r>
    </w:p>
    <w:p>
      <w:pPr>
        <w:pStyle w:val="BodyText"/>
        <w:spacing w:before="36"/>
        <w:ind w:left="222"/>
      </w:pPr>
      <w:r>
        <w:rPr/>
        <w:br w:type="column"/>
      </w:r>
      <w:r>
        <w:rPr/>
        <w:t>重大疾病保险金受益人为被保险人本人。</w:t>
      </w:r>
    </w:p>
    <w:p>
      <w:pPr>
        <w:spacing w:after="0"/>
        <w:sectPr>
          <w:type w:val="continuous"/>
          <w:pgSz w:w="11910" w:h="16840"/>
          <w:pgMar w:top="1120" w:bottom="1180" w:left="1020" w:right="920"/>
          <w:cols w:num="2" w:equalWidth="0">
            <w:col w:w="2057" w:space="451"/>
            <w:col w:w="7462"/>
          </w:cols>
        </w:sectPr>
      </w:pPr>
    </w:p>
    <w:p>
      <w:pPr>
        <w:pStyle w:val="BodyText"/>
        <w:spacing w:before="8"/>
      </w:pPr>
    </w:p>
    <w:p>
      <w:pPr>
        <w:pStyle w:val="ListParagraph"/>
        <w:numPr>
          <w:ilvl w:val="1"/>
          <w:numId w:val="5"/>
        </w:numPr>
        <w:tabs>
          <w:tab w:pos="1000" w:val="left" w:leader="none"/>
          <w:tab w:pos="1001" w:val="left" w:leader="none"/>
          <w:tab w:pos="2730" w:val="left" w:leader="none"/>
        </w:tabs>
        <w:spacing w:line="240" w:lineRule="auto" w:before="36" w:after="0"/>
        <w:ind w:left="1000" w:right="0" w:hanging="778"/>
        <w:jc w:val="left"/>
        <w:rPr>
          <w:sz w:val="21"/>
        </w:rPr>
      </w:pPr>
      <w:r>
        <w:rPr>
          <w:sz w:val="21"/>
        </w:rPr>
        <w:t>保险事故通</w:t>
        <w:tab/>
        <w:t>您、</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w:t>
      </w:r>
      <w:r>
        <w:rPr>
          <w:sz w:val="21"/>
        </w:rPr>
        <w:t>人</w:t>
      </w:r>
      <w:r>
        <w:rPr>
          <w:spacing w:val="-3"/>
          <w:sz w:val="21"/>
        </w:rPr>
        <w:t>应</w:t>
      </w:r>
      <w:r>
        <w:rPr>
          <w:sz w:val="21"/>
        </w:rPr>
        <w:t>于知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4"/>
          <w:sz w:val="21"/>
        </w:rPr>
        <w:t> </w:t>
      </w:r>
      <w:r>
        <w:rPr>
          <w:sz w:val="21"/>
        </w:rPr>
        <w:t>10</w:t>
      </w:r>
      <w:r>
        <w:rPr>
          <w:spacing w:val="-37"/>
          <w:sz w:val="21"/>
        </w:rPr>
        <w:t> </w:t>
      </w:r>
      <w:r>
        <w:rPr>
          <w:sz w:val="21"/>
        </w:rPr>
        <w:t>日</w:t>
      </w:r>
      <w:r>
        <w:rPr>
          <w:spacing w:val="-3"/>
          <w:sz w:val="21"/>
        </w:rPr>
        <w:t>内</w:t>
      </w:r>
      <w:r>
        <w:rPr>
          <w:sz w:val="21"/>
        </w:rPr>
        <w:t>通</w:t>
      </w:r>
      <w:r>
        <w:rPr>
          <w:spacing w:val="-3"/>
          <w:sz w:val="21"/>
        </w:rPr>
        <w:t>知</w:t>
      </w:r>
      <w:r>
        <w:rPr>
          <w:sz w:val="21"/>
        </w:rPr>
        <w:t>本</w:t>
      </w:r>
      <w:r>
        <w:rPr>
          <w:spacing w:val="-3"/>
          <w:sz w:val="21"/>
        </w:rPr>
        <w:t>公</w:t>
      </w:r>
      <w:r>
        <w:rPr>
          <w:sz w:val="21"/>
        </w:rPr>
        <w:t>司。</w:t>
      </w:r>
    </w:p>
    <w:p>
      <w:pPr>
        <w:spacing w:after="0" w:line="240" w:lineRule="auto"/>
        <w:jc w:val="left"/>
        <w:rPr>
          <w:sz w:val="21"/>
        </w:rPr>
        <w:sectPr>
          <w:type w:val="continuous"/>
          <w:pgSz w:w="11910" w:h="16840"/>
          <w:pgMar w:top="1120" w:bottom="1180" w:left="1020" w:right="920"/>
        </w:sectPr>
      </w:pPr>
    </w:p>
    <w:p>
      <w:pPr>
        <w:pStyle w:val="BodyText"/>
        <w:spacing w:before="2"/>
        <w:rPr>
          <w:sz w:val="19"/>
        </w:rPr>
      </w:pPr>
    </w:p>
    <w:p>
      <w:pPr>
        <w:pStyle w:val="BodyText"/>
        <w:tabs>
          <w:tab w:pos="2733" w:val="left" w:leader="none"/>
        </w:tabs>
        <w:spacing w:line="273" w:lineRule="auto"/>
        <w:ind w:left="2310" w:right="315" w:hanging="1311"/>
        <w:jc w:val="both"/>
      </w:pPr>
      <w:r>
        <w:rPr/>
        <w:t>知</w:t>
        <w:tab/>
        <w:tab/>
      </w:r>
      <w:r>
        <w:rPr>
          <w:spacing w:val="-1"/>
        </w:rPr>
        <w:t>如</w:t>
      </w:r>
      <w:r>
        <w:rPr/>
        <w:t>您</w:t>
      </w:r>
      <w:r>
        <w:rPr>
          <w:spacing w:val="-22"/>
        </w:rPr>
        <w:t>、</w:t>
      </w:r>
      <w:r>
        <w:rPr/>
        <w:t>被保险</w:t>
      </w:r>
      <w:r>
        <w:rPr>
          <w:spacing w:val="-3"/>
        </w:rPr>
        <w:t>人</w:t>
      </w:r>
      <w:r>
        <w:rPr/>
        <w:t>或受益</w:t>
      </w:r>
      <w:r>
        <w:rPr>
          <w:spacing w:val="-3"/>
        </w:rPr>
        <w:t>人</w:t>
      </w:r>
      <w:r>
        <w:rPr/>
        <w:t>故意或因重大过失</w:t>
      </w:r>
      <w:r>
        <w:rPr>
          <w:spacing w:val="-3"/>
        </w:rPr>
        <w:t>未</w:t>
      </w:r>
      <w:r>
        <w:rPr/>
        <w:t>及</w:t>
      </w:r>
      <w:r>
        <w:rPr>
          <w:spacing w:val="-3"/>
        </w:rPr>
        <w:t>时</w:t>
      </w:r>
      <w:r>
        <w:rPr/>
        <w:t>通知本公司</w:t>
      </w:r>
      <w:r>
        <w:rPr>
          <w:spacing w:val="-22"/>
        </w:rPr>
        <w:t>，</w:t>
      </w:r>
      <w:r>
        <w:rPr>
          <w:spacing w:val="-3"/>
        </w:rPr>
        <w:t>致</w:t>
      </w:r>
      <w:r>
        <w:rPr/>
        <w:t>使保险事 故的性质</w:t>
      </w:r>
      <w:r>
        <w:rPr>
          <w:spacing w:val="-12"/>
        </w:rPr>
        <w:t>、</w:t>
      </w:r>
      <w:r>
        <w:rPr/>
        <w:t>原因</w:t>
      </w:r>
      <w:r>
        <w:rPr>
          <w:spacing w:val="-12"/>
        </w:rPr>
        <w:t>、</w:t>
      </w:r>
      <w:r>
        <w:rPr/>
        <w:t>损失</w:t>
      </w:r>
      <w:r>
        <w:rPr>
          <w:spacing w:val="-3"/>
        </w:rPr>
        <w:t>程</w:t>
      </w:r>
      <w:r>
        <w:rPr/>
        <w:t>度等难以确定的</w:t>
      </w:r>
      <w:r>
        <w:rPr>
          <w:spacing w:val="-12"/>
        </w:rPr>
        <w:t>，</w:t>
      </w:r>
      <w:r>
        <w:rPr/>
        <w:t>本公</w:t>
      </w:r>
      <w:r>
        <w:rPr>
          <w:spacing w:val="-3"/>
        </w:rPr>
        <w:t>司</w:t>
      </w:r>
      <w:r>
        <w:rPr/>
        <w:t>对无法确定的部分</w:t>
      </w:r>
      <w:r>
        <w:rPr>
          <w:spacing w:val="-12"/>
        </w:rPr>
        <w:t>，</w:t>
      </w:r>
      <w:r>
        <w:rPr/>
        <w:t>不</w:t>
      </w:r>
      <w:r>
        <w:rPr>
          <w:spacing w:val="-3"/>
        </w:rPr>
        <w:t>承</w:t>
      </w:r>
      <w:r>
        <w:rPr/>
        <w:t>担给付保险金的责任</w:t>
      </w:r>
      <w:r>
        <w:rPr>
          <w:spacing w:val="-46"/>
        </w:rPr>
        <w:t>，</w:t>
      </w:r>
      <w:r>
        <w:rPr/>
        <w:t>但本</w:t>
      </w:r>
      <w:r>
        <w:rPr>
          <w:spacing w:val="-3"/>
        </w:rPr>
        <w:t>公</w:t>
      </w:r>
      <w:r>
        <w:rPr/>
        <w:t>司通过其他途径已</w:t>
      </w:r>
      <w:r>
        <w:rPr>
          <w:spacing w:val="-3"/>
        </w:rPr>
        <w:t>经</w:t>
      </w:r>
      <w:r>
        <w:rPr/>
        <w:t>及</w:t>
      </w:r>
      <w:r>
        <w:rPr>
          <w:spacing w:val="-3"/>
        </w:rPr>
        <w:t>时</w:t>
      </w:r>
      <w:r>
        <w:rPr/>
        <w:t>知道或应当及时知</w:t>
      </w:r>
      <w:r>
        <w:rPr>
          <w:spacing w:val="-3"/>
        </w:rPr>
        <w:t>道</w:t>
      </w:r>
      <w:r>
        <w:rPr/>
        <w:t>保</w:t>
      </w:r>
      <w:r>
        <w:rPr>
          <w:spacing w:val="-3"/>
        </w:rPr>
        <w:t>险</w:t>
      </w:r>
      <w:r>
        <w:rPr/>
        <w:t>事故发生</w:t>
      </w:r>
      <w:r>
        <w:rPr>
          <w:spacing w:val="-15"/>
        </w:rPr>
        <w:t>，</w:t>
      </w:r>
      <w:r>
        <w:rPr/>
        <w:t>或虽未及</w:t>
      </w:r>
      <w:r>
        <w:rPr>
          <w:spacing w:val="-3"/>
        </w:rPr>
        <w:t>时</w:t>
      </w:r>
      <w:r>
        <w:rPr/>
        <w:t>通知</w:t>
      </w:r>
      <w:r>
        <w:rPr>
          <w:spacing w:val="-3"/>
        </w:rPr>
        <w:t>但</w:t>
      </w:r>
      <w:r>
        <w:rPr/>
        <w:t>不影响本公司确定</w:t>
      </w:r>
      <w:r>
        <w:rPr>
          <w:spacing w:val="-3"/>
        </w:rPr>
        <w:t>保</w:t>
      </w:r>
      <w:r>
        <w:rPr/>
        <w:t>险</w:t>
      </w:r>
      <w:r>
        <w:rPr>
          <w:spacing w:val="-3"/>
        </w:rPr>
        <w:t>事</w:t>
      </w:r>
      <w:r>
        <w:rPr/>
        <w:t>故的性质</w:t>
      </w:r>
      <w:r>
        <w:rPr>
          <w:spacing w:val="-15"/>
        </w:rPr>
        <w:t>、</w:t>
      </w:r>
      <w:r>
        <w:rPr/>
        <w:t>原</w:t>
      </w:r>
      <w:r>
        <w:rPr>
          <w:spacing w:val="-3"/>
        </w:rPr>
        <w:t>因</w:t>
      </w:r>
      <w:r>
        <w:rPr>
          <w:spacing w:val="-15"/>
        </w:rPr>
        <w:t>、</w:t>
      </w:r>
      <w:r>
        <w:rPr/>
        <w:t>损失</w:t>
      </w:r>
      <w:r>
        <w:rPr>
          <w:spacing w:val="-3"/>
        </w:rPr>
        <w:t>程</w:t>
      </w:r>
      <w:r>
        <w:rPr/>
        <w:t>度的除外。</w:t>
      </w:r>
    </w:p>
    <w:p>
      <w:pPr>
        <w:pStyle w:val="BodyText"/>
        <w:spacing w:before="8"/>
      </w:pPr>
    </w:p>
    <w:p>
      <w:pPr>
        <w:spacing w:after="0"/>
        <w:sectPr>
          <w:pgSz w:w="11910" w:h="16840"/>
          <w:pgMar w:header="879" w:footer="999" w:top="1120" w:bottom="1180" w:left="1020" w:right="920"/>
        </w:sectPr>
      </w:pPr>
    </w:p>
    <w:p>
      <w:pPr>
        <w:pStyle w:val="ListParagraph"/>
        <w:numPr>
          <w:ilvl w:val="1"/>
          <w:numId w:val="5"/>
        </w:numPr>
        <w:tabs>
          <w:tab w:pos="1000" w:val="left" w:leader="none"/>
          <w:tab w:pos="1001" w:val="left" w:leader="none"/>
        </w:tabs>
        <w:spacing w:line="273" w:lineRule="auto" w:before="37" w:after="0"/>
        <w:ind w:left="1000" w:right="0" w:hanging="778"/>
        <w:jc w:val="left"/>
        <w:rPr>
          <w:sz w:val="21"/>
        </w:rPr>
      </w:pPr>
      <w:r>
        <w:rPr>
          <w:sz w:val="21"/>
        </w:rPr>
        <w:t>保险金的申请</w:t>
      </w:r>
    </w:p>
    <w:p>
      <w:pPr>
        <w:pStyle w:val="BodyText"/>
        <w:spacing w:line="273" w:lineRule="auto"/>
        <w:ind w:left="214" w:right="296" w:firstLine="420"/>
      </w:pPr>
      <w:r>
        <w:rPr/>
        <w:br w:type="column"/>
      </w:r>
      <w:r>
        <w:rPr/>
        <w:t>1.申请重大疾病保险金时，由被保险人作为申请人填写保险金给付申请书， 并提供下列证明和资料：</w:t>
      </w:r>
    </w:p>
    <w:p>
      <w:pPr>
        <w:pStyle w:val="BodyText"/>
        <w:spacing w:before="7"/>
        <w:ind w:left="634"/>
      </w:pPr>
      <w:r>
        <w:rPr/>
        <w:t>（1）保险合同；</w:t>
      </w:r>
    </w:p>
    <w:p>
      <w:pPr>
        <w:pStyle w:val="BodyText"/>
        <w:spacing w:before="36"/>
        <w:ind w:left="634"/>
      </w:pPr>
      <w:r>
        <w:rPr/>
        <w:t>（2）被保险人的有效身份证件；</w:t>
      </w:r>
    </w:p>
    <w:p>
      <w:pPr>
        <w:pStyle w:val="BodyText"/>
        <w:spacing w:line="273" w:lineRule="auto" w:before="36"/>
        <w:ind w:left="214" w:right="404" w:firstLine="420"/>
      </w:pPr>
      <w:r>
        <w:rPr/>
        <w:t>（3）本公司认可医院出具的附有病历、必要病理检验、血液检验及其他科学方法检验报告的疾病诊断书；</w:t>
      </w:r>
    </w:p>
    <w:p>
      <w:pPr>
        <w:pStyle w:val="BodyText"/>
        <w:spacing w:line="273" w:lineRule="auto" w:before="7"/>
        <w:ind w:left="214" w:right="404" w:firstLine="420"/>
      </w:pPr>
      <w:r>
        <w:rPr/>
        <w:t>（4）所能提供的与确认保险事故的性质、原因、伤害程度等有关的其他证明和资料。</w:t>
      </w:r>
    </w:p>
    <w:p>
      <w:pPr>
        <w:pStyle w:val="BodyText"/>
        <w:spacing w:line="273" w:lineRule="auto" w:before="7"/>
        <w:ind w:left="214" w:right="270" w:firstLine="420"/>
      </w:pPr>
      <w:r>
        <w:rPr/>
        <w:t>2.如申请人为无民事行为能力人或限制民事行为能力人，由其法定代理人代为办理保险金申请。</w:t>
      </w:r>
    </w:p>
    <w:p>
      <w:pPr>
        <w:pStyle w:val="BodyText"/>
        <w:spacing w:before="7"/>
        <w:ind w:left="634"/>
      </w:pPr>
      <w:r>
        <w:rPr/>
        <w:t>3.如委托他人代为申请，应提供授权委托书及受托人的有效身份证件。</w:t>
      </w:r>
    </w:p>
    <w:p>
      <w:pPr>
        <w:pStyle w:val="BodyText"/>
        <w:spacing w:line="273" w:lineRule="auto"/>
        <w:ind w:left="214" w:right="270" w:firstLine="420"/>
      </w:pPr>
      <w:r>
        <w:rPr/>
        <w:t>4.境外出险除按上述规定提供相应的保险金给付申请文件以外，凡由境外当地机构出具的保险金给付申请文件还须：</w:t>
      </w:r>
    </w:p>
    <w:p>
      <w:pPr>
        <w:pStyle w:val="BodyText"/>
        <w:spacing w:before="7"/>
        <w:ind w:left="634"/>
      </w:pPr>
      <w:r>
        <w:rPr/>
        <w:t>（1）当地合法公证机构对文件的有效性及真实性进行公证；</w:t>
      </w:r>
    </w:p>
    <w:p>
      <w:pPr>
        <w:pStyle w:val="BodyText"/>
        <w:spacing w:before="36"/>
        <w:ind w:left="634"/>
      </w:pPr>
      <w:r>
        <w:rPr/>
        <w:t>（2）经中国驻当地所在国使领馆认可。</w:t>
      </w:r>
    </w:p>
    <w:p>
      <w:pPr>
        <w:pStyle w:val="BodyText"/>
        <w:spacing w:line="273" w:lineRule="auto" w:before="36"/>
        <w:ind w:left="214" w:right="507" w:firstLine="420"/>
      </w:pPr>
      <w:r>
        <w:rPr/>
        <w:t>5.本公司认为有关证明和资料不完整的，将及时一次性通知申请人补充提供。</w:t>
      </w:r>
    </w:p>
    <w:p>
      <w:pPr>
        <w:spacing w:after="0" w:line="273" w:lineRule="auto"/>
        <w:sectPr>
          <w:type w:val="continuous"/>
          <w:pgSz w:w="11910" w:h="16840"/>
          <w:pgMar w:top="1120" w:bottom="1180" w:left="1020" w:right="920"/>
          <w:cols w:num="2" w:equalWidth="0">
            <w:col w:w="2057" w:space="40"/>
            <w:col w:w="7873"/>
          </w:cols>
        </w:sectPr>
      </w:pPr>
    </w:p>
    <w:p>
      <w:pPr>
        <w:pStyle w:val="BodyText"/>
        <w:spacing w:before="3"/>
        <w:rPr>
          <w:sz w:val="20"/>
        </w:rPr>
      </w:pPr>
    </w:p>
    <w:p>
      <w:pPr>
        <w:pStyle w:val="Heading2"/>
        <w:numPr>
          <w:ilvl w:val="0"/>
          <w:numId w:val="5"/>
        </w:numPr>
        <w:tabs>
          <w:tab w:pos="1000" w:val="left" w:leader="none"/>
          <w:tab w:pos="1001" w:val="left" w:leader="none"/>
        </w:tabs>
        <w:spacing w:line="240" w:lineRule="auto" w:before="26" w:after="0"/>
        <w:ind w:left="1000" w:right="0" w:hanging="778"/>
        <w:jc w:val="left"/>
      </w:pPr>
      <w:r>
        <w:rPr/>
        <w:pict>
          <v:group style="position:absolute;margin-left:56.738258pt;margin-top:18.915632pt;width:481.95pt;height:1pt;mso-position-horizontal-relative:page;mso-position-vertical-relative:paragraph;z-index:1168;mso-wrap-distance-left:0;mso-wrap-distance-right:0" coordorigin="1135,378" coordsize="9639,20">
            <v:line style="position:absolute" from="1135,388" to="1912,388" stroked="true" strokeweight=".96pt" strokecolor="#000000">
              <v:stroke dashstyle="solid"/>
            </v:line>
            <v:rect style="position:absolute;left:1912;top:378;width:20;height:20" filled="true" fillcolor="#000000" stroked="false">
              <v:fill type="solid"/>
            </v:rect>
            <v:line style="position:absolute" from="1932,388" to="3223,388" stroked="true" strokeweight=".96pt" strokecolor="#000000">
              <v:stroke dashstyle="solid"/>
            </v:line>
            <v:rect style="position:absolute;left:3222;top:378;width:20;height:20" filled="true" fillcolor="#000000" stroked="false">
              <v:fill type="solid"/>
            </v:rect>
            <v:line style="position:absolute" from="3242,388" to="10773,388" stroked="true" strokeweight=".96pt" strokecolor="#000000">
              <v:stroke dashstyle="solid"/>
            </v:line>
            <w10:wrap type="topAndBottom"/>
          </v:group>
        </w:pict>
      </w:r>
      <w:r>
        <w:rPr/>
        <w:t>释义</w:t>
      </w:r>
    </w:p>
    <w:p>
      <w:pPr>
        <w:pStyle w:val="BodyText"/>
        <w:spacing w:before="11"/>
        <w:rPr>
          <w:sz w:val="17"/>
        </w:rPr>
      </w:pPr>
    </w:p>
    <w:p>
      <w:pPr>
        <w:pStyle w:val="ListParagraph"/>
        <w:numPr>
          <w:ilvl w:val="1"/>
          <w:numId w:val="5"/>
        </w:numPr>
        <w:tabs>
          <w:tab w:pos="1001" w:val="left" w:leader="none"/>
        </w:tabs>
        <w:spacing w:line="273" w:lineRule="auto" w:before="36" w:after="0"/>
        <w:ind w:left="2310" w:right="313" w:hanging="2088"/>
        <w:jc w:val="both"/>
        <w:rPr>
          <w:sz w:val="21"/>
        </w:rPr>
      </w:pPr>
      <w:r>
        <w:rPr>
          <w:spacing w:val="-3"/>
          <w:sz w:val="21"/>
        </w:rPr>
        <w:t>认可医院       指二级及以上非盈利性医院、二级及以上社保定点医院或本公司认可的其他</w:t>
      </w:r>
      <w:r>
        <w:rPr>
          <w:spacing w:val="-4"/>
          <w:sz w:val="21"/>
        </w:rPr>
        <w:t>医院。具体可登陆本公司主页</w:t>
      </w:r>
      <w:hyperlink r:id="rId9">
        <w:r>
          <w:rPr>
            <w:spacing w:val="-1"/>
            <w:sz w:val="21"/>
          </w:rPr>
          <w:t>（www.newchinalife.com</w:t>
        </w:r>
      </w:hyperlink>
      <w:r>
        <w:rPr>
          <w:spacing w:val="-1"/>
          <w:sz w:val="21"/>
        </w:rPr>
        <w:t>）</w:t>
      </w:r>
      <w:r>
        <w:rPr>
          <w:spacing w:val="-3"/>
          <w:sz w:val="21"/>
        </w:rPr>
        <w:t>查询或咨询本公司全国</w:t>
      </w:r>
      <w:r>
        <w:rPr>
          <w:spacing w:val="-10"/>
          <w:sz w:val="21"/>
        </w:rPr>
        <w:t>客户服务电话 </w:t>
      </w:r>
      <w:r>
        <w:rPr>
          <w:sz w:val="21"/>
        </w:rPr>
        <w:t>95567。</w:t>
      </w:r>
    </w:p>
    <w:p>
      <w:pPr>
        <w:pStyle w:val="BodyText"/>
        <w:spacing w:before="5"/>
        <w:rPr>
          <w:sz w:val="24"/>
        </w:rPr>
      </w:pPr>
    </w:p>
    <w:p>
      <w:pPr>
        <w:pStyle w:val="ListParagraph"/>
        <w:numPr>
          <w:ilvl w:val="1"/>
          <w:numId w:val="5"/>
        </w:numPr>
        <w:tabs>
          <w:tab w:pos="1000" w:val="left" w:leader="none"/>
          <w:tab w:pos="1001" w:val="left" w:leader="none"/>
          <w:tab w:pos="2730" w:val="left" w:leader="none"/>
        </w:tabs>
        <w:spacing w:line="240" w:lineRule="auto" w:before="0" w:after="0"/>
        <w:ind w:left="2310" w:right="0" w:hanging="2088"/>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310"/>
      </w:pPr>
      <w:r>
        <w:rPr/>
        <w:t>1.具有有效的中华人民共和国《医师资格证书》；</w:t>
      </w:r>
    </w:p>
    <w:p>
      <w:pPr>
        <w:pStyle w:val="BodyText"/>
        <w:ind w:left="2310"/>
      </w:pPr>
      <w:r>
        <w:rPr/>
        <w:t>2.具有有效的中华人民共和国《医师执业证书》，并按期到相关部门登记注册；</w:t>
      </w:r>
    </w:p>
    <w:p>
      <w:pPr>
        <w:pStyle w:val="BodyText"/>
        <w:ind w:left="2310"/>
      </w:pPr>
      <w:r>
        <w:rPr/>
        <w:t>3.具有有效的中华人民共和国主治医师或主治医师以上职称的《医师职称证书》；</w:t>
      </w:r>
    </w:p>
    <w:p>
      <w:pPr>
        <w:pStyle w:val="BodyText"/>
        <w:ind w:left="2310"/>
      </w:pPr>
      <w:r>
        <w:rPr/>
        <w:t>4.在二级或二级以上医院的相应科室从事临床工作三年以上。</w:t>
      </w:r>
    </w:p>
    <w:p>
      <w:pPr>
        <w:pStyle w:val="BodyText"/>
        <w:spacing w:before="11"/>
        <w:rPr>
          <w:sz w:val="23"/>
        </w:rPr>
      </w:pPr>
    </w:p>
    <w:p>
      <w:pPr>
        <w:spacing w:after="0"/>
        <w:rPr>
          <w:sz w:val="23"/>
        </w:rPr>
        <w:sectPr>
          <w:type w:val="continuous"/>
          <w:pgSz w:w="11910" w:h="16840"/>
          <w:pgMar w:top="1120" w:bottom="1180" w:left="1020" w:right="920"/>
        </w:sectPr>
      </w:pPr>
    </w:p>
    <w:p>
      <w:pPr>
        <w:pStyle w:val="ListParagraph"/>
        <w:numPr>
          <w:ilvl w:val="1"/>
          <w:numId w:val="5"/>
        </w:numPr>
        <w:tabs>
          <w:tab w:pos="1000" w:val="left" w:leader="none"/>
          <w:tab w:pos="1001" w:val="left" w:leader="none"/>
        </w:tabs>
        <w:spacing w:line="273" w:lineRule="auto" w:before="37" w:after="0"/>
        <w:ind w:left="1000" w:right="0" w:hanging="778"/>
        <w:jc w:val="left"/>
        <w:rPr>
          <w:sz w:val="21"/>
        </w:rPr>
      </w:pPr>
      <w:r>
        <w:rPr>
          <w:sz w:val="21"/>
        </w:rPr>
        <w:t>本合同所指的重大疾病</w:t>
      </w:r>
    </w:p>
    <w:p>
      <w:pPr>
        <w:pStyle w:val="BodyText"/>
        <w:ind w:left="222"/>
      </w:pPr>
      <w:r>
        <w:rPr/>
        <w:br w:type="column"/>
      </w:r>
      <w:r>
        <w:rPr/>
        <w:t>本合同所指的重大疾病,是指下列疾病、疾病状态或手术：</w:t>
      </w:r>
    </w:p>
    <w:p>
      <w:pPr>
        <w:spacing w:after="0"/>
        <w:sectPr>
          <w:type w:val="continuous"/>
          <w:pgSz w:w="11910" w:h="16840"/>
          <w:pgMar w:top="1120" w:bottom="1180" w:left="1020" w:right="920"/>
          <w:cols w:num="2" w:equalWidth="0">
            <w:col w:w="2057" w:space="451"/>
            <w:col w:w="7462"/>
          </w:cols>
        </w:sectPr>
      </w:pPr>
    </w:p>
    <w:p>
      <w:pPr>
        <w:pStyle w:val="BodyText"/>
        <w:spacing w:before="8"/>
      </w:pPr>
    </w:p>
    <w:p>
      <w:pPr>
        <w:spacing w:after="0"/>
        <w:sectPr>
          <w:type w:val="continuous"/>
          <w:pgSz w:w="11910" w:h="16840"/>
          <w:pgMar w:top="1120" w:bottom="1180" w:left="1020" w:right="920"/>
        </w:sectPr>
      </w:pPr>
    </w:p>
    <w:p>
      <w:pPr>
        <w:pStyle w:val="BodyText"/>
        <w:ind w:left="1000"/>
      </w:pPr>
      <w:r>
        <w:rPr/>
        <w:t>5.3.1</w:t>
      </w:r>
    </w:p>
    <w:p>
      <w:pPr>
        <w:pStyle w:val="BodyText"/>
        <w:ind w:left="1000"/>
      </w:pPr>
      <w:r>
        <w:rPr/>
        <w:t>恶性肿瘤</w:t>
      </w:r>
    </w:p>
    <w:p>
      <w:pPr>
        <w:pStyle w:val="BodyText"/>
        <w:spacing w:line="273" w:lineRule="auto"/>
        <w:ind w:left="425" w:right="315" w:firstLine="420"/>
        <w:jc w:val="both"/>
      </w:pPr>
      <w:r>
        <w:rPr/>
        <w:br w:type="column"/>
      </w:r>
      <w:r>
        <w:rPr>
          <w:spacing w:val="-5"/>
        </w:rPr>
        <w:t>指恶性细胞不受控制的进行性增长和扩散，浸润和破坏周围正常组织，可以</w:t>
      </w:r>
      <w:r>
        <w:rPr>
          <w:spacing w:val="-7"/>
        </w:rPr>
        <w:t>经血管、淋巴管和体腔扩散转移到身体其他部位的疾病。经病理学检查结果明确</w:t>
      </w:r>
      <w:r>
        <w:rPr>
          <w:spacing w:val="-3"/>
        </w:rPr>
        <w:t>诊断，临床诊断属于世界卫生组织《疾病和有关健康问题的国际统计分类》</w:t>
      </w:r>
    </w:p>
    <w:p>
      <w:pPr>
        <w:pStyle w:val="BodyText"/>
        <w:spacing w:before="8"/>
        <w:ind w:left="425"/>
      </w:pPr>
      <w:r>
        <w:rPr/>
        <w:t>（ICD-10）的恶性肿瘤范畴。</w:t>
      </w:r>
    </w:p>
    <w:p>
      <w:pPr>
        <w:pStyle w:val="BodyText"/>
        <w:ind w:left="845"/>
      </w:pPr>
      <w:r>
        <w:rPr/>
        <w:t>下列疾病不在本项保障范围内：</w:t>
      </w:r>
    </w:p>
    <w:p>
      <w:pPr>
        <w:spacing w:after="0"/>
        <w:sectPr>
          <w:type w:val="continuous"/>
          <w:pgSz w:w="11910" w:h="16840"/>
          <w:pgMar w:top="1120" w:bottom="1180" w:left="1020" w:right="920"/>
          <w:cols w:num="2" w:equalWidth="0">
            <w:col w:w="1846" w:space="40"/>
            <w:col w:w="8084"/>
          </w:cols>
        </w:sectPr>
      </w:pPr>
    </w:p>
    <w:p>
      <w:pPr>
        <w:pStyle w:val="BodyText"/>
        <w:spacing w:before="2"/>
        <w:rPr>
          <w:sz w:val="19"/>
        </w:rPr>
      </w:pPr>
    </w:p>
    <w:p>
      <w:pPr>
        <w:pStyle w:val="BodyText"/>
        <w:ind w:left="2593"/>
      </w:pPr>
      <w:r>
        <w:rPr/>
        <w:t>（1）原位癌；</w:t>
      </w:r>
    </w:p>
    <w:p>
      <w:pPr>
        <w:pStyle w:val="BodyText"/>
        <w:ind w:left="2593"/>
      </w:pPr>
      <w:r>
        <w:rPr/>
        <w:t>（2）相当于 Binet 分期方案 A 期程度的慢性淋巴细胞白血病；</w:t>
      </w:r>
    </w:p>
    <w:p>
      <w:pPr>
        <w:pStyle w:val="BodyText"/>
        <w:ind w:left="2593"/>
      </w:pPr>
      <w:r>
        <w:rPr/>
        <w:t>（3）相当于 Ann Arbor 分期方案 I 期程度的何杰金氏病；</w:t>
      </w:r>
    </w:p>
    <w:p>
      <w:pPr>
        <w:pStyle w:val="BodyText"/>
        <w:ind w:left="2593"/>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2170" w:right="392" w:firstLine="422"/>
      </w:pPr>
      <w:r>
        <w:rPr>
          <w:position w:val="1"/>
        </w:rPr>
        <w:t>（5） TNM</w:t>
      </w:r>
      <w:r>
        <w:rPr>
          <w:spacing w:val="-19"/>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1"/>
          <w:position w:val="1"/>
        </w:rPr>
        <w:t>如为女性被保险人，则</w:t>
      </w:r>
      <w:r>
        <w:rPr>
          <w:spacing w:val="-1"/>
          <w:w w:val="100"/>
        </w:rPr>
        <w:t>不包括此项</w:t>
      </w:r>
      <w:r>
        <w:rPr>
          <w:spacing w:val="-106"/>
          <w:w w:val="100"/>
        </w:rPr>
        <w:t>）</w:t>
      </w:r>
      <w:r>
        <w:rPr>
          <w:w w:val="100"/>
        </w:rPr>
        <w:t>；</w:t>
      </w:r>
    </w:p>
    <w:p>
      <w:pPr>
        <w:pStyle w:val="BodyText"/>
        <w:spacing w:before="7"/>
        <w:ind w:left="2593"/>
      </w:pPr>
      <w:r>
        <w:rPr/>
        <w:t>（6）感染艾滋病病毒或患艾滋病期间所患恶性肿瘤。</w:t>
      </w:r>
    </w:p>
    <w:p>
      <w:pPr>
        <w:pStyle w:val="BodyText"/>
        <w:spacing w:before="11"/>
        <w:rPr>
          <w:sz w:val="23"/>
        </w:rPr>
      </w:pPr>
    </w:p>
    <w:p>
      <w:pPr>
        <w:spacing w:after="0"/>
        <w:rPr>
          <w:sz w:val="23"/>
        </w:rPr>
        <w:sectPr>
          <w:pgSz w:w="11910" w:h="16840"/>
          <w:pgMar w:header="879" w:footer="999" w:top="1120" w:bottom="1180" w:left="1160" w:right="920"/>
        </w:sectPr>
      </w:pPr>
    </w:p>
    <w:p>
      <w:pPr>
        <w:pStyle w:val="BodyText"/>
        <w:ind w:left="860"/>
      </w:pPr>
      <w:r>
        <w:rPr/>
        <w:t>5.3.2</w:t>
      </w:r>
    </w:p>
    <w:p>
      <w:pPr>
        <w:pStyle w:val="BodyText"/>
        <w:spacing w:line="273" w:lineRule="auto"/>
        <w:ind w:left="860"/>
        <w:jc w:val="both"/>
      </w:pPr>
      <w:r>
        <w:rPr/>
        <w:t>重大器官移植术或造血干细胞移植术</w:t>
      </w:r>
    </w:p>
    <w:p>
      <w:pPr>
        <w:pStyle w:val="BodyText"/>
        <w:spacing w:line="273" w:lineRule="auto"/>
        <w:ind w:left="214" w:right="315" w:firstLine="420"/>
        <w:jc w:val="both"/>
      </w:pPr>
      <w:r>
        <w:rPr/>
        <w:br w:type="column"/>
      </w:r>
      <w:r>
        <w:rPr>
          <w:spacing w:val="-7"/>
        </w:rPr>
        <w:t>重大器官移植术，指因相应器官功能衰竭，已经实施了肾脏、肝脏、心脏或</w:t>
      </w:r>
      <w:r>
        <w:rPr>
          <w:spacing w:val="-5"/>
        </w:rPr>
        <w:t>肺脏的异体移植手术。</w:t>
      </w:r>
    </w:p>
    <w:p>
      <w:pPr>
        <w:pStyle w:val="BodyText"/>
        <w:spacing w:line="273" w:lineRule="auto" w:before="8"/>
        <w:ind w:left="214" w:right="315" w:firstLine="422"/>
        <w:jc w:val="both"/>
      </w:pPr>
      <w:r>
        <w:rPr>
          <w:spacing w:val="-5"/>
        </w:rPr>
        <w:t>造血干细胞移植术，指因造血功能损害或造血系统恶性肿瘤，已经实施了造</w:t>
      </w:r>
      <w:r>
        <w:rPr>
          <w:spacing w:val="-6"/>
        </w:rPr>
        <w:t>血干细胞</w:t>
      </w:r>
      <w:r>
        <w:rPr/>
        <w:t>（</w:t>
      </w:r>
      <w:r>
        <w:rPr>
          <w:spacing w:val="-4"/>
        </w:rPr>
        <w:t>包括骨髓造血干细胞、外周血造血干细胞和脐血造血干细胞</w:t>
      </w:r>
      <w:r>
        <w:rPr>
          <w:spacing w:val="-8"/>
        </w:rPr>
        <w:t>）</w:t>
      </w:r>
      <w:r>
        <w:rPr>
          <w:spacing w:val="-2"/>
        </w:rPr>
        <w:t>的异体移植手术。</w:t>
      </w:r>
    </w:p>
    <w:p>
      <w:pPr>
        <w:spacing w:after="0" w:line="273" w:lineRule="auto"/>
        <w:jc w:val="both"/>
        <w:sectPr>
          <w:type w:val="continuous"/>
          <w:pgSz w:w="11910" w:h="16840"/>
          <w:pgMar w:top="1120" w:bottom="1180" w:left="1160" w:right="920"/>
          <w:cols w:num="2" w:equalWidth="0">
            <w:col w:w="1917" w:space="40"/>
            <w:col w:w="7873"/>
          </w:cols>
        </w:sectPr>
      </w:pPr>
    </w:p>
    <w:p>
      <w:pPr>
        <w:pStyle w:val="BodyText"/>
        <w:spacing w:before="8"/>
      </w:pPr>
    </w:p>
    <w:p>
      <w:pPr>
        <w:spacing w:after="0"/>
        <w:sectPr>
          <w:type w:val="continuous"/>
          <w:pgSz w:w="11910" w:h="16840"/>
          <w:pgMar w:top="1120" w:bottom="1180" w:left="1160" w:right="920"/>
        </w:sectPr>
      </w:pPr>
    </w:p>
    <w:p>
      <w:pPr>
        <w:pStyle w:val="BodyText"/>
        <w:spacing w:before="36"/>
        <w:ind w:left="860"/>
      </w:pPr>
      <w:r>
        <w:rPr/>
        <w:t>5.3.3</w:t>
      </w:r>
    </w:p>
    <w:p>
      <w:pPr>
        <w:pStyle w:val="BodyText"/>
        <w:spacing w:before="36"/>
        <w:ind w:left="860"/>
      </w:pPr>
      <w:r>
        <w:rPr/>
        <w:t>终末期肾病</w:t>
      </w:r>
    </w:p>
    <w:p>
      <w:pPr>
        <w:pStyle w:val="BodyText"/>
        <w:spacing w:line="273" w:lineRule="auto" w:before="36"/>
        <w:ind w:left="860"/>
        <w:jc w:val="both"/>
      </w:pPr>
      <w:r>
        <w:rPr/>
        <w:t>（或称慢性肾功能衰竭尿毒症期）</w:t>
      </w:r>
    </w:p>
    <w:p>
      <w:pPr>
        <w:pStyle w:val="BodyText"/>
        <w:spacing w:line="273" w:lineRule="auto" w:before="36"/>
        <w:ind w:left="214" w:right="313" w:firstLine="420"/>
      </w:pPr>
      <w:r>
        <w:rPr/>
        <w:br w:type="column"/>
      </w:r>
      <w:r>
        <w:rPr>
          <w:spacing w:val="-9"/>
        </w:rPr>
        <w:t>指双肾功能慢性不可逆性衰竭，达到尿毒症期，经诊断后已经进行了至少 </w:t>
      </w:r>
      <w:r>
        <w:rPr/>
        <w:t>90 </w:t>
      </w:r>
      <w:r>
        <w:rPr>
          <w:spacing w:val="-3"/>
        </w:rPr>
        <w:t>天的规律性透析治疗或实施了肾脏移植手术。</w:t>
      </w:r>
    </w:p>
    <w:p>
      <w:pPr>
        <w:spacing w:after="0" w:line="273" w:lineRule="auto"/>
        <w:sectPr>
          <w:type w:val="continuous"/>
          <w:pgSz w:w="11910" w:h="16840"/>
          <w:pgMar w:top="1120" w:bottom="1180" w:left="1160" w:right="920"/>
          <w:cols w:num="2" w:equalWidth="0">
            <w:col w:w="1917" w:space="40"/>
            <w:col w:w="7873"/>
          </w:cols>
        </w:sectPr>
      </w:pPr>
    </w:p>
    <w:p>
      <w:pPr>
        <w:pStyle w:val="BodyText"/>
        <w:spacing w:before="8"/>
      </w:pPr>
    </w:p>
    <w:p>
      <w:pPr>
        <w:spacing w:after="0"/>
        <w:sectPr>
          <w:type w:val="continuous"/>
          <w:pgSz w:w="11910" w:h="16840"/>
          <w:pgMar w:top="1120" w:bottom="1180" w:left="1160" w:right="920"/>
        </w:sectPr>
      </w:pPr>
    </w:p>
    <w:p>
      <w:pPr>
        <w:pStyle w:val="BodyText"/>
        <w:spacing w:before="36"/>
        <w:ind w:left="860"/>
      </w:pPr>
      <w:r>
        <w:rPr/>
        <w:t>5.3.4</w:t>
      </w:r>
    </w:p>
    <w:p>
      <w:pPr>
        <w:pStyle w:val="BodyText"/>
        <w:spacing w:line="273" w:lineRule="auto"/>
        <w:ind w:left="860"/>
      </w:pPr>
      <w:r>
        <w:rPr/>
        <w:t>多个肢体缺失</w:t>
      </w:r>
    </w:p>
    <w:p>
      <w:pPr>
        <w:pStyle w:val="BodyText"/>
        <w:spacing w:line="273" w:lineRule="auto" w:before="36"/>
        <w:ind w:left="176" w:right="270"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160" w:right="920"/>
          <w:cols w:num="2" w:equalWidth="0">
            <w:col w:w="1955" w:space="40"/>
            <w:col w:w="7835"/>
          </w:cols>
        </w:sectPr>
      </w:pPr>
    </w:p>
    <w:p>
      <w:pPr>
        <w:pStyle w:val="BodyText"/>
        <w:spacing w:before="8"/>
      </w:pPr>
    </w:p>
    <w:p>
      <w:pPr>
        <w:spacing w:after="0"/>
        <w:sectPr>
          <w:type w:val="continuous"/>
          <w:pgSz w:w="11910" w:h="16840"/>
          <w:pgMar w:top="1120" w:bottom="1180" w:left="1160" w:right="920"/>
        </w:sectPr>
      </w:pPr>
    </w:p>
    <w:p>
      <w:pPr>
        <w:pStyle w:val="BodyText"/>
        <w:ind w:left="860"/>
      </w:pPr>
      <w:r>
        <w:rPr/>
        <w:t>5.3.5</w:t>
      </w:r>
    </w:p>
    <w:p>
      <w:pPr>
        <w:pStyle w:val="BodyText"/>
        <w:spacing w:line="273" w:lineRule="auto"/>
        <w:ind w:left="860"/>
      </w:pPr>
      <w:r>
        <w:rPr/>
        <w:t>急性或亚急性重症肝炎</w:t>
      </w:r>
    </w:p>
    <w:p>
      <w:pPr>
        <w:pStyle w:val="BodyText"/>
        <w:spacing w:line="273" w:lineRule="auto"/>
        <w:ind w:left="176" w:right="287" w:firstLine="420"/>
      </w:pPr>
      <w:r>
        <w:rPr/>
        <w:br w:type="column"/>
      </w:r>
      <w:r>
        <w:rPr/>
        <w:t>指因肝炎病毒感染引起肝脏组织弥漫性坏死，导致急性肝功能衰竭，且经血清学或病毒学检查证实，并须满足下列全部条件：</w:t>
      </w:r>
    </w:p>
    <w:p>
      <w:pPr>
        <w:pStyle w:val="BodyText"/>
        <w:spacing w:before="7"/>
        <w:ind w:left="492"/>
      </w:pPr>
      <w:r>
        <w:rPr/>
        <w:t>（1）重度黄疸或黄疸迅速加重；</w:t>
      </w:r>
    </w:p>
    <w:p>
      <w:pPr>
        <w:pStyle w:val="BodyText"/>
        <w:spacing w:before="36"/>
        <w:ind w:left="492"/>
      </w:pPr>
      <w:r>
        <w:rPr/>
        <w:t>（2）肝性脑病；</w:t>
      </w:r>
    </w:p>
    <w:p>
      <w:pPr>
        <w:pStyle w:val="BodyText"/>
        <w:spacing w:before="36"/>
        <w:ind w:left="492"/>
      </w:pPr>
      <w:r>
        <w:rPr/>
        <w:t>（3）B 超或其他影像学检查显示肝脏体积急速萎缩；</w:t>
      </w:r>
    </w:p>
    <w:p>
      <w:pPr>
        <w:pStyle w:val="BodyText"/>
        <w:spacing w:before="36"/>
        <w:ind w:left="492"/>
      </w:pPr>
      <w:r>
        <w:rPr/>
        <w:t>（4）肝功能指标进行性恶化。</w:t>
      </w:r>
    </w:p>
    <w:p>
      <w:pPr>
        <w:spacing w:after="0"/>
        <w:sectPr>
          <w:type w:val="continuous"/>
          <w:pgSz w:w="11910" w:h="16840"/>
          <w:pgMar w:top="1120" w:bottom="1180" w:left="1160" w:right="920"/>
          <w:cols w:num="2" w:equalWidth="0">
            <w:col w:w="1955" w:space="40"/>
            <w:col w:w="7835"/>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BodyText"/>
        <w:spacing w:before="36"/>
        <w:ind w:left="860"/>
      </w:pPr>
      <w:r>
        <w:rPr/>
        <w:t>5.3.6</w:t>
      </w:r>
    </w:p>
    <w:p>
      <w:pPr>
        <w:pStyle w:val="BodyText"/>
        <w:spacing w:before="36"/>
        <w:ind w:left="860"/>
      </w:pPr>
      <w:r>
        <w:rPr/>
        <w:t>良性脑肿瘤</w:t>
      </w:r>
    </w:p>
    <w:p>
      <w:pPr>
        <w:pStyle w:val="BodyText"/>
        <w:spacing w:line="273" w:lineRule="auto" w:before="36"/>
        <w:ind w:left="214" w:right="315" w:firstLine="420"/>
      </w:pPr>
      <w:r>
        <w:rPr/>
        <w:br w:type="column"/>
      </w:r>
      <w:r>
        <w:rPr>
          <w:spacing w:val="-5"/>
        </w:rPr>
        <w:t>指脑的良性肿瘤，已经引起颅内压增高，临床表现为视神经乳头水肿、精神</w:t>
      </w:r>
      <w:r>
        <w:rPr>
          <w:spacing w:val="-4"/>
          <w:w w:val="100"/>
        </w:rPr>
        <w:t>症状、癫痫及运动感觉障碍等，并危及生命。须由头颅断层扫描</w:t>
      </w:r>
      <w:r>
        <w:rPr>
          <w:spacing w:val="-3"/>
          <w:w w:val="100"/>
        </w:rPr>
        <w:t>（</w:t>
      </w:r>
      <w:r>
        <w:rPr>
          <w:w w:val="100"/>
        </w:rPr>
        <w:t>CT</w:t>
      </w:r>
      <w:r>
        <w:rPr>
          <w:spacing w:val="-108"/>
          <w:w w:val="100"/>
        </w:rPr>
        <w:t>）</w:t>
      </w:r>
      <w:r>
        <w:rPr>
          <w:spacing w:val="-3"/>
          <w:w w:val="100"/>
        </w:rPr>
        <w:t>、核磁共</w:t>
      </w:r>
      <w:r>
        <w:rPr>
          <w:spacing w:val="-3"/>
        </w:rPr>
        <w:t>振检查</w:t>
      </w:r>
      <w:r>
        <w:rPr>
          <w:spacing w:val="-1"/>
        </w:rPr>
        <w:t>（MRI）</w:t>
      </w:r>
      <w:r>
        <w:rPr>
          <w:spacing w:val="-4"/>
        </w:rPr>
        <w:t>或正电子发射断层扫描</w:t>
      </w:r>
      <w:r>
        <w:rPr/>
        <w:t>（PET）</w:t>
      </w:r>
      <w:r>
        <w:rPr>
          <w:spacing w:val="-4"/>
        </w:rPr>
        <w:t>等影像学检查证实，并须满足下列</w:t>
      </w:r>
      <w:r>
        <w:rPr>
          <w:spacing w:val="-3"/>
        </w:rPr>
        <w:t>至少一项条件：</w:t>
      </w:r>
    </w:p>
    <w:p>
      <w:pPr>
        <w:pStyle w:val="BodyText"/>
        <w:spacing w:before="7"/>
        <w:ind w:left="531"/>
      </w:pPr>
      <w:r>
        <w:rPr/>
        <w:t>（1）实际实施了开颅进行的脑肿瘤完全切除或部分切除的手术；</w:t>
      </w:r>
    </w:p>
    <w:p>
      <w:pPr>
        <w:pStyle w:val="BodyText"/>
        <w:ind w:left="531"/>
      </w:pPr>
      <w:r>
        <w:rPr/>
        <w:t>（2）实际实施了对脑肿瘤进行的放射治疗。</w:t>
      </w:r>
    </w:p>
    <w:p>
      <w:pPr>
        <w:pStyle w:val="BodyText"/>
        <w:ind w:left="636"/>
      </w:pPr>
      <w:r>
        <w:rPr/>
        <w:t>脑垂体瘤、脑囊肿、脑血管性疾病不在保障范围内。</w:t>
      </w:r>
    </w:p>
    <w:p>
      <w:pPr>
        <w:spacing w:after="0"/>
        <w:sectPr>
          <w:type w:val="continuous"/>
          <w:pgSz w:w="11910" w:h="16840"/>
          <w:pgMar w:top="1120" w:bottom="1180" w:left="1160" w:right="920"/>
          <w:cols w:num="2" w:equalWidth="0">
            <w:col w:w="1917" w:space="40"/>
            <w:col w:w="7873"/>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BodyText"/>
        <w:ind w:left="860"/>
      </w:pPr>
      <w:r>
        <w:rPr/>
        <w:t>5.3.7</w:t>
      </w:r>
    </w:p>
    <w:p>
      <w:pPr>
        <w:pStyle w:val="BodyText"/>
        <w:spacing w:line="273" w:lineRule="auto"/>
        <w:ind w:left="860"/>
        <w:jc w:val="both"/>
      </w:pPr>
      <w:r>
        <w:rPr/>
        <w:t>慢性肝功能衰竭失代偿期</w:t>
      </w:r>
    </w:p>
    <w:p>
      <w:pPr>
        <w:pStyle w:val="BodyText"/>
        <w:ind w:left="596"/>
      </w:pPr>
      <w:r>
        <w:rPr/>
        <w:br w:type="column"/>
      </w:r>
      <w:r>
        <w:rPr/>
        <w:t>指因慢性肝脏疾病导致肝功能衰竭。须满足下列全部条件：</w:t>
      </w:r>
    </w:p>
    <w:p>
      <w:pPr>
        <w:pStyle w:val="BodyText"/>
        <w:ind w:left="596"/>
      </w:pPr>
      <w:r>
        <w:rPr/>
        <w:t>（1）持续性黄疸；</w:t>
      </w:r>
    </w:p>
    <w:p>
      <w:pPr>
        <w:pStyle w:val="BodyText"/>
        <w:ind w:left="596"/>
      </w:pPr>
      <w:r>
        <w:rPr/>
        <w:t>（2）腹水；</w:t>
      </w:r>
    </w:p>
    <w:p>
      <w:pPr>
        <w:pStyle w:val="BodyText"/>
        <w:ind w:left="596"/>
      </w:pPr>
      <w:r>
        <w:rPr/>
        <w:t>（3）肝性脑病；</w:t>
      </w:r>
    </w:p>
    <w:p>
      <w:pPr>
        <w:pStyle w:val="BodyText"/>
        <w:spacing w:line="273" w:lineRule="auto"/>
        <w:ind w:left="598" w:right="2084"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160" w:right="920"/>
          <w:cols w:num="2" w:equalWidth="0">
            <w:col w:w="1955" w:space="40"/>
            <w:col w:w="7835"/>
          </w:cols>
        </w:sectPr>
      </w:pPr>
    </w:p>
    <w:p>
      <w:pPr>
        <w:pStyle w:val="BodyText"/>
        <w:spacing w:before="2"/>
        <w:rPr>
          <w:sz w:val="19"/>
        </w:rPr>
      </w:pPr>
    </w:p>
    <w:p>
      <w:pPr>
        <w:spacing w:after="0"/>
        <w:rPr>
          <w:sz w:val="19"/>
        </w:rPr>
        <w:sectPr>
          <w:pgSz w:w="11910" w:h="16840"/>
          <w:pgMar w:header="879" w:footer="999" w:top="1120" w:bottom="1180" w:left="1160" w:right="920"/>
        </w:sectPr>
      </w:pPr>
    </w:p>
    <w:p>
      <w:pPr>
        <w:pStyle w:val="BodyText"/>
        <w:ind w:left="860"/>
      </w:pPr>
      <w:r>
        <w:rPr/>
        <w:t>5.3.8</w:t>
      </w:r>
    </w:p>
    <w:p>
      <w:pPr>
        <w:pStyle w:val="BodyText"/>
        <w:spacing w:line="273" w:lineRule="auto"/>
        <w:ind w:left="860"/>
        <w:jc w:val="both"/>
      </w:pPr>
      <w:r>
        <w:rPr/>
        <w:t>脑炎后遗症或脑膜炎后遗症</w:t>
      </w:r>
    </w:p>
    <w:p>
      <w:pPr>
        <w:pStyle w:val="BodyText"/>
        <w:spacing w:line="273" w:lineRule="auto"/>
        <w:ind w:left="214" w:right="272"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8"/>
        <w:ind w:left="634"/>
      </w:pPr>
      <w:r>
        <w:rPr/>
        <w:t>（1）一肢或一肢以上肢体机能完全丧失；</w:t>
      </w:r>
    </w:p>
    <w:p>
      <w:pPr>
        <w:pStyle w:val="BodyText"/>
        <w:ind w:left="634"/>
      </w:pPr>
      <w:r>
        <w:rPr/>
        <w:t>（2）语言能力或咀嚼吞咽能力完全丧失；</w:t>
      </w:r>
    </w:p>
    <w:p>
      <w:pPr>
        <w:pStyle w:val="BodyText"/>
        <w:spacing w:line="273" w:lineRule="auto"/>
        <w:ind w:left="214" w:right="318" w:firstLine="422"/>
      </w:pPr>
      <w:r>
        <w:rPr/>
        <w:t>（3）自主生活能力完全丧失，无法独立完成六项基本日常生活活动中的三项或三项以上。</w:t>
      </w:r>
    </w:p>
    <w:p>
      <w:pPr>
        <w:spacing w:after="0" w:line="273" w:lineRule="auto"/>
        <w:sectPr>
          <w:type w:val="continuous"/>
          <w:pgSz w:w="11910" w:h="16840"/>
          <w:pgMar w:top="1120" w:bottom="1180" w:left="1160" w:right="920"/>
          <w:cols w:num="2" w:equalWidth="0">
            <w:col w:w="1917" w:space="40"/>
            <w:col w:w="7873"/>
          </w:cols>
        </w:sectPr>
      </w:pPr>
    </w:p>
    <w:p>
      <w:pPr>
        <w:pStyle w:val="BodyText"/>
        <w:spacing w:before="8"/>
      </w:pPr>
    </w:p>
    <w:p>
      <w:pPr>
        <w:spacing w:after="0"/>
        <w:sectPr>
          <w:type w:val="continuous"/>
          <w:pgSz w:w="11910" w:h="16840"/>
          <w:pgMar w:top="1120" w:bottom="1180" w:left="1160" w:right="920"/>
        </w:sectPr>
      </w:pPr>
    </w:p>
    <w:p>
      <w:pPr>
        <w:pStyle w:val="BodyText"/>
        <w:ind w:left="860"/>
      </w:pPr>
      <w:r>
        <w:rPr/>
        <w:t>5.3.9</w:t>
      </w:r>
    </w:p>
    <w:p>
      <w:pPr>
        <w:pStyle w:val="BodyText"/>
        <w:ind w:left="860"/>
      </w:pPr>
      <w:r>
        <w:rPr/>
        <w:t>双耳失聪</w:t>
      </w:r>
    </w:p>
    <w:p>
      <w:pPr>
        <w:pStyle w:val="BodyText"/>
        <w:spacing w:before="92"/>
        <w:ind w:left="845"/>
      </w:pPr>
      <w:r>
        <w:rPr/>
        <w:br w:type="column"/>
      </w:r>
      <w:r>
        <w:rPr/>
        <w:t>指因疾病或意外伤害导致双耳听力永久不可逆性丧失，在 500 赫兹、1000</w:t>
      </w:r>
    </w:p>
    <w:p>
      <w:pPr>
        <w:pStyle w:val="BodyText"/>
        <w:spacing w:line="314" w:lineRule="auto" w:before="85"/>
        <w:ind w:left="425" w:right="268"/>
      </w:pPr>
      <w:r>
        <w:rPr/>
        <w:t>赫兹和 2000 赫兹语音频率下，平均听阈大于 90 分贝，且经纯音听力测试、声导抗检测或听觉诱发电位检测等证实。</w:t>
      </w:r>
    </w:p>
    <w:p>
      <w:pPr>
        <w:pStyle w:val="BodyText"/>
        <w:spacing w:line="240" w:lineRule="exact" w:before="0"/>
        <w:ind w:left="847"/>
      </w:pPr>
      <w:r>
        <w:rPr/>
        <w:t>除内耳结构损伤等情形外，被保险人申请理赔时年龄必须在三周岁以上，并</w:t>
      </w:r>
    </w:p>
    <w:p>
      <w:pPr>
        <w:pStyle w:val="BodyText"/>
        <w:ind w:left="425"/>
      </w:pPr>
      <w:r>
        <w:rPr/>
        <w:t>且提供理赔当时的听力丧失诊断及检查证据。</w:t>
      </w:r>
    </w:p>
    <w:p>
      <w:pPr>
        <w:spacing w:after="0"/>
        <w:sectPr>
          <w:type w:val="continuous"/>
          <w:pgSz w:w="11910" w:h="16840"/>
          <w:pgMar w:top="1120" w:bottom="1180" w:left="1160" w:right="920"/>
          <w:cols w:num="2" w:equalWidth="0">
            <w:col w:w="1706" w:space="40"/>
            <w:col w:w="8084"/>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BodyText"/>
        <w:ind w:left="860"/>
      </w:pPr>
      <w:r>
        <w:rPr/>
        <w:t>5.3.10</w:t>
      </w:r>
    </w:p>
    <w:p>
      <w:pPr>
        <w:pStyle w:val="BodyText"/>
        <w:ind w:left="860"/>
      </w:pPr>
      <w:r>
        <w:rPr/>
        <w:t>双目失明</w:t>
      </w:r>
    </w:p>
    <w:p>
      <w:pPr>
        <w:pStyle w:val="BodyText"/>
        <w:spacing w:line="273" w:lineRule="auto"/>
        <w:ind w:left="425" w:right="266" w:firstLine="429"/>
      </w:pPr>
      <w:r>
        <w:rPr/>
        <w:br w:type="column"/>
      </w:r>
      <w:r>
        <w:rPr/>
        <w:t>指因疾病或意外伤害导致双眼视力永久不可逆性丧失，双眼中较好眼须满足下列至少一项条件：</w:t>
      </w:r>
    </w:p>
    <w:p>
      <w:pPr>
        <w:pStyle w:val="BodyText"/>
        <w:spacing w:before="7"/>
        <w:ind w:left="855"/>
      </w:pPr>
      <w:r>
        <w:rPr/>
        <w:t>（1）眼球缺失或摘除；</w:t>
      </w:r>
    </w:p>
    <w:p>
      <w:pPr>
        <w:pStyle w:val="BodyText"/>
        <w:spacing w:line="273" w:lineRule="auto" w:before="36"/>
        <w:ind w:left="425" w:right="315" w:firstLine="429"/>
      </w:pPr>
      <w:r>
        <w:rPr>
          <w:spacing w:val="-4"/>
        </w:rPr>
        <w:t>（2）</w:t>
      </w:r>
      <w:r>
        <w:rPr>
          <w:spacing w:val="1"/>
        </w:rPr>
        <w:t>矫正视力低于 </w:t>
      </w:r>
      <w:r>
        <w:rPr>
          <w:spacing w:val="-4"/>
        </w:rPr>
        <w:t>0.02（采用国际标准视力表，如使用其他视力表应进行</w:t>
      </w:r>
      <w:r>
        <w:rPr>
          <w:spacing w:val="-4"/>
          <w:w w:val="100"/>
        </w:rPr>
        <w:t>换算</w:t>
      </w:r>
      <w:r>
        <w:rPr>
          <w:spacing w:val="-108"/>
          <w:w w:val="100"/>
        </w:rPr>
        <w:t>）</w:t>
      </w:r>
      <w:r>
        <w:rPr>
          <w:w w:val="100"/>
        </w:rPr>
        <w:t>；</w:t>
      </w:r>
    </w:p>
    <w:p>
      <w:pPr>
        <w:pStyle w:val="BodyText"/>
        <w:spacing w:before="7"/>
        <w:ind w:left="855"/>
      </w:pPr>
      <w:r>
        <w:rPr/>
        <w:t>（3）视野半径小于 5 度。</w:t>
      </w:r>
    </w:p>
    <w:p>
      <w:pPr>
        <w:pStyle w:val="BodyText"/>
        <w:spacing w:line="273" w:lineRule="auto"/>
        <w:ind w:left="425" w:right="272" w:firstLine="422"/>
      </w:pPr>
      <w:r>
        <w:rPr/>
        <w:t>除眼球缺失或摘除等情形外，被保险人申请理赔时年龄必须在三周岁以上， 并且提供理赔当时的视力丧失诊断及检查证据。</w:t>
      </w:r>
    </w:p>
    <w:p>
      <w:pPr>
        <w:spacing w:after="0" w:line="273" w:lineRule="auto"/>
        <w:sectPr>
          <w:type w:val="continuous"/>
          <w:pgSz w:w="11910" w:h="16840"/>
          <w:pgMar w:top="1120" w:bottom="1180" w:left="1160" w:right="920"/>
          <w:cols w:num="2" w:equalWidth="0">
            <w:col w:w="1706" w:space="40"/>
            <w:col w:w="8084"/>
          </w:cols>
        </w:sectPr>
      </w:pPr>
    </w:p>
    <w:p>
      <w:pPr>
        <w:pStyle w:val="BodyText"/>
        <w:spacing w:before="8"/>
      </w:pPr>
    </w:p>
    <w:p>
      <w:pPr>
        <w:spacing w:after="0"/>
        <w:sectPr>
          <w:type w:val="continuous"/>
          <w:pgSz w:w="11910" w:h="16840"/>
          <w:pgMar w:top="1120" w:bottom="1180" w:left="1160" w:right="920"/>
        </w:sectPr>
      </w:pPr>
    </w:p>
    <w:p>
      <w:pPr>
        <w:pStyle w:val="BodyText"/>
        <w:ind w:left="860"/>
      </w:pPr>
      <w:r>
        <w:rPr/>
        <w:t>5.3.11</w:t>
      </w:r>
    </w:p>
    <w:p>
      <w:pPr>
        <w:pStyle w:val="BodyText"/>
        <w:ind w:left="860"/>
      </w:pPr>
      <w:r>
        <w:rPr/>
        <w:t>严重脑损伤</w:t>
      </w:r>
    </w:p>
    <w:p>
      <w:pPr>
        <w:pStyle w:val="BodyText"/>
        <w:spacing w:line="273" w:lineRule="auto"/>
        <w:ind w:left="214" w:right="313" w:firstLine="420"/>
      </w:pPr>
      <w:r>
        <w:rPr/>
        <w:br w:type="column"/>
      </w:r>
      <w:r>
        <w:rPr>
          <w:spacing w:val="-5"/>
        </w:rPr>
        <w:t>指因头部遭受机械性外力，引起脑重要部位损伤，导致神经系统永久性的功</w:t>
      </w:r>
      <w:r>
        <w:rPr>
          <w:spacing w:val="-4"/>
          <w:w w:val="100"/>
        </w:rPr>
        <w:t>能障碍。须由头颅断层扫描</w:t>
      </w:r>
      <w:r>
        <w:rPr>
          <w:spacing w:val="-3"/>
          <w:w w:val="100"/>
        </w:rPr>
        <w:t>（</w:t>
      </w:r>
      <w:r>
        <w:rPr>
          <w:w w:val="100"/>
        </w:rPr>
        <w:t>CT</w:t>
      </w:r>
      <w:r>
        <w:rPr>
          <w:spacing w:val="-108"/>
          <w:w w:val="100"/>
        </w:rPr>
        <w:t>）</w:t>
      </w:r>
      <w:r>
        <w:rPr>
          <w:spacing w:val="-4"/>
          <w:w w:val="100"/>
        </w:rPr>
        <w:t>、核磁共振检查</w:t>
      </w:r>
      <w:r>
        <w:rPr>
          <w:spacing w:val="-3"/>
          <w:w w:val="100"/>
        </w:rPr>
        <w:t>（</w:t>
      </w:r>
      <w:r>
        <w:rPr>
          <w:w w:val="100"/>
        </w:rPr>
        <w:t>MR</w:t>
      </w:r>
      <w:r>
        <w:rPr>
          <w:spacing w:val="-3"/>
          <w:w w:val="100"/>
        </w:rPr>
        <w:t>I）或正电子发射断层扫描</w:t>
      </w:r>
    </w:p>
    <w:p>
      <w:pPr>
        <w:pStyle w:val="BodyText"/>
        <w:spacing w:line="273" w:lineRule="auto" w:before="7"/>
        <w:ind w:left="214" w:right="271"/>
      </w:pPr>
      <w:r>
        <w:rPr/>
        <w:t>（PET）等影像学检查证实。神经系统永久性的功能障碍，指脑损伤 180 天后， 仍遗留下列一种或一种以上障碍：</w:t>
      </w:r>
    </w:p>
    <w:p>
      <w:pPr>
        <w:pStyle w:val="BodyText"/>
        <w:spacing w:before="7"/>
        <w:ind w:left="634"/>
      </w:pPr>
      <w:r>
        <w:rPr/>
        <w:t>（1）一肢或一肢以上肢体机能完全丧失；</w:t>
      </w:r>
    </w:p>
    <w:p>
      <w:pPr>
        <w:pStyle w:val="BodyText"/>
        <w:ind w:left="634"/>
      </w:pPr>
      <w:r>
        <w:rPr/>
        <w:t>（2）语言能力或咀嚼吞咽能力完全丧失；</w:t>
      </w:r>
    </w:p>
    <w:p>
      <w:pPr>
        <w:pStyle w:val="BodyText"/>
        <w:spacing w:line="273" w:lineRule="auto"/>
        <w:ind w:left="214" w:right="404"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20"/>
          <w:cols w:num="2" w:equalWidth="0">
            <w:col w:w="1917" w:space="40"/>
            <w:col w:w="7873"/>
          </w:cols>
        </w:sectPr>
      </w:pPr>
    </w:p>
    <w:p>
      <w:pPr>
        <w:pStyle w:val="BodyText"/>
        <w:spacing w:before="8"/>
      </w:pPr>
    </w:p>
    <w:p>
      <w:pPr>
        <w:spacing w:after="0"/>
        <w:sectPr>
          <w:type w:val="continuous"/>
          <w:pgSz w:w="11910" w:h="16840"/>
          <w:pgMar w:top="1120" w:bottom="1180" w:left="1160" w:right="920"/>
        </w:sectPr>
      </w:pPr>
    </w:p>
    <w:p>
      <w:pPr>
        <w:pStyle w:val="BodyText"/>
        <w:ind w:left="860"/>
      </w:pPr>
      <w:r>
        <w:rPr/>
        <w:t>5.3.12</w:t>
      </w:r>
      <w:r>
        <w:rPr>
          <w:spacing w:val="-20"/>
        </w:rPr>
        <w:t> 严重</w:t>
      </w:r>
    </w:p>
    <w:p>
      <w:pPr>
        <w:pStyle w:val="BodyText"/>
        <w:ind w:left="860"/>
      </w:pPr>
      <w:r>
        <w:rPr/>
        <w:t>Ⅲ度烧伤</w:t>
      </w:r>
    </w:p>
    <w:p>
      <w:pPr>
        <w:pStyle w:val="BodyText"/>
        <w:spacing w:line="273" w:lineRule="auto"/>
        <w:ind w:left="173" w:right="207" w:firstLine="420"/>
      </w:pPr>
      <w:r>
        <w:rPr/>
        <w:br w:type="column"/>
      </w:r>
      <w:r>
        <w:rPr>
          <w:spacing w:val="-7"/>
        </w:rPr>
        <w:t>指烧伤程度为Ⅲ度，且Ⅲ度烧伤的面积达到全身体表面积的 </w:t>
      </w:r>
      <w:r>
        <w:rPr/>
        <w:t>20</w:t>
      </w:r>
      <w:r>
        <w:rPr>
          <w:spacing w:val="-14"/>
        </w:rPr>
        <w:t>%或 </w:t>
      </w:r>
      <w:r>
        <w:rPr/>
        <w:t>20%以上。</w:t>
      </w:r>
      <w:r>
        <w:rPr>
          <w:spacing w:val="-3"/>
        </w:rPr>
        <w:t>体表面积根据《中国新九分法》计算。</w:t>
      </w:r>
    </w:p>
    <w:p>
      <w:pPr>
        <w:spacing w:after="0" w:line="273" w:lineRule="auto"/>
        <w:sectPr>
          <w:type w:val="continuous"/>
          <w:pgSz w:w="11910" w:h="16840"/>
          <w:pgMar w:top="1120" w:bottom="1180" w:left="1160" w:right="920"/>
          <w:cols w:num="2" w:equalWidth="0">
            <w:col w:w="1958" w:space="40"/>
            <w:col w:w="7832"/>
          </w:cols>
        </w:sectPr>
      </w:pPr>
    </w:p>
    <w:p>
      <w:pPr>
        <w:pStyle w:val="BodyText"/>
        <w:spacing w:before="8"/>
      </w:pPr>
    </w:p>
    <w:p>
      <w:pPr>
        <w:spacing w:after="0"/>
        <w:sectPr>
          <w:type w:val="continuous"/>
          <w:pgSz w:w="11910" w:h="16840"/>
          <w:pgMar w:top="1120" w:bottom="1180" w:left="1160" w:right="920"/>
        </w:sectPr>
      </w:pPr>
    </w:p>
    <w:p>
      <w:pPr>
        <w:pStyle w:val="BodyText"/>
        <w:ind w:left="860"/>
      </w:pPr>
      <w:r>
        <w:rPr/>
        <w:t>5.3.13</w:t>
      </w:r>
    </w:p>
    <w:p>
      <w:pPr>
        <w:pStyle w:val="BodyText"/>
        <w:spacing w:line="273" w:lineRule="auto"/>
        <w:ind w:left="860"/>
      </w:pPr>
      <w:r>
        <w:rPr/>
        <w:t>严重运动神经元病</w:t>
      </w:r>
    </w:p>
    <w:p>
      <w:pPr>
        <w:pStyle w:val="BodyText"/>
        <w:spacing w:line="273" w:lineRule="auto"/>
        <w:ind w:left="214" w:right="313" w:firstLine="420"/>
      </w:pPr>
      <w:r>
        <w:rPr/>
        <w:br w:type="column"/>
      </w:r>
      <w:r>
        <w:rPr>
          <w:spacing w:val="-3"/>
        </w:rPr>
        <w:t>是一组中枢神经系统运动神经元的进行性变性疾病，包括进行性脊肌萎缩 </w:t>
      </w:r>
      <w:r>
        <w:rPr>
          <w:spacing w:val="-5"/>
        </w:rPr>
        <w:t>症、进行性延髓麻痹症、原发性侧索硬化症、肌萎缩性侧索硬化症。须满足自主</w:t>
      </w:r>
      <w:r>
        <w:rPr>
          <w:spacing w:val="-6"/>
        </w:rPr>
        <w:t>生活能力完全丧失，无法独立完成六项基本日常生活活动中的三项或三项以上的条件。</w:t>
      </w:r>
    </w:p>
    <w:p>
      <w:pPr>
        <w:spacing w:after="0" w:line="273" w:lineRule="auto"/>
        <w:sectPr>
          <w:type w:val="continuous"/>
          <w:pgSz w:w="11910" w:h="16840"/>
          <w:pgMar w:top="1120" w:bottom="1180" w:left="1160" w:right="920"/>
          <w:cols w:num="2" w:equalWidth="0">
            <w:col w:w="1917" w:space="40"/>
            <w:col w:w="7873"/>
          </w:cols>
        </w:sectPr>
      </w:pPr>
    </w:p>
    <w:p>
      <w:pPr>
        <w:pStyle w:val="BodyText"/>
        <w:spacing w:before="8"/>
      </w:pPr>
    </w:p>
    <w:p>
      <w:pPr>
        <w:spacing w:after="0"/>
        <w:sectPr>
          <w:type w:val="continuous"/>
          <w:pgSz w:w="11910" w:h="16840"/>
          <w:pgMar w:top="1120" w:bottom="1180" w:left="1160" w:right="920"/>
        </w:sectPr>
      </w:pPr>
    </w:p>
    <w:p>
      <w:pPr>
        <w:pStyle w:val="BodyText"/>
        <w:ind w:left="860"/>
      </w:pPr>
      <w:r>
        <w:rPr/>
        <w:t>5.3.14</w:t>
      </w:r>
    </w:p>
    <w:p>
      <w:pPr>
        <w:pStyle w:val="BodyText"/>
        <w:spacing w:line="273" w:lineRule="auto"/>
        <w:ind w:left="860"/>
      </w:pPr>
      <w:r>
        <w:rPr/>
        <w:t>语言能力丧失</w:t>
      </w:r>
    </w:p>
    <w:p>
      <w:pPr>
        <w:pStyle w:val="BodyText"/>
        <w:spacing w:line="273" w:lineRule="auto"/>
        <w:ind w:left="214" w:right="313" w:firstLine="420"/>
        <w:jc w:val="both"/>
      </w:pPr>
      <w:r>
        <w:rPr/>
        <w:br w:type="column"/>
      </w:r>
      <w:r>
        <w:rPr>
          <w:spacing w:val="-10"/>
        </w:rPr>
        <w:t>指因疾病或意外伤害导致完全丧失语言能力，经过积极治疗至少 </w:t>
      </w:r>
      <w:r>
        <w:rPr/>
        <w:t>12</w:t>
      </w:r>
      <w:r>
        <w:rPr>
          <w:spacing w:val="-23"/>
        </w:rPr>
        <w:t> 个月</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line="273" w:lineRule="auto" w:before="8"/>
        <w:ind w:left="214" w:right="315" w:firstLine="422"/>
        <w:jc w:val="both"/>
      </w:pPr>
      <w:r>
        <w:rPr>
          <w:spacing w:val="-5"/>
        </w:rPr>
        <w:t>除声带完全切除等情形外，被保险人申请理赔时年龄必须在三周岁以上，并</w:t>
      </w:r>
      <w:r>
        <w:rPr>
          <w:spacing w:val="-7"/>
        </w:rPr>
        <w:t>且提供理赔当时的语言能力丧失诊断及检查证据。精神心理因素所致的语言能力丧失不在保障范围内。</w:t>
      </w:r>
    </w:p>
    <w:p>
      <w:pPr>
        <w:spacing w:after="0" w:line="273" w:lineRule="auto"/>
        <w:jc w:val="both"/>
        <w:sectPr>
          <w:type w:val="continuous"/>
          <w:pgSz w:w="11910" w:h="16840"/>
          <w:pgMar w:top="1120" w:bottom="1180" w:left="1160" w:right="920"/>
          <w:cols w:num="2" w:equalWidth="0">
            <w:col w:w="1917" w:space="40"/>
            <w:col w:w="7873"/>
          </w:cols>
        </w:sectPr>
      </w:pPr>
    </w:p>
    <w:p>
      <w:pPr>
        <w:pStyle w:val="BodyText"/>
        <w:spacing w:before="2"/>
        <w:rPr>
          <w:sz w:val="19"/>
        </w:rPr>
      </w:pPr>
    </w:p>
    <w:p>
      <w:pPr>
        <w:spacing w:after="0"/>
        <w:rPr>
          <w:sz w:val="19"/>
        </w:rPr>
        <w:sectPr>
          <w:pgSz w:w="11910" w:h="16840"/>
          <w:pgMar w:header="879" w:footer="999" w:top="1120" w:bottom="1180" w:left="1160" w:right="920"/>
        </w:sectPr>
      </w:pPr>
    </w:p>
    <w:p>
      <w:pPr>
        <w:pStyle w:val="BodyText"/>
        <w:ind w:left="860"/>
      </w:pPr>
      <w:r>
        <w:rPr/>
        <w:t>5.3.15</w:t>
      </w:r>
    </w:p>
    <w:p>
      <w:pPr>
        <w:pStyle w:val="BodyText"/>
        <w:spacing w:line="273" w:lineRule="auto"/>
        <w:ind w:left="860"/>
      </w:pPr>
      <w:r>
        <w:rPr/>
        <w:t>重型再生障碍性贫血</w:t>
      </w:r>
    </w:p>
    <w:p>
      <w:pPr>
        <w:pStyle w:val="BodyText"/>
        <w:spacing w:line="273" w:lineRule="auto"/>
        <w:ind w:left="214" w:right="270" w:firstLine="420"/>
      </w:pPr>
      <w:r>
        <w:rPr/>
        <w:br w:type="column"/>
      </w:r>
      <w:r>
        <w:rPr/>
        <w:t>指因骨髓造血功能慢性持续性衰竭导致的贫血、中性粒细胞减少及血小板减少。须满足下列全部条件：</w:t>
      </w:r>
    </w:p>
    <w:p>
      <w:pPr>
        <w:pStyle w:val="BodyText"/>
        <w:spacing w:before="8"/>
        <w:ind w:left="634"/>
      </w:pPr>
      <w:r>
        <w:rPr/>
        <w:t>（1）骨髓穿刺检查或骨髓活检结果支持诊断；</w:t>
      </w:r>
    </w:p>
    <w:p>
      <w:pPr>
        <w:pStyle w:val="BodyText"/>
        <w:ind w:left="634"/>
      </w:pPr>
      <w:r>
        <w:rPr/>
        <w:t>（2）外周血象须具备以下三项条件：</w:t>
      </w:r>
    </w:p>
    <w:p>
      <w:pPr>
        <w:pStyle w:val="BodyText"/>
        <w:tabs>
          <w:tab w:pos="1476" w:val="left" w:leader="none"/>
        </w:tabs>
        <w:ind w:left="1054"/>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476" w:val="left" w:leader="none"/>
        </w:tabs>
        <w:ind w:left="1054"/>
      </w:pPr>
      <w:r>
        <w:rPr/>
        <w:t>②</w:t>
        <w:tab/>
      </w:r>
      <w:r>
        <w:rPr>
          <w:spacing w:val="-3"/>
        </w:rPr>
        <w:t>网织红细胞</w:t>
      </w:r>
      <w:r>
        <w:rPr>
          <w:spacing w:val="-1"/>
        </w:rPr>
        <w:t>＜1%；</w:t>
      </w:r>
    </w:p>
    <w:p>
      <w:pPr>
        <w:pStyle w:val="BodyText"/>
        <w:tabs>
          <w:tab w:pos="1476" w:val="left" w:leader="none"/>
        </w:tabs>
        <w:ind w:left="1056"/>
      </w:pPr>
      <w:r>
        <w:rPr/>
        <w:t>③</w:t>
        <w:tab/>
      </w:r>
      <w:r>
        <w:rPr>
          <w:spacing w:val="-3"/>
        </w:rPr>
        <w:t>血小板绝对值</w:t>
      </w:r>
      <w:r>
        <w:rPr/>
        <w:t>≤20×10</w:t>
      </w:r>
      <w:r>
        <w:rPr>
          <w:position w:val="11"/>
          <w:sz w:val="11"/>
        </w:rPr>
        <w:t>9</w:t>
      </w:r>
      <w:r>
        <w:rPr/>
        <w:t>/L</w:t>
      </w:r>
      <w:r>
        <w:rPr>
          <w:spacing w:val="1"/>
        </w:rPr>
        <w:t> 。</w:t>
      </w:r>
    </w:p>
    <w:p>
      <w:pPr>
        <w:spacing w:after="0"/>
        <w:sectPr>
          <w:type w:val="continuous"/>
          <w:pgSz w:w="11910" w:h="16840"/>
          <w:pgMar w:top="1120" w:bottom="1180" w:left="1160" w:right="920"/>
          <w:cols w:num="2" w:equalWidth="0">
            <w:col w:w="1917" w:space="40"/>
            <w:col w:w="7873"/>
          </w:cols>
        </w:sectPr>
      </w:pPr>
    </w:p>
    <w:p>
      <w:pPr>
        <w:pStyle w:val="BodyText"/>
        <w:spacing w:before="12"/>
        <w:rPr>
          <w:sz w:val="23"/>
        </w:rPr>
      </w:pPr>
    </w:p>
    <w:p>
      <w:pPr>
        <w:spacing w:after="0"/>
        <w:rPr>
          <w:sz w:val="23"/>
        </w:rPr>
        <w:sectPr>
          <w:type w:val="continuous"/>
          <w:pgSz w:w="11910" w:h="16840"/>
          <w:pgMar w:top="1120" w:bottom="1180" w:left="1160" w:right="920"/>
        </w:sectPr>
      </w:pPr>
    </w:p>
    <w:p>
      <w:pPr>
        <w:pStyle w:val="BodyText"/>
        <w:spacing w:before="36"/>
        <w:ind w:left="860"/>
      </w:pPr>
      <w:r>
        <w:rPr/>
        <w:t>5.3.16</w:t>
      </w:r>
    </w:p>
    <w:p>
      <w:pPr>
        <w:pStyle w:val="BodyText"/>
        <w:ind w:left="860"/>
      </w:pPr>
      <w:r>
        <w:rPr/>
        <w:t>深度昏迷</w:t>
      </w:r>
    </w:p>
    <w:p>
      <w:pPr>
        <w:pStyle w:val="BodyText"/>
        <w:spacing w:line="273" w:lineRule="auto" w:before="36"/>
        <w:ind w:left="425" w:right="301" w:firstLine="420"/>
        <w:jc w:val="both"/>
      </w:pPr>
      <w:r>
        <w:rPr/>
        <w:br w:type="column"/>
      </w:r>
      <w:r>
        <w:rPr>
          <w:spacing w:val="1"/>
        </w:rPr>
        <w:t>指因疾病或意外伤害导致意识丧失,对外界刺激和体内需求均无反应,昏迷</w:t>
      </w:r>
      <w:r>
        <w:rPr>
          <w:spacing w:val="-3"/>
        </w:rPr>
        <w:t>程度按照格拉斯哥昏迷分级</w:t>
      </w:r>
      <w:r>
        <w:rPr/>
        <w:t>（Glasgow coma</w:t>
      </w:r>
      <w:r>
        <w:rPr>
          <w:spacing w:val="0"/>
        </w:rPr>
        <w:t>  </w:t>
      </w:r>
      <w:r>
        <w:rPr/>
        <w:t>scale）</w:t>
      </w:r>
      <w:r>
        <w:rPr>
          <w:spacing w:val="-15"/>
        </w:rPr>
        <w:t>结果为 </w:t>
      </w:r>
      <w:r>
        <w:rPr/>
        <w:t>5</w:t>
      </w:r>
      <w:r>
        <w:rPr>
          <w:spacing w:val="-28"/>
        </w:rPr>
        <w:t> 分或 </w:t>
      </w:r>
      <w:r>
        <w:rPr/>
        <w:t>5</w:t>
      </w:r>
      <w:r>
        <w:rPr>
          <w:spacing w:val="-12"/>
        </w:rPr>
        <w:t> 分以下， </w:t>
      </w:r>
      <w:r>
        <w:rPr>
          <w:spacing w:val="-8"/>
        </w:rPr>
        <w:t>且已经持续使用呼吸机及其他生命维持系统 </w:t>
      </w:r>
      <w:r>
        <w:rPr/>
        <w:t>96</w:t>
      </w:r>
      <w:r>
        <w:rPr>
          <w:spacing w:val="-9"/>
        </w:rPr>
        <w:t> 小时以上。</w:t>
      </w:r>
    </w:p>
    <w:p>
      <w:pPr>
        <w:pStyle w:val="BodyText"/>
        <w:spacing w:before="7"/>
        <w:ind w:left="847"/>
      </w:pPr>
      <w:r>
        <w:rPr/>
        <w:t>因酗酒或药物滥用导致的深度昏迷不在保障范围内。</w:t>
      </w:r>
    </w:p>
    <w:p>
      <w:pPr>
        <w:spacing w:after="0"/>
        <w:sectPr>
          <w:type w:val="continuous"/>
          <w:pgSz w:w="11910" w:h="16840"/>
          <w:pgMar w:top="1120" w:bottom="1180" w:left="1160" w:right="920"/>
          <w:cols w:num="2" w:equalWidth="0">
            <w:col w:w="1706" w:space="40"/>
            <w:col w:w="8084"/>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BodyText"/>
        <w:spacing w:before="36"/>
        <w:ind w:left="860"/>
      </w:pPr>
      <w:r>
        <w:rPr/>
        <w:t>5.3.17</w:t>
      </w:r>
    </w:p>
    <w:p>
      <w:pPr>
        <w:pStyle w:val="BodyText"/>
        <w:spacing w:before="36"/>
        <w:ind w:left="860"/>
      </w:pPr>
      <w:r>
        <w:rPr/>
        <w:t>瘫痪</w:t>
      </w:r>
    </w:p>
    <w:p>
      <w:pPr>
        <w:pStyle w:val="BodyText"/>
        <w:spacing w:before="36"/>
        <w:ind w:left="1076"/>
      </w:pPr>
      <w:r>
        <w:rPr/>
        <w:br w:type="column"/>
      </w:r>
      <w:r>
        <w:rPr/>
        <w:t>指因疾病或意外伤害导致两肢或两肢以上肢体机能永久完全丧失。</w:t>
      </w:r>
    </w:p>
    <w:p>
      <w:pPr>
        <w:pStyle w:val="BodyText"/>
        <w:spacing w:line="273" w:lineRule="auto" w:before="36"/>
        <w:ind w:left="634" w:right="315" w:firstLine="420"/>
      </w:pPr>
      <w:r>
        <w:rPr>
          <w:spacing w:val="-7"/>
        </w:rPr>
        <w:t>肢体机能永久完全丧失，指疾病确诊 </w:t>
      </w:r>
      <w:r>
        <w:rPr/>
        <w:t>180</w:t>
      </w:r>
      <w:r>
        <w:rPr>
          <w:spacing w:val="-13"/>
        </w:rPr>
        <w:t> 天后或意外伤害发生 </w:t>
      </w:r>
      <w:r>
        <w:rPr/>
        <w:t>180</w:t>
      </w:r>
      <w:r>
        <w:rPr>
          <w:spacing w:val="-13"/>
        </w:rPr>
        <w:t> 天后，每</w:t>
      </w:r>
      <w:r>
        <w:rPr>
          <w:spacing w:val="-3"/>
        </w:rPr>
        <w:t>肢三大关节中的两大关节仍然完全僵硬，或不能随意识活动。</w:t>
      </w:r>
    </w:p>
    <w:p>
      <w:pPr>
        <w:spacing w:after="0" w:line="273" w:lineRule="auto"/>
        <w:sectPr>
          <w:type w:val="continuous"/>
          <w:pgSz w:w="11910" w:h="16840"/>
          <w:pgMar w:top="1120" w:bottom="1180" w:left="1160" w:right="920"/>
          <w:cols w:num="2" w:equalWidth="0">
            <w:col w:w="1497" w:space="40"/>
            <w:col w:w="8293"/>
          </w:cols>
        </w:sectPr>
      </w:pPr>
    </w:p>
    <w:p>
      <w:pPr>
        <w:pStyle w:val="BodyText"/>
        <w:spacing w:before="8"/>
      </w:pPr>
    </w:p>
    <w:p>
      <w:pPr>
        <w:spacing w:after="0"/>
        <w:sectPr>
          <w:type w:val="continuous"/>
          <w:pgSz w:w="11910" w:h="16840"/>
          <w:pgMar w:top="1120" w:bottom="1180" w:left="1160" w:right="920"/>
        </w:sectPr>
      </w:pPr>
    </w:p>
    <w:p>
      <w:pPr>
        <w:pStyle w:val="BodyText"/>
        <w:spacing w:line="273" w:lineRule="auto" w:before="36"/>
        <w:ind w:left="860"/>
      </w:pPr>
      <w:r>
        <w:rPr/>
        <w:t>5.3.18</w:t>
      </w:r>
      <w:r>
        <w:rPr>
          <w:spacing w:val="-20"/>
        </w:rPr>
        <w:t> 心脏瓣膜手术</w:t>
      </w:r>
    </w:p>
    <w:p>
      <w:pPr>
        <w:pStyle w:val="BodyText"/>
        <w:spacing w:line="273" w:lineRule="auto" w:before="36"/>
        <w:ind w:left="173" w:right="507" w:firstLine="420"/>
      </w:pPr>
      <w:r>
        <w:rPr/>
        <w:br w:type="column"/>
      </w:r>
      <w:r>
        <w:rPr/>
        <w:t>指为治疗心脏瓣膜疾病，实际实施了开胸进行的心脏瓣膜置换或修复的手术。</w:t>
      </w:r>
    </w:p>
    <w:p>
      <w:pPr>
        <w:spacing w:after="0" w:line="273" w:lineRule="auto"/>
        <w:sectPr>
          <w:type w:val="continuous"/>
          <w:pgSz w:w="11910" w:h="16840"/>
          <w:pgMar w:top="1120" w:bottom="1180" w:left="1160" w:right="920"/>
          <w:cols w:num="2" w:equalWidth="0">
            <w:col w:w="1958" w:space="40"/>
            <w:col w:w="7832"/>
          </w:cols>
        </w:sectPr>
      </w:pPr>
    </w:p>
    <w:p>
      <w:pPr>
        <w:pStyle w:val="BodyText"/>
        <w:spacing w:before="8"/>
      </w:pPr>
    </w:p>
    <w:p>
      <w:pPr>
        <w:spacing w:after="0"/>
        <w:sectPr>
          <w:type w:val="continuous"/>
          <w:pgSz w:w="11910" w:h="16840"/>
          <w:pgMar w:top="1120" w:bottom="1180" w:left="1160" w:right="920"/>
        </w:sectPr>
      </w:pPr>
    </w:p>
    <w:p>
      <w:pPr>
        <w:pStyle w:val="BodyText"/>
        <w:spacing w:before="36"/>
        <w:ind w:left="860"/>
      </w:pPr>
      <w:r>
        <w:rPr/>
        <w:t>5.3.19</w:t>
      </w:r>
    </w:p>
    <w:p>
      <w:pPr>
        <w:pStyle w:val="BodyText"/>
        <w:spacing w:before="36"/>
        <w:ind w:left="860"/>
      </w:pPr>
      <w:r>
        <w:rPr/>
        <w:t>主动脉手术</w:t>
      </w:r>
    </w:p>
    <w:p>
      <w:pPr>
        <w:pStyle w:val="BodyText"/>
        <w:spacing w:line="273" w:lineRule="auto" w:before="36"/>
        <w:ind w:left="214" w:right="315" w:firstLine="420"/>
        <w:jc w:val="both"/>
      </w:pPr>
      <w:r>
        <w:rPr/>
        <w:br w:type="column"/>
      </w:r>
      <w:r>
        <w:rPr>
          <w:spacing w:val="-5"/>
        </w:rPr>
        <w:t>指为治疗主动脉疾病，实际实施了开胸或开腹进行的切除、置换、修补病损</w:t>
      </w:r>
      <w:r>
        <w:rPr>
          <w:spacing w:val="-6"/>
        </w:rPr>
        <w:t>主动脉血管的手术。主动脉指胸主动脉和腹主动脉，不包括胸主动脉和腹主动脉</w:t>
      </w:r>
      <w:r>
        <w:rPr>
          <w:spacing w:val="-4"/>
        </w:rPr>
        <w:t>的分支血管。</w:t>
      </w:r>
    </w:p>
    <w:p>
      <w:pPr>
        <w:pStyle w:val="BodyText"/>
        <w:spacing w:before="7"/>
        <w:ind w:left="636"/>
      </w:pPr>
      <w:r>
        <w:rPr/>
        <w:t>动脉内血管成形术不在保障范围内。</w:t>
      </w:r>
    </w:p>
    <w:p>
      <w:pPr>
        <w:spacing w:after="0"/>
        <w:sectPr>
          <w:type w:val="continuous"/>
          <w:pgSz w:w="11910" w:h="16840"/>
          <w:pgMar w:top="1120" w:bottom="1180" w:left="1160" w:right="920"/>
          <w:cols w:num="2" w:equalWidth="0">
            <w:col w:w="1917" w:space="40"/>
            <w:col w:w="7873"/>
          </w:cols>
        </w:sectPr>
      </w:pPr>
    </w:p>
    <w:p>
      <w:pPr>
        <w:pStyle w:val="BodyText"/>
        <w:spacing w:before="3"/>
        <w:rPr>
          <w:sz w:val="22"/>
        </w:rPr>
      </w:pPr>
    </w:p>
    <w:p>
      <w:pPr>
        <w:spacing w:after="0"/>
        <w:rPr>
          <w:sz w:val="22"/>
        </w:rPr>
        <w:sectPr>
          <w:type w:val="continuous"/>
          <w:pgSz w:w="11910" w:h="16840"/>
          <w:pgMar w:top="1120" w:bottom="1180" w:left="1160" w:right="920"/>
        </w:sectPr>
      </w:pPr>
    </w:p>
    <w:p>
      <w:pPr>
        <w:pStyle w:val="BodyText"/>
        <w:spacing w:before="58"/>
        <w:ind w:left="860"/>
      </w:pPr>
      <w:r>
        <w:rPr/>
        <w:t>5.3.20</w:t>
      </w:r>
    </w:p>
    <w:p>
      <w:pPr>
        <w:pStyle w:val="BodyText"/>
        <w:ind w:left="860"/>
      </w:pPr>
      <w:r>
        <w:rPr/>
        <w:t>严重川崎病</w:t>
      </w:r>
    </w:p>
    <w:p>
      <w:pPr>
        <w:pStyle w:val="BodyText"/>
        <w:spacing w:before="36"/>
        <w:ind w:left="634"/>
      </w:pPr>
      <w:r>
        <w:rPr/>
        <w:br w:type="column"/>
      </w:r>
      <w:r>
        <w:rPr/>
        <w:t>为一种病因不明的系统性血管炎。</w:t>
      </w:r>
    </w:p>
    <w:p>
      <w:pPr>
        <w:pStyle w:val="BodyText"/>
        <w:spacing w:line="273" w:lineRule="auto" w:before="17"/>
        <w:ind w:left="214" w:right="507" w:firstLine="420"/>
      </w:pPr>
      <w:r>
        <w:rPr/>
        <w:t>本合同仅对诊断性检查证实川崎病并发动脉瘤或其他心血管异常并且实际接受了手术治疗的情况予以理赔。</w:t>
      </w:r>
    </w:p>
    <w:p>
      <w:pPr>
        <w:spacing w:after="0" w:line="273" w:lineRule="auto"/>
        <w:sectPr>
          <w:type w:val="continuous"/>
          <w:pgSz w:w="11910" w:h="16840"/>
          <w:pgMar w:top="1120" w:bottom="1180" w:left="1160" w:right="920"/>
          <w:cols w:num="2" w:equalWidth="0">
            <w:col w:w="1917" w:space="40"/>
            <w:col w:w="7873"/>
          </w:cols>
        </w:sectPr>
      </w:pPr>
    </w:p>
    <w:p>
      <w:pPr>
        <w:pStyle w:val="BodyText"/>
        <w:spacing w:before="8"/>
      </w:pPr>
    </w:p>
    <w:p>
      <w:pPr>
        <w:spacing w:after="0"/>
        <w:sectPr>
          <w:type w:val="continuous"/>
          <w:pgSz w:w="11910" w:h="16840"/>
          <w:pgMar w:top="1120" w:bottom="1180" w:left="1160" w:right="920"/>
        </w:sectPr>
      </w:pPr>
    </w:p>
    <w:p>
      <w:pPr>
        <w:pStyle w:val="BodyText"/>
        <w:spacing w:before="36"/>
        <w:ind w:left="860"/>
      </w:pPr>
      <w:r>
        <w:rPr/>
        <w:t>5.3.21</w:t>
      </w:r>
    </w:p>
    <w:p>
      <w:pPr>
        <w:pStyle w:val="BodyText"/>
        <w:ind w:left="860"/>
      </w:pPr>
      <w:r>
        <w:rPr/>
        <w:t>1</w:t>
      </w:r>
      <w:r>
        <w:rPr>
          <w:spacing w:val="-10"/>
        </w:rPr>
        <w:t> 型糖尿病</w:t>
      </w:r>
    </w:p>
    <w:p>
      <w:pPr>
        <w:pStyle w:val="BodyText"/>
        <w:spacing w:line="314" w:lineRule="auto" w:before="91"/>
        <w:ind w:left="267" w:right="313" w:firstLine="420"/>
        <w:jc w:val="both"/>
      </w:pPr>
      <w:r>
        <w:rPr/>
        <w:br w:type="column"/>
      </w:r>
      <w:r>
        <w:rPr/>
        <w:t>1</w:t>
      </w:r>
      <w:r>
        <w:rPr>
          <w:spacing w:val="-3"/>
        </w:rPr>
        <w:t> 型糖尿病的特征为由于胰岛素分泌绝对不足引起严重胰岛素缺乏导致慢性</w:t>
      </w:r>
      <w:r>
        <w:rPr>
          <w:spacing w:val="-5"/>
        </w:rPr>
        <w:t>血糖升高，需要依赖外源性胰岛素进行机体的葡萄糖代谢和维持生命。被保险人</w:t>
      </w:r>
      <w:r>
        <w:rPr>
          <w:spacing w:val="-26"/>
        </w:rPr>
        <w:t>的 </w:t>
      </w:r>
      <w:r>
        <w:rPr/>
        <w:t>1</w:t>
      </w:r>
      <w:r>
        <w:rPr>
          <w:spacing w:val="-12"/>
        </w:rPr>
        <w:t> 型糖尿病必须明确诊断，而且有血胰岛素测定及血 </w:t>
      </w:r>
      <w:r>
        <w:rPr/>
        <w:t>C</w:t>
      </w:r>
      <w:r>
        <w:rPr>
          <w:spacing w:val="-21"/>
        </w:rPr>
        <w:t> 肽或尿 </w:t>
      </w:r>
      <w:r>
        <w:rPr/>
        <w:t>C</w:t>
      </w:r>
      <w:r>
        <w:rPr>
          <w:spacing w:val="-9"/>
        </w:rPr>
        <w:t> 肽测定结果支</w:t>
      </w:r>
      <w:r>
        <w:rPr>
          <w:spacing w:val="-5"/>
        </w:rPr>
        <w:t>持诊断，并且满足下列全部条件：</w:t>
      </w:r>
    </w:p>
    <w:p>
      <w:pPr>
        <w:pStyle w:val="BodyText"/>
        <w:spacing w:before="19"/>
        <w:ind w:left="687"/>
      </w:pPr>
      <w:r>
        <w:rPr/>
        <w:t>（1）已经持续性地接受外源性胰岛素注射治疗连续 180 天以上；</w:t>
      </w:r>
    </w:p>
    <w:p>
      <w:pPr>
        <w:pStyle w:val="BodyText"/>
        <w:spacing w:line="273" w:lineRule="auto" w:before="29"/>
        <w:ind w:left="267" w:right="404" w:firstLine="420"/>
        <w:jc w:val="both"/>
      </w:pPr>
      <w:r>
        <w:rPr/>
        <w:t>（2）因需要已经接受了下列治疗：因严重心律失常植入了心脏起搏器；或因坏疽自跖趾关节或以上切除了一趾或多趾。</w:t>
      </w:r>
    </w:p>
    <w:p>
      <w:pPr>
        <w:spacing w:after="0" w:line="273" w:lineRule="auto"/>
        <w:jc w:val="both"/>
        <w:sectPr>
          <w:type w:val="continuous"/>
          <w:pgSz w:w="11910" w:h="16840"/>
          <w:pgMar w:top="1120" w:bottom="1180" w:left="1160" w:right="920"/>
          <w:cols w:num="2" w:equalWidth="0">
            <w:col w:w="1864" w:space="40"/>
            <w:col w:w="7926"/>
          </w:cols>
        </w:sectPr>
      </w:pPr>
    </w:p>
    <w:p>
      <w:pPr>
        <w:pStyle w:val="BodyText"/>
        <w:spacing w:before="8"/>
      </w:pPr>
    </w:p>
    <w:p>
      <w:pPr>
        <w:spacing w:after="0"/>
        <w:sectPr>
          <w:type w:val="continuous"/>
          <w:pgSz w:w="11910" w:h="16840"/>
          <w:pgMar w:top="1120" w:bottom="1180" w:left="1160" w:right="920"/>
        </w:sectPr>
      </w:pPr>
    </w:p>
    <w:p>
      <w:pPr>
        <w:pStyle w:val="BodyText"/>
        <w:spacing w:before="36"/>
        <w:ind w:left="860"/>
      </w:pPr>
      <w:r>
        <w:rPr/>
        <w:t>5.3.22</w:t>
      </w:r>
    </w:p>
    <w:p>
      <w:pPr>
        <w:pStyle w:val="BodyText"/>
        <w:spacing w:line="273" w:lineRule="auto" w:before="36"/>
        <w:ind w:left="860"/>
      </w:pPr>
      <w:r>
        <w:rPr/>
        <w:t>外伤所致智力障碍</w:t>
      </w:r>
    </w:p>
    <w:p>
      <w:pPr>
        <w:pStyle w:val="BodyText"/>
        <w:spacing w:line="273" w:lineRule="auto" w:before="36"/>
        <w:ind w:left="214" w:right="318" w:firstLine="420"/>
      </w:pPr>
      <w:r>
        <w:rPr/>
        <w:br w:type="column"/>
      </w:r>
      <w:r>
        <w:rPr/>
        <w:t>因严重头部外伤造成被保险人智力低常（智力低于常态</w:t>
      </w:r>
      <w:r>
        <w:rPr>
          <w:spacing w:val="-104"/>
        </w:rPr>
        <w:t>）</w:t>
      </w:r>
      <w:r>
        <w:rPr/>
        <w:t>、智力残疾或学习</w:t>
      </w:r>
      <w:r>
        <w:rPr>
          <w:w w:val="100"/>
        </w:rPr>
        <w:t>障碍。根据智商</w:t>
      </w:r>
      <w:r>
        <w:rPr>
          <w:spacing w:val="6"/>
          <w:w w:val="100"/>
        </w:rPr>
        <w:t>（</w:t>
      </w:r>
      <w:r>
        <w:rPr>
          <w:w w:val="100"/>
        </w:rPr>
        <w:t>I</w:t>
      </w:r>
      <w:r>
        <w:rPr>
          <w:spacing w:val="3"/>
          <w:w w:val="100"/>
        </w:rPr>
        <w:t>Q）</w:t>
      </w:r>
      <w:r>
        <w:rPr>
          <w:w w:val="100"/>
        </w:rPr>
        <w:t>智力低常分为轻度</w:t>
      </w:r>
      <w:r>
        <w:rPr>
          <w:spacing w:val="6"/>
          <w:w w:val="100"/>
        </w:rPr>
        <w:t>（</w:t>
      </w:r>
      <w:r>
        <w:rPr>
          <w:w w:val="100"/>
        </w:rPr>
        <w:t>IQ</w:t>
      </w:r>
      <w:r>
        <w:rPr>
          <w:spacing w:val="-3"/>
          <w:w w:val="100"/>
        </w:rPr>
        <w:t>5</w:t>
      </w:r>
      <w:r>
        <w:rPr>
          <w:spacing w:val="-1"/>
          <w:w w:val="100"/>
        </w:rPr>
        <w:t>0</w:t>
      </w:r>
      <w:r>
        <w:rPr>
          <w:w w:val="100"/>
        </w:rPr>
        <w:t>-</w:t>
      </w:r>
      <w:r>
        <w:rPr>
          <w:spacing w:val="-3"/>
          <w:w w:val="100"/>
        </w:rPr>
        <w:t>7</w:t>
      </w:r>
      <w:r>
        <w:rPr>
          <w:spacing w:val="6"/>
          <w:w w:val="100"/>
        </w:rPr>
        <w:t>0</w:t>
      </w:r>
      <w:r>
        <w:rPr>
          <w:spacing w:val="-101"/>
          <w:w w:val="100"/>
        </w:rPr>
        <w:t>）</w:t>
      </w:r>
      <w:r>
        <w:rPr>
          <w:spacing w:val="3"/>
          <w:w w:val="100"/>
        </w:rPr>
        <w:t>；中度</w:t>
      </w:r>
      <w:r>
        <w:rPr>
          <w:spacing w:val="6"/>
          <w:w w:val="100"/>
        </w:rPr>
        <w:t>（</w:t>
      </w:r>
      <w:r>
        <w:rPr>
          <w:w w:val="100"/>
        </w:rPr>
        <w:t>IQ</w:t>
      </w:r>
      <w:r>
        <w:rPr>
          <w:spacing w:val="-3"/>
          <w:w w:val="100"/>
        </w:rPr>
        <w:t>3</w:t>
      </w:r>
      <w:r>
        <w:rPr>
          <w:spacing w:val="-1"/>
          <w:w w:val="100"/>
        </w:rPr>
        <w:t>5</w:t>
      </w:r>
      <w:r>
        <w:rPr>
          <w:w w:val="100"/>
        </w:rPr>
        <w:t>-</w:t>
      </w:r>
      <w:r>
        <w:rPr>
          <w:spacing w:val="-3"/>
          <w:w w:val="100"/>
        </w:rPr>
        <w:t>5</w:t>
      </w:r>
      <w:r>
        <w:rPr>
          <w:spacing w:val="6"/>
          <w:w w:val="100"/>
        </w:rPr>
        <w:t>0</w:t>
      </w:r>
      <w:r>
        <w:rPr>
          <w:spacing w:val="-101"/>
          <w:w w:val="100"/>
        </w:rPr>
        <w:t>）</w:t>
      </w:r>
      <w:r>
        <w:rPr>
          <w:spacing w:val="1"/>
          <w:w w:val="100"/>
        </w:rPr>
        <w:t>；重度</w:t>
      </w:r>
    </w:p>
    <w:p>
      <w:pPr>
        <w:pStyle w:val="BodyText"/>
        <w:spacing w:line="273" w:lineRule="auto" w:before="7"/>
        <w:ind w:left="214" w:right="313"/>
        <w:jc w:val="both"/>
      </w:pPr>
      <w:r>
        <w:rPr>
          <w:w w:val="100"/>
        </w:rPr>
        <w:t>（IQ2</w:t>
      </w:r>
      <w:r>
        <w:rPr>
          <w:spacing w:val="-3"/>
          <w:w w:val="100"/>
        </w:rPr>
        <w:t>0</w:t>
      </w:r>
      <w:r>
        <w:rPr>
          <w:w w:val="100"/>
        </w:rPr>
        <w:t>-3</w:t>
      </w:r>
      <w:r>
        <w:rPr>
          <w:spacing w:val="-3"/>
          <w:w w:val="100"/>
        </w:rPr>
        <w:t>5</w:t>
      </w:r>
      <w:r>
        <w:rPr>
          <w:w w:val="100"/>
        </w:rPr>
        <w:t>）</w:t>
      </w:r>
      <w:r>
        <w:rPr>
          <w:spacing w:val="-3"/>
          <w:w w:val="100"/>
        </w:rPr>
        <w:t>和极重度</w:t>
      </w:r>
      <w:r>
        <w:rPr>
          <w:w w:val="100"/>
        </w:rPr>
        <w:t>（</w:t>
      </w:r>
      <w:r>
        <w:rPr>
          <w:spacing w:val="-3"/>
          <w:w w:val="100"/>
        </w:rPr>
        <w:t>IQ</w:t>
      </w:r>
      <w:r>
        <w:rPr>
          <w:w w:val="100"/>
        </w:rPr>
        <w:t>&lt;2</w:t>
      </w:r>
      <w:r>
        <w:rPr>
          <w:spacing w:val="-1"/>
          <w:w w:val="100"/>
        </w:rPr>
        <w:t>0</w:t>
      </w:r>
      <w:r>
        <w:rPr>
          <w:spacing w:val="-106"/>
          <w:w w:val="100"/>
        </w:rPr>
        <w:t>）</w:t>
      </w:r>
      <w:r>
        <w:rPr>
          <w:spacing w:val="-2"/>
          <w:w w:val="100"/>
        </w:rPr>
        <w:t>。智商</w:t>
      </w:r>
      <w:r>
        <w:rPr>
          <w:spacing w:val="-2"/>
        </w:rPr>
        <w:t> </w:t>
      </w:r>
      <w:r>
        <w:rPr>
          <w:spacing w:val="-3"/>
          <w:w w:val="100"/>
        </w:rPr>
        <w:t>7</w:t>
      </w:r>
      <w:r>
        <w:rPr>
          <w:spacing w:val="-1"/>
          <w:w w:val="100"/>
        </w:rPr>
        <w:t>0</w:t>
      </w:r>
      <w:r>
        <w:rPr>
          <w:w w:val="100"/>
        </w:rPr>
        <w:t>-85</w:t>
      </w:r>
      <w:r>
        <w:rPr/>
        <w:t> </w:t>
      </w:r>
      <w:r>
        <w:rPr>
          <w:spacing w:val="-3"/>
          <w:w w:val="100"/>
        </w:rPr>
        <w:t>为智力临界低常。智商的检测必须</w:t>
      </w:r>
      <w:r>
        <w:rPr>
          <w:spacing w:val="-4"/>
        </w:rPr>
        <w:t>由本公司认可的专职心理测验工作者进行，心理测验工作者必须持有由心理测量</w:t>
      </w:r>
      <w:r>
        <w:rPr>
          <w:spacing w:val="-5"/>
        </w:rPr>
        <w:t>专业委员会资格认定书。根据被保险人年龄采用对应的智力量表如韦克斯勒智力量表</w:t>
      </w:r>
      <w:r>
        <w:rPr>
          <w:spacing w:val="-3"/>
        </w:rPr>
        <w:t>（儿童智力量表或成人智力量表</w:t>
      </w:r>
      <w:r>
        <w:rPr>
          <w:spacing w:val="-106"/>
        </w:rPr>
        <w:t>）</w:t>
      </w:r>
      <w:r>
        <w:rPr/>
        <w:t>。</w:t>
      </w:r>
    </w:p>
    <w:p>
      <w:pPr>
        <w:pStyle w:val="BodyText"/>
        <w:spacing w:before="7"/>
        <w:ind w:left="634"/>
      </w:pPr>
      <w:r>
        <w:rPr/>
        <w:t>理赔时必须满足下列全部条件：</w:t>
      </w:r>
    </w:p>
    <w:p>
      <w:pPr>
        <w:spacing w:after="0"/>
        <w:sectPr>
          <w:type w:val="continuous"/>
          <w:pgSz w:w="11910" w:h="16840"/>
          <w:pgMar w:top="1120" w:bottom="1180" w:left="1160" w:right="920"/>
          <w:cols w:num="2" w:equalWidth="0">
            <w:col w:w="1917" w:space="40"/>
            <w:col w:w="7873"/>
          </w:cols>
        </w:sectPr>
      </w:pPr>
    </w:p>
    <w:p>
      <w:pPr>
        <w:pStyle w:val="BodyText"/>
        <w:spacing w:before="2"/>
        <w:rPr>
          <w:sz w:val="19"/>
        </w:rPr>
      </w:pPr>
    </w:p>
    <w:p>
      <w:pPr>
        <w:pStyle w:val="BodyText"/>
        <w:ind w:left="2590"/>
      </w:pPr>
      <w:r>
        <w:rPr/>
        <w:t>（1）被保险人大于或等于六周岁；</w:t>
      </w:r>
    </w:p>
    <w:p>
      <w:pPr>
        <w:pStyle w:val="BodyText"/>
        <w:spacing w:line="273" w:lineRule="auto"/>
        <w:ind w:left="2170" w:right="458" w:firstLine="420"/>
      </w:pPr>
      <w:r>
        <w:rPr/>
        <w:t>（2）明确的颅脑外伤病史，并由儿科主任医师确诊被保险人由于该严重头部创伤造成智力低下；</w:t>
      </w:r>
    </w:p>
    <w:p>
      <w:pPr>
        <w:pStyle w:val="BodyText"/>
        <w:spacing w:line="273" w:lineRule="auto" w:before="7"/>
        <w:ind w:left="2170" w:right="455" w:firstLine="420"/>
      </w:pPr>
      <w:r>
        <w:rPr>
          <w:spacing w:val="-21"/>
        </w:rPr>
        <w:t>（3）</w:t>
      </w:r>
      <w:r>
        <w:rPr>
          <w:spacing w:val="-6"/>
        </w:rPr>
        <w:t>专职合格心理检测工作者适时做的心理检测证实被保险人智力低常</w:t>
      </w:r>
      <w:r>
        <w:rPr>
          <w:spacing w:val="-3"/>
        </w:rPr>
        <w:t>（</w:t>
      </w:r>
      <w:r>
        <w:rPr/>
        <w:t>轻</w:t>
      </w:r>
      <w:r>
        <w:rPr>
          <w:spacing w:val="-3"/>
          <w:w w:val="100"/>
        </w:rPr>
        <w:t>度、中度、重度或极重度</w:t>
      </w:r>
      <w:r>
        <w:rPr>
          <w:spacing w:val="-108"/>
          <w:w w:val="100"/>
        </w:rPr>
        <w:t>）</w:t>
      </w:r>
      <w:r>
        <w:rPr>
          <w:w w:val="100"/>
        </w:rPr>
        <w:t>；</w:t>
      </w:r>
    </w:p>
    <w:p>
      <w:pPr>
        <w:pStyle w:val="BodyText"/>
        <w:spacing w:before="7"/>
        <w:ind w:left="2590"/>
      </w:pPr>
      <w:r>
        <w:rPr/>
        <w:t>（4）被保险人的智力低常自确认日起持续 180 天以上。</w:t>
      </w:r>
    </w:p>
    <w:p>
      <w:pPr>
        <w:pStyle w:val="BodyText"/>
        <w:spacing w:line="273" w:lineRule="auto"/>
        <w:ind w:left="2170" w:right="444" w:firstLine="422"/>
      </w:pPr>
      <w:r>
        <w:rPr/>
        <w:t>因先天性疾病、宫内缺氧、产伤或其它后天性疾病造成的智力低常不在保障范围内。</w:t>
      </w:r>
    </w:p>
    <w:p>
      <w:pPr>
        <w:pStyle w:val="BodyText"/>
        <w:spacing w:before="8"/>
      </w:pPr>
    </w:p>
    <w:p>
      <w:pPr>
        <w:spacing w:after="0"/>
        <w:sectPr>
          <w:pgSz w:w="11910" w:h="16840"/>
          <w:pgMar w:header="879" w:footer="999" w:top="1120" w:bottom="1180" w:left="1160" w:right="780"/>
        </w:sectPr>
      </w:pPr>
    </w:p>
    <w:p>
      <w:pPr>
        <w:pStyle w:val="BodyText"/>
        <w:ind w:left="860"/>
      </w:pPr>
      <w:r>
        <w:rPr/>
        <w:t>5.3.23</w:t>
      </w:r>
    </w:p>
    <w:p>
      <w:pPr>
        <w:pStyle w:val="BodyText"/>
        <w:spacing w:line="273" w:lineRule="auto"/>
        <w:ind w:left="860"/>
        <w:jc w:val="both"/>
      </w:pPr>
      <w:r>
        <w:rPr/>
        <w:t>进行性系统性硬化（硬皮病）</w:t>
      </w:r>
    </w:p>
    <w:p>
      <w:pPr>
        <w:pStyle w:val="BodyText"/>
        <w:spacing w:line="273" w:lineRule="auto"/>
        <w:ind w:left="214" w:right="453" w:firstLine="420"/>
        <w:jc w:val="both"/>
      </w:pPr>
      <w:r>
        <w:rPr/>
        <w:br w:type="column"/>
      </w:r>
      <w:r>
        <w:rPr>
          <w:spacing w:val="-5"/>
        </w:rPr>
        <w:t>是一种以皮肤、血管和内脏器官的进行性、弥漫性纤维化为特点的系统性结</w:t>
      </w:r>
      <w:r>
        <w:rPr>
          <w:spacing w:val="-7"/>
        </w:rPr>
        <w:t>缔组织病。须经专科医生根据组织活检和血清学检查结果作出明确诊断并提供下</w:t>
      </w:r>
      <w:r>
        <w:rPr>
          <w:spacing w:val="-3"/>
        </w:rPr>
        <w:t>列一项或一项以上内脏器官受累的检查报告及诊疗记录：</w:t>
      </w:r>
    </w:p>
    <w:p>
      <w:pPr>
        <w:pStyle w:val="BodyText"/>
        <w:spacing w:before="7"/>
        <w:ind w:left="634"/>
      </w:pPr>
      <w:r>
        <w:rPr/>
        <w:t>肺脏：肺纤维化，已经发展为肺动脉高压、肺心病；</w:t>
      </w:r>
    </w:p>
    <w:p>
      <w:pPr>
        <w:pStyle w:val="BodyText"/>
        <w:spacing w:line="273" w:lineRule="auto" w:before="36"/>
        <w:ind w:left="634" w:right="439"/>
      </w:pPr>
      <w:r>
        <w:rPr/>
        <w:t>心脏：心室功能受损，至少达到美国纽约心脏病学会心功能状态分级Ⅲ级； 肾脏：肾脏受损，已经出现肾功能不全。</w:t>
      </w:r>
    </w:p>
    <w:p>
      <w:pPr>
        <w:pStyle w:val="BodyText"/>
        <w:spacing w:before="7"/>
        <w:ind w:left="634"/>
      </w:pPr>
      <w:r>
        <w:rPr/>
        <w:t>下列疾病不在保障范围内：</w:t>
      </w:r>
    </w:p>
    <w:p>
      <w:pPr>
        <w:pStyle w:val="BodyText"/>
        <w:ind w:left="634"/>
      </w:pPr>
      <w:r>
        <w:rPr>
          <w:w w:val="100"/>
        </w:rPr>
        <w:t>（1）局部性硬皮病（</w:t>
      </w:r>
      <w:r>
        <w:rPr>
          <w:spacing w:val="-2"/>
          <w:w w:val="100"/>
        </w:rPr>
        <w:t>如：带状硬皮病、硬斑病</w:t>
      </w:r>
      <w:r>
        <w:rPr>
          <w:spacing w:val="-108"/>
          <w:w w:val="100"/>
        </w:rPr>
        <w:t>）</w:t>
      </w:r>
      <w:r>
        <w:rPr>
          <w:w w:val="100"/>
        </w:rPr>
        <w:t>；</w:t>
      </w:r>
    </w:p>
    <w:p>
      <w:pPr>
        <w:pStyle w:val="BodyText"/>
        <w:ind w:left="634"/>
      </w:pPr>
      <w:r>
        <w:rPr/>
        <w:t>（2）嗜酸性粒细胞性筋膜炎；</w:t>
      </w:r>
    </w:p>
    <w:p>
      <w:pPr>
        <w:pStyle w:val="BodyText"/>
        <w:ind w:left="636"/>
      </w:pPr>
      <w:r>
        <w:rPr/>
        <w:t>（3）CREST 综合征。</w:t>
      </w:r>
    </w:p>
    <w:p>
      <w:pPr>
        <w:spacing w:after="0"/>
        <w:sectPr>
          <w:type w:val="continuous"/>
          <w:pgSz w:w="11910" w:h="16840"/>
          <w:pgMar w:top="1120" w:bottom="1180" w:left="1160" w:right="780"/>
          <w:cols w:num="2" w:equalWidth="0">
            <w:col w:w="1917" w:space="40"/>
            <w:col w:w="8013"/>
          </w:cols>
        </w:sectPr>
      </w:pPr>
    </w:p>
    <w:p>
      <w:pPr>
        <w:pStyle w:val="BodyText"/>
        <w:spacing w:before="12"/>
        <w:rPr>
          <w:sz w:val="23"/>
        </w:rPr>
      </w:pPr>
    </w:p>
    <w:p>
      <w:pPr>
        <w:spacing w:after="0"/>
        <w:rPr>
          <w:sz w:val="23"/>
        </w:rPr>
        <w:sectPr>
          <w:type w:val="continuous"/>
          <w:pgSz w:w="11910" w:h="16840"/>
          <w:pgMar w:top="1120" w:bottom="1180" w:left="1160" w:right="780"/>
        </w:sectPr>
      </w:pPr>
    </w:p>
    <w:p>
      <w:pPr>
        <w:pStyle w:val="BodyText"/>
        <w:spacing w:before="36"/>
        <w:ind w:left="860"/>
      </w:pPr>
      <w:r>
        <w:rPr/>
        <w:t>5.3.24</w:t>
      </w:r>
    </w:p>
    <w:p>
      <w:pPr>
        <w:pStyle w:val="BodyText"/>
        <w:ind w:left="860"/>
      </w:pPr>
      <w:r>
        <w:rPr/>
        <w:t>脊髓灰质炎</w:t>
      </w:r>
    </w:p>
    <w:p>
      <w:pPr>
        <w:pStyle w:val="BodyText"/>
        <w:spacing w:line="273" w:lineRule="auto"/>
        <w:ind w:left="860"/>
      </w:pPr>
      <w:r>
        <w:rPr/>
        <w:t>（或称小儿麻痹症）</w:t>
      </w:r>
    </w:p>
    <w:p>
      <w:pPr>
        <w:pStyle w:val="BodyText"/>
        <w:spacing w:line="273" w:lineRule="auto" w:before="36"/>
        <w:ind w:left="214" w:right="453" w:firstLine="420"/>
        <w:jc w:val="both"/>
      </w:pPr>
      <w:r>
        <w:rPr/>
        <w:br w:type="column"/>
      </w:r>
      <w:r>
        <w:rPr>
          <w:spacing w:val="1"/>
        </w:rPr>
        <w:t>是指由于急性脊髓灰质炎病毒感染所导致的运动功能障碍或呼吸功能减弱</w:t>
      </w:r>
      <w:r>
        <w:rPr>
          <w:spacing w:val="-4"/>
        </w:rPr>
        <w:t>的瘫痪性疾病。诊断必须由本公司认可的神经科专科医生确诊并提供相关的脊髓</w:t>
      </w:r>
      <w:r>
        <w:rPr>
          <w:spacing w:val="-3"/>
        </w:rPr>
        <w:t>灰质炎病毒感染的证据（例如：脑脊液检查或血清学抗体检查报告</w:t>
      </w:r>
      <w:r>
        <w:rPr>
          <w:spacing w:val="-106"/>
        </w:rPr>
        <w:t>）</w:t>
      </w:r>
      <w:r>
        <w:rPr/>
        <w:t>。</w:t>
      </w:r>
    </w:p>
    <w:p>
      <w:pPr>
        <w:pStyle w:val="BodyText"/>
        <w:spacing w:line="273" w:lineRule="auto" w:before="7"/>
        <w:ind w:left="214" w:right="515" w:firstLine="422"/>
        <w:jc w:val="both"/>
      </w:pPr>
      <w:r>
        <w:rPr/>
        <w:t>未导致肢体瘫痪及其它病因所致的瘫痪，例如格林一巴利综合症(急性感染性多神经炎)则不在保障范围内。</w:t>
      </w:r>
    </w:p>
    <w:p>
      <w:pPr>
        <w:spacing w:after="0" w:line="273" w:lineRule="auto"/>
        <w:jc w:val="both"/>
        <w:sectPr>
          <w:type w:val="continuous"/>
          <w:pgSz w:w="11910" w:h="16840"/>
          <w:pgMar w:top="1120" w:bottom="1180" w:left="1160" w:right="780"/>
          <w:cols w:num="2" w:equalWidth="0">
            <w:col w:w="1917" w:space="40"/>
            <w:col w:w="8013"/>
          </w:cols>
        </w:sectPr>
      </w:pPr>
    </w:p>
    <w:p>
      <w:pPr>
        <w:pStyle w:val="BodyText"/>
        <w:spacing w:before="8"/>
      </w:pPr>
    </w:p>
    <w:p>
      <w:pPr>
        <w:spacing w:after="0"/>
        <w:sectPr>
          <w:type w:val="continuous"/>
          <w:pgSz w:w="11910" w:h="16840"/>
          <w:pgMar w:top="1120" w:bottom="1180" w:left="1160" w:right="780"/>
        </w:sectPr>
      </w:pPr>
    </w:p>
    <w:p>
      <w:pPr>
        <w:pStyle w:val="BodyText"/>
        <w:spacing w:before="36"/>
        <w:ind w:left="860"/>
      </w:pPr>
      <w:r>
        <w:rPr/>
        <w:t>5.3.25</w:t>
      </w:r>
    </w:p>
    <w:p>
      <w:pPr>
        <w:pStyle w:val="BodyText"/>
        <w:spacing w:line="273" w:lineRule="auto" w:before="36"/>
        <w:ind w:left="860"/>
      </w:pPr>
      <w:r>
        <w:rPr/>
        <w:t>肾髓质囊性病</w:t>
      </w:r>
    </w:p>
    <w:p>
      <w:pPr>
        <w:pStyle w:val="BodyText"/>
        <w:spacing w:before="36"/>
        <w:ind w:left="631"/>
      </w:pPr>
      <w:r>
        <w:rPr/>
        <w:br w:type="column"/>
      </w:r>
      <w:r>
        <w:rPr/>
        <w:t>肾髓质囊性病的诊断必须同时符合下列要求：</w:t>
      </w:r>
    </w:p>
    <w:p>
      <w:pPr>
        <w:pStyle w:val="BodyText"/>
        <w:spacing w:before="36"/>
        <w:ind w:left="526"/>
      </w:pPr>
      <w:r>
        <w:rPr/>
        <w:t>（1）肾髓质有囊肿、肾小管萎缩及间质纤维化等病理改变；</w:t>
      </w:r>
    </w:p>
    <w:p>
      <w:pPr>
        <w:pStyle w:val="BodyText"/>
        <w:spacing w:before="36"/>
        <w:ind w:left="526"/>
      </w:pPr>
      <w:r>
        <w:rPr/>
        <w:t>（2）贫血、多尿及肾功能衰竭等临床表现；</w:t>
      </w:r>
    </w:p>
    <w:p>
      <w:pPr>
        <w:pStyle w:val="BodyText"/>
        <w:spacing w:before="36"/>
        <w:ind w:left="531"/>
      </w:pPr>
      <w:r>
        <w:rPr/>
        <w:t>（3）诊断须由肾组织活检确定。</w:t>
      </w:r>
    </w:p>
    <w:p>
      <w:pPr>
        <w:spacing w:after="0"/>
        <w:sectPr>
          <w:type w:val="continuous"/>
          <w:pgSz w:w="11910" w:h="16840"/>
          <w:pgMar w:top="1120" w:bottom="1180" w:left="1160" w:right="780"/>
          <w:cols w:num="2" w:equalWidth="0">
            <w:col w:w="1917" w:space="40"/>
            <w:col w:w="8013"/>
          </w:cols>
        </w:sectPr>
      </w:pPr>
    </w:p>
    <w:p>
      <w:pPr>
        <w:pStyle w:val="BodyText"/>
        <w:spacing w:before="11"/>
        <w:rPr>
          <w:sz w:val="23"/>
        </w:rPr>
      </w:pPr>
    </w:p>
    <w:p>
      <w:pPr>
        <w:spacing w:after="0"/>
        <w:rPr>
          <w:sz w:val="23"/>
        </w:rPr>
        <w:sectPr>
          <w:type w:val="continuous"/>
          <w:pgSz w:w="11910" w:h="16840"/>
          <w:pgMar w:top="1120" w:bottom="1180" w:left="1160" w:right="780"/>
        </w:sectPr>
      </w:pPr>
    </w:p>
    <w:p>
      <w:pPr>
        <w:pStyle w:val="BodyText"/>
        <w:spacing w:before="36"/>
        <w:ind w:left="860"/>
      </w:pPr>
      <w:r>
        <w:rPr/>
        <w:t>5.3.26</w:t>
      </w:r>
    </w:p>
    <w:p>
      <w:pPr>
        <w:pStyle w:val="BodyText"/>
        <w:spacing w:line="273" w:lineRule="auto" w:before="36"/>
        <w:ind w:left="860"/>
      </w:pPr>
      <w:r>
        <w:rPr/>
        <w:t>慢性复发性胰腺炎</w:t>
      </w:r>
    </w:p>
    <w:p>
      <w:pPr>
        <w:pStyle w:val="BodyText"/>
        <w:spacing w:line="273" w:lineRule="auto" w:before="36"/>
        <w:ind w:left="214" w:right="103" w:firstLine="420"/>
        <w:jc w:val="both"/>
      </w:pPr>
      <w:r>
        <w:rPr/>
        <w:br w:type="column"/>
      </w:r>
      <w:r>
        <w:rPr>
          <w:spacing w:val="-8"/>
        </w:rPr>
        <w:t>有腹痛等典型症状的胰腺炎反复发作，导致胰腺进行性破坏，并导致胰腺功能紊</w:t>
      </w:r>
      <w:r>
        <w:rPr>
          <w:spacing w:val="-7"/>
        </w:rPr>
        <w:t>乱而导致严重糖尿病以及营养不良、恶液质。</w:t>
      </w:r>
      <w:r>
        <w:rPr/>
        <w:t>CT</w:t>
      </w:r>
      <w:r>
        <w:rPr>
          <w:spacing w:val="-2"/>
        </w:rPr>
        <w:t> 检查证实胰腺存在广泛钙化，且必</w:t>
      </w:r>
      <w:r>
        <w:rPr>
          <w:spacing w:val="-5"/>
        </w:rPr>
        <w:t>须接受酶替代以及胰岛素替代治疗 </w:t>
      </w:r>
      <w:r>
        <w:rPr/>
        <w:t>6</w:t>
      </w:r>
      <w:r>
        <w:rPr>
          <w:spacing w:val="-7"/>
        </w:rPr>
        <w:t> 个月以上。诊断必须由消化科专科医生确诊。</w:t>
      </w:r>
    </w:p>
    <w:p>
      <w:pPr>
        <w:pStyle w:val="BodyText"/>
        <w:spacing w:before="7"/>
        <w:ind w:left="636"/>
      </w:pPr>
      <w:r>
        <w:rPr/>
        <w:t>酒精导致的慢性复发性胰腺炎不在保障范围内。</w:t>
      </w:r>
    </w:p>
    <w:p>
      <w:pPr>
        <w:spacing w:after="0"/>
        <w:sectPr>
          <w:type w:val="continuous"/>
          <w:pgSz w:w="11910" w:h="16840"/>
          <w:pgMar w:top="1120" w:bottom="1180" w:left="1160" w:right="780"/>
          <w:cols w:num="2" w:equalWidth="0">
            <w:col w:w="1917" w:space="40"/>
            <w:col w:w="8013"/>
          </w:cols>
        </w:sectPr>
      </w:pPr>
    </w:p>
    <w:p>
      <w:pPr>
        <w:pStyle w:val="BodyText"/>
        <w:spacing w:before="11"/>
        <w:rPr>
          <w:sz w:val="23"/>
        </w:rPr>
      </w:pPr>
    </w:p>
    <w:p>
      <w:pPr>
        <w:spacing w:after="0"/>
        <w:rPr>
          <w:sz w:val="23"/>
        </w:rPr>
        <w:sectPr>
          <w:type w:val="continuous"/>
          <w:pgSz w:w="11910" w:h="16840"/>
          <w:pgMar w:top="1120" w:bottom="1180" w:left="1160" w:right="780"/>
        </w:sectPr>
      </w:pPr>
    </w:p>
    <w:p>
      <w:pPr>
        <w:pStyle w:val="BodyText"/>
        <w:spacing w:line="273" w:lineRule="auto"/>
        <w:ind w:left="860"/>
      </w:pPr>
      <w:r>
        <w:rPr/>
        <w:t>5.3.27</w:t>
      </w:r>
      <w:r>
        <w:rPr>
          <w:spacing w:val="-20"/>
        </w:rPr>
        <w:t> 持续植物人状态</w:t>
      </w:r>
    </w:p>
    <w:p>
      <w:pPr>
        <w:pStyle w:val="BodyText"/>
        <w:spacing w:line="273" w:lineRule="auto"/>
        <w:ind w:left="173" w:right="428" w:firstLine="420"/>
      </w:pPr>
      <w:r>
        <w:rPr/>
        <w:br w:type="column"/>
      </w:r>
      <w:r>
        <w:rPr/>
        <w:t>指经神经科医生确诊，CT、MRI 等证实大脑皮质全面坏死。患者临床表现意识完全丧失，但脑干功能仍保持完好，且此情况持续一个月或一个月以上。</w:t>
      </w:r>
    </w:p>
    <w:p>
      <w:pPr>
        <w:spacing w:after="0" w:line="273" w:lineRule="auto"/>
        <w:sectPr>
          <w:type w:val="continuous"/>
          <w:pgSz w:w="11910" w:h="16840"/>
          <w:pgMar w:top="1120" w:bottom="1180" w:left="1160" w:right="780"/>
          <w:cols w:num="2" w:equalWidth="0">
            <w:col w:w="1958" w:space="40"/>
            <w:col w:w="7972"/>
          </w:cols>
        </w:sectPr>
      </w:pPr>
    </w:p>
    <w:p>
      <w:pPr>
        <w:pStyle w:val="BodyText"/>
        <w:spacing w:before="8"/>
      </w:pPr>
    </w:p>
    <w:p>
      <w:pPr>
        <w:spacing w:after="0"/>
        <w:sectPr>
          <w:type w:val="continuous"/>
          <w:pgSz w:w="11910" w:h="16840"/>
          <w:pgMar w:top="1120" w:bottom="1180" w:left="1160" w:right="780"/>
        </w:sectPr>
      </w:pPr>
    </w:p>
    <w:p>
      <w:pPr>
        <w:pStyle w:val="BodyText"/>
        <w:ind w:left="860"/>
      </w:pPr>
      <w:r>
        <w:rPr/>
        <w:t>5.3.28</w:t>
      </w:r>
    </w:p>
    <w:p>
      <w:pPr>
        <w:pStyle w:val="BodyText"/>
        <w:spacing w:line="273" w:lineRule="auto"/>
        <w:ind w:left="860"/>
      </w:pPr>
      <w:r>
        <w:rPr/>
        <w:t>肌营养不良症</w:t>
      </w:r>
    </w:p>
    <w:p>
      <w:pPr>
        <w:pStyle w:val="BodyText"/>
        <w:ind w:left="634"/>
      </w:pPr>
      <w:r>
        <w:rPr/>
        <w:br w:type="column"/>
      </w:r>
      <w:r>
        <w:rPr/>
        <w:t>须满足下列全部条件：</w:t>
      </w:r>
    </w:p>
    <w:p>
      <w:pPr>
        <w:pStyle w:val="BodyText"/>
        <w:ind w:left="634"/>
      </w:pPr>
      <w:r>
        <w:rPr/>
        <w:t>（1）临床症状包含无感觉障碍、脑脊髓液正常、轻度的腱反射减少；</w:t>
      </w:r>
    </w:p>
    <w:p>
      <w:pPr>
        <w:pStyle w:val="BodyText"/>
        <w:ind w:left="634"/>
      </w:pPr>
      <w:r>
        <w:rPr/>
        <w:t>（2）肌电图显示肌营养不良症的特征性改变；</w:t>
      </w:r>
    </w:p>
    <w:p>
      <w:pPr>
        <w:pStyle w:val="BodyText"/>
        <w:spacing w:line="273" w:lineRule="auto"/>
        <w:ind w:left="214" w:right="544" w:firstLine="420"/>
      </w:pPr>
      <w:r>
        <w:rPr/>
        <w:t>（3）肌肉活体组织检查的病理学诊断符合肌营养不良症的肌肉细胞变性、坏死等阳性改变。</w:t>
      </w:r>
    </w:p>
    <w:p>
      <w:pPr>
        <w:spacing w:after="0" w:line="273" w:lineRule="auto"/>
        <w:sectPr>
          <w:type w:val="continuous"/>
          <w:pgSz w:w="11910" w:h="16840"/>
          <w:pgMar w:top="1120" w:bottom="1180" w:left="1160" w:right="780"/>
          <w:cols w:num="2" w:equalWidth="0">
            <w:col w:w="1917" w:space="40"/>
            <w:col w:w="8013"/>
          </w:cols>
        </w:sectPr>
      </w:pPr>
    </w:p>
    <w:p>
      <w:pPr>
        <w:pStyle w:val="BodyText"/>
        <w:spacing w:before="2"/>
        <w:rPr>
          <w:sz w:val="19"/>
        </w:rPr>
      </w:pPr>
    </w:p>
    <w:p>
      <w:pPr>
        <w:spacing w:after="0"/>
        <w:rPr>
          <w:sz w:val="19"/>
        </w:rPr>
        <w:sectPr>
          <w:pgSz w:w="11910" w:h="16840"/>
          <w:pgMar w:header="879" w:footer="999" w:top="1120" w:bottom="1180" w:left="1140" w:right="920"/>
        </w:sectPr>
      </w:pPr>
    </w:p>
    <w:p>
      <w:pPr>
        <w:pStyle w:val="BodyText"/>
        <w:ind w:left="880"/>
      </w:pPr>
      <w:r>
        <w:rPr/>
        <w:t>5.3.29</w:t>
      </w:r>
    </w:p>
    <w:p>
      <w:pPr>
        <w:pStyle w:val="BodyText"/>
        <w:ind w:left="880"/>
      </w:pPr>
      <w:r>
        <w:rPr/>
        <w:t>终末期肺病</w:t>
      </w:r>
    </w:p>
    <w:p>
      <w:pPr>
        <w:pStyle w:val="BodyText"/>
        <w:ind w:left="634"/>
      </w:pPr>
      <w:r>
        <w:rPr/>
        <w:br w:type="column"/>
      </w:r>
      <w:r>
        <w:rPr/>
        <w:t>因终末期肺病而出现的慢性呼吸功能衰竭，须满足下列全部条件：</w:t>
      </w:r>
    </w:p>
    <w:p>
      <w:pPr>
        <w:pStyle w:val="BodyText"/>
        <w:ind w:left="634"/>
      </w:pPr>
      <w:r>
        <w:rPr/>
        <w:t>（1）肺功能测试其FEV1 持续低于 0.75 升；</w:t>
      </w:r>
    </w:p>
    <w:p>
      <w:pPr>
        <w:pStyle w:val="BodyText"/>
        <w:ind w:left="634"/>
      </w:pPr>
      <w:r>
        <w:rPr/>
        <w:t>（2）病人缺氧必须广泛而持续地进行输氧治疗；</w:t>
      </w:r>
    </w:p>
    <w:p>
      <w:pPr>
        <w:pStyle w:val="BodyText"/>
        <w:ind w:left="634"/>
      </w:pPr>
      <w:r>
        <w:rPr/>
        <w:t>（3）动脉血气分析氧分压低于 55mmHg。</w:t>
      </w:r>
    </w:p>
    <w:p>
      <w:pPr>
        <w:spacing w:after="0"/>
        <w:sectPr>
          <w:type w:val="continuous"/>
          <w:pgSz w:w="11910" w:h="16840"/>
          <w:pgMar w:top="1120" w:bottom="1180" w:left="1140" w:right="920"/>
          <w:cols w:num="2" w:equalWidth="0">
            <w:col w:w="1937" w:space="40"/>
            <w:col w:w="7873"/>
          </w:cols>
        </w:sectPr>
      </w:pPr>
    </w:p>
    <w:p>
      <w:pPr>
        <w:pStyle w:val="BodyText"/>
        <w:spacing w:before="11"/>
        <w:rPr>
          <w:sz w:val="23"/>
        </w:rPr>
      </w:pPr>
    </w:p>
    <w:p>
      <w:pPr>
        <w:spacing w:after="0"/>
        <w:rPr>
          <w:sz w:val="23"/>
        </w:rPr>
        <w:sectPr>
          <w:type w:val="continuous"/>
          <w:pgSz w:w="11910" w:h="16840"/>
          <w:pgMar w:top="1120" w:bottom="1180" w:left="1140" w:right="920"/>
        </w:sectPr>
      </w:pPr>
    </w:p>
    <w:p>
      <w:pPr>
        <w:pStyle w:val="BodyText"/>
        <w:ind w:left="880"/>
      </w:pPr>
      <w:r>
        <w:rPr/>
        <w:t>5.3.30</w:t>
      </w:r>
    </w:p>
    <w:p>
      <w:pPr>
        <w:pStyle w:val="BodyText"/>
        <w:spacing w:line="273" w:lineRule="auto"/>
        <w:ind w:left="880"/>
      </w:pPr>
      <w:r>
        <w:rPr/>
        <w:t>系统性红斑狼疮性肾炎</w:t>
      </w:r>
    </w:p>
    <w:p>
      <w:pPr>
        <w:pStyle w:val="BodyText"/>
        <w:spacing w:line="273" w:lineRule="auto"/>
        <w:ind w:left="214" w:right="207" w:firstLine="420"/>
      </w:pPr>
      <w:r>
        <w:rPr/>
        <w:br w:type="column"/>
      </w:r>
      <w:r>
        <w:rPr>
          <w:spacing w:val="-4"/>
        </w:rPr>
        <w:t>指系统性红斑狼疮患者并发狼疮性肾炎而影响和损害肾脏功能，且肌酐清除</w:t>
      </w:r>
      <w:r>
        <w:rPr>
          <w:spacing w:val="-8"/>
        </w:rPr>
        <w:t>率持续低于 </w:t>
      </w:r>
      <w:r>
        <w:rPr/>
        <w:t>30ml/</w:t>
      </w:r>
      <w:r>
        <w:rPr>
          <w:spacing w:val="-10"/>
        </w:rPr>
        <w:t>分。系统性红斑狼疮性肾炎的诊断必须经本公司认可医院确诊， </w:t>
      </w:r>
      <w:r>
        <w:rPr>
          <w:spacing w:val="-5"/>
        </w:rPr>
        <w:t>并满足下列条件：</w:t>
      </w:r>
    </w:p>
    <w:p>
      <w:pPr>
        <w:pStyle w:val="BodyText"/>
        <w:spacing w:before="8"/>
        <w:ind w:left="634"/>
      </w:pPr>
      <w:r>
        <w:rPr/>
        <w:t>（1）临床表现至少具备下列条件的四个：</w:t>
      </w:r>
    </w:p>
    <w:p>
      <w:pPr>
        <w:pStyle w:val="BodyText"/>
        <w:ind w:left="634"/>
      </w:pPr>
      <w:r>
        <w:rPr/>
        <w:t>① 蝶形红斑或盘形红斑；</w:t>
      </w:r>
    </w:p>
    <w:p>
      <w:pPr>
        <w:pStyle w:val="BodyText"/>
        <w:ind w:left="634"/>
      </w:pPr>
      <w:r>
        <w:rPr/>
        <w:t>② 光敏感；</w:t>
      </w:r>
    </w:p>
    <w:p>
      <w:pPr>
        <w:pStyle w:val="BodyText"/>
        <w:ind w:left="634"/>
      </w:pPr>
      <w:r>
        <w:rPr/>
        <w:t>③ 口鼻腔黏膜溃疡；</w:t>
      </w:r>
    </w:p>
    <w:p>
      <w:pPr>
        <w:pStyle w:val="BodyText"/>
        <w:ind w:left="634"/>
      </w:pPr>
      <w:r>
        <w:rPr/>
        <w:t>④ 非畸形性关节炎或多关节痛；</w:t>
      </w:r>
    </w:p>
    <w:p>
      <w:pPr>
        <w:pStyle w:val="BodyText"/>
        <w:ind w:left="634"/>
      </w:pPr>
      <w:r>
        <w:rPr/>
        <w:t>⑤ 胸膜炎或心包炎；</w:t>
      </w:r>
    </w:p>
    <w:p>
      <w:pPr>
        <w:pStyle w:val="BodyText"/>
        <w:ind w:left="634"/>
      </w:pPr>
      <w:r>
        <w:rPr>
          <w:w w:val="100"/>
        </w:rPr>
        <w:t>⑥</w:t>
      </w:r>
      <w:r>
        <w:rPr/>
        <w:t> </w:t>
      </w:r>
      <w:r>
        <w:rPr>
          <w:spacing w:val="-3"/>
          <w:w w:val="100"/>
        </w:rPr>
        <w:t>神经系统损伤（癫痫或精神症状</w:t>
      </w:r>
      <w:r>
        <w:rPr>
          <w:spacing w:val="-108"/>
          <w:w w:val="100"/>
        </w:rPr>
        <w:t>）</w:t>
      </w:r>
      <w:r>
        <w:rPr>
          <w:w w:val="100"/>
        </w:rPr>
        <w:t>；</w:t>
      </w:r>
    </w:p>
    <w:p>
      <w:pPr>
        <w:pStyle w:val="BodyText"/>
        <w:spacing w:line="273" w:lineRule="auto"/>
        <w:ind w:left="214" w:right="270" w:firstLine="420"/>
      </w:pPr>
      <w:r>
        <w:rPr/>
        <w:t>⑦ 血象异常（白细胞小于 4×10</w:t>
      </w:r>
      <w:r>
        <w:rPr>
          <w:position w:val="11"/>
          <w:sz w:val="11"/>
        </w:rPr>
        <w:t>9</w:t>
      </w:r>
      <w:r>
        <w:rPr/>
        <w:t>/L 或血小板小于 100×10</w:t>
      </w:r>
      <w:r>
        <w:rPr>
          <w:position w:val="11"/>
          <w:sz w:val="11"/>
        </w:rPr>
        <w:t>9</w:t>
      </w:r>
      <w:r>
        <w:rPr/>
        <w:t>/L 或溶血性贫血）。</w:t>
      </w:r>
    </w:p>
    <w:p>
      <w:pPr>
        <w:pStyle w:val="BodyText"/>
        <w:spacing w:before="7"/>
        <w:ind w:left="634"/>
      </w:pPr>
      <w:r>
        <w:rPr/>
        <w:t>（2）检测结果至少具备下列条件的两个：</w:t>
      </w:r>
    </w:p>
    <w:p>
      <w:pPr>
        <w:pStyle w:val="BodyText"/>
        <w:spacing w:before="36"/>
        <w:ind w:left="634"/>
      </w:pPr>
      <w:r>
        <w:rPr/>
        <w:t>① 抗dsDNA 抗体阳性；</w:t>
      </w:r>
    </w:p>
    <w:p>
      <w:pPr>
        <w:pStyle w:val="BodyText"/>
        <w:spacing w:before="36"/>
        <w:ind w:left="634"/>
      </w:pPr>
      <w:r>
        <w:rPr/>
        <w:t>② 抗Sm 抗体阳性；</w:t>
      </w:r>
    </w:p>
    <w:p>
      <w:pPr>
        <w:pStyle w:val="BodyText"/>
        <w:spacing w:before="36"/>
        <w:ind w:left="634"/>
      </w:pPr>
      <w:r>
        <w:rPr/>
        <w:t>③ 抗核抗体阳性；</w:t>
      </w:r>
    </w:p>
    <w:p>
      <w:pPr>
        <w:pStyle w:val="BodyText"/>
        <w:spacing w:before="36"/>
        <w:ind w:left="634"/>
      </w:pPr>
      <w:r>
        <w:rPr/>
        <w:t>④ 皮肤狼疮带试验（非病损部位）或肾活检阳性；</w:t>
      </w:r>
    </w:p>
    <w:p>
      <w:pPr>
        <w:pStyle w:val="BodyText"/>
        <w:spacing w:before="36"/>
        <w:ind w:left="634"/>
      </w:pPr>
      <w:r>
        <w:rPr/>
        <w:t>⑤ C3 降低。</w:t>
      </w:r>
    </w:p>
    <w:p>
      <w:pPr>
        <w:pStyle w:val="BodyText"/>
        <w:spacing w:before="8"/>
        <w:rPr>
          <w:sz w:val="26"/>
        </w:rPr>
      </w:pPr>
    </w:p>
    <w:p>
      <w:pPr>
        <w:pStyle w:val="BodyText"/>
        <w:spacing w:line="273" w:lineRule="auto" w:before="0"/>
        <w:ind w:left="214" w:right="210" w:firstLine="420"/>
      </w:pPr>
      <w:r>
        <w:rPr>
          <w:spacing w:val="-13"/>
        </w:rPr>
        <w:t>以上第 </w:t>
      </w:r>
      <w:r>
        <w:rPr/>
        <w:t>1</w:t>
      </w:r>
      <w:r>
        <w:rPr>
          <w:spacing w:val="-30"/>
        </w:rPr>
        <w:t> 至 </w:t>
      </w:r>
      <w:r>
        <w:rPr/>
        <w:t>19</w:t>
      </w:r>
      <w:r>
        <w:rPr>
          <w:spacing w:val="-8"/>
        </w:rPr>
        <w:t> 种疾病的名称和释义为中国保险行业协会制定的《重大疾病保</w:t>
      </w:r>
      <w:r>
        <w:rPr>
          <w:spacing w:val="-14"/>
        </w:rPr>
        <w:t>险的疾病定义使用规范》中的疾病名称和释义，并对“双耳失聪”</w:t>
      </w:r>
      <w:r>
        <w:rPr>
          <w:spacing w:val="-22"/>
        </w:rPr>
        <w:t>、“双目失明” </w:t>
      </w:r>
      <w:r>
        <w:rPr>
          <w:spacing w:val="-5"/>
        </w:rPr>
        <w:t>和“语言能力丧失”的定义进行了限制，仅承担被保险人在一定年龄后的保险责</w:t>
      </w:r>
      <w:r>
        <w:rPr>
          <w:spacing w:val="-14"/>
        </w:rPr>
        <w:t>任。第 </w:t>
      </w:r>
      <w:r>
        <w:rPr/>
        <w:t>20</w:t>
      </w:r>
      <w:r>
        <w:rPr>
          <w:spacing w:val="-25"/>
        </w:rPr>
        <w:t> 种至 </w:t>
      </w:r>
      <w:r>
        <w:rPr/>
        <w:t>30</w:t>
      </w:r>
      <w:r>
        <w:rPr>
          <w:spacing w:val="-8"/>
        </w:rPr>
        <w:t> 种疾病为本公司增加的疾病类型。</w:t>
      </w:r>
    </w:p>
    <w:p>
      <w:pPr>
        <w:pStyle w:val="BodyText"/>
        <w:spacing w:line="273" w:lineRule="auto" w:before="7"/>
        <w:ind w:left="214" w:right="270"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214" w:right="210" w:firstLine="422"/>
      </w:pPr>
      <w:r>
        <w:rPr>
          <w:spacing w:val="-4"/>
        </w:rPr>
        <w:t>语言能力完全丧失，指无法发出四种语音</w:t>
      </w:r>
      <w:r>
        <w:rPr/>
        <w:t>（</w:t>
      </w:r>
      <w:r>
        <w:rPr>
          <w:spacing w:val="-6"/>
        </w:rPr>
        <w:t>包括口唇音、齿舌音、口盖音和</w:t>
      </w:r>
      <w:r>
        <w:rPr>
          <w:spacing w:val="-2"/>
        </w:rPr>
        <w:t>喉头音</w:t>
      </w:r>
      <w:r>
        <w:rPr>
          <w:spacing w:val="-41"/>
        </w:rPr>
        <w:t>）</w:t>
      </w:r>
      <w:r>
        <w:rPr>
          <w:spacing w:val="-11"/>
        </w:rPr>
        <w:t>中的任何三种、或声带全部切除，或因大脑语言中枢受伤害而患失语症。</w:t>
      </w:r>
    </w:p>
    <w:p>
      <w:pPr>
        <w:pStyle w:val="BodyText"/>
        <w:spacing w:line="273" w:lineRule="auto" w:before="7"/>
        <w:ind w:left="214" w:right="269" w:firstLine="422"/>
      </w:pPr>
      <w:r>
        <w:rPr/>
        <w:t>咀嚼吞咽能力完全丧失，指因牙齿以外的原因导致器质障碍或机能障碍，以致不能作咀嚼吞咽运动，除流质食物外不能摄取或吞咽的状态。</w:t>
      </w:r>
    </w:p>
    <w:p>
      <w:pPr>
        <w:pStyle w:val="BodyText"/>
        <w:spacing w:before="7"/>
        <w:ind w:left="636"/>
      </w:pPr>
      <w:r>
        <w:rPr/>
        <w:t>六项基本日常生活活动指：</w:t>
      </w:r>
    </w:p>
    <w:p>
      <w:pPr>
        <w:pStyle w:val="BodyText"/>
        <w:ind w:left="634"/>
      </w:pPr>
      <w:r>
        <w:rPr/>
        <w:t>（1）穿衣：自己能够穿衣及脱衣；</w:t>
      </w:r>
    </w:p>
    <w:p>
      <w:pPr>
        <w:pStyle w:val="BodyText"/>
        <w:ind w:left="636"/>
      </w:pPr>
      <w:r>
        <w:rPr/>
        <w:t>（2）移动：自己从一个房间到另一个房间；</w:t>
      </w:r>
    </w:p>
    <w:p>
      <w:pPr>
        <w:pStyle w:val="BodyText"/>
        <w:ind w:left="634"/>
      </w:pPr>
      <w:r>
        <w:rPr/>
        <w:t>（3）行动：自己上下床或上下轮椅；</w:t>
      </w:r>
    </w:p>
    <w:p>
      <w:pPr>
        <w:pStyle w:val="BodyText"/>
        <w:ind w:left="634"/>
      </w:pPr>
      <w:r>
        <w:rPr/>
        <w:t>（4）如厕：自己控制进行大小便；</w:t>
      </w:r>
    </w:p>
    <w:p>
      <w:pPr>
        <w:pStyle w:val="BodyText"/>
        <w:ind w:left="634"/>
      </w:pPr>
      <w:r>
        <w:rPr/>
        <w:t>（5）进食：自己从已准备好的碗或碟中取食物放入口中；</w:t>
      </w:r>
    </w:p>
    <w:p>
      <w:pPr>
        <w:pStyle w:val="BodyText"/>
        <w:ind w:left="634"/>
      </w:pPr>
      <w:r>
        <w:rPr/>
        <w:t>（6）洗澡：自己进行淋浴或盆浴。</w:t>
      </w:r>
    </w:p>
    <w:p>
      <w:pPr>
        <w:pStyle w:val="BodyText"/>
        <w:spacing w:line="273" w:lineRule="auto"/>
        <w:ind w:left="214" w:right="210" w:firstLine="422"/>
      </w:pPr>
      <w:r>
        <w:rPr>
          <w:spacing w:val="-17"/>
        </w:rPr>
        <w:t>永久不可逆，指自疾病确诊或意外伤害发生之日起，经过积极治疗 </w:t>
      </w:r>
      <w:r>
        <w:rPr/>
        <w:t>180</w:t>
      </w:r>
      <w:r>
        <w:rPr>
          <w:spacing w:val="2"/>
        </w:rPr>
        <w:t> 天后， </w:t>
      </w:r>
      <w:r>
        <w:rPr>
          <w:spacing w:val="-3"/>
        </w:rPr>
        <w:t>仍无法通过现有医疗手段恢复。</w:t>
      </w:r>
    </w:p>
    <w:p>
      <w:pPr>
        <w:spacing w:after="0" w:line="273" w:lineRule="auto"/>
        <w:sectPr>
          <w:type w:val="continuous"/>
          <w:pgSz w:w="11910" w:h="16840"/>
          <w:pgMar w:top="1120" w:bottom="1180" w:left="1140" w:right="920"/>
          <w:cols w:num="2" w:equalWidth="0">
            <w:col w:w="1937" w:space="40"/>
            <w:col w:w="7873"/>
          </w:cols>
        </w:sectPr>
      </w:pPr>
    </w:p>
    <w:p>
      <w:pPr>
        <w:pStyle w:val="BodyText"/>
        <w:spacing w:before="8"/>
      </w:pPr>
    </w:p>
    <w:p>
      <w:pPr>
        <w:pStyle w:val="ListParagraph"/>
        <w:numPr>
          <w:ilvl w:val="1"/>
          <w:numId w:val="5"/>
        </w:numPr>
        <w:tabs>
          <w:tab w:pos="880" w:val="left" w:leader="none"/>
          <w:tab w:pos="881" w:val="left" w:leader="none"/>
          <w:tab w:pos="2610" w:val="left" w:leader="none"/>
        </w:tabs>
        <w:spacing w:line="240" w:lineRule="auto" w:before="37" w:after="0"/>
        <w:ind w:left="880" w:right="0" w:hanging="778"/>
        <w:jc w:val="left"/>
        <w:rPr>
          <w:sz w:val="21"/>
        </w:rPr>
      </w:pPr>
      <w:r>
        <w:rPr>
          <w:sz w:val="21"/>
        </w:rPr>
        <w:t>本保险实际</w:t>
        <w:tab/>
        <w:t>指您</w:t>
      </w:r>
      <w:r>
        <w:rPr>
          <w:spacing w:val="-3"/>
          <w:sz w:val="21"/>
        </w:rPr>
        <w:t>依</w:t>
      </w:r>
      <w:r>
        <w:rPr>
          <w:sz w:val="21"/>
        </w:rPr>
        <w:t>据</w:t>
      </w:r>
      <w:r>
        <w:rPr>
          <w:spacing w:val="-3"/>
          <w:sz w:val="21"/>
        </w:rPr>
        <w:t>本</w:t>
      </w:r>
      <w:r>
        <w:rPr>
          <w:sz w:val="21"/>
        </w:rPr>
        <w:t>合</w:t>
      </w:r>
      <w:r>
        <w:rPr>
          <w:spacing w:val="-3"/>
          <w:sz w:val="21"/>
        </w:rPr>
        <w:t>同</w:t>
      </w:r>
      <w:r>
        <w:rPr>
          <w:sz w:val="21"/>
        </w:rPr>
        <w:t>已</w:t>
      </w:r>
      <w:r>
        <w:rPr>
          <w:spacing w:val="-3"/>
          <w:sz w:val="21"/>
        </w:rPr>
        <w:t>经</w:t>
      </w:r>
      <w:r>
        <w:rPr>
          <w:sz w:val="21"/>
        </w:rPr>
        <w:t>向</w:t>
      </w:r>
      <w:r>
        <w:rPr>
          <w:spacing w:val="-3"/>
          <w:sz w:val="21"/>
        </w:rPr>
        <w:t>本</w:t>
      </w:r>
      <w:r>
        <w:rPr>
          <w:sz w:val="21"/>
        </w:rPr>
        <w:t>公司</w:t>
      </w:r>
      <w:r>
        <w:rPr>
          <w:spacing w:val="-3"/>
          <w:sz w:val="21"/>
        </w:rPr>
        <w:t>交</w:t>
      </w:r>
      <w:r>
        <w:rPr>
          <w:sz w:val="21"/>
        </w:rPr>
        <w:t>纳</w:t>
      </w:r>
      <w:r>
        <w:rPr>
          <w:spacing w:val="-3"/>
          <w:sz w:val="21"/>
        </w:rPr>
        <w:t>的</w:t>
      </w:r>
      <w:r>
        <w:rPr>
          <w:sz w:val="21"/>
        </w:rPr>
        <w:t>保</w:t>
      </w:r>
      <w:r>
        <w:rPr>
          <w:spacing w:val="-3"/>
          <w:sz w:val="21"/>
        </w:rPr>
        <w:t>险费</w:t>
      </w:r>
      <w:r>
        <w:rPr>
          <w:spacing w:val="-8"/>
          <w:sz w:val="21"/>
        </w:rPr>
        <w:t>；</w:t>
      </w:r>
      <w:r>
        <w:rPr>
          <w:spacing w:val="-3"/>
          <w:sz w:val="21"/>
        </w:rPr>
        <w:t>如本</w:t>
      </w:r>
      <w:r>
        <w:rPr>
          <w:sz w:val="21"/>
        </w:rPr>
        <w:t>合同</w:t>
      </w:r>
      <w:r>
        <w:rPr>
          <w:spacing w:val="-3"/>
          <w:sz w:val="21"/>
        </w:rPr>
        <w:t>发</w:t>
      </w:r>
      <w:r>
        <w:rPr>
          <w:sz w:val="21"/>
        </w:rPr>
        <w:t>生</w:t>
      </w:r>
      <w:r>
        <w:rPr>
          <w:spacing w:val="-3"/>
          <w:sz w:val="21"/>
        </w:rPr>
        <w:t>过</w:t>
      </w:r>
      <w:r>
        <w:rPr>
          <w:sz w:val="21"/>
        </w:rPr>
        <w:t>减</w:t>
      </w:r>
      <w:r>
        <w:rPr>
          <w:spacing w:val="-3"/>
          <w:sz w:val="21"/>
        </w:rPr>
        <w:t>保</w:t>
      </w:r>
      <w:r>
        <w:rPr>
          <w:sz w:val="21"/>
        </w:rPr>
        <w:t>情</w:t>
      </w:r>
      <w:r>
        <w:rPr>
          <w:spacing w:val="-3"/>
          <w:sz w:val="21"/>
        </w:rPr>
        <w:t>形</w:t>
      </w:r>
      <w:r>
        <w:rPr>
          <w:spacing w:val="-10"/>
          <w:sz w:val="21"/>
        </w:rPr>
        <w:t>，</w:t>
      </w:r>
      <w:r>
        <w:rPr>
          <w:sz w:val="21"/>
        </w:rPr>
        <w:t>则</w:t>
      </w:r>
    </w:p>
    <w:p>
      <w:pPr>
        <w:spacing w:after="0" w:line="240" w:lineRule="auto"/>
        <w:jc w:val="left"/>
        <w:rPr>
          <w:sz w:val="21"/>
        </w:rPr>
        <w:sectPr>
          <w:type w:val="continuous"/>
          <w:pgSz w:w="11910" w:h="16840"/>
          <w:pgMar w:top="1120" w:bottom="1180" w:left="1140" w:right="920"/>
        </w:sectPr>
      </w:pPr>
    </w:p>
    <w:p>
      <w:pPr>
        <w:pStyle w:val="BodyText"/>
        <w:spacing w:before="2"/>
        <w:rPr>
          <w:sz w:val="19"/>
        </w:rPr>
      </w:pPr>
    </w:p>
    <w:p>
      <w:pPr>
        <w:spacing w:after="0"/>
        <w:rPr>
          <w:sz w:val="19"/>
        </w:rPr>
        <w:sectPr>
          <w:pgSz w:w="11910" w:h="16840"/>
          <w:pgMar w:header="879" w:footer="999" w:top="1120" w:bottom="1180" w:left="1140" w:right="920"/>
        </w:sectPr>
      </w:pPr>
    </w:p>
    <w:p>
      <w:pPr>
        <w:pStyle w:val="BodyText"/>
        <w:spacing w:line="273" w:lineRule="auto"/>
        <w:ind w:left="880"/>
      </w:pPr>
      <w:r>
        <w:rPr/>
        <w:t>交纳的保险费</w:t>
      </w:r>
    </w:p>
    <w:p>
      <w:pPr>
        <w:pStyle w:val="BodyText"/>
        <w:ind w:left="214"/>
      </w:pPr>
      <w:r>
        <w:rPr/>
        <w:br w:type="column"/>
      </w:r>
      <w:r>
        <w:rPr/>
        <w:t>实际交纳的保险费为扣除每次减保所对应的保险费后的余额。</w:t>
      </w:r>
    </w:p>
    <w:p>
      <w:pPr>
        <w:spacing w:after="0"/>
        <w:sectPr>
          <w:type w:val="continuous"/>
          <w:pgSz w:w="11910" w:h="16840"/>
          <w:pgMar w:top="1120" w:bottom="1180" w:left="1140" w:right="920"/>
          <w:cols w:num="2" w:equalWidth="0">
            <w:col w:w="1937" w:space="40"/>
            <w:col w:w="7873"/>
          </w:cols>
        </w:sectPr>
      </w:pPr>
    </w:p>
    <w:p>
      <w:pPr>
        <w:pStyle w:val="BodyText"/>
        <w:spacing w:before="8"/>
      </w:pPr>
    </w:p>
    <w:p>
      <w:pPr>
        <w:pStyle w:val="ListParagraph"/>
        <w:numPr>
          <w:ilvl w:val="1"/>
          <w:numId w:val="5"/>
        </w:numPr>
        <w:tabs>
          <w:tab w:pos="880" w:val="left" w:leader="none"/>
          <w:tab w:pos="881" w:val="left" w:leader="none"/>
          <w:tab w:pos="2610" w:val="left" w:leader="none"/>
        </w:tabs>
        <w:spacing w:line="273" w:lineRule="auto" w:before="37" w:after="0"/>
        <w:ind w:left="2190" w:right="315" w:hanging="2088"/>
        <w:jc w:val="left"/>
        <w:rPr>
          <w:sz w:val="21"/>
        </w:rPr>
      </w:pPr>
      <w:r>
        <w:rPr>
          <w:sz w:val="21"/>
        </w:rPr>
        <w:t>意外伤害</w:t>
        <w:tab/>
        <w:tab/>
      </w:r>
      <w:r>
        <w:rPr>
          <w:spacing w:val="-1"/>
          <w:sz w:val="21"/>
        </w:rPr>
        <w:t>指</w:t>
      </w:r>
      <w:r>
        <w:rPr>
          <w:sz w:val="21"/>
        </w:rPr>
        <w:t>以</w:t>
      </w:r>
      <w:r>
        <w:rPr>
          <w:spacing w:val="-3"/>
          <w:sz w:val="21"/>
        </w:rPr>
        <w:t>外</w:t>
      </w:r>
      <w:r>
        <w:rPr>
          <w:sz w:val="21"/>
        </w:rPr>
        <w:t>来</w:t>
      </w:r>
      <w:r>
        <w:rPr>
          <w:spacing w:val="-3"/>
          <w:sz w:val="21"/>
        </w:rPr>
        <w:t>的</w:t>
      </w:r>
      <w:r>
        <w:rPr>
          <w:spacing w:val="-8"/>
          <w:sz w:val="21"/>
        </w:rPr>
        <w:t>、</w:t>
      </w:r>
      <w:r>
        <w:rPr>
          <w:sz w:val="21"/>
        </w:rPr>
        <w:t>突</w:t>
      </w:r>
      <w:r>
        <w:rPr>
          <w:spacing w:val="-3"/>
          <w:sz w:val="21"/>
        </w:rPr>
        <w:t>发</w:t>
      </w:r>
      <w:r>
        <w:rPr>
          <w:sz w:val="21"/>
        </w:rPr>
        <w:t>的</w:t>
      </w:r>
      <w:r>
        <w:rPr>
          <w:spacing w:val="-8"/>
          <w:sz w:val="21"/>
        </w:rPr>
        <w:t>、</w:t>
      </w:r>
      <w:r>
        <w:rPr>
          <w:spacing w:val="-3"/>
          <w:sz w:val="21"/>
        </w:rPr>
        <w:t>非</w:t>
      </w:r>
      <w:r>
        <w:rPr>
          <w:sz w:val="21"/>
        </w:rPr>
        <w:t>本意</w:t>
      </w:r>
      <w:r>
        <w:rPr>
          <w:spacing w:val="-3"/>
          <w:sz w:val="21"/>
        </w:rPr>
        <w:t>的</w:t>
      </w:r>
      <w:r>
        <w:rPr>
          <w:spacing w:val="-8"/>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导致 的身</w:t>
      </w:r>
      <w:r>
        <w:rPr>
          <w:spacing w:val="-3"/>
          <w:sz w:val="21"/>
        </w:rPr>
        <w:t>体</w:t>
      </w:r>
      <w:r>
        <w:rPr>
          <w:sz w:val="21"/>
        </w:rPr>
        <w:t>伤</w:t>
      </w:r>
      <w:r>
        <w:rPr>
          <w:spacing w:val="-3"/>
          <w:sz w:val="21"/>
        </w:rPr>
        <w:t>害</w:t>
      </w:r>
      <w:r>
        <w:rPr>
          <w:sz w:val="21"/>
        </w:rPr>
        <w:t>。</w:t>
      </w:r>
    </w:p>
    <w:p>
      <w:pPr>
        <w:pStyle w:val="BodyText"/>
        <w:spacing w:before="5"/>
        <w:rPr>
          <w:sz w:val="24"/>
        </w:rPr>
      </w:pPr>
    </w:p>
    <w:p>
      <w:pPr>
        <w:pStyle w:val="ListParagraph"/>
        <w:numPr>
          <w:ilvl w:val="1"/>
          <w:numId w:val="5"/>
        </w:numPr>
        <w:tabs>
          <w:tab w:pos="880" w:val="left" w:leader="none"/>
          <w:tab w:pos="881" w:val="left" w:leader="none"/>
          <w:tab w:pos="2610" w:val="left" w:leader="none"/>
        </w:tabs>
        <w:spacing w:line="273" w:lineRule="auto" w:before="0" w:after="0"/>
        <w:ind w:left="2190" w:right="313" w:hanging="2088"/>
        <w:jc w:val="left"/>
        <w:rPr>
          <w:sz w:val="21"/>
        </w:rPr>
      </w:pPr>
      <w:r>
        <w:rPr>
          <w:sz w:val="21"/>
        </w:rPr>
        <w:t>遗传性疾病</w:t>
        <w:tab/>
        <w:tab/>
      </w:r>
      <w:r>
        <w:rPr>
          <w:spacing w:val="-1"/>
          <w:sz w:val="21"/>
        </w:rPr>
        <w:t>指</w:t>
      </w:r>
      <w:r>
        <w:rPr>
          <w:sz w:val="21"/>
        </w:rPr>
        <w:t>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10"/>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10"/>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w:t>
      </w:r>
      <w:r>
        <w:rPr>
          <w:sz w:val="21"/>
        </w:rPr>
        <w:t>起的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8"/>
      </w:pPr>
    </w:p>
    <w:p>
      <w:pPr>
        <w:spacing w:after="0"/>
        <w:sectPr>
          <w:type w:val="continuous"/>
          <w:pgSz w:w="11910" w:h="16840"/>
          <w:pgMar w:top="1120" w:bottom="1180" w:left="1140" w:right="920"/>
        </w:sectPr>
      </w:pPr>
    </w:p>
    <w:p>
      <w:pPr>
        <w:pStyle w:val="ListParagraph"/>
        <w:numPr>
          <w:ilvl w:val="1"/>
          <w:numId w:val="5"/>
        </w:numPr>
        <w:tabs>
          <w:tab w:pos="880" w:val="left" w:leader="none"/>
          <w:tab w:pos="881" w:val="left" w:leader="none"/>
        </w:tabs>
        <w:spacing w:line="240" w:lineRule="auto" w:before="36" w:after="0"/>
        <w:ind w:left="880" w:right="0" w:hanging="778"/>
        <w:jc w:val="left"/>
        <w:rPr>
          <w:sz w:val="21"/>
        </w:rPr>
      </w:pPr>
      <w:r>
        <w:rPr>
          <w:sz w:val="21"/>
        </w:rPr>
        <w:t>先天性畸</w:t>
      </w:r>
    </w:p>
    <w:p>
      <w:pPr>
        <w:pStyle w:val="BodyText"/>
        <w:spacing w:line="273" w:lineRule="auto"/>
        <w:ind w:left="880"/>
      </w:pPr>
      <w:r>
        <w:rPr/>
        <w:t>形、变形或染色体异常</w:t>
      </w:r>
    </w:p>
    <w:p>
      <w:pPr>
        <w:pStyle w:val="BodyText"/>
        <w:spacing w:line="273" w:lineRule="auto" w:before="36"/>
        <w:ind w:left="102" w:right="210" w:firstLine="420"/>
      </w:pPr>
      <w:r>
        <w:rPr/>
        <w:br w:type="column"/>
      </w:r>
      <w:r>
        <w:rPr>
          <w:spacing w:val="-6"/>
        </w:rPr>
        <w:t>指被保险人出生时就具有的畸形、变形或染色体异常。先天性畸形、变形和</w:t>
      </w:r>
      <w:r>
        <w:rPr>
          <w:spacing w:val="-5"/>
        </w:rPr>
        <w:t>染色体异常依照世界卫生组织《疾病和有关健康问题的国际统计分类</w:t>
      </w:r>
      <w:r>
        <w:rPr>
          <w:spacing w:val="-116"/>
        </w:rPr>
        <w:t>》</w:t>
      </w:r>
      <w:r>
        <w:rPr/>
        <w:t>（ICD-10） 确定。</w:t>
      </w:r>
    </w:p>
    <w:p>
      <w:pPr>
        <w:spacing w:after="0" w:line="273" w:lineRule="auto"/>
        <w:sectPr>
          <w:type w:val="continuous"/>
          <w:pgSz w:w="11910" w:h="16840"/>
          <w:pgMar w:top="1120" w:bottom="1180" w:left="1140" w:right="920"/>
          <w:cols w:num="2" w:equalWidth="0">
            <w:col w:w="1937" w:space="151"/>
            <w:col w:w="7762"/>
          </w:cols>
        </w:sectPr>
      </w:pPr>
    </w:p>
    <w:p>
      <w:pPr>
        <w:pStyle w:val="BodyText"/>
        <w:spacing w:before="8"/>
      </w:pPr>
    </w:p>
    <w:p>
      <w:pPr>
        <w:spacing w:after="0"/>
        <w:sectPr>
          <w:type w:val="continuous"/>
          <w:pgSz w:w="11910" w:h="16840"/>
          <w:pgMar w:top="1120" w:bottom="1180" w:left="1140" w:right="920"/>
        </w:sectPr>
      </w:pPr>
    </w:p>
    <w:p>
      <w:pPr>
        <w:pStyle w:val="ListParagraph"/>
        <w:numPr>
          <w:ilvl w:val="1"/>
          <w:numId w:val="5"/>
        </w:numPr>
        <w:tabs>
          <w:tab w:pos="881" w:val="left" w:leader="none"/>
        </w:tabs>
        <w:spacing w:line="273" w:lineRule="auto" w:before="36" w:after="0"/>
        <w:ind w:left="880" w:right="0" w:hanging="778"/>
        <w:jc w:val="both"/>
        <w:rPr>
          <w:sz w:val="21"/>
        </w:rPr>
      </w:pPr>
      <w:r>
        <w:rPr>
          <w:sz w:val="21"/>
        </w:rPr>
        <w:t>感染艾滋病病毒或患艾滋病</w:t>
      </w:r>
    </w:p>
    <w:p>
      <w:pPr>
        <w:pStyle w:val="BodyText"/>
        <w:spacing w:line="273" w:lineRule="auto" w:before="36"/>
        <w:ind w:left="102" w:right="349" w:firstLine="420"/>
        <w:jc w:val="both"/>
      </w:pPr>
      <w:r>
        <w:rPr/>
        <w:br w:type="column"/>
      </w:r>
      <w:r>
        <w:rPr>
          <w:spacing w:val="-5"/>
        </w:rPr>
        <w:t>艾滋病病毒指人类免疫缺陷病毒，英文缩写为 </w:t>
      </w:r>
      <w:r>
        <w:rPr/>
        <w:t>HIV</w:t>
      </w:r>
      <w:r>
        <w:rPr>
          <w:spacing w:val="-3"/>
        </w:rPr>
        <w:t>。艾滋病指人类免疫缺陷</w:t>
      </w:r>
      <w:r>
        <w:rPr>
          <w:spacing w:val="-5"/>
        </w:rPr>
        <w:t>病毒引起的获得性免疫缺陷综合征，英文缩写为 </w:t>
      </w:r>
      <w:r>
        <w:rPr/>
        <w:t>AIDS。</w:t>
      </w:r>
    </w:p>
    <w:p>
      <w:pPr>
        <w:pStyle w:val="BodyText"/>
        <w:spacing w:line="273" w:lineRule="auto" w:before="7"/>
        <w:ind w:left="102" w:right="313" w:firstLine="420"/>
        <w:jc w:val="both"/>
      </w:pPr>
      <w:r>
        <w:rPr>
          <w:spacing w:val="-4"/>
        </w:rPr>
        <w:t>在人体血液或其他样本中检测到艾滋病病毒或其抗体呈阳性，没有出现临床</w:t>
      </w:r>
      <w:r>
        <w:rPr>
          <w:spacing w:val="-6"/>
        </w:rPr>
        <w:t>症状或体征的，为感染艾滋病病毒；如同时出现了明显临床症状或体征的，为患</w:t>
      </w:r>
      <w:r>
        <w:rPr>
          <w:spacing w:val="-4"/>
        </w:rPr>
        <w:t>艾滋病。</w:t>
      </w:r>
    </w:p>
    <w:sectPr>
      <w:type w:val="continuous"/>
      <w:pgSz w:w="11910" w:h="16840"/>
      <w:pgMar w:top="1120" w:bottom="1180" w:left="1140" w:right="920"/>
      <w:cols w:num="2" w:equalWidth="0">
        <w:col w:w="1937" w:space="151"/>
        <w:col w:w="77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17632" type="#_x0000_t202" filled="false" stroked="false">
          <v:textbox inset="0,0,0,0">
            <w:txbxContent>
              <w:p>
                <w:pPr>
                  <w:spacing w:line="200" w:lineRule="exact" w:before="0"/>
                  <w:ind w:left="20" w:right="0" w:firstLine="0"/>
                  <w:jc w:val="left"/>
                  <w:rPr>
                    <w:sz w:val="18"/>
                  </w:rPr>
                </w:pPr>
                <w:r>
                  <w:rPr>
                    <w:sz w:val="18"/>
                  </w:rPr>
                  <w:t>78020121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704" from="63.698261pt,55.658524pt" to="543.698261pt,55.6585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3826pt;margin-top:42.964149pt;width:128pt;height:11pt;mso-position-horizontal-relative:page;mso-position-vertical-relative:page;z-index:-17680" type="#_x0000_t202" filled="false" stroked="false">
          <v:textbox inset="0,0,0,0">
            <w:txbxContent>
              <w:p>
                <w:pPr>
                  <w:spacing w:line="200" w:lineRule="exact" w:before="0"/>
                  <w:ind w:left="20" w:right="0" w:firstLine="0"/>
                  <w:jc w:val="left"/>
                  <w:rPr>
                    <w:sz w:val="18"/>
                  </w:rPr>
                </w:pPr>
                <w:r>
                  <w:rPr>
                    <w:sz w:val="18"/>
                  </w:rPr>
                  <w:t>附加学生平安重大疾病保险条款</w:t>
                </w:r>
              </w:p>
            </w:txbxContent>
          </v:textbox>
          <w10:wrap type="none"/>
        </v:shape>
      </w:pict>
    </w:r>
    <w:r>
      <w:rPr/>
      <w:pict>
        <v:shape style="position:absolute;margin-left:433.378265pt;margin-top:42.964149pt;width:110pt;height:11pt;mso-position-horizontal-relative:page;mso-position-vertical-relative:page;z-index:-1765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00" w:hanging="778"/>
        <w:jc w:val="left"/>
      </w:pPr>
      <w:rPr>
        <w:rFonts w:hint="default" w:ascii="宋体" w:hAnsi="宋体" w:eastAsia="宋体" w:cs="宋体"/>
        <w:spacing w:val="0"/>
        <w:w w:val="100"/>
        <w:sz w:val="24"/>
        <w:szCs w:val="24"/>
      </w:rPr>
    </w:lvl>
    <w:lvl w:ilvl="1">
      <w:start w:val="1"/>
      <w:numFmt w:val="decimal"/>
      <w:lvlText w:val="%1.%2"/>
      <w:lvlJc w:val="left"/>
      <w:pPr>
        <w:ind w:left="2310" w:hanging="778"/>
        <w:jc w:val="left"/>
      </w:pPr>
      <w:rPr>
        <w:rFonts w:hint="default" w:ascii="宋体" w:hAnsi="宋体" w:eastAsia="宋体" w:cs="宋体"/>
        <w:w w:val="100"/>
        <w:sz w:val="21"/>
        <w:szCs w:val="21"/>
      </w:rPr>
    </w:lvl>
    <w:lvl w:ilvl="2">
      <w:start w:val="0"/>
      <w:numFmt w:val="bullet"/>
      <w:lvlText w:val="•"/>
      <w:lvlJc w:val="left"/>
      <w:pPr>
        <w:ind w:left="1540" w:hanging="778"/>
      </w:pPr>
      <w:rPr>
        <w:rFonts w:hint="default"/>
      </w:rPr>
    </w:lvl>
    <w:lvl w:ilvl="3">
      <w:start w:val="0"/>
      <w:numFmt w:val="bullet"/>
      <w:lvlText w:val="•"/>
      <w:lvlJc w:val="left"/>
      <w:pPr>
        <w:ind w:left="2180" w:hanging="778"/>
      </w:pPr>
      <w:rPr>
        <w:rFonts w:hint="default"/>
      </w:rPr>
    </w:lvl>
    <w:lvl w:ilvl="4">
      <w:start w:val="0"/>
      <w:numFmt w:val="bullet"/>
      <w:lvlText w:val="•"/>
      <w:lvlJc w:val="left"/>
      <w:pPr>
        <w:ind w:left="2320" w:hanging="778"/>
      </w:pPr>
      <w:rPr>
        <w:rFonts w:hint="default"/>
      </w:rPr>
    </w:lvl>
    <w:lvl w:ilvl="5">
      <w:start w:val="0"/>
      <w:numFmt w:val="bullet"/>
      <w:lvlText w:val="•"/>
      <w:lvlJc w:val="left"/>
      <w:pPr>
        <w:ind w:left="1935" w:hanging="778"/>
      </w:pPr>
      <w:rPr>
        <w:rFonts w:hint="default"/>
      </w:rPr>
    </w:lvl>
    <w:lvl w:ilvl="6">
      <w:start w:val="0"/>
      <w:numFmt w:val="bullet"/>
      <w:lvlText w:val="•"/>
      <w:lvlJc w:val="left"/>
      <w:pPr>
        <w:ind w:left="1550" w:hanging="778"/>
      </w:pPr>
      <w:rPr>
        <w:rFonts w:hint="default"/>
      </w:rPr>
    </w:lvl>
    <w:lvl w:ilvl="7">
      <w:start w:val="0"/>
      <w:numFmt w:val="bullet"/>
      <w:lvlText w:val="•"/>
      <w:lvlJc w:val="left"/>
      <w:pPr>
        <w:ind w:left="1166" w:hanging="778"/>
      </w:pPr>
      <w:rPr>
        <w:rFonts w:hint="default"/>
      </w:rPr>
    </w:lvl>
    <w:lvl w:ilvl="8">
      <w:start w:val="0"/>
      <w:numFmt w:val="bullet"/>
      <w:lvlText w:val="•"/>
      <w:lvlJc w:val="left"/>
      <w:pPr>
        <w:ind w:left="781" w:hanging="778"/>
      </w:pPr>
      <w:rPr>
        <w:rFonts w:hint="default"/>
      </w:rPr>
    </w:lvl>
  </w:abstractNum>
  <w:abstractNum w:abstractNumId="3">
    <w:multiLevelType w:val="hybridMultilevel"/>
    <w:lvl w:ilvl="0">
      <w:start w:val="3"/>
      <w:numFmt w:val="decimal"/>
      <w:lvlText w:val="%1"/>
      <w:lvlJc w:val="left"/>
      <w:pPr>
        <w:ind w:left="1942" w:hanging="423"/>
        <w:jc w:val="left"/>
      </w:pPr>
      <w:rPr>
        <w:rFonts w:hint="default"/>
      </w:rPr>
    </w:lvl>
    <w:lvl w:ilvl="1">
      <w:start w:val="1"/>
      <w:numFmt w:val="decimal"/>
      <w:lvlText w:val="%1.%2"/>
      <w:lvlJc w:val="left"/>
      <w:pPr>
        <w:ind w:left="1942" w:hanging="423"/>
        <w:jc w:val="left"/>
      </w:pPr>
      <w:rPr>
        <w:rFonts w:hint="default" w:ascii="宋体" w:hAnsi="宋体" w:eastAsia="宋体" w:cs="宋体"/>
        <w:w w:val="100"/>
        <w:sz w:val="21"/>
        <w:szCs w:val="21"/>
      </w:rPr>
    </w:lvl>
    <w:lvl w:ilvl="2">
      <w:start w:val="0"/>
      <w:numFmt w:val="bullet"/>
      <w:lvlText w:val="•"/>
      <w:lvlJc w:val="left"/>
      <w:pPr>
        <w:ind w:left="2192" w:hanging="423"/>
      </w:pPr>
      <w:rPr>
        <w:rFonts w:hint="default"/>
      </w:rPr>
    </w:lvl>
    <w:lvl w:ilvl="3">
      <w:start w:val="0"/>
      <w:numFmt w:val="bullet"/>
      <w:lvlText w:val="•"/>
      <w:lvlJc w:val="left"/>
      <w:pPr>
        <w:ind w:left="2318" w:hanging="423"/>
      </w:pPr>
      <w:rPr>
        <w:rFonts w:hint="default"/>
      </w:rPr>
    </w:lvl>
    <w:lvl w:ilvl="4">
      <w:start w:val="0"/>
      <w:numFmt w:val="bullet"/>
      <w:lvlText w:val="•"/>
      <w:lvlJc w:val="left"/>
      <w:pPr>
        <w:ind w:left="2445" w:hanging="423"/>
      </w:pPr>
      <w:rPr>
        <w:rFonts w:hint="default"/>
      </w:rPr>
    </w:lvl>
    <w:lvl w:ilvl="5">
      <w:start w:val="0"/>
      <w:numFmt w:val="bullet"/>
      <w:lvlText w:val="•"/>
      <w:lvlJc w:val="left"/>
      <w:pPr>
        <w:ind w:left="2571" w:hanging="423"/>
      </w:pPr>
      <w:rPr>
        <w:rFonts w:hint="default"/>
      </w:rPr>
    </w:lvl>
    <w:lvl w:ilvl="6">
      <w:start w:val="0"/>
      <w:numFmt w:val="bullet"/>
      <w:lvlText w:val="•"/>
      <w:lvlJc w:val="left"/>
      <w:pPr>
        <w:ind w:left="2697" w:hanging="423"/>
      </w:pPr>
      <w:rPr>
        <w:rFonts w:hint="default"/>
      </w:rPr>
    </w:lvl>
    <w:lvl w:ilvl="7">
      <w:start w:val="0"/>
      <w:numFmt w:val="bullet"/>
      <w:lvlText w:val="•"/>
      <w:lvlJc w:val="left"/>
      <w:pPr>
        <w:ind w:left="2823" w:hanging="423"/>
      </w:pPr>
      <w:rPr>
        <w:rFonts w:hint="default"/>
      </w:rPr>
    </w:lvl>
    <w:lvl w:ilvl="8">
      <w:start w:val="0"/>
      <w:numFmt w:val="bullet"/>
      <w:lvlText w:val="•"/>
      <w:lvlJc w:val="left"/>
      <w:pPr>
        <w:ind w:left="2950" w:hanging="423"/>
      </w:pPr>
      <w:rPr>
        <w:rFonts w:hint="default"/>
      </w:rPr>
    </w:lvl>
  </w:abstractNum>
  <w:abstractNum w:abstractNumId="2">
    <w:multiLevelType w:val="hybridMultilevel"/>
    <w:lvl w:ilvl="0">
      <w:start w:val="5"/>
      <w:numFmt w:val="decimal"/>
      <w:lvlText w:val="%1"/>
      <w:lvlJc w:val="left"/>
      <w:pPr>
        <w:ind w:left="1942" w:hanging="423"/>
        <w:jc w:val="left"/>
      </w:pPr>
      <w:rPr>
        <w:rFonts w:hint="default"/>
      </w:rPr>
    </w:lvl>
    <w:lvl w:ilvl="1">
      <w:start w:val="1"/>
      <w:numFmt w:val="decimal"/>
      <w:lvlText w:val="%1.%2"/>
      <w:lvlJc w:val="left"/>
      <w:pPr>
        <w:ind w:left="1923" w:hanging="423"/>
        <w:jc w:val="left"/>
      </w:pPr>
      <w:rPr>
        <w:rFonts w:hint="default" w:ascii="宋体" w:hAnsi="宋体" w:eastAsia="宋体" w:cs="宋体"/>
        <w:w w:val="100"/>
        <w:sz w:val="21"/>
        <w:szCs w:val="21"/>
      </w:rPr>
    </w:lvl>
    <w:lvl w:ilvl="2">
      <w:start w:val="0"/>
      <w:numFmt w:val="bullet"/>
      <w:lvlText w:val="•"/>
      <w:lvlJc w:val="left"/>
      <w:pPr>
        <w:ind w:left="2426" w:hanging="423"/>
      </w:pPr>
      <w:rPr>
        <w:rFonts w:hint="default"/>
      </w:rPr>
    </w:lvl>
    <w:lvl w:ilvl="3">
      <w:start w:val="0"/>
      <w:numFmt w:val="bullet"/>
      <w:lvlText w:val="•"/>
      <w:lvlJc w:val="left"/>
      <w:pPr>
        <w:ind w:left="2912" w:hanging="423"/>
      </w:pPr>
      <w:rPr>
        <w:rFonts w:hint="default"/>
      </w:rPr>
    </w:lvl>
    <w:lvl w:ilvl="4">
      <w:start w:val="0"/>
      <w:numFmt w:val="bullet"/>
      <w:lvlText w:val="•"/>
      <w:lvlJc w:val="left"/>
      <w:pPr>
        <w:ind w:left="3399" w:hanging="423"/>
      </w:pPr>
      <w:rPr>
        <w:rFonts w:hint="default"/>
      </w:rPr>
    </w:lvl>
    <w:lvl w:ilvl="5">
      <w:start w:val="0"/>
      <w:numFmt w:val="bullet"/>
      <w:lvlText w:val="•"/>
      <w:lvlJc w:val="left"/>
      <w:pPr>
        <w:ind w:left="3885" w:hanging="423"/>
      </w:pPr>
      <w:rPr>
        <w:rFonts w:hint="default"/>
      </w:rPr>
    </w:lvl>
    <w:lvl w:ilvl="6">
      <w:start w:val="0"/>
      <w:numFmt w:val="bullet"/>
      <w:lvlText w:val="•"/>
      <w:lvlJc w:val="left"/>
      <w:pPr>
        <w:ind w:left="4371" w:hanging="423"/>
      </w:pPr>
      <w:rPr>
        <w:rFonts w:hint="default"/>
      </w:rPr>
    </w:lvl>
    <w:lvl w:ilvl="7">
      <w:start w:val="0"/>
      <w:numFmt w:val="bullet"/>
      <w:lvlText w:val="•"/>
      <w:lvlJc w:val="left"/>
      <w:pPr>
        <w:ind w:left="4858" w:hanging="423"/>
      </w:pPr>
      <w:rPr>
        <w:rFonts w:hint="default"/>
      </w:rPr>
    </w:lvl>
    <w:lvl w:ilvl="8">
      <w:start w:val="0"/>
      <w:numFmt w:val="bullet"/>
      <w:lvlText w:val="•"/>
      <w:lvlJc w:val="left"/>
      <w:pPr>
        <w:ind w:left="5344" w:hanging="423"/>
      </w:pPr>
      <w:rPr>
        <w:rFonts w:hint="default"/>
      </w:rPr>
    </w:lvl>
  </w:abstractNum>
  <w:abstractNum w:abstractNumId="1">
    <w:multiLevelType w:val="hybridMultilevel"/>
    <w:lvl w:ilvl="0">
      <w:start w:val="4"/>
      <w:numFmt w:val="decimal"/>
      <w:lvlText w:val="%1."/>
      <w:lvlJc w:val="left"/>
      <w:pPr>
        <w:ind w:left="1625" w:hanging="317"/>
        <w:jc w:val="left"/>
      </w:pPr>
      <w:rPr>
        <w:rFonts w:hint="default" w:ascii="宋体" w:hAnsi="宋体" w:eastAsia="宋体" w:cs="宋体"/>
        <w:w w:val="100"/>
        <w:sz w:val="21"/>
        <w:szCs w:val="21"/>
      </w:rPr>
    </w:lvl>
    <w:lvl w:ilvl="1">
      <w:start w:val="1"/>
      <w:numFmt w:val="decimal"/>
      <w:lvlText w:val="%1.%2"/>
      <w:lvlJc w:val="left"/>
      <w:pPr>
        <w:ind w:left="1942" w:hanging="423"/>
        <w:jc w:val="left"/>
      </w:pPr>
      <w:rPr>
        <w:rFonts w:hint="default" w:ascii="宋体" w:hAnsi="宋体" w:eastAsia="宋体" w:cs="宋体"/>
        <w:w w:val="100"/>
        <w:sz w:val="21"/>
        <w:szCs w:val="21"/>
      </w:rPr>
    </w:lvl>
    <w:lvl w:ilvl="2">
      <w:start w:val="0"/>
      <w:numFmt w:val="bullet"/>
      <w:lvlText w:val="•"/>
      <w:lvlJc w:val="left"/>
      <w:pPr>
        <w:ind w:left="2426" w:hanging="423"/>
      </w:pPr>
      <w:rPr>
        <w:rFonts w:hint="default"/>
      </w:rPr>
    </w:lvl>
    <w:lvl w:ilvl="3">
      <w:start w:val="0"/>
      <w:numFmt w:val="bullet"/>
      <w:lvlText w:val="•"/>
      <w:lvlJc w:val="left"/>
      <w:pPr>
        <w:ind w:left="2912" w:hanging="423"/>
      </w:pPr>
      <w:rPr>
        <w:rFonts w:hint="default"/>
      </w:rPr>
    </w:lvl>
    <w:lvl w:ilvl="4">
      <w:start w:val="0"/>
      <w:numFmt w:val="bullet"/>
      <w:lvlText w:val="•"/>
      <w:lvlJc w:val="left"/>
      <w:pPr>
        <w:ind w:left="3399" w:hanging="423"/>
      </w:pPr>
      <w:rPr>
        <w:rFonts w:hint="default"/>
      </w:rPr>
    </w:lvl>
    <w:lvl w:ilvl="5">
      <w:start w:val="0"/>
      <w:numFmt w:val="bullet"/>
      <w:lvlText w:val="•"/>
      <w:lvlJc w:val="left"/>
      <w:pPr>
        <w:ind w:left="3885" w:hanging="423"/>
      </w:pPr>
      <w:rPr>
        <w:rFonts w:hint="default"/>
      </w:rPr>
    </w:lvl>
    <w:lvl w:ilvl="6">
      <w:start w:val="0"/>
      <w:numFmt w:val="bullet"/>
      <w:lvlText w:val="•"/>
      <w:lvlJc w:val="left"/>
      <w:pPr>
        <w:ind w:left="4371" w:hanging="423"/>
      </w:pPr>
      <w:rPr>
        <w:rFonts w:hint="default"/>
      </w:rPr>
    </w:lvl>
    <w:lvl w:ilvl="7">
      <w:start w:val="0"/>
      <w:numFmt w:val="bullet"/>
      <w:lvlText w:val="•"/>
      <w:lvlJc w:val="left"/>
      <w:pPr>
        <w:ind w:left="4858" w:hanging="423"/>
      </w:pPr>
      <w:rPr>
        <w:rFonts w:hint="default"/>
      </w:rPr>
    </w:lvl>
    <w:lvl w:ilvl="8">
      <w:start w:val="0"/>
      <w:numFmt w:val="bullet"/>
      <w:lvlText w:val="•"/>
      <w:lvlJc w:val="left"/>
      <w:pPr>
        <w:ind w:left="5344" w:hanging="423"/>
      </w:pPr>
      <w:rPr>
        <w:rFonts w:hint="default"/>
      </w:rPr>
    </w:lvl>
  </w:abstractNum>
  <w:abstractNum w:abstractNumId="0">
    <w:multiLevelType w:val="hybridMultilevel"/>
    <w:lvl w:ilvl="0">
      <w:start w:val="1"/>
      <w:numFmt w:val="decimal"/>
      <w:lvlText w:val="%1"/>
      <w:lvlJc w:val="left"/>
      <w:pPr>
        <w:ind w:left="1942" w:hanging="423"/>
        <w:jc w:val="left"/>
      </w:pPr>
      <w:rPr>
        <w:rFonts w:hint="default"/>
      </w:rPr>
    </w:lvl>
    <w:lvl w:ilvl="1">
      <w:start w:val="1"/>
      <w:numFmt w:val="decimal"/>
      <w:lvlText w:val="%1.%2"/>
      <w:lvlJc w:val="left"/>
      <w:pPr>
        <w:ind w:left="1940" w:hanging="423"/>
        <w:jc w:val="left"/>
      </w:pPr>
      <w:rPr>
        <w:rFonts w:hint="default" w:ascii="宋体" w:hAnsi="宋体" w:eastAsia="宋体" w:cs="宋体"/>
        <w:w w:val="100"/>
        <w:sz w:val="21"/>
        <w:szCs w:val="21"/>
      </w:rPr>
    </w:lvl>
    <w:lvl w:ilvl="2">
      <w:start w:val="0"/>
      <w:numFmt w:val="bullet"/>
      <w:lvlText w:val="•"/>
      <w:lvlJc w:val="left"/>
      <w:pPr>
        <w:ind w:left="2234" w:hanging="423"/>
      </w:pPr>
      <w:rPr>
        <w:rFonts w:hint="default"/>
      </w:rPr>
    </w:lvl>
    <w:lvl w:ilvl="3">
      <w:start w:val="0"/>
      <w:numFmt w:val="bullet"/>
      <w:lvlText w:val="•"/>
      <w:lvlJc w:val="left"/>
      <w:pPr>
        <w:ind w:left="2382" w:hanging="423"/>
      </w:pPr>
      <w:rPr>
        <w:rFonts w:hint="default"/>
      </w:rPr>
    </w:lvl>
    <w:lvl w:ilvl="4">
      <w:start w:val="0"/>
      <w:numFmt w:val="bullet"/>
      <w:lvlText w:val="•"/>
      <w:lvlJc w:val="left"/>
      <w:pPr>
        <w:ind w:left="2529" w:hanging="423"/>
      </w:pPr>
      <w:rPr>
        <w:rFonts w:hint="default"/>
      </w:rPr>
    </w:lvl>
    <w:lvl w:ilvl="5">
      <w:start w:val="0"/>
      <w:numFmt w:val="bullet"/>
      <w:lvlText w:val="•"/>
      <w:lvlJc w:val="left"/>
      <w:pPr>
        <w:ind w:left="2677" w:hanging="423"/>
      </w:pPr>
      <w:rPr>
        <w:rFonts w:hint="default"/>
      </w:rPr>
    </w:lvl>
    <w:lvl w:ilvl="6">
      <w:start w:val="0"/>
      <w:numFmt w:val="bullet"/>
      <w:lvlText w:val="•"/>
      <w:lvlJc w:val="left"/>
      <w:pPr>
        <w:ind w:left="2824" w:hanging="423"/>
      </w:pPr>
      <w:rPr>
        <w:rFonts w:hint="default"/>
      </w:rPr>
    </w:lvl>
    <w:lvl w:ilvl="7">
      <w:start w:val="0"/>
      <w:numFmt w:val="bullet"/>
      <w:lvlText w:val="•"/>
      <w:lvlJc w:val="left"/>
      <w:pPr>
        <w:ind w:left="2971" w:hanging="423"/>
      </w:pPr>
      <w:rPr>
        <w:rFonts w:hint="default"/>
      </w:rPr>
    </w:lvl>
    <w:lvl w:ilvl="8">
      <w:start w:val="0"/>
      <w:numFmt w:val="bullet"/>
      <w:lvlText w:val="•"/>
      <w:lvlJc w:val="left"/>
      <w:pPr>
        <w:ind w:left="3119" w:hanging="42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3068" w:right="2941"/>
      <w:jc w:val="center"/>
      <w:outlineLvl w:val="1"/>
    </w:pPr>
    <w:rPr>
      <w:rFonts w:ascii="宋体" w:hAnsi="宋体" w:eastAsia="宋体" w:cs="宋体"/>
      <w:sz w:val="28"/>
      <w:szCs w:val="28"/>
    </w:rPr>
  </w:style>
  <w:style w:styleId="Heading2" w:type="paragraph">
    <w:name w:val="Heading 2"/>
    <w:basedOn w:val="Normal"/>
    <w:uiPriority w:val="1"/>
    <w:qFormat/>
    <w:pPr>
      <w:ind w:left="1000" w:hanging="778"/>
      <w:outlineLvl w:val="2"/>
    </w:pPr>
    <w:rPr>
      <w:rFonts w:ascii="宋体" w:hAnsi="宋体" w:eastAsia="宋体" w:cs="宋体"/>
      <w:sz w:val="24"/>
      <w:szCs w:val="24"/>
    </w:rPr>
  </w:style>
  <w:style w:styleId="ListParagraph" w:type="paragraph">
    <w:name w:val="List Paragraph"/>
    <w:basedOn w:val="Normal"/>
    <w:uiPriority w:val="1"/>
    <w:qFormat/>
    <w:pPr>
      <w:spacing w:before="36"/>
      <w:ind w:left="1000" w:hanging="778"/>
    </w:pPr>
    <w:rPr>
      <w:rFonts w:ascii="宋体" w:hAnsi="宋体" w:eastAsia="宋体" w:cs="宋体"/>
    </w:rPr>
  </w:style>
  <w:style w:styleId="TableParagraph" w:type="paragraph">
    <w:name w:val="Table Paragraph"/>
    <w:basedOn w:val="Normal"/>
    <w:uiPriority w:val="1"/>
    <w:qFormat/>
    <w:pPr>
      <w:spacing w:before="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- 2012018-附加学生平安重大疾病保险条款</dc:title>
  <dcterms:created xsi:type="dcterms:W3CDTF">2018-10-20T03:46:06Z</dcterms:created>
  <dcterms:modified xsi:type="dcterms:W3CDTF">2018-10-20T03:46:06Z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正在打开 - Microsoft Word(产品激活失败)</vt:lpwstr>
  </property>
  <property fmtid="{D5CDD505-2E9C-101B-9397-08002B2CF9AE}" pid="4" name="LastSaved">
    <vt:filetime>2018-10-19T00:00:00Z</vt:filetime>
  </property>
</Properties>
</file>