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3"/>
        </w:rPr>
      </w:pPr>
    </w:p>
    <w:p>
      <w:pPr>
        <w:pStyle w:val="BodyText"/>
        <w:spacing w:line="20" w:lineRule="exact" w:before="0"/>
        <w:ind w:left="188"/>
        <w:rPr>
          <w:rFonts w:ascii="Times New Roman"/>
          <w:sz w:val="2"/>
        </w:rPr>
      </w:pPr>
      <w:r>
        <w:rPr>
          <w:rFonts w:ascii="Times New Roman"/>
          <w:spacing w:val="5"/>
          <w:sz w:val="2"/>
        </w:rPr>
        <w:t> </w:t>
      </w:r>
      <w:r>
        <w:rPr>
          <w:rFonts w:ascii="Times New Roman"/>
          <w:spacing w:val="5"/>
          <w:sz w:val="2"/>
        </w:rPr>
        <w:pict>
          <v:group style="width:479.2pt;height:.75pt;mso-position-horizontal-relative:char;mso-position-vertical-relative:line" coordorigin="0,0" coordsize="9584,15">
            <v:line style="position:absolute" from="0,7" to="9583,7" stroked="true" strokeweight=".72pt" strokecolor="#000000">
              <v:stroke dashstyle="solid"/>
            </v:line>
          </v:group>
        </w:pict>
      </w:r>
      <w:r>
        <w:rPr>
          <w:rFonts w:ascii="Times New Roman"/>
          <w:spacing w:val="5"/>
          <w:sz w:val="2"/>
        </w:rPr>
      </w:r>
    </w:p>
    <w:p>
      <w:pPr>
        <w:spacing w:before="7"/>
        <w:ind w:left="0" w:right="135" w:firstLine="0"/>
        <w:jc w:val="right"/>
        <w:rPr>
          <w:sz w:val="15"/>
        </w:rPr>
      </w:pPr>
      <w:r>
        <w:rPr/>
        <w:drawing>
          <wp:anchor distT="0" distB="0" distL="0" distR="0" allowOverlap="1" layoutInCell="1" locked="0" behindDoc="1" simplePos="0" relativeHeight="268405415">
            <wp:simplePos x="0" y="0"/>
            <wp:positionH relativeFrom="page">
              <wp:posOffset>6429480</wp:posOffset>
            </wp:positionH>
            <wp:positionV relativeFrom="paragraph">
              <wp:posOffset>137029</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899"/>
                    </a:xfrm>
                    <a:prstGeom prst="rect">
                      <a:avLst/>
                    </a:prstGeom>
                  </pic:spPr>
                </pic:pic>
              </a:graphicData>
            </a:graphic>
          </wp:anchor>
        </w:drawing>
      </w:r>
      <w:r>
        <w:rPr>
          <w:sz w:val="15"/>
        </w:rPr>
        <w:t>新华保险[2009]疾病保险 015 号</w:t>
      </w:r>
    </w:p>
    <w:p>
      <w:pPr>
        <w:pStyle w:val="BodyText"/>
        <w:spacing w:before="6"/>
        <w:rPr>
          <w:sz w:val="10"/>
        </w:rPr>
      </w:pPr>
    </w:p>
    <w:p>
      <w:pPr>
        <w:spacing w:before="0"/>
        <w:ind w:left="1957" w:right="2426" w:firstLine="0"/>
        <w:jc w:val="center"/>
        <w:rPr>
          <w:sz w:val="32"/>
        </w:rPr>
      </w:pPr>
      <w:r>
        <w:rPr>
          <w:sz w:val="32"/>
        </w:rPr>
        <w:t>阅 读 指 引</w:t>
      </w:r>
    </w:p>
    <w:p>
      <w:pPr>
        <w:pStyle w:val="BodyText"/>
        <w:spacing w:before="148"/>
        <w:ind w:left="1961" w:right="2426"/>
        <w:jc w:val="center"/>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49"/>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52"/>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pStyle w:val="BodyText"/>
        <w:spacing w:before="23"/>
        <w:ind w:left="1098"/>
      </w:pPr>
      <w:r>
        <w:rPr>
          <w:spacing w:val="-25"/>
          <w:w w:val="100"/>
          <w:position w:val="1"/>
        </w:rPr>
        <w:t>在本条款中，“您”指投保人，“我们”、“本公司”均指新华人寿保险股份有限公司。</w:t>
      </w:r>
      <w:r>
        <w:rPr>
          <w:spacing w:val="-3"/>
          <w:w w:val="70"/>
          <w:position w:val="1"/>
          <w:vertAlign w:val="subscript"/>
        </w:rPr>
        <w:t>请扫描以查询验证条款</w:t>
      </w:r>
      <w:r>
        <w:rPr>
          <w:spacing w:val="-3"/>
          <w:w w:val="70"/>
          <w:position w:val="1"/>
          <w:vertAlign w:val="baseline"/>
        </w:rPr>
      </w:r>
    </w:p>
    <w:p>
      <w:pPr>
        <w:pStyle w:val="BodyText"/>
        <w:tabs>
          <w:tab w:pos="954" w:val="left" w:leader="none"/>
        </w:tabs>
        <w:spacing w:line="539" w:lineRule="exact" w:before="19"/>
        <w:ind w:left="253"/>
      </w:pPr>
      <w:r>
        <w:rPr/>
        <w:drawing>
          <wp:anchor distT="0" distB="0" distL="0" distR="0" allowOverlap="1" layoutInCell="1" locked="0" behindDoc="1" simplePos="0" relativeHeight="268405391">
            <wp:simplePos x="0" y="0"/>
            <wp:positionH relativeFrom="page">
              <wp:posOffset>758675</wp:posOffset>
            </wp:positionH>
            <wp:positionV relativeFrom="paragraph">
              <wp:posOffset>23157</wp:posOffset>
            </wp:positionV>
            <wp:extent cx="6085332" cy="773277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85332" cy="7732776"/>
                    </a:xfrm>
                    <a:prstGeom prst="rect">
                      <a:avLst/>
                    </a:prstGeom>
                  </pic:spPr>
                </pic:pic>
              </a:graphicData>
            </a:graphic>
          </wp:anchor>
        </w:drawing>
      </w:r>
      <w:r>
        <w:rPr>
          <w:rFonts w:ascii="Times New Roman" w:eastAsia="Times New Roman"/>
          <w:w w:val="125"/>
          <w:position w:val="-11"/>
          <w:sz w:val="52"/>
        </w:rPr>
        <w:t>C</w:t>
        <w:tab/>
      </w:r>
      <w:r>
        <w:rPr/>
        <w:t>您拥有的重要权益</w:t>
      </w:r>
    </w:p>
    <w:p>
      <w:pPr>
        <w:pStyle w:val="BodyText"/>
        <w:tabs>
          <w:tab w:pos="1410" w:val="left" w:leader="none"/>
        </w:tabs>
        <w:spacing w:line="232" w:lineRule="exact" w:before="0"/>
        <w:ind w:left="945"/>
      </w:pPr>
      <w:r>
        <w:rPr>
          <w:rFonts w:ascii="Times New Roman" w:hAnsi="Times New Roman" w:eastAsia="Times New Roman"/>
          <w:w w:val="150"/>
        </w:rPr>
        <w:t>v</w:t>
        <w:tab/>
      </w:r>
      <w:r>
        <w:rPr>
          <w:spacing w:val="-3"/>
        </w:rPr>
        <w:t>被保险人享受本保险合同提供的保障……………………………………………第</w:t>
      </w:r>
      <w:r>
        <w:rPr/>
        <w:t>2.3条</w:t>
      </w:r>
    </w:p>
    <w:p>
      <w:pPr>
        <w:pStyle w:val="BodyText"/>
        <w:tabs>
          <w:tab w:pos="1410" w:val="left" w:leader="none"/>
        </w:tabs>
        <w:spacing w:before="70"/>
        <w:ind w:left="945"/>
      </w:pPr>
      <w:r>
        <w:rPr>
          <w:rFonts w:ascii="Times New Roman" w:hAnsi="Times New Roman" w:eastAsia="Times New Roman"/>
          <w:w w:val="150"/>
        </w:rPr>
        <w:t>v</w:t>
        <w:tab/>
      </w:r>
      <w:r>
        <w:rPr>
          <w:spacing w:val="-3"/>
        </w:rPr>
        <w:t>您有选择减额交清的权利…………………………………………………………第</w:t>
      </w:r>
      <w:r>
        <w:rPr/>
        <w:t>3.5条</w:t>
      </w:r>
    </w:p>
    <w:p>
      <w:pPr>
        <w:pStyle w:val="BodyText"/>
        <w:tabs>
          <w:tab w:pos="1410" w:val="left" w:leader="none"/>
        </w:tabs>
        <w:spacing w:before="69"/>
        <w:ind w:left="945"/>
      </w:pPr>
      <w:r>
        <w:rPr>
          <w:rFonts w:ascii="Times New Roman" w:hAnsi="Times New Roman" w:eastAsia="Times New Roman"/>
          <w:w w:val="150"/>
        </w:rPr>
        <w:t>v</w:t>
        <w:tab/>
      </w:r>
      <w:r>
        <w:rPr>
          <w:spacing w:val="-1"/>
        </w:rPr>
        <w:t>您有减保的权利……………………………………………………………………第</w:t>
      </w:r>
      <w:r>
        <w:rPr/>
        <w:t>3.6条</w:t>
      </w:r>
    </w:p>
    <w:p>
      <w:pPr>
        <w:pStyle w:val="BodyText"/>
        <w:tabs>
          <w:tab w:pos="1410" w:val="left" w:leader="none"/>
        </w:tabs>
        <w:spacing w:line="265" w:lineRule="exact" w:before="69"/>
        <w:ind w:left="945"/>
      </w:pPr>
      <w:r>
        <w:rPr>
          <w:rFonts w:ascii="Times New Roman" w:hAnsi="Times New Roman" w:eastAsia="Times New Roman"/>
          <w:w w:val="150"/>
        </w:rPr>
        <w:t>v</w:t>
        <w:tab/>
      </w:r>
      <w:r>
        <w:rPr>
          <w:spacing w:val="-2"/>
        </w:rPr>
        <w:t>您有保单贷款的权利………………………………………………………………第</w:t>
      </w:r>
      <w:r>
        <w:rPr/>
        <w:t>3.8条</w:t>
      </w:r>
    </w:p>
    <w:p>
      <w:pPr>
        <w:pStyle w:val="BodyText"/>
        <w:tabs>
          <w:tab w:pos="954" w:val="left" w:leader="none"/>
        </w:tabs>
        <w:spacing w:line="514" w:lineRule="exact" w:before="0"/>
        <w:ind w:left="253"/>
      </w:pPr>
      <w:r>
        <w:rPr>
          <w:rFonts w:ascii="Times New Roman" w:eastAsia="Times New Roman"/>
          <w:w w:val="125"/>
          <w:position w:val="-11"/>
          <w:sz w:val="52"/>
        </w:rPr>
        <w:t>C</w:t>
        <w:tab/>
      </w:r>
      <w:r>
        <w:rPr>
          <w:spacing w:val="-1"/>
        </w:rPr>
        <w:t>您应当特别注意的事项</w:t>
      </w:r>
    </w:p>
    <w:p>
      <w:pPr>
        <w:pStyle w:val="BodyText"/>
        <w:tabs>
          <w:tab w:pos="1410" w:val="left" w:leader="none"/>
        </w:tabs>
        <w:spacing w:line="232" w:lineRule="exact" w:before="0"/>
        <w:ind w:left="945"/>
      </w:pPr>
      <w:r>
        <w:rPr>
          <w:rFonts w:ascii="Times New Roman" w:hAnsi="Times New Roman" w:eastAsia="Times New Roman"/>
          <w:w w:val="150"/>
        </w:rPr>
        <w:t>v</w:t>
        <w:tab/>
      </w:r>
      <w:r>
        <w:rPr>
          <w:spacing w:val="-3"/>
        </w:rPr>
        <w:t>您解除合同会有一定的损失，请慎重决策………………………………………第</w:t>
      </w:r>
      <w:r>
        <w:rPr/>
        <w:t>1.5条</w:t>
      </w:r>
    </w:p>
    <w:p>
      <w:pPr>
        <w:pStyle w:val="BodyText"/>
        <w:tabs>
          <w:tab w:pos="1410" w:val="left" w:leader="none"/>
        </w:tabs>
        <w:spacing w:before="69"/>
        <w:ind w:left="945"/>
      </w:pPr>
      <w:r>
        <w:rPr>
          <w:rFonts w:ascii="Times New Roman" w:hAnsi="Times New Roman" w:eastAsia="Times New Roman"/>
          <w:w w:val="150"/>
        </w:rPr>
        <w:t>v</w:t>
        <w:tab/>
      </w:r>
      <w:r>
        <w:rPr>
          <w:spacing w:val="-3"/>
        </w:rPr>
        <w:t>在某些情况下，本公司不承担保险责任…………………………………………第</w:t>
      </w:r>
      <w:r>
        <w:rPr/>
        <w:t>2.4条</w:t>
      </w:r>
    </w:p>
    <w:p>
      <w:pPr>
        <w:pStyle w:val="BodyText"/>
        <w:tabs>
          <w:tab w:pos="1410" w:val="left" w:leader="none"/>
        </w:tabs>
        <w:spacing w:before="69"/>
        <w:ind w:left="945"/>
      </w:pPr>
      <w:r>
        <w:rPr>
          <w:rFonts w:ascii="Times New Roman" w:hAnsi="Times New Roman" w:eastAsia="Times New Roman"/>
          <w:w w:val="150"/>
        </w:rPr>
        <w:t>v</w:t>
        <w:tab/>
      </w:r>
      <w:r>
        <w:rPr>
          <w:spacing w:val="-2"/>
        </w:rPr>
        <w:t>您应当按时交纳保险费……………………………………………………………第</w:t>
      </w:r>
      <w:r>
        <w:rPr/>
        <w:t>3.2条</w:t>
      </w:r>
    </w:p>
    <w:p>
      <w:pPr>
        <w:pStyle w:val="BodyText"/>
        <w:tabs>
          <w:tab w:pos="1410" w:val="left" w:leader="none"/>
        </w:tabs>
        <w:spacing w:before="69"/>
        <w:ind w:left="945"/>
      </w:pPr>
      <w:r>
        <w:rPr>
          <w:rFonts w:ascii="Times New Roman" w:hAnsi="Times New Roman" w:eastAsia="Times New Roman"/>
          <w:w w:val="150"/>
        </w:rPr>
        <w:t>v</w:t>
        <w:tab/>
      </w:r>
      <w:r>
        <w:rPr>
          <w:spacing w:val="-3"/>
        </w:rPr>
        <w:t>申请保险金给付时，应当提供的证明和资料……………………………………第</w:t>
      </w:r>
      <w:r>
        <w:rPr/>
        <w:t>4.3条</w:t>
      </w:r>
    </w:p>
    <w:p>
      <w:pPr>
        <w:pStyle w:val="BodyText"/>
        <w:tabs>
          <w:tab w:pos="1410" w:val="left" w:leader="none"/>
        </w:tabs>
        <w:spacing w:before="69"/>
        <w:ind w:left="945"/>
      </w:pPr>
      <w:r>
        <w:rPr>
          <w:rFonts w:ascii="Times New Roman" w:hAnsi="Times New Roman" w:eastAsia="Times New Roman"/>
          <w:w w:val="150"/>
        </w:rPr>
        <w:t>v</w:t>
        <w:tab/>
      </w:r>
      <w:r>
        <w:rPr>
          <w:spacing w:val="-2"/>
        </w:rPr>
        <w:t>您有如实告知的义务………………………………………………………………第</w:t>
      </w:r>
      <w:r>
        <w:rPr/>
        <w:t>5.1条</w:t>
      </w:r>
    </w:p>
    <w:p>
      <w:pPr>
        <w:pStyle w:val="BodyText"/>
        <w:tabs>
          <w:tab w:pos="1410" w:val="left" w:leader="none"/>
        </w:tabs>
        <w:spacing w:line="265" w:lineRule="exact" w:before="69"/>
        <w:ind w:left="945"/>
      </w:pPr>
      <w:r>
        <w:rPr>
          <w:rFonts w:ascii="Times New Roman" w:hAnsi="Times New Roman" w:eastAsia="Times New Roman"/>
          <w:w w:val="150"/>
        </w:rPr>
        <w:t>v</w:t>
        <w:tab/>
      </w:r>
      <w:r>
        <w:rPr>
          <w:spacing w:val="-3"/>
        </w:rPr>
        <w:t>我们对一些重要术语进行了解释，并作了显著标识，请您注意………………第 </w:t>
      </w:r>
      <w:r>
        <w:rPr/>
        <w:t>6</w:t>
      </w:r>
      <w:r>
        <w:rPr>
          <w:spacing w:val="7"/>
        </w:rPr>
        <w:t> 条</w:t>
      </w:r>
    </w:p>
    <w:p>
      <w:pPr>
        <w:pStyle w:val="BodyText"/>
        <w:tabs>
          <w:tab w:pos="954" w:val="left" w:leader="none"/>
        </w:tabs>
        <w:spacing w:line="454" w:lineRule="exact" w:before="0"/>
        <w:ind w:left="253"/>
      </w:pPr>
      <w:r>
        <w:rPr>
          <w:rFonts w:ascii="Times New Roman" w:eastAsia="Times New Roman"/>
          <w:w w:val="125"/>
          <w:position w:val="-11"/>
          <w:sz w:val="52"/>
        </w:rPr>
        <w:t>C</w:t>
        <w:tab/>
      </w:r>
      <w:r>
        <w:rPr>
          <w:spacing w:val="-3"/>
        </w:rPr>
        <w:t>条款是保险合同的重要内容，为充分保障您的权益，请您仔细阅读本条款。</w:t>
      </w:r>
    </w:p>
    <w:p>
      <w:pPr>
        <w:tabs>
          <w:tab w:pos="954" w:val="left" w:leader="none"/>
        </w:tabs>
        <w:spacing w:line="423" w:lineRule="exact" w:before="0"/>
        <w:ind w:left="253" w:right="0" w:firstLine="0"/>
        <w:jc w:val="left"/>
        <w:rPr>
          <w:sz w:val="21"/>
        </w:rPr>
      </w:pPr>
      <w:r>
        <w:rPr>
          <w:rFonts w:ascii="Times New Roman" w:eastAsia="Times New Roman"/>
          <w:w w:val="125"/>
          <w:position w:val="-11"/>
          <w:sz w:val="52"/>
        </w:rPr>
        <w:t>C</w:t>
        <w:tab/>
      </w:r>
      <w:r>
        <w:rPr>
          <w:sz w:val="21"/>
        </w:rPr>
        <w:t>条款目录</w:t>
      </w:r>
    </w:p>
    <w:p>
      <w:pPr>
        <w:spacing w:after="0" w:line="423" w:lineRule="exact"/>
        <w:jc w:val="left"/>
        <w:rPr>
          <w:sz w:val="21"/>
        </w:rPr>
        <w:sectPr>
          <w:headerReference w:type="default" r:id="rId5"/>
          <w:footerReference w:type="default" r:id="rId6"/>
          <w:type w:val="continuous"/>
          <w:pgSz w:w="11910" w:h="16840"/>
          <w:pgMar w:header="859" w:footer="995" w:top="1040" w:bottom="1180" w:left="1080" w:right="380"/>
        </w:sectPr>
      </w:pPr>
    </w:p>
    <w:p>
      <w:pPr>
        <w:pStyle w:val="BodyText"/>
        <w:spacing w:line="213" w:lineRule="exact" w:before="0"/>
        <w:ind w:left="544"/>
      </w:pPr>
      <w:r>
        <w:rPr/>
        <w:t>1.您与我们的合同</w:t>
      </w:r>
    </w:p>
    <w:p>
      <w:pPr>
        <w:pStyle w:val="BodyText"/>
        <w:spacing w:line="211" w:lineRule="exact" w:before="0"/>
        <w:ind w:left="544"/>
      </w:pPr>
      <w:r>
        <w:rPr/>
        <w:br w:type="column"/>
      </w:r>
      <w:r>
        <w:rPr/>
        <w:t>3.6</w:t>
      </w:r>
      <w:r>
        <w:rPr>
          <w:spacing w:val="-18"/>
        </w:rPr>
        <w:t> 减保</w:t>
      </w:r>
    </w:p>
    <w:p>
      <w:pPr>
        <w:pStyle w:val="BodyText"/>
        <w:spacing w:line="211" w:lineRule="exact" w:before="0"/>
        <w:ind w:left="544"/>
      </w:pPr>
      <w:r>
        <w:rPr/>
        <w:br w:type="column"/>
      </w:r>
      <w:r>
        <w:rPr/>
        <w:t>6.释义</w:t>
      </w:r>
    </w:p>
    <w:p>
      <w:pPr>
        <w:spacing w:after="0" w:line="211" w:lineRule="exact"/>
        <w:sectPr>
          <w:type w:val="continuous"/>
          <w:pgSz w:w="11910" w:h="16840"/>
          <w:pgMar w:top="1040" w:bottom="1180" w:left="1080" w:right="380"/>
          <w:cols w:num="3" w:equalWidth="0">
            <w:col w:w="2234" w:space="1042"/>
            <w:col w:w="1334" w:space="1874"/>
            <w:col w:w="3966"/>
          </w:cols>
        </w:sectPr>
      </w:pPr>
    </w:p>
    <w:p>
      <w:pPr>
        <w:pStyle w:val="BodyText"/>
        <w:spacing w:before="6"/>
        <w:rPr>
          <w:sz w:val="7"/>
        </w:rPr>
      </w:pPr>
    </w:p>
    <w:tbl>
      <w:tblPr>
        <w:tblW w:w="0" w:type="auto"/>
        <w:jc w:val="left"/>
        <w:tblInd w:w="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2005"/>
        <w:gridCol w:w="3351"/>
        <w:gridCol w:w="1179"/>
        <w:gridCol w:w="1206"/>
      </w:tblGrid>
      <w:tr>
        <w:trPr>
          <w:trHeight w:val="262" w:hRule="atLeast"/>
        </w:trPr>
        <w:tc>
          <w:tcPr>
            <w:tcW w:w="418" w:type="dxa"/>
          </w:tcPr>
          <w:p>
            <w:pPr>
              <w:pStyle w:val="TableParagraph"/>
              <w:spacing w:line="213" w:lineRule="exact"/>
              <w:ind w:left="31" w:right="32"/>
              <w:jc w:val="center"/>
              <w:rPr>
                <w:sz w:val="21"/>
              </w:rPr>
            </w:pPr>
            <w:r>
              <w:rPr>
                <w:sz w:val="21"/>
              </w:rPr>
              <w:t>1.1</w:t>
            </w:r>
          </w:p>
        </w:tc>
        <w:tc>
          <w:tcPr>
            <w:tcW w:w="2005" w:type="dxa"/>
          </w:tcPr>
          <w:p>
            <w:pPr>
              <w:pStyle w:val="TableParagraph"/>
              <w:spacing w:line="213" w:lineRule="exact"/>
              <w:ind w:left="54"/>
              <w:rPr>
                <w:sz w:val="21"/>
              </w:rPr>
            </w:pPr>
            <w:r>
              <w:rPr>
                <w:sz w:val="21"/>
              </w:rPr>
              <w:t>合同构成</w:t>
            </w:r>
          </w:p>
        </w:tc>
        <w:tc>
          <w:tcPr>
            <w:tcW w:w="3351" w:type="dxa"/>
          </w:tcPr>
          <w:p>
            <w:pPr>
              <w:pStyle w:val="TableParagraph"/>
              <w:spacing w:line="211" w:lineRule="exact"/>
              <w:ind w:left="691"/>
              <w:rPr>
                <w:sz w:val="21"/>
              </w:rPr>
            </w:pPr>
            <w:r>
              <w:rPr>
                <w:sz w:val="21"/>
              </w:rPr>
              <w:t>3.7 养老年金转换</w:t>
            </w:r>
          </w:p>
        </w:tc>
        <w:tc>
          <w:tcPr>
            <w:tcW w:w="1179" w:type="dxa"/>
          </w:tcPr>
          <w:p>
            <w:pPr>
              <w:pStyle w:val="TableParagraph"/>
              <w:spacing w:line="211" w:lineRule="exact"/>
              <w:ind w:right="99"/>
              <w:jc w:val="right"/>
              <w:rPr>
                <w:sz w:val="21"/>
              </w:rPr>
            </w:pPr>
            <w:r>
              <w:rPr>
                <w:sz w:val="21"/>
              </w:rPr>
              <w:t>6.1</w:t>
            </w:r>
          </w:p>
        </w:tc>
        <w:tc>
          <w:tcPr>
            <w:tcW w:w="1206" w:type="dxa"/>
          </w:tcPr>
          <w:p>
            <w:pPr>
              <w:pStyle w:val="TableParagraph"/>
              <w:spacing w:line="211" w:lineRule="exact"/>
              <w:ind w:left="107"/>
              <w:rPr>
                <w:sz w:val="21"/>
              </w:rPr>
            </w:pPr>
            <w:r>
              <w:rPr>
                <w:sz w:val="21"/>
              </w:rPr>
              <w:t>周岁</w:t>
            </w:r>
          </w:p>
        </w:tc>
      </w:tr>
      <w:tr>
        <w:trPr>
          <w:trHeight w:val="312" w:hRule="atLeast"/>
        </w:trPr>
        <w:tc>
          <w:tcPr>
            <w:tcW w:w="418" w:type="dxa"/>
          </w:tcPr>
          <w:p>
            <w:pPr>
              <w:pStyle w:val="TableParagraph"/>
              <w:spacing w:line="263" w:lineRule="exact"/>
              <w:ind w:left="31" w:right="32"/>
              <w:jc w:val="center"/>
              <w:rPr>
                <w:sz w:val="21"/>
              </w:rPr>
            </w:pPr>
            <w:r>
              <w:rPr>
                <w:sz w:val="21"/>
              </w:rPr>
              <w:t>1.2</w:t>
            </w:r>
          </w:p>
        </w:tc>
        <w:tc>
          <w:tcPr>
            <w:tcW w:w="2005" w:type="dxa"/>
          </w:tcPr>
          <w:p>
            <w:pPr>
              <w:pStyle w:val="TableParagraph"/>
              <w:spacing w:line="263" w:lineRule="exact"/>
              <w:ind w:left="54"/>
              <w:rPr>
                <w:sz w:val="21"/>
              </w:rPr>
            </w:pPr>
            <w:r>
              <w:rPr>
                <w:sz w:val="21"/>
              </w:rPr>
              <w:t>投保范围</w:t>
            </w:r>
          </w:p>
        </w:tc>
        <w:tc>
          <w:tcPr>
            <w:tcW w:w="3351" w:type="dxa"/>
          </w:tcPr>
          <w:p>
            <w:pPr>
              <w:pStyle w:val="TableParagraph"/>
              <w:spacing w:line="260" w:lineRule="exact"/>
              <w:ind w:left="691"/>
              <w:rPr>
                <w:sz w:val="21"/>
              </w:rPr>
            </w:pPr>
            <w:r>
              <w:rPr>
                <w:sz w:val="21"/>
              </w:rPr>
              <w:t>3.8 保单贷款</w:t>
            </w:r>
          </w:p>
        </w:tc>
        <w:tc>
          <w:tcPr>
            <w:tcW w:w="1179" w:type="dxa"/>
          </w:tcPr>
          <w:p>
            <w:pPr>
              <w:pStyle w:val="TableParagraph"/>
              <w:spacing w:line="260" w:lineRule="exact"/>
              <w:ind w:right="99"/>
              <w:jc w:val="right"/>
              <w:rPr>
                <w:sz w:val="21"/>
              </w:rPr>
            </w:pPr>
            <w:r>
              <w:rPr>
                <w:sz w:val="21"/>
              </w:rPr>
              <w:t>6.2</w:t>
            </w:r>
          </w:p>
        </w:tc>
        <w:tc>
          <w:tcPr>
            <w:tcW w:w="1206" w:type="dxa"/>
          </w:tcPr>
          <w:p>
            <w:pPr>
              <w:pStyle w:val="TableParagraph"/>
              <w:spacing w:line="260" w:lineRule="exact"/>
              <w:ind w:left="107"/>
              <w:rPr>
                <w:sz w:val="21"/>
              </w:rPr>
            </w:pPr>
            <w:r>
              <w:rPr>
                <w:sz w:val="21"/>
              </w:rPr>
              <w:t>现金价值</w:t>
            </w:r>
          </w:p>
        </w:tc>
      </w:tr>
      <w:tr>
        <w:trPr>
          <w:trHeight w:val="311" w:hRule="atLeast"/>
        </w:trPr>
        <w:tc>
          <w:tcPr>
            <w:tcW w:w="418" w:type="dxa"/>
          </w:tcPr>
          <w:p>
            <w:pPr>
              <w:pStyle w:val="TableParagraph"/>
              <w:spacing w:line="263" w:lineRule="exact"/>
              <w:ind w:left="31" w:right="32"/>
              <w:jc w:val="center"/>
              <w:rPr>
                <w:sz w:val="21"/>
              </w:rPr>
            </w:pPr>
            <w:r>
              <w:rPr>
                <w:sz w:val="21"/>
              </w:rPr>
              <w:t>1.3</w:t>
            </w:r>
          </w:p>
        </w:tc>
        <w:tc>
          <w:tcPr>
            <w:tcW w:w="2005" w:type="dxa"/>
          </w:tcPr>
          <w:p>
            <w:pPr>
              <w:pStyle w:val="TableParagraph"/>
              <w:spacing w:line="263" w:lineRule="exact"/>
              <w:ind w:left="54"/>
              <w:rPr>
                <w:sz w:val="21"/>
              </w:rPr>
            </w:pPr>
            <w:r>
              <w:rPr>
                <w:sz w:val="21"/>
              </w:rPr>
              <w:t>合同成立与生效</w:t>
            </w:r>
          </w:p>
        </w:tc>
        <w:tc>
          <w:tcPr>
            <w:tcW w:w="3351" w:type="dxa"/>
          </w:tcPr>
          <w:p>
            <w:pPr>
              <w:pStyle w:val="TableParagraph"/>
              <w:rPr>
                <w:rFonts w:ascii="Times New Roman"/>
                <w:sz w:val="20"/>
              </w:rPr>
            </w:pPr>
          </w:p>
        </w:tc>
        <w:tc>
          <w:tcPr>
            <w:tcW w:w="1179" w:type="dxa"/>
          </w:tcPr>
          <w:p>
            <w:pPr>
              <w:pStyle w:val="TableParagraph"/>
              <w:spacing w:line="260" w:lineRule="exact"/>
              <w:ind w:right="99"/>
              <w:jc w:val="right"/>
              <w:rPr>
                <w:sz w:val="21"/>
              </w:rPr>
            </w:pPr>
            <w:r>
              <w:rPr>
                <w:sz w:val="21"/>
              </w:rPr>
              <w:t>6.3</w:t>
            </w:r>
          </w:p>
        </w:tc>
        <w:tc>
          <w:tcPr>
            <w:tcW w:w="1206" w:type="dxa"/>
          </w:tcPr>
          <w:p>
            <w:pPr>
              <w:pStyle w:val="TableParagraph"/>
              <w:spacing w:line="260" w:lineRule="exact"/>
              <w:ind w:left="107"/>
              <w:rPr>
                <w:sz w:val="21"/>
              </w:rPr>
            </w:pPr>
            <w:r>
              <w:rPr>
                <w:sz w:val="21"/>
              </w:rPr>
              <w:t>认可医院</w:t>
            </w:r>
          </w:p>
        </w:tc>
      </w:tr>
      <w:tr>
        <w:trPr>
          <w:trHeight w:val="312" w:hRule="atLeast"/>
        </w:trPr>
        <w:tc>
          <w:tcPr>
            <w:tcW w:w="418" w:type="dxa"/>
          </w:tcPr>
          <w:p>
            <w:pPr>
              <w:pStyle w:val="TableParagraph"/>
              <w:spacing w:line="263" w:lineRule="exact"/>
              <w:ind w:left="31" w:right="32"/>
              <w:jc w:val="center"/>
              <w:rPr>
                <w:sz w:val="21"/>
              </w:rPr>
            </w:pPr>
            <w:r>
              <w:rPr>
                <w:sz w:val="21"/>
              </w:rPr>
              <w:t>1.4</w:t>
            </w:r>
          </w:p>
        </w:tc>
        <w:tc>
          <w:tcPr>
            <w:tcW w:w="2005" w:type="dxa"/>
          </w:tcPr>
          <w:p>
            <w:pPr>
              <w:pStyle w:val="TableParagraph"/>
              <w:spacing w:line="263" w:lineRule="exact"/>
              <w:ind w:left="54"/>
              <w:rPr>
                <w:sz w:val="21"/>
              </w:rPr>
            </w:pPr>
            <w:r>
              <w:rPr>
                <w:sz w:val="21"/>
              </w:rPr>
              <w:t>合同内容变更</w:t>
            </w:r>
          </w:p>
        </w:tc>
        <w:tc>
          <w:tcPr>
            <w:tcW w:w="3351" w:type="dxa"/>
          </w:tcPr>
          <w:p>
            <w:pPr>
              <w:pStyle w:val="TableParagraph"/>
              <w:spacing w:line="260" w:lineRule="exact"/>
              <w:ind w:right="756"/>
              <w:jc w:val="right"/>
              <w:rPr>
                <w:sz w:val="21"/>
              </w:rPr>
            </w:pPr>
            <w:r>
              <w:rPr>
                <w:sz w:val="21"/>
              </w:rPr>
              <w:t>4.如何申请领取保险金</w:t>
            </w:r>
          </w:p>
        </w:tc>
        <w:tc>
          <w:tcPr>
            <w:tcW w:w="1179" w:type="dxa"/>
          </w:tcPr>
          <w:p>
            <w:pPr>
              <w:pStyle w:val="TableParagraph"/>
              <w:spacing w:line="260" w:lineRule="exact"/>
              <w:ind w:right="99"/>
              <w:jc w:val="right"/>
              <w:rPr>
                <w:sz w:val="21"/>
              </w:rPr>
            </w:pPr>
            <w:r>
              <w:rPr>
                <w:sz w:val="21"/>
              </w:rPr>
              <w:t>6.4</w:t>
            </w:r>
          </w:p>
        </w:tc>
        <w:tc>
          <w:tcPr>
            <w:tcW w:w="1206" w:type="dxa"/>
          </w:tcPr>
          <w:p>
            <w:pPr>
              <w:pStyle w:val="TableParagraph"/>
              <w:spacing w:line="260" w:lineRule="exact"/>
              <w:ind w:left="107"/>
              <w:rPr>
                <w:sz w:val="21"/>
              </w:rPr>
            </w:pPr>
            <w:r>
              <w:rPr>
                <w:sz w:val="21"/>
              </w:rPr>
              <w:t>专科医生</w:t>
            </w:r>
          </w:p>
        </w:tc>
      </w:tr>
      <w:tr>
        <w:trPr>
          <w:trHeight w:val="311" w:hRule="atLeast"/>
        </w:trPr>
        <w:tc>
          <w:tcPr>
            <w:tcW w:w="418" w:type="dxa"/>
          </w:tcPr>
          <w:p>
            <w:pPr>
              <w:pStyle w:val="TableParagraph"/>
              <w:spacing w:line="263" w:lineRule="exact"/>
              <w:ind w:left="31" w:right="32"/>
              <w:jc w:val="center"/>
              <w:rPr>
                <w:sz w:val="21"/>
              </w:rPr>
            </w:pPr>
            <w:r>
              <w:rPr>
                <w:sz w:val="21"/>
              </w:rPr>
              <w:t>1.5</w:t>
            </w:r>
          </w:p>
        </w:tc>
        <w:tc>
          <w:tcPr>
            <w:tcW w:w="2005" w:type="dxa"/>
          </w:tcPr>
          <w:p>
            <w:pPr>
              <w:pStyle w:val="TableParagraph"/>
              <w:spacing w:line="263" w:lineRule="exact"/>
              <w:ind w:left="54"/>
              <w:rPr>
                <w:sz w:val="21"/>
              </w:rPr>
            </w:pPr>
            <w:r>
              <w:rPr>
                <w:sz w:val="21"/>
              </w:rPr>
              <w:t>投保人解除合同</w:t>
            </w:r>
          </w:p>
        </w:tc>
        <w:tc>
          <w:tcPr>
            <w:tcW w:w="3351" w:type="dxa"/>
          </w:tcPr>
          <w:p>
            <w:pPr>
              <w:pStyle w:val="TableParagraph"/>
              <w:spacing w:line="260" w:lineRule="exact"/>
              <w:ind w:right="763"/>
              <w:jc w:val="right"/>
              <w:rPr>
                <w:sz w:val="21"/>
              </w:rPr>
            </w:pPr>
            <w:r>
              <w:rPr>
                <w:sz w:val="21"/>
              </w:rPr>
              <w:t>4.1 保险金受益人的</w:t>
            </w:r>
          </w:p>
        </w:tc>
        <w:tc>
          <w:tcPr>
            <w:tcW w:w="1179" w:type="dxa"/>
          </w:tcPr>
          <w:p>
            <w:pPr>
              <w:pStyle w:val="TableParagraph"/>
              <w:spacing w:line="260" w:lineRule="exact"/>
              <w:ind w:right="99"/>
              <w:jc w:val="right"/>
              <w:rPr>
                <w:sz w:val="21"/>
              </w:rPr>
            </w:pPr>
            <w:r>
              <w:rPr>
                <w:sz w:val="21"/>
              </w:rPr>
              <w:t>6.5</w:t>
            </w:r>
          </w:p>
        </w:tc>
        <w:tc>
          <w:tcPr>
            <w:tcW w:w="1206" w:type="dxa"/>
          </w:tcPr>
          <w:p>
            <w:pPr>
              <w:pStyle w:val="TableParagraph"/>
              <w:spacing w:line="260" w:lineRule="exact"/>
              <w:ind w:left="107"/>
              <w:rPr>
                <w:sz w:val="21"/>
              </w:rPr>
            </w:pPr>
            <w:r>
              <w:rPr>
                <w:sz w:val="21"/>
              </w:rPr>
              <w:t>本合同所指</w:t>
            </w:r>
          </w:p>
        </w:tc>
      </w:tr>
      <w:tr>
        <w:trPr>
          <w:trHeight w:val="312" w:hRule="atLeast"/>
        </w:trPr>
        <w:tc>
          <w:tcPr>
            <w:tcW w:w="418" w:type="dxa"/>
          </w:tcPr>
          <w:p>
            <w:pPr>
              <w:pStyle w:val="TableParagraph"/>
              <w:rPr>
                <w:rFonts w:ascii="Times New Roman"/>
                <w:sz w:val="20"/>
              </w:rPr>
            </w:pPr>
          </w:p>
        </w:tc>
        <w:tc>
          <w:tcPr>
            <w:tcW w:w="2005" w:type="dxa"/>
          </w:tcPr>
          <w:p>
            <w:pPr>
              <w:pStyle w:val="TableParagraph"/>
              <w:spacing w:line="263" w:lineRule="exact"/>
              <w:ind w:left="52"/>
              <w:rPr>
                <w:sz w:val="21"/>
              </w:rPr>
            </w:pPr>
            <w:r>
              <w:rPr>
                <w:sz w:val="21"/>
              </w:rPr>
              <w:t>的手续及风险</w:t>
            </w:r>
          </w:p>
        </w:tc>
        <w:tc>
          <w:tcPr>
            <w:tcW w:w="3351" w:type="dxa"/>
          </w:tcPr>
          <w:p>
            <w:pPr>
              <w:pStyle w:val="TableParagraph"/>
              <w:spacing w:line="260" w:lineRule="exact"/>
              <w:ind w:left="1111"/>
              <w:rPr>
                <w:sz w:val="21"/>
              </w:rPr>
            </w:pPr>
            <w:r>
              <w:rPr>
                <w:sz w:val="21"/>
              </w:rPr>
              <w:t>指定和变更</w:t>
            </w:r>
          </w:p>
        </w:tc>
        <w:tc>
          <w:tcPr>
            <w:tcW w:w="1179" w:type="dxa"/>
          </w:tcPr>
          <w:p>
            <w:pPr>
              <w:pStyle w:val="TableParagraph"/>
              <w:rPr>
                <w:rFonts w:ascii="Times New Roman"/>
                <w:sz w:val="20"/>
              </w:rPr>
            </w:pPr>
          </w:p>
        </w:tc>
        <w:tc>
          <w:tcPr>
            <w:tcW w:w="1206" w:type="dxa"/>
          </w:tcPr>
          <w:p>
            <w:pPr>
              <w:pStyle w:val="TableParagraph"/>
              <w:spacing w:line="260" w:lineRule="exact"/>
              <w:ind w:left="105"/>
              <w:rPr>
                <w:sz w:val="21"/>
              </w:rPr>
            </w:pPr>
            <w:r>
              <w:rPr>
                <w:sz w:val="21"/>
              </w:rPr>
              <w:t>的重大疾病</w:t>
            </w:r>
          </w:p>
        </w:tc>
      </w:tr>
      <w:tr>
        <w:trPr>
          <w:trHeight w:val="262" w:hRule="atLeast"/>
        </w:trPr>
        <w:tc>
          <w:tcPr>
            <w:tcW w:w="418" w:type="dxa"/>
          </w:tcPr>
          <w:p>
            <w:pPr>
              <w:pStyle w:val="TableParagraph"/>
              <w:spacing w:line="243" w:lineRule="exact"/>
              <w:ind w:left="31" w:right="32"/>
              <w:jc w:val="center"/>
              <w:rPr>
                <w:sz w:val="21"/>
              </w:rPr>
            </w:pPr>
            <w:r>
              <w:rPr>
                <w:sz w:val="21"/>
              </w:rPr>
              <w:t>1.6</w:t>
            </w:r>
          </w:p>
        </w:tc>
        <w:tc>
          <w:tcPr>
            <w:tcW w:w="2005" w:type="dxa"/>
          </w:tcPr>
          <w:p>
            <w:pPr>
              <w:pStyle w:val="TableParagraph"/>
              <w:spacing w:line="243" w:lineRule="exact"/>
              <w:ind w:left="54"/>
              <w:rPr>
                <w:sz w:val="21"/>
              </w:rPr>
            </w:pPr>
            <w:r>
              <w:rPr>
                <w:sz w:val="21"/>
              </w:rPr>
              <w:t>合同终止</w:t>
            </w:r>
          </w:p>
        </w:tc>
        <w:tc>
          <w:tcPr>
            <w:tcW w:w="3351" w:type="dxa"/>
          </w:tcPr>
          <w:p>
            <w:pPr>
              <w:pStyle w:val="TableParagraph"/>
              <w:spacing w:line="243" w:lineRule="exact"/>
              <w:ind w:left="691"/>
              <w:rPr>
                <w:sz w:val="21"/>
              </w:rPr>
            </w:pPr>
            <w:r>
              <w:rPr>
                <w:sz w:val="21"/>
              </w:rPr>
              <w:t>4.2 保险事故通知</w:t>
            </w:r>
          </w:p>
        </w:tc>
        <w:tc>
          <w:tcPr>
            <w:tcW w:w="1179" w:type="dxa"/>
          </w:tcPr>
          <w:p>
            <w:pPr>
              <w:pStyle w:val="TableParagraph"/>
              <w:spacing w:line="243" w:lineRule="exact"/>
              <w:ind w:right="99"/>
              <w:jc w:val="right"/>
              <w:rPr>
                <w:sz w:val="21"/>
              </w:rPr>
            </w:pPr>
            <w:r>
              <w:rPr>
                <w:sz w:val="21"/>
              </w:rPr>
              <w:t>6.6</w:t>
            </w:r>
          </w:p>
        </w:tc>
        <w:tc>
          <w:tcPr>
            <w:tcW w:w="1206" w:type="dxa"/>
          </w:tcPr>
          <w:p>
            <w:pPr>
              <w:pStyle w:val="TableParagraph"/>
              <w:spacing w:line="243" w:lineRule="exact"/>
              <w:ind w:left="107"/>
              <w:rPr>
                <w:sz w:val="21"/>
              </w:rPr>
            </w:pPr>
            <w:r>
              <w:rPr>
                <w:sz w:val="21"/>
              </w:rPr>
              <w:t>意外伤害</w:t>
            </w:r>
          </w:p>
        </w:tc>
      </w:tr>
    </w:tbl>
    <w:p>
      <w:pPr>
        <w:spacing w:after="0" w:line="243" w:lineRule="exact"/>
        <w:rPr>
          <w:sz w:val="21"/>
        </w:rPr>
        <w:sectPr>
          <w:type w:val="continuous"/>
          <w:pgSz w:w="11910" w:h="16840"/>
          <w:pgMar w:top="1040" w:bottom="1180" w:left="1080" w:right="380"/>
        </w:sectPr>
      </w:pPr>
    </w:p>
    <w:p>
      <w:pPr>
        <w:pStyle w:val="BodyText"/>
        <w:spacing w:before="38"/>
        <w:ind w:left="544"/>
      </w:pPr>
      <w:r>
        <w:rPr/>
        <w:t>2.我们提供的保障</w:t>
      </w:r>
    </w:p>
    <w:p>
      <w:pPr>
        <w:pStyle w:val="ListParagraph"/>
        <w:numPr>
          <w:ilvl w:val="1"/>
          <w:numId w:val="1"/>
        </w:numPr>
        <w:tabs>
          <w:tab w:pos="1178" w:val="left" w:leader="none"/>
        </w:tabs>
        <w:spacing w:line="240" w:lineRule="auto" w:before="37" w:after="0"/>
        <w:ind w:left="1177" w:right="0" w:hanging="422"/>
        <w:jc w:val="left"/>
        <w:rPr>
          <w:sz w:val="21"/>
        </w:rPr>
      </w:pPr>
      <w:r>
        <w:rPr>
          <w:spacing w:val="-3"/>
          <w:sz w:val="21"/>
        </w:rPr>
        <w:t>保险金额</w:t>
      </w:r>
    </w:p>
    <w:p>
      <w:pPr>
        <w:pStyle w:val="ListParagraph"/>
        <w:numPr>
          <w:ilvl w:val="1"/>
          <w:numId w:val="1"/>
        </w:numPr>
        <w:tabs>
          <w:tab w:pos="1178" w:val="left" w:leader="none"/>
        </w:tabs>
        <w:spacing w:line="240" w:lineRule="auto" w:before="37" w:after="0"/>
        <w:ind w:left="1177" w:right="0" w:hanging="422"/>
        <w:jc w:val="left"/>
        <w:rPr>
          <w:sz w:val="21"/>
        </w:rPr>
      </w:pPr>
      <w:r>
        <w:rPr>
          <w:spacing w:val="-3"/>
          <w:sz w:val="21"/>
        </w:rPr>
        <w:t>保险期间</w:t>
      </w:r>
    </w:p>
    <w:p>
      <w:pPr>
        <w:pStyle w:val="ListParagraph"/>
        <w:numPr>
          <w:ilvl w:val="1"/>
          <w:numId w:val="1"/>
        </w:numPr>
        <w:tabs>
          <w:tab w:pos="1178" w:val="left" w:leader="none"/>
        </w:tabs>
        <w:spacing w:line="240" w:lineRule="auto" w:before="37" w:after="0"/>
        <w:ind w:left="1177" w:right="0" w:hanging="422"/>
        <w:jc w:val="left"/>
        <w:rPr>
          <w:sz w:val="21"/>
        </w:rPr>
      </w:pPr>
      <w:r>
        <w:rPr>
          <w:spacing w:val="-3"/>
          <w:sz w:val="21"/>
        </w:rPr>
        <w:t>保险责任</w:t>
      </w:r>
    </w:p>
    <w:p>
      <w:pPr>
        <w:pStyle w:val="ListParagraph"/>
        <w:numPr>
          <w:ilvl w:val="1"/>
          <w:numId w:val="1"/>
        </w:numPr>
        <w:tabs>
          <w:tab w:pos="1178" w:val="left" w:leader="none"/>
        </w:tabs>
        <w:spacing w:line="240" w:lineRule="auto" w:before="37" w:after="0"/>
        <w:ind w:left="1177" w:right="0" w:hanging="422"/>
        <w:jc w:val="left"/>
        <w:rPr>
          <w:sz w:val="21"/>
        </w:rPr>
      </w:pPr>
      <w:r>
        <w:rPr>
          <w:spacing w:val="-3"/>
          <w:sz w:val="21"/>
        </w:rPr>
        <w:t>责任免除</w:t>
      </w:r>
    </w:p>
    <w:p>
      <w:pPr>
        <w:pStyle w:val="BodyText"/>
        <w:spacing w:before="37"/>
        <w:ind w:left="544"/>
      </w:pPr>
      <w:r>
        <w:rPr/>
        <w:t>3.您的权利和义务</w:t>
      </w:r>
    </w:p>
    <w:p>
      <w:pPr>
        <w:pStyle w:val="ListParagraph"/>
        <w:numPr>
          <w:ilvl w:val="1"/>
          <w:numId w:val="2"/>
        </w:numPr>
        <w:tabs>
          <w:tab w:pos="1178" w:val="left" w:leader="none"/>
        </w:tabs>
        <w:spacing w:line="240" w:lineRule="auto" w:before="35" w:after="0"/>
        <w:ind w:left="1175" w:right="0" w:hanging="420"/>
        <w:jc w:val="left"/>
        <w:rPr>
          <w:sz w:val="21"/>
        </w:rPr>
      </w:pPr>
      <w:r>
        <w:rPr>
          <w:spacing w:val="-3"/>
          <w:w w:val="100"/>
          <w:sz w:val="21"/>
        </w:rPr>
        <w:br w:type="column"/>
      </w:r>
      <w:r>
        <w:rPr>
          <w:spacing w:val="-3"/>
          <w:sz w:val="21"/>
        </w:rPr>
        <w:t>保险金的申请</w:t>
      </w:r>
    </w:p>
    <w:p>
      <w:pPr>
        <w:pStyle w:val="ListParagraph"/>
        <w:numPr>
          <w:ilvl w:val="1"/>
          <w:numId w:val="2"/>
        </w:numPr>
        <w:tabs>
          <w:tab w:pos="1178" w:val="left" w:leader="none"/>
        </w:tabs>
        <w:spacing w:line="240" w:lineRule="auto" w:before="36" w:after="0"/>
        <w:ind w:left="1175" w:right="0" w:hanging="420"/>
        <w:jc w:val="left"/>
        <w:rPr>
          <w:sz w:val="21"/>
        </w:rPr>
      </w:pPr>
      <w:r>
        <w:rPr>
          <w:spacing w:val="-3"/>
          <w:sz w:val="21"/>
        </w:rPr>
        <w:t>保险金的给付</w:t>
      </w:r>
    </w:p>
    <w:p>
      <w:pPr>
        <w:pStyle w:val="ListParagraph"/>
        <w:numPr>
          <w:ilvl w:val="1"/>
          <w:numId w:val="2"/>
        </w:numPr>
        <w:tabs>
          <w:tab w:pos="1178" w:val="left" w:leader="none"/>
        </w:tabs>
        <w:spacing w:line="273" w:lineRule="auto" w:before="36" w:after="0"/>
        <w:ind w:left="1175" w:right="0" w:hanging="420"/>
        <w:jc w:val="left"/>
        <w:rPr>
          <w:sz w:val="21"/>
        </w:rPr>
      </w:pPr>
      <w:r>
        <w:rPr>
          <w:spacing w:val="-3"/>
          <w:sz w:val="21"/>
        </w:rPr>
        <w:t>欠交保险费及未还款项的扣除</w:t>
      </w:r>
    </w:p>
    <w:p>
      <w:pPr>
        <w:pStyle w:val="BodyText"/>
        <w:spacing w:before="7"/>
        <w:ind w:left="544"/>
      </w:pPr>
      <w:r>
        <w:rPr/>
        <w:t>5.基本条款</w:t>
      </w:r>
    </w:p>
    <w:p>
      <w:pPr>
        <w:pStyle w:val="BodyText"/>
        <w:spacing w:before="37"/>
        <w:ind w:left="755"/>
      </w:pPr>
      <w:r>
        <w:rPr/>
        <w:t>5.1 明确说明与如实告知</w:t>
      </w:r>
    </w:p>
    <w:p>
      <w:pPr>
        <w:pStyle w:val="ListParagraph"/>
        <w:numPr>
          <w:ilvl w:val="1"/>
          <w:numId w:val="3"/>
        </w:numPr>
        <w:tabs>
          <w:tab w:pos="1069" w:val="left" w:leader="none"/>
          <w:tab w:pos="1070" w:val="left" w:leader="none"/>
        </w:tabs>
        <w:spacing w:line="240" w:lineRule="auto" w:before="35" w:after="0"/>
        <w:ind w:left="1069" w:right="0" w:hanging="525"/>
        <w:jc w:val="left"/>
        <w:rPr>
          <w:sz w:val="21"/>
        </w:rPr>
      </w:pPr>
      <w:r>
        <w:rPr>
          <w:w w:val="100"/>
          <w:sz w:val="21"/>
        </w:rPr>
        <w:br w:type="column"/>
      </w:r>
      <w:r>
        <w:rPr>
          <w:sz w:val="21"/>
        </w:rPr>
        <w:t>毒品</w:t>
      </w:r>
    </w:p>
    <w:p>
      <w:pPr>
        <w:pStyle w:val="ListParagraph"/>
        <w:numPr>
          <w:ilvl w:val="1"/>
          <w:numId w:val="3"/>
        </w:numPr>
        <w:tabs>
          <w:tab w:pos="1069" w:val="left" w:leader="none"/>
          <w:tab w:pos="1070" w:val="left" w:leader="none"/>
        </w:tabs>
        <w:spacing w:line="240" w:lineRule="auto" w:before="36" w:after="0"/>
        <w:ind w:left="1069" w:right="0" w:hanging="525"/>
        <w:jc w:val="left"/>
        <w:rPr>
          <w:sz w:val="21"/>
        </w:rPr>
      </w:pPr>
      <w:r>
        <w:rPr>
          <w:spacing w:val="-2"/>
          <w:sz w:val="21"/>
        </w:rPr>
        <w:t>酒后驾驶</w:t>
      </w:r>
    </w:p>
    <w:p>
      <w:pPr>
        <w:pStyle w:val="ListParagraph"/>
        <w:numPr>
          <w:ilvl w:val="1"/>
          <w:numId w:val="3"/>
        </w:numPr>
        <w:tabs>
          <w:tab w:pos="1069" w:val="left" w:leader="none"/>
          <w:tab w:pos="1070" w:val="left" w:leader="none"/>
        </w:tabs>
        <w:spacing w:line="240" w:lineRule="auto" w:before="36" w:after="0"/>
        <w:ind w:left="1069" w:right="0" w:hanging="525"/>
        <w:jc w:val="left"/>
        <w:rPr>
          <w:sz w:val="21"/>
        </w:rPr>
      </w:pPr>
      <w:r>
        <w:rPr>
          <w:spacing w:val="-3"/>
          <w:sz w:val="21"/>
        </w:rPr>
        <w:t>无合法有效</w:t>
      </w:r>
    </w:p>
    <w:p>
      <w:pPr>
        <w:pStyle w:val="BodyText"/>
        <w:ind w:left="1069"/>
      </w:pPr>
      <w:r>
        <w:rPr/>
        <w:t>驾驶证驾驶</w:t>
      </w:r>
    </w:p>
    <w:p>
      <w:pPr>
        <w:pStyle w:val="ListParagraph"/>
        <w:numPr>
          <w:ilvl w:val="1"/>
          <w:numId w:val="3"/>
        </w:numPr>
        <w:tabs>
          <w:tab w:pos="1070" w:val="left" w:leader="none"/>
        </w:tabs>
        <w:spacing w:line="240" w:lineRule="auto" w:before="36" w:after="0"/>
        <w:ind w:left="1069" w:right="0" w:hanging="525"/>
        <w:jc w:val="left"/>
        <w:rPr>
          <w:sz w:val="21"/>
        </w:rPr>
      </w:pPr>
      <w:r>
        <w:rPr>
          <w:spacing w:val="-3"/>
          <w:sz w:val="21"/>
        </w:rPr>
        <w:t>无有效行驶证</w:t>
      </w:r>
    </w:p>
    <w:p>
      <w:pPr>
        <w:pStyle w:val="ListParagraph"/>
        <w:numPr>
          <w:ilvl w:val="1"/>
          <w:numId w:val="3"/>
        </w:numPr>
        <w:tabs>
          <w:tab w:pos="1070" w:val="left" w:leader="none"/>
        </w:tabs>
        <w:spacing w:line="240" w:lineRule="auto" w:before="36" w:after="0"/>
        <w:ind w:left="1069" w:right="0" w:hanging="525"/>
        <w:jc w:val="left"/>
        <w:rPr>
          <w:sz w:val="21"/>
        </w:rPr>
      </w:pPr>
      <w:r>
        <w:rPr>
          <w:spacing w:val="-2"/>
          <w:sz w:val="21"/>
        </w:rPr>
        <w:t>机动车</w:t>
      </w:r>
    </w:p>
    <w:p>
      <w:pPr>
        <w:spacing w:after="0" w:line="240" w:lineRule="auto"/>
        <w:jc w:val="left"/>
        <w:rPr>
          <w:sz w:val="21"/>
        </w:rPr>
        <w:sectPr>
          <w:type w:val="continuous"/>
          <w:pgSz w:w="11910" w:h="16840"/>
          <w:pgMar w:top="1040" w:bottom="1180" w:left="1080" w:right="380"/>
          <w:cols w:num="3" w:equalWidth="0">
            <w:col w:w="2234" w:space="830"/>
            <w:col w:w="3070" w:space="562"/>
            <w:col w:w="3754"/>
          </w:cols>
        </w:sectPr>
      </w:pPr>
    </w:p>
    <w:p>
      <w:pPr>
        <w:pStyle w:val="BodyText"/>
        <w:spacing w:before="6"/>
        <w:rPr>
          <w:sz w:val="7"/>
        </w:rPr>
      </w:pPr>
    </w:p>
    <w:tbl>
      <w:tblPr>
        <w:tblW w:w="0" w:type="auto"/>
        <w:jc w:val="left"/>
        <w:tblInd w:w="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2005"/>
        <w:gridCol w:w="1061"/>
        <w:gridCol w:w="2707"/>
        <w:gridCol w:w="816"/>
        <w:gridCol w:w="1574"/>
      </w:tblGrid>
      <w:tr>
        <w:trPr>
          <w:trHeight w:val="262" w:hRule="atLeast"/>
        </w:trPr>
        <w:tc>
          <w:tcPr>
            <w:tcW w:w="418" w:type="dxa"/>
          </w:tcPr>
          <w:p>
            <w:pPr>
              <w:pStyle w:val="TableParagraph"/>
              <w:spacing w:line="213" w:lineRule="exact"/>
              <w:ind w:left="31" w:right="32"/>
              <w:jc w:val="center"/>
              <w:rPr>
                <w:sz w:val="21"/>
              </w:rPr>
            </w:pPr>
            <w:r>
              <w:rPr>
                <w:sz w:val="21"/>
              </w:rPr>
              <w:t>3.1</w:t>
            </w:r>
          </w:p>
        </w:tc>
        <w:tc>
          <w:tcPr>
            <w:tcW w:w="2005" w:type="dxa"/>
          </w:tcPr>
          <w:p>
            <w:pPr>
              <w:pStyle w:val="TableParagraph"/>
              <w:spacing w:line="213" w:lineRule="exact"/>
              <w:ind w:left="54"/>
              <w:rPr>
                <w:sz w:val="21"/>
              </w:rPr>
            </w:pPr>
            <w:r>
              <w:rPr>
                <w:sz w:val="21"/>
              </w:rPr>
              <w:t>保险费的交纳</w:t>
            </w:r>
          </w:p>
        </w:tc>
        <w:tc>
          <w:tcPr>
            <w:tcW w:w="1061" w:type="dxa"/>
          </w:tcPr>
          <w:p>
            <w:pPr>
              <w:pStyle w:val="TableParagraph"/>
              <w:spacing w:line="211" w:lineRule="exact"/>
              <w:ind w:right="50"/>
              <w:jc w:val="right"/>
              <w:rPr>
                <w:sz w:val="21"/>
              </w:rPr>
            </w:pPr>
            <w:r>
              <w:rPr>
                <w:sz w:val="21"/>
              </w:rPr>
              <w:t>5.2</w:t>
            </w:r>
          </w:p>
        </w:tc>
        <w:tc>
          <w:tcPr>
            <w:tcW w:w="2707" w:type="dxa"/>
          </w:tcPr>
          <w:p>
            <w:pPr>
              <w:pStyle w:val="TableParagraph"/>
              <w:spacing w:line="211" w:lineRule="exact"/>
              <w:ind w:left="53"/>
              <w:rPr>
                <w:sz w:val="21"/>
              </w:rPr>
            </w:pPr>
            <w:r>
              <w:rPr>
                <w:sz w:val="21"/>
              </w:rPr>
              <w:t>本公司合同解除权的限制</w:t>
            </w:r>
          </w:p>
        </w:tc>
        <w:tc>
          <w:tcPr>
            <w:tcW w:w="816" w:type="dxa"/>
          </w:tcPr>
          <w:p>
            <w:pPr>
              <w:pStyle w:val="TableParagraph"/>
              <w:spacing w:line="211" w:lineRule="exact"/>
              <w:ind w:right="47"/>
              <w:jc w:val="right"/>
              <w:rPr>
                <w:sz w:val="21"/>
              </w:rPr>
            </w:pPr>
            <w:r>
              <w:rPr>
                <w:sz w:val="21"/>
              </w:rPr>
              <w:t>6.12</w:t>
            </w:r>
          </w:p>
        </w:tc>
        <w:tc>
          <w:tcPr>
            <w:tcW w:w="1574" w:type="dxa"/>
          </w:tcPr>
          <w:p>
            <w:pPr>
              <w:pStyle w:val="TableParagraph"/>
              <w:spacing w:line="211" w:lineRule="exact"/>
              <w:ind w:left="53"/>
              <w:rPr>
                <w:sz w:val="21"/>
              </w:rPr>
            </w:pPr>
            <w:r>
              <w:rPr>
                <w:sz w:val="21"/>
              </w:rPr>
              <w:t>遗传性疾病</w:t>
            </w:r>
          </w:p>
        </w:tc>
      </w:tr>
      <w:tr>
        <w:trPr>
          <w:trHeight w:val="311" w:hRule="atLeast"/>
        </w:trPr>
        <w:tc>
          <w:tcPr>
            <w:tcW w:w="418" w:type="dxa"/>
          </w:tcPr>
          <w:p>
            <w:pPr>
              <w:pStyle w:val="TableParagraph"/>
              <w:spacing w:line="263" w:lineRule="exact"/>
              <w:ind w:left="31" w:right="32"/>
              <w:jc w:val="center"/>
              <w:rPr>
                <w:sz w:val="21"/>
              </w:rPr>
            </w:pPr>
            <w:r>
              <w:rPr>
                <w:sz w:val="21"/>
              </w:rPr>
              <w:t>3.2</w:t>
            </w:r>
          </w:p>
        </w:tc>
        <w:tc>
          <w:tcPr>
            <w:tcW w:w="2005" w:type="dxa"/>
          </w:tcPr>
          <w:p>
            <w:pPr>
              <w:pStyle w:val="TableParagraph"/>
              <w:spacing w:line="263" w:lineRule="exact"/>
              <w:ind w:left="54"/>
              <w:rPr>
                <w:sz w:val="21"/>
              </w:rPr>
            </w:pPr>
            <w:r>
              <w:rPr>
                <w:sz w:val="21"/>
              </w:rPr>
              <w:t>续期保险费的</w:t>
            </w:r>
          </w:p>
        </w:tc>
        <w:tc>
          <w:tcPr>
            <w:tcW w:w="1061" w:type="dxa"/>
          </w:tcPr>
          <w:p>
            <w:pPr>
              <w:pStyle w:val="TableParagraph"/>
              <w:spacing w:line="260" w:lineRule="exact"/>
              <w:ind w:right="50"/>
              <w:jc w:val="right"/>
              <w:rPr>
                <w:sz w:val="21"/>
              </w:rPr>
            </w:pPr>
            <w:r>
              <w:rPr>
                <w:sz w:val="21"/>
              </w:rPr>
              <w:t>5.3</w:t>
            </w:r>
          </w:p>
        </w:tc>
        <w:tc>
          <w:tcPr>
            <w:tcW w:w="2707" w:type="dxa"/>
          </w:tcPr>
          <w:p>
            <w:pPr>
              <w:pStyle w:val="TableParagraph"/>
              <w:spacing w:line="260" w:lineRule="exact"/>
              <w:ind w:left="53"/>
              <w:rPr>
                <w:sz w:val="21"/>
              </w:rPr>
            </w:pPr>
            <w:r>
              <w:rPr>
                <w:sz w:val="21"/>
              </w:rPr>
              <w:t>年龄确定与错误处理</w:t>
            </w:r>
          </w:p>
        </w:tc>
        <w:tc>
          <w:tcPr>
            <w:tcW w:w="816" w:type="dxa"/>
          </w:tcPr>
          <w:p>
            <w:pPr>
              <w:pStyle w:val="TableParagraph"/>
              <w:spacing w:line="260" w:lineRule="exact"/>
              <w:ind w:right="47"/>
              <w:jc w:val="right"/>
              <w:rPr>
                <w:sz w:val="21"/>
              </w:rPr>
            </w:pPr>
            <w:r>
              <w:rPr>
                <w:sz w:val="21"/>
              </w:rPr>
              <w:t>6.13</w:t>
            </w:r>
          </w:p>
        </w:tc>
        <w:tc>
          <w:tcPr>
            <w:tcW w:w="1574" w:type="dxa"/>
          </w:tcPr>
          <w:p>
            <w:pPr>
              <w:pStyle w:val="TableParagraph"/>
              <w:spacing w:line="260" w:lineRule="exact"/>
              <w:ind w:left="53"/>
              <w:rPr>
                <w:sz w:val="21"/>
              </w:rPr>
            </w:pPr>
            <w:r>
              <w:rPr>
                <w:sz w:val="21"/>
              </w:rPr>
              <w:t>先天性畸形、变</w:t>
            </w:r>
          </w:p>
        </w:tc>
      </w:tr>
      <w:tr>
        <w:trPr>
          <w:trHeight w:val="312" w:hRule="atLeast"/>
        </w:trPr>
        <w:tc>
          <w:tcPr>
            <w:tcW w:w="418" w:type="dxa"/>
          </w:tcPr>
          <w:p>
            <w:pPr>
              <w:pStyle w:val="TableParagraph"/>
              <w:rPr>
                <w:rFonts w:ascii="Times New Roman"/>
                <w:sz w:val="20"/>
              </w:rPr>
            </w:pPr>
          </w:p>
        </w:tc>
        <w:tc>
          <w:tcPr>
            <w:tcW w:w="2005" w:type="dxa"/>
          </w:tcPr>
          <w:p>
            <w:pPr>
              <w:pStyle w:val="TableParagraph"/>
              <w:spacing w:line="263" w:lineRule="exact"/>
              <w:ind w:left="52"/>
              <w:rPr>
                <w:sz w:val="21"/>
              </w:rPr>
            </w:pPr>
            <w:r>
              <w:rPr>
                <w:sz w:val="21"/>
              </w:rPr>
              <w:t>交纳、宽限期</w:t>
            </w:r>
          </w:p>
        </w:tc>
        <w:tc>
          <w:tcPr>
            <w:tcW w:w="1061" w:type="dxa"/>
          </w:tcPr>
          <w:p>
            <w:pPr>
              <w:pStyle w:val="TableParagraph"/>
              <w:spacing w:line="260" w:lineRule="exact"/>
              <w:ind w:right="50"/>
              <w:jc w:val="right"/>
              <w:rPr>
                <w:sz w:val="21"/>
              </w:rPr>
            </w:pPr>
            <w:r>
              <w:rPr>
                <w:sz w:val="21"/>
              </w:rPr>
              <w:t>5.4</w:t>
            </w:r>
          </w:p>
        </w:tc>
        <w:tc>
          <w:tcPr>
            <w:tcW w:w="2707" w:type="dxa"/>
          </w:tcPr>
          <w:p>
            <w:pPr>
              <w:pStyle w:val="TableParagraph"/>
              <w:spacing w:line="260" w:lineRule="exact"/>
              <w:ind w:left="53"/>
              <w:rPr>
                <w:sz w:val="21"/>
              </w:rPr>
            </w:pPr>
            <w:r>
              <w:rPr>
                <w:sz w:val="21"/>
              </w:rPr>
              <w:t>地址变更</w:t>
            </w:r>
          </w:p>
        </w:tc>
        <w:tc>
          <w:tcPr>
            <w:tcW w:w="816" w:type="dxa"/>
          </w:tcPr>
          <w:p>
            <w:pPr>
              <w:pStyle w:val="TableParagraph"/>
              <w:rPr>
                <w:rFonts w:ascii="Times New Roman"/>
                <w:sz w:val="20"/>
              </w:rPr>
            </w:pPr>
          </w:p>
        </w:tc>
        <w:tc>
          <w:tcPr>
            <w:tcW w:w="1574" w:type="dxa"/>
          </w:tcPr>
          <w:p>
            <w:pPr>
              <w:pStyle w:val="TableParagraph"/>
              <w:spacing w:line="260" w:lineRule="exact"/>
              <w:ind w:left="51"/>
              <w:rPr>
                <w:sz w:val="21"/>
              </w:rPr>
            </w:pPr>
            <w:r>
              <w:rPr>
                <w:sz w:val="21"/>
              </w:rPr>
              <w:t>形或染色体异常</w:t>
            </w:r>
          </w:p>
        </w:tc>
      </w:tr>
      <w:tr>
        <w:trPr>
          <w:trHeight w:val="311" w:hRule="atLeast"/>
        </w:trPr>
        <w:tc>
          <w:tcPr>
            <w:tcW w:w="418" w:type="dxa"/>
          </w:tcPr>
          <w:p>
            <w:pPr>
              <w:pStyle w:val="TableParagraph"/>
              <w:spacing w:line="263" w:lineRule="exact"/>
              <w:ind w:left="31" w:right="32"/>
              <w:jc w:val="center"/>
              <w:rPr>
                <w:sz w:val="21"/>
              </w:rPr>
            </w:pPr>
            <w:r>
              <w:rPr>
                <w:sz w:val="21"/>
              </w:rPr>
              <w:t>3.3</w:t>
            </w:r>
          </w:p>
        </w:tc>
        <w:tc>
          <w:tcPr>
            <w:tcW w:w="2005" w:type="dxa"/>
          </w:tcPr>
          <w:p>
            <w:pPr>
              <w:pStyle w:val="TableParagraph"/>
              <w:spacing w:line="263" w:lineRule="exact"/>
              <w:ind w:left="54"/>
              <w:rPr>
                <w:sz w:val="21"/>
              </w:rPr>
            </w:pPr>
            <w:r>
              <w:rPr>
                <w:sz w:val="21"/>
              </w:rPr>
              <w:t>合同效力中止</w:t>
            </w:r>
          </w:p>
        </w:tc>
        <w:tc>
          <w:tcPr>
            <w:tcW w:w="1061" w:type="dxa"/>
          </w:tcPr>
          <w:p>
            <w:pPr>
              <w:pStyle w:val="TableParagraph"/>
              <w:spacing w:line="260" w:lineRule="exact"/>
              <w:ind w:right="50"/>
              <w:jc w:val="right"/>
              <w:rPr>
                <w:sz w:val="21"/>
              </w:rPr>
            </w:pPr>
            <w:r>
              <w:rPr>
                <w:sz w:val="21"/>
              </w:rPr>
              <w:t>5.5</w:t>
            </w:r>
          </w:p>
        </w:tc>
        <w:tc>
          <w:tcPr>
            <w:tcW w:w="2707" w:type="dxa"/>
          </w:tcPr>
          <w:p>
            <w:pPr>
              <w:pStyle w:val="TableParagraph"/>
              <w:spacing w:line="260" w:lineRule="exact"/>
              <w:ind w:left="53"/>
              <w:rPr>
                <w:sz w:val="21"/>
              </w:rPr>
            </w:pPr>
            <w:r>
              <w:rPr>
                <w:sz w:val="21"/>
              </w:rPr>
              <w:t>失踪处理</w:t>
            </w:r>
          </w:p>
        </w:tc>
        <w:tc>
          <w:tcPr>
            <w:tcW w:w="816" w:type="dxa"/>
          </w:tcPr>
          <w:p>
            <w:pPr>
              <w:pStyle w:val="TableParagraph"/>
              <w:spacing w:line="260" w:lineRule="exact"/>
              <w:ind w:right="47"/>
              <w:jc w:val="right"/>
              <w:rPr>
                <w:sz w:val="21"/>
              </w:rPr>
            </w:pPr>
            <w:r>
              <w:rPr>
                <w:sz w:val="21"/>
              </w:rPr>
              <w:t>6.14</w:t>
            </w:r>
          </w:p>
        </w:tc>
        <w:tc>
          <w:tcPr>
            <w:tcW w:w="1574" w:type="dxa"/>
          </w:tcPr>
          <w:p>
            <w:pPr>
              <w:pStyle w:val="TableParagraph"/>
              <w:spacing w:line="260" w:lineRule="exact"/>
              <w:ind w:left="53"/>
              <w:rPr>
                <w:sz w:val="21"/>
              </w:rPr>
            </w:pPr>
            <w:r>
              <w:rPr>
                <w:sz w:val="21"/>
              </w:rPr>
              <w:t>感染艾滋病病</w:t>
            </w:r>
          </w:p>
        </w:tc>
      </w:tr>
      <w:tr>
        <w:trPr>
          <w:trHeight w:val="311" w:hRule="atLeast"/>
        </w:trPr>
        <w:tc>
          <w:tcPr>
            <w:tcW w:w="418" w:type="dxa"/>
          </w:tcPr>
          <w:p>
            <w:pPr>
              <w:pStyle w:val="TableParagraph"/>
              <w:spacing w:line="263" w:lineRule="exact"/>
              <w:ind w:left="31" w:right="32"/>
              <w:jc w:val="center"/>
              <w:rPr>
                <w:sz w:val="21"/>
              </w:rPr>
            </w:pPr>
            <w:r>
              <w:rPr>
                <w:sz w:val="21"/>
              </w:rPr>
              <w:t>3.4</w:t>
            </w:r>
          </w:p>
        </w:tc>
        <w:tc>
          <w:tcPr>
            <w:tcW w:w="2005" w:type="dxa"/>
          </w:tcPr>
          <w:p>
            <w:pPr>
              <w:pStyle w:val="TableParagraph"/>
              <w:spacing w:line="263" w:lineRule="exact"/>
              <w:ind w:left="54"/>
              <w:rPr>
                <w:sz w:val="21"/>
              </w:rPr>
            </w:pPr>
            <w:r>
              <w:rPr>
                <w:sz w:val="21"/>
              </w:rPr>
              <w:t>合同效力恢复</w:t>
            </w:r>
          </w:p>
        </w:tc>
        <w:tc>
          <w:tcPr>
            <w:tcW w:w="1061" w:type="dxa"/>
          </w:tcPr>
          <w:p>
            <w:pPr>
              <w:pStyle w:val="TableParagraph"/>
              <w:spacing w:line="260" w:lineRule="exact"/>
              <w:ind w:right="50"/>
              <w:jc w:val="right"/>
              <w:rPr>
                <w:sz w:val="21"/>
              </w:rPr>
            </w:pPr>
            <w:r>
              <w:rPr>
                <w:sz w:val="21"/>
              </w:rPr>
              <w:t>5.6</w:t>
            </w:r>
          </w:p>
        </w:tc>
        <w:tc>
          <w:tcPr>
            <w:tcW w:w="2707" w:type="dxa"/>
          </w:tcPr>
          <w:p>
            <w:pPr>
              <w:pStyle w:val="TableParagraph"/>
              <w:spacing w:line="260" w:lineRule="exact"/>
              <w:ind w:left="53"/>
              <w:rPr>
                <w:sz w:val="21"/>
              </w:rPr>
            </w:pPr>
            <w:r>
              <w:rPr>
                <w:sz w:val="21"/>
              </w:rPr>
              <w:t>争议处理</w:t>
            </w:r>
          </w:p>
        </w:tc>
        <w:tc>
          <w:tcPr>
            <w:tcW w:w="816" w:type="dxa"/>
          </w:tcPr>
          <w:p>
            <w:pPr>
              <w:pStyle w:val="TableParagraph"/>
              <w:rPr>
                <w:rFonts w:ascii="Times New Roman"/>
                <w:sz w:val="20"/>
              </w:rPr>
            </w:pPr>
          </w:p>
        </w:tc>
        <w:tc>
          <w:tcPr>
            <w:tcW w:w="1574" w:type="dxa"/>
          </w:tcPr>
          <w:p>
            <w:pPr>
              <w:pStyle w:val="TableParagraph"/>
              <w:spacing w:line="260" w:lineRule="exact"/>
              <w:ind w:left="51"/>
              <w:rPr>
                <w:sz w:val="21"/>
              </w:rPr>
            </w:pPr>
            <w:r>
              <w:rPr>
                <w:sz w:val="21"/>
              </w:rPr>
              <w:t>毒或患艾滋病</w:t>
            </w:r>
          </w:p>
        </w:tc>
      </w:tr>
      <w:tr>
        <w:trPr>
          <w:trHeight w:val="312" w:hRule="atLeast"/>
        </w:trPr>
        <w:tc>
          <w:tcPr>
            <w:tcW w:w="418" w:type="dxa"/>
          </w:tcPr>
          <w:p>
            <w:pPr>
              <w:pStyle w:val="TableParagraph"/>
              <w:spacing w:line="263" w:lineRule="exact"/>
              <w:ind w:left="31" w:right="32"/>
              <w:jc w:val="center"/>
              <w:rPr>
                <w:sz w:val="21"/>
              </w:rPr>
            </w:pPr>
            <w:r>
              <w:rPr>
                <w:sz w:val="21"/>
              </w:rPr>
              <w:t>3.5</w:t>
            </w:r>
          </w:p>
        </w:tc>
        <w:tc>
          <w:tcPr>
            <w:tcW w:w="2005" w:type="dxa"/>
          </w:tcPr>
          <w:p>
            <w:pPr>
              <w:pStyle w:val="TableParagraph"/>
              <w:spacing w:line="263" w:lineRule="exact"/>
              <w:ind w:left="54"/>
              <w:rPr>
                <w:sz w:val="21"/>
              </w:rPr>
            </w:pPr>
            <w:r>
              <w:rPr>
                <w:sz w:val="21"/>
              </w:rPr>
              <w:t>减额交清</w:t>
            </w:r>
          </w:p>
        </w:tc>
        <w:tc>
          <w:tcPr>
            <w:tcW w:w="1061" w:type="dxa"/>
          </w:tcPr>
          <w:p>
            <w:pPr>
              <w:pStyle w:val="TableParagraph"/>
              <w:rPr>
                <w:rFonts w:ascii="Times New Roman"/>
                <w:sz w:val="20"/>
              </w:rPr>
            </w:pPr>
          </w:p>
        </w:tc>
        <w:tc>
          <w:tcPr>
            <w:tcW w:w="2707" w:type="dxa"/>
          </w:tcPr>
          <w:p>
            <w:pPr>
              <w:pStyle w:val="TableParagraph"/>
              <w:rPr>
                <w:rFonts w:ascii="Times New Roman"/>
                <w:sz w:val="20"/>
              </w:rPr>
            </w:pPr>
          </w:p>
        </w:tc>
        <w:tc>
          <w:tcPr>
            <w:tcW w:w="816" w:type="dxa"/>
          </w:tcPr>
          <w:p>
            <w:pPr>
              <w:pStyle w:val="TableParagraph"/>
              <w:spacing w:line="260" w:lineRule="exact"/>
              <w:ind w:right="47"/>
              <w:jc w:val="right"/>
              <w:rPr>
                <w:sz w:val="21"/>
              </w:rPr>
            </w:pPr>
            <w:r>
              <w:rPr>
                <w:sz w:val="21"/>
              </w:rPr>
              <w:t>6.15</w:t>
            </w:r>
          </w:p>
        </w:tc>
        <w:tc>
          <w:tcPr>
            <w:tcW w:w="1574" w:type="dxa"/>
          </w:tcPr>
          <w:p>
            <w:pPr>
              <w:pStyle w:val="TableParagraph"/>
              <w:spacing w:line="260" w:lineRule="exact"/>
              <w:ind w:left="53"/>
              <w:rPr>
                <w:sz w:val="21"/>
              </w:rPr>
            </w:pPr>
            <w:r>
              <w:rPr>
                <w:sz w:val="21"/>
              </w:rPr>
              <w:t>保单生效对应日</w:t>
            </w:r>
          </w:p>
        </w:tc>
      </w:tr>
      <w:tr>
        <w:trPr>
          <w:trHeight w:val="310" w:hRule="atLeast"/>
        </w:trPr>
        <w:tc>
          <w:tcPr>
            <w:tcW w:w="418" w:type="dxa"/>
          </w:tcPr>
          <w:p>
            <w:pPr>
              <w:pStyle w:val="TableParagraph"/>
              <w:rPr>
                <w:rFonts w:ascii="Times New Roman"/>
                <w:sz w:val="20"/>
              </w:rPr>
            </w:pPr>
          </w:p>
        </w:tc>
        <w:tc>
          <w:tcPr>
            <w:tcW w:w="2005" w:type="dxa"/>
          </w:tcPr>
          <w:p>
            <w:pPr>
              <w:pStyle w:val="TableParagraph"/>
              <w:rPr>
                <w:rFonts w:ascii="Times New Roman"/>
                <w:sz w:val="20"/>
              </w:rPr>
            </w:pPr>
          </w:p>
        </w:tc>
        <w:tc>
          <w:tcPr>
            <w:tcW w:w="1061" w:type="dxa"/>
          </w:tcPr>
          <w:p>
            <w:pPr>
              <w:pStyle w:val="TableParagraph"/>
              <w:rPr>
                <w:rFonts w:ascii="Times New Roman"/>
                <w:sz w:val="20"/>
              </w:rPr>
            </w:pPr>
          </w:p>
        </w:tc>
        <w:tc>
          <w:tcPr>
            <w:tcW w:w="2707" w:type="dxa"/>
          </w:tcPr>
          <w:p>
            <w:pPr>
              <w:pStyle w:val="TableParagraph"/>
              <w:rPr>
                <w:rFonts w:ascii="Times New Roman"/>
                <w:sz w:val="20"/>
              </w:rPr>
            </w:pPr>
          </w:p>
        </w:tc>
        <w:tc>
          <w:tcPr>
            <w:tcW w:w="816" w:type="dxa"/>
          </w:tcPr>
          <w:p>
            <w:pPr>
              <w:pStyle w:val="TableParagraph"/>
              <w:spacing w:line="260" w:lineRule="exact"/>
              <w:ind w:right="47"/>
              <w:jc w:val="right"/>
              <w:rPr>
                <w:sz w:val="21"/>
              </w:rPr>
            </w:pPr>
            <w:r>
              <w:rPr>
                <w:sz w:val="21"/>
              </w:rPr>
              <w:t>6.16</w:t>
            </w:r>
          </w:p>
        </w:tc>
        <w:tc>
          <w:tcPr>
            <w:tcW w:w="1574" w:type="dxa"/>
          </w:tcPr>
          <w:p>
            <w:pPr>
              <w:pStyle w:val="TableParagraph"/>
              <w:spacing w:line="260" w:lineRule="exact"/>
              <w:ind w:left="53"/>
              <w:rPr>
                <w:sz w:val="21"/>
              </w:rPr>
            </w:pPr>
            <w:r>
              <w:rPr>
                <w:sz w:val="21"/>
              </w:rPr>
              <w:t>本保险实际交纳</w:t>
            </w:r>
          </w:p>
        </w:tc>
      </w:tr>
      <w:tr>
        <w:trPr>
          <w:trHeight w:val="261" w:hRule="atLeast"/>
        </w:trPr>
        <w:tc>
          <w:tcPr>
            <w:tcW w:w="418" w:type="dxa"/>
          </w:tcPr>
          <w:p>
            <w:pPr>
              <w:pStyle w:val="TableParagraph"/>
              <w:rPr>
                <w:rFonts w:ascii="Times New Roman"/>
                <w:sz w:val="18"/>
              </w:rPr>
            </w:pPr>
          </w:p>
        </w:tc>
        <w:tc>
          <w:tcPr>
            <w:tcW w:w="2005" w:type="dxa"/>
          </w:tcPr>
          <w:p>
            <w:pPr>
              <w:pStyle w:val="TableParagraph"/>
              <w:rPr>
                <w:rFonts w:ascii="Times New Roman"/>
                <w:sz w:val="18"/>
              </w:rPr>
            </w:pPr>
          </w:p>
        </w:tc>
        <w:tc>
          <w:tcPr>
            <w:tcW w:w="1061" w:type="dxa"/>
          </w:tcPr>
          <w:p>
            <w:pPr>
              <w:pStyle w:val="TableParagraph"/>
              <w:rPr>
                <w:rFonts w:ascii="Times New Roman"/>
                <w:sz w:val="18"/>
              </w:rPr>
            </w:pPr>
          </w:p>
        </w:tc>
        <w:tc>
          <w:tcPr>
            <w:tcW w:w="2707" w:type="dxa"/>
          </w:tcPr>
          <w:p>
            <w:pPr>
              <w:pStyle w:val="TableParagraph"/>
              <w:rPr>
                <w:rFonts w:ascii="Times New Roman"/>
                <w:sz w:val="18"/>
              </w:rPr>
            </w:pPr>
          </w:p>
        </w:tc>
        <w:tc>
          <w:tcPr>
            <w:tcW w:w="816" w:type="dxa"/>
          </w:tcPr>
          <w:p>
            <w:pPr>
              <w:pStyle w:val="TableParagraph"/>
              <w:rPr>
                <w:rFonts w:ascii="Times New Roman"/>
                <w:sz w:val="18"/>
              </w:rPr>
            </w:pPr>
          </w:p>
        </w:tc>
        <w:tc>
          <w:tcPr>
            <w:tcW w:w="1574" w:type="dxa"/>
          </w:tcPr>
          <w:p>
            <w:pPr>
              <w:pStyle w:val="TableParagraph"/>
              <w:spacing w:line="242" w:lineRule="exact"/>
              <w:ind w:left="51"/>
              <w:rPr>
                <w:sz w:val="21"/>
              </w:rPr>
            </w:pPr>
            <w:r>
              <w:rPr>
                <w:sz w:val="21"/>
              </w:rPr>
              <w:t>的保险费</w:t>
            </w:r>
          </w:p>
        </w:tc>
      </w:tr>
    </w:tbl>
    <w:p>
      <w:pPr>
        <w:spacing w:after="0" w:line="242" w:lineRule="exact"/>
        <w:rPr>
          <w:sz w:val="21"/>
        </w:rPr>
        <w:sectPr>
          <w:type w:val="continuous"/>
          <w:pgSz w:w="11910" w:h="16840"/>
          <w:pgMar w:top="1040" w:bottom="1180" w:left="1080" w:right="380"/>
        </w:sectPr>
      </w:pPr>
    </w:p>
    <w:p>
      <w:pPr>
        <w:pStyle w:val="BodyText"/>
        <w:spacing w:before="5"/>
        <w:rPr>
          <w:sz w:val="28"/>
        </w:rPr>
      </w:pPr>
    </w:p>
    <w:p>
      <w:pPr>
        <w:pStyle w:val="Heading1"/>
        <w:spacing w:before="14"/>
        <w:ind w:left="2868" w:right="2861" w:firstLine="0"/>
        <w:jc w:val="center"/>
      </w:pPr>
      <w:r>
        <w:rPr/>
        <w:t>新华人寿保险股份有限公司</w:t>
      </w:r>
    </w:p>
    <w:p>
      <w:pPr>
        <w:pStyle w:val="BodyText"/>
        <w:spacing w:before="8"/>
        <w:rPr>
          <w:sz w:val="19"/>
        </w:rPr>
      </w:pPr>
    </w:p>
    <w:p>
      <w:pPr>
        <w:spacing w:before="0"/>
        <w:ind w:left="2868" w:right="2861" w:firstLine="0"/>
        <w:jc w:val="center"/>
        <w:rPr>
          <w:sz w:val="28"/>
        </w:rPr>
      </w:pPr>
      <w:r>
        <w:rPr>
          <w:sz w:val="28"/>
        </w:rPr>
        <w:t>健康福星增额终身重大疾病保险条款</w:t>
      </w:r>
    </w:p>
    <w:p>
      <w:pPr>
        <w:pStyle w:val="BodyText"/>
        <w:spacing w:before="235"/>
        <w:ind w:left="2868" w:right="2858"/>
        <w:jc w:val="center"/>
      </w:pPr>
      <w:r>
        <w:rPr/>
        <w:t>(2009 年 8 月向中国保险监督管理委员会备案)</w:t>
      </w:r>
    </w:p>
    <w:p>
      <w:pPr>
        <w:pStyle w:val="BodyText"/>
        <w:spacing w:before="0"/>
        <w:rPr>
          <w:sz w:val="20"/>
        </w:rPr>
      </w:pPr>
    </w:p>
    <w:p>
      <w:pPr>
        <w:pStyle w:val="BodyText"/>
        <w:spacing w:before="9"/>
        <w:rPr>
          <w:sz w:val="19"/>
        </w:rPr>
      </w:pPr>
    </w:p>
    <w:p>
      <w:pPr>
        <w:tabs>
          <w:tab w:pos="926" w:val="left" w:leader="none"/>
        </w:tabs>
        <w:spacing w:before="0"/>
        <w:ind w:left="228" w:right="0" w:firstLine="0"/>
        <w:jc w:val="left"/>
        <w:rPr>
          <w:sz w:val="28"/>
        </w:rPr>
      </w:pPr>
      <w:r>
        <w:rPr/>
        <w:pict>
          <v:group style="position:absolute;margin-left:52.898258pt;margin-top:27.231867pt;width:500.9pt;height:1pt;mso-position-horizontal-relative:page;mso-position-vertical-relative:paragraph;z-index:1096;mso-wrap-distance-left:0;mso-wrap-distance-right:0" coordorigin="1058,545" coordsize="10018,20">
            <v:line style="position:absolute" from="1058,554" to="1756,554" stroked="true" strokeweight=".96pt" strokecolor="#000000">
              <v:stroke dashstyle="solid"/>
            </v:line>
            <v:rect style="position:absolute;left:1756;top:544;width:20;height:20" filled="true" fillcolor="#000000" stroked="false">
              <v:fill type="solid"/>
            </v:rect>
            <v:line style="position:absolute" from="1776,554" to="2923,554" stroked="true" strokeweight=".96pt" strokecolor="#000000">
              <v:stroke dashstyle="solid"/>
            </v:line>
            <v:rect style="position:absolute;left:2922;top:544;width:20;height:20" filled="true" fillcolor="#000000" stroked="false">
              <v:fill type="solid"/>
            </v:rect>
            <v:line style="position:absolute" from="2942,554" to="11076,554" stroked="true" strokeweight=".96pt" strokecolor="#000000">
              <v:stroke dashstyle="solid"/>
            </v:line>
            <w10:wrap type="topAndBottom"/>
          </v:group>
        </w:pict>
      </w:r>
      <w:r>
        <w:rPr>
          <w:rFonts w:ascii="Times New Roman" w:hAnsi="Times New Roman" w:eastAsia="Times New Roman"/>
          <w:position w:val="-3"/>
          <w:sz w:val="40"/>
        </w:rPr>
        <w:t>Œ</w:t>
        <w:tab/>
      </w:r>
      <w:r>
        <w:rPr>
          <w:sz w:val="28"/>
        </w:rPr>
        <w:t>您与我们的合同</w:t>
      </w:r>
    </w:p>
    <w:p>
      <w:pPr>
        <w:pStyle w:val="BodyText"/>
        <w:spacing w:before="11"/>
        <w:rPr>
          <w:sz w:val="17"/>
        </w:rPr>
      </w:pPr>
    </w:p>
    <w:p>
      <w:pPr>
        <w:pStyle w:val="ListParagraph"/>
        <w:numPr>
          <w:ilvl w:val="1"/>
          <w:numId w:val="4"/>
        </w:numPr>
        <w:tabs>
          <w:tab w:pos="927" w:val="left" w:leader="none"/>
        </w:tabs>
        <w:spacing w:line="273" w:lineRule="auto" w:before="36" w:after="0"/>
        <w:ind w:left="2090" w:right="105" w:hanging="1862"/>
        <w:jc w:val="both"/>
        <w:rPr>
          <w:sz w:val="21"/>
        </w:rPr>
      </w:pPr>
      <w:r>
        <w:rPr>
          <w:w w:val="100"/>
          <w:sz w:val="21"/>
        </w:rPr>
        <w:t>合同构成</w:t>
      </w:r>
      <w:r>
        <w:rPr>
          <w:sz w:val="21"/>
        </w:rPr>
        <w:t>       </w:t>
      </w:r>
      <w:r>
        <w:rPr>
          <w:spacing w:val="-4"/>
          <w:w w:val="100"/>
          <w:sz w:val="21"/>
        </w:rPr>
        <w:t>本保险合同</w:t>
      </w:r>
      <w:r>
        <w:rPr>
          <w:spacing w:val="-3"/>
          <w:w w:val="100"/>
          <w:sz w:val="21"/>
        </w:rPr>
        <w:t>（</w:t>
      </w:r>
      <w:r>
        <w:rPr>
          <w:spacing w:val="-17"/>
          <w:w w:val="100"/>
          <w:sz w:val="21"/>
        </w:rPr>
        <w:t>以下简称“本合同”</w:t>
      </w:r>
      <w:r>
        <w:rPr>
          <w:spacing w:val="-10"/>
          <w:w w:val="100"/>
          <w:sz w:val="21"/>
        </w:rPr>
        <w:t>）</w:t>
      </w:r>
      <w:r>
        <w:rPr>
          <w:spacing w:val="-4"/>
          <w:w w:val="100"/>
          <w:sz w:val="21"/>
        </w:rPr>
        <w:t>由保险单或其他保险凭证及所附条款、投保单、</w:t>
      </w:r>
      <w:r>
        <w:rPr>
          <w:spacing w:val="-3"/>
          <w:sz w:val="21"/>
        </w:rPr>
        <w:t>与本合同有关的其他投保文件、健康告知书、变更申请书、复效申请书、声明、批注、附贴批单及其他书面协议构成。</w:t>
      </w:r>
    </w:p>
    <w:p>
      <w:pPr>
        <w:pStyle w:val="BodyText"/>
        <w:spacing w:before="5"/>
        <w:rPr>
          <w:sz w:val="24"/>
        </w:rPr>
      </w:pPr>
    </w:p>
    <w:p>
      <w:pPr>
        <w:pStyle w:val="ListParagraph"/>
        <w:numPr>
          <w:ilvl w:val="1"/>
          <w:numId w:val="4"/>
        </w:numPr>
        <w:tabs>
          <w:tab w:pos="926" w:val="left" w:leader="none"/>
          <w:tab w:pos="927" w:val="left" w:leader="none"/>
          <w:tab w:pos="2510" w:val="left" w:leader="none"/>
        </w:tabs>
        <w:spacing w:line="273" w:lineRule="auto" w:before="0" w:after="0"/>
        <w:ind w:left="2090" w:right="213" w:hanging="1862"/>
        <w:jc w:val="left"/>
        <w:rPr>
          <w:sz w:val="21"/>
        </w:rPr>
      </w:pPr>
      <w:r>
        <w:rPr>
          <w:sz w:val="21"/>
        </w:rPr>
        <w:t>投保范围</w:t>
        <w:tab/>
        <w:tab/>
        <w:t>1.被</w:t>
      </w:r>
      <w:r>
        <w:rPr>
          <w:spacing w:val="-3"/>
          <w:sz w:val="21"/>
        </w:rPr>
        <w:t>保</w:t>
      </w:r>
      <w:r>
        <w:rPr>
          <w:sz w:val="21"/>
        </w:rPr>
        <w:t>险</w:t>
      </w:r>
      <w:r>
        <w:rPr>
          <w:spacing w:val="-3"/>
          <w:sz w:val="21"/>
        </w:rPr>
        <w:t>人</w:t>
      </w:r>
      <w:r>
        <w:rPr>
          <w:sz w:val="21"/>
        </w:rPr>
        <w:t>范</w:t>
      </w:r>
      <w:r>
        <w:rPr>
          <w:spacing w:val="-3"/>
          <w:sz w:val="21"/>
        </w:rPr>
        <w:t>围</w:t>
      </w:r>
      <w:r>
        <w:rPr>
          <w:sz w:val="21"/>
        </w:rPr>
        <w:t>：</w:t>
      </w:r>
      <w:r>
        <w:rPr>
          <w:spacing w:val="-3"/>
          <w:sz w:val="21"/>
        </w:rPr>
        <w:t>凡</w:t>
      </w:r>
      <w:r>
        <w:rPr>
          <w:sz w:val="21"/>
        </w:rPr>
        <w:t>出</w:t>
      </w:r>
      <w:r>
        <w:rPr>
          <w:spacing w:val="-3"/>
          <w:sz w:val="21"/>
        </w:rPr>
        <w:t>生</w:t>
      </w:r>
      <w:r>
        <w:rPr>
          <w:sz w:val="21"/>
        </w:rPr>
        <w:t>满</w:t>
      </w:r>
      <w:r>
        <w:rPr>
          <w:spacing w:val="-41"/>
          <w:sz w:val="21"/>
        </w:rPr>
        <w:t> </w:t>
      </w:r>
      <w:r>
        <w:rPr>
          <w:sz w:val="21"/>
        </w:rPr>
        <w:t>30</w:t>
      </w:r>
      <w:r>
        <w:rPr>
          <w:spacing w:val="-43"/>
          <w:sz w:val="21"/>
        </w:rPr>
        <w:t> </w:t>
      </w:r>
      <w:r>
        <w:rPr>
          <w:sz w:val="21"/>
        </w:rPr>
        <w:t>天</w:t>
      </w:r>
      <w:r>
        <w:rPr>
          <w:spacing w:val="-3"/>
          <w:sz w:val="21"/>
        </w:rPr>
        <w:t>以</w:t>
      </w:r>
      <w:r>
        <w:rPr>
          <w:sz w:val="21"/>
        </w:rPr>
        <w:t>上、60</w:t>
      </w:r>
      <w:r>
        <w:rPr>
          <w:spacing w:val="-43"/>
          <w:sz w:val="21"/>
        </w:rPr>
        <w:t> </w:t>
      </w:r>
      <w:r>
        <w:rPr>
          <w:sz w:val="21"/>
        </w:rPr>
        <w:t>周岁（详见释义）</w:t>
      </w:r>
      <w:r>
        <w:rPr>
          <w:spacing w:val="-3"/>
          <w:sz w:val="21"/>
        </w:rPr>
        <w:t>以</w:t>
      </w:r>
      <w:r>
        <w:rPr>
          <w:sz w:val="21"/>
        </w:rPr>
        <w:t>下</w:t>
      </w:r>
      <w:r>
        <w:rPr>
          <w:spacing w:val="-3"/>
          <w:sz w:val="21"/>
        </w:rPr>
        <w:t>，</w:t>
      </w:r>
      <w:r>
        <w:rPr>
          <w:sz w:val="21"/>
        </w:rPr>
        <w:t>身</w:t>
      </w:r>
      <w:r>
        <w:rPr>
          <w:spacing w:val="-3"/>
          <w:sz w:val="21"/>
        </w:rPr>
        <w:t>体健</w:t>
      </w:r>
      <w:r>
        <w:rPr>
          <w:sz w:val="21"/>
        </w:rPr>
        <w:t>康者均</w:t>
      </w:r>
      <w:r>
        <w:rPr>
          <w:spacing w:val="-1"/>
          <w:sz w:val="21"/>
        </w:rPr>
        <w:t>可</w:t>
      </w:r>
      <w:r>
        <w:rPr>
          <w:sz w:val="21"/>
        </w:rPr>
        <w:t>作</w:t>
      </w:r>
      <w:r>
        <w:rPr>
          <w:spacing w:val="-3"/>
          <w:sz w:val="21"/>
        </w:rPr>
        <w:t>为</w:t>
      </w:r>
      <w:r>
        <w:rPr>
          <w:sz w:val="21"/>
        </w:rPr>
        <w:t>被</w:t>
      </w:r>
      <w:r>
        <w:rPr>
          <w:spacing w:val="-3"/>
          <w:sz w:val="21"/>
        </w:rPr>
        <w:t>保</w:t>
      </w:r>
      <w:r>
        <w:rPr>
          <w:sz w:val="21"/>
        </w:rPr>
        <w:t>险</w:t>
      </w:r>
      <w:r>
        <w:rPr>
          <w:spacing w:val="-3"/>
          <w:sz w:val="21"/>
        </w:rPr>
        <w:t>人</w:t>
      </w:r>
      <w:r>
        <w:rPr>
          <w:sz w:val="21"/>
        </w:rPr>
        <w:t>参</w:t>
      </w:r>
      <w:r>
        <w:rPr>
          <w:spacing w:val="-3"/>
          <w:sz w:val="21"/>
        </w:rPr>
        <w:t>加</w:t>
      </w:r>
      <w:r>
        <w:rPr>
          <w:sz w:val="21"/>
        </w:rPr>
        <w:t>本</w:t>
      </w:r>
      <w:r>
        <w:rPr>
          <w:spacing w:val="-3"/>
          <w:sz w:val="21"/>
        </w:rPr>
        <w:t>保</w:t>
      </w:r>
      <w:r>
        <w:rPr>
          <w:sz w:val="21"/>
        </w:rPr>
        <w:t>险。</w:t>
      </w:r>
    </w:p>
    <w:p>
      <w:pPr>
        <w:pStyle w:val="BodyText"/>
        <w:spacing w:line="273" w:lineRule="auto" w:before="7"/>
        <w:ind w:left="2090" w:right="210" w:firstLine="420"/>
      </w:pPr>
      <w:r>
        <w:rPr/>
        <w:t>2.</w:t>
      </w:r>
      <w:r>
        <w:rPr>
          <w:spacing w:val="-9"/>
        </w:rPr>
        <w:t>投保人范围：被保险人本人或对被保险人有保险利益的其他人可作为投保人向本</w:t>
      </w:r>
      <w:r>
        <w:rPr>
          <w:spacing w:val="-5"/>
        </w:rPr>
        <w:t>公司投保本保险。</w:t>
      </w:r>
    </w:p>
    <w:p>
      <w:pPr>
        <w:pStyle w:val="BodyText"/>
        <w:spacing w:before="8"/>
      </w:pPr>
    </w:p>
    <w:p>
      <w:pPr>
        <w:spacing w:after="0"/>
        <w:sectPr>
          <w:headerReference w:type="default" r:id="rId9"/>
          <w:pgSz w:w="11910" w:h="16840"/>
          <w:pgMar w:header="879" w:footer="995" w:top="1120" w:bottom="1180" w:left="940" w:right="720"/>
        </w:sectPr>
      </w:pPr>
    </w:p>
    <w:p>
      <w:pPr>
        <w:pStyle w:val="ListParagraph"/>
        <w:numPr>
          <w:ilvl w:val="1"/>
          <w:numId w:val="4"/>
        </w:numPr>
        <w:tabs>
          <w:tab w:pos="926" w:val="left" w:leader="none"/>
          <w:tab w:pos="927" w:val="left" w:leader="none"/>
        </w:tabs>
        <w:spacing w:line="273" w:lineRule="auto" w:before="36" w:after="0"/>
        <w:ind w:left="926" w:right="0" w:hanging="698"/>
        <w:jc w:val="left"/>
        <w:rPr>
          <w:sz w:val="21"/>
        </w:rPr>
      </w:pPr>
      <w:r>
        <w:rPr>
          <w:spacing w:val="23"/>
          <w:sz w:val="21"/>
        </w:rPr>
        <w:t>合同成立与生效</w:t>
      </w:r>
    </w:p>
    <w:p>
      <w:pPr>
        <w:pStyle w:val="BodyText"/>
        <w:spacing w:line="273" w:lineRule="auto"/>
        <w:ind w:left="593" w:right="170"/>
      </w:pPr>
      <w:r>
        <w:rPr/>
        <w:br w:type="column"/>
      </w:r>
      <w:r>
        <w:rPr/>
        <w:t>您提出保险申请、本公司同意承保，本合同成立，合同成立日期在保险单上载明。除另有约定外，自本合同成立、本公司收取首期保险费并签发保险单的次日零时起</w:t>
      </w:r>
    </w:p>
    <w:p>
      <w:pPr>
        <w:pStyle w:val="BodyText"/>
        <w:spacing w:line="273" w:lineRule="auto" w:before="7"/>
        <w:ind w:left="173" w:right="211"/>
      </w:pPr>
      <w:r>
        <w:rPr>
          <w:spacing w:val="-7"/>
        </w:rPr>
        <w:t>本合同生效，本公司开始承担保险责任，合同生效日期在保险单上载明。本合同生效日</w:t>
      </w:r>
      <w:r>
        <w:rPr>
          <w:spacing w:val="-5"/>
        </w:rPr>
        <w:t>即为保单生效日。</w:t>
      </w:r>
    </w:p>
    <w:p>
      <w:pPr>
        <w:spacing w:after="0" w:line="273" w:lineRule="auto"/>
        <w:sectPr>
          <w:type w:val="continuous"/>
          <w:pgSz w:w="11910" w:h="16840"/>
          <w:pgMar w:top="1040" w:bottom="1180" w:left="940" w:right="720"/>
          <w:cols w:num="2" w:equalWidth="0">
            <w:col w:w="1878" w:space="40"/>
            <w:col w:w="8332"/>
          </w:cols>
        </w:sectPr>
      </w:pPr>
    </w:p>
    <w:p>
      <w:pPr>
        <w:pStyle w:val="BodyText"/>
        <w:spacing w:before="8"/>
      </w:pPr>
    </w:p>
    <w:p>
      <w:pPr>
        <w:spacing w:after="0"/>
        <w:sectPr>
          <w:type w:val="continuous"/>
          <w:pgSz w:w="11910" w:h="16840"/>
          <w:pgMar w:top="1040" w:bottom="1180" w:left="940" w:right="720"/>
        </w:sectPr>
      </w:pPr>
    </w:p>
    <w:p>
      <w:pPr>
        <w:pStyle w:val="ListParagraph"/>
        <w:numPr>
          <w:ilvl w:val="1"/>
          <w:numId w:val="4"/>
        </w:numPr>
        <w:tabs>
          <w:tab w:pos="926" w:val="left" w:leader="none"/>
          <w:tab w:pos="927" w:val="left" w:leader="none"/>
        </w:tabs>
        <w:spacing w:line="273" w:lineRule="auto" w:before="36" w:after="0"/>
        <w:ind w:left="926" w:right="0" w:hanging="698"/>
        <w:jc w:val="left"/>
        <w:rPr>
          <w:sz w:val="21"/>
        </w:rPr>
      </w:pPr>
      <w:r>
        <w:rPr>
          <w:spacing w:val="23"/>
          <w:sz w:val="21"/>
        </w:rPr>
        <w:t>合同内容变更</w:t>
      </w:r>
    </w:p>
    <w:p>
      <w:pPr>
        <w:pStyle w:val="BodyText"/>
        <w:spacing w:line="273" w:lineRule="auto"/>
        <w:ind w:left="173" w:right="211" w:firstLine="420"/>
      </w:pPr>
      <w:r>
        <w:rPr/>
        <w:br w:type="column"/>
      </w:r>
      <w:r>
        <w:rPr>
          <w:spacing w:val="-6"/>
        </w:rPr>
        <w:t>您和本公司可以协商变更本合同的有关内容。变更本合同的，由本公司在保险单或</w:t>
      </w:r>
      <w:r>
        <w:rPr>
          <w:spacing w:val="-4"/>
        </w:rPr>
        <w:t>其他保险凭证上批注或附贴批单，或由您和本公司订立变更的书面协议。</w:t>
      </w:r>
    </w:p>
    <w:p>
      <w:pPr>
        <w:spacing w:after="0" w:line="273" w:lineRule="auto"/>
        <w:sectPr>
          <w:type w:val="continuous"/>
          <w:pgSz w:w="11910" w:h="16840"/>
          <w:pgMar w:top="1040" w:bottom="1180" w:left="940" w:right="720"/>
          <w:cols w:num="2" w:equalWidth="0">
            <w:col w:w="1878" w:space="40"/>
            <w:col w:w="8332"/>
          </w:cols>
        </w:sectPr>
      </w:pPr>
    </w:p>
    <w:p>
      <w:pPr>
        <w:pStyle w:val="BodyText"/>
        <w:spacing w:before="8"/>
      </w:pPr>
    </w:p>
    <w:p>
      <w:pPr>
        <w:spacing w:after="0"/>
        <w:sectPr>
          <w:type w:val="continuous"/>
          <w:pgSz w:w="11910" w:h="16840"/>
          <w:pgMar w:top="1040" w:bottom="1180" w:left="940" w:right="720"/>
        </w:sectPr>
      </w:pPr>
    </w:p>
    <w:p>
      <w:pPr>
        <w:pStyle w:val="ListParagraph"/>
        <w:numPr>
          <w:ilvl w:val="1"/>
          <w:numId w:val="4"/>
        </w:numPr>
        <w:tabs>
          <w:tab w:pos="927" w:val="left" w:leader="none"/>
        </w:tabs>
        <w:spacing w:line="273" w:lineRule="auto" w:before="36" w:after="0"/>
        <w:ind w:left="926" w:right="0" w:hanging="698"/>
        <w:jc w:val="both"/>
        <w:rPr>
          <w:sz w:val="21"/>
        </w:rPr>
      </w:pPr>
      <w:r>
        <w:rPr>
          <w:spacing w:val="23"/>
          <w:sz w:val="21"/>
        </w:rPr>
        <w:t>投保人解除合同的手续及风险</w:t>
      </w:r>
    </w:p>
    <w:p>
      <w:pPr>
        <w:pStyle w:val="BodyText"/>
        <w:ind w:left="593"/>
      </w:pPr>
      <w:r>
        <w:rPr/>
        <w:br w:type="column"/>
      </w:r>
      <w:r>
        <w:rPr/>
        <w:t>1.本合同生效后，本公司为您提供 10 日的犹豫期，犹豫期指您收到保险单并书面</w:t>
      </w:r>
    </w:p>
    <w:p>
      <w:pPr>
        <w:pStyle w:val="BodyText"/>
        <w:ind w:left="173"/>
      </w:pPr>
      <w:r>
        <w:rPr/>
        <w:t>签收之日起 10 日的期间，您在上述期间内要求解除本合同的，本公司自本合同解除之</w:t>
      </w:r>
    </w:p>
    <w:p>
      <w:pPr>
        <w:pStyle w:val="BodyText"/>
        <w:ind w:left="173"/>
      </w:pPr>
      <w:r>
        <w:rPr>
          <w:spacing w:val="-12"/>
        </w:rPr>
        <w:t>日起 </w:t>
      </w:r>
      <w:r>
        <w:rPr/>
        <w:t>10</w:t>
      </w:r>
      <w:r>
        <w:rPr>
          <w:spacing w:val="-8"/>
        </w:rPr>
        <w:t> 日内在扣除工本费后退还本保险实际交纳的保险费</w:t>
      </w:r>
      <w:r>
        <w:rPr/>
        <w:t>（详见释义</w:t>
      </w:r>
      <w:r>
        <w:rPr>
          <w:spacing w:val="-106"/>
        </w:rPr>
        <w:t>）</w:t>
      </w:r>
      <w:r>
        <w:rPr/>
        <w:t>。</w:t>
      </w:r>
    </w:p>
    <w:p>
      <w:pPr>
        <w:pStyle w:val="BodyText"/>
        <w:spacing w:line="273" w:lineRule="auto"/>
        <w:ind w:left="173" w:right="211" w:firstLine="420"/>
      </w:pPr>
      <w:r>
        <w:rPr/>
        <w:t>2.</w:t>
      </w:r>
      <w:r>
        <w:rPr>
          <w:spacing w:val="-4"/>
        </w:rPr>
        <w:t>您在犹豫期后要求解除本合同的，本公司自本合同解除之日起 </w:t>
      </w:r>
      <w:r>
        <w:rPr/>
        <w:t>10</w:t>
      </w:r>
      <w:r>
        <w:rPr>
          <w:spacing w:val="-3"/>
        </w:rPr>
        <w:t> 日内向您退还保险单的现金价值</w:t>
      </w:r>
      <w:r>
        <w:rPr/>
        <w:t>（</w:t>
      </w:r>
      <w:r>
        <w:rPr>
          <w:spacing w:val="-2"/>
        </w:rPr>
        <w:t>详见释义</w:t>
      </w:r>
      <w:r>
        <w:rPr>
          <w:spacing w:val="-106"/>
        </w:rPr>
        <w:t>）</w:t>
      </w:r>
      <w:r>
        <w:rPr>
          <w:spacing w:val="-3"/>
        </w:rPr>
        <w:t>。您犹豫期后解除合同可能会遭受一定损失。</w:t>
      </w:r>
    </w:p>
    <w:p>
      <w:pPr>
        <w:spacing w:after="0" w:line="273" w:lineRule="auto"/>
        <w:sectPr>
          <w:type w:val="continuous"/>
          <w:pgSz w:w="11910" w:h="16840"/>
          <w:pgMar w:top="1040" w:bottom="1180" w:left="940" w:right="720"/>
          <w:cols w:num="2" w:equalWidth="0">
            <w:col w:w="1878" w:space="40"/>
            <w:col w:w="8332"/>
          </w:cols>
        </w:sectPr>
      </w:pPr>
    </w:p>
    <w:p>
      <w:pPr>
        <w:pStyle w:val="BodyText"/>
        <w:spacing w:before="5"/>
        <w:rPr>
          <w:sz w:val="5"/>
        </w:r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1406"/>
        <w:gridCol w:w="7356"/>
      </w:tblGrid>
      <w:tr>
        <w:trPr>
          <w:trHeight w:val="1353" w:hRule="atLeast"/>
        </w:trPr>
        <w:tc>
          <w:tcPr>
            <w:tcW w:w="1964" w:type="dxa"/>
            <w:gridSpan w:val="2"/>
          </w:tcPr>
          <w:p>
            <w:pPr>
              <w:pStyle w:val="TableParagraph"/>
              <w:rPr>
                <w:rFonts w:ascii="Times New Roman"/>
                <w:sz w:val="20"/>
              </w:rPr>
            </w:pPr>
          </w:p>
        </w:tc>
        <w:tc>
          <w:tcPr>
            <w:tcW w:w="7356" w:type="dxa"/>
          </w:tcPr>
          <w:p>
            <w:pPr>
              <w:pStyle w:val="TableParagraph"/>
              <w:spacing w:line="211" w:lineRule="exact"/>
              <w:ind w:left="368"/>
              <w:rPr>
                <w:sz w:val="21"/>
              </w:rPr>
            </w:pPr>
            <w:r>
              <w:rPr>
                <w:sz w:val="21"/>
              </w:rPr>
              <w:t>3.您要求解除本合同时，应填写合同解除申请书，并提供下列证明和资料：</w:t>
            </w:r>
          </w:p>
          <w:p>
            <w:pPr>
              <w:pStyle w:val="TableParagraph"/>
              <w:spacing w:before="37"/>
              <w:ind w:left="368"/>
              <w:rPr>
                <w:sz w:val="21"/>
              </w:rPr>
            </w:pPr>
            <w:r>
              <w:rPr>
                <w:sz w:val="21"/>
              </w:rPr>
              <w:t>（1）保险合同；</w:t>
            </w:r>
          </w:p>
          <w:p>
            <w:pPr>
              <w:pStyle w:val="TableParagraph"/>
              <w:spacing w:before="37"/>
              <w:ind w:left="368"/>
              <w:rPr>
                <w:sz w:val="21"/>
              </w:rPr>
            </w:pPr>
            <w:r>
              <w:rPr>
                <w:sz w:val="21"/>
              </w:rPr>
              <w:t>（2）您的有效身份证件。</w:t>
            </w:r>
          </w:p>
          <w:p>
            <w:pPr>
              <w:pStyle w:val="TableParagraph"/>
              <w:spacing w:before="37"/>
              <w:ind w:left="368"/>
              <w:rPr>
                <w:sz w:val="21"/>
              </w:rPr>
            </w:pPr>
            <w:r>
              <w:rPr>
                <w:sz w:val="21"/>
              </w:rPr>
              <w:t>自本公司收到合同解除申请书及上述证明和资料之日起，本合同终止。</w:t>
            </w:r>
          </w:p>
        </w:tc>
      </w:tr>
      <w:tr>
        <w:trPr>
          <w:trHeight w:val="468" w:hRule="atLeast"/>
        </w:trPr>
        <w:tc>
          <w:tcPr>
            <w:tcW w:w="558" w:type="dxa"/>
          </w:tcPr>
          <w:p>
            <w:pPr>
              <w:pStyle w:val="TableParagraph"/>
              <w:spacing w:before="142"/>
              <w:ind w:left="50"/>
              <w:rPr>
                <w:sz w:val="21"/>
              </w:rPr>
            </w:pPr>
            <w:r>
              <w:rPr>
                <w:sz w:val="21"/>
              </w:rPr>
              <w:t>1.6</w:t>
            </w:r>
          </w:p>
        </w:tc>
        <w:tc>
          <w:tcPr>
            <w:tcW w:w="1406" w:type="dxa"/>
          </w:tcPr>
          <w:p>
            <w:pPr>
              <w:pStyle w:val="TableParagraph"/>
              <w:spacing w:before="142"/>
              <w:ind w:left="190"/>
              <w:rPr>
                <w:sz w:val="21"/>
              </w:rPr>
            </w:pPr>
            <w:r>
              <w:rPr>
                <w:sz w:val="21"/>
              </w:rPr>
              <w:t>合同终止</w:t>
            </w:r>
          </w:p>
        </w:tc>
        <w:tc>
          <w:tcPr>
            <w:tcW w:w="7356" w:type="dxa"/>
          </w:tcPr>
          <w:p>
            <w:pPr>
              <w:pStyle w:val="TableParagraph"/>
              <w:spacing w:before="142"/>
              <w:ind w:left="368"/>
              <w:rPr>
                <w:sz w:val="21"/>
              </w:rPr>
            </w:pPr>
            <w:r>
              <w:rPr>
                <w:sz w:val="21"/>
              </w:rPr>
              <w:t>以下任何一种情况发生时，本合同终止：</w:t>
            </w:r>
          </w:p>
        </w:tc>
      </w:tr>
      <w:tr>
        <w:trPr>
          <w:trHeight w:val="311" w:hRule="atLeast"/>
        </w:trPr>
        <w:tc>
          <w:tcPr>
            <w:tcW w:w="1964" w:type="dxa"/>
            <w:gridSpan w:val="2"/>
            <w:vMerge w:val="restart"/>
          </w:tcPr>
          <w:p>
            <w:pPr>
              <w:pStyle w:val="TableParagraph"/>
              <w:rPr>
                <w:rFonts w:ascii="Times New Roman"/>
                <w:sz w:val="20"/>
              </w:rPr>
            </w:pPr>
          </w:p>
        </w:tc>
        <w:tc>
          <w:tcPr>
            <w:tcW w:w="7356" w:type="dxa"/>
          </w:tcPr>
          <w:p>
            <w:pPr>
              <w:pStyle w:val="TableParagraph"/>
              <w:spacing w:line="261" w:lineRule="exact"/>
              <w:ind w:left="368"/>
              <w:rPr>
                <w:sz w:val="21"/>
              </w:rPr>
            </w:pPr>
            <w:r>
              <w:rPr>
                <w:sz w:val="21"/>
              </w:rPr>
              <w:t>1.在本合同有效期内解除本合同的；</w:t>
            </w:r>
          </w:p>
        </w:tc>
      </w:tr>
      <w:tr>
        <w:trPr>
          <w:trHeight w:val="312" w:hRule="atLeast"/>
        </w:trPr>
        <w:tc>
          <w:tcPr>
            <w:tcW w:w="1964" w:type="dxa"/>
            <w:gridSpan w:val="2"/>
            <w:vMerge/>
            <w:tcBorders>
              <w:top w:val="nil"/>
            </w:tcBorders>
          </w:tcPr>
          <w:p>
            <w:pPr>
              <w:rPr>
                <w:sz w:val="2"/>
                <w:szCs w:val="2"/>
              </w:rPr>
            </w:pPr>
          </w:p>
        </w:tc>
        <w:tc>
          <w:tcPr>
            <w:tcW w:w="7356" w:type="dxa"/>
          </w:tcPr>
          <w:p>
            <w:pPr>
              <w:pStyle w:val="TableParagraph"/>
              <w:spacing w:line="261" w:lineRule="exact"/>
              <w:ind w:left="368"/>
              <w:rPr>
                <w:sz w:val="21"/>
              </w:rPr>
            </w:pPr>
            <w:r>
              <w:rPr>
                <w:sz w:val="21"/>
              </w:rPr>
              <w:t>2.本公司已经履行完毕保险责任的；</w:t>
            </w:r>
          </w:p>
        </w:tc>
      </w:tr>
      <w:tr>
        <w:trPr>
          <w:trHeight w:val="261" w:hRule="atLeast"/>
        </w:trPr>
        <w:tc>
          <w:tcPr>
            <w:tcW w:w="1964" w:type="dxa"/>
            <w:gridSpan w:val="2"/>
            <w:vMerge/>
            <w:tcBorders>
              <w:top w:val="nil"/>
            </w:tcBorders>
          </w:tcPr>
          <w:p>
            <w:pPr>
              <w:rPr>
                <w:sz w:val="2"/>
                <w:szCs w:val="2"/>
              </w:rPr>
            </w:pPr>
          </w:p>
        </w:tc>
        <w:tc>
          <w:tcPr>
            <w:tcW w:w="7356" w:type="dxa"/>
          </w:tcPr>
          <w:p>
            <w:pPr>
              <w:pStyle w:val="TableParagraph"/>
              <w:spacing w:line="242" w:lineRule="exact"/>
              <w:ind w:left="368"/>
              <w:rPr>
                <w:sz w:val="21"/>
              </w:rPr>
            </w:pPr>
            <w:r>
              <w:rPr>
                <w:sz w:val="21"/>
              </w:rPr>
              <w:t>3.本合同因条款所列其他情况而终止的。</w:t>
            </w:r>
          </w:p>
        </w:tc>
      </w:tr>
    </w:tbl>
    <w:p>
      <w:pPr>
        <w:pStyle w:val="BodyText"/>
        <w:spacing w:before="10"/>
        <w:rPr>
          <w:sz w:val="26"/>
        </w:rPr>
      </w:pPr>
    </w:p>
    <w:p>
      <w:pPr>
        <w:pStyle w:val="Heading1"/>
        <w:numPr>
          <w:ilvl w:val="0"/>
          <w:numId w:val="5"/>
        </w:numPr>
        <w:tabs>
          <w:tab w:pos="926" w:val="left" w:leader="none"/>
          <w:tab w:pos="927" w:val="left" w:leader="none"/>
        </w:tabs>
        <w:spacing w:line="240" w:lineRule="auto" w:before="91" w:after="0"/>
        <w:ind w:left="926" w:right="0" w:hanging="698"/>
        <w:jc w:val="left"/>
      </w:pPr>
      <w:r>
        <w:rPr/>
        <w:pict>
          <v:group style="position:absolute;margin-left:52.898258pt;margin-top:31.781876pt;width:500.9pt;height:1pt;mso-position-horizontal-relative:page;mso-position-vertical-relative:paragraph;z-index:1120;mso-wrap-distance-left:0;mso-wrap-distance-right:0" coordorigin="1058,636" coordsize="10018,20">
            <v:line style="position:absolute" from="1058,645" to="1756,645" stroked="true" strokeweight=".96pt" strokecolor="#000000">
              <v:stroke dashstyle="solid"/>
            </v:line>
            <v:rect style="position:absolute;left:1756;top:635;width:20;height:20" filled="true" fillcolor="#000000" stroked="false">
              <v:fill type="solid"/>
            </v:rect>
            <v:line style="position:absolute" from="1776,645" to="2923,645" stroked="true" strokeweight=".96pt" strokecolor="#000000">
              <v:stroke dashstyle="solid"/>
            </v:line>
            <v:rect style="position:absolute;left:2922;top:635;width:20;height:20" filled="true" fillcolor="#000000" stroked="false">
              <v:fill type="solid"/>
            </v:rect>
            <v:line style="position:absolute" from="2942,645" to="11076,645" stroked="true" strokeweight=".96pt" strokecolor="#000000">
              <v:stroke dashstyle="solid"/>
            </v:line>
            <w10:wrap type="topAndBottom"/>
          </v:group>
        </w:pict>
      </w:r>
      <w:r>
        <w:rPr/>
        <w:t>我们提供的保障</w:t>
      </w:r>
    </w:p>
    <w:p>
      <w:pPr>
        <w:spacing w:after="0" w:line="240" w:lineRule="auto"/>
        <w:jc w:val="left"/>
        <w:sectPr>
          <w:type w:val="continuous"/>
          <w:pgSz w:w="11910" w:h="16840"/>
          <w:pgMar w:top="1040" w:bottom="1180" w:left="940" w:right="720"/>
        </w:sectPr>
      </w:pPr>
    </w:p>
    <w:p>
      <w:pPr>
        <w:pStyle w:val="BodyText"/>
        <w:spacing w:before="2"/>
        <w:rPr>
          <w:sz w:val="19"/>
        </w:rPr>
      </w:pPr>
    </w:p>
    <w:p>
      <w:pPr>
        <w:pStyle w:val="ListParagraph"/>
        <w:numPr>
          <w:ilvl w:val="1"/>
          <w:numId w:val="6"/>
        </w:numPr>
        <w:tabs>
          <w:tab w:pos="806" w:val="left" w:leader="none"/>
          <w:tab w:pos="807" w:val="left" w:leader="none"/>
          <w:tab w:pos="2390" w:val="left" w:leader="none"/>
        </w:tabs>
        <w:spacing w:line="273" w:lineRule="auto" w:before="37" w:after="0"/>
        <w:ind w:left="1970" w:right="171" w:hanging="1862"/>
        <w:jc w:val="left"/>
        <w:rPr>
          <w:sz w:val="21"/>
        </w:rPr>
      </w:pPr>
      <w:r>
        <w:rPr>
          <w:sz w:val="21"/>
        </w:rPr>
        <w:t>保险金额</w:t>
        <w:tab/>
        <w:tab/>
      </w:r>
      <w:r>
        <w:rPr>
          <w:spacing w:val="-1"/>
          <w:sz w:val="21"/>
        </w:rPr>
        <w:t>本</w:t>
      </w:r>
      <w:r>
        <w:rPr>
          <w:sz w:val="21"/>
        </w:rPr>
        <w:t>合</w:t>
      </w:r>
      <w:r>
        <w:rPr>
          <w:spacing w:val="-3"/>
          <w:sz w:val="21"/>
        </w:rPr>
        <w:t>同</w:t>
      </w:r>
      <w:r>
        <w:rPr>
          <w:sz w:val="21"/>
        </w:rPr>
        <w:t>保</w:t>
      </w:r>
      <w:r>
        <w:rPr>
          <w:spacing w:val="-3"/>
          <w:sz w:val="21"/>
        </w:rPr>
        <w:t>险</w:t>
      </w:r>
      <w:r>
        <w:rPr>
          <w:sz w:val="21"/>
        </w:rPr>
        <w:t>金</w:t>
      </w:r>
      <w:r>
        <w:rPr>
          <w:spacing w:val="-3"/>
          <w:sz w:val="21"/>
        </w:rPr>
        <w:t>额</w:t>
      </w:r>
      <w:r>
        <w:rPr>
          <w:sz w:val="21"/>
        </w:rPr>
        <w:t>根</w:t>
      </w:r>
      <w:r>
        <w:rPr>
          <w:spacing w:val="-3"/>
          <w:sz w:val="21"/>
        </w:rPr>
        <w:t>据</w:t>
      </w:r>
      <w:r>
        <w:rPr>
          <w:sz w:val="21"/>
        </w:rPr>
        <w:t>基</w:t>
      </w:r>
      <w:r>
        <w:rPr>
          <w:spacing w:val="-3"/>
          <w:sz w:val="21"/>
        </w:rPr>
        <w:t>本</w:t>
      </w:r>
      <w:r>
        <w:rPr>
          <w:sz w:val="21"/>
        </w:rPr>
        <w:t>保险</w:t>
      </w:r>
      <w:r>
        <w:rPr>
          <w:spacing w:val="-3"/>
          <w:sz w:val="21"/>
        </w:rPr>
        <w:t>金</w:t>
      </w:r>
      <w:r>
        <w:rPr>
          <w:sz w:val="21"/>
        </w:rPr>
        <w:t>额</w:t>
      </w:r>
      <w:r>
        <w:rPr>
          <w:spacing w:val="-3"/>
          <w:sz w:val="21"/>
        </w:rPr>
        <w:t>进</w:t>
      </w:r>
      <w:r>
        <w:rPr>
          <w:sz w:val="21"/>
        </w:rPr>
        <w:t>行</w:t>
      </w:r>
      <w:r>
        <w:rPr>
          <w:spacing w:val="-3"/>
          <w:sz w:val="21"/>
        </w:rPr>
        <w:t>计</w:t>
      </w:r>
      <w:r>
        <w:rPr>
          <w:sz w:val="21"/>
        </w:rPr>
        <w:t>算</w:t>
      </w:r>
      <w:r>
        <w:rPr>
          <w:spacing w:val="-46"/>
          <w:sz w:val="21"/>
        </w:rPr>
        <w:t>。</w:t>
      </w:r>
      <w:r>
        <w:rPr>
          <w:sz w:val="21"/>
        </w:rPr>
        <w:t>基</w:t>
      </w:r>
      <w:r>
        <w:rPr>
          <w:spacing w:val="-3"/>
          <w:sz w:val="21"/>
        </w:rPr>
        <w:t>本</w:t>
      </w:r>
      <w:r>
        <w:rPr>
          <w:sz w:val="21"/>
        </w:rPr>
        <w:t>保险</w:t>
      </w:r>
      <w:r>
        <w:rPr>
          <w:spacing w:val="-3"/>
          <w:sz w:val="21"/>
        </w:rPr>
        <w:t>金</w:t>
      </w:r>
      <w:r>
        <w:rPr>
          <w:sz w:val="21"/>
        </w:rPr>
        <w:t>额</w:t>
      </w:r>
      <w:r>
        <w:rPr>
          <w:spacing w:val="-3"/>
          <w:sz w:val="21"/>
        </w:rPr>
        <w:t>由</w:t>
      </w:r>
      <w:r>
        <w:rPr>
          <w:sz w:val="21"/>
        </w:rPr>
        <w:t>您</w:t>
      </w:r>
      <w:r>
        <w:rPr>
          <w:spacing w:val="-3"/>
          <w:sz w:val="21"/>
        </w:rPr>
        <w:t>和</w:t>
      </w:r>
      <w:r>
        <w:rPr>
          <w:sz w:val="21"/>
        </w:rPr>
        <w:t>本</w:t>
      </w:r>
      <w:r>
        <w:rPr>
          <w:spacing w:val="-3"/>
          <w:sz w:val="21"/>
        </w:rPr>
        <w:t>公</w:t>
      </w:r>
      <w:r>
        <w:rPr>
          <w:sz w:val="21"/>
        </w:rPr>
        <w:t>司</w:t>
      </w:r>
      <w:r>
        <w:rPr>
          <w:spacing w:val="-3"/>
          <w:sz w:val="21"/>
        </w:rPr>
        <w:t>在</w:t>
      </w:r>
      <w:r>
        <w:rPr>
          <w:sz w:val="21"/>
        </w:rPr>
        <w:t>投</w:t>
      </w:r>
      <w:r>
        <w:rPr>
          <w:spacing w:val="-3"/>
          <w:sz w:val="21"/>
        </w:rPr>
        <w:t>保</w:t>
      </w:r>
      <w:r>
        <w:rPr>
          <w:sz w:val="21"/>
        </w:rPr>
        <w:t>时 </w:t>
      </w:r>
      <w:r>
        <w:rPr>
          <w:spacing w:val="-1"/>
          <w:sz w:val="21"/>
        </w:rPr>
        <w:t>约定</w:t>
      </w:r>
      <w:r>
        <w:rPr>
          <w:spacing w:val="-3"/>
          <w:sz w:val="21"/>
        </w:rPr>
        <w:t>，</w:t>
      </w:r>
      <w:r>
        <w:rPr>
          <w:spacing w:val="-1"/>
          <w:sz w:val="21"/>
        </w:rPr>
        <w:t>但</w:t>
      </w:r>
      <w:r>
        <w:rPr>
          <w:spacing w:val="-3"/>
          <w:sz w:val="21"/>
        </w:rPr>
        <w:t>须</w:t>
      </w:r>
      <w:r>
        <w:rPr>
          <w:sz w:val="21"/>
        </w:rPr>
        <w:t>符</w:t>
      </w:r>
      <w:r>
        <w:rPr>
          <w:spacing w:val="-3"/>
          <w:sz w:val="21"/>
        </w:rPr>
        <w:t>合</w:t>
      </w:r>
      <w:r>
        <w:rPr>
          <w:sz w:val="21"/>
        </w:rPr>
        <w:t>本</w:t>
      </w:r>
      <w:r>
        <w:rPr>
          <w:spacing w:val="-3"/>
          <w:sz w:val="21"/>
        </w:rPr>
        <w:t>公</w:t>
      </w:r>
      <w:r>
        <w:rPr>
          <w:sz w:val="21"/>
        </w:rPr>
        <w:t>司</w:t>
      </w:r>
      <w:r>
        <w:rPr>
          <w:spacing w:val="-3"/>
          <w:sz w:val="21"/>
        </w:rPr>
        <w:t>当</w:t>
      </w:r>
      <w:r>
        <w:rPr>
          <w:sz w:val="21"/>
        </w:rPr>
        <w:t>时的</w:t>
      </w:r>
      <w:r>
        <w:rPr>
          <w:spacing w:val="-3"/>
          <w:sz w:val="21"/>
        </w:rPr>
        <w:t>投</w:t>
      </w:r>
      <w:r>
        <w:rPr>
          <w:sz w:val="21"/>
        </w:rPr>
        <w:t>保</w:t>
      </w:r>
      <w:r>
        <w:rPr>
          <w:spacing w:val="-3"/>
          <w:sz w:val="21"/>
        </w:rPr>
        <w:t>规</w:t>
      </w:r>
      <w:r>
        <w:rPr>
          <w:sz w:val="21"/>
        </w:rPr>
        <w:t>定</w:t>
      </w:r>
      <w:r>
        <w:rPr>
          <w:spacing w:val="-3"/>
          <w:sz w:val="21"/>
        </w:rPr>
        <w:t>，</w:t>
      </w:r>
      <w:r>
        <w:rPr>
          <w:sz w:val="21"/>
        </w:rPr>
        <w:t>约</w:t>
      </w:r>
      <w:r>
        <w:rPr>
          <w:spacing w:val="-3"/>
          <w:sz w:val="21"/>
        </w:rPr>
        <w:t>定</w:t>
      </w:r>
      <w:r>
        <w:rPr>
          <w:sz w:val="21"/>
        </w:rPr>
        <w:t>的</w:t>
      </w:r>
      <w:r>
        <w:rPr>
          <w:spacing w:val="-3"/>
          <w:sz w:val="21"/>
        </w:rPr>
        <w:t>基</w:t>
      </w:r>
      <w:r>
        <w:rPr>
          <w:sz w:val="21"/>
        </w:rPr>
        <w:t>本保</w:t>
      </w:r>
      <w:r>
        <w:rPr>
          <w:spacing w:val="-3"/>
          <w:sz w:val="21"/>
        </w:rPr>
        <w:t>险</w:t>
      </w:r>
      <w:r>
        <w:rPr>
          <w:sz w:val="21"/>
        </w:rPr>
        <w:t>金</w:t>
      </w:r>
      <w:r>
        <w:rPr>
          <w:spacing w:val="-3"/>
          <w:sz w:val="21"/>
        </w:rPr>
        <w:t>额</w:t>
      </w:r>
      <w:r>
        <w:rPr>
          <w:sz w:val="21"/>
        </w:rPr>
        <w:t>将</w:t>
      </w:r>
      <w:r>
        <w:rPr>
          <w:spacing w:val="-3"/>
          <w:sz w:val="21"/>
        </w:rPr>
        <w:t>在</w:t>
      </w:r>
      <w:r>
        <w:rPr>
          <w:sz w:val="21"/>
        </w:rPr>
        <w:t>保</w:t>
      </w:r>
      <w:r>
        <w:rPr>
          <w:spacing w:val="-3"/>
          <w:sz w:val="21"/>
        </w:rPr>
        <w:t>险</w:t>
      </w:r>
      <w:r>
        <w:rPr>
          <w:sz w:val="21"/>
        </w:rPr>
        <w:t>单</w:t>
      </w:r>
      <w:r>
        <w:rPr>
          <w:spacing w:val="-3"/>
          <w:sz w:val="21"/>
        </w:rPr>
        <w:t>上</w:t>
      </w:r>
      <w:r>
        <w:rPr>
          <w:sz w:val="21"/>
        </w:rPr>
        <w:t>载明。</w:t>
      </w:r>
    </w:p>
    <w:p>
      <w:pPr>
        <w:pStyle w:val="BodyText"/>
        <w:spacing w:line="273" w:lineRule="auto" w:before="8"/>
        <w:ind w:left="1970" w:right="170" w:firstLine="420"/>
      </w:pPr>
      <w:r>
        <w:rPr>
          <w:spacing w:val="-8"/>
        </w:rPr>
        <w:t>为未成年子女投保的，因被保险人身故给付的保险金总和不得超过国务院保险监督</w:t>
      </w:r>
      <w:r>
        <w:rPr>
          <w:spacing w:val="-3"/>
        </w:rPr>
        <w:t>管理机构规定的限额，身故给付的保险金额总和约定也不得超过前述限额。</w:t>
      </w:r>
    </w:p>
    <w:p>
      <w:pPr>
        <w:pStyle w:val="BodyText"/>
        <w:spacing w:before="5"/>
        <w:rPr>
          <w:sz w:val="24"/>
        </w:rPr>
      </w:pPr>
    </w:p>
    <w:p>
      <w:pPr>
        <w:pStyle w:val="ListParagraph"/>
        <w:numPr>
          <w:ilvl w:val="1"/>
          <w:numId w:val="6"/>
        </w:numPr>
        <w:tabs>
          <w:tab w:pos="806" w:val="left" w:leader="none"/>
          <w:tab w:pos="807" w:val="left" w:leader="none"/>
          <w:tab w:pos="2390" w:val="left" w:leader="none"/>
        </w:tabs>
        <w:spacing w:line="273" w:lineRule="auto" w:before="1" w:after="0"/>
        <w:ind w:left="1970" w:right="171" w:hanging="1862"/>
        <w:jc w:val="left"/>
        <w:rPr>
          <w:sz w:val="21"/>
        </w:rPr>
      </w:pPr>
      <w:r>
        <w:rPr>
          <w:sz w:val="21"/>
        </w:rPr>
        <w:t>保险期间</w:t>
        <w:tab/>
        <w:tab/>
      </w:r>
      <w:r>
        <w:rPr>
          <w:spacing w:val="-1"/>
          <w:sz w:val="21"/>
        </w:rPr>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为</w:t>
      </w:r>
      <w:r>
        <w:rPr>
          <w:sz w:val="21"/>
        </w:rPr>
        <w:t>被</w:t>
      </w:r>
      <w:r>
        <w:rPr>
          <w:spacing w:val="-3"/>
          <w:sz w:val="21"/>
        </w:rPr>
        <w:t>保</w:t>
      </w:r>
      <w:r>
        <w:rPr>
          <w:sz w:val="21"/>
        </w:rPr>
        <w:t>险人</w:t>
      </w:r>
      <w:r>
        <w:rPr>
          <w:spacing w:val="-3"/>
          <w:sz w:val="21"/>
        </w:rPr>
        <w:t>终</w:t>
      </w:r>
      <w:r>
        <w:rPr>
          <w:sz w:val="21"/>
        </w:rPr>
        <w:t>身</w:t>
      </w:r>
      <w:r>
        <w:rPr>
          <w:spacing w:val="-24"/>
          <w:sz w:val="21"/>
        </w:rPr>
        <w:t>，</w:t>
      </w:r>
      <w:r>
        <w:rPr>
          <w:sz w:val="21"/>
        </w:rPr>
        <w:t>并</w:t>
      </w:r>
      <w:r>
        <w:rPr>
          <w:spacing w:val="-3"/>
          <w:sz w:val="21"/>
        </w:rPr>
        <w:t>在</w:t>
      </w:r>
      <w:r>
        <w:rPr>
          <w:sz w:val="21"/>
        </w:rPr>
        <w:t>保</w:t>
      </w:r>
      <w:r>
        <w:rPr>
          <w:spacing w:val="-3"/>
          <w:sz w:val="21"/>
        </w:rPr>
        <w:t>险</w:t>
      </w:r>
      <w:r>
        <w:rPr>
          <w:sz w:val="21"/>
        </w:rPr>
        <w:t>单</w:t>
      </w:r>
      <w:r>
        <w:rPr>
          <w:spacing w:val="-3"/>
          <w:sz w:val="21"/>
        </w:rPr>
        <w:t>上</w:t>
      </w:r>
      <w:r>
        <w:rPr>
          <w:sz w:val="21"/>
        </w:rPr>
        <w:t>载明</w:t>
      </w:r>
      <w:r>
        <w:rPr>
          <w:spacing w:val="-24"/>
          <w:sz w:val="21"/>
        </w:rPr>
        <w:t>。</w:t>
      </w:r>
      <w:r>
        <w:rPr>
          <w:sz w:val="21"/>
        </w:rPr>
        <w:t>保</w:t>
      </w:r>
      <w:r>
        <w:rPr>
          <w:spacing w:val="-3"/>
          <w:sz w:val="21"/>
        </w:rPr>
        <w:t>险</w:t>
      </w:r>
      <w:r>
        <w:rPr>
          <w:sz w:val="21"/>
        </w:rPr>
        <w:t>期</w:t>
      </w:r>
      <w:r>
        <w:rPr>
          <w:spacing w:val="-3"/>
          <w:sz w:val="21"/>
        </w:rPr>
        <w:t>间</w:t>
      </w:r>
      <w:r>
        <w:rPr>
          <w:sz w:val="21"/>
        </w:rPr>
        <w:t>自</w:t>
      </w:r>
      <w:r>
        <w:rPr>
          <w:spacing w:val="-3"/>
          <w:sz w:val="21"/>
        </w:rPr>
        <w:t>本</w:t>
      </w:r>
      <w:r>
        <w:rPr>
          <w:sz w:val="21"/>
        </w:rPr>
        <w:t>合</w:t>
      </w:r>
      <w:r>
        <w:rPr>
          <w:spacing w:val="-3"/>
          <w:sz w:val="21"/>
        </w:rPr>
        <w:t>同</w:t>
      </w:r>
      <w:r>
        <w:rPr>
          <w:sz w:val="21"/>
        </w:rPr>
        <w:t>生</w:t>
      </w:r>
      <w:r>
        <w:rPr>
          <w:spacing w:val="-3"/>
          <w:sz w:val="21"/>
        </w:rPr>
        <w:t>效</w:t>
      </w:r>
      <w:r>
        <w:rPr>
          <w:sz w:val="21"/>
        </w:rPr>
        <w:t>日 的零</w:t>
      </w:r>
      <w:r>
        <w:rPr>
          <w:spacing w:val="-3"/>
          <w:sz w:val="21"/>
        </w:rPr>
        <w:t>时</w:t>
      </w:r>
      <w:r>
        <w:rPr>
          <w:sz w:val="21"/>
        </w:rPr>
        <w:t>开</w:t>
      </w:r>
      <w:r>
        <w:rPr>
          <w:spacing w:val="-3"/>
          <w:sz w:val="21"/>
        </w:rPr>
        <w:t>始</w:t>
      </w:r>
      <w:r>
        <w:rPr>
          <w:sz w:val="21"/>
        </w:rPr>
        <w:t>。</w:t>
      </w:r>
    </w:p>
    <w:p>
      <w:pPr>
        <w:pStyle w:val="BodyText"/>
        <w:spacing w:before="5"/>
        <w:rPr>
          <w:sz w:val="24"/>
        </w:rPr>
      </w:pPr>
    </w:p>
    <w:p>
      <w:pPr>
        <w:pStyle w:val="ListParagraph"/>
        <w:numPr>
          <w:ilvl w:val="1"/>
          <w:numId w:val="6"/>
        </w:numPr>
        <w:tabs>
          <w:tab w:pos="806" w:val="left" w:leader="none"/>
          <w:tab w:pos="807" w:val="left" w:leader="none"/>
          <w:tab w:pos="2388" w:val="left" w:leader="none"/>
        </w:tabs>
        <w:spacing w:line="240" w:lineRule="auto" w:before="1" w:after="0"/>
        <w:ind w:left="1970" w:right="0" w:hanging="1862"/>
        <w:jc w:val="left"/>
        <w:rPr>
          <w:sz w:val="21"/>
        </w:rPr>
      </w:pPr>
      <w:r>
        <w:rPr>
          <w:sz w:val="21"/>
        </w:rPr>
        <w:t>保险责任</w:t>
        <w:tab/>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12"/>
        <w:rPr>
          <w:sz w:val="23"/>
        </w:rPr>
      </w:pPr>
    </w:p>
    <w:p>
      <w:pPr>
        <w:spacing w:after="0"/>
        <w:rPr>
          <w:sz w:val="23"/>
        </w:rPr>
        <w:sectPr>
          <w:pgSz w:w="11910" w:h="16840"/>
          <w:pgMar w:header="879" w:footer="995" w:top="1120" w:bottom="1180" w:left="1060" w:right="760"/>
        </w:sectPr>
      </w:pPr>
    </w:p>
    <w:p>
      <w:pPr>
        <w:pStyle w:val="ListParagraph"/>
        <w:numPr>
          <w:ilvl w:val="2"/>
          <w:numId w:val="6"/>
        </w:numPr>
        <w:tabs>
          <w:tab w:pos="1546" w:val="left" w:leader="none"/>
        </w:tabs>
        <w:spacing w:line="273" w:lineRule="auto" w:before="36" w:after="0"/>
        <w:ind w:left="806" w:right="0" w:firstLine="0"/>
        <w:jc w:val="both"/>
        <w:rPr>
          <w:sz w:val="21"/>
        </w:rPr>
      </w:pPr>
      <w:r>
        <w:rPr>
          <w:sz w:val="21"/>
        </w:rPr>
        <w:t>重</w:t>
      </w:r>
      <w:r>
        <w:rPr>
          <w:spacing w:val="23"/>
          <w:sz w:val="21"/>
        </w:rPr>
        <w:t>大疾病保险金</w:t>
      </w:r>
    </w:p>
    <w:p>
      <w:pPr>
        <w:pStyle w:val="BodyText"/>
        <w:spacing w:line="273" w:lineRule="auto"/>
        <w:ind w:left="173" w:right="171" w:firstLine="420"/>
        <w:jc w:val="both"/>
      </w:pPr>
      <w:r>
        <w:rPr/>
        <w:br w:type="column"/>
      </w:r>
      <w:r>
        <w:rPr>
          <w:spacing w:val="-4"/>
        </w:rPr>
        <w:t>被保险人于本合同生效</w:t>
      </w:r>
      <w:r>
        <w:rPr>
          <w:spacing w:val="-3"/>
        </w:rPr>
        <w:t>（或合同效力恢复</w:t>
      </w:r>
      <w:r>
        <w:rPr>
          <w:spacing w:val="-12"/>
        </w:rPr>
        <w:t>）</w:t>
      </w:r>
      <w:r>
        <w:rPr>
          <w:spacing w:val="-6"/>
        </w:rPr>
        <w:t>之日起一年内，由本公司认可医院</w:t>
      </w:r>
      <w:r>
        <w:rPr/>
        <w:t>（详</w:t>
      </w:r>
      <w:r>
        <w:rPr>
          <w:w w:val="100"/>
        </w:rPr>
        <w:t>见释义</w:t>
      </w:r>
      <w:r>
        <w:rPr>
          <w:spacing w:val="1"/>
          <w:w w:val="100"/>
        </w:rPr>
        <w:t>）</w:t>
      </w:r>
      <w:r>
        <w:rPr>
          <w:spacing w:val="-1"/>
          <w:w w:val="100"/>
        </w:rPr>
        <w:t>的专科医生</w:t>
      </w:r>
      <w:r>
        <w:rPr>
          <w:w w:val="100"/>
        </w:rPr>
        <w:t>（详见释义</w:t>
      </w:r>
      <w:r>
        <w:rPr>
          <w:spacing w:val="1"/>
          <w:w w:val="100"/>
        </w:rPr>
        <w:t>）</w:t>
      </w:r>
      <w:r>
        <w:rPr>
          <w:spacing w:val="-2"/>
          <w:w w:val="100"/>
        </w:rPr>
        <w:t>确诊初次发生本合同所指的重大疾病</w:t>
      </w:r>
      <w:r>
        <w:rPr>
          <w:w w:val="100"/>
        </w:rPr>
        <w:t>（详见释义</w:t>
      </w:r>
      <w:r>
        <w:rPr>
          <w:spacing w:val="-104"/>
          <w:w w:val="100"/>
        </w:rPr>
        <w:t>）</w:t>
      </w:r>
      <w:r>
        <w:rPr>
          <w:w w:val="100"/>
        </w:rPr>
        <w:t>，</w:t>
      </w:r>
      <w:r>
        <w:rPr>
          <w:spacing w:val="-3"/>
        </w:rPr>
        <w:t>本公司按以下二者之和给付重大疾病保险金，本合同终止。</w:t>
      </w:r>
    </w:p>
    <w:p>
      <w:pPr>
        <w:pStyle w:val="BodyText"/>
        <w:spacing w:before="7"/>
        <w:ind w:left="593"/>
      </w:pPr>
      <w:r>
        <w:rPr/>
        <w:t>1.基本保险金额的 10%；</w:t>
      </w:r>
    </w:p>
    <w:p>
      <w:pPr>
        <w:pStyle w:val="BodyText"/>
        <w:ind w:left="593"/>
      </w:pPr>
      <w:r>
        <w:rPr/>
        <w:t>2.本保险实际交纳的保险费。</w:t>
      </w:r>
    </w:p>
    <w:p>
      <w:pPr>
        <w:pStyle w:val="BodyText"/>
        <w:spacing w:line="273" w:lineRule="auto"/>
        <w:ind w:left="173" w:right="171" w:firstLine="420"/>
        <w:jc w:val="both"/>
      </w:pPr>
      <w:r>
        <w:rPr>
          <w:spacing w:val="-5"/>
        </w:rPr>
        <w:t>被保险人于本合同生效</w:t>
      </w:r>
      <w:r>
        <w:rPr>
          <w:spacing w:val="-3"/>
        </w:rPr>
        <w:t>（或合同效力恢复</w:t>
      </w:r>
      <w:r>
        <w:rPr>
          <w:spacing w:val="-15"/>
        </w:rPr>
        <w:t>）</w:t>
      </w:r>
      <w:r>
        <w:rPr>
          <w:spacing w:val="-5"/>
        </w:rPr>
        <w:t>之日起一年后，由本公司认可医院的专科医生确诊初次发生本合同所指的重大疾病，本公司按本合同基本保险金额×</w:t>
      </w:r>
      <w:r>
        <w:rPr>
          <w:spacing w:val="-4"/>
        </w:rPr>
        <w:t>（1+3%× </w:t>
      </w:r>
      <w:r>
        <w:rPr>
          <w:spacing w:val="-3"/>
        </w:rPr>
        <w:t>保单经过整年度</w:t>
      </w:r>
      <w:r>
        <w:rPr/>
        <w:t>）</w:t>
      </w:r>
      <w:r>
        <w:rPr>
          <w:spacing w:val="-3"/>
        </w:rPr>
        <w:t>给付重大疾病保险金，本合同终止。</w:t>
      </w:r>
    </w:p>
    <w:p>
      <w:pPr>
        <w:spacing w:after="0" w:line="273" w:lineRule="auto"/>
        <w:jc w:val="both"/>
        <w:sectPr>
          <w:type w:val="continuous"/>
          <w:pgSz w:w="11910" w:h="16840"/>
          <w:pgMar w:top="1040" w:bottom="1180" w:left="1060" w:right="760"/>
          <w:cols w:num="2" w:equalWidth="0">
            <w:col w:w="1758" w:space="40"/>
            <w:col w:w="8292"/>
          </w:cols>
        </w:sectPr>
      </w:pPr>
    </w:p>
    <w:p>
      <w:pPr>
        <w:pStyle w:val="BodyText"/>
        <w:spacing w:before="8"/>
      </w:pPr>
    </w:p>
    <w:p>
      <w:pPr>
        <w:spacing w:after="0"/>
        <w:sectPr>
          <w:type w:val="continuous"/>
          <w:pgSz w:w="11910" w:h="16840"/>
          <w:pgMar w:top="1040" w:bottom="1180" w:left="1060" w:right="760"/>
        </w:sectPr>
      </w:pPr>
    </w:p>
    <w:p>
      <w:pPr>
        <w:pStyle w:val="ListParagraph"/>
        <w:numPr>
          <w:ilvl w:val="2"/>
          <w:numId w:val="6"/>
        </w:numPr>
        <w:tabs>
          <w:tab w:pos="1545" w:val="left" w:leader="none"/>
          <w:tab w:pos="1546" w:val="left" w:leader="none"/>
        </w:tabs>
        <w:spacing w:line="273" w:lineRule="auto" w:before="36" w:after="0"/>
        <w:ind w:left="806" w:right="0" w:firstLine="0"/>
        <w:jc w:val="left"/>
        <w:rPr>
          <w:sz w:val="21"/>
        </w:rPr>
      </w:pPr>
      <w:r>
        <w:rPr>
          <w:sz w:val="21"/>
        </w:rPr>
        <w:t>身故保险金</w:t>
      </w:r>
    </w:p>
    <w:p>
      <w:pPr>
        <w:pStyle w:val="BodyText"/>
        <w:spacing w:line="273" w:lineRule="auto"/>
        <w:ind w:left="166" w:right="120" w:firstLine="420"/>
      </w:pPr>
      <w:r>
        <w:rPr/>
        <w:br w:type="column"/>
      </w:r>
      <w:r>
        <w:rPr/>
        <w:t>被保险人于本合同生效（或合同效力恢复）之日起一年内因疾病（该疾病不包括前款所述的重大疾病）身故，本公司按以下二者之和给付身故保险金，本合同终止。</w:t>
      </w:r>
    </w:p>
    <w:p>
      <w:pPr>
        <w:pStyle w:val="BodyText"/>
        <w:spacing w:before="7"/>
        <w:ind w:left="593"/>
      </w:pPr>
      <w:r>
        <w:rPr/>
        <w:t>1.基本保险金额的 10%；</w:t>
      </w:r>
    </w:p>
    <w:p>
      <w:pPr>
        <w:pStyle w:val="BodyText"/>
        <w:spacing w:before="37"/>
        <w:ind w:left="593"/>
      </w:pPr>
      <w:r>
        <w:rPr/>
        <w:t>2.本保险实际交纳的保险费。</w:t>
      </w:r>
    </w:p>
    <w:p>
      <w:pPr>
        <w:pStyle w:val="BodyText"/>
        <w:spacing w:line="273" w:lineRule="auto" w:before="37"/>
        <w:ind w:left="166" w:right="119" w:firstLine="420"/>
      </w:pPr>
      <w:r>
        <w:rPr/>
        <w:t>被保险人因意外伤害（详见释义）或于本合同生效（或合同效力恢复）之日起一年后因疾病（该疾病不包括前款所述的重大疾病）身故，本公司按本合同基本保险金额×</w:t>
      </w:r>
    </w:p>
    <w:p>
      <w:pPr>
        <w:pStyle w:val="BodyText"/>
        <w:spacing w:before="7"/>
        <w:ind w:left="166"/>
      </w:pPr>
      <w:r>
        <w:rPr/>
        <w:t>（1+1%×保单经过整年度）给付身故保险金，本合同终止。</w:t>
      </w:r>
    </w:p>
    <w:p>
      <w:pPr>
        <w:spacing w:after="0"/>
        <w:sectPr>
          <w:type w:val="continuous"/>
          <w:pgSz w:w="11910" w:h="16840"/>
          <w:pgMar w:top="1040" w:bottom="1180" w:left="1060" w:right="760"/>
          <w:cols w:num="2" w:equalWidth="0">
            <w:col w:w="1758" w:space="40"/>
            <w:col w:w="8292"/>
          </w:cols>
        </w:sectPr>
      </w:pPr>
    </w:p>
    <w:p>
      <w:pPr>
        <w:pStyle w:val="BodyText"/>
        <w:spacing w:before="11"/>
        <w:rPr>
          <w:sz w:val="23"/>
        </w:rPr>
      </w:pPr>
    </w:p>
    <w:p>
      <w:pPr>
        <w:pStyle w:val="ListParagraph"/>
        <w:numPr>
          <w:ilvl w:val="1"/>
          <w:numId w:val="6"/>
        </w:numPr>
        <w:tabs>
          <w:tab w:pos="806" w:val="left" w:leader="none"/>
          <w:tab w:pos="807" w:val="left" w:leader="none"/>
          <w:tab w:pos="2390" w:val="left" w:leader="none"/>
        </w:tabs>
        <w:spacing w:line="273" w:lineRule="auto" w:before="36" w:after="0"/>
        <w:ind w:left="1968" w:right="173" w:hanging="1860"/>
        <w:jc w:val="left"/>
        <w:rPr>
          <w:sz w:val="21"/>
        </w:rPr>
      </w:pPr>
      <w:r>
        <w:rPr>
          <w:sz w:val="21"/>
        </w:rPr>
        <w:t>责任免除</w:t>
        <w:tab/>
        <w:tab/>
        <w:t>被保险人因下列</w:t>
      </w:r>
      <w:r>
        <w:rPr>
          <w:spacing w:val="-34"/>
          <w:sz w:val="21"/>
        </w:rPr>
        <w:t> </w:t>
      </w:r>
      <w:r>
        <w:rPr>
          <w:sz w:val="21"/>
        </w:rPr>
        <w:t>1-8</w:t>
      </w:r>
      <w:r>
        <w:rPr>
          <w:spacing w:val="-34"/>
          <w:sz w:val="21"/>
        </w:rPr>
        <w:t> </w:t>
      </w:r>
      <w:r>
        <w:rPr>
          <w:sz w:val="21"/>
        </w:rPr>
        <w:t>项</w:t>
      </w:r>
      <w:r>
        <w:rPr>
          <w:spacing w:val="-3"/>
          <w:sz w:val="21"/>
        </w:rPr>
        <w:t>情</w:t>
      </w:r>
      <w:r>
        <w:rPr>
          <w:sz w:val="21"/>
        </w:rPr>
        <w:t>形之一</w:t>
      </w:r>
      <w:r>
        <w:rPr>
          <w:spacing w:val="-36"/>
          <w:sz w:val="21"/>
        </w:rPr>
        <w:t>，</w:t>
      </w:r>
      <w:r>
        <w:rPr>
          <w:sz w:val="21"/>
        </w:rPr>
        <w:t>发生本</w:t>
      </w:r>
      <w:r>
        <w:rPr>
          <w:spacing w:val="-3"/>
          <w:sz w:val="21"/>
        </w:rPr>
        <w:t>合</w:t>
      </w:r>
      <w:r>
        <w:rPr>
          <w:sz w:val="21"/>
        </w:rPr>
        <w:t>同所</w:t>
      </w:r>
      <w:r>
        <w:rPr>
          <w:spacing w:val="-3"/>
          <w:sz w:val="21"/>
        </w:rPr>
        <w:t>指</w:t>
      </w:r>
      <w:r>
        <w:rPr>
          <w:sz w:val="21"/>
        </w:rPr>
        <w:t>的重大疾病的</w:t>
      </w:r>
      <w:r>
        <w:rPr>
          <w:spacing w:val="-36"/>
          <w:sz w:val="21"/>
        </w:rPr>
        <w:t>，</w:t>
      </w:r>
      <w:r>
        <w:rPr>
          <w:spacing w:val="-3"/>
          <w:sz w:val="21"/>
        </w:rPr>
        <w:t>本</w:t>
      </w:r>
      <w:r>
        <w:rPr>
          <w:sz w:val="21"/>
        </w:rPr>
        <w:t>公司</w:t>
      </w:r>
      <w:r>
        <w:rPr>
          <w:spacing w:val="-3"/>
          <w:sz w:val="21"/>
        </w:rPr>
        <w:t>不</w:t>
      </w:r>
      <w:r>
        <w:rPr>
          <w:sz w:val="21"/>
        </w:rPr>
        <w:t>承担重大疾病保险责任：</w:t>
      </w:r>
    </w:p>
    <w:p>
      <w:pPr>
        <w:pStyle w:val="BodyText"/>
        <w:spacing w:before="7"/>
        <w:ind w:left="2393"/>
      </w:pPr>
      <w:r>
        <w:rPr/>
        <w:t>1.投保人对被保险人的故意杀害、故意伤害；</w:t>
      </w:r>
    </w:p>
    <w:p>
      <w:pPr>
        <w:pStyle w:val="BodyText"/>
        <w:spacing w:before="37"/>
        <w:ind w:left="2393"/>
      </w:pPr>
      <w:r>
        <w:rPr/>
        <w:t>2.被保险人故意犯罪或抗拒依法采取的刑事强制措施；</w:t>
      </w:r>
    </w:p>
    <w:p>
      <w:pPr>
        <w:pStyle w:val="BodyText"/>
        <w:spacing w:before="37"/>
        <w:ind w:left="2393"/>
      </w:pPr>
      <w:r>
        <w:rPr>
          <w:w w:val="100"/>
        </w:rPr>
        <w:t>3.</w:t>
      </w:r>
      <w:r>
        <w:rPr>
          <w:spacing w:val="-1"/>
          <w:w w:val="100"/>
        </w:rPr>
        <w:t>被保险人主动吸食或注射毒品</w:t>
      </w:r>
      <w:r>
        <w:rPr>
          <w:w w:val="100"/>
        </w:rPr>
        <w:t>（详见释义</w:t>
      </w:r>
      <w:r>
        <w:rPr>
          <w:spacing w:val="-106"/>
          <w:w w:val="100"/>
        </w:rPr>
        <w:t>）</w:t>
      </w:r>
      <w:r>
        <w:rPr>
          <w:w w:val="100"/>
        </w:rPr>
        <w:t>；</w:t>
      </w:r>
    </w:p>
    <w:p>
      <w:pPr>
        <w:pStyle w:val="BodyText"/>
        <w:spacing w:line="273" w:lineRule="auto" w:before="37"/>
        <w:ind w:left="1970" w:right="173" w:firstLine="422"/>
      </w:pPr>
      <w:r>
        <w:rPr/>
        <w:t>4.被保险人酒后驾驶（详见释义</w:t>
      </w:r>
      <w:r>
        <w:rPr>
          <w:spacing w:val="-106"/>
        </w:rPr>
        <w:t>）</w:t>
      </w:r>
      <w:r>
        <w:rPr/>
        <w:t>、无合法有效驾驶证驾驶（详见释义）或驾驶无</w:t>
      </w:r>
      <w:r>
        <w:rPr>
          <w:w w:val="100"/>
        </w:rPr>
        <w:t>有效行驶证（</w:t>
      </w:r>
      <w:r>
        <w:rPr>
          <w:spacing w:val="-1"/>
          <w:w w:val="100"/>
        </w:rPr>
        <w:t>详见释义</w:t>
      </w:r>
      <w:r>
        <w:rPr>
          <w:spacing w:val="-3"/>
          <w:w w:val="100"/>
        </w:rPr>
        <w:t>）</w:t>
      </w:r>
      <w:r>
        <w:rPr>
          <w:w w:val="100"/>
        </w:rPr>
        <w:t>的机动车（详见释义</w:t>
      </w:r>
      <w:r>
        <w:rPr>
          <w:spacing w:val="-108"/>
          <w:w w:val="100"/>
        </w:rPr>
        <w:t>）</w:t>
      </w:r>
      <w:r>
        <w:rPr>
          <w:w w:val="100"/>
        </w:rPr>
        <w:t>；</w:t>
      </w:r>
    </w:p>
    <w:p>
      <w:pPr>
        <w:pStyle w:val="BodyText"/>
        <w:spacing w:before="7"/>
        <w:ind w:left="2393"/>
      </w:pPr>
      <w:r>
        <w:rPr/>
        <w:t>5.战争、军事冲突、暴乱或武装叛乱；</w:t>
      </w:r>
    </w:p>
    <w:p>
      <w:pPr>
        <w:pStyle w:val="BodyText"/>
        <w:ind w:left="2393"/>
      </w:pPr>
      <w:r>
        <w:rPr/>
        <w:t>6.核爆炸、核辐射或核污染；</w:t>
      </w:r>
    </w:p>
    <w:p>
      <w:pPr>
        <w:pStyle w:val="BodyText"/>
        <w:ind w:left="2393"/>
      </w:pPr>
      <w:r>
        <w:rPr>
          <w:w w:val="100"/>
        </w:rPr>
        <w:t>7.遗传性疾病（详见释义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spacing w:line="273" w:lineRule="auto"/>
        <w:ind w:left="1970" w:right="173" w:firstLine="422"/>
      </w:pPr>
      <w:r>
        <w:rPr/>
        <w:t>8.</w:t>
      </w:r>
      <w:r>
        <w:rPr>
          <w:spacing w:val="-3"/>
        </w:rPr>
        <w:t>被保险人感染艾滋病病毒或患艾滋病(详见释义)</w:t>
      </w:r>
      <w:r>
        <w:rPr>
          <w:spacing w:val="-40"/>
        </w:rPr>
        <w:t>（</w:t>
      </w:r>
      <w:r>
        <w:rPr>
          <w:spacing w:val="-2"/>
        </w:rPr>
        <w:t>医护人员职业行为感染艾滋病病毒或患艾滋病除外</w:t>
      </w:r>
      <w:r>
        <w:rPr>
          <w:spacing w:val="-108"/>
        </w:rPr>
        <w:t>）</w:t>
      </w:r>
      <w:r>
        <w:rPr/>
        <w:t>。</w:t>
      </w:r>
    </w:p>
    <w:p>
      <w:pPr>
        <w:pStyle w:val="BodyText"/>
        <w:spacing w:line="273" w:lineRule="auto" w:before="7"/>
        <w:ind w:left="1970" w:right="99" w:firstLine="422"/>
        <w:jc w:val="both"/>
      </w:pPr>
      <w:r>
        <w:rPr>
          <w:spacing w:val="-5"/>
        </w:rPr>
        <w:t>被保险人因上述第 </w:t>
      </w:r>
      <w:r>
        <w:rPr/>
        <w:t>1-6</w:t>
      </w:r>
      <w:r>
        <w:rPr>
          <w:spacing w:val="-10"/>
        </w:rPr>
        <w:t> 项情形或被保险人自本合同成立</w:t>
      </w:r>
      <w:r>
        <w:rPr/>
        <w:t>（或合同效力恢复</w:t>
      </w:r>
      <w:r>
        <w:rPr>
          <w:spacing w:val="-39"/>
        </w:rPr>
        <w:t>）</w:t>
      </w:r>
      <w:r>
        <w:rPr>
          <w:spacing w:val="-2"/>
        </w:rPr>
        <w:t>之日起</w:t>
      </w:r>
      <w:r>
        <w:rPr>
          <w:spacing w:val="-6"/>
        </w:rPr>
        <w:t>二年内自杀</w:t>
      </w:r>
      <w:r>
        <w:rPr/>
        <w:t>（</w:t>
      </w:r>
      <w:r>
        <w:rPr>
          <w:spacing w:val="-3"/>
        </w:rPr>
        <w:t>但自杀时为无民事行为能力人的除外</w:t>
      </w:r>
      <w:r>
        <w:rPr>
          <w:spacing w:val="-20"/>
        </w:rPr>
        <w:t>）</w:t>
      </w:r>
      <w:r>
        <w:rPr>
          <w:spacing w:val="-6"/>
        </w:rPr>
        <w:t>导致身故的，本合同终止，本公司</w:t>
      </w:r>
      <w:r>
        <w:rPr>
          <w:spacing w:val="-8"/>
        </w:rPr>
        <w:t>不承担身故保险责任；除上述第 </w:t>
      </w:r>
      <w:r>
        <w:rPr/>
        <w:t>1</w:t>
      </w:r>
      <w:r>
        <w:rPr>
          <w:spacing w:val="-6"/>
        </w:rPr>
        <w:t> 项情形之外，本公司将向您退还保险单的现金价值，</w:t>
      </w:r>
    </w:p>
    <w:p>
      <w:pPr>
        <w:pStyle w:val="BodyText"/>
        <w:spacing w:before="7"/>
        <w:ind w:left="1970"/>
      </w:pPr>
      <w:r>
        <w:rPr/>
        <w:t>发生上述第 1 项情形时，本公司将向身故保险金受益人退还保险单的现金价值。</w:t>
      </w:r>
    </w:p>
    <w:p>
      <w:pPr>
        <w:spacing w:after="0"/>
        <w:sectPr>
          <w:type w:val="continuous"/>
          <w:pgSz w:w="11910" w:h="16840"/>
          <w:pgMar w:top="1040" w:bottom="1180" w:left="1060" w:right="760"/>
        </w:sectPr>
      </w:pPr>
    </w:p>
    <w:p>
      <w:pPr>
        <w:pStyle w:val="BodyText"/>
        <w:spacing w:before="0"/>
        <w:rPr>
          <w:sz w:val="22"/>
        </w:rPr>
      </w:pPr>
    </w:p>
    <w:p>
      <w:pPr>
        <w:tabs>
          <w:tab w:pos="926" w:val="left" w:leader="none"/>
        </w:tabs>
        <w:spacing w:before="91"/>
        <w:ind w:left="228" w:right="0" w:firstLine="0"/>
        <w:jc w:val="left"/>
        <w:rPr>
          <w:sz w:val="28"/>
        </w:rPr>
      </w:pPr>
      <w:r>
        <w:rPr/>
        <w:pict>
          <v:group style="position:absolute;margin-left:52.898258pt;margin-top:31.781891pt;width:500.9pt;height:1pt;mso-position-horizontal-relative:page;mso-position-vertical-relative:paragraph;z-index:1144;mso-wrap-distance-left:0;mso-wrap-distance-right:0" coordorigin="1058,636" coordsize="10018,20">
            <v:line style="position:absolute" from="1058,645" to="1756,645" stroked="true" strokeweight=".96pt" strokecolor="#000000">
              <v:stroke dashstyle="solid"/>
            </v:line>
            <v:rect style="position:absolute;left:1756;top:635;width:20;height:20" filled="true" fillcolor="#000000" stroked="false">
              <v:fill type="solid"/>
            </v:rect>
            <v:line style="position:absolute" from="1776,645" to="2923,645" stroked="true" strokeweight=".96pt" strokecolor="#000000">
              <v:stroke dashstyle="solid"/>
            </v:line>
            <v:rect style="position:absolute;left:2922;top:635;width:20;height:20" filled="true" fillcolor="#000000" stroked="false">
              <v:fill type="solid"/>
            </v:rect>
            <v:line style="position:absolute" from="2942,645" to="11076,645" stroked="true" strokeweight=".96pt" strokecolor="#000000">
              <v:stroke dashstyle="solid"/>
            </v:line>
            <w10:wrap type="topAndBottom"/>
          </v:group>
        </w:pict>
      </w:r>
      <w:r>
        <w:rPr>
          <w:rFonts w:ascii="Times New Roman" w:hAnsi="Times New Roman" w:eastAsia="Times New Roman"/>
          <w:w w:val="130"/>
          <w:position w:val="-3"/>
          <w:sz w:val="40"/>
        </w:rPr>
        <w:t>Ž</w:t>
        <w:tab/>
      </w:r>
      <w:r>
        <w:rPr>
          <w:sz w:val="28"/>
        </w:rPr>
        <w:t>您的权利和义务</w:t>
      </w:r>
    </w:p>
    <w:p>
      <w:pPr>
        <w:pStyle w:val="BodyText"/>
        <w:spacing w:before="11"/>
        <w:rPr>
          <w:sz w:val="17"/>
        </w:rPr>
      </w:pPr>
    </w:p>
    <w:p>
      <w:pPr>
        <w:spacing w:after="0"/>
        <w:rPr>
          <w:sz w:val="17"/>
        </w:rPr>
        <w:sectPr>
          <w:pgSz w:w="11910" w:h="16840"/>
          <w:pgMar w:header="879" w:footer="995" w:top="1120" w:bottom="1180" w:left="940" w:right="720"/>
        </w:sectPr>
      </w:pPr>
    </w:p>
    <w:p>
      <w:pPr>
        <w:pStyle w:val="ListParagraph"/>
        <w:numPr>
          <w:ilvl w:val="1"/>
          <w:numId w:val="7"/>
        </w:numPr>
        <w:tabs>
          <w:tab w:pos="926" w:val="left" w:leader="none"/>
          <w:tab w:pos="927" w:val="left" w:leader="none"/>
        </w:tabs>
        <w:spacing w:line="273" w:lineRule="auto" w:before="36" w:after="0"/>
        <w:ind w:left="926" w:right="0" w:hanging="698"/>
        <w:jc w:val="left"/>
        <w:rPr>
          <w:sz w:val="21"/>
        </w:rPr>
      </w:pPr>
      <w:r>
        <w:rPr>
          <w:spacing w:val="23"/>
          <w:sz w:val="21"/>
        </w:rPr>
        <w:t>保险费的交纳</w:t>
      </w:r>
    </w:p>
    <w:p>
      <w:pPr>
        <w:pStyle w:val="BodyText"/>
        <w:spacing w:line="273" w:lineRule="auto"/>
        <w:ind w:left="173" w:right="376" w:firstLine="420"/>
      </w:pPr>
      <w:r>
        <w:rPr/>
        <w:br w:type="column"/>
      </w:r>
      <w:r>
        <w:rPr/>
        <w:t>本合同的交费方式和交费期间由您和本公司约定，但须符合本公司当时的投保规定，约定的交费方式和交费期间将在保险单上载明。</w:t>
      </w:r>
    </w:p>
    <w:p>
      <w:pPr>
        <w:spacing w:after="0" w:line="273" w:lineRule="auto"/>
        <w:sectPr>
          <w:type w:val="continuous"/>
          <w:pgSz w:w="11910" w:h="16840"/>
          <w:pgMar w:top="1040" w:bottom="1180" w:left="940" w:right="720"/>
          <w:cols w:num="2" w:equalWidth="0">
            <w:col w:w="1878" w:space="40"/>
            <w:col w:w="8332"/>
          </w:cols>
        </w:sectPr>
      </w:pPr>
    </w:p>
    <w:p>
      <w:pPr>
        <w:pStyle w:val="BodyText"/>
        <w:spacing w:before="8"/>
      </w:pPr>
    </w:p>
    <w:p>
      <w:pPr>
        <w:spacing w:after="0"/>
        <w:sectPr>
          <w:type w:val="continuous"/>
          <w:pgSz w:w="11910" w:h="16840"/>
          <w:pgMar w:top="1040" w:bottom="1180" w:left="940" w:right="720"/>
        </w:sectPr>
      </w:pPr>
    </w:p>
    <w:p>
      <w:pPr>
        <w:pStyle w:val="ListParagraph"/>
        <w:numPr>
          <w:ilvl w:val="1"/>
          <w:numId w:val="7"/>
        </w:numPr>
        <w:tabs>
          <w:tab w:pos="926" w:val="left" w:leader="none"/>
          <w:tab w:pos="927" w:val="left" w:leader="none"/>
        </w:tabs>
        <w:spacing w:line="273" w:lineRule="auto" w:before="36" w:after="0"/>
        <w:ind w:left="926" w:right="0" w:hanging="698"/>
        <w:jc w:val="left"/>
        <w:rPr>
          <w:sz w:val="21"/>
        </w:rPr>
      </w:pPr>
      <w:r>
        <w:rPr>
          <w:spacing w:val="23"/>
          <w:sz w:val="21"/>
        </w:rPr>
        <w:t>续期保险费的交纳、宽限期</w:t>
      </w:r>
    </w:p>
    <w:p>
      <w:pPr>
        <w:pStyle w:val="BodyText"/>
        <w:spacing w:line="273" w:lineRule="auto"/>
        <w:ind w:left="67" w:right="211" w:firstLine="420"/>
        <w:jc w:val="both"/>
      </w:pPr>
      <w:r>
        <w:rPr/>
        <w:br w:type="column"/>
      </w:r>
      <w:r>
        <w:rPr>
          <w:spacing w:val="-5"/>
        </w:rPr>
        <w:t>本合同续期保险费应按保险单所载明的交费方式和交费日期交纳，您应该在所选择</w:t>
      </w:r>
      <w:r>
        <w:rPr>
          <w:spacing w:val="-7"/>
        </w:rPr>
        <w:t>的交费期间内每年交纳保险费，交纳保险费的具体日期为当年的保单生效对应日</w:t>
      </w:r>
      <w:r>
        <w:rPr/>
        <w:t>（详见</w:t>
      </w:r>
      <w:r>
        <w:rPr>
          <w:spacing w:val="-1"/>
        </w:rPr>
        <w:t>释义</w:t>
      </w:r>
      <w:r>
        <w:rPr>
          <w:spacing w:val="-12"/>
        </w:rPr>
        <w:t>），</w:t>
      </w:r>
      <w:r>
        <w:rPr>
          <w:spacing w:val="-5"/>
        </w:rPr>
        <w:t>并在保险单上载明。如到期未交纳，自保险单所载明的交费日期的次日零时起</w:t>
      </w:r>
    </w:p>
    <w:p>
      <w:pPr>
        <w:pStyle w:val="BodyText"/>
        <w:spacing w:line="273" w:lineRule="auto" w:before="7"/>
        <w:ind w:left="67" w:right="213"/>
      </w:pPr>
      <w:r>
        <w:rPr/>
        <w:t>60</w:t>
      </w:r>
      <w:r>
        <w:rPr>
          <w:spacing w:val="-12"/>
        </w:rPr>
        <w:t> 日为宽限期。宽限期内发生保险事故的，本公司承担保险责任，但在给付保险金时将</w:t>
      </w:r>
      <w:r>
        <w:rPr>
          <w:spacing w:val="-6"/>
        </w:rPr>
        <w:t>扣减您欠交的保险费。</w:t>
      </w:r>
    </w:p>
    <w:p>
      <w:pPr>
        <w:spacing w:after="0" w:line="273" w:lineRule="auto"/>
        <w:sectPr>
          <w:type w:val="continuous"/>
          <w:pgSz w:w="11910" w:h="16840"/>
          <w:pgMar w:top="1040" w:bottom="1180" w:left="940" w:right="720"/>
          <w:cols w:num="2" w:equalWidth="0">
            <w:col w:w="1983" w:space="40"/>
            <w:col w:w="8227"/>
          </w:cols>
        </w:sectPr>
      </w:pPr>
    </w:p>
    <w:p>
      <w:pPr>
        <w:pStyle w:val="BodyText"/>
        <w:spacing w:before="8"/>
      </w:pPr>
    </w:p>
    <w:p>
      <w:pPr>
        <w:spacing w:after="0"/>
        <w:sectPr>
          <w:type w:val="continuous"/>
          <w:pgSz w:w="11910" w:h="16840"/>
          <w:pgMar w:top="1040" w:bottom="1180" w:left="940" w:right="720"/>
        </w:sectPr>
      </w:pPr>
    </w:p>
    <w:p>
      <w:pPr>
        <w:pStyle w:val="ListParagraph"/>
        <w:numPr>
          <w:ilvl w:val="1"/>
          <w:numId w:val="7"/>
        </w:numPr>
        <w:tabs>
          <w:tab w:pos="926" w:val="left" w:leader="none"/>
          <w:tab w:pos="927" w:val="left" w:leader="none"/>
        </w:tabs>
        <w:spacing w:line="273" w:lineRule="auto" w:before="36" w:after="0"/>
        <w:ind w:left="926" w:right="0" w:hanging="698"/>
        <w:jc w:val="left"/>
        <w:rPr>
          <w:sz w:val="21"/>
        </w:rPr>
      </w:pPr>
      <w:r>
        <w:rPr>
          <w:spacing w:val="23"/>
          <w:sz w:val="21"/>
        </w:rPr>
        <w:t>合同效力中止</w:t>
      </w:r>
    </w:p>
    <w:p>
      <w:pPr>
        <w:pStyle w:val="BodyText"/>
        <w:spacing w:line="273" w:lineRule="auto"/>
        <w:ind w:left="173" w:right="211" w:firstLine="420"/>
      </w:pPr>
      <w:r>
        <w:rPr/>
        <w:br w:type="column"/>
      </w:r>
      <w:r>
        <w:rPr>
          <w:spacing w:val="-7"/>
        </w:rPr>
        <w:t>除另有约定外，您逾宽限期仍未交纳续期保险费的，本合同自宽限期满的次日零时</w:t>
      </w:r>
      <w:r>
        <w:rPr>
          <w:spacing w:val="-5"/>
        </w:rPr>
        <w:t>起效力中止。本合同效力中止期间发生保险事故的，本公司不承担保险责任。</w:t>
      </w:r>
    </w:p>
    <w:p>
      <w:pPr>
        <w:spacing w:after="0" w:line="273" w:lineRule="auto"/>
        <w:sectPr>
          <w:type w:val="continuous"/>
          <w:pgSz w:w="11910" w:h="16840"/>
          <w:pgMar w:top="1040" w:bottom="1180" w:left="940" w:right="720"/>
          <w:cols w:num="2" w:equalWidth="0">
            <w:col w:w="1878" w:space="40"/>
            <w:col w:w="8332"/>
          </w:cols>
        </w:sectPr>
      </w:pPr>
    </w:p>
    <w:p>
      <w:pPr>
        <w:pStyle w:val="BodyText"/>
        <w:spacing w:before="0"/>
        <w:rPr>
          <w:sz w:val="20"/>
        </w:rPr>
      </w:pPr>
    </w:p>
    <w:p>
      <w:pPr>
        <w:pStyle w:val="BodyText"/>
        <w:spacing w:before="6"/>
        <w:rPr>
          <w:sz w:val="25"/>
        </w:rPr>
      </w:pPr>
    </w:p>
    <w:p>
      <w:pPr>
        <w:spacing w:after="0"/>
        <w:rPr>
          <w:sz w:val="25"/>
        </w:rPr>
        <w:sectPr>
          <w:type w:val="continuous"/>
          <w:pgSz w:w="11910" w:h="16840"/>
          <w:pgMar w:top="1040" w:bottom="1180" w:left="940" w:right="720"/>
        </w:sectPr>
      </w:pPr>
    </w:p>
    <w:p>
      <w:pPr>
        <w:pStyle w:val="ListParagraph"/>
        <w:numPr>
          <w:ilvl w:val="1"/>
          <w:numId w:val="7"/>
        </w:numPr>
        <w:tabs>
          <w:tab w:pos="926" w:val="left" w:leader="none"/>
          <w:tab w:pos="927" w:val="left" w:leader="none"/>
        </w:tabs>
        <w:spacing w:line="273" w:lineRule="auto" w:before="36" w:after="0"/>
        <w:ind w:left="926" w:right="0" w:hanging="698"/>
        <w:jc w:val="left"/>
        <w:rPr>
          <w:sz w:val="21"/>
        </w:rPr>
      </w:pPr>
      <w:r>
        <w:rPr>
          <w:spacing w:val="23"/>
          <w:sz w:val="21"/>
        </w:rPr>
        <w:t>合同效力恢复</w:t>
      </w:r>
    </w:p>
    <w:p>
      <w:pPr>
        <w:pStyle w:val="BodyText"/>
        <w:spacing w:line="273" w:lineRule="auto"/>
        <w:ind w:left="173" w:right="211" w:firstLine="420"/>
      </w:pPr>
      <w:r>
        <w:rPr/>
        <w:br w:type="column"/>
      </w:r>
      <w:r>
        <w:rPr>
          <w:spacing w:val="-6"/>
        </w:rPr>
        <w:t>本合同效力中止后二年内，您可以申请恢复本合同效力。经本公司与您协商并达成</w:t>
      </w:r>
      <w:r>
        <w:rPr>
          <w:spacing w:val="-3"/>
        </w:rPr>
        <w:t>协议，自您补交保险费之日起，本合同效力恢复。</w:t>
      </w:r>
    </w:p>
    <w:p>
      <w:pPr>
        <w:pStyle w:val="BodyText"/>
        <w:spacing w:line="273" w:lineRule="auto" w:before="7"/>
        <w:ind w:left="173" w:right="167" w:firstLine="420"/>
      </w:pPr>
      <w:r>
        <w:rPr/>
        <w:t>自本合同效力中止之日起满二年双方未达成复效协议的，本公司有权解除本合同， 并退还宽限期开始前一日保险单的现金价值。</w:t>
      </w:r>
    </w:p>
    <w:p>
      <w:pPr>
        <w:spacing w:after="0" w:line="273" w:lineRule="auto"/>
        <w:sectPr>
          <w:type w:val="continuous"/>
          <w:pgSz w:w="11910" w:h="16840"/>
          <w:pgMar w:top="1040" w:bottom="1180" w:left="940" w:right="720"/>
          <w:cols w:num="2" w:equalWidth="0">
            <w:col w:w="1878" w:space="40"/>
            <w:col w:w="8332"/>
          </w:cols>
        </w:sectPr>
      </w:pPr>
    </w:p>
    <w:p>
      <w:pPr>
        <w:pStyle w:val="BodyText"/>
        <w:spacing w:before="8"/>
      </w:pPr>
    </w:p>
    <w:p>
      <w:pPr>
        <w:pStyle w:val="ListParagraph"/>
        <w:numPr>
          <w:ilvl w:val="1"/>
          <w:numId w:val="7"/>
        </w:numPr>
        <w:tabs>
          <w:tab w:pos="926" w:val="left" w:leader="none"/>
          <w:tab w:pos="927" w:val="left" w:leader="none"/>
          <w:tab w:pos="2510" w:val="left" w:leader="none"/>
        </w:tabs>
        <w:spacing w:line="273" w:lineRule="auto" w:before="36" w:after="0"/>
        <w:ind w:left="2090" w:right="210" w:hanging="1862"/>
        <w:jc w:val="left"/>
        <w:rPr>
          <w:sz w:val="21"/>
        </w:rPr>
      </w:pPr>
      <w:r>
        <w:rPr>
          <w:sz w:val="21"/>
        </w:rPr>
        <w:t>减额交清</w:t>
        <w:tab/>
        <w:tab/>
      </w:r>
      <w:r>
        <w:rPr>
          <w:spacing w:val="-1"/>
          <w:sz w:val="21"/>
        </w:rPr>
        <w:t>您到</w:t>
      </w:r>
      <w:r>
        <w:rPr>
          <w:spacing w:val="-3"/>
          <w:sz w:val="21"/>
        </w:rPr>
        <w:t>期</w:t>
      </w:r>
      <w:r>
        <w:rPr>
          <w:spacing w:val="-1"/>
          <w:sz w:val="21"/>
        </w:rPr>
        <w:t>未</w:t>
      </w:r>
      <w:r>
        <w:rPr>
          <w:spacing w:val="-3"/>
          <w:sz w:val="21"/>
        </w:rPr>
        <w:t>交</w:t>
      </w:r>
      <w:r>
        <w:rPr>
          <w:sz w:val="21"/>
        </w:rPr>
        <w:t>纳</w:t>
      </w:r>
      <w:r>
        <w:rPr>
          <w:spacing w:val="-3"/>
          <w:sz w:val="21"/>
        </w:rPr>
        <w:t>保</w:t>
      </w:r>
      <w:r>
        <w:rPr>
          <w:sz w:val="21"/>
        </w:rPr>
        <w:t>险</w:t>
      </w:r>
      <w:r>
        <w:rPr>
          <w:spacing w:val="-3"/>
          <w:sz w:val="21"/>
        </w:rPr>
        <w:t>费</w:t>
      </w:r>
      <w:r>
        <w:rPr>
          <w:sz w:val="21"/>
        </w:rPr>
        <w:t>且</w:t>
      </w:r>
      <w:r>
        <w:rPr>
          <w:spacing w:val="-3"/>
          <w:sz w:val="21"/>
        </w:rPr>
        <w:t>保</w:t>
      </w:r>
      <w:r>
        <w:rPr>
          <w:sz w:val="21"/>
        </w:rPr>
        <w:t>险单</w:t>
      </w:r>
      <w:r>
        <w:rPr>
          <w:spacing w:val="-3"/>
          <w:sz w:val="21"/>
        </w:rPr>
        <w:t>具</w:t>
      </w:r>
      <w:r>
        <w:rPr>
          <w:sz w:val="21"/>
        </w:rPr>
        <w:t>有</w:t>
      </w:r>
      <w:r>
        <w:rPr>
          <w:spacing w:val="-3"/>
          <w:sz w:val="21"/>
        </w:rPr>
        <w:t>现</w:t>
      </w:r>
      <w:r>
        <w:rPr>
          <w:sz w:val="21"/>
        </w:rPr>
        <w:t>金</w:t>
      </w:r>
      <w:r>
        <w:rPr>
          <w:spacing w:val="-3"/>
          <w:sz w:val="21"/>
        </w:rPr>
        <w:t>价</w:t>
      </w:r>
      <w:r>
        <w:rPr>
          <w:sz w:val="21"/>
        </w:rPr>
        <w:t>值</w:t>
      </w:r>
      <w:r>
        <w:rPr>
          <w:spacing w:val="-3"/>
          <w:sz w:val="21"/>
        </w:rPr>
        <w:t>的</w:t>
      </w:r>
      <w:r>
        <w:rPr>
          <w:sz w:val="21"/>
        </w:rPr>
        <w:t>情</w:t>
      </w:r>
      <w:r>
        <w:rPr>
          <w:spacing w:val="-3"/>
          <w:sz w:val="21"/>
        </w:rPr>
        <w:t>况</w:t>
      </w:r>
      <w:r>
        <w:rPr>
          <w:sz w:val="21"/>
        </w:rPr>
        <w:t>下，</w:t>
      </w:r>
      <w:r>
        <w:rPr>
          <w:spacing w:val="-3"/>
          <w:sz w:val="21"/>
        </w:rPr>
        <w:t>如</w:t>
      </w:r>
      <w:r>
        <w:rPr>
          <w:sz w:val="21"/>
        </w:rPr>
        <w:t>您</w:t>
      </w:r>
      <w:r>
        <w:rPr>
          <w:spacing w:val="-3"/>
          <w:sz w:val="21"/>
        </w:rPr>
        <w:t>在</w:t>
      </w:r>
      <w:r>
        <w:rPr>
          <w:sz w:val="21"/>
        </w:rPr>
        <w:t>宽</w:t>
      </w:r>
      <w:r>
        <w:rPr>
          <w:spacing w:val="-3"/>
          <w:sz w:val="21"/>
        </w:rPr>
        <w:t>限</w:t>
      </w:r>
      <w:r>
        <w:rPr>
          <w:sz w:val="21"/>
        </w:rPr>
        <w:t>期</w:t>
      </w:r>
      <w:r>
        <w:rPr>
          <w:spacing w:val="-3"/>
          <w:sz w:val="21"/>
        </w:rPr>
        <w:t>满</w:t>
      </w:r>
      <w:r>
        <w:rPr>
          <w:sz w:val="21"/>
        </w:rPr>
        <w:t>前</w:t>
      </w:r>
      <w:r>
        <w:rPr>
          <w:spacing w:val="-3"/>
          <w:sz w:val="21"/>
        </w:rPr>
        <w:t>书</w:t>
      </w:r>
      <w:r>
        <w:rPr>
          <w:sz w:val="21"/>
        </w:rPr>
        <w:t>面同 意</w:t>
      </w:r>
      <w:r>
        <w:rPr>
          <w:spacing w:val="-44"/>
          <w:sz w:val="21"/>
        </w:rPr>
        <w:t>，</w:t>
      </w:r>
      <w:r>
        <w:rPr>
          <w:spacing w:val="-3"/>
          <w:sz w:val="21"/>
        </w:rPr>
        <w:t>本</w:t>
      </w:r>
      <w:r>
        <w:rPr>
          <w:sz w:val="21"/>
        </w:rPr>
        <w:t>公</w:t>
      </w:r>
      <w:r>
        <w:rPr>
          <w:spacing w:val="-3"/>
          <w:sz w:val="21"/>
        </w:rPr>
        <w:t>司</w:t>
      </w:r>
      <w:r>
        <w:rPr>
          <w:sz w:val="21"/>
        </w:rPr>
        <w:t>将</w:t>
      </w:r>
      <w:r>
        <w:rPr>
          <w:spacing w:val="-3"/>
          <w:sz w:val="21"/>
        </w:rPr>
        <w:t>根</w:t>
      </w:r>
      <w:r>
        <w:rPr>
          <w:sz w:val="21"/>
        </w:rPr>
        <w:t>据</w:t>
      </w:r>
      <w:r>
        <w:rPr>
          <w:spacing w:val="-3"/>
          <w:sz w:val="21"/>
        </w:rPr>
        <w:t>宽</w:t>
      </w:r>
      <w:r>
        <w:rPr>
          <w:sz w:val="21"/>
        </w:rPr>
        <w:t>限</w:t>
      </w:r>
      <w:r>
        <w:rPr>
          <w:spacing w:val="-3"/>
          <w:sz w:val="21"/>
        </w:rPr>
        <w:t>期</w:t>
      </w:r>
      <w:r>
        <w:rPr>
          <w:sz w:val="21"/>
        </w:rPr>
        <w:t>开始</w:t>
      </w:r>
      <w:r>
        <w:rPr>
          <w:spacing w:val="-3"/>
          <w:sz w:val="21"/>
        </w:rPr>
        <w:t>前</w:t>
      </w:r>
      <w:r>
        <w:rPr>
          <w:sz w:val="21"/>
        </w:rPr>
        <w:t>一</w:t>
      </w:r>
      <w:r>
        <w:rPr>
          <w:spacing w:val="-3"/>
          <w:sz w:val="21"/>
        </w:rPr>
        <w:t>日</w:t>
      </w:r>
      <w:r>
        <w:rPr>
          <w:sz w:val="21"/>
        </w:rPr>
        <w:t>保</w:t>
      </w:r>
      <w:r>
        <w:rPr>
          <w:spacing w:val="-3"/>
          <w:sz w:val="21"/>
        </w:rPr>
        <w:t>险</w:t>
      </w:r>
      <w:r>
        <w:rPr>
          <w:sz w:val="21"/>
        </w:rPr>
        <w:t>单</w:t>
      </w:r>
      <w:r>
        <w:rPr>
          <w:spacing w:val="-3"/>
          <w:sz w:val="21"/>
        </w:rPr>
        <w:t>的</w:t>
      </w:r>
      <w:r>
        <w:rPr>
          <w:sz w:val="21"/>
        </w:rPr>
        <w:t>现</w:t>
      </w:r>
      <w:r>
        <w:rPr>
          <w:spacing w:val="-3"/>
          <w:sz w:val="21"/>
        </w:rPr>
        <w:t>金</w:t>
      </w:r>
      <w:r>
        <w:rPr>
          <w:sz w:val="21"/>
        </w:rPr>
        <w:t>价值</w:t>
      </w:r>
      <w:r>
        <w:rPr>
          <w:spacing w:val="-3"/>
          <w:sz w:val="21"/>
        </w:rPr>
        <w:t>扣</w:t>
      </w:r>
      <w:r>
        <w:rPr>
          <w:sz w:val="21"/>
        </w:rPr>
        <w:t>除</w:t>
      </w:r>
      <w:r>
        <w:rPr>
          <w:spacing w:val="-3"/>
          <w:sz w:val="21"/>
        </w:rPr>
        <w:t>各</w:t>
      </w:r>
      <w:r>
        <w:rPr>
          <w:sz w:val="21"/>
        </w:rPr>
        <w:t>项</w:t>
      </w:r>
      <w:r>
        <w:rPr>
          <w:spacing w:val="-3"/>
          <w:sz w:val="21"/>
        </w:rPr>
        <w:t>欠</w:t>
      </w:r>
      <w:r>
        <w:rPr>
          <w:sz w:val="21"/>
        </w:rPr>
        <w:t>款</w:t>
      </w:r>
      <w:r>
        <w:rPr>
          <w:spacing w:val="-3"/>
          <w:sz w:val="21"/>
        </w:rPr>
        <w:t>后</w:t>
      </w:r>
      <w:r>
        <w:rPr>
          <w:sz w:val="21"/>
        </w:rPr>
        <w:t>的</w:t>
      </w:r>
      <w:r>
        <w:rPr>
          <w:spacing w:val="-3"/>
          <w:sz w:val="21"/>
        </w:rPr>
        <w:t>余</w:t>
      </w:r>
      <w:r>
        <w:rPr>
          <w:sz w:val="21"/>
        </w:rPr>
        <w:t>额一</w:t>
      </w:r>
      <w:r>
        <w:rPr>
          <w:spacing w:val="-3"/>
          <w:sz w:val="21"/>
        </w:rPr>
        <w:t>次交</w:t>
      </w:r>
      <w:r>
        <w:rPr>
          <w:sz w:val="21"/>
        </w:rPr>
        <w:t>清</w:t>
      </w:r>
      <w:r>
        <w:rPr>
          <w:spacing w:val="-1"/>
          <w:sz w:val="21"/>
        </w:rPr>
        <w:t>保</w:t>
      </w:r>
      <w:r>
        <w:rPr>
          <w:sz w:val="21"/>
        </w:rPr>
        <w:t>险</w:t>
      </w:r>
      <w:r>
        <w:rPr>
          <w:spacing w:val="-3"/>
          <w:sz w:val="21"/>
        </w:rPr>
        <w:t>费</w:t>
      </w:r>
      <w:r>
        <w:rPr>
          <w:sz w:val="21"/>
        </w:rPr>
        <w:t>，</w:t>
      </w:r>
      <w:r>
        <w:rPr>
          <w:spacing w:val="-3"/>
          <w:sz w:val="21"/>
        </w:rPr>
        <w:t>保</w:t>
      </w:r>
      <w:r>
        <w:rPr>
          <w:sz w:val="21"/>
        </w:rPr>
        <w:t>险</w:t>
      </w:r>
      <w:r>
        <w:rPr>
          <w:spacing w:val="-3"/>
          <w:sz w:val="21"/>
        </w:rPr>
        <w:t>金</w:t>
      </w:r>
      <w:r>
        <w:rPr>
          <w:sz w:val="21"/>
        </w:rPr>
        <w:t>额</w:t>
      </w:r>
      <w:r>
        <w:rPr>
          <w:spacing w:val="-3"/>
          <w:sz w:val="21"/>
        </w:rPr>
        <w:t>相</w:t>
      </w:r>
      <w:r>
        <w:rPr>
          <w:sz w:val="21"/>
        </w:rPr>
        <w:t>应</w:t>
      </w:r>
      <w:r>
        <w:rPr>
          <w:spacing w:val="-3"/>
          <w:sz w:val="21"/>
        </w:rPr>
        <w:t>减</w:t>
      </w:r>
      <w:r>
        <w:rPr>
          <w:sz w:val="21"/>
        </w:rPr>
        <w:t>少，</w:t>
      </w:r>
      <w:r>
        <w:rPr>
          <w:spacing w:val="-3"/>
          <w:sz w:val="21"/>
        </w:rPr>
        <w:t>本</w:t>
      </w:r>
      <w:r>
        <w:rPr>
          <w:sz w:val="21"/>
        </w:rPr>
        <w:t>公</w:t>
      </w:r>
      <w:r>
        <w:rPr>
          <w:spacing w:val="-3"/>
          <w:sz w:val="21"/>
        </w:rPr>
        <w:t>司</w:t>
      </w:r>
      <w:r>
        <w:rPr>
          <w:sz w:val="21"/>
        </w:rPr>
        <w:t>按</w:t>
      </w:r>
      <w:r>
        <w:rPr>
          <w:spacing w:val="-3"/>
          <w:sz w:val="21"/>
        </w:rPr>
        <w:t>减</w:t>
      </w:r>
      <w:r>
        <w:rPr>
          <w:sz w:val="21"/>
        </w:rPr>
        <w:t>少</w:t>
      </w:r>
      <w:r>
        <w:rPr>
          <w:spacing w:val="-3"/>
          <w:sz w:val="21"/>
        </w:rPr>
        <w:t>后</w:t>
      </w:r>
      <w:r>
        <w:rPr>
          <w:sz w:val="21"/>
        </w:rPr>
        <w:t>的</w:t>
      </w:r>
      <w:r>
        <w:rPr>
          <w:spacing w:val="-3"/>
          <w:sz w:val="21"/>
        </w:rPr>
        <w:t>保</w:t>
      </w:r>
      <w:r>
        <w:rPr>
          <w:sz w:val="21"/>
        </w:rPr>
        <w:t>险金</w:t>
      </w:r>
      <w:r>
        <w:rPr>
          <w:spacing w:val="-3"/>
          <w:sz w:val="21"/>
        </w:rPr>
        <w:t>额</w:t>
      </w:r>
      <w:r>
        <w:rPr>
          <w:sz w:val="21"/>
        </w:rPr>
        <w:t>继</w:t>
      </w:r>
      <w:r>
        <w:rPr>
          <w:spacing w:val="-3"/>
          <w:sz w:val="21"/>
        </w:rPr>
        <w:t>续</w:t>
      </w:r>
      <w:r>
        <w:rPr>
          <w:sz w:val="21"/>
        </w:rPr>
        <w:t>承</w:t>
      </w:r>
      <w:r>
        <w:rPr>
          <w:spacing w:val="-3"/>
          <w:sz w:val="21"/>
        </w:rPr>
        <w:t>担</w:t>
      </w:r>
      <w:r>
        <w:rPr>
          <w:sz w:val="21"/>
        </w:rPr>
        <w:t>保</w:t>
      </w:r>
      <w:r>
        <w:rPr>
          <w:spacing w:val="-3"/>
          <w:sz w:val="21"/>
        </w:rPr>
        <w:t>险</w:t>
      </w:r>
      <w:r>
        <w:rPr>
          <w:sz w:val="21"/>
        </w:rPr>
        <w:t>责</w:t>
      </w:r>
      <w:r>
        <w:rPr>
          <w:spacing w:val="-3"/>
          <w:sz w:val="21"/>
        </w:rPr>
        <w:t>任</w:t>
      </w:r>
      <w:r>
        <w:rPr>
          <w:sz w:val="21"/>
        </w:rPr>
        <w:t>。</w:t>
      </w:r>
    </w:p>
    <w:p>
      <w:pPr>
        <w:pStyle w:val="BodyText"/>
        <w:spacing w:before="5"/>
        <w:rPr>
          <w:sz w:val="24"/>
        </w:rPr>
      </w:pPr>
    </w:p>
    <w:p>
      <w:pPr>
        <w:pStyle w:val="ListParagraph"/>
        <w:numPr>
          <w:ilvl w:val="1"/>
          <w:numId w:val="7"/>
        </w:numPr>
        <w:tabs>
          <w:tab w:pos="926" w:val="left" w:leader="none"/>
          <w:tab w:pos="927" w:val="left" w:leader="none"/>
          <w:tab w:pos="2510" w:val="left" w:leader="none"/>
        </w:tabs>
        <w:spacing w:line="273" w:lineRule="auto" w:before="0" w:after="0"/>
        <w:ind w:left="2090" w:right="167" w:hanging="1862"/>
        <w:jc w:val="left"/>
        <w:rPr>
          <w:sz w:val="21"/>
        </w:rPr>
      </w:pPr>
      <w:r>
        <w:rPr>
          <w:sz w:val="21"/>
        </w:rPr>
        <w:t>减保</w:t>
        <w:tab/>
        <w:tab/>
      </w:r>
      <w:r>
        <w:rPr>
          <w:spacing w:val="-1"/>
          <w:sz w:val="21"/>
        </w:rPr>
        <w:t>在</w:t>
      </w:r>
      <w:r>
        <w:rPr>
          <w:sz w:val="21"/>
        </w:rPr>
        <w:t>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您</w:t>
      </w:r>
      <w:r>
        <w:rPr>
          <w:spacing w:val="-3"/>
          <w:sz w:val="21"/>
        </w:rPr>
        <w:t>可</w:t>
      </w:r>
      <w:r>
        <w:rPr>
          <w:sz w:val="21"/>
        </w:rPr>
        <w:t>以申</w:t>
      </w:r>
      <w:r>
        <w:rPr>
          <w:spacing w:val="-3"/>
          <w:sz w:val="21"/>
        </w:rPr>
        <w:t>请</w:t>
      </w:r>
      <w:r>
        <w:rPr>
          <w:sz w:val="21"/>
        </w:rPr>
        <w:t>减</w:t>
      </w:r>
      <w:r>
        <w:rPr>
          <w:spacing w:val="-3"/>
          <w:sz w:val="21"/>
        </w:rPr>
        <w:t>保</w:t>
      </w:r>
      <w:r>
        <w:rPr>
          <w:sz w:val="21"/>
        </w:rPr>
        <w:t>，</w:t>
      </w:r>
      <w:r>
        <w:rPr>
          <w:spacing w:val="-3"/>
          <w:sz w:val="21"/>
        </w:rPr>
        <w:t>并</w:t>
      </w:r>
      <w:r>
        <w:rPr>
          <w:sz w:val="21"/>
        </w:rPr>
        <w:t>领</w:t>
      </w:r>
      <w:r>
        <w:rPr>
          <w:spacing w:val="-3"/>
          <w:sz w:val="21"/>
        </w:rPr>
        <w:t>取</w:t>
      </w:r>
      <w:r>
        <w:rPr>
          <w:sz w:val="21"/>
        </w:rPr>
        <w:t>减</w:t>
      </w:r>
      <w:r>
        <w:rPr>
          <w:spacing w:val="-3"/>
          <w:sz w:val="21"/>
        </w:rPr>
        <w:t>少</w:t>
      </w:r>
      <w:r>
        <w:rPr>
          <w:sz w:val="21"/>
        </w:rPr>
        <w:t>部分</w:t>
      </w:r>
      <w:r>
        <w:rPr>
          <w:spacing w:val="-3"/>
          <w:sz w:val="21"/>
        </w:rPr>
        <w:t>对</w:t>
      </w:r>
      <w:r>
        <w:rPr>
          <w:sz w:val="21"/>
        </w:rPr>
        <w:t>应</w:t>
      </w:r>
      <w:r>
        <w:rPr>
          <w:spacing w:val="-3"/>
          <w:sz w:val="21"/>
        </w:rPr>
        <w:t>的</w:t>
      </w:r>
      <w:r>
        <w:rPr>
          <w:sz w:val="21"/>
        </w:rPr>
        <w:t>现</w:t>
      </w:r>
      <w:r>
        <w:rPr>
          <w:spacing w:val="-3"/>
          <w:sz w:val="21"/>
        </w:rPr>
        <w:t>金</w:t>
      </w:r>
      <w:r>
        <w:rPr>
          <w:sz w:val="21"/>
        </w:rPr>
        <w:t>价</w:t>
      </w:r>
      <w:r>
        <w:rPr>
          <w:spacing w:val="-3"/>
          <w:sz w:val="21"/>
        </w:rPr>
        <w:t>值</w:t>
      </w:r>
      <w:r>
        <w:rPr>
          <w:sz w:val="21"/>
        </w:rPr>
        <w:t>。</w:t>
      </w:r>
      <w:r>
        <w:rPr>
          <w:spacing w:val="-3"/>
          <w:sz w:val="21"/>
        </w:rPr>
        <w:t>减</w:t>
      </w:r>
      <w:r>
        <w:rPr>
          <w:sz w:val="21"/>
        </w:rPr>
        <w:t>保</w:t>
      </w:r>
      <w:r>
        <w:rPr>
          <w:spacing w:val="-3"/>
          <w:sz w:val="21"/>
        </w:rPr>
        <w:t>后</w:t>
      </w:r>
      <w:r>
        <w:rPr>
          <w:sz w:val="21"/>
        </w:rPr>
        <w:t>， </w:t>
      </w:r>
      <w:r>
        <w:rPr>
          <w:spacing w:val="-1"/>
          <w:sz w:val="21"/>
        </w:rPr>
        <w:t>保</w:t>
      </w:r>
      <w:r>
        <w:rPr>
          <w:sz w:val="21"/>
        </w:rPr>
        <w:t>险</w:t>
      </w:r>
      <w:r>
        <w:rPr>
          <w:spacing w:val="-3"/>
          <w:sz w:val="21"/>
        </w:rPr>
        <w:t>金</w:t>
      </w:r>
      <w:r>
        <w:rPr>
          <w:sz w:val="21"/>
        </w:rPr>
        <w:t>额</w:t>
      </w:r>
      <w:r>
        <w:rPr>
          <w:spacing w:val="-3"/>
          <w:sz w:val="21"/>
        </w:rPr>
        <w:t>不</w:t>
      </w:r>
      <w:r>
        <w:rPr>
          <w:sz w:val="21"/>
        </w:rPr>
        <w:t>得</w:t>
      </w:r>
      <w:r>
        <w:rPr>
          <w:spacing w:val="-3"/>
          <w:sz w:val="21"/>
        </w:rPr>
        <w:t>低</w:t>
      </w:r>
      <w:r>
        <w:rPr>
          <w:sz w:val="21"/>
        </w:rPr>
        <w:t>于</w:t>
      </w:r>
      <w:r>
        <w:rPr>
          <w:spacing w:val="-3"/>
          <w:sz w:val="21"/>
        </w:rPr>
        <w:t>一</w:t>
      </w:r>
      <w:r>
        <w:rPr>
          <w:sz w:val="21"/>
        </w:rPr>
        <w:t>万</w:t>
      </w:r>
      <w:r>
        <w:rPr>
          <w:spacing w:val="-3"/>
          <w:sz w:val="21"/>
        </w:rPr>
        <w:t>元</w:t>
      </w:r>
      <w:r>
        <w:rPr>
          <w:sz w:val="21"/>
        </w:rPr>
        <w:t>。减</w:t>
      </w:r>
      <w:r>
        <w:rPr>
          <w:spacing w:val="-3"/>
          <w:sz w:val="21"/>
        </w:rPr>
        <w:t>保</w:t>
      </w:r>
      <w:r>
        <w:rPr>
          <w:sz w:val="21"/>
        </w:rPr>
        <w:t>后</w:t>
      </w:r>
      <w:r>
        <w:rPr>
          <w:spacing w:val="-3"/>
          <w:sz w:val="21"/>
        </w:rPr>
        <w:t>的</w:t>
      </w:r>
      <w:r>
        <w:rPr>
          <w:sz w:val="21"/>
        </w:rPr>
        <w:t>保</w:t>
      </w:r>
      <w:r>
        <w:rPr>
          <w:spacing w:val="-3"/>
          <w:sz w:val="21"/>
        </w:rPr>
        <w:t>险</w:t>
      </w:r>
      <w:r>
        <w:rPr>
          <w:sz w:val="21"/>
        </w:rPr>
        <w:t>费</w:t>
      </w:r>
      <w:r>
        <w:rPr>
          <w:spacing w:val="-3"/>
          <w:sz w:val="21"/>
        </w:rPr>
        <w:t>按</w:t>
      </w:r>
      <w:r>
        <w:rPr>
          <w:sz w:val="21"/>
        </w:rPr>
        <w:t>下</w:t>
      </w:r>
      <w:r>
        <w:rPr>
          <w:spacing w:val="-3"/>
          <w:sz w:val="21"/>
        </w:rPr>
        <w:t>列</w:t>
      </w:r>
      <w:r>
        <w:rPr>
          <w:sz w:val="21"/>
        </w:rPr>
        <w:t>公式</w:t>
      </w:r>
      <w:r>
        <w:rPr>
          <w:spacing w:val="-3"/>
          <w:sz w:val="21"/>
        </w:rPr>
        <w:t>计</w:t>
      </w:r>
      <w:r>
        <w:rPr>
          <w:sz w:val="21"/>
        </w:rPr>
        <w:t>算：</w:t>
      </w:r>
    </w:p>
    <w:p>
      <w:pPr>
        <w:pStyle w:val="BodyText"/>
        <w:spacing w:line="273" w:lineRule="auto" w:before="7"/>
        <w:ind w:left="2510" w:right="2798"/>
      </w:pPr>
      <w:r>
        <w:rPr/>
        <w:t>减保后的保险费=本次减保前的保险费×(1-减保比例) 本公司按减保后的保险金额承担保险责任。</w:t>
      </w:r>
    </w:p>
    <w:p>
      <w:pPr>
        <w:pStyle w:val="BodyText"/>
        <w:spacing w:before="8"/>
      </w:pPr>
    </w:p>
    <w:p>
      <w:pPr>
        <w:spacing w:after="0"/>
        <w:sectPr>
          <w:type w:val="continuous"/>
          <w:pgSz w:w="11910" w:h="16840"/>
          <w:pgMar w:top="1040" w:bottom="1180" w:left="940" w:right="720"/>
        </w:sectPr>
      </w:pPr>
    </w:p>
    <w:p>
      <w:pPr>
        <w:pStyle w:val="ListParagraph"/>
        <w:numPr>
          <w:ilvl w:val="1"/>
          <w:numId w:val="7"/>
        </w:numPr>
        <w:tabs>
          <w:tab w:pos="926" w:val="left" w:leader="none"/>
          <w:tab w:pos="927" w:val="left" w:leader="none"/>
        </w:tabs>
        <w:spacing w:line="273" w:lineRule="auto" w:before="36" w:after="0"/>
        <w:ind w:left="926" w:right="0" w:hanging="698"/>
        <w:jc w:val="left"/>
        <w:rPr>
          <w:sz w:val="21"/>
        </w:rPr>
      </w:pPr>
      <w:r>
        <w:rPr>
          <w:spacing w:val="23"/>
          <w:sz w:val="21"/>
        </w:rPr>
        <w:t>养老年金转换</w:t>
      </w:r>
    </w:p>
    <w:p>
      <w:pPr>
        <w:pStyle w:val="BodyText"/>
        <w:spacing w:line="273" w:lineRule="auto"/>
        <w:ind w:left="173" w:right="211" w:firstLine="420"/>
        <w:jc w:val="both"/>
      </w:pPr>
      <w:r>
        <w:rPr/>
        <w:br w:type="column"/>
      </w:r>
      <w:r>
        <w:rPr>
          <w:spacing w:val="-5"/>
        </w:rPr>
        <w:t>在本合同有效期内，经被保险人书面同意，您可于被保险人年满 </w:t>
      </w:r>
      <w:r>
        <w:rPr/>
        <w:t>66</w:t>
      </w:r>
      <w:r>
        <w:rPr>
          <w:spacing w:val="-9"/>
        </w:rPr>
        <w:t> 周岁起的任一</w:t>
      </w:r>
      <w:r>
        <w:rPr>
          <w:spacing w:val="-7"/>
        </w:rPr>
        <w:t>保单生效对应日将保险单的现金价值的部分或全部转换为养老年金，养老年金转换应符</w:t>
      </w:r>
      <w:r>
        <w:rPr>
          <w:spacing w:val="-8"/>
        </w:rPr>
        <w:t>合当时本公司提供的领取方式及标准，对养老年金转换的部分本公司不再承担本保险的</w:t>
      </w:r>
      <w:r>
        <w:rPr>
          <w:spacing w:val="-2"/>
        </w:rPr>
        <w:t>保险责任。</w:t>
      </w:r>
    </w:p>
    <w:p>
      <w:pPr>
        <w:spacing w:after="0" w:line="273" w:lineRule="auto"/>
        <w:jc w:val="both"/>
        <w:sectPr>
          <w:type w:val="continuous"/>
          <w:pgSz w:w="11910" w:h="16840"/>
          <w:pgMar w:top="1040" w:bottom="1180" w:left="940" w:right="720"/>
          <w:cols w:num="2" w:equalWidth="0">
            <w:col w:w="1878" w:space="40"/>
            <w:col w:w="8332"/>
          </w:cols>
        </w:sectPr>
      </w:pPr>
    </w:p>
    <w:p>
      <w:pPr>
        <w:pStyle w:val="BodyText"/>
        <w:spacing w:before="8"/>
      </w:pPr>
    </w:p>
    <w:p>
      <w:pPr>
        <w:pStyle w:val="ListParagraph"/>
        <w:numPr>
          <w:ilvl w:val="1"/>
          <w:numId w:val="7"/>
        </w:numPr>
        <w:tabs>
          <w:tab w:pos="927" w:val="left" w:leader="none"/>
        </w:tabs>
        <w:spacing w:line="273" w:lineRule="auto" w:before="36" w:after="0"/>
        <w:ind w:left="2090" w:right="211" w:hanging="1862"/>
        <w:jc w:val="both"/>
        <w:rPr>
          <w:sz w:val="21"/>
        </w:rPr>
      </w:pPr>
      <w:r>
        <w:rPr>
          <w:spacing w:val="-5"/>
          <w:sz w:val="21"/>
        </w:rPr>
        <w:t>保单贷款      本合同已交足二年以上保险费且生效二年后，经被保险人书面同意，您可凭保险单向本公司申请保单贷款。经本公司同意，贷款金额以贷款时“现金价值净额”的 </w:t>
      </w:r>
      <w:r>
        <w:rPr>
          <w:sz w:val="21"/>
        </w:rPr>
        <w:t>70%为</w:t>
      </w:r>
      <w:r>
        <w:rPr>
          <w:spacing w:val="-7"/>
          <w:sz w:val="21"/>
        </w:rPr>
        <w:t>限，每次贷款期限不得超过六个月。贷款利息在贷款到期时应与本金一并归还，逾期不</w:t>
      </w:r>
      <w:r>
        <w:rPr>
          <w:spacing w:val="-5"/>
          <w:sz w:val="21"/>
        </w:rPr>
        <w:t>还者，贷款本息与其他各项欠款达到保险单的现金价值全数时，本合同终止。</w:t>
      </w:r>
    </w:p>
    <w:p>
      <w:pPr>
        <w:pStyle w:val="BodyText"/>
        <w:spacing w:line="273" w:lineRule="auto" w:before="7"/>
        <w:ind w:left="2090" w:right="376" w:firstLine="420"/>
      </w:pPr>
      <w:r>
        <w:rPr/>
        <w:t>贷款利息根据贷款时中国人民银行颁布的五年期人民币贷款基准利率按年复利计算。逾期还款者，逾期期间的利率按上述办法再上浮一个百分点执行。</w:t>
      </w:r>
    </w:p>
    <w:p>
      <w:pPr>
        <w:pStyle w:val="BodyText"/>
        <w:spacing w:before="7"/>
        <w:ind w:left="2510"/>
      </w:pPr>
      <w:r>
        <w:rPr/>
        <w:t>上述所称“现金价值净额”指保险单的现金价值扣除其他欠款后的余额。</w:t>
      </w:r>
    </w:p>
    <w:p>
      <w:pPr>
        <w:spacing w:after="0"/>
        <w:sectPr>
          <w:type w:val="continuous"/>
          <w:pgSz w:w="11910" w:h="16840"/>
          <w:pgMar w:top="1040" w:bottom="1180" w:left="940" w:right="720"/>
        </w:sectPr>
      </w:pPr>
    </w:p>
    <w:p>
      <w:pPr>
        <w:pStyle w:val="BodyText"/>
        <w:spacing w:before="0"/>
        <w:rPr>
          <w:sz w:val="22"/>
        </w:rPr>
      </w:pPr>
    </w:p>
    <w:p>
      <w:pPr>
        <w:pStyle w:val="Heading1"/>
        <w:numPr>
          <w:ilvl w:val="0"/>
          <w:numId w:val="8"/>
        </w:numPr>
        <w:tabs>
          <w:tab w:pos="926" w:val="left" w:leader="none"/>
          <w:tab w:pos="927" w:val="left" w:leader="none"/>
        </w:tabs>
        <w:spacing w:line="240" w:lineRule="auto" w:before="91" w:after="0"/>
        <w:ind w:left="926" w:right="0" w:hanging="698"/>
        <w:jc w:val="left"/>
      </w:pPr>
      <w:r>
        <w:rPr/>
        <w:pict>
          <v:group style="position:absolute;margin-left:52.898258pt;margin-top:31.781891pt;width:500.9pt;height:1pt;mso-position-horizontal-relative:page;mso-position-vertical-relative:paragraph;z-index:1168;mso-wrap-distance-left:0;mso-wrap-distance-right:0" coordorigin="1058,636" coordsize="10018,20">
            <v:line style="position:absolute" from="1058,645" to="1756,645" stroked="true" strokeweight=".96pt" strokecolor="#000000">
              <v:stroke dashstyle="solid"/>
            </v:line>
            <v:rect style="position:absolute;left:1756;top:635;width:20;height:20" filled="true" fillcolor="#000000" stroked="false">
              <v:fill type="solid"/>
            </v:rect>
            <v:line style="position:absolute" from="1776,645" to="2923,645" stroked="true" strokeweight=".96pt" strokecolor="#000000">
              <v:stroke dashstyle="solid"/>
            </v:line>
            <v:rect style="position:absolute;left:2922;top:635;width:20;height:20" filled="true" fillcolor="#000000" stroked="false">
              <v:fill type="solid"/>
            </v:rect>
            <v:line style="position:absolute" from="2942,645" to="11076,645" stroked="true" strokeweight=".96pt" strokecolor="#000000">
              <v:stroke dashstyle="solid"/>
            </v:line>
            <w10:wrap type="topAndBottom"/>
          </v:group>
        </w:pict>
      </w:r>
      <w:r>
        <w:rPr/>
        <w:t>如何申请领取保险金</w:t>
      </w:r>
    </w:p>
    <w:p>
      <w:pPr>
        <w:pStyle w:val="BodyText"/>
        <w:spacing w:before="11"/>
        <w:rPr>
          <w:sz w:val="17"/>
        </w:rPr>
      </w:pPr>
    </w:p>
    <w:p>
      <w:pPr>
        <w:spacing w:after="0"/>
        <w:rPr>
          <w:sz w:val="17"/>
        </w:rPr>
        <w:sectPr>
          <w:pgSz w:w="11910" w:h="16840"/>
          <w:pgMar w:header="879" w:footer="995" w:top="1120" w:bottom="1180" w:left="940" w:right="720"/>
        </w:sectPr>
      </w:pPr>
    </w:p>
    <w:p>
      <w:pPr>
        <w:pStyle w:val="ListParagraph"/>
        <w:numPr>
          <w:ilvl w:val="1"/>
          <w:numId w:val="9"/>
        </w:numPr>
        <w:tabs>
          <w:tab w:pos="927" w:val="left" w:leader="none"/>
        </w:tabs>
        <w:spacing w:line="273" w:lineRule="auto" w:before="36" w:after="0"/>
        <w:ind w:left="926" w:right="0" w:hanging="698"/>
        <w:jc w:val="both"/>
        <w:rPr>
          <w:sz w:val="21"/>
        </w:rPr>
      </w:pPr>
      <w:r>
        <w:rPr>
          <w:spacing w:val="23"/>
          <w:sz w:val="21"/>
        </w:rPr>
        <w:t>保险金受益人的指定和变更</w:t>
      </w:r>
    </w:p>
    <w:p>
      <w:pPr>
        <w:pStyle w:val="BodyText"/>
        <w:ind w:left="593"/>
      </w:pPr>
      <w:r>
        <w:rPr/>
        <w:br w:type="column"/>
      </w:r>
      <w:r>
        <w:rPr/>
        <w:t>重大疾病保险金的受益人为被保险人本人。</w:t>
      </w:r>
    </w:p>
    <w:p>
      <w:pPr>
        <w:pStyle w:val="BodyText"/>
        <w:spacing w:line="273" w:lineRule="auto"/>
        <w:ind w:left="173" w:right="211" w:firstLine="420"/>
        <w:jc w:val="both"/>
      </w:pPr>
      <w:r>
        <w:rPr>
          <w:spacing w:val="-5"/>
        </w:rPr>
        <w:t>您或被保险人可指定一人或数人为身故保险金受益人，受益人为数人时，应确定受</w:t>
      </w:r>
      <w:r>
        <w:rPr>
          <w:spacing w:val="-8"/>
        </w:rPr>
        <w:t>益顺序和受益份额，未确定受益份额的，各受益人按相等份额享有受益权。被保险人为</w:t>
      </w:r>
      <w:r>
        <w:rPr>
          <w:spacing w:val="-3"/>
        </w:rPr>
        <w:t>无民事行为能力人或限制民事行为能力人的，可以由其监护人指定受益人。</w:t>
      </w:r>
    </w:p>
    <w:p>
      <w:pPr>
        <w:pStyle w:val="BodyText"/>
        <w:spacing w:line="273" w:lineRule="auto" w:before="7"/>
        <w:ind w:left="173" w:right="165" w:firstLine="420"/>
      </w:pPr>
      <w:r>
        <w:rPr/>
        <w:t>您或被保险人可以变更身故保险金受益人，但须书面通知本公司，由本公司在保险单或其他保险凭证上批注或附贴批单。</w:t>
      </w:r>
    </w:p>
    <w:p>
      <w:pPr>
        <w:pStyle w:val="BodyText"/>
        <w:spacing w:line="273" w:lineRule="auto" w:before="7"/>
        <w:ind w:left="173" w:right="211" w:firstLine="420"/>
      </w:pPr>
      <w:r>
        <w:rPr>
          <w:spacing w:val="-6"/>
        </w:rPr>
        <w:t>您在指定和变更身故保险金受益人时，须经被保险人书面同意。为与您有劳动关系</w:t>
      </w:r>
      <w:r>
        <w:rPr>
          <w:spacing w:val="-3"/>
        </w:rPr>
        <w:t>的劳动者投保，不得指定被保险人及其近亲属以外的人为受益人。</w:t>
      </w:r>
    </w:p>
    <w:p>
      <w:pPr>
        <w:pStyle w:val="BodyText"/>
        <w:spacing w:line="273" w:lineRule="auto" w:before="7"/>
        <w:ind w:left="173" w:right="211" w:firstLine="420"/>
      </w:pPr>
      <w:r>
        <w:rPr>
          <w:spacing w:val="-7"/>
        </w:rPr>
        <w:t>被保险人身故后，有下列情形之一的，身故保险金作为被保险人的遗产，由本公司</w:t>
      </w:r>
      <w:r>
        <w:rPr>
          <w:spacing w:val="-3"/>
        </w:rPr>
        <w:t>依照《中华人民共和国继承法》的规定履行给付保险金的义务：</w:t>
      </w:r>
    </w:p>
    <w:p>
      <w:pPr>
        <w:pStyle w:val="BodyText"/>
        <w:spacing w:before="7"/>
        <w:ind w:left="593"/>
      </w:pPr>
      <w:r>
        <w:rPr/>
        <w:t>1.没有指定受益人或受益人指定不明无法确定的；</w:t>
      </w:r>
    </w:p>
    <w:p>
      <w:pPr>
        <w:pStyle w:val="BodyText"/>
        <w:ind w:left="593"/>
      </w:pPr>
      <w:r>
        <w:rPr/>
        <w:t>2.受益人先于被保险人身故，没有其他受益人的；</w:t>
      </w:r>
    </w:p>
    <w:p>
      <w:pPr>
        <w:pStyle w:val="BodyText"/>
        <w:ind w:left="593"/>
      </w:pPr>
      <w:r>
        <w:rPr/>
        <w:t>3.受益人依法丧失受益权或放弃受益权，没有其他受益人的。</w:t>
      </w:r>
    </w:p>
    <w:p>
      <w:pPr>
        <w:pStyle w:val="BodyText"/>
        <w:spacing w:line="273" w:lineRule="auto"/>
        <w:ind w:left="173" w:right="211" w:firstLine="420"/>
      </w:pPr>
      <w:r>
        <w:rPr>
          <w:spacing w:val="-6"/>
        </w:rPr>
        <w:t>被保险人与受益人在同一事件中身故，无法确定两者身故先后顺序的，推定受益人</w:t>
      </w:r>
      <w:r>
        <w:rPr>
          <w:spacing w:val="-3"/>
        </w:rPr>
        <w:t>先于被保险人身故。</w:t>
      </w:r>
    </w:p>
    <w:p>
      <w:pPr>
        <w:pStyle w:val="BodyText"/>
        <w:spacing w:line="273" w:lineRule="auto" w:before="7"/>
        <w:ind w:left="173" w:right="211" w:firstLine="420"/>
      </w:pPr>
      <w:r>
        <w:rPr>
          <w:spacing w:val="-7"/>
        </w:rPr>
        <w:t>受益人故意造成被保险人身故、伤残、疾病的，或故意杀害被保险人未遂的，该受</w:t>
      </w:r>
      <w:r>
        <w:rPr>
          <w:spacing w:val="-5"/>
        </w:rPr>
        <w:t>益人丧失受益权。</w:t>
      </w:r>
    </w:p>
    <w:p>
      <w:pPr>
        <w:spacing w:after="0" w:line="273" w:lineRule="auto"/>
        <w:sectPr>
          <w:type w:val="continuous"/>
          <w:pgSz w:w="11910" w:h="16840"/>
          <w:pgMar w:top="1040" w:bottom="1180" w:left="940" w:right="720"/>
          <w:cols w:num="2" w:equalWidth="0">
            <w:col w:w="1878" w:space="40"/>
            <w:col w:w="8332"/>
          </w:cols>
        </w:sectPr>
      </w:pPr>
    </w:p>
    <w:p>
      <w:pPr>
        <w:pStyle w:val="BodyText"/>
        <w:spacing w:before="8"/>
      </w:pPr>
    </w:p>
    <w:p>
      <w:pPr>
        <w:spacing w:after="0"/>
        <w:sectPr>
          <w:type w:val="continuous"/>
          <w:pgSz w:w="11910" w:h="16840"/>
          <w:pgMar w:top="1040" w:bottom="1180" w:left="940" w:right="720"/>
        </w:sectPr>
      </w:pPr>
    </w:p>
    <w:p>
      <w:pPr>
        <w:pStyle w:val="ListParagraph"/>
        <w:numPr>
          <w:ilvl w:val="1"/>
          <w:numId w:val="9"/>
        </w:numPr>
        <w:tabs>
          <w:tab w:pos="926" w:val="left" w:leader="none"/>
          <w:tab w:pos="927" w:val="left" w:leader="none"/>
        </w:tabs>
        <w:spacing w:line="273" w:lineRule="auto" w:before="37" w:after="0"/>
        <w:ind w:left="926" w:right="0" w:hanging="698"/>
        <w:jc w:val="left"/>
        <w:rPr>
          <w:sz w:val="21"/>
        </w:rPr>
      </w:pPr>
      <w:r>
        <w:rPr>
          <w:spacing w:val="23"/>
          <w:sz w:val="21"/>
        </w:rPr>
        <w:t>保险事故通知</w:t>
      </w:r>
    </w:p>
    <w:p>
      <w:pPr>
        <w:pStyle w:val="BodyText"/>
        <w:spacing w:before="37"/>
        <w:ind w:left="593"/>
      </w:pPr>
      <w:r>
        <w:rPr/>
        <w:br w:type="column"/>
      </w:r>
      <w:r>
        <w:rPr/>
        <w:t>您、被保险人或受益人应在知道保险事故发生之日起 10 日内通知本公司。</w:t>
      </w:r>
    </w:p>
    <w:p>
      <w:pPr>
        <w:pStyle w:val="BodyText"/>
        <w:spacing w:line="273" w:lineRule="auto" w:before="37"/>
        <w:ind w:left="173" w:right="211" w:firstLine="420"/>
        <w:jc w:val="both"/>
      </w:pPr>
      <w:r>
        <w:rPr>
          <w:spacing w:val="-6"/>
        </w:rPr>
        <w:t>如您、被保险人或受益人故意或因重大过失未及时通知本公司，致使保险事故的性</w:t>
      </w:r>
      <w:r>
        <w:rPr>
          <w:spacing w:val="-9"/>
        </w:rPr>
        <w:t>质、原因、损失程度等难以确定的，本公司对无法确定的部分，不承担给付保险金的责</w:t>
      </w:r>
      <w:r>
        <w:rPr>
          <w:spacing w:val="-8"/>
        </w:rPr>
        <w:t>任，但本公司通过其他途径已经及时知道或应当及时知道保险事故发生，或虽未及时通</w:t>
      </w:r>
      <w:r>
        <w:rPr>
          <w:spacing w:val="-3"/>
        </w:rPr>
        <w:t>知但不影响本公司确定保险事故的性质、原因、损失程度的除外。</w:t>
      </w:r>
    </w:p>
    <w:p>
      <w:pPr>
        <w:spacing w:after="0" w:line="273" w:lineRule="auto"/>
        <w:jc w:val="both"/>
        <w:sectPr>
          <w:type w:val="continuous"/>
          <w:pgSz w:w="11910" w:h="16840"/>
          <w:pgMar w:top="1040" w:bottom="1180" w:left="940" w:right="720"/>
          <w:cols w:num="2" w:equalWidth="0">
            <w:col w:w="1878" w:space="40"/>
            <w:col w:w="8332"/>
          </w:cols>
        </w:sectPr>
      </w:pPr>
    </w:p>
    <w:p>
      <w:pPr>
        <w:pStyle w:val="BodyText"/>
        <w:spacing w:before="8"/>
      </w:pPr>
    </w:p>
    <w:p>
      <w:pPr>
        <w:spacing w:after="0"/>
        <w:sectPr>
          <w:type w:val="continuous"/>
          <w:pgSz w:w="11910" w:h="16840"/>
          <w:pgMar w:top="1040" w:bottom="1180" w:left="940" w:right="720"/>
        </w:sectPr>
      </w:pPr>
    </w:p>
    <w:p>
      <w:pPr>
        <w:pStyle w:val="ListParagraph"/>
        <w:numPr>
          <w:ilvl w:val="1"/>
          <w:numId w:val="9"/>
        </w:numPr>
        <w:tabs>
          <w:tab w:pos="926" w:val="left" w:leader="none"/>
          <w:tab w:pos="927" w:val="left" w:leader="none"/>
        </w:tabs>
        <w:spacing w:line="273" w:lineRule="auto" w:before="36" w:after="0"/>
        <w:ind w:left="926" w:right="0" w:hanging="698"/>
        <w:jc w:val="left"/>
        <w:rPr>
          <w:sz w:val="21"/>
        </w:rPr>
      </w:pPr>
      <w:r>
        <w:rPr>
          <w:spacing w:val="23"/>
          <w:sz w:val="21"/>
        </w:rPr>
        <w:t>保险金的申请</w:t>
      </w:r>
    </w:p>
    <w:p>
      <w:pPr>
        <w:pStyle w:val="BodyText"/>
        <w:spacing w:line="273" w:lineRule="auto"/>
        <w:ind w:left="173" w:right="211" w:firstLine="420"/>
      </w:pPr>
      <w:r>
        <w:rPr/>
        <w:br w:type="column"/>
      </w:r>
      <w:r>
        <w:rPr/>
        <w:t>1.</w:t>
      </w:r>
      <w:r>
        <w:rPr>
          <w:spacing w:val="-6"/>
        </w:rPr>
        <w:t>申请重大疾病保险金时，由被保险人作为申请人填写保险金给付申请书，并提供</w:t>
      </w:r>
      <w:r>
        <w:rPr>
          <w:spacing w:val="-4"/>
        </w:rPr>
        <w:t>下列证明和资料：</w:t>
      </w:r>
    </w:p>
    <w:p>
      <w:pPr>
        <w:pStyle w:val="BodyText"/>
        <w:spacing w:before="7"/>
        <w:ind w:left="593"/>
      </w:pPr>
      <w:r>
        <w:rPr/>
        <w:t>（1）保险合同；</w:t>
      </w:r>
    </w:p>
    <w:p>
      <w:pPr>
        <w:pStyle w:val="BodyText"/>
        <w:spacing w:before="37"/>
        <w:ind w:left="593"/>
      </w:pPr>
      <w:r>
        <w:rPr/>
        <w:t>（2）被保险人的有效身份证件；</w:t>
      </w:r>
    </w:p>
    <w:p>
      <w:pPr>
        <w:pStyle w:val="BodyText"/>
        <w:spacing w:line="273" w:lineRule="auto" w:before="37"/>
        <w:ind w:left="173" w:right="211" w:firstLine="420"/>
      </w:pPr>
      <w:r>
        <w:rPr/>
        <w:t>（3）本公司认可医院出具的附有病历、必要病理检验、血液检验及其他科学方法检验报告的疾病诊断书；</w:t>
      </w:r>
    </w:p>
    <w:p>
      <w:pPr>
        <w:pStyle w:val="BodyText"/>
        <w:spacing w:line="273" w:lineRule="auto" w:before="7"/>
        <w:ind w:left="173" w:right="211" w:firstLine="420"/>
      </w:pPr>
      <w:r>
        <w:rPr/>
        <w:t>（4）所能提供的与确认保险事故的性质、原因、伤害程度等有关的其他证明和资料。</w:t>
      </w:r>
    </w:p>
    <w:p>
      <w:pPr>
        <w:pStyle w:val="BodyText"/>
        <w:spacing w:line="273" w:lineRule="auto" w:before="7"/>
        <w:ind w:left="173" w:right="210" w:firstLine="420"/>
      </w:pPr>
      <w:r>
        <w:rPr/>
        <w:t>2.</w:t>
      </w:r>
      <w:r>
        <w:rPr>
          <w:spacing w:val="-8"/>
        </w:rPr>
        <w:t>申请身故保险金时，由受益人或其他有权领取保险金的人作为申请人填写保险金</w:t>
      </w:r>
      <w:r>
        <w:rPr>
          <w:spacing w:val="-5"/>
        </w:rPr>
        <w:t>给付申请书，并提供下列证明和资料：</w:t>
      </w:r>
    </w:p>
    <w:p>
      <w:pPr>
        <w:pStyle w:val="BodyText"/>
        <w:spacing w:before="7"/>
        <w:ind w:left="593"/>
      </w:pPr>
      <w:r>
        <w:rPr/>
        <w:t>（1）保险合同；</w:t>
      </w:r>
    </w:p>
    <w:p>
      <w:pPr>
        <w:pStyle w:val="BodyText"/>
        <w:ind w:left="593"/>
      </w:pPr>
      <w:r>
        <w:rPr/>
        <w:t>（2）申请人的有效身份证件；</w:t>
      </w:r>
    </w:p>
    <w:p>
      <w:pPr>
        <w:pStyle w:val="BodyText"/>
        <w:spacing w:line="273" w:lineRule="auto"/>
        <w:ind w:left="173" w:right="211" w:firstLine="420"/>
      </w:pPr>
      <w:r>
        <w:rPr/>
        <w:t>（3）国家卫生行政部门认定的医疗机构、公安部门或其他相关机构出具的被保险人的死亡证明；</w:t>
      </w:r>
    </w:p>
    <w:p>
      <w:pPr>
        <w:pStyle w:val="BodyText"/>
        <w:spacing w:line="273" w:lineRule="auto" w:before="7"/>
        <w:ind w:left="173" w:right="211" w:firstLine="420"/>
      </w:pPr>
      <w:r>
        <w:rPr/>
        <w:t>（4）所能提供的与确认保险事故的性质、原因、伤害程度等有关的其他证明和资料。</w:t>
      </w:r>
    </w:p>
    <w:p>
      <w:pPr>
        <w:pStyle w:val="BodyText"/>
        <w:spacing w:before="7"/>
        <w:ind w:left="593"/>
      </w:pPr>
      <w:r>
        <w:rPr/>
        <w:t>保险金作为被保险人遗产时，须提供可证明合法继承权的相关权利文件。</w:t>
      </w:r>
    </w:p>
    <w:p>
      <w:pPr>
        <w:spacing w:after="0"/>
        <w:sectPr>
          <w:type w:val="continuous"/>
          <w:pgSz w:w="11910" w:h="16840"/>
          <w:pgMar w:top="1040" w:bottom="1180" w:left="940" w:right="720"/>
          <w:cols w:num="2" w:equalWidth="0">
            <w:col w:w="1878" w:space="40"/>
            <w:col w:w="8332"/>
          </w:cols>
        </w:sectPr>
      </w:pPr>
    </w:p>
    <w:p>
      <w:pPr>
        <w:pStyle w:val="BodyText"/>
        <w:spacing w:before="11"/>
        <w:rPr>
          <w:sz w:val="26"/>
        </w:r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1248"/>
        <w:gridCol w:w="8142"/>
      </w:tblGrid>
      <w:tr>
        <w:trPr>
          <w:trHeight w:val="729" w:hRule="atLeast"/>
        </w:trPr>
        <w:tc>
          <w:tcPr>
            <w:tcW w:w="1806" w:type="dxa"/>
            <w:gridSpan w:val="2"/>
          </w:tcPr>
          <w:p>
            <w:pPr>
              <w:pStyle w:val="TableParagraph"/>
              <w:rPr>
                <w:rFonts w:ascii="Times New Roman"/>
                <w:sz w:val="20"/>
              </w:rPr>
            </w:pPr>
          </w:p>
        </w:tc>
        <w:tc>
          <w:tcPr>
            <w:tcW w:w="8142" w:type="dxa"/>
          </w:tcPr>
          <w:p>
            <w:pPr>
              <w:pStyle w:val="TableParagraph"/>
              <w:spacing w:line="211" w:lineRule="exact"/>
              <w:ind w:left="526"/>
              <w:rPr>
                <w:sz w:val="21"/>
              </w:rPr>
            </w:pPr>
            <w:r>
              <w:rPr>
                <w:sz w:val="21"/>
              </w:rPr>
              <w:t>3.如委托他人代为申请，应提供授权委托书及受托人的有效身份证件。</w:t>
            </w:r>
          </w:p>
          <w:p>
            <w:pPr>
              <w:pStyle w:val="TableParagraph"/>
              <w:spacing w:before="37"/>
              <w:ind w:left="526"/>
              <w:rPr>
                <w:sz w:val="21"/>
              </w:rPr>
            </w:pPr>
            <w:r>
              <w:rPr>
                <w:sz w:val="21"/>
              </w:rPr>
              <w:t>4.本公司认为有关证明和资料不完整的，将及时一次性通知申请人补充提供。</w:t>
            </w:r>
          </w:p>
        </w:tc>
      </w:tr>
      <w:tr>
        <w:trPr>
          <w:trHeight w:val="468" w:hRule="atLeast"/>
        </w:trPr>
        <w:tc>
          <w:tcPr>
            <w:tcW w:w="558" w:type="dxa"/>
          </w:tcPr>
          <w:p>
            <w:pPr>
              <w:pStyle w:val="TableParagraph"/>
              <w:spacing w:before="142"/>
              <w:ind w:left="50"/>
              <w:rPr>
                <w:sz w:val="21"/>
              </w:rPr>
            </w:pPr>
            <w:r>
              <w:rPr>
                <w:sz w:val="21"/>
              </w:rPr>
              <w:t>4.4</w:t>
            </w:r>
          </w:p>
        </w:tc>
        <w:tc>
          <w:tcPr>
            <w:tcW w:w="1248" w:type="dxa"/>
          </w:tcPr>
          <w:p>
            <w:pPr>
              <w:pStyle w:val="TableParagraph"/>
              <w:spacing w:before="142"/>
              <w:ind w:left="190"/>
              <w:rPr>
                <w:sz w:val="21"/>
              </w:rPr>
            </w:pPr>
            <w:r>
              <w:rPr>
                <w:sz w:val="21"/>
              </w:rPr>
              <w:t>保险金的</w:t>
            </w:r>
          </w:p>
        </w:tc>
        <w:tc>
          <w:tcPr>
            <w:tcW w:w="8142" w:type="dxa"/>
          </w:tcPr>
          <w:p>
            <w:pPr>
              <w:pStyle w:val="TableParagraph"/>
              <w:spacing w:before="142"/>
              <w:ind w:left="526"/>
              <w:rPr>
                <w:sz w:val="21"/>
              </w:rPr>
            </w:pPr>
            <w:r>
              <w:rPr>
                <w:spacing w:val="-4"/>
                <w:sz w:val="21"/>
              </w:rPr>
              <w:t>本公司在收到保险金给付申请书及上述有关证明和资料后，将在 </w:t>
            </w:r>
            <w:r>
              <w:rPr>
                <w:sz w:val="21"/>
              </w:rPr>
              <w:t>5</w:t>
            </w:r>
            <w:r>
              <w:rPr>
                <w:spacing w:val="-7"/>
                <w:sz w:val="21"/>
              </w:rPr>
              <w:t> 日内作出核定；</w:t>
            </w:r>
          </w:p>
        </w:tc>
      </w:tr>
      <w:tr>
        <w:trPr>
          <w:trHeight w:val="311" w:hRule="atLeast"/>
        </w:trPr>
        <w:tc>
          <w:tcPr>
            <w:tcW w:w="558" w:type="dxa"/>
          </w:tcPr>
          <w:p>
            <w:pPr>
              <w:pStyle w:val="TableParagraph"/>
              <w:rPr>
                <w:rFonts w:ascii="Times New Roman"/>
                <w:sz w:val="20"/>
              </w:rPr>
            </w:pPr>
          </w:p>
        </w:tc>
        <w:tc>
          <w:tcPr>
            <w:tcW w:w="1248" w:type="dxa"/>
          </w:tcPr>
          <w:p>
            <w:pPr>
              <w:pStyle w:val="TableParagraph"/>
              <w:spacing w:line="261" w:lineRule="exact"/>
              <w:ind w:left="190"/>
              <w:rPr>
                <w:sz w:val="21"/>
              </w:rPr>
            </w:pPr>
            <w:r>
              <w:rPr>
                <w:sz w:val="21"/>
              </w:rPr>
              <w:t>给付</w:t>
            </w:r>
          </w:p>
        </w:tc>
        <w:tc>
          <w:tcPr>
            <w:tcW w:w="8142" w:type="dxa"/>
          </w:tcPr>
          <w:p>
            <w:pPr>
              <w:pStyle w:val="TableParagraph"/>
              <w:spacing w:line="261" w:lineRule="exact"/>
              <w:ind w:left="106"/>
              <w:rPr>
                <w:sz w:val="21"/>
              </w:rPr>
            </w:pPr>
            <w:r>
              <w:rPr>
                <w:sz w:val="21"/>
              </w:rPr>
              <w:t>情形复杂的，在 30 日内作出核定。对属于保险责任的，本公司在与被保险人或受益人</w:t>
            </w:r>
          </w:p>
        </w:tc>
      </w:tr>
      <w:tr>
        <w:trPr>
          <w:trHeight w:val="261" w:hRule="atLeast"/>
        </w:trPr>
        <w:tc>
          <w:tcPr>
            <w:tcW w:w="558" w:type="dxa"/>
          </w:tcPr>
          <w:p>
            <w:pPr>
              <w:pStyle w:val="TableParagraph"/>
              <w:rPr>
                <w:rFonts w:ascii="Times New Roman"/>
                <w:sz w:val="18"/>
              </w:rPr>
            </w:pPr>
          </w:p>
        </w:tc>
        <w:tc>
          <w:tcPr>
            <w:tcW w:w="1248" w:type="dxa"/>
          </w:tcPr>
          <w:p>
            <w:pPr>
              <w:pStyle w:val="TableParagraph"/>
              <w:rPr>
                <w:rFonts w:ascii="Times New Roman"/>
                <w:sz w:val="18"/>
              </w:rPr>
            </w:pPr>
          </w:p>
        </w:tc>
        <w:tc>
          <w:tcPr>
            <w:tcW w:w="8142" w:type="dxa"/>
          </w:tcPr>
          <w:p>
            <w:pPr>
              <w:pStyle w:val="TableParagraph"/>
              <w:spacing w:line="242" w:lineRule="exact"/>
              <w:ind w:left="106"/>
              <w:rPr>
                <w:sz w:val="21"/>
              </w:rPr>
            </w:pPr>
            <w:r>
              <w:rPr>
                <w:sz w:val="21"/>
              </w:rPr>
              <w:t>达成有关给付保险金数额的协议后 10 日内，履行给付保险金义务。</w:t>
            </w:r>
          </w:p>
        </w:tc>
      </w:tr>
    </w:tbl>
    <w:p>
      <w:pPr>
        <w:pStyle w:val="BodyText"/>
        <w:spacing w:line="273" w:lineRule="auto" w:before="37"/>
        <w:ind w:left="2510" w:right="211"/>
      </w:pPr>
      <w:r>
        <w:rPr>
          <w:spacing w:val="-3"/>
        </w:rPr>
        <w:t>本公司未及时履行前款规定义务的，将赔偿被保险人或受益人因此受到的损失。 </w:t>
      </w:r>
      <w:r>
        <w:rPr>
          <w:spacing w:val="-10"/>
        </w:rPr>
        <w:t>对不属于保险责任的，本公司自作出核定之日起 </w:t>
      </w:r>
      <w:r>
        <w:rPr/>
        <w:t>3</w:t>
      </w:r>
      <w:r>
        <w:rPr>
          <w:spacing w:val="-7"/>
        </w:rPr>
        <w:t> 日内向申请人发出拒绝给付保险</w:t>
      </w:r>
    </w:p>
    <w:p>
      <w:pPr>
        <w:pStyle w:val="BodyText"/>
        <w:spacing w:before="7"/>
        <w:ind w:left="2090"/>
      </w:pPr>
      <w:r>
        <w:rPr/>
        <w:t>金通知书，并说明理由。</w:t>
      </w:r>
    </w:p>
    <w:p>
      <w:pPr>
        <w:pStyle w:val="BodyText"/>
        <w:spacing w:line="273" w:lineRule="auto"/>
        <w:ind w:left="2090" w:right="211" w:firstLine="420"/>
        <w:jc w:val="both"/>
      </w:pPr>
      <w:r>
        <w:rPr>
          <w:spacing w:val="-3"/>
        </w:rPr>
        <w:t>本公司在收到保险金给付申请书及有关证明和资料之日起 </w:t>
      </w:r>
      <w:r>
        <w:rPr/>
        <w:t>60</w:t>
      </w:r>
      <w:r>
        <w:rPr>
          <w:spacing w:val="-3"/>
        </w:rPr>
        <w:t> 日内，对给付保险金</w:t>
      </w:r>
      <w:r>
        <w:rPr>
          <w:spacing w:val="-7"/>
        </w:rPr>
        <w:t>的数额不能确定的，根据已有证明和资料可以确定的数额先予支付；本公司最终确定给</w:t>
      </w:r>
      <w:r>
        <w:rPr>
          <w:spacing w:val="-3"/>
        </w:rPr>
        <w:t>付保险金的数额后，将支付相应的差额。</w:t>
      </w:r>
    </w:p>
    <w:p>
      <w:pPr>
        <w:pStyle w:val="BodyText"/>
        <w:spacing w:before="8"/>
      </w:pPr>
    </w:p>
    <w:p>
      <w:pPr>
        <w:spacing w:after="0"/>
        <w:sectPr>
          <w:pgSz w:w="11910" w:h="16840"/>
          <w:pgMar w:header="879" w:footer="995" w:top="1120" w:bottom="1180" w:left="940" w:right="720"/>
        </w:sectPr>
      </w:pPr>
    </w:p>
    <w:p>
      <w:pPr>
        <w:pStyle w:val="BodyText"/>
        <w:spacing w:line="273" w:lineRule="auto"/>
        <w:ind w:left="926" w:hanging="699"/>
        <w:jc w:val="both"/>
      </w:pPr>
      <w:r>
        <w:rPr/>
        <w:t>4.5 欠交保险费及未还款项的扣除</w:t>
      </w:r>
    </w:p>
    <w:p>
      <w:pPr>
        <w:pStyle w:val="BodyText"/>
        <w:spacing w:line="273" w:lineRule="auto"/>
        <w:ind w:left="173" w:right="211" w:firstLine="420"/>
        <w:jc w:val="both"/>
      </w:pPr>
      <w:r>
        <w:rPr/>
        <w:br w:type="column"/>
      </w:r>
      <w:r>
        <w:rPr>
          <w:spacing w:val="-7"/>
        </w:rPr>
        <w:t>本公司在办理给付保险金、退还保险单的现金价值或退还本保险实际交纳的保险费</w:t>
      </w:r>
      <w:r>
        <w:rPr>
          <w:spacing w:val="-9"/>
        </w:rPr>
        <w:t>等事项时，如您欠交保险费或有其他款项未还清的，本公司先扣除上述款项后，再办理</w:t>
      </w:r>
      <w:r>
        <w:rPr>
          <w:spacing w:val="-2"/>
        </w:rPr>
        <w:t>相关手续。</w:t>
      </w:r>
    </w:p>
    <w:p>
      <w:pPr>
        <w:spacing w:after="0" w:line="273" w:lineRule="auto"/>
        <w:jc w:val="both"/>
        <w:sectPr>
          <w:type w:val="continuous"/>
          <w:pgSz w:w="11910" w:h="16840"/>
          <w:pgMar w:top="1040" w:bottom="1180" w:left="940" w:right="720"/>
          <w:cols w:num="2" w:equalWidth="0">
            <w:col w:w="1878" w:space="40"/>
            <w:col w:w="8332"/>
          </w:cols>
        </w:sectPr>
      </w:pPr>
    </w:p>
    <w:p>
      <w:pPr>
        <w:pStyle w:val="BodyText"/>
        <w:spacing w:before="6"/>
        <w:rPr>
          <w:sz w:val="24"/>
        </w:rPr>
      </w:pPr>
    </w:p>
    <w:p>
      <w:pPr>
        <w:pStyle w:val="Heading1"/>
        <w:numPr>
          <w:ilvl w:val="0"/>
          <w:numId w:val="8"/>
        </w:numPr>
        <w:tabs>
          <w:tab w:pos="926" w:val="left" w:leader="none"/>
          <w:tab w:pos="927" w:val="left" w:leader="none"/>
        </w:tabs>
        <w:spacing w:line="240" w:lineRule="auto" w:before="91" w:after="0"/>
        <w:ind w:left="926" w:right="0" w:hanging="698"/>
        <w:jc w:val="left"/>
      </w:pPr>
      <w:r>
        <w:rPr/>
        <w:pict>
          <v:group style="position:absolute;margin-left:52.898258pt;margin-top:31.781874pt;width:500.9pt;height:1pt;mso-position-horizontal-relative:page;mso-position-vertical-relative:paragraph;z-index:1192;mso-wrap-distance-left:0;mso-wrap-distance-right:0" coordorigin="1058,636" coordsize="10018,20">
            <v:line style="position:absolute" from="1058,645" to="1756,645" stroked="true" strokeweight=".96pt" strokecolor="#000000">
              <v:stroke dashstyle="solid"/>
            </v:line>
            <v:rect style="position:absolute;left:1756;top:635;width:20;height:20" filled="true" fillcolor="#000000" stroked="false">
              <v:fill type="solid"/>
            </v:rect>
            <v:line style="position:absolute" from="1776,645" to="2923,645" stroked="true" strokeweight=".96pt" strokecolor="#000000">
              <v:stroke dashstyle="solid"/>
            </v:line>
            <v:rect style="position:absolute;left:2922;top:635;width:20;height:20" filled="true" fillcolor="#000000" stroked="false">
              <v:fill type="solid"/>
            </v:rect>
            <v:line style="position:absolute" from="2942,645" to="11076,645" stroked="true" strokeweight=".96pt" strokecolor="#000000">
              <v:stroke dashstyle="solid"/>
            </v:line>
            <w10:wrap type="topAndBottom"/>
          </v:group>
        </w:pict>
      </w:r>
      <w:r>
        <w:rPr/>
        <w:t>基本条款</w:t>
      </w:r>
    </w:p>
    <w:p>
      <w:pPr>
        <w:pStyle w:val="BodyText"/>
        <w:spacing w:before="11"/>
        <w:rPr>
          <w:sz w:val="17"/>
        </w:rPr>
      </w:pPr>
    </w:p>
    <w:p>
      <w:pPr>
        <w:spacing w:after="0"/>
        <w:rPr>
          <w:sz w:val="17"/>
        </w:rPr>
        <w:sectPr>
          <w:type w:val="continuous"/>
          <w:pgSz w:w="11910" w:h="16840"/>
          <w:pgMar w:top="1040" w:bottom="1180" w:left="940" w:right="720"/>
        </w:sectPr>
      </w:pPr>
    </w:p>
    <w:p>
      <w:pPr>
        <w:pStyle w:val="ListParagraph"/>
        <w:numPr>
          <w:ilvl w:val="1"/>
          <w:numId w:val="10"/>
        </w:numPr>
        <w:tabs>
          <w:tab w:pos="927" w:val="left" w:leader="none"/>
        </w:tabs>
        <w:spacing w:line="273" w:lineRule="auto" w:before="36" w:after="0"/>
        <w:ind w:left="926" w:right="0" w:hanging="698"/>
        <w:jc w:val="both"/>
        <w:rPr>
          <w:sz w:val="21"/>
        </w:rPr>
      </w:pPr>
      <w:r>
        <w:rPr>
          <w:spacing w:val="23"/>
          <w:sz w:val="21"/>
        </w:rPr>
        <w:t>明确说明与如实告知</w:t>
      </w:r>
    </w:p>
    <w:p>
      <w:pPr>
        <w:pStyle w:val="BodyText"/>
        <w:spacing w:line="273" w:lineRule="auto"/>
        <w:ind w:left="173" w:right="211" w:firstLine="420"/>
        <w:jc w:val="both"/>
      </w:pPr>
      <w:r>
        <w:rPr/>
        <w:br w:type="column"/>
      </w:r>
      <w:r>
        <w:rPr>
          <w:spacing w:val="-7"/>
        </w:rPr>
        <w:t>订立本合同时，本公司会向您明确说明本合同的条款内容。对本合同中免除本公司</w:t>
      </w:r>
      <w:r>
        <w:rPr>
          <w:spacing w:val="-8"/>
        </w:rPr>
        <w:t>责任的条款，本公司在订立合同时将在投保单、保险单或其他保险凭证上作出足以引起您注意的提示，并对该条款的内容以书面或口头形式向您作出明确说明，未作提示或明</w:t>
      </w:r>
      <w:r>
        <w:rPr>
          <w:spacing w:val="-9"/>
        </w:rPr>
        <w:t>确说明的，该免除本公司责任条款不产生效力。本公司会就您和被保险人的有关情况提</w:t>
      </w:r>
      <w:r>
        <w:rPr>
          <w:spacing w:val="-3"/>
        </w:rPr>
        <w:t>出书面询问，您应当如实告知。</w:t>
      </w:r>
    </w:p>
    <w:p>
      <w:pPr>
        <w:pStyle w:val="BodyText"/>
        <w:spacing w:line="273" w:lineRule="auto" w:before="7"/>
        <w:ind w:left="173" w:right="211" w:firstLine="420"/>
        <w:jc w:val="both"/>
      </w:pPr>
      <w:r>
        <w:rPr>
          <w:spacing w:val="-6"/>
        </w:rPr>
        <w:t>您故意或因重大过失未履行如实告知义务，足以影响本公司决定是否同意承保或提</w:t>
      </w:r>
      <w:r>
        <w:rPr>
          <w:spacing w:val="-3"/>
        </w:rPr>
        <w:t>高保险费率的，本公司有权解除本合同。</w:t>
      </w:r>
    </w:p>
    <w:p>
      <w:pPr>
        <w:pStyle w:val="BodyText"/>
        <w:spacing w:line="273" w:lineRule="auto" w:before="7"/>
        <w:ind w:left="173" w:right="211" w:firstLine="420"/>
        <w:jc w:val="both"/>
      </w:pPr>
      <w:r>
        <w:rPr>
          <w:spacing w:val="-6"/>
        </w:rPr>
        <w:t>您故意不履行如实告知义务，对于本合同解除前发生的保险事故，本公司不承担保</w:t>
      </w:r>
      <w:r>
        <w:rPr>
          <w:spacing w:val="-3"/>
        </w:rPr>
        <w:t>险责任，并不退还本保险实际交纳的保险费。</w:t>
      </w:r>
    </w:p>
    <w:p>
      <w:pPr>
        <w:pStyle w:val="BodyText"/>
        <w:spacing w:line="273" w:lineRule="auto" w:before="7"/>
        <w:ind w:left="173" w:right="170" w:firstLine="420"/>
        <w:jc w:val="right"/>
      </w:pPr>
      <w:r>
        <w:rPr>
          <w:spacing w:val="-6"/>
        </w:rPr>
        <w:t>您因重大过失未履行如实告知义务，对保险事故的发生有严重影响的，对于本合同</w:t>
      </w:r>
      <w:r>
        <w:rPr>
          <w:spacing w:val="-3"/>
        </w:rPr>
        <w:t>解除前发生的保险事故，本公司不承担保险责任，但将退还本保险实际交纳的保险费。</w:t>
      </w:r>
      <w:r>
        <w:rPr>
          <w:spacing w:val="-5"/>
        </w:rPr>
        <w:t>本公司在合同订立时已经知道您未如实告知的情况的，本公司不得解除合同；发生</w:t>
      </w:r>
    </w:p>
    <w:p>
      <w:pPr>
        <w:pStyle w:val="BodyText"/>
        <w:spacing w:before="7"/>
        <w:ind w:left="173"/>
      </w:pPr>
      <w:r>
        <w:rPr/>
        <w:t>保险事故的，本公司承担给付保险金的责任。</w:t>
      </w:r>
    </w:p>
    <w:p>
      <w:pPr>
        <w:spacing w:after="0"/>
        <w:sectPr>
          <w:type w:val="continuous"/>
          <w:pgSz w:w="11910" w:h="16840"/>
          <w:pgMar w:top="1040" w:bottom="1180" w:left="940" w:right="720"/>
          <w:cols w:num="2" w:equalWidth="0">
            <w:col w:w="1878" w:space="40"/>
            <w:col w:w="8332"/>
          </w:cols>
        </w:sectPr>
      </w:pPr>
    </w:p>
    <w:p>
      <w:pPr>
        <w:pStyle w:val="BodyText"/>
        <w:spacing w:before="11"/>
        <w:rPr>
          <w:sz w:val="23"/>
        </w:rPr>
      </w:pPr>
    </w:p>
    <w:p>
      <w:pPr>
        <w:spacing w:after="0"/>
        <w:rPr>
          <w:sz w:val="23"/>
        </w:rPr>
        <w:sectPr>
          <w:type w:val="continuous"/>
          <w:pgSz w:w="11910" w:h="16840"/>
          <w:pgMar w:top="1040" w:bottom="1180" w:left="940" w:right="720"/>
        </w:sectPr>
      </w:pPr>
    </w:p>
    <w:p>
      <w:pPr>
        <w:pStyle w:val="ListParagraph"/>
        <w:numPr>
          <w:ilvl w:val="1"/>
          <w:numId w:val="10"/>
        </w:numPr>
        <w:tabs>
          <w:tab w:pos="927" w:val="left" w:leader="none"/>
        </w:tabs>
        <w:spacing w:line="273" w:lineRule="auto" w:before="36" w:after="0"/>
        <w:ind w:left="926" w:right="0" w:hanging="698"/>
        <w:jc w:val="both"/>
        <w:rPr>
          <w:sz w:val="21"/>
        </w:rPr>
      </w:pPr>
      <w:r>
        <w:rPr>
          <w:spacing w:val="23"/>
          <w:sz w:val="21"/>
        </w:rPr>
        <w:t>本公司合同解除权的限制</w:t>
      </w:r>
    </w:p>
    <w:p>
      <w:pPr>
        <w:pStyle w:val="BodyText"/>
        <w:spacing w:line="273" w:lineRule="auto"/>
        <w:ind w:left="173" w:right="213" w:firstLine="420"/>
        <w:jc w:val="both"/>
      </w:pPr>
      <w:r>
        <w:rPr/>
        <w:br w:type="column"/>
      </w:r>
      <w:r>
        <w:rPr>
          <w:spacing w:val="-5"/>
        </w:rPr>
        <w:t>前条规定的合同解除权，自本公司知道有解除事由之日起，超过 </w:t>
      </w:r>
      <w:r>
        <w:rPr/>
        <w:t>30</w:t>
      </w:r>
      <w:r>
        <w:rPr>
          <w:spacing w:val="-9"/>
        </w:rPr>
        <w:t> 日不行使而消灭。自本合同成立之日起超过二年的，本公司不得解除本合同；发生保险事故的，本公</w:t>
      </w:r>
      <w:r>
        <w:rPr>
          <w:spacing w:val="-5"/>
        </w:rPr>
        <w:t>司承担给付保险金的责任。</w:t>
      </w:r>
    </w:p>
    <w:p>
      <w:pPr>
        <w:spacing w:after="0" w:line="273" w:lineRule="auto"/>
        <w:jc w:val="both"/>
        <w:sectPr>
          <w:type w:val="continuous"/>
          <w:pgSz w:w="11910" w:h="16840"/>
          <w:pgMar w:top="1040" w:bottom="1180" w:left="940" w:right="720"/>
          <w:cols w:num="2" w:equalWidth="0">
            <w:col w:w="1878" w:space="40"/>
            <w:col w:w="8332"/>
          </w:cols>
        </w:sectPr>
      </w:pPr>
    </w:p>
    <w:p>
      <w:pPr>
        <w:pStyle w:val="BodyText"/>
        <w:spacing w:before="8"/>
      </w:pPr>
    </w:p>
    <w:p>
      <w:pPr>
        <w:spacing w:after="0"/>
        <w:sectPr>
          <w:type w:val="continuous"/>
          <w:pgSz w:w="11910" w:h="16840"/>
          <w:pgMar w:top="1040" w:bottom="1180" w:left="940" w:right="720"/>
        </w:sectPr>
      </w:pPr>
    </w:p>
    <w:p>
      <w:pPr>
        <w:pStyle w:val="ListParagraph"/>
        <w:numPr>
          <w:ilvl w:val="1"/>
          <w:numId w:val="10"/>
        </w:numPr>
        <w:tabs>
          <w:tab w:pos="927" w:val="left" w:leader="none"/>
        </w:tabs>
        <w:spacing w:line="273" w:lineRule="auto" w:before="36" w:after="0"/>
        <w:ind w:left="926" w:right="0" w:hanging="698"/>
        <w:jc w:val="both"/>
        <w:rPr>
          <w:sz w:val="21"/>
        </w:rPr>
      </w:pPr>
      <w:r>
        <w:rPr>
          <w:spacing w:val="23"/>
          <w:sz w:val="21"/>
        </w:rPr>
        <w:t>年龄确定与错误处理</w:t>
      </w:r>
    </w:p>
    <w:p>
      <w:pPr>
        <w:pStyle w:val="BodyText"/>
        <w:ind w:left="593"/>
      </w:pPr>
      <w:r>
        <w:rPr/>
        <w:br w:type="column"/>
      </w:r>
      <w:r>
        <w:rPr/>
        <w:t>1.被保险人的年龄以周岁计算。</w:t>
      </w:r>
    </w:p>
    <w:p>
      <w:pPr>
        <w:pStyle w:val="BodyText"/>
        <w:spacing w:line="273" w:lineRule="auto"/>
        <w:ind w:left="173" w:right="208" w:firstLine="420"/>
      </w:pPr>
      <w:r>
        <w:rPr/>
        <w:t>2.</w:t>
      </w:r>
      <w:r>
        <w:rPr>
          <w:spacing w:val="-8"/>
        </w:rPr>
        <w:t>您在申请投保时，应将与有效身份证件相符的被保险人的出生日期在投保单上填</w:t>
      </w:r>
      <w:r>
        <w:rPr>
          <w:spacing w:val="-5"/>
        </w:rPr>
        <w:t>明，如发生错误按下列方式办理：</w:t>
      </w:r>
    </w:p>
    <w:p>
      <w:pPr>
        <w:pStyle w:val="BodyText"/>
        <w:spacing w:line="273" w:lineRule="auto" w:before="7"/>
        <w:ind w:left="173" w:right="211" w:firstLine="420"/>
      </w:pPr>
      <w:r>
        <w:rPr/>
        <w:t>（1）</w:t>
      </w:r>
      <w:r>
        <w:rPr>
          <w:spacing w:val="-3"/>
        </w:rPr>
        <w:t>您申报的被保险人年龄不真实，并且其真实年龄不符合本合同约定投保年龄</w:t>
      </w:r>
      <w:r>
        <w:rPr>
          <w:spacing w:val="-7"/>
        </w:rPr>
        <w:t>限制的，本公司有权解除合同，并向您退还保险单的现金价值。本公司行使合同解除权</w:t>
      </w:r>
    </w:p>
    <w:p>
      <w:pPr>
        <w:spacing w:after="0" w:line="273" w:lineRule="auto"/>
        <w:sectPr>
          <w:type w:val="continuous"/>
          <w:pgSz w:w="11910" w:h="16840"/>
          <w:pgMar w:top="1040" w:bottom="1180" w:left="940" w:right="720"/>
          <w:cols w:num="2" w:equalWidth="0">
            <w:col w:w="1878" w:space="40"/>
            <w:col w:w="8332"/>
          </w:cols>
        </w:sectPr>
      </w:pPr>
    </w:p>
    <w:p>
      <w:pPr>
        <w:pStyle w:val="BodyText"/>
        <w:spacing w:before="2"/>
        <w:rPr>
          <w:sz w:val="19"/>
        </w:rPr>
      </w:pPr>
    </w:p>
    <w:p>
      <w:pPr>
        <w:pStyle w:val="BodyText"/>
        <w:spacing w:before="37"/>
        <w:ind w:left="2090"/>
      </w:pPr>
      <w:r>
        <w:rPr/>
        <w:t>适用前条“本公司合同解除权的限制”的规定。</w:t>
      </w:r>
    </w:p>
    <w:p>
      <w:pPr>
        <w:pStyle w:val="BodyText"/>
        <w:spacing w:line="273" w:lineRule="auto" w:before="37"/>
        <w:ind w:left="2090" w:right="211" w:firstLine="420"/>
        <w:jc w:val="both"/>
      </w:pPr>
      <w:r>
        <w:rPr/>
        <w:t>（2）</w:t>
      </w:r>
      <w:r>
        <w:rPr>
          <w:spacing w:val="-3"/>
        </w:rPr>
        <w:t>您申报的被保险人年龄不真实，致使您实付保险费少于应付保险费的，本公</w:t>
      </w:r>
      <w:r>
        <w:rPr>
          <w:spacing w:val="-6"/>
        </w:rPr>
        <w:t>司有权更正并要求您补交保险费。如已经发生保险事故，在给付保险金时按实付保险费</w:t>
      </w:r>
      <w:r>
        <w:rPr>
          <w:spacing w:val="-3"/>
        </w:rPr>
        <w:t>和应付保险费的比例给付。</w:t>
      </w:r>
    </w:p>
    <w:p>
      <w:pPr>
        <w:pStyle w:val="BodyText"/>
        <w:spacing w:line="273" w:lineRule="auto" w:before="7"/>
        <w:ind w:left="2090" w:right="251" w:firstLine="441"/>
        <w:jc w:val="both"/>
      </w:pPr>
      <w:r>
        <w:rPr/>
        <w:t>（3）您申报的被保险人年龄不真实，致使您实付保险费多于应付保险费的，本公司会将多收的保险费退还给您。</w:t>
      </w:r>
    </w:p>
    <w:p>
      <w:pPr>
        <w:pStyle w:val="BodyText"/>
        <w:spacing w:before="5"/>
        <w:rPr>
          <w:sz w:val="24"/>
        </w:rPr>
      </w:pPr>
    </w:p>
    <w:p>
      <w:pPr>
        <w:pStyle w:val="ListParagraph"/>
        <w:numPr>
          <w:ilvl w:val="1"/>
          <w:numId w:val="10"/>
        </w:numPr>
        <w:tabs>
          <w:tab w:pos="927" w:val="left" w:leader="none"/>
        </w:tabs>
        <w:spacing w:line="273" w:lineRule="auto" w:before="0" w:after="0"/>
        <w:ind w:left="2090" w:right="211" w:hanging="1862"/>
        <w:jc w:val="both"/>
        <w:rPr>
          <w:sz w:val="21"/>
        </w:rPr>
      </w:pPr>
      <w:r>
        <w:rPr>
          <w:spacing w:val="-6"/>
          <w:sz w:val="21"/>
        </w:rPr>
        <w:t>地址变更      为了保障您的合法权益，您的住所或通讯地址变更时，请及时通知本公司。如您未</w:t>
      </w:r>
      <w:r>
        <w:rPr>
          <w:spacing w:val="-8"/>
          <w:sz w:val="21"/>
        </w:rPr>
        <w:t>通知本公司，本公司按本合同载明的最后住所或通讯地址发送的有关通知，均视为已送</w:t>
      </w:r>
      <w:r>
        <w:rPr>
          <w:spacing w:val="-6"/>
          <w:sz w:val="21"/>
        </w:rPr>
        <w:t>达给您。</w:t>
      </w:r>
    </w:p>
    <w:p>
      <w:pPr>
        <w:pStyle w:val="BodyText"/>
        <w:spacing w:before="5"/>
        <w:rPr>
          <w:sz w:val="24"/>
        </w:rPr>
      </w:pPr>
    </w:p>
    <w:p>
      <w:pPr>
        <w:pStyle w:val="ListParagraph"/>
        <w:numPr>
          <w:ilvl w:val="1"/>
          <w:numId w:val="10"/>
        </w:numPr>
        <w:tabs>
          <w:tab w:pos="927" w:val="left" w:leader="none"/>
        </w:tabs>
        <w:spacing w:line="273" w:lineRule="auto" w:before="0" w:after="0"/>
        <w:ind w:left="2090" w:right="211" w:hanging="1862"/>
        <w:jc w:val="both"/>
        <w:rPr>
          <w:sz w:val="21"/>
        </w:rPr>
      </w:pPr>
      <w:r>
        <w:rPr>
          <w:spacing w:val="-5"/>
          <w:sz w:val="21"/>
        </w:rPr>
        <w:t>失踪处理      被保险人在本合同保险期间内失踪，并经人民法院宣告死亡，本公司依据人民法院</w:t>
      </w:r>
      <w:r>
        <w:rPr>
          <w:spacing w:val="-3"/>
          <w:sz w:val="21"/>
        </w:rPr>
        <w:t>的宣告死亡判决及宣告死亡日，按本合同规定给付保险金。</w:t>
      </w:r>
    </w:p>
    <w:p>
      <w:pPr>
        <w:pStyle w:val="BodyText"/>
        <w:spacing w:line="273" w:lineRule="auto" w:before="7"/>
        <w:ind w:left="2090" w:right="211" w:firstLine="420"/>
        <w:jc w:val="both"/>
      </w:pPr>
      <w:r>
        <w:rPr>
          <w:spacing w:val="-6"/>
        </w:rPr>
        <w:t>被保险人失踪期间至人民法院的宣告死亡日，您或受益人应继续交纳保险费，以维</w:t>
      </w:r>
      <w:r>
        <w:rPr>
          <w:spacing w:val="-8"/>
        </w:rPr>
        <w:t>持合同的有效性；如您或受益人未交纳续期保险费，本公司在给付保险金时将扣除欠交</w:t>
      </w:r>
      <w:r>
        <w:rPr>
          <w:spacing w:val="-2"/>
        </w:rPr>
        <w:t>的保险费。</w:t>
      </w:r>
    </w:p>
    <w:p>
      <w:pPr>
        <w:pStyle w:val="BodyText"/>
        <w:spacing w:line="273" w:lineRule="auto" w:before="7"/>
        <w:ind w:left="2090" w:right="211" w:firstLine="420"/>
        <w:jc w:val="both"/>
      </w:pPr>
      <w:r>
        <w:rPr>
          <w:spacing w:val="-6"/>
        </w:rPr>
        <w:t>如日后被保险人重新出现或确知其没有死亡，保险金领取人应将已领取的保险金于</w:t>
      </w:r>
      <w:r>
        <w:rPr>
          <w:spacing w:val="-4"/>
        </w:rPr>
        <w:t>被保险人重新出现或确知其没有死亡之日起 </w:t>
      </w:r>
      <w:r>
        <w:rPr/>
        <w:t>30</w:t>
      </w:r>
      <w:r>
        <w:rPr>
          <w:spacing w:val="-3"/>
        </w:rPr>
        <w:t> 日内退还本公司，本合同的效力由您和本公司依法协商处理。</w:t>
      </w:r>
    </w:p>
    <w:p>
      <w:pPr>
        <w:pStyle w:val="BodyText"/>
        <w:spacing w:before="5"/>
        <w:rPr>
          <w:sz w:val="24"/>
        </w:rPr>
      </w:pPr>
    </w:p>
    <w:p>
      <w:pPr>
        <w:pStyle w:val="ListParagraph"/>
        <w:numPr>
          <w:ilvl w:val="1"/>
          <w:numId w:val="10"/>
        </w:numPr>
        <w:tabs>
          <w:tab w:pos="926" w:val="left" w:leader="none"/>
          <w:tab w:pos="927" w:val="left" w:leader="none"/>
          <w:tab w:pos="2510" w:val="left" w:leader="none"/>
        </w:tabs>
        <w:spacing w:line="240" w:lineRule="auto" w:before="0" w:after="0"/>
        <w:ind w:left="926" w:right="0" w:hanging="698"/>
        <w:jc w:val="left"/>
        <w:rPr>
          <w:sz w:val="21"/>
        </w:rPr>
      </w:pPr>
      <w:r>
        <w:rPr>
          <w:sz w:val="21"/>
        </w:rPr>
        <w:t>争议处理</w:t>
        <w:tab/>
        <w:t>本合</w:t>
      </w:r>
      <w:r>
        <w:rPr>
          <w:spacing w:val="-3"/>
          <w:sz w:val="21"/>
        </w:rPr>
        <w:t>同</w:t>
      </w:r>
      <w:r>
        <w:rPr>
          <w:sz w:val="21"/>
        </w:rPr>
        <w:t>争</w:t>
      </w:r>
      <w:r>
        <w:rPr>
          <w:spacing w:val="-3"/>
          <w:sz w:val="21"/>
        </w:rPr>
        <w:t>议</w:t>
      </w:r>
      <w:r>
        <w:rPr>
          <w:sz w:val="21"/>
        </w:rPr>
        <w:t>解</w:t>
      </w:r>
      <w:r>
        <w:rPr>
          <w:spacing w:val="-3"/>
          <w:sz w:val="21"/>
        </w:rPr>
        <w:t>决</w:t>
      </w:r>
      <w:r>
        <w:rPr>
          <w:sz w:val="21"/>
        </w:rPr>
        <w:t>方</w:t>
      </w:r>
      <w:r>
        <w:rPr>
          <w:spacing w:val="-3"/>
          <w:sz w:val="21"/>
        </w:rPr>
        <w:t>式</w:t>
      </w:r>
      <w:r>
        <w:rPr>
          <w:sz w:val="21"/>
        </w:rPr>
        <w:t>由</w:t>
      </w:r>
      <w:r>
        <w:rPr>
          <w:spacing w:val="-3"/>
          <w:sz w:val="21"/>
        </w:rPr>
        <w:t>当</w:t>
      </w:r>
      <w:r>
        <w:rPr>
          <w:sz w:val="21"/>
        </w:rPr>
        <w:t>事人</w:t>
      </w:r>
      <w:r>
        <w:rPr>
          <w:spacing w:val="-3"/>
          <w:sz w:val="21"/>
        </w:rPr>
        <w:t>约</w:t>
      </w:r>
      <w:r>
        <w:rPr>
          <w:sz w:val="21"/>
        </w:rPr>
        <w:t>定</w:t>
      </w:r>
      <w:r>
        <w:rPr>
          <w:spacing w:val="-3"/>
          <w:sz w:val="21"/>
        </w:rPr>
        <w:t>从</w:t>
      </w:r>
      <w:r>
        <w:rPr>
          <w:sz w:val="21"/>
        </w:rPr>
        <w:t>下</w:t>
      </w:r>
      <w:r>
        <w:rPr>
          <w:spacing w:val="-3"/>
          <w:sz w:val="21"/>
        </w:rPr>
        <w:t>列</w:t>
      </w:r>
      <w:r>
        <w:rPr>
          <w:sz w:val="21"/>
        </w:rPr>
        <w:t>二</w:t>
      </w:r>
      <w:r>
        <w:rPr>
          <w:spacing w:val="-3"/>
          <w:sz w:val="21"/>
        </w:rPr>
        <w:t>种</w:t>
      </w:r>
      <w:r>
        <w:rPr>
          <w:sz w:val="21"/>
        </w:rPr>
        <w:t>方</w:t>
      </w:r>
      <w:r>
        <w:rPr>
          <w:spacing w:val="-3"/>
          <w:sz w:val="21"/>
        </w:rPr>
        <w:t>式</w:t>
      </w:r>
      <w:r>
        <w:rPr>
          <w:sz w:val="21"/>
        </w:rPr>
        <w:t>中选</w:t>
      </w:r>
      <w:r>
        <w:rPr>
          <w:spacing w:val="-3"/>
          <w:sz w:val="21"/>
        </w:rPr>
        <w:t>择</w:t>
      </w:r>
      <w:r>
        <w:rPr>
          <w:sz w:val="21"/>
        </w:rPr>
        <w:t>一</w:t>
      </w:r>
      <w:r>
        <w:rPr>
          <w:spacing w:val="-3"/>
          <w:sz w:val="21"/>
        </w:rPr>
        <w:t>种</w:t>
      </w:r>
      <w:r>
        <w:rPr>
          <w:sz w:val="21"/>
        </w:rPr>
        <w:t>：</w:t>
      </w:r>
    </w:p>
    <w:p>
      <w:pPr>
        <w:pStyle w:val="BodyText"/>
        <w:spacing w:line="273" w:lineRule="auto" w:before="37"/>
        <w:ind w:left="2090" w:right="211" w:firstLine="420"/>
        <w:jc w:val="both"/>
      </w:pPr>
      <w:r>
        <w:rPr/>
        <w:t>1.</w:t>
      </w:r>
      <w:r>
        <w:rPr>
          <w:spacing w:val="-6"/>
        </w:rPr>
        <w:t>因履行本合同发生的争议，由当事人协商解决，协商不成的，提交双方共同选择</w:t>
      </w:r>
      <w:r>
        <w:rPr>
          <w:spacing w:val="-3"/>
        </w:rPr>
        <w:t>的仲裁委员会仲裁；</w:t>
      </w:r>
    </w:p>
    <w:p>
      <w:pPr>
        <w:pStyle w:val="BodyText"/>
        <w:spacing w:line="273" w:lineRule="auto" w:before="8"/>
        <w:ind w:left="2090" w:right="211" w:firstLine="420"/>
        <w:jc w:val="both"/>
      </w:pPr>
      <w:r>
        <w:rPr/>
        <w:t>2.</w:t>
      </w:r>
      <w:r>
        <w:rPr>
          <w:spacing w:val="-6"/>
        </w:rPr>
        <w:t>因履行本合同发生的争议，由当事人协商解决，协商不成的，依法向人民法院起诉。</w:t>
      </w:r>
    </w:p>
    <w:p>
      <w:pPr>
        <w:pStyle w:val="BodyText"/>
        <w:spacing w:before="0"/>
        <w:rPr>
          <w:sz w:val="20"/>
        </w:rPr>
      </w:pPr>
    </w:p>
    <w:p>
      <w:pPr>
        <w:tabs>
          <w:tab w:pos="926" w:val="left" w:leader="none"/>
        </w:tabs>
        <w:spacing w:before="140"/>
        <w:ind w:left="228" w:right="0" w:firstLine="0"/>
        <w:jc w:val="left"/>
        <w:rPr>
          <w:sz w:val="28"/>
        </w:rPr>
      </w:pPr>
      <w:r>
        <w:rPr/>
        <w:pict>
          <v:group style="position:absolute;margin-left:52.898258pt;margin-top:34.731884pt;width:500.9pt;height:1pt;mso-position-horizontal-relative:page;mso-position-vertical-relative:paragraph;z-index:1216;mso-wrap-distance-left:0;mso-wrap-distance-right:0" coordorigin="1058,695" coordsize="10018,20">
            <v:line style="position:absolute" from="1058,704" to="1756,704" stroked="true" strokeweight=".96pt" strokecolor="#000000">
              <v:stroke dashstyle="solid"/>
            </v:line>
            <v:rect style="position:absolute;left:1756;top:694;width:20;height:20" filled="true" fillcolor="#000000" stroked="false">
              <v:fill type="solid"/>
            </v:rect>
            <v:line style="position:absolute" from="1776,704" to="2923,704" stroked="true" strokeweight=".96pt" strokecolor="#000000">
              <v:stroke dashstyle="solid"/>
            </v:line>
            <v:rect style="position:absolute;left:2922;top:694;width:20;height:20" filled="true" fillcolor="#000000" stroked="false">
              <v:fill type="solid"/>
            </v:rect>
            <v:line style="position:absolute" from="2942,704" to="11076,704" stroked="true" strokeweight=".96pt" strokecolor="#000000">
              <v:stroke dashstyle="solid"/>
            </v:line>
            <w10:wrap type="topAndBottom"/>
          </v:group>
        </w:pict>
      </w:r>
      <w:r>
        <w:rPr>
          <w:rFonts w:ascii="Times New Roman" w:eastAsia="Times New Roman"/>
          <w:w w:val="185"/>
          <w:position w:val="-2"/>
          <w:sz w:val="40"/>
        </w:rPr>
        <w:t>z</w:t>
        <w:tab/>
      </w:r>
      <w:r>
        <w:rPr>
          <w:sz w:val="28"/>
        </w:rPr>
        <w:t>释义</w:t>
      </w:r>
    </w:p>
    <w:p>
      <w:pPr>
        <w:pStyle w:val="BodyText"/>
        <w:spacing w:before="11"/>
        <w:rPr>
          <w:sz w:val="17"/>
        </w:rPr>
      </w:pPr>
    </w:p>
    <w:p>
      <w:pPr>
        <w:pStyle w:val="ListParagraph"/>
        <w:numPr>
          <w:ilvl w:val="1"/>
          <w:numId w:val="11"/>
        </w:numPr>
        <w:tabs>
          <w:tab w:pos="926" w:val="left" w:leader="none"/>
          <w:tab w:pos="927" w:val="left" w:leader="none"/>
          <w:tab w:pos="2510" w:val="left" w:leader="none"/>
        </w:tabs>
        <w:spacing w:line="240" w:lineRule="auto" w:before="36" w:after="0"/>
        <w:ind w:left="2090" w:right="0" w:hanging="1862"/>
        <w:jc w:val="left"/>
        <w:rPr>
          <w:sz w:val="21"/>
        </w:rPr>
      </w:pPr>
      <w:r>
        <w:rPr>
          <w:sz w:val="21"/>
        </w:rPr>
        <w:t>周岁</w:t>
        <w:tab/>
        <w:t>以法</w:t>
      </w:r>
      <w:r>
        <w:rPr>
          <w:spacing w:val="-3"/>
          <w:sz w:val="21"/>
        </w:rPr>
        <w:t>定</w:t>
      </w:r>
      <w:r>
        <w:rPr>
          <w:sz w:val="21"/>
        </w:rPr>
        <w:t>有</w:t>
      </w:r>
      <w:r>
        <w:rPr>
          <w:spacing w:val="-3"/>
          <w:sz w:val="21"/>
        </w:rPr>
        <w:t>效</w:t>
      </w:r>
      <w:r>
        <w:rPr>
          <w:sz w:val="21"/>
        </w:rPr>
        <w:t>身</w:t>
      </w:r>
      <w:r>
        <w:rPr>
          <w:spacing w:val="-3"/>
          <w:sz w:val="21"/>
        </w:rPr>
        <w:t>份</w:t>
      </w:r>
      <w:r>
        <w:rPr>
          <w:sz w:val="21"/>
        </w:rPr>
        <w:t>证</w:t>
      </w:r>
      <w:r>
        <w:rPr>
          <w:spacing w:val="-3"/>
          <w:sz w:val="21"/>
        </w:rPr>
        <w:t>件</w:t>
      </w:r>
      <w:r>
        <w:rPr>
          <w:sz w:val="21"/>
        </w:rPr>
        <w:t>中</w:t>
      </w:r>
      <w:r>
        <w:rPr>
          <w:spacing w:val="-3"/>
          <w:sz w:val="21"/>
        </w:rPr>
        <w:t>记</w:t>
      </w:r>
      <w:r>
        <w:rPr>
          <w:sz w:val="21"/>
        </w:rPr>
        <w:t>载的</w:t>
      </w:r>
      <w:r>
        <w:rPr>
          <w:spacing w:val="-3"/>
          <w:sz w:val="21"/>
        </w:rPr>
        <w:t>出</w:t>
      </w:r>
      <w:r>
        <w:rPr>
          <w:sz w:val="21"/>
        </w:rPr>
        <w:t>生</w:t>
      </w:r>
      <w:r>
        <w:rPr>
          <w:spacing w:val="-3"/>
          <w:sz w:val="21"/>
        </w:rPr>
        <w:t>日</w:t>
      </w:r>
      <w:r>
        <w:rPr>
          <w:sz w:val="21"/>
        </w:rPr>
        <w:t>期</w:t>
      </w:r>
      <w:r>
        <w:rPr>
          <w:spacing w:val="-3"/>
          <w:sz w:val="21"/>
        </w:rPr>
        <w:t>为</w:t>
      </w:r>
      <w:r>
        <w:rPr>
          <w:sz w:val="21"/>
        </w:rPr>
        <w:t>计</w:t>
      </w:r>
      <w:r>
        <w:rPr>
          <w:spacing w:val="-3"/>
          <w:sz w:val="21"/>
        </w:rPr>
        <w:t>算</w:t>
      </w:r>
      <w:r>
        <w:rPr>
          <w:sz w:val="21"/>
        </w:rPr>
        <w:t>基</w:t>
      </w:r>
      <w:r>
        <w:rPr>
          <w:spacing w:val="-3"/>
          <w:sz w:val="21"/>
        </w:rPr>
        <w:t>础</w:t>
      </w:r>
      <w:r>
        <w:rPr>
          <w:sz w:val="21"/>
        </w:rPr>
        <w:t>。</w:t>
      </w:r>
    </w:p>
    <w:p>
      <w:pPr>
        <w:pStyle w:val="BodyText"/>
        <w:spacing w:before="8"/>
        <w:rPr>
          <w:sz w:val="26"/>
        </w:rPr>
      </w:pPr>
    </w:p>
    <w:p>
      <w:pPr>
        <w:pStyle w:val="ListParagraph"/>
        <w:numPr>
          <w:ilvl w:val="1"/>
          <w:numId w:val="11"/>
        </w:numPr>
        <w:tabs>
          <w:tab w:pos="927" w:val="left" w:leader="none"/>
        </w:tabs>
        <w:spacing w:line="273" w:lineRule="auto" w:before="0" w:after="0"/>
        <w:ind w:left="2090" w:right="211" w:hanging="1862"/>
        <w:jc w:val="both"/>
        <w:rPr>
          <w:sz w:val="21"/>
        </w:rPr>
      </w:pPr>
      <w:r>
        <w:rPr>
          <w:spacing w:val="-6"/>
          <w:sz w:val="21"/>
        </w:rPr>
        <w:t>现金价值      指保险单所具有的价值。通常体现为解除合同时，根据精算原理计算的，由本公司</w:t>
      </w:r>
      <w:r>
        <w:rPr>
          <w:spacing w:val="-8"/>
          <w:sz w:val="21"/>
        </w:rPr>
        <w:t>退还的那部分金额。保单年度末的现金价值金额在现金价值表上载明，保单年度之内的</w:t>
      </w:r>
      <w:r>
        <w:rPr>
          <w:spacing w:val="-5"/>
          <w:sz w:val="21"/>
        </w:rPr>
        <w:t>现金价值金额您可以向我们查询。</w:t>
      </w:r>
    </w:p>
    <w:p>
      <w:pPr>
        <w:pStyle w:val="BodyText"/>
        <w:spacing w:line="273" w:lineRule="auto" w:before="7"/>
        <w:ind w:left="2090" w:right="210" w:firstLine="422"/>
      </w:pPr>
      <w:r>
        <w:rPr>
          <w:spacing w:val="-8"/>
        </w:rPr>
        <w:t>保单年度：从保单生效日或保单生效对应日零时起至下一年度保单生效对应日零时</w:t>
      </w:r>
      <w:r>
        <w:rPr>
          <w:spacing w:val="-3"/>
        </w:rPr>
        <w:t>止为一个保单年度。</w:t>
      </w:r>
    </w:p>
    <w:p>
      <w:pPr>
        <w:pStyle w:val="BodyText"/>
        <w:spacing w:before="5"/>
        <w:rPr>
          <w:sz w:val="24"/>
        </w:rPr>
      </w:pPr>
    </w:p>
    <w:p>
      <w:pPr>
        <w:pStyle w:val="ListParagraph"/>
        <w:numPr>
          <w:ilvl w:val="1"/>
          <w:numId w:val="11"/>
        </w:numPr>
        <w:tabs>
          <w:tab w:pos="926" w:val="left" w:leader="none"/>
          <w:tab w:pos="927" w:val="left" w:leader="none"/>
          <w:tab w:pos="2510" w:val="left" w:leader="none"/>
        </w:tabs>
        <w:spacing w:line="273" w:lineRule="auto" w:before="0" w:after="0"/>
        <w:ind w:left="2090" w:right="167" w:hanging="1862"/>
        <w:jc w:val="left"/>
        <w:rPr>
          <w:sz w:val="21"/>
        </w:rPr>
      </w:pPr>
      <w:r>
        <w:rPr>
          <w:sz w:val="21"/>
        </w:rPr>
        <w:t>认可医院</w:t>
        <w:tab/>
        <w:tab/>
      </w:r>
      <w:r>
        <w:rPr>
          <w:spacing w:val="-1"/>
          <w:sz w:val="21"/>
        </w:rPr>
        <w:t>指</w:t>
      </w:r>
      <w:r>
        <w:rPr>
          <w:sz w:val="21"/>
        </w:rPr>
        <w:t>二</w:t>
      </w:r>
      <w:r>
        <w:rPr>
          <w:spacing w:val="-3"/>
          <w:sz w:val="21"/>
        </w:rPr>
        <w:t>级</w:t>
      </w:r>
      <w:r>
        <w:rPr>
          <w:sz w:val="21"/>
        </w:rPr>
        <w:t>及</w:t>
      </w:r>
      <w:r>
        <w:rPr>
          <w:spacing w:val="-3"/>
          <w:sz w:val="21"/>
        </w:rPr>
        <w:t>以</w:t>
      </w:r>
      <w:r>
        <w:rPr>
          <w:sz w:val="21"/>
        </w:rPr>
        <w:t>上</w:t>
      </w:r>
      <w:r>
        <w:rPr>
          <w:spacing w:val="-3"/>
          <w:sz w:val="21"/>
        </w:rPr>
        <w:t>非</w:t>
      </w:r>
      <w:r>
        <w:rPr>
          <w:sz w:val="21"/>
        </w:rPr>
        <w:t>盈</w:t>
      </w:r>
      <w:r>
        <w:rPr>
          <w:spacing w:val="-3"/>
          <w:sz w:val="21"/>
        </w:rPr>
        <w:t>利</w:t>
      </w:r>
      <w:r>
        <w:rPr>
          <w:sz w:val="21"/>
        </w:rPr>
        <w:t>性</w:t>
      </w:r>
      <w:r>
        <w:rPr>
          <w:spacing w:val="-3"/>
          <w:sz w:val="21"/>
        </w:rPr>
        <w:t>医</w:t>
      </w:r>
      <w:r>
        <w:rPr>
          <w:sz w:val="21"/>
        </w:rPr>
        <w:t>院、</w:t>
      </w:r>
      <w:r>
        <w:rPr>
          <w:spacing w:val="-3"/>
          <w:sz w:val="21"/>
        </w:rPr>
        <w:t>二</w:t>
      </w:r>
      <w:r>
        <w:rPr>
          <w:sz w:val="21"/>
        </w:rPr>
        <w:t>级</w:t>
      </w:r>
      <w:r>
        <w:rPr>
          <w:spacing w:val="-3"/>
          <w:sz w:val="21"/>
        </w:rPr>
        <w:t>及</w:t>
      </w:r>
      <w:r>
        <w:rPr>
          <w:sz w:val="21"/>
        </w:rPr>
        <w:t>以</w:t>
      </w:r>
      <w:r>
        <w:rPr>
          <w:spacing w:val="-3"/>
          <w:sz w:val="21"/>
        </w:rPr>
        <w:t>上</w:t>
      </w:r>
      <w:r>
        <w:rPr>
          <w:sz w:val="21"/>
        </w:rPr>
        <w:t>社</w:t>
      </w:r>
      <w:r>
        <w:rPr>
          <w:spacing w:val="-3"/>
          <w:sz w:val="21"/>
        </w:rPr>
        <w:t>保</w:t>
      </w:r>
      <w:r>
        <w:rPr>
          <w:sz w:val="21"/>
        </w:rPr>
        <w:t>定</w:t>
      </w:r>
      <w:r>
        <w:rPr>
          <w:spacing w:val="-3"/>
          <w:sz w:val="21"/>
        </w:rPr>
        <w:t>点</w:t>
      </w:r>
      <w:r>
        <w:rPr>
          <w:sz w:val="21"/>
        </w:rPr>
        <w:t>医院</w:t>
      </w:r>
      <w:r>
        <w:rPr>
          <w:spacing w:val="-3"/>
          <w:sz w:val="21"/>
        </w:rPr>
        <w:t>或</w:t>
      </w:r>
      <w:r>
        <w:rPr>
          <w:sz w:val="21"/>
        </w:rPr>
        <w:t>本</w:t>
      </w:r>
      <w:r>
        <w:rPr>
          <w:spacing w:val="-3"/>
          <w:sz w:val="21"/>
        </w:rPr>
        <w:t>公</w:t>
      </w:r>
      <w:r>
        <w:rPr>
          <w:sz w:val="21"/>
        </w:rPr>
        <w:t>司</w:t>
      </w:r>
      <w:r>
        <w:rPr>
          <w:spacing w:val="-3"/>
          <w:sz w:val="21"/>
        </w:rPr>
        <w:t>认</w:t>
      </w:r>
      <w:r>
        <w:rPr>
          <w:sz w:val="21"/>
        </w:rPr>
        <w:t>可</w:t>
      </w:r>
      <w:r>
        <w:rPr>
          <w:spacing w:val="-3"/>
          <w:sz w:val="21"/>
        </w:rPr>
        <w:t>的</w:t>
      </w:r>
      <w:r>
        <w:rPr>
          <w:sz w:val="21"/>
        </w:rPr>
        <w:t>其</w:t>
      </w:r>
      <w:r>
        <w:rPr>
          <w:spacing w:val="-3"/>
          <w:sz w:val="21"/>
        </w:rPr>
        <w:t>他</w:t>
      </w:r>
      <w:r>
        <w:rPr>
          <w:sz w:val="21"/>
        </w:rPr>
        <w:t>医</w:t>
      </w:r>
      <w:r>
        <w:rPr>
          <w:spacing w:val="-3"/>
          <w:sz w:val="21"/>
        </w:rPr>
        <w:t>院</w:t>
      </w:r>
      <w:r>
        <w:rPr>
          <w:sz w:val="21"/>
        </w:rPr>
        <w:t>。 </w:t>
      </w:r>
      <w:r>
        <w:rPr>
          <w:spacing w:val="-2"/>
          <w:sz w:val="21"/>
        </w:rPr>
        <w:t>具体</w:t>
      </w:r>
      <w:r>
        <w:rPr>
          <w:spacing w:val="-3"/>
          <w:sz w:val="21"/>
        </w:rPr>
        <w:t>可</w:t>
      </w:r>
      <w:r>
        <w:rPr>
          <w:spacing w:val="-2"/>
          <w:sz w:val="21"/>
        </w:rPr>
        <w:t>登</w:t>
      </w:r>
      <w:r>
        <w:rPr>
          <w:spacing w:val="-3"/>
          <w:sz w:val="21"/>
        </w:rPr>
        <w:t>陆</w:t>
      </w:r>
      <w:r>
        <w:rPr>
          <w:spacing w:val="-2"/>
          <w:sz w:val="21"/>
        </w:rPr>
        <w:t>本</w:t>
      </w:r>
      <w:r>
        <w:rPr>
          <w:spacing w:val="-3"/>
          <w:sz w:val="21"/>
        </w:rPr>
        <w:t>公</w:t>
      </w:r>
      <w:r>
        <w:rPr>
          <w:spacing w:val="-2"/>
          <w:sz w:val="21"/>
        </w:rPr>
        <w:t>司</w:t>
      </w:r>
      <w:r>
        <w:rPr>
          <w:spacing w:val="-3"/>
          <w:sz w:val="21"/>
        </w:rPr>
        <w:t>主</w:t>
      </w:r>
      <w:r>
        <w:rPr>
          <w:spacing w:val="-22"/>
          <w:sz w:val="21"/>
        </w:rPr>
        <w:t>页</w:t>
      </w:r>
      <w:r>
        <w:rPr>
          <w:spacing w:val="-2"/>
          <w:sz w:val="21"/>
        </w:rPr>
        <w:t>（</w:t>
      </w:r>
      <w:hyperlink r:id="rId10">
        <w:r>
          <w:rPr>
            <w:color w:val="0000FF"/>
            <w:spacing w:val="-2"/>
            <w:sz w:val="21"/>
          </w:rPr>
          <w:t>www.newchinalife.com</w:t>
        </w:r>
      </w:hyperlink>
      <w:r>
        <w:rPr>
          <w:spacing w:val="-2"/>
          <w:sz w:val="21"/>
        </w:rPr>
        <w:t>）</w:t>
      </w:r>
      <w:r>
        <w:rPr>
          <w:spacing w:val="-3"/>
          <w:sz w:val="21"/>
        </w:rPr>
        <w:t>查</w:t>
      </w:r>
      <w:r>
        <w:rPr>
          <w:spacing w:val="-1"/>
          <w:sz w:val="21"/>
        </w:rPr>
        <w:t>询或</w:t>
      </w:r>
      <w:r>
        <w:rPr>
          <w:spacing w:val="-3"/>
          <w:sz w:val="21"/>
        </w:rPr>
        <w:t>咨</w:t>
      </w:r>
      <w:r>
        <w:rPr>
          <w:spacing w:val="-1"/>
          <w:sz w:val="21"/>
        </w:rPr>
        <w:t>询</w:t>
      </w:r>
      <w:r>
        <w:rPr>
          <w:spacing w:val="-3"/>
          <w:sz w:val="21"/>
        </w:rPr>
        <w:t>本</w:t>
      </w:r>
      <w:r>
        <w:rPr>
          <w:spacing w:val="-1"/>
          <w:sz w:val="21"/>
        </w:rPr>
        <w:t>公</w:t>
      </w:r>
      <w:r>
        <w:rPr>
          <w:spacing w:val="-3"/>
          <w:sz w:val="21"/>
        </w:rPr>
        <w:t>司</w:t>
      </w:r>
      <w:r>
        <w:rPr>
          <w:spacing w:val="-1"/>
          <w:sz w:val="21"/>
        </w:rPr>
        <w:t>全</w:t>
      </w:r>
      <w:r>
        <w:rPr>
          <w:spacing w:val="-3"/>
          <w:sz w:val="21"/>
        </w:rPr>
        <w:t>国</w:t>
      </w:r>
      <w:r>
        <w:rPr>
          <w:spacing w:val="-1"/>
          <w:sz w:val="21"/>
        </w:rPr>
        <w:t>客</w:t>
      </w:r>
      <w:r>
        <w:rPr>
          <w:spacing w:val="-3"/>
          <w:sz w:val="21"/>
        </w:rPr>
        <w:t>户</w:t>
      </w:r>
      <w:r>
        <w:rPr>
          <w:spacing w:val="-1"/>
          <w:sz w:val="21"/>
        </w:rPr>
        <w:t>服务</w:t>
      </w:r>
      <w:r>
        <w:rPr>
          <w:spacing w:val="-3"/>
          <w:sz w:val="21"/>
        </w:rPr>
        <w:t>电</w:t>
      </w:r>
      <w:r>
        <w:rPr>
          <w:spacing w:val="-1"/>
          <w:sz w:val="21"/>
        </w:rPr>
        <w:t>话</w:t>
      </w:r>
    </w:p>
    <w:p>
      <w:pPr>
        <w:pStyle w:val="BodyText"/>
        <w:spacing w:before="7"/>
        <w:ind w:left="2090"/>
      </w:pPr>
      <w:r>
        <w:rPr/>
        <w:t>95567。</w:t>
      </w:r>
    </w:p>
    <w:p>
      <w:pPr>
        <w:pStyle w:val="BodyText"/>
        <w:spacing w:before="8"/>
        <w:rPr>
          <w:sz w:val="26"/>
        </w:rPr>
      </w:pPr>
    </w:p>
    <w:p>
      <w:pPr>
        <w:pStyle w:val="ListParagraph"/>
        <w:numPr>
          <w:ilvl w:val="1"/>
          <w:numId w:val="11"/>
        </w:numPr>
        <w:tabs>
          <w:tab w:pos="926" w:val="left" w:leader="none"/>
          <w:tab w:pos="927" w:val="left" w:leader="none"/>
          <w:tab w:pos="2510" w:val="left" w:leader="none"/>
        </w:tabs>
        <w:spacing w:line="240" w:lineRule="auto" w:before="0" w:after="0"/>
        <w:ind w:left="2090" w:right="0" w:hanging="1862"/>
        <w:jc w:val="left"/>
        <w:rPr>
          <w:sz w:val="21"/>
        </w:rPr>
      </w:pPr>
      <w:r>
        <w:rPr>
          <w:sz w:val="21"/>
        </w:rPr>
        <w:t>专科医生</w:t>
        <w:tab/>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ind w:left="2510"/>
      </w:pPr>
      <w:r>
        <w:rPr/>
        <w:t>1.具有有效的中华人民共和国《医师资格证书》；</w:t>
      </w:r>
    </w:p>
    <w:p>
      <w:pPr>
        <w:pStyle w:val="BodyText"/>
        <w:ind w:left="2510"/>
      </w:pPr>
      <w:r>
        <w:rPr/>
        <w:t>2.具有有效的中华人民共和国《医师执业证书》，并按期到相关部门登记注册；</w:t>
      </w:r>
    </w:p>
    <w:p>
      <w:pPr>
        <w:spacing w:after="0"/>
        <w:sectPr>
          <w:pgSz w:w="11910" w:h="16840"/>
          <w:pgMar w:header="879" w:footer="995" w:top="1120" w:bottom="1180" w:left="940" w:right="720"/>
        </w:sectPr>
      </w:pPr>
    </w:p>
    <w:p>
      <w:pPr>
        <w:pStyle w:val="BodyText"/>
        <w:spacing w:before="2"/>
        <w:rPr>
          <w:sz w:val="19"/>
        </w:rPr>
      </w:pPr>
    </w:p>
    <w:p>
      <w:pPr>
        <w:pStyle w:val="BodyText"/>
        <w:spacing w:before="37"/>
        <w:ind w:left="2390"/>
      </w:pPr>
      <w:r>
        <w:rPr/>
        <w:t>3.具有有效的中华人民共和国主治医师或主治医师以上职称的《医师职称证书》；</w:t>
      </w:r>
    </w:p>
    <w:p>
      <w:pPr>
        <w:pStyle w:val="BodyText"/>
        <w:spacing w:before="37"/>
        <w:ind w:left="2390"/>
      </w:pPr>
      <w:r>
        <w:rPr/>
        <w:t>4.在二级或二级以上医院的相应科室从事临床工作三年以上。</w:t>
      </w:r>
    </w:p>
    <w:p>
      <w:pPr>
        <w:pStyle w:val="BodyText"/>
        <w:spacing w:before="11"/>
        <w:rPr>
          <w:sz w:val="23"/>
        </w:rPr>
      </w:pPr>
    </w:p>
    <w:p>
      <w:pPr>
        <w:spacing w:after="0"/>
        <w:rPr>
          <w:sz w:val="23"/>
        </w:rPr>
        <w:sectPr>
          <w:pgSz w:w="11910" w:h="16840"/>
          <w:pgMar w:header="879" w:footer="995" w:top="1120" w:bottom="1180" w:left="1060" w:right="720"/>
        </w:sectPr>
      </w:pPr>
    </w:p>
    <w:p>
      <w:pPr>
        <w:pStyle w:val="ListParagraph"/>
        <w:numPr>
          <w:ilvl w:val="1"/>
          <w:numId w:val="11"/>
        </w:numPr>
        <w:tabs>
          <w:tab w:pos="807" w:val="left" w:leader="none"/>
        </w:tabs>
        <w:spacing w:line="273" w:lineRule="auto" w:before="37" w:after="0"/>
        <w:ind w:left="806" w:right="0" w:hanging="698"/>
        <w:jc w:val="both"/>
        <w:rPr>
          <w:sz w:val="21"/>
        </w:rPr>
      </w:pPr>
      <w:r>
        <w:rPr>
          <w:sz w:val="21"/>
        </w:rPr>
        <w:t>本合同所指的重大疾病</w:t>
      </w:r>
    </w:p>
    <w:p>
      <w:pPr>
        <w:pStyle w:val="BodyText"/>
        <w:spacing w:before="37"/>
        <w:ind w:left="108"/>
      </w:pPr>
      <w:r>
        <w:rPr/>
        <w:br w:type="column"/>
      </w:r>
      <w:r>
        <w:rPr/>
        <w:t>本合同所指的重大疾病，是指下列疾病、疾病状态或手术：</w:t>
      </w:r>
    </w:p>
    <w:p>
      <w:pPr>
        <w:spacing w:after="0"/>
        <w:sectPr>
          <w:type w:val="continuous"/>
          <w:pgSz w:w="11910" w:h="16840"/>
          <w:pgMar w:top="1040" w:bottom="1180" w:left="1060" w:right="720"/>
          <w:cols w:num="2" w:equalWidth="0">
            <w:col w:w="1652" w:space="645"/>
            <w:col w:w="7833"/>
          </w:cols>
        </w:sectPr>
      </w:pPr>
    </w:p>
    <w:p>
      <w:pPr>
        <w:pStyle w:val="BodyText"/>
        <w:spacing w:before="8"/>
      </w:pPr>
    </w:p>
    <w:p>
      <w:pPr>
        <w:spacing w:after="0"/>
        <w:sectPr>
          <w:type w:val="continuous"/>
          <w:pgSz w:w="11910" w:h="16840"/>
          <w:pgMar w:top="1040" w:bottom="1180" w:left="1060" w:right="720"/>
        </w:sectPr>
      </w:pPr>
    </w:p>
    <w:p>
      <w:pPr>
        <w:pStyle w:val="BodyText"/>
        <w:spacing w:line="273" w:lineRule="auto" w:before="37"/>
        <w:ind w:left="806"/>
      </w:pPr>
      <w:r>
        <w:rPr/>
        <w:t>6.5.1 恶性肿瘤</w:t>
      </w:r>
    </w:p>
    <w:p>
      <w:pPr>
        <w:pStyle w:val="BodyText"/>
        <w:spacing w:line="273" w:lineRule="auto" w:before="37"/>
        <w:ind w:left="279" w:right="107" w:firstLine="420"/>
      </w:pPr>
      <w:r>
        <w:rPr/>
        <w:br w:type="column"/>
      </w:r>
      <w:r>
        <w:rPr>
          <w:spacing w:val="-10"/>
        </w:rPr>
        <w:t>指恶性细胞不受控制的进行性增长和扩散，浸润和破坏周围正常组织，可以经血管、</w:t>
      </w:r>
      <w:r>
        <w:rPr>
          <w:spacing w:val="-7"/>
        </w:rPr>
        <w:t>淋巴管和体腔扩散转移到身体其他部位的疾病。经病理学检查结果明确诊断，临床诊断属于世界卫生组织《疾病和有关健康问题的国际统计分类</w:t>
      </w:r>
      <w:r>
        <w:rPr>
          <w:spacing w:val="-120"/>
        </w:rPr>
        <w:t>》</w:t>
      </w:r>
      <w:r>
        <w:rPr>
          <w:spacing w:val="-4"/>
        </w:rPr>
        <w:t>（ICD-10）</w:t>
      </w:r>
      <w:r>
        <w:rPr>
          <w:spacing w:val="-3"/>
        </w:rPr>
        <w:t>的恶性肿瘤范畴。</w:t>
      </w:r>
    </w:p>
    <w:p>
      <w:pPr>
        <w:pStyle w:val="BodyText"/>
        <w:spacing w:before="7"/>
        <w:ind w:left="699"/>
      </w:pPr>
      <w:r>
        <w:rPr/>
        <w:t>下列疾病不在保障范围内：</w:t>
      </w:r>
    </w:p>
    <w:p>
      <w:pPr>
        <w:pStyle w:val="BodyText"/>
        <w:ind w:left="595"/>
      </w:pPr>
      <w:r>
        <w:rPr/>
        <w:t>（1）原位癌；</w:t>
      </w:r>
    </w:p>
    <w:p>
      <w:pPr>
        <w:pStyle w:val="BodyText"/>
        <w:ind w:left="595"/>
      </w:pPr>
      <w:r>
        <w:rPr/>
        <w:t>（2）相当于 Binet 分期方案 A 期程度的慢性淋巴细胞白血病；</w:t>
      </w:r>
    </w:p>
    <w:p>
      <w:pPr>
        <w:pStyle w:val="BodyText"/>
        <w:ind w:left="595"/>
      </w:pPr>
      <w:r>
        <w:rPr/>
        <w:t>（3）相当于 Ann Arbor 分期方案 I 期程度的何杰金氏病；</w:t>
      </w:r>
    </w:p>
    <w:p>
      <w:pPr>
        <w:pStyle w:val="BodyText"/>
        <w:ind w:left="595"/>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73" w:lineRule="auto"/>
        <w:ind w:left="279" w:right="261" w:firstLine="316"/>
      </w:pPr>
      <w:r>
        <w:rPr>
          <w:position w:val="1"/>
        </w:rPr>
        <w:t>（5）TNM</w:t>
      </w:r>
      <w:r>
        <w:rPr>
          <w:spacing w:val="-16"/>
          <w:position w:val="1"/>
        </w:rPr>
        <w:t> 分期为 </w:t>
      </w:r>
      <w:r>
        <w:rPr>
          <w:position w:val="1"/>
        </w:rPr>
        <w:t>T</w:t>
      </w:r>
      <w:r>
        <w:rPr>
          <w:sz w:val="11"/>
        </w:rPr>
        <w:t>1</w:t>
      </w:r>
      <w:r>
        <w:rPr>
          <w:position w:val="1"/>
        </w:rPr>
        <w:t>N</w:t>
      </w:r>
      <w:r>
        <w:rPr>
          <w:sz w:val="11"/>
        </w:rPr>
        <w:t>0</w:t>
      </w:r>
      <w:r>
        <w:rPr>
          <w:position w:val="1"/>
        </w:rPr>
        <w:t>M</w:t>
      </w:r>
      <w:r>
        <w:rPr>
          <w:sz w:val="11"/>
        </w:rPr>
        <w:t>0 </w:t>
      </w:r>
      <w:r>
        <w:rPr>
          <w:spacing w:val="-2"/>
          <w:position w:val="1"/>
        </w:rPr>
        <w:t>期或更轻分期的前列腺癌</w:t>
      </w:r>
      <w:r>
        <w:rPr>
          <w:position w:val="1"/>
        </w:rPr>
        <w:t>（</w:t>
      </w:r>
      <w:r>
        <w:rPr>
          <w:spacing w:val="-2"/>
          <w:position w:val="1"/>
        </w:rPr>
        <w:t>如为女性被保险人，则不包括此</w:t>
      </w:r>
      <w:r>
        <w:rPr>
          <w:spacing w:val="-2"/>
          <w:w w:val="100"/>
        </w:rPr>
        <w:t>项</w:t>
      </w:r>
      <w:r>
        <w:rPr>
          <w:spacing w:val="-106"/>
          <w:w w:val="100"/>
        </w:rPr>
        <w:t>）</w:t>
      </w:r>
      <w:r>
        <w:rPr>
          <w:w w:val="100"/>
        </w:rPr>
        <w:t>；</w:t>
      </w:r>
    </w:p>
    <w:p>
      <w:pPr>
        <w:pStyle w:val="BodyText"/>
        <w:spacing w:before="7"/>
        <w:ind w:left="595"/>
      </w:pPr>
      <w:r>
        <w:rPr/>
        <w:t>（6）感染艾滋病病毒或患艾滋病期间所患恶性肿瘤。</w:t>
      </w:r>
    </w:p>
    <w:p>
      <w:pPr>
        <w:spacing w:after="0"/>
        <w:sectPr>
          <w:type w:val="continuous"/>
          <w:pgSz w:w="11910" w:h="16840"/>
          <w:pgMar w:top="1040" w:bottom="1180" w:left="1060" w:right="720"/>
          <w:cols w:num="2" w:equalWidth="0">
            <w:col w:w="1652" w:space="40"/>
            <w:col w:w="8438"/>
          </w:cols>
        </w:sectPr>
      </w:pPr>
    </w:p>
    <w:p>
      <w:pPr>
        <w:pStyle w:val="BodyText"/>
        <w:spacing w:before="11"/>
        <w:rPr>
          <w:sz w:val="23"/>
        </w:rPr>
      </w:pPr>
    </w:p>
    <w:p>
      <w:pPr>
        <w:spacing w:after="0"/>
        <w:rPr>
          <w:sz w:val="23"/>
        </w:rPr>
        <w:sectPr>
          <w:type w:val="continuous"/>
          <w:pgSz w:w="11910" w:h="16840"/>
          <w:pgMar w:top="1040" w:bottom="1180" w:left="1060" w:right="720"/>
        </w:sectPr>
      </w:pPr>
    </w:p>
    <w:p>
      <w:pPr>
        <w:pStyle w:val="ListParagraph"/>
        <w:numPr>
          <w:ilvl w:val="2"/>
          <w:numId w:val="11"/>
        </w:numPr>
        <w:tabs>
          <w:tab w:pos="1441" w:val="left" w:leader="none"/>
        </w:tabs>
        <w:spacing w:line="273" w:lineRule="auto" w:before="36" w:after="0"/>
        <w:ind w:left="806" w:right="0" w:firstLine="0"/>
        <w:jc w:val="both"/>
        <w:rPr>
          <w:sz w:val="21"/>
        </w:rPr>
      </w:pPr>
      <w:r>
        <w:rPr>
          <w:sz w:val="21"/>
        </w:rPr>
        <w:t>急性心肌梗塞</w:t>
      </w:r>
    </w:p>
    <w:p>
      <w:pPr>
        <w:pStyle w:val="BodyText"/>
        <w:spacing w:line="273" w:lineRule="auto"/>
        <w:ind w:left="279" w:right="165" w:firstLine="420"/>
      </w:pPr>
      <w:r>
        <w:rPr/>
        <w:br w:type="column"/>
      </w:r>
      <w:r>
        <w:rPr/>
        <w:t>指因冠状动脉阻塞导致的相应区域供血不足造成部分心肌坏死。须满足下列至少三项条件：</w:t>
      </w:r>
    </w:p>
    <w:p>
      <w:pPr>
        <w:pStyle w:val="BodyText"/>
        <w:spacing w:before="7"/>
        <w:ind w:left="595"/>
      </w:pPr>
      <w:r>
        <w:rPr/>
        <w:t>（1）典型临床表现，例如急性胸痛等；</w:t>
      </w:r>
    </w:p>
    <w:p>
      <w:pPr>
        <w:pStyle w:val="BodyText"/>
        <w:spacing w:before="37"/>
        <w:ind w:left="595"/>
      </w:pPr>
      <w:r>
        <w:rPr/>
        <w:t>（2）新近的心电图改变提示急性心肌梗塞；</w:t>
      </w:r>
    </w:p>
    <w:p>
      <w:pPr>
        <w:pStyle w:val="BodyText"/>
        <w:spacing w:before="37"/>
        <w:ind w:left="595"/>
      </w:pPr>
      <w:r>
        <w:rPr/>
        <w:t>（3）心肌酶或肌钙蛋白有诊断意义的升高，或呈符合急性心肌梗塞的动态性变化；</w:t>
      </w:r>
    </w:p>
    <w:p>
      <w:pPr>
        <w:pStyle w:val="BodyText"/>
        <w:spacing w:before="37"/>
        <w:ind w:left="595"/>
      </w:pPr>
      <w:r>
        <w:rPr/>
        <w:t>（4）发病 90 天后，经检查证实左心室功能降低，如左心室射血分数低于 50％。</w:t>
      </w:r>
    </w:p>
    <w:p>
      <w:pPr>
        <w:spacing w:after="0"/>
        <w:sectPr>
          <w:type w:val="continuous"/>
          <w:pgSz w:w="11910" w:h="16840"/>
          <w:pgMar w:top="1040" w:bottom="1180" w:left="1060" w:right="720"/>
          <w:cols w:num="2" w:equalWidth="0">
            <w:col w:w="1652" w:space="40"/>
            <w:col w:w="8438"/>
          </w:cols>
        </w:sectPr>
      </w:pPr>
    </w:p>
    <w:p>
      <w:pPr>
        <w:pStyle w:val="BodyText"/>
        <w:spacing w:before="12"/>
        <w:rPr>
          <w:sz w:val="23"/>
        </w:rPr>
      </w:pPr>
    </w:p>
    <w:p>
      <w:pPr>
        <w:spacing w:after="0"/>
        <w:rPr>
          <w:sz w:val="23"/>
        </w:rPr>
        <w:sectPr>
          <w:type w:val="continuous"/>
          <w:pgSz w:w="11910" w:h="16840"/>
          <w:pgMar w:top="1040" w:bottom="1180" w:left="1060" w:right="720"/>
        </w:sectPr>
      </w:pPr>
    </w:p>
    <w:p>
      <w:pPr>
        <w:pStyle w:val="ListParagraph"/>
        <w:numPr>
          <w:ilvl w:val="2"/>
          <w:numId w:val="11"/>
        </w:numPr>
        <w:tabs>
          <w:tab w:pos="1441" w:val="left" w:leader="none"/>
        </w:tabs>
        <w:spacing w:line="273" w:lineRule="auto" w:before="36" w:after="0"/>
        <w:ind w:left="806" w:right="0" w:firstLine="0"/>
        <w:jc w:val="both"/>
        <w:rPr>
          <w:sz w:val="21"/>
        </w:rPr>
      </w:pPr>
      <w:r>
        <w:rPr>
          <w:sz w:val="21"/>
        </w:rPr>
        <w:t>脑中风后遗症</w:t>
      </w:r>
    </w:p>
    <w:p>
      <w:pPr>
        <w:pStyle w:val="BodyText"/>
        <w:spacing w:line="273" w:lineRule="auto"/>
        <w:ind w:left="279" w:right="211" w:firstLine="420"/>
      </w:pPr>
      <w:r>
        <w:rPr/>
        <w:br w:type="column"/>
      </w:r>
      <w:r>
        <w:rPr>
          <w:spacing w:val="-6"/>
        </w:rPr>
        <w:t>指因脑血管的突发病变引起脑血管出血、栓塞或梗塞，并导致神经系统永久性的功</w:t>
      </w:r>
      <w:r>
        <w:rPr>
          <w:spacing w:val="-4"/>
        </w:rPr>
        <w:t>能障碍。</w:t>
      </w:r>
    </w:p>
    <w:p>
      <w:pPr>
        <w:pStyle w:val="BodyText"/>
        <w:spacing w:line="273" w:lineRule="auto" w:before="7"/>
        <w:ind w:left="279" w:right="213" w:firstLine="422"/>
      </w:pPr>
      <w:r>
        <w:rPr>
          <w:spacing w:val="-7"/>
        </w:rPr>
        <w:t>神经系统永久性的功能障碍，指疾病确诊 </w:t>
      </w:r>
      <w:r>
        <w:rPr/>
        <w:t>180</w:t>
      </w:r>
      <w:r>
        <w:rPr>
          <w:spacing w:val="-10"/>
        </w:rPr>
        <w:t> 天后，仍遗留下列一种或一种以上障碍：</w:t>
      </w:r>
    </w:p>
    <w:p>
      <w:pPr>
        <w:pStyle w:val="BodyText"/>
        <w:spacing w:before="7"/>
        <w:ind w:left="595"/>
      </w:pPr>
      <w:r>
        <w:rPr/>
        <w:t>（1）一肢或一肢以上肢体机能完全丧失；</w:t>
      </w:r>
    </w:p>
    <w:p>
      <w:pPr>
        <w:pStyle w:val="BodyText"/>
        <w:spacing w:before="37"/>
        <w:ind w:left="595"/>
      </w:pPr>
      <w:r>
        <w:rPr/>
        <w:t>（2）语言能力或咀嚼吞咽能力完全丧失；</w:t>
      </w:r>
    </w:p>
    <w:p>
      <w:pPr>
        <w:pStyle w:val="BodyText"/>
        <w:spacing w:line="273" w:lineRule="auto" w:before="37"/>
        <w:ind w:left="279" w:right="173" w:firstLine="316"/>
      </w:pPr>
      <w:r>
        <w:rPr/>
        <w:t>（3）自主生活能力完全丧失，无法独立完成六项基本日常生活活动中的三项或三项以上。</w:t>
      </w:r>
    </w:p>
    <w:p>
      <w:pPr>
        <w:pStyle w:val="BodyText"/>
        <w:spacing w:line="273" w:lineRule="auto" w:before="7"/>
        <w:ind w:left="279" w:right="163" w:firstLine="422"/>
      </w:pPr>
      <w:r>
        <w:rPr/>
        <w:t>肢体机能完全丧失，指肢体的三大关节中的两大关节僵硬，或不能随意识活动。肢体是指包括肩关节的整个上肢或包括髋关节的整个下肢。</w:t>
      </w:r>
    </w:p>
    <w:p>
      <w:pPr>
        <w:pStyle w:val="BodyText"/>
        <w:spacing w:line="273" w:lineRule="auto" w:before="7"/>
        <w:ind w:left="279" w:right="107" w:firstLine="422"/>
      </w:pPr>
      <w:r>
        <w:rPr>
          <w:spacing w:val="-7"/>
        </w:rPr>
        <w:t>语言能力完全丧失，指无法发出四种语音</w:t>
      </w:r>
      <w:r>
        <w:rPr>
          <w:spacing w:val="-3"/>
        </w:rPr>
        <w:t>（</w:t>
      </w:r>
      <w:r>
        <w:rPr>
          <w:spacing w:val="-11"/>
        </w:rPr>
        <w:t>包括口唇音、齿舌音、口盖音和喉头音</w:t>
      </w:r>
      <w:r>
        <w:rPr/>
        <w:t>） </w:t>
      </w:r>
      <w:r>
        <w:rPr>
          <w:spacing w:val="-3"/>
        </w:rPr>
        <w:t>中的任何三种、或声带全部切除，或因大脑语言中枢受伤害而患失语症。</w:t>
      </w:r>
    </w:p>
    <w:p>
      <w:pPr>
        <w:pStyle w:val="BodyText"/>
        <w:spacing w:line="273" w:lineRule="auto" w:before="7"/>
        <w:ind w:left="279" w:right="163" w:firstLine="422"/>
      </w:pPr>
      <w:r>
        <w:rPr/>
        <w:t>咀嚼吞咽能力完全丧失，指因牙齿以外的原因导致器质障碍或机能障碍，以致不能作咀嚼吞咽运动，除流质食物外不能摄取或吞咽的状态。</w:t>
      </w:r>
    </w:p>
    <w:p>
      <w:pPr>
        <w:pStyle w:val="BodyText"/>
        <w:spacing w:before="7"/>
        <w:ind w:left="701"/>
      </w:pPr>
      <w:r>
        <w:rPr/>
        <w:t>六项基本日常生活活动是指：</w:t>
      </w:r>
    </w:p>
    <w:p>
      <w:pPr>
        <w:pStyle w:val="BodyText"/>
        <w:spacing w:before="37"/>
        <w:ind w:left="699"/>
      </w:pPr>
      <w:r>
        <w:rPr/>
        <w:t>（1）穿衣：自己能够穿衣及脱衣；</w:t>
      </w:r>
    </w:p>
    <w:p>
      <w:pPr>
        <w:pStyle w:val="BodyText"/>
        <w:spacing w:before="37"/>
        <w:ind w:left="699"/>
      </w:pPr>
      <w:r>
        <w:rPr/>
        <w:t>（2）移动：自己从一个房间到另一个房间；</w:t>
      </w:r>
    </w:p>
    <w:p>
      <w:pPr>
        <w:pStyle w:val="BodyText"/>
        <w:spacing w:before="37"/>
        <w:ind w:left="699"/>
      </w:pPr>
      <w:r>
        <w:rPr/>
        <w:t>（3）行动：自己上下床或上下轮椅；</w:t>
      </w:r>
    </w:p>
    <w:p>
      <w:pPr>
        <w:spacing w:after="0"/>
        <w:sectPr>
          <w:type w:val="continuous"/>
          <w:pgSz w:w="11910" w:h="16840"/>
          <w:pgMar w:top="1040" w:bottom="1180" w:left="1060" w:right="720"/>
          <w:cols w:num="2" w:equalWidth="0">
            <w:col w:w="1652" w:space="40"/>
            <w:col w:w="8438"/>
          </w:cols>
        </w:sectPr>
      </w:pPr>
    </w:p>
    <w:p>
      <w:pPr>
        <w:pStyle w:val="BodyText"/>
        <w:spacing w:before="2"/>
        <w:rPr>
          <w:sz w:val="19"/>
        </w:rPr>
      </w:pPr>
    </w:p>
    <w:p>
      <w:pPr>
        <w:pStyle w:val="BodyText"/>
        <w:spacing w:before="37"/>
        <w:ind w:left="2290"/>
      </w:pPr>
      <w:r>
        <w:rPr/>
        <w:t>（4）如厕：自己控制进行大小便；</w:t>
      </w:r>
    </w:p>
    <w:p>
      <w:pPr>
        <w:pStyle w:val="BodyText"/>
        <w:spacing w:before="37"/>
        <w:ind w:left="2290"/>
      </w:pPr>
      <w:r>
        <w:rPr/>
        <w:t>（5）进食：自己从已准备好的碗或碟中取食物放入口中；</w:t>
      </w:r>
    </w:p>
    <w:p>
      <w:pPr>
        <w:pStyle w:val="BodyText"/>
        <w:spacing w:before="37"/>
        <w:ind w:left="2290"/>
      </w:pPr>
      <w:r>
        <w:rPr/>
        <w:t>（6）洗澡：自己进行淋浴或盆浴。</w:t>
      </w:r>
    </w:p>
    <w:p>
      <w:pPr>
        <w:pStyle w:val="BodyText"/>
        <w:spacing w:before="12"/>
        <w:rPr>
          <w:sz w:val="23"/>
        </w:rPr>
      </w:pPr>
    </w:p>
    <w:p>
      <w:pPr>
        <w:spacing w:after="0"/>
        <w:rPr>
          <w:sz w:val="23"/>
        </w:rPr>
        <w:sectPr>
          <w:pgSz w:w="11910" w:h="16840"/>
          <w:pgMar w:header="879" w:footer="995" w:top="1120" w:bottom="1180" w:left="1160" w:right="720"/>
        </w:sectPr>
      </w:pPr>
    </w:p>
    <w:p>
      <w:pPr>
        <w:pStyle w:val="ListParagraph"/>
        <w:numPr>
          <w:ilvl w:val="2"/>
          <w:numId w:val="11"/>
        </w:numPr>
        <w:tabs>
          <w:tab w:pos="1341" w:val="left" w:leader="none"/>
        </w:tabs>
        <w:spacing w:line="273" w:lineRule="auto" w:before="36" w:after="0"/>
        <w:ind w:left="706" w:right="0" w:firstLine="0"/>
        <w:jc w:val="both"/>
        <w:rPr>
          <w:sz w:val="21"/>
        </w:rPr>
      </w:pPr>
      <w:r>
        <w:rPr>
          <w:sz w:val="21"/>
        </w:rPr>
        <w:t>重大器官移植术或造血干细胞移植术</w:t>
      </w:r>
    </w:p>
    <w:p>
      <w:pPr>
        <w:pStyle w:val="BodyText"/>
        <w:spacing w:line="273" w:lineRule="auto"/>
        <w:ind w:left="279" w:right="211" w:firstLine="420"/>
      </w:pPr>
      <w:r>
        <w:rPr/>
        <w:br w:type="column"/>
      </w:r>
      <w:r>
        <w:rPr>
          <w:spacing w:val="-8"/>
        </w:rPr>
        <w:t>重大器官移植术，指因相应器官功能衰竭，已经实施了肾脏、肝脏、心脏或肺脏的</w:t>
      </w:r>
      <w:r>
        <w:rPr>
          <w:spacing w:val="-3"/>
        </w:rPr>
        <w:t>异体移植手术。</w:t>
      </w:r>
    </w:p>
    <w:p>
      <w:pPr>
        <w:pStyle w:val="BodyText"/>
        <w:spacing w:line="273" w:lineRule="auto" w:before="7"/>
        <w:ind w:left="279" w:right="211" w:firstLine="422"/>
      </w:pPr>
      <w:r>
        <w:rPr>
          <w:spacing w:val="-7"/>
        </w:rPr>
        <w:t>造血干细胞移植术，指因造血功能损害或造血系统恶性肿瘤，已经实施了造血干细</w:t>
      </w:r>
      <w:r>
        <w:rPr>
          <w:spacing w:val="-1"/>
        </w:rPr>
        <w:t>胞</w:t>
      </w:r>
      <w:r>
        <w:rPr/>
        <w:t>（</w:t>
      </w:r>
      <w:r>
        <w:rPr>
          <w:spacing w:val="-3"/>
        </w:rPr>
        <w:t>包括骨髓造血干细胞、外周血造血干细胞和脐血造血干细胞）的异体移植手术。</w:t>
      </w:r>
    </w:p>
    <w:p>
      <w:pPr>
        <w:spacing w:after="0" w:line="273" w:lineRule="auto"/>
        <w:sectPr>
          <w:type w:val="continuous"/>
          <w:pgSz w:w="11910" w:h="16840"/>
          <w:pgMar w:top="1040" w:bottom="1180" w:left="1160" w:right="720"/>
          <w:cols w:num="2" w:equalWidth="0">
            <w:col w:w="1552" w:space="40"/>
            <w:col w:w="8438"/>
          </w:cols>
        </w:sectPr>
      </w:pPr>
    </w:p>
    <w:p>
      <w:pPr>
        <w:pStyle w:val="BodyText"/>
        <w:spacing w:before="8"/>
      </w:pPr>
    </w:p>
    <w:p>
      <w:pPr>
        <w:spacing w:after="0"/>
        <w:sectPr>
          <w:type w:val="continuous"/>
          <w:pgSz w:w="11910" w:h="16840"/>
          <w:pgMar w:top="1040" w:bottom="1180" w:left="1160" w:right="720"/>
        </w:sectPr>
      </w:pPr>
    </w:p>
    <w:p>
      <w:pPr>
        <w:pStyle w:val="ListParagraph"/>
        <w:numPr>
          <w:ilvl w:val="2"/>
          <w:numId w:val="11"/>
        </w:numPr>
        <w:tabs>
          <w:tab w:pos="1341" w:val="left" w:leader="none"/>
        </w:tabs>
        <w:spacing w:line="273" w:lineRule="auto" w:before="36" w:after="0"/>
        <w:ind w:left="706" w:right="0" w:firstLine="0"/>
        <w:jc w:val="left"/>
        <w:rPr>
          <w:sz w:val="21"/>
        </w:rPr>
      </w:pPr>
      <w:r>
        <w:rPr>
          <w:sz w:val="21"/>
        </w:rPr>
        <w:t>冠状动脉搭</w:t>
      </w:r>
      <w:r>
        <w:rPr>
          <w:spacing w:val="-53"/>
          <w:sz w:val="21"/>
        </w:rPr>
        <w:t>桥术</w:t>
      </w:r>
      <w:r>
        <w:rPr>
          <w:sz w:val="21"/>
        </w:rPr>
        <w:t>（或称冠状动脉旁路移植术）</w:t>
      </w:r>
    </w:p>
    <w:p>
      <w:pPr>
        <w:pStyle w:val="BodyText"/>
        <w:ind w:left="593"/>
      </w:pPr>
      <w:r>
        <w:rPr/>
        <w:br w:type="column"/>
      </w:r>
      <w:r>
        <w:rPr/>
        <w:t>指为治疗严重的冠心病，实际实施了开胸进行的冠状动脉血管旁路移植的手术。</w:t>
      </w:r>
    </w:p>
    <w:p>
      <w:pPr>
        <w:pStyle w:val="BodyText"/>
        <w:spacing w:line="273" w:lineRule="auto"/>
        <w:ind w:left="173" w:right="110" w:firstLine="420"/>
      </w:pPr>
      <w:r>
        <w:rPr>
          <w:spacing w:val="-15"/>
        </w:rPr>
        <w:t>冠状动脉支架植入术、心导管球囊扩张术、激光射频技术及其他非开胸的介入手术、</w:t>
      </w:r>
      <w:r>
        <w:rPr>
          <w:spacing w:val="-12"/>
        </w:rPr>
        <w:t>腔镜手术不在保障范围内。</w:t>
      </w:r>
    </w:p>
    <w:p>
      <w:pPr>
        <w:spacing w:after="0" w:line="273" w:lineRule="auto"/>
        <w:sectPr>
          <w:type w:val="continuous"/>
          <w:pgSz w:w="11910" w:h="16840"/>
          <w:pgMar w:top="1040" w:bottom="1180" w:left="1160" w:right="720"/>
          <w:cols w:num="2" w:equalWidth="0">
            <w:col w:w="1658" w:space="40"/>
            <w:col w:w="8332"/>
          </w:cols>
        </w:sectPr>
      </w:pPr>
    </w:p>
    <w:p>
      <w:pPr>
        <w:pStyle w:val="BodyText"/>
        <w:spacing w:before="8"/>
      </w:pPr>
    </w:p>
    <w:p>
      <w:pPr>
        <w:spacing w:after="0"/>
        <w:sectPr>
          <w:type w:val="continuous"/>
          <w:pgSz w:w="11910" w:h="16840"/>
          <w:pgMar w:top="1040" w:bottom="1180" w:left="1160" w:right="720"/>
        </w:sectPr>
      </w:pPr>
    </w:p>
    <w:p>
      <w:pPr>
        <w:pStyle w:val="ListParagraph"/>
        <w:numPr>
          <w:ilvl w:val="2"/>
          <w:numId w:val="11"/>
        </w:numPr>
        <w:tabs>
          <w:tab w:pos="1341" w:val="left" w:leader="none"/>
        </w:tabs>
        <w:spacing w:line="273" w:lineRule="auto" w:before="36" w:after="0"/>
        <w:ind w:left="706" w:right="0" w:firstLine="0"/>
        <w:jc w:val="both"/>
        <w:rPr>
          <w:sz w:val="21"/>
        </w:rPr>
      </w:pPr>
      <w:r>
        <w:rPr>
          <w:sz w:val="21"/>
        </w:rPr>
        <w:t>终末期肾病</w:t>
      </w:r>
    </w:p>
    <w:p>
      <w:pPr>
        <w:pStyle w:val="BodyText"/>
        <w:spacing w:line="273" w:lineRule="auto" w:before="7"/>
        <w:ind w:left="706"/>
        <w:jc w:val="both"/>
      </w:pPr>
      <w:r>
        <w:rPr/>
        <w:t>（或称慢性肾功能衰竭尿毒症期）</w:t>
      </w:r>
    </w:p>
    <w:p>
      <w:pPr>
        <w:pStyle w:val="BodyText"/>
        <w:spacing w:line="273" w:lineRule="auto"/>
        <w:ind w:left="279" w:right="273" w:firstLine="420"/>
      </w:pPr>
      <w:r>
        <w:rPr/>
        <w:br w:type="column"/>
      </w:r>
      <w:r>
        <w:rPr>
          <w:spacing w:val="-5"/>
        </w:rPr>
        <w:t>指双肾功能慢性不可逆性衰竭，达到尿毒症期，经诊断后已经进行了至少 </w:t>
      </w:r>
      <w:r>
        <w:rPr/>
        <w:t>90</w:t>
      </w:r>
      <w:r>
        <w:rPr>
          <w:spacing w:val="-14"/>
        </w:rPr>
        <w:t> 天的</w:t>
      </w:r>
      <w:r>
        <w:rPr>
          <w:spacing w:val="-3"/>
        </w:rPr>
        <w:t>规律性透析治疗或实施了肾脏移植手术。</w:t>
      </w:r>
    </w:p>
    <w:p>
      <w:pPr>
        <w:spacing w:after="0" w:line="273" w:lineRule="auto"/>
        <w:sectPr>
          <w:type w:val="continuous"/>
          <w:pgSz w:w="11910" w:h="16840"/>
          <w:pgMar w:top="1040" w:bottom="1180" w:left="1160" w:right="720"/>
          <w:cols w:num="2" w:equalWidth="0">
            <w:col w:w="1552" w:space="40"/>
            <w:col w:w="8438"/>
          </w:cols>
        </w:sectPr>
      </w:pPr>
    </w:p>
    <w:p>
      <w:pPr>
        <w:pStyle w:val="BodyText"/>
        <w:spacing w:before="8"/>
      </w:pPr>
    </w:p>
    <w:p>
      <w:pPr>
        <w:spacing w:after="0"/>
        <w:sectPr>
          <w:type w:val="continuous"/>
          <w:pgSz w:w="11910" w:h="16840"/>
          <w:pgMar w:top="1040" w:bottom="1180" w:left="1160" w:right="720"/>
        </w:sectPr>
      </w:pPr>
    </w:p>
    <w:p>
      <w:pPr>
        <w:pStyle w:val="ListParagraph"/>
        <w:numPr>
          <w:ilvl w:val="2"/>
          <w:numId w:val="11"/>
        </w:numPr>
        <w:tabs>
          <w:tab w:pos="1341" w:val="left" w:leader="none"/>
        </w:tabs>
        <w:spacing w:line="273" w:lineRule="auto" w:before="36" w:after="0"/>
        <w:ind w:left="706" w:right="0" w:firstLine="0"/>
        <w:jc w:val="both"/>
        <w:rPr>
          <w:sz w:val="21"/>
        </w:rPr>
      </w:pPr>
      <w:r>
        <w:rPr>
          <w:sz w:val="21"/>
        </w:rPr>
        <w:t>多个肢体缺失</w:t>
      </w:r>
    </w:p>
    <w:p>
      <w:pPr>
        <w:pStyle w:val="BodyText"/>
        <w:spacing w:line="273" w:lineRule="auto"/>
        <w:ind w:left="279" w:right="376" w:firstLine="420"/>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1040" w:bottom="1180" w:left="1160" w:right="720"/>
          <w:cols w:num="2" w:equalWidth="0">
            <w:col w:w="1552" w:space="40"/>
            <w:col w:w="8438"/>
          </w:cols>
        </w:sectPr>
      </w:pPr>
    </w:p>
    <w:p>
      <w:pPr>
        <w:pStyle w:val="BodyText"/>
        <w:spacing w:before="8"/>
      </w:pPr>
    </w:p>
    <w:p>
      <w:pPr>
        <w:spacing w:after="0"/>
        <w:sectPr>
          <w:type w:val="continuous"/>
          <w:pgSz w:w="11910" w:h="16840"/>
          <w:pgMar w:top="1040" w:bottom="1180" w:left="1160" w:right="720"/>
        </w:sectPr>
      </w:pPr>
    </w:p>
    <w:p>
      <w:pPr>
        <w:pStyle w:val="ListParagraph"/>
        <w:numPr>
          <w:ilvl w:val="2"/>
          <w:numId w:val="11"/>
        </w:numPr>
        <w:tabs>
          <w:tab w:pos="1341" w:val="left" w:leader="none"/>
        </w:tabs>
        <w:spacing w:line="273" w:lineRule="auto" w:before="36" w:after="0"/>
        <w:ind w:left="706" w:right="0" w:firstLine="0"/>
        <w:jc w:val="both"/>
        <w:rPr>
          <w:sz w:val="21"/>
        </w:rPr>
      </w:pPr>
      <w:r>
        <w:rPr>
          <w:sz w:val="21"/>
        </w:rPr>
        <w:t>急性或亚急性重症肝炎</w:t>
      </w:r>
    </w:p>
    <w:p>
      <w:pPr>
        <w:pStyle w:val="BodyText"/>
        <w:spacing w:line="273" w:lineRule="auto"/>
        <w:ind w:left="279" w:right="211" w:firstLine="420"/>
      </w:pPr>
      <w:r>
        <w:rPr/>
        <w:br w:type="column"/>
      </w:r>
      <w:r>
        <w:rPr>
          <w:spacing w:val="-6"/>
        </w:rPr>
        <w:t>指因肝炎病毒感染引起肝脏组织弥漫性坏死，导致急性肝功能衰竭，且经血清学或</w:t>
      </w:r>
      <w:r>
        <w:rPr>
          <w:spacing w:val="-4"/>
        </w:rPr>
        <w:t>病毒学检查证实，并须满足下列全部条件：</w:t>
      </w:r>
    </w:p>
    <w:p>
      <w:pPr>
        <w:pStyle w:val="BodyText"/>
        <w:spacing w:before="7"/>
        <w:ind w:left="490"/>
      </w:pPr>
      <w:r>
        <w:rPr/>
        <w:t>（1）重度黄疸或黄疸迅速加重；</w:t>
      </w:r>
    </w:p>
    <w:p>
      <w:pPr>
        <w:pStyle w:val="BodyText"/>
        <w:spacing w:before="37"/>
        <w:ind w:left="490"/>
      </w:pPr>
      <w:r>
        <w:rPr/>
        <w:t>（2）肝性脑病；</w:t>
      </w:r>
    </w:p>
    <w:p>
      <w:pPr>
        <w:pStyle w:val="BodyText"/>
        <w:spacing w:before="37"/>
        <w:ind w:left="490"/>
      </w:pPr>
      <w:r>
        <w:rPr/>
        <w:t>（3）B 超或其他影像学检查显示肝脏体积急速萎缩；</w:t>
      </w:r>
    </w:p>
    <w:p>
      <w:pPr>
        <w:pStyle w:val="BodyText"/>
        <w:spacing w:before="37"/>
        <w:ind w:left="490"/>
      </w:pPr>
      <w:r>
        <w:rPr/>
        <w:t>（4）肝功能指标进行性恶化。</w:t>
      </w:r>
    </w:p>
    <w:p>
      <w:pPr>
        <w:spacing w:after="0"/>
        <w:sectPr>
          <w:type w:val="continuous"/>
          <w:pgSz w:w="11910" w:h="16840"/>
          <w:pgMar w:top="1040" w:bottom="1180" w:left="1160" w:right="720"/>
          <w:cols w:num="2" w:equalWidth="0">
            <w:col w:w="1552" w:space="40"/>
            <w:col w:w="8438"/>
          </w:cols>
        </w:sectPr>
      </w:pPr>
    </w:p>
    <w:p>
      <w:pPr>
        <w:pStyle w:val="BodyText"/>
        <w:spacing w:before="12"/>
        <w:rPr>
          <w:sz w:val="23"/>
        </w:rPr>
      </w:pPr>
    </w:p>
    <w:p>
      <w:pPr>
        <w:spacing w:after="0"/>
        <w:rPr>
          <w:sz w:val="23"/>
        </w:rPr>
        <w:sectPr>
          <w:type w:val="continuous"/>
          <w:pgSz w:w="11910" w:h="16840"/>
          <w:pgMar w:top="1040" w:bottom="1180" w:left="1160" w:right="720"/>
        </w:sectPr>
      </w:pPr>
    </w:p>
    <w:p>
      <w:pPr>
        <w:pStyle w:val="ListParagraph"/>
        <w:numPr>
          <w:ilvl w:val="2"/>
          <w:numId w:val="11"/>
        </w:numPr>
        <w:tabs>
          <w:tab w:pos="1341" w:val="left" w:leader="none"/>
        </w:tabs>
        <w:spacing w:line="273" w:lineRule="auto" w:before="36" w:after="0"/>
        <w:ind w:left="706" w:right="0" w:firstLine="0"/>
        <w:jc w:val="left"/>
        <w:rPr>
          <w:sz w:val="21"/>
        </w:rPr>
      </w:pPr>
      <w:r>
        <w:rPr>
          <w:sz w:val="21"/>
        </w:rPr>
        <w:t>良性脑肿瘤</w:t>
      </w:r>
    </w:p>
    <w:p>
      <w:pPr>
        <w:pStyle w:val="BodyText"/>
        <w:spacing w:line="273" w:lineRule="auto"/>
        <w:ind w:left="279" w:right="167" w:firstLine="420"/>
        <w:jc w:val="both"/>
      </w:pPr>
      <w:r>
        <w:rPr/>
        <w:br w:type="column"/>
      </w:r>
      <w:r>
        <w:rPr>
          <w:spacing w:val="-3"/>
        </w:rPr>
        <w:t>指脑的良性肿瘤，已经引起颅内压增高，临床表现为视神经乳头水肿、精神症状、</w:t>
      </w:r>
      <w:r>
        <w:rPr>
          <w:spacing w:val="-3"/>
          <w:w w:val="100"/>
        </w:rPr>
        <w:t>癫痫及运动感觉障碍等，并危及生命。须由头颅断层扫描</w:t>
      </w:r>
      <w:r>
        <w:rPr>
          <w:w w:val="100"/>
        </w:rPr>
        <w:t>（C</w:t>
      </w:r>
      <w:r>
        <w:rPr>
          <w:spacing w:val="-3"/>
          <w:w w:val="100"/>
        </w:rPr>
        <w:t>T</w:t>
      </w:r>
      <w:r>
        <w:rPr>
          <w:spacing w:val="-106"/>
          <w:w w:val="100"/>
        </w:rPr>
        <w:t>）</w:t>
      </w:r>
      <w:r>
        <w:rPr>
          <w:spacing w:val="-3"/>
          <w:w w:val="100"/>
        </w:rPr>
        <w:t>、核磁共振检查</w:t>
      </w:r>
      <w:r>
        <w:rPr>
          <w:w w:val="100"/>
        </w:rPr>
        <w:t>（M</w:t>
      </w:r>
      <w:r>
        <w:rPr>
          <w:spacing w:val="-3"/>
          <w:w w:val="100"/>
        </w:rPr>
        <w:t>R</w:t>
      </w:r>
      <w:r>
        <w:rPr>
          <w:spacing w:val="-1"/>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BodyText"/>
        <w:spacing w:before="7"/>
        <w:ind w:left="490"/>
      </w:pPr>
      <w:r>
        <w:rPr/>
        <w:t>（1）实际实施了开颅进行的脑肿瘤完全切除或部分切除的手术；</w:t>
      </w:r>
    </w:p>
    <w:p>
      <w:pPr>
        <w:pStyle w:val="BodyText"/>
        <w:ind w:left="490"/>
      </w:pPr>
      <w:r>
        <w:rPr/>
        <w:t>（2）实际实施了对脑肿瘤进行的放射治疗。</w:t>
      </w:r>
    </w:p>
    <w:p>
      <w:pPr>
        <w:pStyle w:val="BodyText"/>
        <w:ind w:left="701"/>
      </w:pPr>
      <w:r>
        <w:rPr/>
        <w:t>脑垂体瘤、脑囊肿、脑血管性疾病不在保障范围内。</w:t>
      </w:r>
    </w:p>
    <w:p>
      <w:pPr>
        <w:spacing w:after="0"/>
        <w:sectPr>
          <w:type w:val="continuous"/>
          <w:pgSz w:w="11910" w:h="16840"/>
          <w:pgMar w:top="1040" w:bottom="1180" w:left="1160" w:right="720"/>
          <w:cols w:num="2" w:equalWidth="0">
            <w:col w:w="1552" w:space="40"/>
            <w:col w:w="8438"/>
          </w:cols>
        </w:sectPr>
      </w:pPr>
    </w:p>
    <w:p>
      <w:pPr>
        <w:pStyle w:val="BodyText"/>
        <w:spacing w:before="11"/>
        <w:rPr>
          <w:sz w:val="23"/>
        </w:rPr>
      </w:pPr>
    </w:p>
    <w:p>
      <w:pPr>
        <w:spacing w:after="0"/>
        <w:rPr>
          <w:sz w:val="23"/>
        </w:rPr>
        <w:sectPr>
          <w:type w:val="continuous"/>
          <w:pgSz w:w="11910" w:h="16840"/>
          <w:pgMar w:top="1040" w:bottom="1180" w:left="1160" w:right="720"/>
        </w:sectPr>
      </w:pPr>
    </w:p>
    <w:p>
      <w:pPr>
        <w:pStyle w:val="ListParagraph"/>
        <w:numPr>
          <w:ilvl w:val="2"/>
          <w:numId w:val="11"/>
        </w:numPr>
        <w:tabs>
          <w:tab w:pos="1344" w:val="left" w:leader="none"/>
        </w:tabs>
        <w:spacing w:line="240" w:lineRule="auto" w:before="36" w:after="0"/>
        <w:ind w:left="1343" w:right="0" w:hanging="637"/>
        <w:jc w:val="left"/>
        <w:rPr>
          <w:sz w:val="21"/>
        </w:rPr>
      </w:pPr>
    </w:p>
    <w:p>
      <w:pPr>
        <w:pStyle w:val="BodyText"/>
        <w:ind w:left="706"/>
      </w:pPr>
      <w:r>
        <w:rPr/>
        <w:t>慢性肝功</w:t>
      </w:r>
    </w:p>
    <w:p>
      <w:pPr>
        <w:pStyle w:val="BodyText"/>
        <w:ind w:left="699"/>
      </w:pPr>
      <w:r>
        <w:rPr/>
        <w:br w:type="column"/>
      </w:r>
      <w:r>
        <w:rPr/>
        <w:t>指因慢性肝脏疾病导致肝功能衰竭。须满足下列全部条件：</w:t>
      </w:r>
    </w:p>
    <w:p>
      <w:pPr>
        <w:pStyle w:val="BodyText"/>
        <w:ind w:left="641"/>
      </w:pPr>
      <w:r>
        <w:rPr/>
        <w:t>（1）持续性黄疸；</w:t>
      </w:r>
    </w:p>
    <w:p>
      <w:pPr>
        <w:spacing w:after="0"/>
        <w:sectPr>
          <w:type w:val="continuous"/>
          <w:pgSz w:w="11910" w:h="16840"/>
          <w:pgMar w:top="1040" w:bottom="1180" w:left="1160" w:right="720"/>
          <w:cols w:num="2" w:equalWidth="0">
            <w:col w:w="1552" w:space="40"/>
            <w:col w:w="8438"/>
          </w:cols>
        </w:sectPr>
      </w:pPr>
    </w:p>
    <w:p>
      <w:pPr>
        <w:pStyle w:val="BodyText"/>
        <w:spacing w:before="2"/>
        <w:rPr>
          <w:sz w:val="19"/>
        </w:rPr>
      </w:pPr>
    </w:p>
    <w:p>
      <w:pPr>
        <w:spacing w:after="0"/>
        <w:rPr>
          <w:sz w:val="19"/>
        </w:rPr>
        <w:sectPr>
          <w:pgSz w:w="11910" w:h="16840"/>
          <w:pgMar w:header="879" w:footer="995" w:top="1120" w:bottom="1180" w:left="1160" w:right="720"/>
        </w:sectPr>
      </w:pPr>
    </w:p>
    <w:p>
      <w:pPr>
        <w:pStyle w:val="BodyText"/>
        <w:spacing w:line="273" w:lineRule="auto" w:before="37"/>
        <w:ind w:left="706"/>
      </w:pPr>
      <w:r>
        <w:rPr/>
        <w:t>能衰竭失代偿期</w:t>
      </w:r>
    </w:p>
    <w:p>
      <w:pPr>
        <w:pStyle w:val="BodyText"/>
        <w:spacing w:before="37"/>
        <w:ind w:left="641"/>
      </w:pPr>
      <w:r>
        <w:rPr/>
        <w:br w:type="column"/>
      </w:r>
      <w:r>
        <w:rPr/>
        <w:t>（2）腹水；</w:t>
      </w:r>
    </w:p>
    <w:p>
      <w:pPr>
        <w:pStyle w:val="BodyText"/>
        <w:spacing w:before="37"/>
        <w:ind w:left="641"/>
      </w:pPr>
      <w:r>
        <w:rPr/>
        <w:t>（3）肝性脑病；</w:t>
      </w:r>
    </w:p>
    <w:p>
      <w:pPr>
        <w:pStyle w:val="BodyText"/>
        <w:spacing w:line="273" w:lineRule="auto" w:before="37"/>
        <w:ind w:left="699" w:right="2642" w:hanging="58"/>
      </w:pPr>
      <w:r>
        <w:rPr/>
        <w:t>（4）充血性脾肿大伴脾功能亢进或食管胃底静脉曲张。因酗酒或药物滥用导致的肝功能衰竭不在保障范围内。</w:t>
      </w:r>
    </w:p>
    <w:p>
      <w:pPr>
        <w:spacing w:after="0" w:line="273" w:lineRule="auto"/>
        <w:sectPr>
          <w:type w:val="continuous"/>
          <w:pgSz w:w="11910" w:h="16840"/>
          <w:pgMar w:top="1040" w:bottom="1180" w:left="1160" w:right="720"/>
          <w:cols w:num="2" w:equalWidth="0">
            <w:col w:w="1552" w:space="40"/>
            <w:col w:w="8438"/>
          </w:cols>
        </w:sectPr>
      </w:pPr>
    </w:p>
    <w:p>
      <w:pPr>
        <w:pStyle w:val="BodyText"/>
        <w:spacing w:before="8"/>
      </w:pPr>
    </w:p>
    <w:p>
      <w:pPr>
        <w:spacing w:after="0"/>
        <w:sectPr>
          <w:type w:val="continuous"/>
          <w:pgSz w:w="11910" w:h="16840"/>
          <w:pgMar w:top="1040" w:bottom="1180" w:left="1160" w:right="720"/>
        </w:sectPr>
      </w:pPr>
    </w:p>
    <w:p>
      <w:pPr>
        <w:pStyle w:val="ListParagraph"/>
        <w:numPr>
          <w:ilvl w:val="2"/>
          <w:numId w:val="11"/>
        </w:numPr>
        <w:tabs>
          <w:tab w:pos="1344" w:val="left" w:leader="none"/>
        </w:tabs>
        <w:spacing w:line="240" w:lineRule="auto" w:before="37" w:after="0"/>
        <w:ind w:left="1343" w:right="0" w:hanging="637"/>
        <w:jc w:val="left"/>
        <w:rPr>
          <w:sz w:val="21"/>
        </w:rPr>
      </w:pPr>
    </w:p>
    <w:p>
      <w:pPr>
        <w:pStyle w:val="BodyText"/>
        <w:spacing w:line="273" w:lineRule="auto" w:before="37"/>
        <w:ind w:left="706"/>
        <w:jc w:val="both"/>
      </w:pPr>
      <w:r>
        <w:rPr/>
        <w:t>脑炎后遗症或脑膜炎后遗症</w:t>
      </w:r>
    </w:p>
    <w:p>
      <w:pPr>
        <w:pStyle w:val="BodyText"/>
        <w:spacing w:line="273" w:lineRule="auto" w:before="37"/>
        <w:ind w:left="279" w:right="168" w:firstLine="420"/>
      </w:pPr>
      <w:r>
        <w:rPr/>
        <w:br w:type="column"/>
      </w:r>
      <w:r>
        <w:rPr/>
        <w:t>指因患脑炎或脑膜炎导致的神经系统永久性的功能障碍。神经系统永久性的功能障碍，指疾病确诊 180 天后，仍遗留下列一种或一种以上障碍：</w:t>
      </w:r>
    </w:p>
    <w:p>
      <w:pPr>
        <w:pStyle w:val="BodyText"/>
        <w:spacing w:before="7"/>
        <w:ind w:left="699"/>
      </w:pPr>
      <w:r>
        <w:rPr/>
        <w:t>（1）一肢或一肢以上肢体机能完全丧失；</w:t>
      </w:r>
    </w:p>
    <w:p>
      <w:pPr>
        <w:pStyle w:val="BodyText"/>
        <w:ind w:left="699"/>
      </w:pPr>
      <w:r>
        <w:rPr/>
        <w:t>（2）语言能力或咀嚼吞咽能力完全丧失；</w:t>
      </w:r>
    </w:p>
    <w:p>
      <w:pPr>
        <w:pStyle w:val="BodyText"/>
        <w:spacing w:line="273" w:lineRule="auto"/>
        <w:ind w:left="279" w:right="211" w:firstLine="420"/>
      </w:pPr>
      <w:r>
        <w:rPr/>
        <w:t>（3）自主生活能力完全丧失，无法独立完成六项基本日常生活活动中的三项或三项以上。</w:t>
      </w:r>
    </w:p>
    <w:p>
      <w:pPr>
        <w:spacing w:after="0" w:line="273" w:lineRule="auto"/>
        <w:sectPr>
          <w:type w:val="continuous"/>
          <w:pgSz w:w="11910" w:h="16840"/>
          <w:pgMar w:top="1040" w:bottom="1180" w:left="1160" w:right="720"/>
          <w:cols w:num="2" w:equalWidth="0">
            <w:col w:w="1552" w:space="40"/>
            <w:col w:w="8438"/>
          </w:cols>
        </w:sectPr>
      </w:pPr>
    </w:p>
    <w:p>
      <w:pPr>
        <w:pStyle w:val="BodyText"/>
        <w:spacing w:before="8"/>
      </w:pPr>
    </w:p>
    <w:p>
      <w:pPr>
        <w:spacing w:after="0"/>
        <w:sectPr>
          <w:type w:val="continuous"/>
          <w:pgSz w:w="11910" w:h="16840"/>
          <w:pgMar w:top="1040" w:bottom="1180" w:left="1160" w:right="720"/>
        </w:sectPr>
      </w:pPr>
    </w:p>
    <w:p>
      <w:pPr>
        <w:pStyle w:val="ListParagraph"/>
        <w:numPr>
          <w:ilvl w:val="2"/>
          <w:numId w:val="11"/>
        </w:numPr>
        <w:tabs>
          <w:tab w:pos="1344" w:val="left" w:leader="none"/>
        </w:tabs>
        <w:spacing w:line="240" w:lineRule="auto" w:before="36" w:after="0"/>
        <w:ind w:left="1343" w:right="0" w:hanging="637"/>
        <w:jc w:val="left"/>
        <w:rPr>
          <w:sz w:val="21"/>
        </w:rPr>
      </w:pPr>
    </w:p>
    <w:p>
      <w:pPr>
        <w:pStyle w:val="BodyText"/>
        <w:spacing w:before="37"/>
        <w:ind w:left="706"/>
      </w:pPr>
      <w:r>
        <w:rPr/>
        <w:t>深度昏迷</w:t>
      </w:r>
    </w:p>
    <w:p>
      <w:pPr>
        <w:pStyle w:val="BodyText"/>
        <w:spacing w:line="273" w:lineRule="auto"/>
        <w:ind w:left="279" w:right="213" w:firstLine="420"/>
        <w:jc w:val="both"/>
      </w:pPr>
      <w:r>
        <w:rPr/>
        <w:br w:type="column"/>
      </w:r>
      <w:r>
        <w:rPr/>
        <w:t>指因疾病或意外伤害导致意识丧失,对外界刺激和体内需求均无反应,昏迷程度按</w:t>
      </w:r>
      <w:r>
        <w:rPr>
          <w:spacing w:val="-5"/>
        </w:rPr>
        <w:t>照格拉斯哥昏迷分级</w:t>
      </w:r>
      <w:r>
        <w:rPr/>
        <w:t>（Glasgow coma</w:t>
      </w:r>
      <w:r>
        <w:rPr>
          <w:spacing w:val="5"/>
        </w:rPr>
        <w:t>  </w:t>
      </w:r>
      <w:r>
        <w:rPr>
          <w:spacing w:val="-4"/>
        </w:rPr>
        <w:t>scale）</w:t>
      </w:r>
      <w:r>
        <w:rPr>
          <w:spacing w:val="-14"/>
        </w:rPr>
        <w:t>结果为 </w:t>
      </w:r>
      <w:r>
        <w:rPr/>
        <w:t>5</w:t>
      </w:r>
      <w:r>
        <w:rPr>
          <w:spacing w:val="-26"/>
        </w:rPr>
        <w:t> 分或 </w:t>
      </w:r>
      <w:r>
        <w:rPr/>
        <w:t>5</w:t>
      </w:r>
      <w:r>
        <w:rPr>
          <w:spacing w:val="-10"/>
        </w:rPr>
        <w:t> 分以下，且已经持续使</w:t>
      </w:r>
      <w:r>
        <w:rPr>
          <w:spacing w:val="-4"/>
        </w:rPr>
        <w:t>用呼吸机及其他生命维持系统 </w:t>
      </w:r>
      <w:r>
        <w:rPr/>
        <w:t>96 小时以上。</w:t>
      </w:r>
    </w:p>
    <w:p>
      <w:pPr>
        <w:pStyle w:val="BodyText"/>
        <w:spacing w:before="7"/>
        <w:ind w:left="701"/>
      </w:pPr>
      <w:r>
        <w:rPr/>
        <w:t>因酗酒或药物滥用导致的深度昏迷不在保障范围内。</w:t>
      </w:r>
    </w:p>
    <w:p>
      <w:pPr>
        <w:spacing w:after="0"/>
        <w:sectPr>
          <w:type w:val="continuous"/>
          <w:pgSz w:w="11910" w:h="16840"/>
          <w:pgMar w:top="1040" w:bottom="1180" w:left="1160" w:right="720"/>
          <w:cols w:num="2" w:equalWidth="0">
            <w:col w:w="1552" w:space="40"/>
            <w:col w:w="8438"/>
          </w:cols>
        </w:sectPr>
      </w:pPr>
    </w:p>
    <w:p>
      <w:pPr>
        <w:pStyle w:val="BodyText"/>
        <w:spacing w:before="11"/>
        <w:rPr>
          <w:sz w:val="23"/>
        </w:rPr>
      </w:pPr>
    </w:p>
    <w:p>
      <w:pPr>
        <w:spacing w:after="0"/>
        <w:rPr>
          <w:sz w:val="23"/>
        </w:rPr>
        <w:sectPr>
          <w:type w:val="continuous"/>
          <w:pgSz w:w="11910" w:h="16840"/>
          <w:pgMar w:top="1040" w:bottom="1180" w:left="1160" w:right="720"/>
        </w:sectPr>
      </w:pPr>
    </w:p>
    <w:p>
      <w:pPr>
        <w:pStyle w:val="ListParagraph"/>
        <w:numPr>
          <w:ilvl w:val="2"/>
          <w:numId w:val="11"/>
        </w:numPr>
        <w:tabs>
          <w:tab w:pos="1344" w:val="left" w:leader="none"/>
        </w:tabs>
        <w:spacing w:line="240" w:lineRule="auto" w:before="36" w:after="0"/>
        <w:ind w:left="1343" w:right="0" w:hanging="637"/>
        <w:jc w:val="left"/>
        <w:rPr>
          <w:sz w:val="21"/>
        </w:rPr>
      </w:pPr>
    </w:p>
    <w:p>
      <w:pPr>
        <w:pStyle w:val="BodyText"/>
        <w:ind w:left="706"/>
      </w:pPr>
      <w:r>
        <w:rPr/>
        <w:t>双耳失聪</w:t>
      </w:r>
    </w:p>
    <w:p>
      <w:pPr>
        <w:pStyle w:val="BodyText"/>
        <w:ind w:left="699"/>
      </w:pPr>
      <w:r>
        <w:rPr/>
        <w:br w:type="column"/>
      </w:r>
      <w:r>
        <w:rPr/>
        <w:t>指因疾病或意外伤害导致双耳听力永久不可逆性丧失，在 500 赫兹、1000 赫兹和</w:t>
      </w:r>
    </w:p>
    <w:p>
      <w:pPr>
        <w:pStyle w:val="BodyText"/>
        <w:spacing w:line="273" w:lineRule="auto"/>
        <w:ind w:left="279" w:right="213"/>
      </w:pPr>
      <w:r>
        <w:rPr/>
        <w:t>2000</w:t>
      </w:r>
      <w:r>
        <w:rPr>
          <w:spacing w:val="-6"/>
        </w:rPr>
        <w:t> 赫兹语音频率下，平均听阈大于 </w:t>
      </w:r>
      <w:r>
        <w:rPr/>
        <w:t>90</w:t>
      </w:r>
      <w:r>
        <w:rPr>
          <w:spacing w:val="-11"/>
        </w:rPr>
        <w:t> 分贝，且经纯音听力测试、声导抗检测或听觉</w:t>
      </w:r>
      <w:r>
        <w:rPr>
          <w:spacing w:val="-6"/>
        </w:rPr>
        <w:t>诱发电位检测等证实。</w:t>
      </w:r>
    </w:p>
    <w:p>
      <w:pPr>
        <w:pStyle w:val="BodyText"/>
        <w:spacing w:line="273" w:lineRule="auto" w:before="7"/>
        <w:ind w:left="279" w:right="211" w:firstLine="422"/>
      </w:pPr>
      <w:r>
        <w:rPr/>
        <w:t>永久不可逆，指自疾病确诊或意外伤害发生之日起，经过积极治疗 180 天后，仍无法通过现有医疗手段恢复。</w:t>
      </w:r>
    </w:p>
    <w:p>
      <w:pPr>
        <w:spacing w:after="0" w:line="273" w:lineRule="auto"/>
        <w:sectPr>
          <w:type w:val="continuous"/>
          <w:pgSz w:w="11910" w:h="16840"/>
          <w:pgMar w:top="1040" w:bottom="1180" w:left="1160" w:right="720"/>
          <w:cols w:num="2" w:equalWidth="0">
            <w:col w:w="1552" w:space="40"/>
            <w:col w:w="8438"/>
          </w:cols>
        </w:sectPr>
      </w:pPr>
    </w:p>
    <w:p>
      <w:pPr>
        <w:pStyle w:val="BodyText"/>
        <w:spacing w:before="8"/>
      </w:pPr>
    </w:p>
    <w:p>
      <w:pPr>
        <w:spacing w:after="0"/>
        <w:sectPr>
          <w:type w:val="continuous"/>
          <w:pgSz w:w="11910" w:h="16840"/>
          <w:pgMar w:top="1040" w:bottom="1180" w:left="1160" w:right="720"/>
        </w:sectPr>
      </w:pPr>
    </w:p>
    <w:p>
      <w:pPr>
        <w:pStyle w:val="ListParagraph"/>
        <w:numPr>
          <w:ilvl w:val="2"/>
          <w:numId w:val="11"/>
        </w:numPr>
        <w:tabs>
          <w:tab w:pos="1344" w:val="left" w:leader="none"/>
        </w:tabs>
        <w:spacing w:line="240" w:lineRule="auto" w:before="36" w:after="0"/>
        <w:ind w:left="1343" w:right="0" w:hanging="637"/>
        <w:jc w:val="left"/>
        <w:rPr>
          <w:sz w:val="21"/>
        </w:rPr>
      </w:pPr>
    </w:p>
    <w:p>
      <w:pPr>
        <w:pStyle w:val="BodyText"/>
        <w:ind w:left="706"/>
      </w:pPr>
      <w:r>
        <w:rPr/>
        <w:t>双目失明</w:t>
      </w:r>
    </w:p>
    <w:p>
      <w:pPr>
        <w:pStyle w:val="BodyText"/>
        <w:spacing w:line="273" w:lineRule="auto"/>
        <w:ind w:left="279" w:right="165" w:firstLine="420"/>
      </w:pPr>
      <w:r>
        <w:rPr/>
        <w:br w:type="column"/>
      </w:r>
      <w:r>
        <w:rPr/>
        <w:t>指因疾病或意外伤害导致双眼视力永久不可逆性丧失，双眼中较好眼须满足下列至少一项条件：</w:t>
      </w:r>
    </w:p>
    <w:p>
      <w:pPr>
        <w:pStyle w:val="BodyText"/>
        <w:spacing w:before="7"/>
        <w:ind w:left="699"/>
      </w:pPr>
      <w:r>
        <w:rPr/>
        <w:t>（</w:t>
      </w:r>
      <w:r>
        <w:rPr>
          <w:rFonts w:ascii="Times New Roman" w:eastAsia="Times New Roman"/>
        </w:rPr>
        <w:t>1</w:t>
      </w:r>
      <w:r>
        <w:rPr/>
        <w:t>）眼球缺失或摘除；</w:t>
      </w:r>
    </w:p>
    <w:p>
      <w:pPr>
        <w:pStyle w:val="BodyText"/>
        <w:spacing w:before="21"/>
        <w:ind w:left="699"/>
      </w:pPr>
      <w:r>
        <w:rPr>
          <w:w w:val="100"/>
        </w:rPr>
        <w:t>（</w:t>
      </w:r>
      <w:r>
        <w:rPr>
          <w:rFonts w:ascii="Times New Roman" w:eastAsia="Times New Roman"/>
          <w:w w:val="100"/>
        </w:rPr>
        <w:t>2</w:t>
      </w:r>
      <w:r>
        <w:rPr>
          <w:spacing w:val="-3"/>
          <w:w w:val="100"/>
        </w:rPr>
        <w:t>）矫正视力低于</w:t>
      </w:r>
      <w:r>
        <w:rPr>
          <w:spacing w:val="-2"/>
        </w:rPr>
        <w:t> </w:t>
      </w:r>
      <w:r>
        <w:rPr>
          <w:rFonts w:ascii="Times New Roman" w:eastAsia="Times New Roman"/>
          <w:w w:val="100"/>
        </w:rPr>
        <w:t>0.0</w:t>
      </w:r>
      <w:r>
        <w:rPr>
          <w:rFonts w:ascii="Times New Roman" w:eastAsia="Times New Roman"/>
          <w:spacing w:val="-3"/>
          <w:w w:val="100"/>
        </w:rPr>
        <w:t>2</w:t>
      </w:r>
      <w:r>
        <w:rPr>
          <w:w w:val="100"/>
        </w:rPr>
        <w:t>（</w:t>
      </w:r>
      <w:r>
        <w:rPr>
          <w:spacing w:val="-3"/>
          <w:w w:val="100"/>
        </w:rPr>
        <w:t>采用国际标准视力表，如使用其他视力表应进行换算</w:t>
      </w:r>
      <w:r>
        <w:rPr>
          <w:spacing w:val="-108"/>
          <w:w w:val="100"/>
        </w:rPr>
        <w:t>）</w:t>
      </w:r>
      <w:r>
        <w:rPr>
          <w:w w:val="100"/>
        </w:rPr>
        <w:t>；</w:t>
      </w:r>
    </w:p>
    <w:p>
      <w:pPr>
        <w:pStyle w:val="BodyText"/>
        <w:spacing w:before="21"/>
        <w:ind w:left="699"/>
      </w:pPr>
      <w:r>
        <w:rPr/>
        <w:t>（</w:t>
      </w:r>
      <w:r>
        <w:rPr>
          <w:rFonts w:ascii="Times New Roman" w:eastAsia="Times New Roman"/>
        </w:rPr>
        <w:t>3</w:t>
      </w:r>
      <w:r>
        <w:rPr/>
        <w:t>）视野半径小于 </w:t>
      </w:r>
      <w:r>
        <w:rPr>
          <w:rFonts w:ascii="Times New Roman" w:eastAsia="Times New Roman"/>
        </w:rPr>
        <w:t>5 </w:t>
      </w:r>
      <w:r>
        <w:rPr/>
        <w:t>度。</w:t>
      </w:r>
    </w:p>
    <w:p>
      <w:pPr>
        <w:spacing w:after="0"/>
        <w:sectPr>
          <w:type w:val="continuous"/>
          <w:pgSz w:w="11910" w:h="16840"/>
          <w:pgMar w:top="1040" w:bottom="1180" w:left="1160" w:right="720"/>
          <w:cols w:num="2" w:equalWidth="0">
            <w:col w:w="1552" w:space="40"/>
            <w:col w:w="8438"/>
          </w:cols>
        </w:sectPr>
      </w:pPr>
    </w:p>
    <w:p>
      <w:pPr>
        <w:pStyle w:val="BodyText"/>
        <w:spacing w:before="9"/>
        <w:rPr>
          <w:sz w:val="22"/>
        </w:rPr>
      </w:pPr>
    </w:p>
    <w:p>
      <w:pPr>
        <w:spacing w:after="0"/>
        <w:rPr>
          <w:sz w:val="22"/>
        </w:rPr>
        <w:sectPr>
          <w:type w:val="continuous"/>
          <w:pgSz w:w="11910" w:h="16840"/>
          <w:pgMar w:top="1040" w:bottom="1180" w:left="1160" w:right="720"/>
        </w:sectPr>
      </w:pPr>
    </w:p>
    <w:p>
      <w:pPr>
        <w:pStyle w:val="ListParagraph"/>
        <w:numPr>
          <w:ilvl w:val="2"/>
          <w:numId w:val="11"/>
        </w:numPr>
        <w:tabs>
          <w:tab w:pos="1344" w:val="left" w:leader="none"/>
        </w:tabs>
        <w:spacing w:line="240" w:lineRule="auto" w:before="36" w:after="0"/>
        <w:ind w:left="1343" w:right="0" w:hanging="637"/>
        <w:jc w:val="left"/>
        <w:rPr>
          <w:sz w:val="21"/>
        </w:rPr>
      </w:pPr>
    </w:p>
    <w:p>
      <w:pPr>
        <w:pStyle w:val="BodyText"/>
        <w:spacing w:before="37"/>
        <w:ind w:left="706"/>
      </w:pPr>
      <w:r>
        <w:rPr/>
        <w:t>瘫痪</w:t>
      </w:r>
    </w:p>
    <w:p>
      <w:pPr>
        <w:pStyle w:val="BodyText"/>
        <w:ind w:left="908"/>
      </w:pPr>
      <w:r>
        <w:rPr/>
        <w:br w:type="column"/>
      </w:r>
      <w:r>
        <w:rPr/>
        <w:t>指因疾病或意外伤害导致两肢或两肢以上肢体机能永久完全丧失。</w:t>
      </w:r>
    </w:p>
    <w:p>
      <w:pPr>
        <w:pStyle w:val="BodyText"/>
        <w:spacing w:line="273" w:lineRule="auto" w:before="37"/>
        <w:ind w:left="488" w:right="211" w:firstLine="422"/>
      </w:pPr>
      <w:r>
        <w:rPr>
          <w:spacing w:val="-7"/>
        </w:rPr>
        <w:t>肢体机能永久完全丧失，指疾病确诊 </w:t>
      </w:r>
      <w:r>
        <w:rPr/>
        <w:t>180</w:t>
      </w:r>
      <w:r>
        <w:rPr>
          <w:spacing w:val="-13"/>
        </w:rPr>
        <w:t> 天后或意外伤害发生 </w:t>
      </w:r>
      <w:r>
        <w:rPr/>
        <w:t>180</w:t>
      </w:r>
      <w:r>
        <w:rPr>
          <w:spacing w:val="-12"/>
        </w:rPr>
        <w:t> 天后，每肢三大</w:t>
      </w:r>
      <w:r>
        <w:rPr>
          <w:spacing w:val="-3"/>
        </w:rPr>
        <w:t>关节中的两大关节仍然完全僵硬，或不能随意识活动。</w:t>
      </w:r>
    </w:p>
    <w:p>
      <w:pPr>
        <w:spacing w:after="0" w:line="273" w:lineRule="auto"/>
        <w:sectPr>
          <w:type w:val="continuous"/>
          <w:pgSz w:w="11910" w:h="16840"/>
          <w:pgMar w:top="1040" w:bottom="1180" w:left="1160" w:right="720"/>
          <w:cols w:num="2" w:equalWidth="0">
            <w:col w:w="1343" w:space="40"/>
            <w:col w:w="8647"/>
          </w:cols>
        </w:sectPr>
      </w:pPr>
    </w:p>
    <w:p>
      <w:pPr>
        <w:pStyle w:val="BodyText"/>
        <w:spacing w:before="8"/>
      </w:pPr>
    </w:p>
    <w:p>
      <w:pPr>
        <w:spacing w:after="0"/>
        <w:sectPr>
          <w:type w:val="continuous"/>
          <w:pgSz w:w="11910" w:h="16840"/>
          <w:pgMar w:top="1040" w:bottom="1180" w:left="1160" w:right="720"/>
        </w:sectPr>
      </w:pPr>
    </w:p>
    <w:p>
      <w:pPr>
        <w:pStyle w:val="ListParagraph"/>
        <w:numPr>
          <w:ilvl w:val="2"/>
          <w:numId w:val="11"/>
        </w:numPr>
        <w:tabs>
          <w:tab w:pos="1344" w:val="left" w:leader="none"/>
        </w:tabs>
        <w:spacing w:line="240" w:lineRule="auto" w:before="37" w:after="0"/>
        <w:ind w:left="1343" w:right="0" w:hanging="637"/>
        <w:jc w:val="left"/>
        <w:rPr>
          <w:sz w:val="21"/>
        </w:rPr>
      </w:pPr>
    </w:p>
    <w:p>
      <w:pPr>
        <w:pStyle w:val="BodyText"/>
        <w:spacing w:line="273" w:lineRule="auto" w:before="37"/>
        <w:ind w:left="706"/>
      </w:pPr>
      <w:r>
        <w:rPr/>
        <w:t>心脏瓣膜手术</w:t>
      </w:r>
    </w:p>
    <w:p>
      <w:pPr>
        <w:pStyle w:val="BodyText"/>
        <w:spacing w:before="37"/>
        <w:ind w:left="699"/>
      </w:pPr>
      <w:r>
        <w:rPr/>
        <w:br w:type="column"/>
      </w:r>
      <w:r>
        <w:rPr/>
        <w:t>指为治疗心脏瓣膜疾病，实际实施了开胸进行的心脏瓣膜置换或修复的手术。</w:t>
      </w:r>
    </w:p>
    <w:p>
      <w:pPr>
        <w:spacing w:after="0"/>
        <w:sectPr>
          <w:type w:val="continuous"/>
          <w:pgSz w:w="11910" w:h="16840"/>
          <w:pgMar w:top="1040" w:bottom="1180" w:left="1160" w:right="720"/>
          <w:cols w:num="2" w:equalWidth="0">
            <w:col w:w="1552" w:space="40"/>
            <w:col w:w="8438"/>
          </w:cols>
        </w:sectPr>
      </w:pPr>
    </w:p>
    <w:p>
      <w:pPr>
        <w:pStyle w:val="BodyText"/>
        <w:spacing w:before="8"/>
      </w:pPr>
    </w:p>
    <w:p>
      <w:pPr>
        <w:spacing w:after="0"/>
        <w:sectPr>
          <w:type w:val="continuous"/>
          <w:pgSz w:w="11910" w:h="16840"/>
          <w:pgMar w:top="1040" w:bottom="1180" w:left="1160" w:right="720"/>
        </w:sectPr>
      </w:pPr>
    </w:p>
    <w:p>
      <w:pPr>
        <w:pStyle w:val="ListParagraph"/>
        <w:numPr>
          <w:ilvl w:val="2"/>
          <w:numId w:val="11"/>
        </w:numPr>
        <w:tabs>
          <w:tab w:pos="1344" w:val="left" w:leader="none"/>
        </w:tabs>
        <w:spacing w:line="240" w:lineRule="auto" w:before="37" w:after="0"/>
        <w:ind w:left="1343" w:right="0" w:hanging="637"/>
        <w:jc w:val="left"/>
        <w:rPr>
          <w:sz w:val="21"/>
        </w:rPr>
      </w:pPr>
    </w:p>
    <w:p>
      <w:pPr>
        <w:pStyle w:val="BodyText"/>
        <w:spacing w:line="273" w:lineRule="auto" w:before="37"/>
        <w:ind w:left="706"/>
      </w:pPr>
      <w:r>
        <w:rPr/>
        <w:t>严重阿尔茨海默病</w:t>
      </w:r>
    </w:p>
    <w:p>
      <w:pPr>
        <w:pStyle w:val="BodyText"/>
        <w:spacing w:line="273" w:lineRule="auto" w:before="37"/>
        <w:ind w:left="173" w:right="110" w:firstLine="420"/>
      </w:pPr>
      <w:r>
        <w:rPr/>
        <w:br w:type="column"/>
      </w:r>
      <w:r>
        <w:rPr>
          <w:spacing w:val="-7"/>
        </w:rPr>
        <w:t>指因大脑进行性、不可逆性改变导致智能严重衰退或丧失，临床表现为明显的认知</w:t>
      </w:r>
      <w:r>
        <w:rPr>
          <w:spacing w:val="-9"/>
        </w:rPr>
        <w:t>能力障碍、行为异常和社交能力减退，其日常生活必须持续受到他人监护。须由头颅断</w:t>
      </w:r>
      <w:r>
        <w:rPr>
          <w:spacing w:val="-10"/>
          <w:w w:val="100"/>
        </w:rPr>
        <w:t>层扫描</w:t>
      </w:r>
      <w:r>
        <w:rPr>
          <w:w w:val="100"/>
        </w:rPr>
        <w:t>（C</w:t>
      </w:r>
      <w:r>
        <w:rPr>
          <w:spacing w:val="-3"/>
          <w:w w:val="100"/>
        </w:rPr>
        <w:t>T</w:t>
      </w:r>
      <w:r>
        <w:rPr>
          <w:spacing w:val="-106"/>
          <w:w w:val="100"/>
        </w:rPr>
        <w:t>）</w:t>
      </w:r>
      <w:r>
        <w:rPr>
          <w:spacing w:val="-5"/>
          <w:w w:val="100"/>
        </w:rPr>
        <w:t>、核磁共振检查</w:t>
      </w:r>
      <w:r>
        <w:rPr>
          <w:w w:val="100"/>
        </w:rPr>
        <w:t>（M</w:t>
      </w:r>
      <w:r>
        <w:rPr>
          <w:spacing w:val="-3"/>
          <w:w w:val="100"/>
        </w:rPr>
        <w:t>R</w:t>
      </w:r>
      <w:r>
        <w:rPr>
          <w:spacing w:val="-1"/>
          <w:w w:val="100"/>
        </w:rPr>
        <w:t>I</w:t>
      </w:r>
      <w:r>
        <w:rPr>
          <w:spacing w:val="-10"/>
          <w:w w:val="100"/>
        </w:rPr>
        <w:t>）</w:t>
      </w:r>
      <w:r>
        <w:rPr>
          <w:spacing w:val="-4"/>
          <w:w w:val="100"/>
        </w:rPr>
        <w:t>或正电子发射断层扫描</w:t>
      </w:r>
      <w:r>
        <w:rPr>
          <w:w w:val="100"/>
        </w:rPr>
        <w:t>（P</w:t>
      </w:r>
      <w:r>
        <w:rPr>
          <w:spacing w:val="-3"/>
          <w:w w:val="100"/>
        </w:rPr>
        <w:t>E</w:t>
      </w:r>
      <w:r>
        <w:rPr>
          <w:spacing w:val="-1"/>
          <w:w w:val="100"/>
        </w:rPr>
        <w:t>T</w:t>
      </w:r>
      <w:r>
        <w:rPr>
          <w:spacing w:val="-10"/>
          <w:w w:val="100"/>
        </w:rPr>
        <w:t>）</w:t>
      </w:r>
      <w:r>
        <w:rPr>
          <w:spacing w:val="-3"/>
          <w:w w:val="100"/>
        </w:rPr>
        <w:t>等影像学检查证实，</w:t>
      </w:r>
      <w:r>
        <w:rPr>
          <w:spacing w:val="-3"/>
        </w:rPr>
        <w:t>且自主生活能力完全丧失，无法独立完成六项基本日常生活活动中的三项或三项以上。</w:t>
      </w:r>
    </w:p>
    <w:p>
      <w:pPr>
        <w:pStyle w:val="BodyText"/>
        <w:spacing w:before="8"/>
        <w:ind w:left="596"/>
      </w:pPr>
      <w:r>
        <w:rPr/>
        <w:t>神经官能症和精神疾病不在保障范围内。</w:t>
      </w:r>
    </w:p>
    <w:p>
      <w:pPr>
        <w:spacing w:after="0"/>
        <w:sectPr>
          <w:type w:val="continuous"/>
          <w:pgSz w:w="11910" w:h="16840"/>
          <w:pgMar w:top="1040" w:bottom="1180" w:left="1160" w:right="720"/>
          <w:cols w:num="2" w:equalWidth="0">
            <w:col w:w="1658" w:space="40"/>
            <w:col w:w="8332"/>
          </w:cols>
        </w:sectPr>
      </w:pPr>
    </w:p>
    <w:p>
      <w:pPr>
        <w:pStyle w:val="BodyText"/>
        <w:spacing w:before="12"/>
        <w:rPr>
          <w:sz w:val="23"/>
        </w:rPr>
      </w:pPr>
    </w:p>
    <w:p>
      <w:pPr>
        <w:pStyle w:val="ListParagraph"/>
        <w:numPr>
          <w:ilvl w:val="2"/>
          <w:numId w:val="11"/>
        </w:numPr>
        <w:tabs>
          <w:tab w:pos="2290" w:val="left" w:leader="none"/>
          <w:tab w:pos="2291" w:val="left" w:leader="none"/>
        </w:tabs>
        <w:spacing w:line="240" w:lineRule="auto" w:before="36" w:after="0"/>
        <w:ind w:left="2290" w:right="0" w:hanging="1584"/>
        <w:jc w:val="left"/>
        <w:rPr>
          <w:sz w:val="21"/>
        </w:rPr>
      </w:pPr>
      <w:r>
        <w:rPr>
          <w:spacing w:val="-13"/>
          <w:sz w:val="21"/>
        </w:rPr>
        <w:t>指因头部遭受机械性外力，引起脑重要部位损伤，导致神经系统永久性的功能障碍。</w:t>
      </w:r>
    </w:p>
    <w:p>
      <w:pPr>
        <w:spacing w:after="0" w:line="240" w:lineRule="auto"/>
        <w:jc w:val="left"/>
        <w:rPr>
          <w:sz w:val="21"/>
        </w:rPr>
        <w:sectPr>
          <w:type w:val="continuous"/>
          <w:pgSz w:w="11910" w:h="16840"/>
          <w:pgMar w:top="1040" w:bottom="1180" w:left="1160" w:right="720"/>
        </w:sectPr>
      </w:pPr>
    </w:p>
    <w:p>
      <w:pPr>
        <w:pStyle w:val="BodyText"/>
        <w:spacing w:before="2"/>
        <w:rPr>
          <w:sz w:val="19"/>
        </w:rPr>
      </w:pPr>
    </w:p>
    <w:p>
      <w:pPr>
        <w:spacing w:after="0"/>
        <w:rPr>
          <w:sz w:val="19"/>
        </w:rPr>
        <w:sectPr>
          <w:pgSz w:w="11910" w:h="16840"/>
          <w:pgMar w:header="879" w:footer="995" w:top="1120" w:bottom="1180" w:left="1160" w:right="780"/>
        </w:sectPr>
      </w:pPr>
    </w:p>
    <w:p>
      <w:pPr>
        <w:pStyle w:val="BodyText"/>
        <w:spacing w:line="273" w:lineRule="auto" w:before="37"/>
        <w:ind w:left="706"/>
      </w:pPr>
      <w:r>
        <w:rPr/>
        <w:t>严重脑损伤</w:t>
      </w:r>
    </w:p>
    <w:p>
      <w:pPr>
        <w:pStyle w:val="BodyText"/>
        <w:spacing w:line="273" w:lineRule="auto" w:before="37"/>
        <w:ind w:left="173" w:right="151"/>
        <w:jc w:val="both"/>
      </w:pPr>
      <w:r>
        <w:rPr/>
        <w:br w:type="column"/>
      </w:r>
      <w:r>
        <w:rPr>
          <w:w w:val="100"/>
        </w:rPr>
        <w:t>须由头颅断层扫描</w:t>
      </w:r>
      <w:r>
        <w:rPr>
          <w:spacing w:val="1"/>
          <w:w w:val="100"/>
        </w:rPr>
        <w:t>（</w:t>
      </w:r>
      <w:r>
        <w:rPr>
          <w:spacing w:val="-3"/>
          <w:w w:val="100"/>
        </w:rPr>
        <w:t>C</w:t>
      </w:r>
      <w:r>
        <w:rPr>
          <w:spacing w:val="1"/>
          <w:w w:val="100"/>
        </w:rPr>
        <w:t>T</w:t>
      </w:r>
      <w:r>
        <w:rPr>
          <w:spacing w:val="-106"/>
          <w:w w:val="100"/>
        </w:rPr>
        <w:t>）</w:t>
      </w:r>
      <w:r>
        <w:rPr>
          <w:w w:val="100"/>
        </w:rPr>
        <w:t>、核磁共振检查（MRI）或正电子发射断层扫描</w:t>
      </w:r>
      <w:r>
        <w:rPr>
          <w:spacing w:val="1"/>
          <w:w w:val="100"/>
        </w:rPr>
        <w:t>（</w:t>
      </w:r>
      <w:r>
        <w:rPr>
          <w:w w:val="100"/>
        </w:rPr>
        <w:t>P</w:t>
      </w:r>
      <w:r>
        <w:rPr>
          <w:spacing w:val="-3"/>
          <w:w w:val="100"/>
        </w:rPr>
        <w:t>E</w:t>
      </w:r>
      <w:r>
        <w:rPr>
          <w:spacing w:val="-1"/>
          <w:w w:val="100"/>
        </w:rPr>
        <w:t>T</w:t>
      </w:r>
      <w:r>
        <w:rPr>
          <w:w w:val="100"/>
        </w:rPr>
        <w:t>）等影像</w:t>
      </w:r>
      <w:r>
        <w:rPr>
          <w:spacing w:val="-8"/>
        </w:rPr>
        <w:t>学检查证实。神经系统永久性的功能障碍，指脑损伤 </w:t>
      </w:r>
      <w:r>
        <w:rPr/>
        <w:t>180</w:t>
      </w:r>
      <w:r>
        <w:rPr>
          <w:spacing w:val="-9"/>
        </w:rPr>
        <w:t> 天后，仍遗留下列一种或一种</w:t>
      </w:r>
      <w:r>
        <w:rPr>
          <w:spacing w:val="-2"/>
        </w:rPr>
        <w:t>以上障碍：</w:t>
      </w:r>
    </w:p>
    <w:p>
      <w:pPr>
        <w:pStyle w:val="BodyText"/>
        <w:spacing w:before="8"/>
        <w:ind w:left="593"/>
      </w:pPr>
      <w:r>
        <w:rPr/>
        <w:t>（1）一肢或一肢以上肢体机能完全丧失；</w:t>
      </w:r>
    </w:p>
    <w:p>
      <w:pPr>
        <w:pStyle w:val="BodyText"/>
        <w:spacing w:before="37"/>
        <w:ind w:left="593"/>
      </w:pPr>
      <w:r>
        <w:rPr/>
        <w:t>（2）语言能力或咀嚼吞咽能力完全丧失；</w:t>
      </w:r>
    </w:p>
    <w:p>
      <w:pPr>
        <w:pStyle w:val="BodyText"/>
        <w:spacing w:line="273" w:lineRule="auto" w:before="37"/>
        <w:ind w:left="173" w:right="151" w:firstLine="420"/>
      </w:pPr>
      <w:r>
        <w:rPr/>
        <w:t>（3）自主生活能力完全丧失，无法独立完成六项基本日常生活活动中的三项或三项以上。</w:t>
      </w:r>
    </w:p>
    <w:p>
      <w:pPr>
        <w:spacing w:after="0" w:line="273" w:lineRule="auto"/>
        <w:sectPr>
          <w:type w:val="continuous"/>
          <w:pgSz w:w="11910" w:h="16840"/>
          <w:pgMar w:top="1040" w:bottom="1180" w:left="1160" w:right="780"/>
          <w:cols w:num="2" w:equalWidth="0">
            <w:col w:w="1658" w:space="40"/>
            <w:col w:w="8272"/>
          </w:cols>
        </w:sectPr>
      </w:pPr>
    </w:p>
    <w:p>
      <w:pPr>
        <w:pStyle w:val="BodyText"/>
        <w:spacing w:before="8"/>
      </w:pPr>
    </w:p>
    <w:p>
      <w:pPr>
        <w:spacing w:after="0"/>
        <w:sectPr>
          <w:type w:val="continuous"/>
          <w:pgSz w:w="11910" w:h="16840"/>
          <w:pgMar w:top="1040" w:bottom="1180" w:left="1160" w:right="780"/>
        </w:sectPr>
      </w:pPr>
    </w:p>
    <w:p>
      <w:pPr>
        <w:pStyle w:val="ListParagraph"/>
        <w:numPr>
          <w:ilvl w:val="2"/>
          <w:numId w:val="11"/>
        </w:numPr>
        <w:tabs>
          <w:tab w:pos="1344" w:val="left" w:leader="none"/>
        </w:tabs>
        <w:spacing w:line="240" w:lineRule="auto" w:before="37" w:after="0"/>
        <w:ind w:left="1343" w:right="0" w:hanging="637"/>
        <w:jc w:val="left"/>
        <w:rPr>
          <w:sz w:val="21"/>
        </w:rPr>
      </w:pPr>
    </w:p>
    <w:p>
      <w:pPr>
        <w:pStyle w:val="BodyText"/>
        <w:spacing w:line="273" w:lineRule="auto" w:before="37"/>
        <w:ind w:left="706"/>
      </w:pPr>
      <w:r>
        <w:rPr/>
        <w:t>严重帕金森病</w:t>
      </w:r>
    </w:p>
    <w:p>
      <w:pPr>
        <w:pStyle w:val="BodyText"/>
        <w:spacing w:line="273" w:lineRule="auto" w:before="37"/>
        <w:ind w:left="173" w:right="151" w:firstLine="420"/>
      </w:pPr>
      <w:r>
        <w:rPr/>
        <w:br w:type="column"/>
      </w:r>
      <w:r>
        <w:rPr>
          <w:spacing w:val="-6"/>
        </w:rPr>
        <w:t>是一种中枢神经系统的退行性疾病，临床表现为震颤麻痹、共济失调等。须满足下</w:t>
      </w:r>
      <w:r>
        <w:rPr>
          <w:spacing w:val="-4"/>
        </w:rPr>
        <w:t>列全部条件：</w:t>
      </w:r>
    </w:p>
    <w:p>
      <w:pPr>
        <w:pStyle w:val="BodyText"/>
        <w:spacing w:before="7"/>
        <w:ind w:left="593"/>
      </w:pPr>
      <w:r>
        <w:rPr/>
        <w:t>（1）药物治疗无法控制病情；</w:t>
      </w:r>
    </w:p>
    <w:p>
      <w:pPr>
        <w:pStyle w:val="BodyText"/>
        <w:spacing w:line="273" w:lineRule="auto"/>
        <w:ind w:left="173" w:right="151" w:firstLine="420"/>
      </w:pPr>
      <w:r>
        <w:rPr/>
        <w:t>（2）自主生活能力完全丧失，无法独立完成六项基本日常生活活动中的三项或三项以上。</w:t>
      </w:r>
    </w:p>
    <w:p>
      <w:pPr>
        <w:pStyle w:val="BodyText"/>
        <w:spacing w:before="7"/>
        <w:ind w:left="596"/>
      </w:pPr>
      <w:r>
        <w:rPr/>
        <w:t>继发性帕金森综合征不在保障范围内。</w:t>
      </w:r>
    </w:p>
    <w:p>
      <w:pPr>
        <w:spacing w:after="0"/>
        <w:sectPr>
          <w:type w:val="continuous"/>
          <w:pgSz w:w="11910" w:h="16840"/>
          <w:pgMar w:top="1040" w:bottom="1180" w:left="1160" w:right="780"/>
          <w:cols w:num="2" w:equalWidth="0">
            <w:col w:w="1658" w:space="40"/>
            <w:col w:w="8272"/>
          </w:cols>
        </w:sectPr>
      </w:pPr>
    </w:p>
    <w:p>
      <w:pPr>
        <w:pStyle w:val="BodyText"/>
        <w:spacing w:before="11"/>
        <w:rPr>
          <w:sz w:val="23"/>
        </w:rPr>
      </w:pPr>
    </w:p>
    <w:p>
      <w:pPr>
        <w:spacing w:after="0"/>
        <w:rPr>
          <w:sz w:val="23"/>
        </w:rPr>
        <w:sectPr>
          <w:type w:val="continuous"/>
          <w:pgSz w:w="11910" w:h="16840"/>
          <w:pgMar w:top="1040" w:bottom="1180" w:left="1160" w:right="780"/>
        </w:sectPr>
      </w:pPr>
    </w:p>
    <w:p>
      <w:pPr>
        <w:pStyle w:val="ListParagraph"/>
        <w:numPr>
          <w:ilvl w:val="2"/>
          <w:numId w:val="11"/>
        </w:numPr>
        <w:tabs>
          <w:tab w:pos="1344" w:val="left" w:leader="none"/>
        </w:tabs>
        <w:spacing w:line="240" w:lineRule="auto" w:before="37" w:after="0"/>
        <w:ind w:left="1343" w:right="0" w:hanging="637"/>
        <w:jc w:val="left"/>
        <w:rPr>
          <w:sz w:val="21"/>
        </w:rPr>
      </w:pPr>
    </w:p>
    <w:p>
      <w:pPr>
        <w:pStyle w:val="BodyText"/>
        <w:spacing w:line="273" w:lineRule="auto" w:before="37"/>
        <w:ind w:left="706"/>
      </w:pPr>
      <w:r>
        <w:rPr/>
        <w:t>严重Ⅲ 度烧伤</w:t>
      </w:r>
    </w:p>
    <w:p>
      <w:pPr>
        <w:pStyle w:val="BodyText"/>
        <w:spacing w:line="273" w:lineRule="auto" w:before="37"/>
        <w:ind w:left="173" w:right="94" w:firstLine="420"/>
      </w:pPr>
      <w:r>
        <w:rPr/>
        <w:br w:type="column"/>
      </w:r>
      <w:r>
        <w:rPr/>
        <w:t>指烧伤程度为Ⅲ度，且Ⅲ度烧伤的面积达到全身体表面积的 20％或 20％以上。体表面积根据《中国新九分法》计算。</w:t>
      </w:r>
    </w:p>
    <w:p>
      <w:pPr>
        <w:spacing w:after="0" w:line="273" w:lineRule="auto"/>
        <w:sectPr>
          <w:type w:val="continuous"/>
          <w:pgSz w:w="11910" w:h="16840"/>
          <w:pgMar w:top="1040" w:bottom="1180" w:left="1160" w:right="780"/>
          <w:cols w:num="2" w:equalWidth="0">
            <w:col w:w="1658" w:space="40"/>
            <w:col w:w="8272"/>
          </w:cols>
        </w:sectPr>
      </w:pPr>
    </w:p>
    <w:p>
      <w:pPr>
        <w:pStyle w:val="BodyText"/>
        <w:spacing w:before="8"/>
      </w:pPr>
    </w:p>
    <w:p>
      <w:pPr>
        <w:spacing w:after="0"/>
        <w:sectPr>
          <w:type w:val="continuous"/>
          <w:pgSz w:w="11910" w:h="16840"/>
          <w:pgMar w:top="1040" w:bottom="1180" w:left="1160" w:right="780"/>
        </w:sectPr>
      </w:pPr>
    </w:p>
    <w:p>
      <w:pPr>
        <w:pStyle w:val="ListParagraph"/>
        <w:numPr>
          <w:ilvl w:val="2"/>
          <w:numId w:val="11"/>
        </w:numPr>
        <w:tabs>
          <w:tab w:pos="1344" w:val="left" w:leader="none"/>
        </w:tabs>
        <w:spacing w:line="240" w:lineRule="auto" w:before="36" w:after="0"/>
        <w:ind w:left="1343" w:right="0" w:hanging="637"/>
        <w:jc w:val="left"/>
        <w:rPr>
          <w:sz w:val="21"/>
        </w:rPr>
      </w:pPr>
    </w:p>
    <w:p>
      <w:pPr>
        <w:pStyle w:val="BodyText"/>
        <w:spacing w:line="273" w:lineRule="auto"/>
        <w:ind w:left="706"/>
        <w:jc w:val="both"/>
      </w:pPr>
      <w:r>
        <w:rPr/>
        <w:t>严重原发性肺动脉高压</w:t>
      </w:r>
    </w:p>
    <w:p>
      <w:pPr>
        <w:pStyle w:val="BodyText"/>
        <w:spacing w:line="273" w:lineRule="auto"/>
        <w:ind w:left="173" w:right="151" w:firstLine="420"/>
        <w:jc w:val="both"/>
      </w:pPr>
      <w:r>
        <w:rPr/>
        <w:br w:type="column"/>
      </w:r>
      <w:r>
        <w:rPr>
          <w:spacing w:val="-6"/>
        </w:rPr>
        <w:t>指不明原因的肺动脉压力持续性增高，进行性发展而导致的慢性疾病，已经造成永</w:t>
      </w:r>
      <w:r>
        <w:rPr>
          <w:spacing w:val="-5"/>
        </w:rPr>
        <w:t>久不可逆性的体力活动能力受限，达到美国纽约心脏病学会心功能状态分级 </w:t>
      </w:r>
      <w:r>
        <w:rPr/>
        <w:t>IV</w:t>
      </w:r>
      <w:r>
        <w:rPr>
          <w:spacing w:val="-2"/>
        </w:rPr>
        <w:t> 级，且</w:t>
      </w:r>
      <w:r>
        <w:rPr>
          <w:spacing w:val="-6"/>
        </w:rPr>
        <w:t>静息状态下肺动脉平均压超过 </w:t>
      </w:r>
      <w:r>
        <w:rPr/>
        <w:t>30mmHg。</w:t>
      </w:r>
    </w:p>
    <w:p>
      <w:pPr>
        <w:spacing w:after="0" w:line="273" w:lineRule="auto"/>
        <w:jc w:val="both"/>
        <w:sectPr>
          <w:type w:val="continuous"/>
          <w:pgSz w:w="11910" w:h="16840"/>
          <w:pgMar w:top="1040" w:bottom="1180" w:left="1160" w:right="780"/>
          <w:cols w:num="2" w:equalWidth="0">
            <w:col w:w="1658" w:space="40"/>
            <w:col w:w="8272"/>
          </w:cols>
        </w:sectPr>
      </w:pPr>
    </w:p>
    <w:p>
      <w:pPr>
        <w:pStyle w:val="BodyText"/>
        <w:spacing w:before="8"/>
      </w:pPr>
    </w:p>
    <w:p>
      <w:pPr>
        <w:spacing w:after="0"/>
        <w:sectPr>
          <w:type w:val="continuous"/>
          <w:pgSz w:w="11910" w:h="16840"/>
          <w:pgMar w:top="1040" w:bottom="1180" w:left="1160" w:right="780"/>
        </w:sectPr>
      </w:pPr>
    </w:p>
    <w:p>
      <w:pPr>
        <w:pStyle w:val="ListParagraph"/>
        <w:numPr>
          <w:ilvl w:val="2"/>
          <w:numId w:val="11"/>
        </w:numPr>
        <w:tabs>
          <w:tab w:pos="1344" w:val="left" w:leader="none"/>
        </w:tabs>
        <w:spacing w:line="240" w:lineRule="auto" w:before="36" w:after="0"/>
        <w:ind w:left="1343" w:right="0" w:hanging="637"/>
        <w:jc w:val="left"/>
        <w:rPr>
          <w:sz w:val="21"/>
        </w:rPr>
      </w:pPr>
    </w:p>
    <w:p>
      <w:pPr>
        <w:pStyle w:val="BodyText"/>
        <w:spacing w:line="273" w:lineRule="auto"/>
        <w:ind w:left="706"/>
      </w:pPr>
      <w:r>
        <w:rPr/>
        <w:t>严重运动神经元病</w:t>
      </w:r>
    </w:p>
    <w:p>
      <w:pPr>
        <w:pStyle w:val="BodyText"/>
        <w:spacing w:line="273" w:lineRule="auto"/>
        <w:ind w:left="173" w:right="151" w:firstLine="420"/>
        <w:jc w:val="both"/>
      </w:pPr>
      <w:r>
        <w:rPr/>
        <w:br w:type="column"/>
      </w:r>
      <w:r>
        <w:rPr>
          <w:spacing w:val="-5"/>
        </w:rPr>
        <w:t>是一组中枢神经系统运动神经元的进行性变性疾病，包括进行性脊肌萎缩症、进行</w:t>
      </w:r>
      <w:r>
        <w:rPr>
          <w:spacing w:val="-8"/>
        </w:rPr>
        <w:t>性延髓麻痹症、原发性侧索硬化症、肌萎缩性侧索硬化症。须满足自主生活能力完全丧</w:t>
      </w:r>
      <w:r>
        <w:rPr>
          <w:spacing w:val="-3"/>
        </w:rPr>
        <w:t>失，无法独立完成六项基本日常生活活动中的三项或三项以上的条件。</w:t>
      </w:r>
    </w:p>
    <w:p>
      <w:pPr>
        <w:spacing w:after="0" w:line="273" w:lineRule="auto"/>
        <w:jc w:val="both"/>
        <w:sectPr>
          <w:type w:val="continuous"/>
          <w:pgSz w:w="11910" w:h="16840"/>
          <w:pgMar w:top="1040" w:bottom="1180" w:left="1160" w:right="780"/>
          <w:cols w:num="2" w:equalWidth="0">
            <w:col w:w="1658" w:space="40"/>
            <w:col w:w="8272"/>
          </w:cols>
        </w:sectPr>
      </w:pPr>
    </w:p>
    <w:p>
      <w:pPr>
        <w:pStyle w:val="BodyText"/>
        <w:spacing w:before="8"/>
      </w:pPr>
    </w:p>
    <w:p>
      <w:pPr>
        <w:spacing w:after="0"/>
        <w:sectPr>
          <w:type w:val="continuous"/>
          <w:pgSz w:w="11910" w:h="16840"/>
          <w:pgMar w:top="1040" w:bottom="1180" w:left="1160" w:right="780"/>
        </w:sectPr>
      </w:pPr>
    </w:p>
    <w:p>
      <w:pPr>
        <w:pStyle w:val="ListParagraph"/>
        <w:numPr>
          <w:ilvl w:val="2"/>
          <w:numId w:val="11"/>
        </w:numPr>
        <w:tabs>
          <w:tab w:pos="1344" w:val="left" w:leader="none"/>
        </w:tabs>
        <w:spacing w:line="240" w:lineRule="auto" w:before="36" w:after="0"/>
        <w:ind w:left="1343" w:right="0" w:hanging="637"/>
        <w:jc w:val="left"/>
        <w:rPr>
          <w:sz w:val="21"/>
        </w:rPr>
      </w:pPr>
    </w:p>
    <w:p>
      <w:pPr>
        <w:pStyle w:val="BodyText"/>
        <w:spacing w:line="273" w:lineRule="auto" w:before="37"/>
        <w:ind w:left="706"/>
      </w:pPr>
      <w:r>
        <w:rPr/>
        <w:t>语言能力丧失</w:t>
      </w:r>
    </w:p>
    <w:p>
      <w:pPr>
        <w:pStyle w:val="BodyText"/>
        <w:spacing w:line="273" w:lineRule="auto"/>
        <w:ind w:left="173" w:right="151" w:firstLine="420"/>
      </w:pPr>
      <w:r>
        <w:rPr/>
        <w:br w:type="column"/>
      </w:r>
      <w:r>
        <w:rPr>
          <w:spacing w:val="-4"/>
        </w:rPr>
        <w:t>指因疾病或意外伤害导致完全丧失语言能力，经过积极治疗至少 </w:t>
      </w:r>
      <w:r>
        <w:rPr/>
        <w:t>12</w:t>
      </w:r>
      <w:r>
        <w:rPr>
          <w:spacing w:val="5"/>
        </w:rPr>
        <w:t> 个月</w:t>
      </w:r>
      <w:r>
        <w:rPr>
          <w:spacing w:val="-3"/>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BodyText"/>
        <w:spacing w:before="7"/>
        <w:ind w:left="596"/>
      </w:pPr>
      <w:r>
        <w:rPr/>
        <w:t>精神心理因素所致的语言能力丧失不在保障范围内。</w:t>
      </w:r>
    </w:p>
    <w:p>
      <w:pPr>
        <w:spacing w:after="0"/>
        <w:sectPr>
          <w:type w:val="continuous"/>
          <w:pgSz w:w="11910" w:h="16840"/>
          <w:pgMar w:top="1040" w:bottom="1180" w:left="1160" w:right="780"/>
          <w:cols w:num="2" w:equalWidth="0">
            <w:col w:w="1658" w:space="40"/>
            <w:col w:w="8272"/>
          </w:cols>
        </w:sectPr>
      </w:pPr>
    </w:p>
    <w:p>
      <w:pPr>
        <w:pStyle w:val="BodyText"/>
        <w:spacing w:before="8"/>
      </w:pPr>
    </w:p>
    <w:p>
      <w:pPr>
        <w:spacing w:after="0"/>
        <w:sectPr>
          <w:type w:val="continuous"/>
          <w:pgSz w:w="11910" w:h="16840"/>
          <w:pgMar w:top="1040" w:bottom="1180" w:left="1160" w:right="780"/>
        </w:sectPr>
      </w:pPr>
    </w:p>
    <w:p>
      <w:pPr>
        <w:pStyle w:val="ListParagraph"/>
        <w:numPr>
          <w:ilvl w:val="2"/>
          <w:numId w:val="11"/>
        </w:numPr>
        <w:tabs>
          <w:tab w:pos="1344" w:val="left" w:leader="none"/>
        </w:tabs>
        <w:spacing w:line="240" w:lineRule="auto" w:before="37" w:after="0"/>
        <w:ind w:left="1343" w:right="0" w:hanging="637"/>
        <w:jc w:val="left"/>
        <w:rPr>
          <w:sz w:val="21"/>
        </w:rPr>
      </w:pPr>
    </w:p>
    <w:p>
      <w:pPr>
        <w:pStyle w:val="BodyText"/>
        <w:spacing w:line="273" w:lineRule="auto" w:before="37"/>
        <w:ind w:left="706"/>
        <w:jc w:val="both"/>
      </w:pPr>
      <w:r>
        <w:rPr/>
        <w:t>重型再生障碍性贫血</w:t>
      </w:r>
    </w:p>
    <w:p>
      <w:pPr>
        <w:pStyle w:val="BodyText"/>
        <w:spacing w:line="273" w:lineRule="auto" w:before="37"/>
        <w:ind w:left="173" w:right="105" w:firstLine="420"/>
      </w:pPr>
      <w:r>
        <w:rPr/>
        <w:br w:type="column"/>
      </w:r>
      <w:r>
        <w:rPr/>
        <w:t>指因骨髓造血功能慢性持续性衰竭导致的贫血、中性粒细胞减少及血小板减少。须满足下列全部条件：</w:t>
      </w:r>
    </w:p>
    <w:p>
      <w:pPr>
        <w:pStyle w:val="BodyText"/>
        <w:spacing w:before="7"/>
        <w:ind w:left="593"/>
      </w:pPr>
      <w:r>
        <w:rPr/>
        <w:t>（1）骨髓穿刺检查或骨髓活检结果支持诊断；</w:t>
      </w:r>
    </w:p>
    <w:p>
      <w:pPr>
        <w:pStyle w:val="BodyText"/>
        <w:ind w:left="593"/>
      </w:pPr>
      <w:r>
        <w:rPr/>
        <w:t>（2）外周血象须具备以下三项条件：</w:t>
      </w:r>
    </w:p>
    <w:p>
      <w:pPr>
        <w:pStyle w:val="BodyText"/>
        <w:tabs>
          <w:tab w:pos="1435" w:val="left" w:leader="none"/>
        </w:tabs>
        <w:ind w:left="1013"/>
      </w:pPr>
      <w:r>
        <w:rPr/>
        <w:t>①</w:t>
        <w:tab/>
      </w:r>
      <w:r>
        <w:rPr>
          <w:spacing w:val="-3"/>
        </w:rPr>
        <w:t>中性粒细胞绝对值</w:t>
      </w:r>
      <w:r>
        <w:rPr>
          <w:spacing w:val="-1"/>
        </w:rPr>
        <w:t>≤0.5×10</w:t>
      </w:r>
      <w:r>
        <w:rPr>
          <w:spacing w:val="-1"/>
          <w:position w:val="11"/>
          <w:sz w:val="11"/>
        </w:rPr>
        <w:t>9</w:t>
      </w:r>
      <w:r>
        <w:rPr>
          <w:spacing w:val="-1"/>
        </w:rPr>
        <w:t>/L；</w:t>
      </w:r>
    </w:p>
    <w:p>
      <w:pPr>
        <w:pStyle w:val="BodyText"/>
        <w:tabs>
          <w:tab w:pos="1435" w:val="left" w:leader="none"/>
        </w:tabs>
        <w:ind w:left="1013"/>
      </w:pPr>
      <w:r>
        <w:rPr/>
        <w:t>②</w:t>
        <w:tab/>
      </w:r>
      <w:r>
        <w:rPr>
          <w:spacing w:val="-3"/>
        </w:rPr>
        <w:t>网织红细胞</w:t>
      </w:r>
      <w:r>
        <w:rPr>
          <w:spacing w:val="-1"/>
        </w:rPr>
        <w:t>＜1%；</w:t>
      </w:r>
    </w:p>
    <w:p>
      <w:pPr>
        <w:pStyle w:val="BodyText"/>
        <w:tabs>
          <w:tab w:pos="1435" w:val="left" w:leader="none"/>
        </w:tabs>
        <w:ind w:left="1013"/>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1040" w:bottom="1180" w:left="1160" w:right="780"/>
          <w:cols w:num="2" w:equalWidth="0">
            <w:col w:w="1658" w:space="40"/>
            <w:col w:w="8272"/>
          </w:cols>
        </w:sectPr>
      </w:pPr>
    </w:p>
    <w:p>
      <w:pPr>
        <w:pStyle w:val="BodyText"/>
        <w:spacing w:before="11"/>
        <w:rPr>
          <w:sz w:val="23"/>
        </w:rPr>
      </w:pPr>
    </w:p>
    <w:p>
      <w:pPr>
        <w:spacing w:after="0"/>
        <w:rPr>
          <w:sz w:val="23"/>
        </w:rPr>
        <w:sectPr>
          <w:type w:val="continuous"/>
          <w:pgSz w:w="11910" w:h="16840"/>
          <w:pgMar w:top="1040" w:bottom="1180" w:left="1160" w:right="780"/>
        </w:sectPr>
      </w:pPr>
    </w:p>
    <w:p>
      <w:pPr>
        <w:pStyle w:val="ListParagraph"/>
        <w:numPr>
          <w:ilvl w:val="2"/>
          <w:numId w:val="11"/>
        </w:numPr>
        <w:tabs>
          <w:tab w:pos="1344" w:val="left" w:leader="none"/>
        </w:tabs>
        <w:spacing w:line="240" w:lineRule="auto" w:before="36" w:after="0"/>
        <w:ind w:left="1343" w:right="0" w:hanging="637"/>
        <w:jc w:val="left"/>
        <w:rPr>
          <w:sz w:val="21"/>
        </w:rPr>
      </w:pPr>
    </w:p>
    <w:p>
      <w:pPr>
        <w:pStyle w:val="BodyText"/>
        <w:spacing w:line="273" w:lineRule="auto"/>
        <w:ind w:left="706"/>
      </w:pPr>
      <w:r>
        <w:rPr/>
        <w:t>主动脉手术</w:t>
      </w:r>
    </w:p>
    <w:p>
      <w:pPr>
        <w:pStyle w:val="BodyText"/>
        <w:spacing w:line="273" w:lineRule="auto"/>
        <w:ind w:left="173" w:right="110" w:firstLine="420"/>
      </w:pPr>
      <w:r>
        <w:rPr/>
        <w:br w:type="column"/>
      </w:r>
      <w:r>
        <w:rPr>
          <w:spacing w:val="-7"/>
        </w:rPr>
        <w:t>指为治疗主动脉疾病，实际实施了开胸或开腹进行的切除、置换、修补病损主动脉</w:t>
      </w:r>
      <w:r>
        <w:rPr>
          <w:spacing w:val="-3"/>
        </w:rPr>
        <w:t>血管的手术。主动脉指胸主动脉和腹主动脉，不包括胸主动脉和腹主动脉的分支血管。</w:t>
      </w:r>
    </w:p>
    <w:p>
      <w:pPr>
        <w:pStyle w:val="BodyText"/>
        <w:spacing w:before="7"/>
        <w:ind w:left="596"/>
      </w:pPr>
      <w:r>
        <w:rPr/>
        <w:t>动脉内血管成形术不在保障范围内。</w:t>
      </w:r>
    </w:p>
    <w:p>
      <w:pPr>
        <w:spacing w:after="0"/>
        <w:sectPr>
          <w:type w:val="continuous"/>
          <w:pgSz w:w="11910" w:h="16840"/>
          <w:pgMar w:top="1040" w:bottom="1180" w:left="1160" w:right="780"/>
          <w:cols w:num="2" w:equalWidth="0">
            <w:col w:w="1658" w:space="40"/>
            <w:col w:w="8272"/>
          </w:cols>
        </w:sectPr>
      </w:pPr>
    </w:p>
    <w:p>
      <w:pPr>
        <w:pStyle w:val="BodyText"/>
        <w:spacing w:before="2"/>
        <w:rPr>
          <w:sz w:val="19"/>
        </w:rPr>
      </w:pPr>
    </w:p>
    <w:p>
      <w:pPr>
        <w:spacing w:after="0"/>
        <w:rPr>
          <w:sz w:val="19"/>
        </w:rPr>
        <w:sectPr>
          <w:pgSz w:w="11910" w:h="16840"/>
          <w:pgMar w:header="879" w:footer="995" w:top="1120" w:bottom="1180" w:left="1160" w:right="720"/>
        </w:sectPr>
      </w:pPr>
    </w:p>
    <w:p>
      <w:pPr>
        <w:pStyle w:val="ListParagraph"/>
        <w:numPr>
          <w:ilvl w:val="2"/>
          <w:numId w:val="11"/>
        </w:numPr>
        <w:tabs>
          <w:tab w:pos="1344" w:val="left" w:leader="none"/>
        </w:tabs>
        <w:spacing w:line="240" w:lineRule="auto" w:before="37" w:after="0"/>
        <w:ind w:left="1343" w:right="0" w:hanging="637"/>
        <w:jc w:val="left"/>
        <w:rPr>
          <w:sz w:val="21"/>
        </w:rPr>
      </w:pPr>
    </w:p>
    <w:p>
      <w:pPr>
        <w:pStyle w:val="BodyText"/>
        <w:spacing w:line="273" w:lineRule="auto" w:before="37"/>
        <w:ind w:left="706"/>
      </w:pPr>
      <w:r>
        <w:rPr/>
        <w:t>严重多发性硬化</w:t>
      </w:r>
    </w:p>
    <w:p>
      <w:pPr>
        <w:pStyle w:val="BodyText"/>
        <w:spacing w:line="273" w:lineRule="auto" w:before="37"/>
        <w:ind w:left="173" w:right="211" w:firstLine="420"/>
        <w:jc w:val="both"/>
      </w:pPr>
      <w:r>
        <w:rPr/>
        <w:br w:type="column"/>
      </w:r>
      <w:r>
        <w:rPr>
          <w:spacing w:val="-5"/>
        </w:rPr>
        <w:t>指因中枢神经系统白质炎性脱髓鞘而导致的不可逆的身体部位的功能障碍，需由本公司认可医院提供明确诊断，并有头颅断层扫描（CT）或核磁共振检查（MRI）诊断报告。所谓不可逆的身体部位功能障碍指初次诊断为功能障碍后需持续 </w:t>
      </w:r>
      <w:r>
        <w:rPr/>
        <w:t>180</w:t>
      </w:r>
      <w:r>
        <w:rPr>
          <w:spacing w:val="-8"/>
        </w:rPr>
        <w:t> 天以上。</w:t>
      </w:r>
    </w:p>
    <w:p>
      <w:pPr>
        <w:pStyle w:val="BodyText"/>
        <w:spacing w:before="8"/>
        <w:ind w:left="593"/>
      </w:pPr>
      <w:r>
        <w:rPr/>
        <w:t>由本公司认可医院提供的明确诊断必须包含下列全部三项条件：</w:t>
      </w:r>
    </w:p>
    <w:p>
      <w:pPr>
        <w:pStyle w:val="BodyText"/>
        <w:spacing w:before="37"/>
        <w:ind w:left="593"/>
      </w:pPr>
      <w:r>
        <w:rPr/>
        <w:t>（1）明确出现因视神经、脑干或脊髓损伤而导致的临床表现；</w:t>
      </w:r>
    </w:p>
    <w:p>
      <w:pPr>
        <w:pStyle w:val="BodyText"/>
        <w:spacing w:before="37"/>
        <w:ind w:left="593"/>
      </w:pPr>
      <w:r>
        <w:rPr/>
        <w:t>（2）散在的身体损害的多样性；</w:t>
      </w:r>
    </w:p>
    <w:p>
      <w:pPr>
        <w:pStyle w:val="BodyText"/>
        <w:spacing w:before="37"/>
        <w:ind w:left="593"/>
      </w:pPr>
      <w:r>
        <w:rPr/>
        <w:t>（3）有明确的上述症状及神经损伤反复恶化、减轻的病史纪录。</w:t>
      </w:r>
    </w:p>
    <w:p>
      <w:pPr>
        <w:spacing w:after="0"/>
        <w:sectPr>
          <w:type w:val="continuous"/>
          <w:pgSz w:w="11910" w:h="16840"/>
          <w:pgMar w:top="1040" w:bottom="1180" w:left="1160" w:right="720"/>
          <w:cols w:num="2" w:equalWidth="0">
            <w:col w:w="1658" w:space="40"/>
            <w:col w:w="8332"/>
          </w:cols>
        </w:sectPr>
      </w:pPr>
    </w:p>
    <w:p>
      <w:pPr>
        <w:pStyle w:val="BodyText"/>
        <w:spacing w:before="11"/>
        <w:rPr>
          <w:sz w:val="23"/>
        </w:rPr>
      </w:pPr>
    </w:p>
    <w:p>
      <w:pPr>
        <w:spacing w:after="0"/>
        <w:rPr>
          <w:sz w:val="23"/>
        </w:rPr>
        <w:sectPr>
          <w:type w:val="continuous"/>
          <w:pgSz w:w="11910" w:h="16840"/>
          <w:pgMar w:top="1040" w:bottom="1180" w:left="1160" w:right="720"/>
        </w:sectPr>
      </w:pPr>
    </w:p>
    <w:p>
      <w:pPr>
        <w:pStyle w:val="ListParagraph"/>
        <w:numPr>
          <w:ilvl w:val="2"/>
          <w:numId w:val="11"/>
        </w:numPr>
        <w:tabs>
          <w:tab w:pos="1344" w:val="left" w:leader="none"/>
        </w:tabs>
        <w:spacing w:line="240" w:lineRule="auto" w:before="37" w:after="0"/>
        <w:ind w:left="1343" w:right="0" w:hanging="637"/>
        <w:jc w:val="left"/>
        <w:rPr>
          <w:sz w:val="21"/>
        </w:rPr>
      </w:pPr>
    </w:p>
    <w:p>
      <w:pPr>
        <w:pStyle w:val="BodyText"/>
        <w:spacing w:line="273" w:lineRule="auto" w:before="37"/>
        <w:ind w:left="706"/>
        <w:jc w:val="both"/>
      </w:pPr>
      <w:r>
        <w:rPr/>
        <w:t>医护人员职业行为感染艾滋病病毒或患艾滋病</w:t>
      </w:r>
    </w:p>
    <w:p>
      <w:pPr>
        <w:pStyle w:val="BodyText"/>
        <w:spacing w:line="273" w:lineRule="auto" w:before="37"/>
        <w:ind w:left="173" w:right="105" w:firstLine="420"/>
      </w:pPr>
      <w:r>
        <w:rPr/>
        <w:br w:type="column"/>
      </w:r>
      <w:r>
        <w:rPr/>
        <w:t>指医护人员于执行正常医疗行为中因接触艾滋病病毒（HIV）感染患者或因遭艾滋</w:t>
      </w:r>
      <w:r>
        <w:rPr>
          <w:spacing w:val="-32"/>
          <w:w w:val="100"/>
        </w:rPr>
        <w:t>病病毒</w:t>
      </w:r>
      <w:r>
        <w:rPr>
          <w:w w:val="100"/>
        </w:rPr>
        <w:t>（HIV</w:t>
      </w:r>
      <w:r>
        <w:rPr>
          <w:spacing w:val="-96"/>
          <w:w w:val="100"/>
        </w:rPr>
        <w:t>）</w:t>
      </w:r>
      <w:r>
        <w:rPr>
          <w:spacing w:val="-9"/>
          <w:w w:val="100"/>
        </w:rPr>
        <w:t>污染之医疗器械意外所伤而致艾滋病病毒</w:t>
      </w:r>
      <w:r>
        <w:rPr>
          <w:w w:val="100"/>
        </w:rPr>
        <w:t>（HIV</w:t>
      </w:r>
      <w:r>
        <w:rPr>
          <w:spacing w:val="-96"/>
          <w:w w:val="100"/>
        </w:rPr>
        <w:t>）</w:t>
      </w:r>
      <w:r>
        <w:rPr>
          <w:spacing w:val="-15"/>
          <w:w w:val="100"/>
        </w:rPr>
        <w:t>感染或罹患艾滋病</w:t>
      </w:r>
      <w:r>
        <w:rPr>
          <w:w w:val="100"/>
        </w:rPr>
        <w:t>（AIDS</w:t>
      </w:r>
      <w:r>
        <w:rPr>
          <w:spacing w:val="-108"/>
          <w:w w:val="100"/>
        </w:rPr>
        <w:t>）</w:t>
      </w:r>
      <w:r>
        <w:rPr>
          <w:w w:val="100"/>
        </w:rPr>
        <w:t>。</w:t>
      </w:r>
      <w:r>
        <w:rPr>
          <w:spacing w:val="-3"/>
        </w:rPr>
        <w:t>并且证实满足下列全部条件：</w:t>
      </w:r>
    </w:p>
    <w:p>
      <w:pPr>
        <w:pStyle w:val="BodyText"/>
        <w:spacing w:before="8"/>
        <w:ind w:left="593"/>
      </w:pPr>
      <w:r>
        <w:rPr/>
        <w:t>（1）任何意外事件导致感染的必须在意外发生后 30 天内向本公司报案；</w:t>
      </w:r>
    </w:p>
    <w:p>
      <w:pPr>
        <w:pStyle w:val="BodyText"/>
        <w:spacing w:before="37"/>
        <w:ind w:left="593"/>
      </w:pPr>
      <w:r>
        <w:rPr/>
        <w:t>（2）存在导致该意外事件的明确艾滋病病毒感染的液体证据；</w:t>
      </w:r>
    </w:p>
    <w:p>
      <w:pPr>
        <w:pStyle w:val="BodyText"/>
        <w:spacing w:line="273" w:lineRule="auto" w:before="37"/>
        <w:ind w:left="173" w:right="213" w:firstLine="420"/>
      </w:pPr>
      <w:r>
        <w:rPr/>
        <w:t>（3）</w:t>
      </w:r>
      <w:r>
        <w:rPr>
          <w:spacing w:val="-6"/>
        </w:rPr>
        <w:t>在向本公司报告意外发生后的 </w:t>
      </w:r>
      <w:r>
        <w:rPr/>
        <w:t>180</w:t>
      </w:r>
      <w:r>
        <w:rPr>
          <w:spacing w:val="-13"/>
        </w:rPr>
        <w:t> 天内出现血清 </w:t>
      </w:r>
      <w:r>
        <w:rPr/>
        <w:t>HIV</w:t>
      </w:r>
      <w:r>
        <w:rPr>
          <w:spacing w:val="-14"/>
        </w:rPr>
        <w:t> 阴性转变为 </w:t>
      </w:r>
      <w:r>
        <w:rPr/>
        <w:t>HIV</w:t>
      </w:r>
      <w:r>
        <w:rPr>
          <w:spacing w:val="-11"/>
        </w:rPr>
        <w:t> 阳性的</w:t>
      </w:r>
      <w:r>
        <w:rPr>
          <w:spacing w:val="-2"/>
        </w:rPr>
        <w:t>检验证据；</w:t>
      </w:r>
    </w:p>
    <w:p>
      <w:pPr>
        <w:pStyle w:val="BodyText"/>
        <w:spacing w:before="8"/>
        <w:ind w:left="593"/>
      </w:pPr>
      <w:r>
        <w:rPr/>
        <w:t>（4）存在意外事件发生后 5 天内检查 HIV 抗体，结果为阴性的医疗检验报告；</w:t>
      </w:r>
    </w:p>
    <w:p>
      <w:pPr>
        <w:pStyle w:val="BodyText"/>
        <w:spacing w:line="273" w:lineRule="auto" w:before="37"/>
        <w:ind w:left="173" w:right="211" w:firstLine="422"/>
      </w:pPr>
      <w:r>
        <w:rPr>
          <w:spacing w:val="-6"/>
        </w:rPr>
        <w:t>医护人员，指在国家卫生行政管理机构认可医疗机构工作，并取得卫生行政管理机</w:t>
      </w:r>
      <w:r>
        <w:rPr>
          <w:spacing w:val="-3"/>
        </w:rPr>
        <w:t>构认可的相应任职资格的医护人员。</w:t>
      </w:r>
    </w:p>
    <w:p>
      <w:pPr>
        <w:pStyle w:val="BodyText"/>
        <w:spacing w:before="7"/>
        <w:ind w:left="596"/>
      </w:pPr>
      <w:r>
        <w:rPr/>
        <w:t>因性行为和静脉注射毒品所致不在保障范围内。</w:t>
      </w:r>
    </w:p>
    <w:p>
      <w:pPr>
        <w:spacing w:after="0"/>
        <w:sectPr>
          <w:type w:val="continuous"/>
          <w:pgSz w:w="11910" w:h="16840"/>
          <w:pgMar w:top="1040" w:bottom="1180" w:left="1160" w:right="720"/>
          <w:cols w:num="2" w:equalWidth="0">
            <w:col w:w="1658" w:space="40"/>
            <w:col w:w="8332"/>
          </w:cols>
        </w:sectPr>
      </w:pPr>
    </w:p>
    <w:p>
      <w:pPr>
        <w:pStyle w:val="BodyText"/>
        <w:spacing w:before="11"/>
        <w:rPr>
          <w:sz w:val="23"/>
        </w:rPr>
      </w:pPr>
    </w:p>
    <w:p>
      <w:pPr>
        <w:spacing w:after="0"/>
        <w:rPr>
          <w:sz w:val="23"/>
        </w:rPr>
        <w:sectPr>
          <w:type w:val="continuous"/>
          <w:pgSz w:w="11910" w:h="16840"/>
          <w:pgMar w:top="1040" w:bottom="1180" w:left="1160" w:right="720"/>
        </w:sectPr>
      </w:pPr>
    </w:p>
    <w:p>
      <w:pPr>
        <w:pStyle w:val="ListParagraph"/>
        <w:numPr>
          <w:ilvl w:val="2"/>
          <w:numId w:val="11"/>
        </w:numPr>
        <w:tabs>
          <w:tab w:pos="1344" w:val="left" w:leader="none"/>
        </w:tabs>
        <w:spacing w:line="240" w:lineRule="auto" w:before="36" w:after="0"/>
        <w:ind w:left="1343" w:right="0" w:hanging="637"/>
        <w:jc w:val="left"/>
        <w:rPr>
          <w:sz w:val="21"/>
        </w:rPr>
      </w:pPr>
    </w:p>
    <w:p>
      <w:pPr>
        <w:pStyle w:val="BodyText"/>
        <w:spacing w:line="273" w:lineRule="auto"/>
        <w:ind w:left="706"/>
      </w:pPr>
      <w:r>
        <w:rPr/>
        <w:t>急性坏死型胰腺炎</w:t>
      </w:r>
    </w:p>
    <w:p>
      <w:pPr>
        <w:pStyle w:val="BodyText"/>
        <w:spacing w:line="273" w:lineRule="auto"/>
        <w:ind w:left="279" w:right="213" w:firstLine="420"/>
      </w:pPr>
      <w:r>
        <w:rPr/>
        <w:br w:type="column"/>
      </w:r>
      <w:r>
        <w:rPr>
          <w:spacing w:val="-6"/>
        </w:rPr>
        <w:t>由本公司认可医院的专科医生确诊为急性坏死型胰腺炎。但因酗酒所致的急性坏死</w:t>
      </w:r>
      <w:r>
        <w:rPr>
          <w:spacing w:val="-3"/>
        </w:rPr>
        <w:t>型胰腺炎不属本保险责任范围。</w:t>
      </w:r>
    </w:p>
    <w:p>
      <w:pPr>
        <w:pStyle w:val="BodyText"/>
        <w:spacing w:before="7"/>
        <w:ind w:left="699"/>
      </w:pPr>
      <w:r>
        <w:rPr/>
        <w:t>由本公司认可医院提供的明确诊断必须满足下列全部条件：</w:t>
      </w:r>
    </w:p>
    <w:p>
      <w:pPr>
        <w:pStyle w:val="BodyText"/>
        <w:spacing w:before="37"/>
        <w:ind w:left="699"/>
      </w:pPr>
      <w:r>
        <w:rPr/>
        <w:t>（1）弥漫性腹膜炎；</w:t>
      </w:r>
    </w:p>
    <w:p>
      <w:pPr>
        <w:pStyle w:val="BodyText"/>
        <w:spacing w:before="37"/>
        <w:ind w:left="699"/>
      </w:pPr>
      <w:r>
        <w:rPr/>
        <w:t>（2）空腹血糖持续高于 </w:t>
      </w:r>
      <w:r>
        <w:rPr>
          <w:rFonts w:ascii="Times New Roman" w:eastAsia="Times New Roman"/>
        </w:rPr>
        <w:t>10mmol/L</w:t>
      </w:r>
      <w:r>
        <w:rPr/>
        <w:t>。</w:t>
      </w:r>
    </w:p>
    <w:p>
      <w:pPr>
        <w:pStyle w:val="BodyText"/>
        <w:spacing w:line="273" w:lineRule="auto" w:before="21"/>
        <w:ind w:left="279" w:right="215" w:firstLine="422"/>
      </w:pPr>
      <w:r>
        <w:rPr>
          <w:spacing w:val="-6"/>
        </w:rPr>
        <w:t>对于因急性发病导致身故而无法同时具备以上条件者，须以法医鉴定机构出具的尸检报告为明确诊断的依据。</w:t>
      </w:r>
    </w:p>
    <w:p>
      <w:pPr>
        <w:spacing w:after="0" w:line="273" w:lineRule="auto"/>
        <w:sectPr>
          <w:type w:val="continuous"/>
          <w:pgSz w:w="11910" w:h="16840"/>
          <w:pgMar w:top="1040" w:bottom="1180" w:left="1160" w:right="720"/>
          <w:cols w:num="2" w:equalWidth="0">
            <w:col w:w="1552" w:space="40"/>
            <w:col w:w="8438"/>
          </w:cols>
        </w:sectPr>
      </w:pPr>
    </w:p>
    <w:p>
      <w:pPr>
        <w:pStyle w:val="BodyText"/>
        <w:spacing w:before="8"/>
      </w:pPr>
    </w:p>
    <w:p>
      <w:pPr>
        <w:spacing w:after="0"/>
        <w:sectPr>
          <w:type w:val="continuous"/>
          <w:pgSz w:w="11910" w:h="16840"/>
          <w:pgMar w:top="1040" w:bottom="1180" w:left="1160" w:right="720"/>
        </w:sectPr>
      </w:pPr>
    </w:p>
    <w:p>
      <w:pPr>
        <w:pStyle w:val="ListParagraph"/>
        <w:numPr>
          <w:ilvl w:val="2"/>
          <w:numId w:val="11"/>
        </w:numPr>
        <w:tabs>
          <w:tab w:pos="1344" w:val="left" w:leader="none"/>
        </w:tabs>
        <w:spacing w:line="240" w:lineRule="auto" w:before="36" w:after="0"/>
        <w:ind w:left="1343" w:right="0" w:hanging="637"/>
        <w:jc w:val="left"/>
        <w:rPr>
          <w:sz w:val="21"/>
        </w:rPr>
      </w:pPr>
    </w:p>
    <w:p>
      <w:pPr>
        <w:pStyle w:val="BodyText"/>
        <w:spacing w:line="273" w:lineRule="auto"/>
        <w:ind w:left="706"/>
      </w:pPr>
      <w:r>
        <w:rPr/>
        <w:t>肌营养不良症</w:t>
      </w:r>
    </w:p>
    <w:p>
      <w:pPr>
        <w:pStyle w:val="BodyText"/>
        <w:ind w:left="699"/>
      </w:pPr>
      <w:r>
        <w:rPr/>
        <w:br w:type="column"/>
      </w:r>
      <w:r>
        <w:rPr/>
        <w:t>须满足下列全部条件：</w:t>
      </w:r>
    </w:p>
    <w:p>
      <w:pPr>
        <w:pStyle w:val="BodyText"/>
        <w:ind w:left="699"/>
      </w:pPr>
      <w:r>
        <w:rPr/>
        <w:t>（1）临床症状包含无感觉障碍、脑脊髓液正常、轻度的腱反射减少；</w:t>
      </w:r>
    </w:p>
    <w:p>
      <w:pPr>
        <w:pStyle w:val="BodyText"/>
        <w:ind w:left="699"/>
      </w:pPr>
      <w:r>
        <w:rPr/>
        <w:t>（2）肌电图显示肌营养不良症的特征性改变；</w:t>
      </w:r>
    </w:p>
    <w:p>
      <w:pPr>
        <w:pStyle w:val="BodyText"/>
        <w:spacing w:line="273" w:lineRule="auto"/>
        <w:ind w:left="279" w:right="273" w:firstLine="420"/>
      </w:pPr>
      <w:r>
        <w:rPr/>
        <w:t>（3）肌肉活体组织检查的病理学诊断符合肌营养不良症的肌肉细胞变性、坏死等阳性改变。</w:t>
      </w:r>
    </w:p>
    <w:p>
      <w:pPr>
        <w:spacing w:after="0" w:line="273" w:lineRule="auto"/>
        <w:sectPr>
          <w:type w:val="continuous"/>
          <w:pgSz w:w="11910" w:h="16840"/>
          <w:pgMar w:top="1040" w:bottom="1180" w:left="1160" w:right="720"/>
          <w:cols w:num="2" w:equalWidth="0">
            <w:col w:w="1552" w:space="40"/>
            <w:col w:w="8438"/>
          </w:cols>
        </w:sectPr>
      </w:pPr>
    </w:p>
    <w:p>
      <w:pPr>
        <w:pStyle w:val="BodyText"/>
        <w:spacing w:before="8"/>
      </w:pPr>
    </w:p>
    <w:p>
      <w:pPr>
        <w:spacing w:after="0"/>
        <w:sectPr>
          <w:type w:val="continuous"/>
          <w:pgSz w:w="11910" w:h="16840"/>
          <w:pgMar w:top="1040" w:bottom="1180" w:left="1160" w:right="720"/>
        </w:sectPr>
      </w:pPr>
    </w:p>
    <w:p>
      <w:pPr>
        <w:pStyle w:val="ListParagraph"/>
        <w:numPr>
          <w:ilvl w:val="2"/>
          <w:numId w:val="11"/>
        </w:numPr>
        <w:tabs>
          <w:tab w:pos="1344" w:val="left" w:leader="none"/>
        </w:tabs>
        <w:spacing w:line="240" w:lineRule="auto" w:before="36" w:after="0"/>
        <w:ind w:left="1343" w:right="0" w:hanging="637"/>
        <w:jc w:val="left"/>
        <w:rPr>
          <w:sz w:val="21"/>
        </w:rPr>
      </w:pPr>
    </w:p>
    <w:p>
      <w:pPr>
        <w:pStyle w:val="BodyText"/>
        <w:spacing w:line="273" w:lineRule="auto"/>
        <w:ind w:left="706"/>
        <w:jc w:val="both"/>
      </w:pPr>
      <w:r>
        <w:rPr/>
        <w:t>系统性红斑狼疮性肾炎</w:t>
      </w:r>
    </w:p>
    <w:p>
      <w:pPr>
        <w:pStyle w:val="BodyText"/>
        <w:spacing w:line="314" w:lineRule="auto" w:before="103"/>
        <w:ind w:left="279" w:right="211" w:firstLine="422"/>
        <w:jc w:val="both"/>
      </w:pPr>
      <w:r>
        <w:rPr/>
        <w:br w:type="column"/>
      </w:r>
      <w:r>
        <w:rPr>
          <w:spacing w:val="-5"/>
        </w:rPr>
        <w:t>指系统性红斑狼疮患者并发狼疮性肾炎而影响和损害肾脏功能，且肌酐清除率持续</w:t>
      </w:r>
      <w:r>
        <w:rPr>
          <w:spacing w:val="-13"/>
        </w:rPr>
        <w:t>低于 </w:t>
      </w:r>
      <w:r>
        <w:rPr/>
        <w:t>30ml/</w:t>
      </w:r>
      <w:r>
        <w:rPr>
          <w:spacing w:val="-3"/>
        </w:rPr>
        <w:t>分。系统性红斑狼疮性肾炎的诊断必须经本公司认可医院确诊，并满足下列条件：</w:t>
      </w:r>
    </w:p>
    <w:p>
      <w:pPr>
        <w:pStyle w:val="BodyText"/>
        <w:spacing w:before="19"/>
        <w:ind w:left="684" w:right="3829"/>
        <w:jc w:val="center"/>
      </w:pPr>
      <w:r>
        <w:rPr/>
        <w:t>（1）临床表现至少具备下列条件的四个：</w:t>
      </w:r>
    </w:p>
    <w:p>
      <w:pPr>
        <w:pStyle w:val="BodyText"/>
        <w:spacing w:before="85"/>
        <w:ind w:left="1119"/>
      </w:pPr>
      <w:r>
        <w:rPr/>
        <w:t>① 蝶形红斑或盘形红斑；</w:t>
      </w:r>
    </w:p>
    <w:p>
      <w:pPr>
        <w:pStyle w:val="BodyText"/>
        <w:spacing w:before="85"/>
        <w:ind w:left="1119"/>
      </w:pPr>
      <w:r>
        <w:rPr/>
        <w:t>② 光敏感；</w:t>
      </w:r>
    </w:p>
    <w:p>
      <w:pPr>
        <w:pStyle w:val="BodyText"/>
        <w:spacing w:before="85"/>
        <w:ind w:left="1119"/>
      </w:pPr>
      <w:r>
        <w:rPr/>
        <w:t>③ 口鼻腔黏膜溃疡；</w:t>
      </w:r>
    </w:p>
    <w:p>
      <w:pPr>
        <w:pStyle w:val="BodyText"/>
        <w:spacing w:before="85"/>
        <w:ind w:left="1119"/>
      </w:pPr>
      <w:r>
        <w:rPr/>
        <w:t>④ 非畸形性关节炎或多关节痛；</w:t>
      </w:r>
    </w:p>
    <w:p>
      <w:pPr>
        <w:pStyle w:val="BodyText"/>
        <w:spacing w:before="85"/>
        <w:ind w:left="1119"/>
      </w:pPr>
      <w:r>
        <w:rPr/>
        <w:t>⑤ 胸膜炎或心包炎；</w:t>
      </w:r>
    </w:p>
    <w:p>
      <w:pPr>
        <w:spacing w:after="0"/>
        <w:sectPr>
          <w:type w:val="continuous"/>
          <w:pgSz w:w="11910" w:h="16840"/>
          <w:pgMar w:top="1040" w:bottom="1180" w:left="1160" w:right="720"/>
          <w:cols w:num="2" w:equalWidth="0">
            <w:col w:w="1552" w:space="40"/>
            <w:col w:w="8438"/>
          </w:cols>
        </w:sectPr>
      </w:pPr>
    </w:p>
    <w:p>
      <w:pPr>
        <w:pStyle w:val="BodyText"/>
        <w:spacing w:before="4"/>
        <w:rPr>
          <w:sz w:val="24"/>
        </w:rPr>
      </w:pPr>
    </w:p>
    <w:p>
      <w:pPr>
        <w:pStyle w:val="BodyText"/>
        <w:ind w:left="2870"/>
      </w:pPr>
      <w:r>
        <w:rPr>
          <w:w w:val="100"/>
        </w:rPr>
        <w:t>⑥</w:t>
      </w:r>
      <w:r>
        <w:rPr/>
        <w:t> </w:t>
      </w:r>
      <w:r>
        <w:rPr>
          <w:spacing w:val="-3"/>
          <w:w w:val="100"/>
        </w:rPr>
        <w:t>神经系统损伤（癫痫或精神症状</w:t>
      </w:r>
      <w:r>
        <w:rPr>
          <w:spacing w:val="-108"/>
          <w:w w:val="100"/>
        </w:rPr>
        <w:t>）</w:t>
      </w:r>
      <w:r>
        <w:rPr>
          <w:w w:val="100"/>
        </w:rPr>
        <w:t>；</w:t>
      </w:r>
    </w:p>
    <w:p>
      <w:pPr>
        <w:pStyle w:val="BodyText"/>
        <w:spacing w:before="84"/>
        <w:ind w:left="2870"/>
      </w:pPr>
      <w:r>
        <w:rPr>
          <w:spacing w:val="-9"/>
        </w:rPr>
        <w:t>⑦ 血象异常</w:t>
      </w:r>
      <w:r>
        <w:rPr>
          <w:spacing w:val="-3"/>
        </w:rPr>
        <w:t>（</w:t>
      </w:r>
      <w:r>
        <w:rPr>
          <w:spacing w:val="-11"/>
        </w:rPr>
        <w:t>白细胞小于 </w:t>
      </w:r>
      <w:r>
        <w:rPr/>
        <w:t>4×10</w:t>
      </w:r>
      <w:r>
        <w:rPr>
          <w:position w:val="11"/>
          <w:sz w:val="11"/>
        </w:rPr>
        <w:t>9</w:t>
      </w:r>
      <w:r>
        <w:rPr/>
        <w:t>/L</w:t>
      </w:r>
      <w:r>
        <w:rPr>
          <w:spacing w:val="-15"/>
        </w:rPr>
        <w:t> 或血小板小于 </w:t>
      </w:r>
      <w:r>
        <w:rPr/>
        <w:t>100×10</w:t>
      </w:r>
      <w:r>
        <w:rPr>
          <w:position w:val="11"/>
          <w:sz w:val="11"/>
        </w:rPr>
        <w:t>9</w:t>
      </w:r>
      <w:r>
        <w:rPr/>
        <w:t>/L</w:t>
      </w:r>
      <w:r>
        <w:rPr>
          <w:spacing w:val="-10"/>
        </w:rPr>
        <w:t> 或溶血性贫血</w:t>
      </w:r>
      <w:r>
        <w:rPr>
          <w:spacing w:val="-106"/>
        </w:rPr>
        <w:t>）</w:t>
      </w:r>
      <w:r>
        <w:rPr/>
        <w:t>。</w:t>
      </w:r>
    </w:p>
    <w:p>
      <w:pPr>
        <w:pStyle w:val="BodyText"/>
        <w:spacing w:before="84"/>
        <w:ind w:left="2450"/>
      </w:pPr>
      <w:r>
        <w:rPr/>
        <w:t>（2）检测结果至少具备下列条件的两个：</w:t>
      </w:r>
    </w:p>
    <w:p>
      <w:pPr>
        <w:pStyle w:val="BodyText"/>
        <w:spacing w:before="84"/>
        <w:ind w:left="2870"/>
      </w:pPr>
      <w:r>
        <w:rPr/>
        <w:t>① 抗dsDNA 抗体阳性；</w:t>
      </w:r>
    </w:p>
    <w:p>
      <w:pPr>
        <w:pStyle w:val="BodyText"/>
        <w:spacing w:before="84"/>
        <w:ind w:left="2870"/>
      </w:pPr>
      <w:r>
        <w:rPr/>
        <w:t>② 抗Sm 抗体阳性；</w:t>
      </w:r>
    </w:p>
    <w:p>
      <w:pPr>
        <w:pStyle w:val="BodyText"/>
        <w:spacing w:before="84"/>
        <w:ind w:left="2870"/>
      </w:pPr>
      <w:r>
        <w:rPr/>
        <w:t>③ 抗核抗体阳性；</w:t>
      </w:r>
    </w:p>
    <w:p>
      <w:pPr>
        <w:pStyle w:val="BodyText"/>
        <w:spacing w:before="84"/>
        <w:ind w:left="2870"/>
      </w:pPr>
      <w:r>
        <w:rPr/>
        <w:t>④ 皮肤狼疮带试验（非病损部位）或肾活检阳性；</w:t>
      </w:r>
    </w:p>
    <w:p>
      <w:pPr>
        <w:pStyle w:val="BodyText"/>
        <w:spacing w:before="84"/>
        <w:ind w:left="2870"/>
      </w:pPr>
      <w:r>
        <w:rPr/>
        <w:t>⑤ C3 降低。</w:t>
      </w:r>
    </w:p>
    <w:p>
      <w:pPr>
        <w:pStyle w:val="BodyText"/>
        <w:spacing w:before="5"/>
        <w:rPr>
          <w:sz w:val="22"/>
        </w:rPr>
      </w:pPr>
    </w:p>
    <w:p>
      <w:pPr>
        <w:spacing w:after="0"/>
        <w:rPr>
          <w:sz w:val="22"/>
        </w:rPr>
        <w:sectPr>
          <w:pgSz w:w="11910" w:h="16840"/>
          <w:pgMar w:header="879" w:footer="995" w:top="1120" w:bottom="1180" w:left="1000" w:right="660"/>
        </w:sectPr>
      </w:pPr>
    </w:p>
    <w:p>
      <w:pPr>
        <w:pStyle w:val="ListParagraph"/>
        <w:numPr>
          <w:ilvl w:val="2"/>
          <w:numId w:val="11"/>
        </w:numPr>
        <w:tabs>
          <w:tab w:pos="1504" w:val="left" w:leader="none"/>
        </w:tabs>
        <w:spacing w:line="240" w:lineRule="auto" w:before="36" w:after="0"/>
        <w:ind w:left="1503" w:right="0" w:hanging="637"/>
        <w:jc w:val="left"/>
        <w:rPr>
          <w:sz w:val="21"/>
        </w:rPr>
      </w:pPr>
    </w:p>
    <w:p>
      <w:pPr>
        <w:pStyle w:val="BodyText"/>
        <w:spacing w:line="273" w:lineRule="auto"/>
        <w:ind w:left="866"/>
      </w:pPr>
      <w:r>
        <w:rPr/>
        <w:t>终末期肺病</w:t>
      </w:r>
    </w:p>
    <w:p>
      <w:pPr>
        <w:pStyle w:val="BodyText"/>
        <w:spacing w:before="91"/>
        <w:ind w:left="699"/>
      </w:pPr>
      <w:r>
        <w:rPr/>
        <w:br w:type="column"/>
      </w:r>
      <w:r>
        <w:rPr/>
        <w:t>因终末期肺病而出现的慢性呼吸功能衰竭，须满足下列全部条件：</w:t>
      </w:r>
    </w:p>
    <w:p>
      <w:pPr>
        <w:pStyle w:val="BodyText"/>
        <w:spacing w:before="84"/>
        <w:ind w:left="699"/>
      </w:pPr>
      <w:r>
        <w:rPr/>
        <w:t>（1）肺功能测试其FEV1 持续低于 0.75 升；</w:t>
      </w:r>
    </w:p>
    <w:p>
      <w:pPr>
        <w:pStyle w:val="BodyText"/>
        <w:spacing w:before="84"/>
        <w:ind w:left="699"/>
      </w:pPr>
      <w:r>
        <w:rPr/>
        <w:t>（2）病人缺氧必须广泛而持续地进行输氧治疗；</w:t>
      </w:r>
    </w:p>
    <w:p>
      <w:pPr>
        <w:pStyle w:val="BodyText"/>
        <w:spacing w:before="84"/>
        <w:ind w:left="699"/>
      </w:pPr>
      <w:r>
        <w:rPr/>
        <w:t>（3）动脉血气分析氧分压低于 55mmHg。</w:t>
      </w:r>
    </w:p>
    <w:p>
      <w:pPr>
        <w:spacing w:after="0"/>
        <w:sectPr>
          <w:type w:val="continuous"/>
          <w:pgSz w:w="11910" w:h="16840"/>
          <w:pgMar w:top="1040" w:bottom="1180" w:left="1000" w:right="660"/>
          <w:cols w:num="2" w:equalWidth="0">
            <w:col w:w="1712" w:space="40"/>
            <w:col w:w="8498"/>
          </w:cols>
        </w:sectPr>
      </w:pPr>
    </w:p>
    <w:p>
      <w:pPr>
        <w:pStyle w:val="BodyText"/>
        <w:spacing w:before="4"/>
        <w:rPr>
          <w:sz w:val="23"/>
        </w:rPr>
      </w:pPr>
    </w:p>
    <w:p>
      <w:pPr>
        <w:spacing w:after="0"/>
        <w:rPr>
          <w:sz w:val="23"/>
        </w:rPr>
        <w:sectPr>
          <w:type w:val="continuous"/>
          <w:pgSz w:w="11910" w:h="16840"/>
          <w:pgMar w:top="1040" w:bottom="1180" w:left="1000" w:right="660"/>
        </w:sectPr>
      </w:pPr>
    </w:p>
    <w:p>
      <w:pPr>
        <w:pStyle w:val="ListParagraph"/>
        <w:numPr>
          <w:ilvl w:val="2"/>
          <w:numId w:val="11"/>
        </w:numPr>
        <w:tabs>
          <w:tab w:pos="1504" w:val="left" w:leader="none"/>
        </w:tabs>
        <w:spacing w:line="240" w:lineRule="auto" w:before="36" w:after="0"/>
        <w:ind w:left="1503" w:right="0" w:hanging="637"/>
        <w:jc w:val="left"/>
        <w:rPr>
          <w:sz w:val="21"/>
        </w:rPr>
      </w:pPr>
    </w:p>
    <w:p>
      <w:pPr>
        <w:pStyle w:val="BodyText"/>
        <w:spacing w:line="273" w:lineRule="auto"/>
        <w:ind w:left="866" w:right="103"/>
        <w:jc w:val="both"/>
      </w:pPr>
      <w:r>
        <w:rPr/>
        <w:t>严重胰岛素依赖型糖尿病（I</w:t>
      </w:r>
    </w:p>
    <w:p>
      <w:pPr>
        <w:pStyle w:val="BodyText"/>
        <w:spacing w:before="7"/>
        <w:ind w:left="866"/>
        <w:jc w:val="both"/>
      </w:pPr>
      <w:r>
        <w:rPr/>
        <w:t>型糖尿病）</w:t>
      </w:r>
    </w:p>
    <w:p>
      <w:pPr>
        <w:pStyle w:val="BodyText"/>
        <w:ind w:left="487"/>
      </w:pPr>
      <w:r>
        <w:rPr/>
        <w:br w:type="column"/>
      </w:r>
      <w:r>
        <w:rPr/>
        <w:t>由于胰岛素分泌不足引起的慢性血糖增高，并须持续性地依赖外源性胰岛素维持</w:t>
      </w:r>
    </w:p>
    <w:p>
      <w:pPr>
        <w:pStyle w:val="BodyText"/>
        <w:ind w:left="67"/>
      </w:pPr>
      <w:r>
        <w:rPr/>
        <w:t>180 天以上，须满足下列至少一项条件：</w:t>
      </w:r>
    </w:p>
    <w:p>
      <w:pPr>
        <w:pStyle w:val="BodyText"/>
        <w:ind w:left="487"/>
      </w:pPr>
      <w:r>
        <w:rPr/>
        <w:t>（1）确定已出现增殖性视网膜病变；</w:t>
      </w:r>
    </w:p>
    <w:p>
      <w:pPr>
        <w:pStyle w:val="BodyText"/>
        <w:ind w:left="487"/>
      </w:pPr>
      <w:r>
        <w:rPr/>
        <w:t>（2）须植入心脏起搏器治疗心脏病；</w:t>
      </w:r>
    </w:p>
    <w:p>
      <w:pPr>
        <w:pStyle w:val="BodyText"/>
        <w:ind w:left="487"/>
      </w:pPr>
      <w:r>
        <w:rPr/>
        <w:t>（3）因坏疽须切除一只或以上脚趾。</w:t>
      </w:r>
    </w:p>
    <w:p>
      <w:pPr>
        <w:pStyle w:val="BodyText"/>
        <w:spacing w:before="8"/>
        <w:rPr>
          <w:sz w:val="26"/>
        </w:rPr>
      </w:pPr>
    </w:p>
    <w:p>
      <w:pPr>
        <w:pStyle w:val="BodyText"/>
        <w:spacing w:before="0"/>
        <w:ind w:left="490"/>
      </w:pPr>
      <w:r>
        <w:rPr/>
        <w:t>以上第 1 至 25 种疾病的名称和释义为中国保险行业协会制定的《重大疾病保险的</w:t>
      </w:r>
    </w:p>
    <w:p>
      <w:pPr>
        <w:pStyle w:val="BodyText"/>
        <w:spacing w:line="273" w:lineRule="auto" w:before="37"/>
        <w:ind w:left="67" w:right="271"/>
      </w:pPr>
      <w:r>
        <w:rPr>
          <w:spacing w:val="-9"/>
        </w:rPr>
        <w:t>疾病定义使用规范》中的疾病名称和释义。第 </w:t>
      </w:r>
      <w:r>
        <w:rPr/>
        <w:t>26</w:t>
      </w:r>
      <w:r>
        <w:rPr>
          <w:spacing w:val="-23"/>
        </w:rPr>
        <w:t> 种至 </w:t>
      </w:r>
      <w:r>
        <w:rPr/>
        <w:t>32</w:t>
      </w:r>
      <w:r>
        <w:rPr>
          <w:spacing w:val="-7"/>
        </w:rPr>
        <w:t> 种疾病为本公司增加的疾病类型。</w:t>
      </w:r>
    </w:p>
    <w:p>
      <w:pPr>
        <w:spacing w:after="0" w:line="273" w:lineRule="auto"/>
        <w:sectPr>
          <w:type w:val="continuous"/>
          <w:pgSz w:w="11910" w:h="16840"/>
          <w:pgMar w:top="1040" w:bottom="1180" w:left="1000" w:right="660"/>
          <w:cols w:num="2" w:equalWidth="0">
            <w:col w:w="1923" w:space="40"/>
            <w:col w:w="8287"/>
          </w:cols>
        </w:sectPr>
      </w:pPr>
    </w:p>
    <w:p>
      <w:pPr>
        <w:pStyle w:val="BodyText"/>
        <w:spacing w:before="8"/>
      </w:pPr>
    </w:p>
    <w:p>
      <w:pPr>
        <w:pStyle w:val="ListParagraph"/>
        <w:numPr>
          <w:ilvl w:val="1"/>
          <w:numId w:val="11"/>
        </w:numPr>
        <w:tabs>
          <w:tab w:pos="867" w:val="left" w:leader="none"/>
        </w:tabs>
        <w:spacing w:line="273" w:lineRule="auto" w:before="37" w:after="0"/>
        <w:ind w:left="2030" w:right="271" w:hanging="1862"/>
        <w:jc w:val="both"/>
        <w:rPr>
          <w:sz w:val="21"/>
        </w:rPr>
      </w:pPr>
      <w:r>
        <w:rPr>
          <w:spacing w:val="-5"/>
          <w:sz w:val="21"/>
        </w:rPr>
        <w:t>意外伤害      指以外来的、突发的、非本意的、非疾病的客观事件为直接且主要原因导致的身体伤害。</w:t>
      </w:r>
    </w:p>
    <w:p>
      <w:pPr>
        <w:pStyle w:val="BodyText"/>
        <w:spacing w:before="5"/>
        <w:rPr>
          <w:sz w:val="24"/>
        </w:rPr>
      </w:pPr>
    </w:p>
    <w:p>
      <w:pPr>
        <w:pStyle w:val="ListParagraph"/>
        <w:numPr>
          <w:ilvl w:val="1"/>
          <w:numId w:val="11"/>
        </w:numPr>
        <w:tabs>
          <w:tab w:pos="867" w:val="left" w:leader="none"/>
          <w:tab w:pos="2450" w:val="left" w:leader="none"/>
        </w:tabs>
        <w:spacing w:line="273" w:lineRule="auto" w:before="0" w:after="0"/>
        <w:ind w:left="2030" w:right="271" w:hanging="1862"/>
        <w:jc w:val="both"/>
        <w:rPr>
          <w:sz w:val="21"/>
        </w:rPr>
      </w:pPr>
      <w:r>
        <w:rPr>
          <w:sz w:val="21"/>
        </w:rPr>
        <w:t>毒品</w:t>
        <w:tab/>
        <w:tab/>
        <w:t>指中华人民共和国刑法规定的鸦片、海洛因、甲基苯丙胺（冰毒</w:t>
      </w:r>
      <w:r>
        <w:rPr>
          <w:spacing w:val="-106"/>
          <w:sz w:val="21"/>
        </w:rPr>
        <w:t>）</w:t>
      </w:r>
      <w:r>
        <w:rPr>
          <w:sz w:val="21"/>
        </w:rPr>
        <w:t>、吗啡、大麻、 可卡</w:t>
      </w:r>
      <w:r>
        <w:rPr>
          <w:spacing w:val="-3"/>
          <w:sz w:val="21"/>
        </w:rPr>
        <w:t>因</w:t>
      </w:r>
      <w:r>
        <w:rPr>
          <w:sz w:val="21"/>
        </w:rPr>
        <w:t>以</w:t>
      </w:r>
      <w:r>
        <w:rPr>
          <w:spacing w:val="-3"/>
          <w:sz w:val="21"/>
        </w:rPr>
        <w:t>及</w:t>
      </w:r>
      <w:r>
        <w:rPr>
          <w:sz w:val="21"/>
        </w:rPr>
        <w:t>国</w:t>
      </w:r>
      <w:r>
        <w:rPr>
          <w:spacing w:val="-3"/>
          <w:sz w:val="21"/>
        </w:rPr>
        <w:t>家</w:t>
      </w:r>
      <w:r>
        <w:rPr>
          <w:sz w:val="21"/>
        </w:rPr>
        <w:t>规</w:t>
      </w:r>
      <w:r>
        <w:rPr>
          <w:spacing w:val="-3"/>
          <w:sz w:val="21"/>
        </w:rPr>
        <w:t>定</w:t>
      </w:r>
      <w:r>
        <w:rPr>
          <w:sz w:val="21"/>
        </w:rPr>
        <w:t>管</w:t>
      </w:r>
      <w:r>
        <w:rPr>
          <w:spacing w:val="-3"/>
          <w:sz w:val="21"/>
        </w:rPr>
        <w:t>制</w:t>
      </w:r>
      <w:r>
        <w:rPr>
          <w:sz w:val="21"/>
        </w:rPr>
        <w:t>的其</w:t>
      </w:r>
      <w:r>
        <w:rPr>
          <w:spacing w:val="-3"/>
          <w:sz w:val="21"/>
        </w:rPr>
        <w:t>他</w:t>
      </w:r>
      <w:r>
        <w:rPr>
          <w:sz w:val="21"/>
        </w:rPr>
        <w:t>能</w:t>
      </w:r>
      <w:r>
        <w:rPr>
          <w:spacing w:val="-3"/>
          <w:sz w:val="21"/>
        </w:rPr>
        <w:t>够</w:t>
      </w:r>
      <w:r>
        <w:rPr>
          <w:sz w:val="21"/>
        </w:rPr>
        <w:t>使</w:t>
      </w:r>
      <w:r>
        <w:rPr>
          <w:spacing w:val="-3"/>
          <w:sz w:val="21"/>
        </w:rPr>
        <w:t>人</w:t>
      </w:r>
      <w:r>
        <w:rPr>
          <w:sz w:val="21"/>
        </w:rPr>
        <w:t>形</w:t>
      </w:r>
      <w:r>
        <w:rPr>
          <w:spacing w:val="-3"/>
          <w:sz w:val="21"/>
        </w:rPr>
        <w:t>成</w:t>
      </w:r>
      <w:r>
        <w:rPr>
          <w:sz w:val="21"/>
        </w:rPr>
        <w:t>瘾</w:t>
      </w:r>
      <w:r>
        <w:rPr>
          <w:spacing w:val="-3"/>
          <w:sz w:val="21"/>
        </w:rPr>
        <w:t>癖</w:t>
      </w:r>
      <w:r>
        <w:rPr>
          <w:sz w:val="21"/>
        </w:rPr>
        <w:t>的麻</w:t>
      </w:r>
      <w:r>
        <w:rPr>
          <w:spacing w:val="-3"/>
          <w:sz w:val="21"/>
        </w:rPr>
        <w:t>醉</w:t>
      </w:r>
      <w:r>
        <w:rPr>
          <w:sz w:val="21"/>
        </w:rPr>
        <w:t>药</w:t>
      </w:r>
      <w:r>
        <w:rPr>
          <w:spacing w:val="-3"/>
          <w:sz w:val="21"/>
        </w:rPr>
        <w:t>品</w:t>
      </w:r>
      <w:r>
        <w:rPr>
          <w:sz w:val="21"/>
        </w:rPr>
        <w:t>和</w:t>
      </w:r>
      <w:r>
        <w:rPr>
          <w:spacing w:val="-3"/>
          <w:sz w:val="21"/>
        </w:rPr>
        <w:t>精</w:t>
      </w:r>
      <w:r>
        <w:rPr>
          <w:sz w:val="21"/>
        </w:rPr>
        <w:t>神</w:t>
      </w:r>
      <w:r>
        <w:rPr>
          <w:spacing w:val="-3"/>
          <w:sz w:val="21"/>
        </w:rPr>
        <w:t>药</w:t>
      </w:r>
      <w:r>
        <w:rPr>
          <w:sz w:val="21"/>
        </w:rPr>
        <w:t>品</w:t>
      </w:r>
      <w:r>
        <w:rPr>
          <w:spacing w:val="-46"/>
          <w:sz w:val="21"/>
        </w:rPr>
        <w:t>，</w:t>
      </w:r>
      <w:r>
        <w:rPr>
          <w:sz w:val="21"/>
        </w:rPr>
        <w:t>但不</w:t>
      </w:r>
      <w:r>
        <w:rPr>
          <w:spacing w:val="-3"/>
          <w:sz w:val="21"/>
        </w:rPr>
        <w:t>包括</w:t>
      </w:r>
      <w:r>
        <w:rPr>
          <w:sz w:val="21"/>
        </w:rPr>
        <w:t>由医生</w:t>
      </w:r>
      <w:r>
        <w:rPr>
          <w:spacing w:val="-3"/>
          <w:sz w:val="21"/>
        </w:rPr>
        <w:t>开</w:t>
      </w:r>
      <w:r>
        <w:rPr>
          <w:sz w:val="21"/>
        </w:rPr>
        <w:t>具</w:t>
      </w:r>
      <w:r>
        <w:rPr>
          <w:spacing w:val="-3"/>
          <w:sz w:val="21"/>
        </w:rPr>
        <w:t>并</w:t>
      </w:r>
      <w:r>
        <w:rPr>
          <w:sz w:val="21"/>
        </w:rPr>
        <w:t>遵</w:t>
      </w:r>
      <w:r>
        <w:rPr>
          <w:spacing w:val="-3"/>
          <w:sz w:val="21"/>
        </w:rPr>
        <w:t>医</w:t>
      </w:r>
      <w:r>
        <w:rPr>
          <w:sz w:val="21"/>
        </w:rPr>
        <w:t>嘱</w:t>
      </w:r>
      <w:r>
        <w:rPr>
          <w:spacing w:val="-3"/>
          <w:sz w:val="21"/>
        </w:rPr>
        <w:t>使</w:t>
      </w:r>
      <w:r>
        <w:rPr>
          <w:sz w:val="21"/>
        </w:rPr>
        <w:t>用</w:t>
      </w:r>
      <w:r>
        <w:rPr>
          <w:spacing w:val="-3"/>
          <w:sz w:val="21"/>
        </w:rPr>
        <w:t>的</w:t>
      </w:r>
      <w:r>
        <w:rPr>
          <w:sz w:val="21"/>
        </w:rPr>
        <w:t>用于</w:t>
      </w:r>
      <w:r>
        <w:rPr>
          <w:spacing w:val="-3"/>
          <w:sz w:val="21"/>
        </w:rPr>
        <w:t>治</w:t>
      </w:r>
      <w:r>
        <w:rPr>
          <w:sz w:val="21"/>
        </w:rPr>
        <w:t>疗</w:t>
      </w:r>
      <w:r>
        <w:rPr>
          <w:spacing w:val="-3"/>
          <w:sz w:val="21"/>
        </w:rPr>
        <w:t>疾</w:t>
      </w:r>
      <w:r>
        <w:rPr>
          <w:sz w:val="21"/>
        </w:rPr>
        <w:t>病</w:t>
      </w:r>
      <w:r>
        <w:rPr>
          <w:spacing w:val="-3"/>
          <w:sz w:val="21"/>
        </w:rPr>
        <w:t>但</w:t>
      </w:r>
      <w:r>
        <w:rPr>
          <w:sz w:val="21"/>
        </w:rPr>
        <w:t>含</w:t>
      </w:r>
      <w:r>
        <w:rPr>
          <w:spacing w:val="-3"/>
          <w:sz w:val="21"/>
        </w:rPr>
        <w:t>有</w:t>
      </w:r>
      <w:r>
        <w:rPr>
          <w:sz w:val="21"/>
        </w:rPr>
        <w:t>毒</w:t>
      </w:r>
      <w:r>
        <w:rPr>
          <w:spacing w:val="-3"/>
          <w:sz w:val="21"/>
        </w:rPr>
        <w:t>品</w:t>
      </w:r>
      <w:r>
        <w:rPr>
          <w:sz w:val="21"/>
        </w:rPr>
        <w:t>成分</w:t>
      </w:r>
      <w:r>
        <w:rPr>
          <w:spacing w:val="-3"/>
          <w:sz w:val="21"/>
        </w:rPr>
        <w:t>的</w:t>
      </w:r>
      <w:r>
        <w:rPr>
          <w:sz w:val="21"/>
        </w:rPr>
        <w:t>处</w:t>
      </w:r>
      <w:r>
        <w:rPr>
          <w:spacing w:val="-3"/>
          <w:sz w:val="21"/>
        </w:rPr>
        <w:t>方</w:t>
      </w:r>
      <w:r>
        <w:rPr>
          <w:sz w:val="21"/>
        </w:rPr>
        <w:t>药</w:t>
      </w:r>
      <w:r>
        <w:rPr>
          <w:spacing w:val="-3"/>
          <w:sz w:val="21"/>
        </w:rPr>
        <w:t>品</w:t>
      </w:r>
      <w:r>
        <w:rPr>
          <w:sz w:val="21"/>
        </w:rPr>
        <w:t>。</w:t>
      </w:r>
    </w:p>
    <w:p>
      <w:pPr>
        <w:pStyle w:val="BodyText"/>
        <w:spacing w:before="5"/>
        <w:rPr>
          <w:sz w:val="24"/>
        </w:rPr>
      </w:pPr>
    </w:p>
    <w:p>
      <w:pPr>
        <w:pStyle w:val="ListParagraph"/>
        <w:numPr>
          <w:ilvl w:val="1"/>
          <w:numId w:val="11"/>
        </w:numPr>
        <w:tabs>
          <w:tab w:pos="867" w:val="left" w:leader="none"/>
        </w:tabs>
        <w:spacing w:line="273" w:lineRule="auto" w:before="0" w:after="0"/>
        <w:ind w:left="2030" w:right="270" w:hanging="1862"/>
        <w:jc w:val="both"/>
        <w:rPr>
          <w:sz w:val="21"/>
        </w:rPr>
      </w:pPr>
      <w:r>
        <w:rPr>
          <w:spacing w:val="-4"/>
          <w:sz w:val="21"/>
        </w:rPr>
        <w:t>酒后驾驶      指经检测或鉴定，发生事故时车辆驾驶人员每百毫升血液中的酒精含量达到或超过</w:t>
      </w:r>
      <w:r>
        <w:rPr>
          <w:spacing w:val="-6"/>
          <w:sz w:val="21"/>
        </w:rPr>
        <w:t>道路交通法规规定的标准，或公安机关交通管理部门依据《道路交通安全法》的规定认</w:t>
      </w:r>
      <w:r>
        <w:rPr>
          <w:spacing w:val="-3"/>
          <w:sz w:val="21"/>
        </w:rPr>
        <w:t>定为饮酒后驾驶或醉酒后驾驶。</w:t>
      </w:r>
    </w:p>
    <w:p>
      <w:pPr>
        <w:pStyle w:val="BodyText"/>
        <w:spacing w:before="3" w:after="1"/>
        <w:rPr>
          <w:sz w:val="29"/>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
        <w:gridCol w:w="1352"/>
        <w:gridCol w:w="8044"/>
      </w:tblGrid>
      <w:tr>
        <w:trPr>
          <w:trHeight w:val="1665" w:hRule="atLeast"/>
        </w:trPr>
        <w:tc>
          <w:tcPr>
            <w:tcW w:w="610" w:type="dxa"/>
          </w:tcPr>
          <w:p>
            <w:pPr>
              <w:pStyle w:val="TableParagraph"/>
              <w:spacing w:line="211" w:lineRule="exact"/>
              <w:ind w:left="50"/>
              <w:rPr>
                <w:sz w:val="21"/>
              </w:rPr>
            </w:pPr>
            <w:r>
              <w:rPr>
                <w:sz w:val="21"/>
              </w:rPr>
              <w:t>6.9</w:t>
            </w:r>
          </w:p>
        </w:tc>
        <w:tc>
          <w:tcPr>
            <w:tcW w:w="1352" w:type="dxa"/>
          </w:tcPr>
          <w:p>
            <w:pPr>
              <w:pStyle w:val="TableParagraph"/>
              <w:spacing w:line="211" w:lineRule="exact"/>
              <w:ind w:left="138"/>
              <w:rPr>
                <w:sz w:val="21"/>
              </w:rPr>
            </w:pPr>
            <w:r>
              <w:rPr>
                <w:sz w:val="21"/>
              </w:rPr>
              <w:t>无合法有</w:t>
            </w:r>
          </w:p>
          <w:p>
            <w:pPr>
              <w:pStyle w:val="TableParagraph"/>
              <w:spacing w:line="273" w:lineRule="auto" w:before="37"/>
              <w:ind w:left="138" w:right="366"/>
              <w:rPr>
                <w:sz w:val="21"/>
              </w:rPr>
            </w:pPr>
            <w:r>
              <w:rPr>
                <w:sz w:val="21"/>
              </w:rPr>
              <w:t>效驾驶证驾驶</w:t>
            </w:r>
          </w:p>
        </w:tc>
        <w:tc>
          <w:tcPr>
            <w:tcW w:w="8044" w:type="dxa"/>
          </w:tcPr>
          <w:p>
            <w:pPr>
              <w:pStyle w:val="TableParagraph"/>
              <w:spacing w:line="211" w:lineRule="exact"/>
              <w:ind w:left="370"/>
              <w:rPr>
                <w:sz w:val="21"/>
              </w:rPr>
            </w:pPr>
            <w:r>
              <w:rPr>
                <w:sz w:val="21"/>
              </w:rPr>
              <w:t>指下列情形之一：</w:t>
            </w:r>
          </w:p>
          <w:p>
            <w:pPr>
              <w:pStyle w:val="TableParagraph"/>
              <w:spacing w:before="37"/>
              <w:ind w:left="370"/>
              <w:rPr>
                <w:sz w:val="21"/>
              </w:rPr>
            </w:pPr>
            <w:r>
              <w:rPr>
                <w:sz w:val="21"/>
              </w:rPr>
              <w:t>1.没有取得驾驶资格；</w:t>
            </w:r>
          </w:p>
          <w:p>
            <w:pPr>
              <w:pStyle w:val="TableParagraph"/>
              <w:spacing w:before="37"/>
              <w:ind w:left="370"/>
              <w:rPr>
                <w:sz w:val="21"/>
              </w:rPr>
            </w:pPr>
            <w:r>
              <w:rPr>
                <w:sz w:val="21"/>
              </w:rPr>
              <w:t>2.驾驶与驾驶证准驾车型不相符合的车辆；</w:t>
            </w:r>
          </w:p>
          <w:p>
            <w:pPr>
              <w:pStyle w:val="TableParagraph"/>
              <w:spacing w:before="37"/>
              <w:ind w:left="370"/>
              <w:rPr>
                <w:sz w:val="21"/>
              </w:rPr>
            </w:pPr>
            <w:r>
              <w:rPr>
                <w:sz w:val="21"/>
              </w:rPr>
              <w:t>3.持审验不合格的驾驶证驾驶；</w:t>
            </w:r>
          </w:p>
          <w:p>
            <w:pPr>
              <w:pStyle w:val="TableParagraph"/>
              <w:spacing w:before="37"/>
              <w:ind w:left="370"/>
              <w:rPr>
                <w:sz w:val="21"/>
              </w:rPr>
            </w:pPr>
            <w:r>
              <w:rPr>
                <w:spacing w:val="-1"/>
                <w:sz w:val="21"/>
              </w:rPr>
              <w:t>4.</w:t>
            </w:r>
            <w:r>
              <w:rPr>
                <w:spacing w:val="-12"/>
                <w:sz w:val="21"/>
              </w:rPr>
              <w:t>持学习驾驶证学习驾车时，无教练员随车指导，或不按指定时间、路线学习驾车。</w:t>
            </w:r>
          </w:p>
        </w:tc>
      </w:tr>
      <w:tr>
        <w:trPr>
          <w:trHeight w:val="468" w:hRule="atLeast"/>
        </w:trPr>
        <w:tc>
          <w:tcPr>
            <w:tcW w:w="610" w:type="dxa"/>
          </w:tcPr>
          <w:p>
            <w:pPr>
              <w:pStyle w:val="TableParagraph"/>
              <w:spacing w:before="142"/>
              <w:ind w:left="50"/>
              <w:rPr>
                <w:sz w:val="21"/>
              </w:rPr>
            </w:pPr>
            <w:r>
              <w:rPr>
                <w:sz w:val="21"/>
              </w:rPr>
              <w:t>6.10</w:t>
            </w:r>
          </w:p>
        </w:tc>
        <w:tc>
          <w:tcPr>
            <w:tcW w:w="1352" w:type="dxa"/>
          </w:tcPr>
          <w:p>
            <w:pPr>
              <w:pStyle w:val="TableParagraph"/>
              <w:spacing w:before="142"/>
              <w:ind w:left="138"/>
              <w:rPr>
                <w:sz w:val="21"/>
              </w:rPr>
            </w:pPr>
            <w:r>
              <w:rPr>
                <w:sz w:val="21"/>
              </w:rPr>
              <w:t>无有效行</w:t>
            </w:r>
          </w:p>
        </w:tc>
        <w:tc>
          <w:tcPr>
            <w:tcW w:w="8044" w:type="dxa"/>
          </w:tcPr>
          <w:p>
            <w:pPr>
              <w:pStyle w:val="TableParagraph"/>
              <w:spacing w:before="142"/>
              <w:ind w:left="370"/>
              <w:rPr>
                <w:sz w:val="21"/>
              </w:rPr>
            </w:pPr>
            <w:r>
              <w:rPr>
                <w:sz w:val="21"/>
              </w:rPr>
              <w:t>指下列情形之一：</w:t>
            </w:r>
          </w:p>
        </w:tc>
      </w:tr>
      <w:tr>
        <w:trPr>
          <w:trHeight w:val="261" w:hRule="atLeast"/>
        </w:trPr>
        <w:tc>
          <w:tcPr>
            <w:tcW w:w="610" w:type="dxa"/>
          </w:tcPr>
          <w:p>
            <w:pPr>
              <w:pStyle w:val="TableParagraph"/>
              <w:rPr>
                <w:rFonts w:ascii="Times New Roman"/>
                <w:sz w:val="18"/>
              </w:rPr>
            </w:pPr>
          </w:p>
        </w:tc>
        <w:tc>
          <w:tcPr>
            <w:tcW w:w="1352" w:type="dxa"/>
          </w:tcPr>
          <w:p>
            <w:pPr>
              <w:pStyle w:val="TableParagraph"/>
              <w:spacing w:line="242" w:lineRule="exact"/>
              <w:ind w:left="138"/>
              <w:rPr>
                <w:sz w:val="21"/>
              </w:rPr>
            </w:pPr>
            <w:r>
              <w:rPr>
                <w:sz w:val="21"/>
              </w:rPr>
              <w:t>驶证</w:t>
            </w:r>
          </w:p>
        </w:tc>
        <w:tc>
          <w:tcPr>
            <w:tcW w:w="8044" w:type="dxa"/>
          </w:tcPr>
          <w:p>
            <w:pPr>
              <w:pStyle w:val="TableParagraph"/>
              <w:spacing w:line="242" w:lineRule="exact"/>
              <w:ind w:left="370"/>
              <w:rPr>
                <w:sz w:val="21"/>
              </w:rPr>
            </w:pPr>
            <w:r>
              <w:rPr>
                <w:sz w:val="21"/>
              </w:rPr>
              <w:t>1.机动车被依法注销登记的；</w:t>
            </w:r>
          </w:p>
        </w:tc>
      </w:tr>
    </w:tbl>
    <w:p>
      <w:pPr>
        <w:spacing w:after="0" w:line="242" w:lineRule="exact"/>
        <w:rPr>
          <w:sz w:val="21"/>
        </w:rPr>
        <w:sectPr>
          <w:type w:val="continuous"/>
          <w:pgSz w:w="11910" w:h="16840"/>
          <w:pgMar w:top="1040" w:bottom="1180" w:left="1000" w:right="660"/>
        </w:sectPr>
      </w:pPr>
    </w:p>
    <w:p>
      <w:pPr>
        <w:pStyle w:val="BodyText"/>
        <w:spacing w:before="2"/>
        <w:rPr>
          <w:sz w:val="19"/>
        </w:rPr>
      </w:pPr>
    </w:p>
    <w:p>
      <w:pPr>
        <w:pStyle w:val="BodyText"/>
        <w:spacing w:before="37"/>
        <w:ind w:left="2390"/>
      </w:pPr>
      <w:r>
        <w:rPr/>
        <w:t>2.未依法按时进行或通过机动车安全技术检验。</w:t>
      </w:r>
    </w:p>
    <w:p>
      <w:pPr>
        <w:pStyle w:val="BodyText"/>
        <w:spacing w:before="9"/>
        <w:rPr>
          <w:sz w:val="26"/>
        </w:rPr>
      </w:pPr>
    </w:p>
    <w:p>
      <w:pPr>
        <w:pStyle w:val="ListParagraph"/>
        <w:numPr>
          <w:ilvl w:val="1"/>
          <w:numId w:val="12"/>
        </w:numPr>
        <w:tabs>
          <w:tab w:pos="806" w:val="left" w:leader="none"/>
          <w:tab w:pos="807" w:val="left" w:leader="none"/>
          <w:tab w:pos="2390" w:val="left" w:leader="none"/>
        </w:tabs>
        <w:spacing w:line="273" w:lineRule="auto" w:before="0" w:after="0"/>
        <w:ind w:left="1970" w:right="151" w:hanging="1862"/>
        <w:jc w:val="left"/>
        <w:rPr>
          <w:sz w:val="21"/>
        </w:rPr>
      </w:pPr>
      <w:r>
        <w:rPr>
          <w:sz w:val="21"/>
        </w:rPr>
        <w:t>机动车</w:t>
        <w:tab/>
        <w:tab/>
        <w:t>指以</w:t>
      </w:r>
      <w:r>
        <w:rPr>
          <w:spacing w:val="-3"/>
          <w:sz w:val="21"/>
        </w:rPr>
        <w:t>动</w:t>
      </w:r>
      <w:r>
        <w:rPr>
          <w:sz w:val="21"/>
        </w:rPr>
        <w:t>力</w:t>
      </w:r>
      <w:r>
        <w:rPr>
          <w:spacing w:val="-3"/>
          <w:sz w:val="21"/>
        </w:rPr>
        <w:t>装</w:t>
      </w:r>
      <w:r>
        <w:rPr>
          <w:sz w:val="21"/>
        </w:rPr>
        <w:t>置</w:t>
      </w:r>
      <w:r>
        <w:rPr>
          <w:spacing w:val="-3"/>
          <w:sz w:val="21"/>
        </w:rPr>
        <w:t>驱</w:t>
      </w:r>
      <w:r>
        <w:rPr>
          <w:sz w:val="21"/>
        </w:rPr>
        <w:t>动</w:t>
      </w:r>
      <w:r>
        <w:rPr>
          <w:spacing w:val="-3"/>
          <w:sz w:val="21"/>
        </w:rPr>
        <w:t>或</w:t>
      </w:r>
      <w:r>
        <w:rPr>
          <w:sz w:val="21"/>
        </w:rPr>
        <w:t>牵</w:t>
      </w:r>
      <w:r>
        <w:rPr>
          <w:spacing w:val="-3"/>
          <w:sz w:val="21"/>
        </w:rPr>
        <w:t>引</w:t>
      </w:r>
      <w:r>
        <w:rPr>
          <w:spacing w:val="-44"/>
          <w:sz w:val="21"/>
        </w:rPr>
        <w:t>，</w:t>
      </w:r>
      <w:r>
        <w:rPr>
          <w:sz w:val="21"/>
        </w:rPr>
        <w:t>供</w:t>
      </w:r>
      <w:r>
        <w:rPr>
          <w:spacing w:val="-3"/>
          <w:sz w:val="21"/>
        </w:rPr>
        <w:t>人</w:t>
      </w:r>
      <w:r>
        <w:rPr>
          <w:sz w:val="21"/>
        </w:rPr>
        <w:t>员</w:t>
      </w:r>
      <w:r>
        <w:rPr>
          <w:spacing w:val="-3"/>
          <w:sz w:val="21"/>
        </w:rPr>
        <w:t>乘</w:t>
      </w:r>
      <w:r>
        <w:rPr>
          <w:sz w:val="21"/>
        </w:rPr>
        <w:t>用</w:t>
      </w:r>
      <w:r>
        <w:rPr>
          <w:spacing w:val="-3"/>
          <w:sz w:val="21"/>
        </w:rPr>
        <w:t>或</w:t>
      </w:r>
      <w:r>
        <w:rPr>
          <w:sz w:val="21"/>
        </w:rPr>
        <w:t>用</w:t>
      </w:r>
      <w:r>
        <w:rPr>
          <w:spacing w:val="-3"/>
          <w:sz w:val="21"/>
        </w:rPr>
        <w:t>于</w:t>
      </w:r>
      <w:r>
        <w:rPr>
          <w:sz w:val="21"/>
        </w:rPr>
        <w:t>运</w:t>
      </w:r>
      <w:r>
        <w:rPr>
          <w:spacing w:val="-3"/>
          <w:sz w:val="21"/>
        </w:rPr>
        <w:t>送</w:t>
      </w:r>
      <w:r>
        <w:rPr>
          <w:sz w:val="21"/>
        </w:rPr>
        <w:t>物品</w:t>
      </w:r>
      <w:r>
        <w:rPr>
          <w:spacing w:val="-3"/>
          <w:sz w:val="21"/>
        </w:rPr>
        <w:t>以</w:t>
      </w:r>
      <w:r>
        <w:rPr>
          <w:sz w:val="21"/>
        </w:rPr>
        <w:t>及</w:t>
      </w:r>
      <w:r>
        <w:rPr>
          <w:spacing w:val="-3"/>
          <w:sz w:val="21"/>
        </w:rPr>
        <w:t>进</w:t>
      </w:r>
      <w:r>
        <w:rPr>
          <w:sz w:val="21"/>
        </w:rPr>
        <w:t>行</w:t>
      </w:r>
      <w:r>
        <w:rPr>
          <w:spacing w:val="-3"/>
          <w:sz w:val="21"/>
        </w:rPr>
        <w:t>工</w:t>
      </w:r>
      <w:r>
        <w:rPr>
          <w:sz w:val="21"/>
        </w:rPr>
        <w:t>程</w:t>
      </w:r>
      <w:r>
        <w:rPr>
          <w:spacing w:val="-3"/>
          <w:sz w:val="21"/>
        </w:rPr>
        <w:t>专</w:t>
      </w:r>
      <w:r>
        <w:rPr>
          <w:sz w:val="21"/>
        </w:rPr>
        <w:t>项</w:t>
      </w:r>
      <w:r>
        <w:rPr>
          <w:spacing w:val="-3"/>
          <w:sz w:val="21"/>
        </w:rPr>
        <w:t>作</w:t>
      </w:r>
      <w:r>
        <w:rPr>
          <w:sz w:val="21"/>
        </w:rPr>
        <w:t>业</w:t>
      </w:r>
      <w:r>
        <w:rPr>
          <w:spacing w:val="-3"/>
          <w:sz w:val="21"/>
        </w:rPr>
        <w:t>的</w:t>
      </w:r>
      <w:r>
        <w:rPr>
          <w:sz w:val="21"/>
        </w:rPr>
        <w:t>轮 式车</w:t>
      </w:r>
      <w:r>
        <w:rPr>
          <w:spacing w:val="-3"/>
          <w:sz w:val="21"/>
        </w:rPr>
        <w:t>辆</w:t>
      </w:r>
      <w:r>
        <w:rPr>
          <w:sz w:val="21"/>
        </w:rPr>
        <w:t>。</w:t>
      </w:r>
    </w:p>
    <w:p>
      <w:pPr>
        <w:pStyle w:val="BodyText"/>
        <w:spacing w:before="8"/>
      </w:pPr>
    </w:p>
    <w:p>
      <w:pPr>
        <w:spacing w:after="0"/>
        <w:sectPr>
          <w:pgSz w:w="11910" w:h="16840"/>
          <w:pgMar w:header="879" w:footer="995" w:top="1120" w:bottom="1180" w:left="1060" w:right="780"/>
        </w:sectPr>
      </w:pPr>
    </w:p>
    <w:p>
      <w:pPr>
        <w:pStyle w:val="ListParagraph"/>
        <w:numPr>
          <w:ilvl w:val="1"/>
          <w:numId w:val="12"/>
        </w:numPr>
        <w:tabs>
          <w:tab w:pos="806" w:val="left" w:leader="none"/>
          <w:tab w:pos="807" w:val="left" w:leader="none"/>
        </w:tabs>
        <w:spacing w:line="273" w:lineRule="auto" w:before="37" w:after="0"/>
        <w:ind w:left="806" w:right="0" w:hanging="698"/>
        <w:jc w:val="left"/>
        <w:rPr>
          <w:sz w:val="21"/>
        </w:rPr>
      </w:pPr>
      <w:r>
        <w:rPr>
          <w:sz w:val="21"/>
        </w:rPr>
        <w:t>遗传性疾病</w:t>
      </w:r>
    </w:p>
    <w:p>
      <w:pPr>
        <w:pStyle w:val="BodyText"/>
        <w:spacing w:line="273" w:lineRule="auto" w:before="37"/>
        <w:ind w:left="108" w:right="107" w:firstLine="420"/>
      </w:pPr>
      <w:r>
        <w:rPr/>
        <w:br w:type="column"/>
      </w:r>
      <w:r>
        <w:rPr/>
        <w:t>指生殖细胞或受精卵的遗传物质（染色体和基因）发生突变或畸变所引起的疾病， 通常具有由亲代传至后代的垂直传递的特征。</w:t>
      </w:r>
    </w:p>
    <w:p>
      <w:pPr>
        <w:spacing w:after="0" w:line="273" w:lineRule="auto"/>
        <w:sectPr>
          <w:type w:val="continuous"/>
          <w:pgSz w:w="11910" w:h="16840"/>
          <w:pgMar w:top="1040" w:bottom="1180" w:left="1060" w:right="780"/>
          <w:cols w:num="2" w:equalWidth="0">
            <w:col w:w="1652" w:space="210"/>
            <w:col w:w="8208"/>
          </w:cols>
        </w:sectPr>
      </w:pPr>
    </w:p>
    <w:p>
      <w:pPr>
        <w:pStyle w:val="BodyText"/>
        <w:spacing w:before="8"/>
      </w:pPr>
    </w:p>
    <w:p>
      <w:pPr>
        <w:spacing w:after="0"/>
        <w:sectPr>
          <w:type w:val="continuous"/>
          <w:pgSz w:w="11910" w:h="16840"/>
          <w:pgMar w:top="1040" w:bottom="1180" w:left="1060" w:right="780"/>
        </w:sectPr>
      </w:pPr>
    </w:p>
    <w:p>
      <w:pPr>
        <w:pStyle w:val="ListParagraph"/>
        <w:numPr>
          <w:ilvl w:val="1"/>
          <w:numId w:val="12"/>
        </w:numPr>
        <w:tabs>
          <w:tab w:pos="806" w:val="left" w:leader="none"/>
          <w:tab w:pos="807" w:val="left" w:leader="none"/>
        </w:tabs>
        <w:spacing w:line="240" w:lineRule="auto" w:before="37" w:after="0"/>
        <w:ind w:left="1970" w:right="0" w:hanging="1862"/>
        <w:jc w:val="left"/>
        <w:rPr>
          <w:sz w:val="21"/>
        </w:rPr>
      </w:pPr>
      <w:r>
        <w:rPr>
          <w:spacing w:val="23"/>
          <w:position w:val="-6"/>
          <w:sz w:val="21"/>
        </w:rPr>
        <w:t>先天性畸</w:t>
      </w:r>
    </w:p>
    <w:p>
      <w:pPr>
        <w:pStyle w:val="BodyText"/>
        <w:spacing w:line="314" w:lineRule="auto" w:before="82"/>
        <w:ind w:left="806"/>
        <w:jc w:val="both"/>
      </w:pPr>
      <w:r>
        <w:rPr>
          <w:spacing w:val="-22"/>
        </w:rPr>
        <w:t>形、变形或</w:t>
      </w:r>
      <w:r>
        <w:rPr>
          <w:spacing w:val="23"/>
        </w:rPr>
        <w:t>染色体异常</w:t>
      </w:r>
    </w:p>
    <w:p>
      <w:pPr>
        <w:pStyle w:val="BodyText"/>
        <w:spacing w:line="273" w:lineRule="auto" w:before="37"/>
        <w:ind w:left="108" w:right="151" w:firstLine="420"/>
      </w:pPr>
      <w:r>
        <w:rPr/>
        <w:br w:type="column"/>
      </w:r>
      <w:r>
        <w:rPr>
          <w:spacing w:val="-6"/>
        </w:rPr>
        <w:t>指被保险人出生时就具有的畸形、变形或染色体异常。先天性畸形、变形和染色体</w:t>
      </w:r>
      <w:r>
        <w:rPr>
          <w:spacing w:val="-7"/>
        </w:rPr>
        <w:t>异常依照世界卫生组织《疾病和有关健康问题的国际统计分类》</w:t>
      </w:r>
      <w:r>
        <w:rPr/>
        <w:t>（ICD-10）</w:t>
      </w:r>
      <w:r>
        <w:rPr>
          <w:spacing w:val="-2"/>
        </w:rPr>
        <w:t>确定。</w:t>
      </w:r>
    </w:p>
    <w:p>
      <w:pPr>
        <w:spacing w:after="0" w:line="273" w:lineRule="auto"/>
        <w:sectPr>
          <w:type w:val="continuous"/>
          <w:pgSz w:w="11910" w:h="16840"/>
          <w:pgMar w:top="1040" w:bottom="1180" w:left="1060" w:right="780"/>
          <w:cols w:num="2" w:equalWidth="0">
            <w:col w:w="1758" w:space="105"/>
            <w:col w:w="8207"/>
          </w:cols>
        </w:sectPr>
      </w:pPr>
    </w:p>
    <w:p>
      <w:pPr>
        <w:pStyle w:val="BodyText"/>
        <w:spacing w:before="4"/>
        <w:rPr>
          <w:sz w:val="29"/>
        </w:rPr>
      </w:pPr>
    </w:p>
    <w:p>
      <w:pPr>
        <w:spacing w:after="0"/>
        <w:rPr>
          <w:sz w:val="29"/>
        </w:rPr>
        <w:sectPr>
          <w:type w:val="continuous"/>
          <w:pgSz w:w="11910" w:h="16840"/>
          <w:pgMar w:top="1040" w:bottom="1180" w:left="1060" w:right="780"/>
        </w:sectPr>
      </w:pPr>
    </w:p>
    <w:p>
      <w:pPr>
        <w:pStyle w:val="ListParagraph"/>
        <w:numPr>
          <w:ilvl w:val="1"/>
          <w:numId w:val="12"/>
        </w:numPr>
        <w:tabs>
          <w:tab w:pos="806" w:val="left" w:leader="none"/>
          <w:tab w:pos="807" w:val="left" w:leader="none"/>
        </w:tabs>
        <w:spacing w:line="240" w:lineRule="auto" w:before="104" w:after="0"/>
        <w:ind w:left="1970" w:right="0" w:hanging="1862"/>
        <w:jc w:val="left"/>
        <w:rPr>
          <w:sz w:val="21"/>
        </w:rPr>
      </w:pPr>
      <w:r>
        <w:rPr>
          <w:spacing w:val="23"/>
          <w:sz w:val="21"/>
        </w:rPr>
        <w:t>感染艾滋</w:t>
      </w:r>
    </w:p>
    <w:p>
      <w:pPr>
        <w:pStyle w:val="BodyText"/>
        <w:spacing w:line="314" w:lineRule="auto" w:before="85"/>
        <w:ind w:left="806"/>
      </w:pPr>
      <w:r>
        <w:rPr/>
        <w:t>病病毒或患艾滋病</w:t>
      </w:r>
    </w:p>
    <w:p>
      <w:pPr>
        <w:pStyle w:val="BodyText"/>
        <w:spacing w:line="273" w:lineRule="auto" w:before="37"/>
        <w:ind w:left="108" w:right="94" w:firstLine="420"/>
      </w:pPr>
      <w:r>
        <w:rPr/>
        <w:br w:type="column"/>
      </w:r>
      <w:r>
        <w:rPr/>
        <w:t>艾滋病病毒指人类免疫缺陷病毒，英文缩写 HIV。艾滋病指人类免疫缺陷病毒引起的获得性免疫缺陷综合征，英文缩写 AIDS。</w:t>
      </w:r>
    </w:p>
    <w:p>
      <w:pPr>
        <w:pStyle w:val="BodyText"/>
        <w:spacing w:line="273" w:lineRule="auto" w:before="7"/>
        <w:ind w:left="108" w:right="105" w:firstLine="420"/>
      </w:pPr>
      <w:r>
        <w:rPr/>
        <w:t>在人体血液或其他样本中检测到艾滋病病毒或其抗体呈阳性，没有出现临床症状或体征的，为感染艾滋病病毒；如同时出现了明显临床症状或体征的，为患艾滋病。</w:t>
      </w:r>
    </w:p>
    <w:p>
      <w:pPr>
        <w:spacing w:after="0" w:line="273" w:lineRule="auto"/>
        <w:sectPr>
          <w:type w:val="continuous"/>
          <w:pgSz w:w="11910" w:h="16840"/>
          <w:pgMar w:top="1040" w:bottom="1180" w:left="1060" w:right="780"/>
          <w:cols w:num="2" w:equalWidth="0">
            <w:col w:w="1758" w:space="105"/>
            <w:col w:w="8207"/>
          </w:cols>
        </w:sectPr>
      </w:pPr>
    </w:p>
    <w:p>
      <w:pPr>
        <w:pStyle w:val="BodyText"/>
        <w:spacing w:before="8"/>
      </w:pPr>
    </w:p>
    <w:p>
      <w:pPr>
        <w:spacing w:after="0"/>
        <w:sectPr>
          <w:type w:val="continuous"/>
          <w:pgSz w:w="11910" w:h="16840"/>
          <w:pgMar w:top="1040" w:bottom="1180" w:left="1060" w:right="780"/>
        </w:sectPr>
      </w:pPr>
    </w:p>
    <w:p>
      <w:pPr>
        <w:pStyle w:val="ListParagraph"/>
        <w:numPr>
          <w:ilvl w:val="1"/>
          <w:numId w:val="12"/>
        </w:numPr>
        <w:tabs>
          <w:tab w:pos="806" w:val="left" w:leader="none"/>
          <w:tab w:pos="807" w:val="left" w:leader="none"/>
        </w:tabs>
        <w:spacing w:line="240" w:lineRule="auto" w:before="36" w:after="0"/>
        <w:ind w:left="1970" w:right="0" w:hanging="1862"/>
        <w:jc w:val="left"/>
        <w:rPr>
          <w:sz w:val="21"/>
        </w:rPr>
      </w:pPr>
      <w:r>
        <w:rPr>
          <w:spacing w:val="23"/>
          <w:sz w:val="21"/>
        </w:rPr>
        <w:t>保单生效</w:t>
      </w:r>
    </w:p>
    <w:p>
      <w:pPr>
        <w:pStyle w:val="BodyText"/>
        <w:spacing w:before="37"/>
        <w:ind w:left="806"/>
      </w:pPr>
      <w:r>
        <w:rPr/>
        <w:t>对应日</w:t>
      </w:r>
    </w:p>
    <w:p>
      <w:pPr>
        <w:pStyle w:val="BodyText"/>
        <w:ind w:left="108"/>
      </w:pPr>
      <w:r>
        <w:rPr/>
        <w:br w:type="column"/>
      </w:r>
      <w:r>
        <w:rPr/>
        <w:t>保单生效日每年的对应日。</w:t>
      </w:r>
    </w:p>
    <w:p>
      <w:pPr>
        <w:spacing w:after="0"/>
        <w:sectPr>
          <w:type w:val="continuous"/>
          <w:pgSz w:w="11910" w:h="16840"/>
          <w:pgMar w:top="1040" w:bottom="1180" w:left="1060" w:right="780"/>
          <w:cols w:num="2" w:equalWidth="0">
            <w:col w:w="1758" w:space="525"/>
            <w:col w:w="7787"/>
          </w:cols>
        </w:sectPr>
      </w:pPr>
    </w:p>
    <w:p>
      <w:pPr>
        <w:pStyle w:val="BodyText"/>
        <w:spacing w:before="12"/>
        <w:rPr>
          <w:sz w:val="23"/>
        </w:rPr>
      </w:pPr>
    </w:p>
    <w:p>
      <w:pPr>
        <w:spacing w:after="0"/>
        <w:rPr>
          <w:sz w:val="23"/>
        </w:rPr>
        <w:sectPr>
          <w:type w:val="continuous"/>
          <w:pgSz w:w="11910" w:h="16840"/>
          <w:pgMar w:top="1040" w:bottom="1180" w:left="1060" w:right="780"/>
        </w:sectPr>
      </w:pPr>
    </w:p>
    <w:p>
      <w:pPr>
        <w:pStyle w:val="ListParagraph"/>
        <w:numPr>
          <w:ilvl w:val="1"/>
          <w:numId w:val="12"/>
        </w:numPr>
        <w:tabs>
          <w:tab w:pos="806" w:val="left" w:leader="none"/>
          <w:tab w:pos="807" w:val="left" w:leader="none"/>
        </w:tabs>
        <w:spacing w:line="240" w:lineRule="auto" w:before="36" w:after="0"/>
        <w:ind w:left="1970" w:right="0" w:hanging="1862"/>
        <w:jc w:val="left"/>
        <w:rPr>
          <w:sz w:val="21"/>
        </w:rPr>
      </w:pPr>
      <w:r>
        <w:rPr>
          <w:spacing w:val="23"/>
          <w:sz w:val="21"/>
        </w:rPr>
        <w:t>本保险实</w:t>
      </w:r>
    </w:p>
    <w:p>
      <w:pPr>
        <w:pStyle w:val="BodyText"/>
        <w:spacing w:line="273" w:lineRule="auto" w:before="37"/>
        <w:ind w:left="806"/>
      </w:pPr>
      <w:r>
        <w:rPr/>
        <w:t>际交纳的保险费</w:t>
      </w:r>
    </w:p>
    <w:p>
      <w:pPr>
        <w:pStyle w:val="BodyText"/>
        <w:spacing w:line="273" w:lineRule="auto"/>
        <w:ind w:left="108" w:right="151" w:firstLine="420"/>
      </w:pPr>
      <w:r>
        <w:rPr/>
        <w:br w:type="column"/>
      </w:r>
      <w:r>
        <w:rPr>
          <w:spacing w:val="-6"/>
        </w:rPr>
        <w:t>指您依据本合同已经向本公司交纳的保险费；如本合同发生过减保情形，则实际交</w:t>
      </w:r>
      <w:r>
        <w:rPr>
          <w:spacing w:val="-3"/>
        </w:rPr>
        <w:t>纳的保险费为扣除每次减保所对应的保险费后的余额。</w:t>
      </w:r>
    </w:p>
    <w:sectPr>
      <w:type w:val="continuous"/>
      <w:pgSz w:w="11910" w:h="16840"/>
      <w:pgMar w:top="1040" w:bottom="1180" w:left="1060" w:right="780"/>
      <w:cols w:num="2" w:equalWidth="0">
        <w:col w:w="1758" w:space="105"/>
        <w:col w:w="820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258263pt;margin-top:781.158508pt;width:38.1pt;height:12pt;mso-position-horizontal-relative:page;mso-position-vertical-relative:page;z-index:-30040" type="#_x0000_t202" filled="false" stroked="false">
          <v:textbox inset="0,0,0,0">
            <w:txbxContent>
              <w:p>
                <w:pPr>
                  <w:spacing w:before="12"/>
                  <w:ind w:left="20" w:right="0" w:firstLine="0"/>
                  <w:jc w:val="left"/>
                  <w:rPr>
                    <w:rFonts w:ascii="Times New Roman"/>
                    <w:sz w:val="18"/>
                  </w:rPr>
                </w:pPr>
                <w:r>
                  <w:rPr>
                    <w:rFonts w:ascii="Times New Roman"/>
                    <w:sz w:val="18"/>
                  </w:rPr>
                  <w:t>72420091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58263pt;margin-top:42.964149pt;width:146pt;height:11pt;mso-position-horizontal-relative:page;mso-position-vertical-relative:page;z-index:-30088" type="#_x0000_t202" filled="false" stroked="false">
          <v:textbox inset="0,0,0,0">
            <w:txbxContent>
              <w:p>
                <w:pPr>
                  <w:spacing w:line="200" w:lineRule="exact" w:before="0"/>
                  <w:ind w:left="20" w:right="0" w:firstLine="0"/>
                  <w:jc w:val="left"/>
                  <w:rPr>
                    <w:sz w:val="18"/>
                  </w:rPr>
                </w:pPr>
                <w:r>
                  <w:rPr>
                    <w:sz w:val="18"/>
                  </w:rPr>
                  <w:t>健康福星增额终身重大疾病保险条款</w:t>
                </w:r>
              </w:p>
            </w:txbxContent>
          </v:textbox>
          <w10:wrap type="none"/>
        </v:shape>
      </w:pict>
    </w:r>
    <w:r>
      <w:rPr/>
      <w:pict>
        <v:shape style="position:absolute;margin-left:428.938263pt;margin-top:42.964149pt;width:110pt;height:11pt;mso-position-horizontal-relative:page;mso-position-vertical-relative:page;z-index:-30064"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30016" from="63.81826pt,55.658524pt" to="542.97826pt,55.658524pt" stroked="true" strokeweight=".72pt" strokecolor="#000000">
          <v:stroke dashstyle="solid"/>
          <w10:wrap type="none"/>
        </v:line>
      </w:pict>
    </w:r>
    <w:r>
      <w:rPr/>
      <w:pict>
        <v:shape style="position:absolute;margin-left:64.258263pt;margin-top:42.964149pt;width:146pt;height:11pt;mso-position-horizontal-relative:page;mso-position-vertical-relative:page;z-index:-29992" type="#_x0000_t202" filled="false" stroked="false">
          <v:textbox inset="0,0,0,0">
            <w:txbxContent>
              <w:p>
                <w:pPr>
                  <w:spacing w:line="200" w:lineRule="exact" w:before="0"/>
                  <w:ind w:left="20" w:right="0" w:firstLine="0"/>
                  <w:jc w:val="left"/>
                  <w:rPr>
                    <w:sz w:val="18"/>
                  </w:rPr>
                </w:pPr>
                <w:r>
                  <w:rPr>
                    <w:sz w:val="18"/>
                  </w:rPr>
                  <w:t>健康福星增额终身重大疾病保险条款</w:t>
                </w:r>
              </w:p>
            </w:txbxContent>
          </v:textbox>
          <w10:wrap type="none"/>
        </v:shape>
      </w:pict>
    </w:r>
    <w:r>
      <w:rPr/>
      <w:pict>
        <v:shape style="position:absolute;margin-left:428.938263pt;margin-top:42.964149pt;width:110pt;height:11pt;mso-position-horizontal-relative:page;mso-position-vertical-relative:page;z-index:-29968"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926" w:hanging="699"/>
      </w:pPr>
      <w:rPr>
        <w:rFonts w:hint="default" w:ascii="Times New Roman" w:hAnsi="Times New Roman" w:eastAsia="Times New Roman" w:cs="Times New Roman"/>
        <w:w w:val="255"/>
        <w:position w:val="-3"/>
        <w:sz w:val="40"/>
        <w:szCs w:val="40"/>
      </w:rPr>
    </w:lvl>
    <w:lvl w:ilvl="1">
      <w:start w:val="0"/>
      <w:numFmt w:val="bullet"/>
      <w:lvlText w:val="•"/>
      <w:lvlJc w:val="left"/>
      <w:pPr>
        <w:ind w:left="1852" w:hanging="699"/>
      </w:pPr>
      <w:rPr>
        <w:rFonts w:hint="default"/>
      </w:rPr>
    </w:lvl>
    <w:lvl w:ilvl="2">
      <w:start w:val="0"/>
      <w:numFmt w:val="bullet"/>
      <w:lvlText w:val="•"/>
      <w:lvlJc w:val="left"/>
      <w:pPr>
        <w:ind w:left="2785" w:hanging="699"/>
      </w:pPr>
      <w:rPr>
        <w:rFonts w:hint="default"/>
      </w:rPr>
    </w:lvl>
    <w:lvl w:ilvl="3">
      <w:start w:val="0"/>
      <w:numFmt w:val="bullet"/>
      <w:lvlText w:val="•"/>
      <w:lvlJc w:val="left"/>
      <w:pPr>
        <w:ind w:left="3717" w:hanging="699"/>
      </w:pPr>
      <w:rPr>
        <w:rFonts w:hint="default"/>
      </w:rPr>
    </w:lvl>
    <w:lvl w:ilvl="4">
      <w:start w:val="0"/>
      <w:numFmt w:val="bullet"/>
      <w:lvlText w:val="•"/>
      <w:lvlJc w:val="left"/>
      <w:pPr>
        <w:ind w:left="4650" w:hanging="699"/>
      </w:pPr>
      <w:rPr>
        <w:rFonts w:hint="default"/>
      </w:rPr>
    </w:lvl>
    <w:lvl w:ilvl="5">
      <w:start w:val="0"/>
      <w:numFmt w:val="bullet"/>
      <w:lvlText w:val="•"/>
      <w:lvlJc w:val="left"/>
      <w:pPr>
        <w:ind w:left="5582" w:hanging="699"/>
      </w:pPr>
      <w:rPr>
        <w:rFonts w:hint="default"/>
      </w:rPr>
    </w:lvl>
    <w:lvl w:ilvl="6">
      <w:start w:val="0"/>
      <w:numFmt w:val="bullet"/>
      <w:lvlText w:val="•"/>
      <w:lvlJc w:val="left"/>
      <w:pPr>
        <w:ind w:left="6515" w:hanging="699"/>
      </w:pPr>
      <w:rPr>
        <w:rFonts w:hint="default"/>
      </w:rPr>
    </w:lvl>
    <w:lvl w:ilvl="7">
      <w:start w:val="0"/>
      <w:numFmt w:val="bullet"/>
      <w:lvlText w:val="•"/>
      <w:lvlJc w:val="left"/>
      <w:pPr>
        <w:ind w:left="7447" w:hanging="699"/>
      </w:pPr>
      <w:rPr>
        <w:rFonts w:hint="default"/>
      </w:rPr>
    </w:lvl>
    <w:lvl w:ilvl="8">
      <w:start w:val="0"/>
      <w:numFmt w:val="bullet"/>
      <w:lvlText w:val="•"/>
      <w:lvlJc w:val="left"/>
      <w:pPr>
        <w:ind w:left="8380" w:hanging="699"/>
      </w:pPr>
      <w:rPr>
        <w:rFonts w:hint="default"/>
      </w:rPr>
    </w:lvl>
  </w:abstractNum>
  <w:abstractNum w:abstractNumId="11">
    <w:multiLevelType w:val="hybridMultilevel"/>
    <w:lvl w:ilvl="0">
      <w:start w:val="6"/>
      <w:numFmt w:val="decimal"/>
      <w:lvlText w:val="%1"/>
      <w:lvlJc w:val="left"/>
      <w:pPr>
        <w:ind w:left="1970" w:hanging="699"/>
        <w:jc w:val="left"/>
      </w:pPr>
      <w:rPr>
        <w:rFonts w:hint="default"/>
      </w:rPr>
    </w:lvl>
    <w:lvl w:ilvl="1">
      <w:start w:val="11"/>
      <w:numFmt w:val="decimal"/>
      <w:lvlText w:val="%1.%2"/>
      <w:lvlJc w:val="left"/>
      <w:pPr>
        <w:ind w:left="1970" w:hanging="699"/>
        <w:jc w:val="left"/>
      </w:pPr>
      <w:rPr>
        <w:rFonts w:hint="default" w:ascii="宋体" w:hAnsi="宋体" w:eastAsia="宋体" w:cs="宋体"/>
        <w:w w:val="100"/>
        <w:sz w:val="21"/>
        <w:szCs w:val="21"/>
      </w:rPr>
    </w:lvl>
    <w:lvl w:ilvl="2">
      <w:start w:val="0"/>
      <w:numFmt w:val="bullet"/>
      <w:lvlText w:val="•"/>
      <w:lvlJc w:val="left"/>
      <w:pPr>
        <w:ind w:left="3597" w:hanging="699"/>
      </w:pPr>
      <w:rPr>
        <w:rFonts w:hint="default"/>
      </w:rPr>
    </w:lvl>
    <w:lvl w:ilvl="3">
      <w:start w:val="0"/>
      <w:numFmt w:val="bullet"/>
      <w:lvlText w:val="•"/>
      <w:lvlJc w:val="left"/>
      <w:pPr>
        <w:ind w:left="4405" w:hanging="699"/>
      </w:pPr>
      <w:rPr>
        <w:rFonts w:hint="default"/>
      </w:rPr>
    </w:lvl>
    <w:lvl w:ilvl="4">
      <w:start w:val="0"/>
      <w:numFmt w:val="bullet"/>
      <w:lvlText w:val="•"/>
      <w:lvlJc w:val="left"/>
      <w:pPr>
        <w:ind w:left="5214" w:hanging="699"/>
      </w:pPr>
      <w:rPr>
        <w:rFonts w:hint="default"/>
      </w:rPr>
    </w:lvl>
    <w:lvl w:ilvl="5">
      <w:start w:val="0"/>
      <w:numFmt w:val="bullet"/>
      <w:lvlText w:val="•"/>
      <w:lvlJc w:val="left"/>
      <w:pPr>
        <w:ind w:left="6022" w:hanging="699"/>
      </w:pPr>
      <w:rPr>
        <w:rFonts w:hint="default"/>
      </w:rPr>
    </w:lvl>
    <w:lvl w:ilvl="6">
      <w:start w:val="0"/>
      <w:numFmt w:val="bullet"/>
      <w:lvlText w:val="•"/>
      <w:lvlJc w:val="left"/>
      <w:pPr>
        <w:ind w:left="6831" w:hanging="699"/>
      </w:pPr>
      <w:rPr>
        <w:rFonts w:hint="default"/>
      </w:rPr>
    </w:lvl>
    <w:lvl w:ilvl="7">
      <w:start w:val="0"/>
      <w:numFmt w:val="bullet"/>
      <w:lvlText w:val="•"/>
      <w:lvlJc w:val="left"/>
      <w:pPr>
        <w:ind w:left="7639" w:hanging="699"/>
      </w:pPr>
      <w:rPr>
        <w:rFonts w:hint="default"/>
      </w:rPr>
    </w:lvl>
    <w:lvl w:ilvl="8">
      <w:start w:val="0"/>
      <w:numFmt w:val="bullet"/>
      <w:lvlText w:val="•"/>
      <w:lvlJc w:val="left"/>
      <w:pPr>
        <w:ind w:left="8448" w:hanging="699"/>
      </w:pPr>
      <w:rPr>
        <w:rFonts w:hint="default"/>
      </w:rPr>
    </w:lvl>
  </w:abstractNum>
  <w:abstractNum w:abstractNumId="10">
    <w:multiLevelType w:val="hybridMultilevel"/>
    <w:lvl w:ilvl="0">
      <w:start w:val="6"/>
      <w:numFmt w:val="decimal"/>
      <w:lvlText w:val="%1"/>
      <w:lvlJc w:val="left"/>
      <w:pPr>
        <w:ind w:left="2090" w:hanging="699"/>
        <w:jc w:val="left"/>
      </w:pPr>
      <w:rPr>
        <w:rFonts w:hint="default"/>
      </w:rPr>
    </w:lvl>
    <w:lvl w:ilvl="1">
      <w:start w:val="1"/>
      <w:numFmt w:val="decimal"/>
      <w:lvlText w:val="%1.%2"/>
      <w:lvlJc w:val="left"/>
      <w:pPr>
        <w:ind w:left="2090" w:hanging="699"/>
        <w:jc w:val="right"/>
      </w:pPr>
      <w:rPr>
        <w:rFonts w:hint="default" w:ascii="宋体" w:hAnsi="宋体" w:eastAsia="宋体" w:cs="宋体"/>
        <w:w w:val="100"/>
        <w:sz w:val="21"/>
        <w:szCs w:val="21"/>
      </w:rPr>
    </w:lvl>
    <w:lvl w:ilvl="2">
      <w:start w:val="2"/>
      <w:numFmt w:val="decimal"/>
      <w:lvlText w:val="%1.%2.%3"/>
      <w:lvlJc w:val="left"/>
      <w:pPr>
        <w:ind w:left="806" w:hanging="634"/>
        <w:jc w:val="right"/>
      </w:pPr>
      <w:rPr>
        <w:rFonts w:hint="default" w:ascii="宋体" w:hAnsi="宋体" w:eastAsia="宋体" w:cs="宋体"/>
        <w:w w:val="100"/>
        <w:sz w:val="21"/>
        <w:szCs w:val="21"/>
      </w:rPr>
    </w:lvl>
    <w:lvl w:ilvl="3">
      <w:start w:val="0"/>
      <w:numFmt w:val="bullet"/>
      <w:lvlText w:val="•"/>
      <w:lvlJc w:val="left"/>
      <w:pPr>
        <w:ind w:left="1832" w:hanging="634"/>
      </w:pPr>
      <w:rPr>
        <w:rFonts w:hint="default"/>
      </w:rPr>
    </w:lvl>
    <w:lvl w:ilvl="4">
      <w:start w:val="0"/>
      <w:numFmt w:val="bullet"/>
      <w:lvlText w:val="•"/>
      <w:lvlJc w:val="left"/>
      <w:pPr>
        <w:ind w:left="1565" w:hanging="634"/>
      </w:pPr>
      <w:rPr>
        <w:rFonts w:hint="default"/>
      </w:rPr>
    </w:lvl>
    <w:lvl w:ilvl="5">
      <w:start w:val="0"/>
      <w:numFmt w:val="bullet"/>
      <w:lvlText w:val="•"/>
      <w:lvlJc w:val="left"/>
      <w:pPr>
        <w:ind w:left="1297" w:hanging="634"/>
      </w:pPr>
      <w:rPr>
        <w:rFonts w:hint="default"/>
      </w:rPr>
    </w:lvl>
    <w:lvl w:ilvl="6">
      <w:start w:val="0"/>
      <w:numFmt w:val="bullet"/>
      <w:lvlText w:val="•"/>
      <w:lvlJc w:val="left"/>
      <w:pPr>
        <w:ind w:left="1030" w:hanging="634"/>
      </w:pPr>
      <w:rPr>
        <w:rFonts w:hint="default"/>
      </w:rPr>
    </w:lvl>
    <w:lvl w:ilvl="7">
      <w:start w:val="0"/>
      <w:numFmt w:val="bullet"/>
      <w:lvlText w:val="•"/>
      <w:lvlJc w:val="left"/>
      <w:pPr>
        <w:ind w:left="762" w:hanging="634"/>
      </w:pPr>
      <w:rPr>
        <w:rFonts w:hint="default"/>
      </w:rPr>
    </w:lvl>
    <w:lvl w:ilvl="8">
      <w:start w:val="0"/>
      <w:numFmt w:val="bullet"/>
      <w:lvlText w:val="•"/>
      <w:lvlJc w:val="left"/>
      <w:pPr>
        <w:ind w:left="495" w:hanging="634"/>
      </w:pPr>
      <w:rPr>
        <w:rFonts w:hint="default"/>
      </w:rPr>
    </w:lvl>
  </w:abstractNum>
  <w:abstractNum w:abstractNumId="9">
    <w:multiLevelType w:val="hybridMultilevel"/>
    <w:lvl w:ilvl="0">
      <w:start w:val="5"/>
      <w:numFmt w:val="decimal"/>
      <w:lvlText w:val="%1"/>
      <w:lvlJc w:val="left"/>
      <w:pPr>
        <w:ind w:left="926" w:hanging="699"/>
        <w:jc w:val="left"/>
      </w:pPr>
      <w:rPr>
        <w:rFonts w:hint="default"/>
      </w:rPr>
    </w:lvl>
    <w:lvl w:ilvl="1">
      <w:start w:val="1"/>
      <w:numFmt w:val="decimal"/>
      <w:lvlText w:val="%1.%2"/>
      <w:lvlJc w:val="left"/>
      <w:pPr>
        <w:ind w:left="926" w:hanging="699"/>
        <w:jc w:val="left"/>
      </w:pPr>
      <w:rPr>
        <w:rFonts w:hint="default" w:ascii="宋体" w:hAnsi="宋体" w:eastAsia="宋体" w:cs="宋体"/>
        <w:w w:val="100"/>
        <w:sz w:val="21"/>
        <w:szCs w:val="21"/>
      </w:rPr>
    </w:lvl>
    <w:lvl w:ilvl="2">
      <w:start w:val="0"/>
      <w:numFmt w:val="bullet"/>
      <w:lvlText w:val="•"/>
      <w:lvlJc w:val="left"/>
      <w:pPr>
        <w:ind w:left="1111" w:hanging="699"/>
      </w:pPr>
      <w:rPr>
        <w:rFonts w:hint="default"/>
      </w:rPr>
    </w:lvl>
    <w:lvl w:ilvl="3">
      <w:start w:val="0"/>
      <w:numFmt w:val="bullet"/>
      <w:lvlText w:val="•"/>
      <w:lvlJc w:val="left"/>
      <w:pPr>
        <w:ind w:left="1207" w:hanging="699"/>
      </w:pPr>
      <w:rPr>
        <w:rFonts w:hint="default"/>
      </w:rPr>
    </w:lvl>
    <w:lvl w:ilvl="4">
      <w:start w:val="0"/>
      <w:numFmt w:val="bullet"/>
      <w:lvlText w:val="•"/>
      <w:lvlJc w:val="left"/>
      <w:pPr>
        <w:ind w:left="1302" w:hanging="699"/>
      </w:pPr>
      <w:rPr>
        <w:rFonts w:hint="default"/>
      </w:rPr>
    </w:lvl>
    <w:lvl w:ilvl="5">
      <w:start w:val="0"/>
      <w:numFmt w:val="bullet"/>
      <w:lvlText w:val="•"/>
      <w:lvlJc w:val="left"/>
      <w:pPr>
        <w:ind w:left="1398" w:hanging="699"/>
      </w:pPr>
      <w:rPr>
        <w:rFonts w:hint="default"/>
      </w:rPr>
    </w:lvl>
    <w:lvl w:ilvl="6">
      <w:start w:val="0"/>
      <w:numFmt w:val="bullet"/>
      <w:lvlText w:val="•"/>
      <w:lvlJc w:val="left"/>
      <w:pPr>
        <w:ind w:left="1494" w:hanging="699"/>
      </w:pPr>
      <w:rPr>
        <w:rFonts w:hint="default"/>
      </w:rPr>
    </w:lvl>
    <w:lvl w:ilvl="7">
      <w:start w:val="0"/>
      <w:numFmt w:val="bullet"/>
      <w:lvlText w:val="•"/>
      <w:lvlJc w:val="left"/>
      <w:pPr>
        <w:ind w:left="1589" w:hanging="699"/>
      </w:pPr>
      <w:rPr>
        <w:rFonts w:hint="default"/>
      </w:rPr>
    </w:lvl>
    <w:lvl w:ilvl="8">
      <w:start w:val="0"/>
      <w:numFmt w:val="bullet"/>
      <w:lvlText w:val="•"/>
      <w:lvlJc w:val="left"/>
      <w:pPr>
        <w:ind w:left="1685" w:hanging="699"/>
      </w:pPr>
      <w:rPr>
        <w:rFonts w:hint="default"/>
      </w:rPr>
    </w:lvl>
  </w:abstractNum>
  <w:abstractNum w:abstractNumId="8">
    <w:multiLevelType w:val="hybridMultilevel"/>
    <w:lvl w:ilvl="0">
      <w:start w:val="4"/>
      <w:numFmt w:val="decimal"/>
      <w:lvlText w:val="%1"/>
      <w:lvlJc w:val="left"/>
      <w:pPr>
        <w:ind w:left="926" w:hanging="699"/>
        <w:jc w:val="left"/>
      </w:pPr>
      <w:rPr>
        <w:rFonts w:hint="default"/>
      </w:rPr>
    </w:lvl>
    <w:lvl w:ilvl="1">
      <w:start w:val="1"/>
      <w:numFmt w:val="decimal"/>
      <w:lvlText w:val="%1.%2"/>
      <w:lvlJc w:val="left"/>
      <w:pPr>
        <w:ind w:left="926" w:hanging="699"/>
        <w:jc w:val="left"/>
      </w:pPr>
      <w:rPr>
        <w:rFonts w:hint="default" w:ascii="宋体" w:hAnsi="宋体" w:eastAsia="宋体" w:cs="宋体"/>
        <w:w w:val="100"/>
        <w:sz w:val="21"/>
        <w:szCs w:val="21"/>
      </w:rPr>
    </w:lvl>
    <w:lvl w:ilvl="2">
      <w:start w:val="0"/>
      <w:numFmt w:val="bullet"/>
      <w:lvlText w:val="•"/>
      <w:lvlJc w:val="left"/>
      <w:pPr>
        <w:ind w:left="1111" w:hanging="699"/>
      </w:pPr>
      <w:rPr>
        <w:rFonts w:hint="default"/>
      </w:rPr>
    </w:lvl>
    <w:lvl w:ilvl="3">
      <w:start w:val="0"/>
      <w:numFmt w:val="bullet"/>
      <w:lvlText w:val="•"/>
      <w:lvlJc w:val="left"/>
      <w:pPr>
        <w:ind w:left="1207" w:hanging="699"/>
      </w:pPr>
      <w:rPr>
        <w:rFonts w:hint="default"/>
      </w:rPr>
    </w:lvl>
    <w:lvl w:ilvl="4">
      <w:start w:val="0"/>
      <w:numFmt w:val="bullet"/>
      <w:lvlText w:val="•"/>
      <w:lvlJc w:val="left"/>
      <w:pPr>
        <w:ind w:left="1302" w:hanging="699"/>
      </w:pPr>
      <w:rPr>
        <w:rFonts w:hint="default"/>
      </w:rPr>
    </w:lvl>
    <w:lvl w:ilvl="5">
      <w:start w:val="0"/>
      <w:numFmt w:val="bullet"/>
      <w:lvlText w:val="•"/>
      <w:lvlJc w:val="left"/>
      <w:pPr>
        <w:ind w:left="1398" w:hanging="699"/>
      </w:pPr>
      <w:rPr>
        <w:rFonts w:hint="default"/>
      </w:rPr>
    </w:lvl>
    <w:lvl w:ilvl="6">
      <w:start w:val="0"/>
      <w:numFmt w:val="bullet"/>
      <w:lvlText w:val="•"/>
      <w:lvlJc w:val="left"/>
      <w:pPr>
        <w:ind w:left="1494" w:hanging="699"/>
      </w:pPr>
      <w:rPr>
        <w:rFonts w:hint="default"/>
      </w:rPr>
    </w:lvl>
    <w:lvl w:ilvl="7">
      <w:start w:val="0"/>
      <w:numFmt w:val="bullet"/>
      <w:lvlText w:val="•"/>
      <w:lvlJc w:val="left"/>
      <w:pPr>
        <w:ind w:left="1589" w:hanging="699"/>
      </w:pPr>
      <w:rPr>
        <w:rFonts w:hint="default"/>
      </w:rPr>
    </w:lvl>
    <w:lvl w:ilvl="8">
      <w:start w:val="0"/>
      <w:numFmt w:val="bullet"/>
      <w:lvlText w:val="•"/>
      <w:lvlJc w:val="left"/>
      <w:pPr>
        <w:ind w:left="1685" w:hanging="699"/>
      </w:pPr>
      <w:rPr>
        <w:rFonts w:hint="default"/>
      </w:rPr>
    </w:lvl>
  </w:abstractNum>
  <w:abstractNum w:abstractNumId="6">
    <w:multiLevelType w:val="hybridMultilevel"/>
    <w:lvl w:ilvl="0">
      <w:start w:val="3"/>
      <w:numFmt w:val="decimal"/>
      <w:lvlText w:val="%1"/>
      <w:lvlJc w:val="left"/>
      <w:pPr>
        <w:ind w:left="926" w:hanging="699"/>
        <w:jc w:val="left"/>
      </w:pPr>
      <w:rPr>
        <w:rFonts w:hint="default"/>
      </w:rPr>
    </w:lvl>
    <w:lvl w:ilvl="1">
      <w:start w:val="1"/>
      <w:numFmt w:val="decimal"/>
      <w:lvlText w:val="%1.%2"/>
      <w:lvlJc w:val="left"/>
      <w:pPr>
        <w:ind w:left="926" w:hanging="699"/>
        <w:jc w:val="left"/>
      </w:pPr>
      <w:rPr>
        <w:rFonts w:hint="default" w:ascii="宋体" w:hAnsi="宋体" w:eastAsia="宋体" w:cs="宋体"/>
        <w:w w:val="100"/>
        <w:sz w:val="21"/>
        <w:szCs w:val="21"/>
      </w:rPr>
    </w:lvl>
    <w:lvl w:ilvl="2">
      <w:start w:val="0"/>
      <w:numFmt w:val="bullet"/>
      <w:lvlText w:val="•"/>
      <w:lvlJc w:val="left"/>
      <w:pPr>
        <w:ind w:left="1111" w:hanging="699"/>
      </w:pPr>
      <w:rPr>
        <w:rFonts w:hint="default"/>
      </w:rPr>
    </w:lvl>
    <w:lvl w:ilvl="3">
      <w:start w:val="0"/>
      <w:numFmt w:val="bullet"/>
      <w:lvlText w:val="•"/>
      <w:lvlJc w:val="left"/>
      <w:pPr>
        <w:ind w:left="1207" w:hanging="699"/>
      </w:pPr>
      <w:rPr>
        <w:rFonts w:hint="default"/>
      </w:rPr>
    </w:lvl>
    <w:lvl w:ilvl="4">
      <w:start w:val="0"/>
      <w:numFmt w:val="bullet"/>
      <w:lvlText w:val="•"/>
      <w:lvlJc w:val="left"/>
      <w:pPr>
        <w:ind w:left="1302" w:hanging="699"/>
      </w:pPr>
      <w:rPr>
        <w:rFonts w:hint="default"/>
      </w:rPr>
    </w:lvl>
    <w:lvl w:ilvl="5">
      <w:start w:val="0"/>
      <w:numFmt w:val="bullet"/>
      <w:lvlText w:val="•"/>
      <w:lvlJc w:val="left"/>
      <w:pPr>
        <w:ind w:left="1398" w:hanging="699"/>
      </w:pPr>
      <w:rPr>
        <w:rFonts w:hint="default"/>
      </w:rPr>
    </w:lvl>
    <w:lvl w:ilvl="6">
      <w:start w:val="0"/>
      <w:numFmt w:val="bullet"/>
      <w:lvlText w:val="•"/>
      <w:lvlJc w:val="left"/>
      <w:pPr>
        <w:ind w:left="1494" w:hanging="699"/>
      </w:pPr>
      <w:rPr>
        <w:rFonts w:hint="default"/>
      </w:rPr>
    </w:lvl>
    <w:lvl w:ilvl="7">
      <w:start w:val="0"/>
      <w:numFmt w:val="bullet"/>
      <w:lvlText w:val="•"/>
      <w:lvlJc w:val="left"/>
      <w:pPr>
        <w:ind w:left="1589" w:hanging="699"/>
      </w:pPr>
      <w:rPr>
        <w:rFonts w:hint="default"/>
      </w:rPr>
    </w:lvl>
    <w:lvl w:ilvl="8">
      <w:start w:val="0"/>
      <w:numFmt w:val="bullet"/>
      <w:lvlText w:val="•"/>
      <w:lvlJc w:val="left"/>
      <w:pPr>
        <w:ind w:left="1685" w:hanging="699"/>
      </w:pPr>
      <w:rPr>
        <w:rFonts w:hint="default"/>
      </w:rPr>
    </w:lvl>
  </w:abstractNum>
  <w:abstractNum w:abstractNumId="5">
    <w:multiLevelType w:val="hybridMultilevel"/>
    <w:lvl w:ilvl="0">
      <w:start w:val="2"/>
      <w:numFmt w:val="decimal"/>
      <w:lvlText w:val="%1"/>
      <w:lvlJc w:val="left"/>
      <w:pPr>
        <w:ind w:left="1970" w:hanging="699"/>
        <w:jc w:val="left"/>
      </w:pPr>
      <w:rPr>
        <w:rFonts w:hint="default"/>
      </w:rPr>
    </w:lvl>
    <w:lvl w:ilvl="1">
      <w:start w:val="1"/>
      <w:numFmt w:val="decimal"/>
      <w:lvlText w:val="%1.%2"/>
      <w:lvlJc w:val="left"/>
      <w:pPr>
        <w:ind w:left="1970" w:hanging="699"/>
        <w:jc w:val="left"/>
      </w:pPr>
      <w:rPr>
        <w:rFonts w:hint="default" w:ascii="宋体" w:hAnsi="宋体" w:eastAsia="宋体" w:cs="宋体"/>
        <w:w w:val="100"/>
        <w:sz w:val="21"/>
        <w:szCs w:val="21"/>
      </w:rPr>
    </w:lvl>
    <w:lvl w:ilvl="2">
      <w:start w:val="1"/>
      <w:numFmt w:val="decimal"/>
      <w:lvlText w:val="%1.%2.%3"/>
      <w:lvlJc w:val="left"/>
      <w:pPr>
        <w:ind w:left="806" w:hanging="740"/>
        <w:jc w:val="left"/>
      </w:pPr>
      <w:rPr>
        <w:rFonts w:hint="default" w:ascii="宋体" w:hAnsi="宋体" w:eastAsia="宋体" w:cs="宋体"/>
        <w:w w:val="100"/>
        <w:sz w:val="21"/>
        <w:szCs w:val="21"/>
      </w:rPr>
    </w:lvl>
    <w:lvl w:ilvl="3">
      <w:start w:val="0"/>
      <w:numFmt w:val="bullet"/>
      <w:lvlText w:val="•"/>
      <w:lvlJc w:val="left"/>
      <w:pPr>
        <w:ind w:left="1930" w:hanging="740"/>
      </w:pPr>
      <w:rPr>
        <w:rFonts w:hint="default"/>
      </w:rPr>
    </w:lvl>
    <w:lvl w:ilvl="4">
      <w:start w:val="0"/>
      <w:numFmt w:val="bullet"/>
      <w:lvlText w:val="•"/>
      <w:lvlJc w:val="left"/>
      <w:pPr>
        <w:ind w:left="1905" w:hanging="740"/>
      </w:pPr>
      <w:rPr>
        <w:rFonts w:hint="default"/>
      </w:rPr>
    </w:lvl>
    <w:lvl w:ilvl="5">
      <w:start w:val="0"/>
      <w:numFmt w:val="bullet"/>
      <w:lvlText w:val="•"/>
      <w:lvlJc w:val="left"/>
      <w:pPr>
        <w:ind w:left="1880" w:hanging="740"/>
      </w:pPr>
      <w:rPr>
        <w:rFonts w:hint="default"/>
      </w:rPr>
    </w:lvl>
    <w:lvl w:ilvl="6">
      <w:start w:val="0"/>
      <w:numFmt w:val="bullet"/>
      <w:lvlText w:val="•"/>
      <w:lvlJc w:val="left"/>
      <w:pPr>
        <w:ind w:left="1856" w:hanging="740"/>
      </w:pPr>
      <w:rPr>
        <w:rFonts w:hint="default"/>
      </w:rPr>
    </w:lvl>
    <w:lvl w:ilvl="7">
      <w:start w:val="0"/>
      <w:numFmt w:val="bullet"/>
      <w:lvlText w:val="•"/>
      <w:lvlJc w:val="left"/>
      <w:pPr>
        <w:ind w:left="1831" w:hanging="740"/>
      </w:pPr>
      <w:rPr>
        <w:rFonts w:hint="default"/>
      </w:rPr>
    </w:lvl>
    <w:lvl w:ilvl="8">
      <w:start w:val="0"/>
      <w:numFmt w:val="bullet"/>
      <w:lvlText w:val="•"/>
      <w:lvlJc w:val="left"/>
      <w:pPr>
        <w:ind w:left="1806" w:hanging="740"/>
      </w:pPr>
      <w:rPr>
        <w:rFonts w:hint="default"/>
      </w:rPr>
    </w:lvl>
  </w:abstractNum>
  <w:abstractNum w:abstractNumId="4">
    <w:multiLevelType w:val="hybridMultilevel"/>
    <w:lvl w:ilvl="0">
      <w:start w:val="0"/>
      <w:numFmt w:val="bullet"/>
      <w:lvlText w:val="•"/>
      <w:lvlJc w:val="left"/>
      <w:pPr>
        <w:ind w:left="926" w:hanging="699"/>
      </w:pPr>
      <w:rPr>
        <w:rFonts w:hint="default" w:ascii="Times New Roman" w:hAnsi="Times New Roman" w:eastAsia="Times New Roman" w:cs="Times New Roman"/>
        <w:w w:val="255"/>
        <w:position w:val="-3"/>
        <w:sz w:val="40"/>
        <w:szCs w:val="40"/>
      </w:rPr>
    </w:lvl>
    <w:lvl w:ilvl="1">
      <w:start w:val="0"/>
      <w:numFmt w:val="bullet"/>
      <w:lvlText w:val="•"/>
      <w:lvlJc w:val="left"/>
      <w:pPr>
        <w:ind w:left="1852" w:hanging="699"/>
      </w:pPr>
      <w:rPr>
        <w:rFonts w:hint="default"/>
      </w:rPr>
    </w:lvl>
    <w:lvl w:ilvl="2">
      <w:start w:val="0"/>
      <w:numFmt w:val="bullet"/>
      <w:lvlText w:val="•"/>
      <w:lvlJc w:val="left"/>
      <w:pPr>
        <w:ind w:left="2785" w:hanging="699"/>
      </w:pPr>
      <w:rPr>
        <w:rFonts w:hint="default"/>
      </w:rPr>
    </w:lvl>
    <w:lvl w:ilvl="3">
      <w:start w:val="0"/>
      <w:numFmt w:val="bullet"/>
      <w:lvlText w:val="•"/>
      <w:lvlJc w:val="left"/>
      <w:pPr>
        <w:ind w:left="3717" w:hanging="699"/>
      </w:pPr>
      <w:rPr>
        <w:rFonts w:hint="default"/>
      </w:rPr>
    </w:lvl>
    <w:lvl w:ilvl="4">
      <w:start w:val="0"/>
      <w:numFmt w:val="bullet"/>
      <w:lvlText w:val="•"/>
      <w:lvlJc w:val="left"/>
      <w:pPr>
        <w:ind w:left="4650" w:hanging="699"/>
      </w:pPr>
      <w:rPr>
        <w:rFonts w:hint="default"/>
      </w:rPr>
    </w:lvl>
    <w:lvl w:ilvl="5">
      <w:start w:val="0"/>
      <w:numFmt w:val="bullet"/>
      <w:lvlText w:val="•"/>
      <w:lvlJc w:val="left"/>
      <w:pPr>
        <w:ind w:left="5582" w:hanging="699"/>
      </w:pPr>
      <w:rPr>
        <w:rFonts w:hint="default"/>
      </w:rPr>
    </w:lvl>
    <w:lvl w:ilvl="6">
      <w:start w:val="0"/>
      <w:numFmt w:val="bullet"/>
      <w:lvlText w:val="•"/>
      <w:lvlJc w:val="left"/>
      <w:pPr>
        <w:ind w:left="6515" w:hanging="699"/>
      </w:pPr>
      <w:rPr>
        <w:rFonts w:hint="default"/>
      </w:rPr>
    </w:lvl>
    <w:lvl w:ilvl="7">
      <w:start w:val="0"/>
      <w:numFmt w:val="bullet"/>
      <w:lvlText w:val="•"/>
      <w:lvlJc w:val="left"/>
      <w:pPr>
        <w:ind w:left="7447" w:hanging="699"/>
      </w:pPr>
      <w:rPr>
        <w:rFonts w:hint="default"/>
      </w:rPr>
    </w:lvl>
    <w:lvl w:ilvl="8">
      <w:start w:val="0"/>
      <w:numFmt w:val="bullet"/>
      <w:lvlText w:val="•"/>
      <w:lvlJc w:val="left"/>
      <w:pPr>
        <w:ind w:left="8380" w:hanging="699"/>
      </w:pPr>
      <w:rPr>
        <w:rFonts w:hint="default"/>
      </w:rPr>
    </w:lvl>
  </w:abstractNum>
  <w:abstractNum w:abstractNumId="3">
    <w:multiLevelType w:val="hybridMultilevel"/>
    <w:lvl w:ilvl="0">
      <w:start w:val="1"/>
      <w:numFmt w:val="decimal"/>
      <w:lvlText w:val="%1"/>
      <w:lvlJc w:val="left"/>
      <w:pPr>
        <w:ind w:left="2090" w:hanging="699"/>
        <w:jc w:val="left"/>
      </w:pPr>
      <w:rPr>
        <w:rFonts w:hint="default"/>
      </w:rPr>
    </w:lvl>
    <w:lvl w:ilvl="1">
      <w:start w:val="1"/>
      <w:numFmt w:val="decimal"/>
      <w:lvlText w:val="%1.%2"/>
      <w:lvlJc w:val="left"/>
      <w:pPr>
        <w:ind w:left="2090" w:hanging="699"/>
        <w:jc w:val="left"/>
      </w:pPr>
      <w:rPr>
        <w:rFonts w:hint="default" w:ascii="宋体" w:hAnsi="宋体" w:eastAsia="宋体" w:cs="宋体"/>
        <w:w w:val="100"/>
        <w:sz w:val="21"/>
        <w:szCs w:val="21"/>
      </w:rPr>
    </w:lvl>
    <w:lvl w:ilvl="2">
      <w:start w:val="0"/>
      <w:numFmt w:val="bullet"/>
      <w:lvlText w:val="•"/>
      <w:lvlJc w:val="left"/>
      <w:pPr>
        <w:ind w:left="3729" w:hanging="699"/>
      </w:pPr>
      <w:rPr>
        <w:rFonts w:hint="default"/>
      </w:rPr>
    </w:lvl>
    <w:lvl w:ilvl="3">
      <w:start w:val="0"/>
      <w:numFmt w:val="bullet"/>
      <w:lvlText w:val="•"/>
      <w:lvlJc w:val="left"/>
      <w:pPr>
        <w:ind w:left="4543" w:hanging="699"/>
      </w:pPr>
      <w:rPr>
        <w:rFonts w:hint="default"/>
      </w:rPr>
    </w:lvl>
    <w:lvl w:ilvl="4">
      <w:start w:val="0"/>
      <w:numFmt w:val="bullet"/>
      <w:lvlText w:val="•"/>
      <w:lvlJc w:val="left"/>
      <w:pPr>
        <w:ind w:left="5358" w:hanging="699"/>
      </w:pPr>
      <w:rPr>
        <w:rFonts w:hint="default"/>
      </w:rPr>
    </w:lvl>
    <w:lvl w:ilvl="5">
      <w:start w:val="0"/>
      <w:numFmt w:val="bullet"/>
      <w:lvlText w:val="•"/>
      <w:lvlJc w:val="left"/>
      <w:pPr>
        <w:ind w:left="6172" w:hanging="699"/>
      </w:pPr>
      <w:rPr>
        <w:rFonts w:hint="default"/>
      </w:rPr>
    </w:lvl>
    <w:lvl w:ilvl="6">
      <w:start w:val="0"/>
      <w:numFmt w:val="bullet"/>
      <w:lvlText w:val="•"/>
      <w:lvlJc w:val="left"/>
      <w:pPr>
        <w:ind w:left="6987" w:hanging="699"/>
      </w:pPr>
      <w:rPr>
        <w:rFonts w:hint="default"/>
      </w:rPr>
    </w:lvl>
    <w:lvl w:ilvl="7">
      <w:start w:val="0"/>
      <w:numFmt w:val="bullet"/>
      <w:lvlText w:val="•"/>
      <w:lvlJc w:val="left"/>
      <w:pPr>
        <w:ind w:left="7801" w:hanging="699"/>
      </w:pPr>
      <w:rPr>
        <w:rFonts w:hint="default"/>
      </w:rPr>
    </w:lvl>
    <w:lvl w:ilvl="8">
      <w:start w:val="0"/>
      <w:numFmt w:val="bullet"/>
      <w:lvlText w:val="•"/>
      <w:lvlJc w:val="left"/>
      <w:pPr>
        <w:ind w:left="8616" w:hanging="699"/>
      </w:pPr>
      <w:rPr>
        <w:rFonts w:hint="default"/>
      </w:rPr>
    </w:lvl>
  </w:abstractNum>
  <w:abstractNum w:abstractNumId="2">
    <w:multiLevelType w:val="hybridMultilevel"/>
    <w:lvl w:ilvl="0">
      <w:start w:val="6"/>
      <w:numFmt w:val="decimal"/>
      <w:lvlText w:val="%1"/>
      <w:lvlJc w:val="left"/>
      <w:pPr>
        <w:ind w:left="1069" w:hanging="526"/>
        <w:jc w:val="left"/>
      </w:pPr>
      <w:rPr>
        <w:rFonts w:hint="default"/>
      </w:rPr>
    </w:lvl>
    <w:lvl w:ilvl="1">
      <w:start w:val="7"/>
      <w:numFmt w:val="decimal"/>
      <w:lvlText w:val="%1.%2"/>
      <w:lvlJc w:val="left"/>
      <w:pPr>
        <w:ind w:left="1069" w:hanging="526"/>
        <w:jc w:val="left"/>
      </w:pPr>
      <w:rPr>
        <w:rFonts w:hint="default" w:ascii="宋体" w:hAnsi="宋体" w:eastAsia="宋体" w:cs="宋体"/>
        <w:w w:val="100"/>
        <w:sz w:val="21"/>
        <w:szCs w:val="21"/>
      </w:rPr>
    </w:lvl>
    <w:lvl w:ilvl="2">
      <w:start w:val="0"/>
      <w:numFmt w:val="bullet"/>
      <w:lvlText w:val="•"/>
      <w:lvlJc w:val="left"/>
      <w:pPr>
        <w:ind w:left="1597" w:hanging="526"/>
      </w:pPr>
      <w:rPr>
        <w:rFonts w:hint="default"/>
      </w:rPr>
    </w:lvl>
    <w:lvl w:ilvl="3">
      <w:start w:val="0"/>
      <w:numFmt w:val="bullet"/>
      <w:lvlText w:val="•"/>
      <w:lvlJc w:val="left"/>
      <w:pPr>
        <w:ind w:left="1866" w:hanging="526"/>
      </w:pPr>
      <w:rPr>
        <w:rFonts w:hint="default"/>
      </w:rPr>
    </w:lvl>
    <w:lvl w:ilvl="4">
      <w:start w:val="0"/>
      <w:numFmt w:val="bullet"/>
      <w:lvlText w:val="•"/>
      <w:lvlJc w:val="left"/>
      <w:pPr>
        <w:ind w:left="2135" w:hanging="526"/>
      </w:pPr>
      <w:rPr>
        <w:rFonts w:hint="default"/>
      </w:rPr>
    </w:lvl>
    <w:lvl w:ilvl="5">
      <w:start w:val="0"/>
      <w:numFmt w:val="bullet"/>
      <w:lvlText w:val="•"/>
      <w:lvlJc w:val="left"/>
      <w:pPr>
        <w:ind w:left="2404" w:hanging="526"/>
      </w:pPr>
      <w:rPr>
        <w:rFonts w:hint="default"/>
      </w:rPr>
    </w:lvl>
    <w:lvl w:ilvl="6">
      <w:start w:val="0"/>
      <w:numFmt w:val="bullet"/>
      <w:lvlText w:val="•"/>
      <w:lvlJc w:val="left"/>
      <w:pPr>
        <w:ind w:left="2673" w:hanging="526"/>
      </w:pPr>
      <w:rPr>
        <w:rFonts w:hint="default"/>
      </w:rPr>
    </w:lvl>
    <w:lvl w:ilvl="7">
      <w:start w:val="0"/>
      <w:numFmt w:val="bullet"/>
      <w:lvlText w:val="•"/>
      <w:lvlJc w:val="left"/>
      <w:pPr>
        <w:ind w:left="2942" w:hanging="526"/>
      </w:pPr>
      <w:rPr>
        <w:rFonts w:hint="default"/>
      </w:rPr>
    </w:lvl>
    <w:lvl w:ilvl="8">
      <w:start w:val="0"/>
      <w:numFmt w:val="bullet"/>
      <w:lvlText w:val="•"/>
      <w:lvlJc w:val="left"/>
      <w:pPr>
        <w:ind w:left="3211" w:hanging="526"/>
      </w:pPr>
      <w:rPr>
        <w:rFonts w:hint="default"/>
      </w:rPr>
    </w:lvl>
  </w:abstractNum>
  <w:abstractNum w:abstractNumId="1">
    <w:multiLevelType w:val="hybridMultilevel"/>
    <w:lvl w:ilvl="0">
      <w:start w:val="4"/>
      <w:numFmt w:val="decimal"/>
      <w:lvlText w:val="%1"/>
      <w:lvlJc w:val="left"/>
      <w:pPr>
        <w:ind w:left="1177" w:hanging="423"/>
        <w:jc w:val="left"/>
      </w:pPr>
      <w:rPr>
        <w:rFonts w:hint="default"/>
      </w:rPr>
    </w:lvl>
    <w:lvl w:ilvl="1">
      <w:start w:val="3"/>
      <w:numFmt w:val="decimal"/>
      <w:lvlText w:val="%1.%2"/>
      <w:lvlJc w:val="left"/>
      <w:pPr>
        <w:ind w:left="1175" w:hanging="423"/>
        <w:jc w:val="left"/>
      </w:pPr>
      <w:rPr>
        <w:rFonts w:hint="default" w:ascii="宋体" w:hAnsi="宋体" w:eastAsia="宋体" w:cs="宋体"/>
        <w:w w:val="100"/>
        <w:sz w:val="21"/>
        <w:szCs w:val="21"/>
      </w:rPr>
    </w:lvl>
    <w:lvl w:ilvl="2">
      <w:start w:val="0"/>
      <w:numFmt w:val="bullet"/>
      <w:lvlText w:val="•"/>
      <w:lvlJc w:val="left"/>
      <w:pPr>
        <w:ind w:left="1557" w:hanging="423"/>
      </w:pPr>
      <w:rPr>
        <w:rFonts w:hint="default"/>
      </w:rPr>
    </w:lvl>
    <w:lvl w:ilvl="3">
      <w:start w:val="0"/>
      <w:numFmt w:val="bullet"/>
      <w:lvlText w:val="•"/>
      <w:lvlJc w:val="left"/>
      <w:pPr>
        <w:ind w:left="1746" w:hanging="423"/>
      </w:pPr>
      <w:rPr>
        <w:rFonts w:hint="default"/>
      </w:rPr>
    </w:lvl>
    <w:lvl w:ilvl="4">
      <w:start w:val="0"/>
      <w:numFmt w:val="bullet"/>
      <w:lvlText w:val="•"/>
      <w:lvlJc w:val="left"/>
      <w:pPr>
        <w:ind w:left="1935" w:hanging="423"/>
      </w:pPr>
      <w:rPr>
        <w:rFonts w:hint="default"/>
      </w:rPr>
    </w:lvl>
    <w:lvl w:ilvl="5">
      <w:start w:val="0"/>
      <w:numFmt w:val="bullet"/>
      <w:lvlText w:val="•"/>
      <w:lvlJc w:val="left"/>
      <w:pPr>
        <w:ind w:left="2124" w:hanging="423"/>
      </w:pPr>
      <w:rPr>
        <w:rFonts w:hint="default"/>
      </w:rPr>
    </w:lvl>
    <w:lvl w:ilvl="6">
      <w:start w:val="0"/>
      <w:numFmt w:val="bullet"/>
      <w:lvlText w:val="•"/>
      <w:lvlJc w:val="left"/>
      <w:pPr>
        <w:ind w:left="2313" w:hanging="423"/>
      </w:pPr>
      <w:rPr>
        <w:rFonts w:hint="default"/>
      </w:rPr>
    </w:lvl>
    <w:lvl w:ilvl="7">
      <w:start w:val="0"/>
      <w:numFmt w:val="bullet"/>
      <w:lvlText w:val="•"/>
      <w:lvlJc w:val="left"/>
      <w:pPr>
        <w:ind w:left="2502" w:hanging="423"/>
      </w:pPr>
      <w:rPr>
        <w:rFonts w:hint="default"/>
      </w:rPr>
    </w:lvl>
    <w:lvl w:ilvl="8">
      <w:start w:val="0"/>
      <w:numFmt w:val="bullet"/>
      <w:lvlText w:val="•"/>
      <w:lvlJc w:val="left"/>
      <w:pPr>
        <w:ind w:left="2691" w:hanging="423"/>
      </w:pPr>
      <w:rPr>
        <w:rFonts w:hint="default"/>
      </w:rPr>
    </w:lvl>
  </w:abstractNum>
  <w:abstractNum w:abstractNumId="0">
    <w:multiLevelType w:val="hybridMultilevel"/>
    <w:lvl w:ilvl="0">
      <w:start w:val="2"/>
      <w:numFmt w:val="decimal"/>
      <w:lvlText w:val="%1"/>
      <w:lvlJc w:val="left"/>
      <w:pPr>
        <w:ind w:left="1177" w:hanging="423"/>
        <w:jc w:val="left"/>
      </w:pPr>
      <w:rPr>
        <w:rFonts w:hint="default"/>
      </w:rPr>
    </w:lvl>
    <w:lvl w:ilvl="1">
      <w:start w:val="1"/>
      <w:numFmt w:val="decimal"/>
      <w:lvlText w:val="%1.%2"/>
      <w:lvlJc w:val="left"/>
      <w:pPr>
        <w:ind w:left="1177" w:hanging="423"/>
        <w:jc w:val="left"/>
      </w:pPr>
      <w:rPr>
        <w:rFonts w:hint="default" w:ascii="宋体" w:hAnsi="宋体" w:eastAsia="宋体" w:cs="宋体"/>
        <w:w w:val="100"/>
        <w:sz w:val="21"/>
        <w:szCs w:val="21"/>
      </w:rPr>
    </w:lvl>
    <w:lvl w:ilvl="2">
      <w:start w:val="0"/>
      <w:numFmt w:val="bullet"/>
      <w:lvlText w:val="•"/>
      <w:lvlJc w:val="left"/>
      <w:pPr>
        <w:ind w:left="1390" w:hanging="423"/>
      </w:pPr>
      <w:rPr>
        <w:rFonts w:hint="default"/>
      </w:rPr>
    </w:lvl>
    <w:lvl w:ilvl="3">
      <w:start w:val="0"/>
      <w:numFmt w:val="bullet"/>
      <w:lvlText w:val="•"/>
      <w:lvlJc w:val="left"/>
      <w:pPr>
        <w:ind w:left="1496" w:hanging="423"/>
      </w:pPr>
      <w:rPr>
        <w:rFonts w:hint="default"/>
      </w:rPr>
    </w:lvl>
    <w:lvl w:ilvl="4">
      <w:start w:val="0"/>
      <w:numFmt w:val="bullet"/>
      <w:lvlText w:val="•"/>
      <w:lvlJc w:val="left"/>
      <w:pPr>
        <w:ind w:left="1601" w:hanging="423"/>
      </w:pPr>
      <w:rPr>
        <w:rFonts w:hint="default"/>
      </w:rPr>
    </w:lvl>
    <w:lvl w:ilvl="5">
      <w:start w:val="0"/>
      <w:numFmt w:val="bullet"/>
      <w:lvlText w:val="•"/>
      <w:lvlJc w:val="left"/>
      <w:pPr>
        <w:ind w:left="1706" w:hanging="423"/>
      </w:pPr>
      <w:rPr>
        <w:rFonts w:hint="default"/>
      </w:rPr>
    </w:lvl>
    <w:lvl w:ilvl="6">
      <w:start w:val="0"/>
      <w:numFmt w:val="bullet"/>
      <w:lvlText w:val="•"/>
      <w:lvlJc w:val="left"/>
      <w:pPr>
        <w:ind w:left="1812" w:hanging="423"/>
      </w:pPr>
      <w:rPr>
        <w:rFonts w:hint="default"/>
      </w:rPr>
    </w:lvl>
    <w:lvl w:ilvl="7">
      <w:start w:val="0"/>
      <w:numFmt w:val="bullet"/>
      <w:lvlText w:val="•"/>
      <w:lvlJc w:val="left"/>
      <w:pPr>
        <w:ind w:left="1917" w:hanging="423"/>
      </w:pPr>
      <w:rPr>
        <w:rFonts w:hint="default"/>
      </w:rPr>
    </w:lvl>
    <w:lvl w:ilvl="8">
      <w:start w:val="0"/>
      <w:numFmt w:val="bullet"/>
      <w:lvlText w:val="•"/>
      <w:lvlJc w:val="left"/>
      <w:pPr>
        <w:ind w:left="2023" w:hanging="423"/>
      </w:pPr>
      <w:rPr>
        <w:rFonts w:hint="default"/>
      </w:rPr>
    </w:lvl>
  </w:abstractNum>
  <w:num w:numId="8">
    <w:abstractNumId w:val="7"/>
  </w:num>
  <w:num w:numId="12">
    <w:abstractNumId w:val="11"/>
  </w:num>
  <w:num w:numId="11">
    <w:abstractNumId w:val="10"/>
  </w:num>
  <w:num w:numId="10">
    <w:abstractNumId w:val="9"/>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spacing w:before="91"/>
      <w:ind w:left="926" w:hanging="698"/>
      <w:outlineLvl w:val="1"/>
    </w:pPr>
    <w:rPr>
      <w:rFonts w:ascii="宋体" w:hAnsi="宋体" w:eastAsia="宋体" w:cs="宋体"/>
      <w:sz w:val="28"/>
      <w:szCs w:val="28"/>
    </w:rPr>
  </w:style>
  <w:style w:styleId="ListParagraph" w:type="paragraph">
    <w:name w:val="List Paragraph"/>
    <w:basedOn w:val="Normal"/>
    <w:uiPriority w:val="1"/>
    <w:qFormat/>
    <w:pPr>
      <w:spacing w:before="36"/>
      <w:ind w:left="1343" w:hanging="186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gaoxing</dc:creator>
  <dc:title>Microsoft Word - 2009015-健康福星增额终身重大疾病保险条款</dc:title>
  <dcterms:created xsi:type="dcterms:W3CDTF">2018-10-20T03:51:38Z</dcterms:created>
  <dcterms:modified xsi:type="dcterms:W3CDTF">2018-10-20T03:51:38Z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2009015-健康福星增额终身重大疾病保险条款 (只读) [兼容模式] - Microsoft Word</vt:lpwstr>
  </property>
  <property fmtid="{D5CDD505-2E9C-101B-9397-08002B2CF9AE}" pid="4" name="LastSaved">
    <vt:filetime>2018-10-19T00:00:00Z</vt:filetime>
  </property>
</Properties>
</file>