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1"/>
        </w:rPr>
      </w:pPr>
    </w:p>
    <w:p>
      <w:pPr>
        <w:pStyle w:val="Heading1"/>
        <w:spacing w:before="7"/>
        <w:ind w:left="1556"/>
        <w:jc w:val="left"/>
      </w:pPr>
      <w:r>
        <w:rPr/>
        <w:drawing>
          <wp:anchor distT="0" distB="0" distL="0" distR="0" allowOverlap="1" layoutInCell="1" locked="0" behindDoc="0" simplePos="0" relativeHeight="0">
            <wp:simplePos x="0" y="0"/>
            <wp:positionH relativeFrom="page">
              <wp:posOffset>5474207</wp:posOffset>
            </wp:positionH>
            <wp:positionV relativeFrom="paragraph">
              <wp:posOffset>79115</wp:posOffset>
            </wp:positionV>
            <wp:extent cx="1542288" cy="10271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42288" cy="1027176"/>
                    </a:xfrm>
                    <a:prstGeom prst="rect">
                      <a:avLst/>
                    </a:prstGeom>
                  </pic:spPr>
                </pic:pic>
              </a:graphicData>
            </a:graphic>
          </wp:anchor>
        </w:drawing>
      </w:r>
      <w:r>
        <w:rPr>
          <w:w w:val="95"/>
        </w:rPr>
        <w:t>人保寿险附加安然豁免保险费重大疾病保险</w:t>
      </w:r>
    </w:p>
    <w:p>
      <w:pPr>
        <w:spacing w:line="376" w:lineRule="exact" w:before="0"/>
        <w:ind w:left="2088" w:right="3032" w:firstLine="0"/>
        <w:jc w:val="center"/>
        <w:rPr>
          <w:b/>
          <w:sz w:val="30"/>
        </w:rPr>
      </w:pPr>
      <w:r>
        <w:rPr>
          <w:b/>
          <w:w w:val="95"/>
          <w:sz w:val="30"/>
        </w:rPr>
        <w:t>条款目录</w:t>
      </w:r>
    </w:p>
    <w:p>
      <w:pPr>
        <w:pStyle w:val="BodyText"/>
        <w:spacing w:line="314" w:lineRule="auto" w:before="73"/>
        <w:ind w:left="2088" w:right="3061"/>
        <w:jc w:val="center"/>
      </w:pPr>
      <w:r>
        <w:rPr>
          <w:u w:val="single"/>
        </w:rPr>
        <w:t>条款是保险合同的重要内容，为充分保障您的权益， 请您仔细阅读本条款。</w:t>
      </w:r>
    </w:p>
    <w:p>
      <w:pPr>
        <w:pStyle w:val="BodyText"/>
        <w:spacing w:before="11" w:after="1"/>
        <w:rPr>
          <w:sz w:val="29"/>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0"/>
        <w:gridCol w:w="4504"/>
      </w:tblGrid>
      <w:tr>
        <w:trPr>
          <w:trHeight w:val="287" w:hRule="atLeast"/>
        </w:trPr>
        <w:tc>
          <w:tcPr>
            <w:tcW w:w="3930"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504" w:type="dxa"/>
          </w:tcPr>
          <w:p>
            <w:pPr>
              <w:pStyle w:val="TableParagraph"/>
              <w:spacing w:line="234" w:lineRule="exact"/>
              <w:ind w:left="990"/>
              <w:rPr>
                <w:sz w:val="21"/>
              </w:rPr>
            </w:pPr>
            <w:r>
              <w:rPr>
                <w:rFonts w:ascii="Times New Roman" w:eastAsia="Times New Roman"/>
                <w:sz w:val="21"/>
              </w:rPr>
              <w:t>3.5  </w:t>
            </w:r>
            <w:r>
              <w:rPr>
                <w:sz w:val="21"/>
              </w:rPr>
              <w:t>未还款项</w:t>
            </w:r>
          </w:p>
        </w:tc>
      </w:tr>
      <w:tr>
        <w:trPr>
          <w:trHeight w:val="339" w:hRule="atLeast"/>
        </w:trPr>
        <w:tc>
          <w:tcPr>
            <w:tcW w:w="3930" w:type="dxa"/>
          </w:tcPr>
          <w:p>
            <w:pPr>
              <w:pStyle w:val="TableParagraph"/>
              <w:spacing w:line="287" w:lineRule="exact"/>
              <w:ind w:left="619"/>
              <w:rPr>
                <w:sz w:val="21"/>
              </w:rPr>
            </w:pPr>
            <w:r>
              <w:rPr>
                <w:rFonts w:ascii="Times New Roman" w:eastAsia="Times New Roman"/>
                <w:sz w:val="21"/>
              </w:rPr>
              <w:t>1.1  </w:t>
            </w:r>
            <w:r>
              <w:rPr>
                <w:sz w:val="21"/>
              </w:rPr>
              <w:t>附加合同订立</w:t>
            </w:r>
          </w:p>
        </w:tc>
        <w:tc>
          <w:tcPr>
            <w:tcW w:w="4504" w:type="dxa"/>
          </w:tcPr>
          <w:p>
            <w:pPr>
              <w:pStyle w:val="TableParagraph"/>
              <w:ind w:left="0"/>
              <w:rPr>
                <w:rFonts w:ascii="Times New Roman"/>
                <w:sz w:val="20"/>
              </w:rPr>
            </w:pPr>
          </w:p>
        </w:tc>
      </w:tr>
      <w:tr>
        <w:trPr>
          <w:trHeight w:val="339" w:hRule="atLeast"/>
        </w:trPr>
        <w:tc>
          <w:tcPr>
            <w:tcW w:w="3930" w:type="dxa"/>
          </w:tcPr>
          <w:p>
            <w:pPr>
              <w:pStyle w:val="TableParagraph"/>
              <w:spacing w:line="286" w:lineRule="exact"/>
              <w:ind w:left="622"/>
              <w:rPr>
                <w:sz w:val="21"/>
              </w:rPr>
            </w:pPr>
            <w:r>
              <w:rPr>
                <w:rFonts w:ascii="Times New Roman" w:eastAsia="Times New Roman"/>
                <w:sz w:val="21"/>
              </w:rPr>
              <w:t>1.2  </w:t>
            </w:r>
            <w:r>
              <w:rPr>
                <w:sz w:val="21"/>
              </w:rPr>
              <w:t>附加合同成立与生效</w:t>
            </w:r>
          </w:p>
        </w:tc>
        <w:tc>
          <w:tcPr>
            <w:tcW w:w="4504" w:type="dxa"/>
          </w:tcPr>
          <w:p>
            <w:pPr>
              <w:pStyle w:val="TableParagraph"/>
              <w:spacing w:line="286" w:lineRule="exact"/>
              <w:ind w:left="633"/>
              <w:rPr>
                <w:b/>
                <w:sz w:val="21"/>
              </w:rPr>
            </w:pPr>
            <w:r>
              <w:rPr>
                <w:rFonts w:ascii="Times New Roman" w:eastAsia="Times New Roman"/>
                <w:b/>
                <w:sz w:val="21"/>
              </w:rPr>
              <w:t>4.  </w:t>
            </w:r>
            <w:r>
              <w:rPr>
                <w:b/>
                <w:sz w:val="21"/>
              </w:rPr>
              <w:t>如何申请豁免保险费</w:t>
            </w:r>
          </w:p>
        </w:tc>
      </w:tr>
      <w:tr>
        <w:trPr>
          <w:trHeight w:val="347" w:hRule="atLeast"/>
        </w:trPr>
        <w:tc>
          <w:tcPr>
            <w:tcW w:w="3930" w:type="dxa"/>
          </w:tcPr>
          <w:p>
            <w:pPr>
              <w:pStyle w:val="TableParagraph"/>
              <w:ind w:left="0"/>
              <w:rPr>
                <w:rFonts w:ascii="Times New Roman"/>
                <w:sz w:val="20"/>
              </w:rPr>
            </w:pPr>
          </w:p>
        </w:tc>
        <w:tc>
          <w:tcPr>
            <w:tcW w:w="4504" w:type="dxa"/>
          </w:tcPr>
          <w:p>
            <w:pPr>
              <w:pStyle w:val="TableParagraph"/>
              <w:spacing w:line="287" w:lineRule="exact"/>
              <w:ind w:left="990"/>
              <w:rPr>
                <w:sz w:val="21"/>
              </w:rPr>
            </w:pPr>
            <w:r>
              <w:rPr>
                <w:rFonts w:ascii="Times New Roman" w:eastAsia="Times New Roman"/>
                <w:sz w:val="21"/>
              </w:rPr>
              <w:t>4.1  </w:t>
            </w:r>
            <w:r>
              <w:rPr>
                <w:sz w:val="21"/>
              </w:rPr>
              <w:t>豁免保险费申请</w:t>
            </w:r>
          </w:p>
        </w:tc>
      </w:tr>
      <w:tr>
        <w:trPr>
          <w:trHeight w:val="355" w:hRule="atLeast"/>
        </w:trPr>
        <w:tc>
          <w:tcPr>
            <w:tcW w:w="3930" w:type="dxa"/>
          </w:tcPr>
          <w:p>
            <w:pPr>
              <w:pStyle w:val="TableParagraph"/>
              <w:spacing w:before="3"/>
              <w:ind w:left="200"/>
              <w:rPr>
                <w:b/>
                <w:sz w:val="21"/>
              </w:rPr>
            </w:pPr>
            <w:r>
              <w:rPr>
                <w:rFonts w:ascii="Times New Roman" w:eastAsia="Times New Roman"/>
                <w:b/>
                <w:sz w:val="21"/>
              </w:rPr>
              <w:t>2.  </w:t>
            </w:r>
            <w:r>
              <w:rPr>
                <w:b/>
                <w:sz w:val="21"/>
              </w:rPr>
              <w:t>您获得的保障</w:t>
            </w:r>
          </w:p>
        </w:tc>
        <w:tc>
          <w:tcPr>
            <w:tcW w:w="4504" w:type="dxa"/>
          </w:tcPr>
          <w:p>
            <w:pPr>
              <w:pStyle w:val="TableParagraph"/>
              <w:spacing w:before="3"/>
              <w:ind w:left="990"/>
              <w:rPr>
                <w:sz w:val="21"/>
              </w:rPr>
            </w:pPr>
            <w:r>
              <w:rPr>
                <w:rFonts w:ascii="Times New Roman" w:eastAsia="Times New Roman"/>
                <w:sz w:val="21"/>
              </w:rPr>
              <w:t>4.2  </w:t>
            </w:r>
            <w:r>
              <w:rPr>
                <w:sz w:val="21"/>
              </w:rPr>
              <w:t>保险费的豁免</w:t>
            </w:r>
          </w:p>
        </w:tc>
      </w:tr>
      <w:tr>
        <w:trPr>
          <w:trHeight w:val="346" w:hRule="atLeast"/>
        </w:trPr>
        <w:tc>
          <w:tcPr>
            <w:tcW w:w="3930" w:type="dxa"/>
          </w:tcPr>
          <w:p>
            <w:pPr>
              <w:pStyle w:val="TableParagraph"/>
              <w:spacing w:before="3"/>
              <w:ind w:left="622"/>
              <w:rPr>
                <w:sz w:val="21"/>
              </w:rPr>
            </w:pPr>
            <w:r>
              <w:rPr>
                <w:rFonts w:ascii="Times New Roman" w:eastAsia="Times New Roman"/>
                <w:sz w:val="21"/>
              </w:rPr>
              <w:t>2.1  </w:t>
            </w:r>
            <w:r>
              <w:rPr>
                <w:sz w:val="21"/>
              </w:rPr>
              <w:t>保险期间</w:t>
            </w:r>
          </w:p>
        </w:tc>
        <w:tc>
          <w:tcPr>
            <w:tcW w:w="4504" w:type="dxa"/>
          </w:tcPr>
          <w:p>
            <w:pPr>
              <w:pStyle w:val="TableParagraph"/>
              <w:spacing w:before="3"/>
              <w:ind w:left="991"/>
              <w:rPr>
                <w:sz w:val="21"/>
              </w:rPr>
            </w:pPr>
            <w:r>
              <w:rPr>
                <w:rFonts w:ascii="Times New Roman" w:eastAsia="Times New Roman"/>
                <w:sz w:val="21"/>
              </w:rPr>
              <w:t>4.3  </w:t>
            </w:r>
            <w:r>
              <w:rPr>
                <w:sz w:val="21"/>
              </w:rPr>
              <w:t>诉讼时效</w:t>
            </w:r>
          </w:p>
        </w:tc>
      </w:tr>
      <w:tr>
        <w:trPr>
          <w:trHeight w:val="339" w:hRule="atLeast"/>
        </w:trPr>
        <w:tc>
          <w:tcPr>
            <w:tcW w:w="3930" w:type="dxa"/>
          </w:tcPr>
          <w:p>
            <w:pPr>
              <w:pStyle w:val="TableParagraph"/>
              <w:spacing w:line="286" w:lineRule="exact"/>
              <w:ind w:left="622"/>
              <w:rPr>
                <w:sz w:val="21"/>
              </w:rPr>
            </w:pPr>
            <w:r>
              <w:rPr>
                <w:rFonts w:ascii="Times New Roman" w:eastAsia="Times New Roman"/>
                <w:sz w:val="21"/>
              </w:rPr>
              <w:t>2.2  </w:t>
            </w:r>
            <w:r>
              <w:rPr>
                <w:sz w:val="21"/>
              </w:rPr>
              <w:t>保险责任</w:t>
            </w:r>
          </w:p>
        </w:tc>
        <w:tc>
          <w:tcPr>
            <w:tcW w:w="4504" w:type="dxa"/>
          </w:tcPr>
          <w:p>
            <w:pPr>
              <w:pStyle w:val="TableParagraph"/>
              <w:ind w:left="0"/>
              <w:rPr>
                <w:rFonts w:ascii="Times New Roman"/>
                <w:sz w:val="20"/>
              </w:rPr>
            </w:pPr>
          </w:p>
        </w:tc>
      </w:tr>
      <w:tr>
        <w:trPr>
          <w:trHeight w:val="340" w:hRule="atLeast"/>
        </w:trPr>
        <w:tc>
          <w:tcPr>
            <w:tcW w:w="3930" w:type="dxa"/>
          </w:tcPr>
          <w:p>
            <w:pPr>
              <w:pStyle w:val="TableParagraph"/>
              <w:spacing w:line="287" w:lineRule="exact"/>
              <w:ind w:left="622"/>
              <w:rPr>
                <w:sz w:val="21"/>
              </w:rPr>
            </w:pPr>
            <w:r>
              <w:rPr>
                <w:rFonts w:ascii="Times New Roman" w:eastAsia="Times New Roman"/>
                <w:sz w:val="21"/>
              </w:rPr>
              <w:t>2.3  </w:t>
            </w:r>
            <w:r>
              <w:rPr>
                <w:sz w:val="21"/>
              </w:rPr>
              <w:t>责任免除</w:t>
            </w:r>
          </w:p>
        </w:tc>
        <w:tc>
          <w:tcPr>
            <w:tcW w:w="4504" w:type="dxa"/>
          </w:tcPr>
          <w:p>
            <w:pPr>
              <w:pStyle w:val="TableParagraph"/>
              <w:spacing w:line="287" w:lineRule="exact"/>
              <w:ind w:left="633"/>
              <w:rPr>
                <w:b/>
                <w:sz w:val="21"/>
              </w:rPr>
            </w:pPr>
            <w:r>
              <w:rPr>
                <w:rFonts w:ascii="Times New Roman" w:eastAsia="Times New Roman"/>
                <w:b/>
                <w:sz w:val="21"/>
              </w:rPr>
              <w:t>5.  </w:t>
            </w:r>
            <w:r>
              <w:rPr>
                <w:b/>
                <w:sz w:val="21"/>
              </w:rPr>
              <w:t>您需要了解的重要术语</w:t>
            </w:r>
          </w:p>
        </w:tc>
      </w:tr>
      <w:tr>
        <w:trPr>
          <w:trHeight w:val="339" w:hRule="atLeast"/>
        </w:trPr>
        <w:tc>
          <w:tcPr>
            <w:tcW w:w="3930" w:type="dxa"/>
          </w:tcPr>
          <w:p>
            <w:pPr>
              <w:pStyle w:val="TableParagraph"/>
              <w:ind w:left="0"/>
              <w:rPr>
                <w:rFonts w:ascii="Times New Roman"/>
                <w:sz w:val="20"/>
              </w:rPr>
            </w:pPr>
          </w:p>
        </w:tc>
        <w:tc>
          <w:tcPr>
            <w:tcW w:w="4504" w:type="dxa"/>
          </w:tcPr>
          <w:p>
            <w:pPr>
              <w:pStyle w:val="TableParagraph"/>
              <w:spacing w:line="287" w:lineRule="exact"/>
              <w:ind w:left="990"/>
              <w:rPr>
                <w:sz w:val="21"/>
              </w:rPr>
            </w:pPr>
            <w:r>
              <w:rPr>
                <w:rFonts w:ascii="Times New Roman" w:eastAsia="Times New Roman"/>
                <w:sz w:val="21"/>
              </w:rPr>
              <w:t>5.1  </w:t>
            </w:r>
            <w:r>
              <w:rPr>
                <w:sz w:val="21"/>
              </w:rPr>
              <w:t>意外伤害</w:t>
            </w:r>
          </w:p>
        </w:tc>
      </w:tr>
      <w:tr>
        <w:trPr>
          <w:trHeight w:val="339" w:hRule="atLeast"/>
        </w:trPr>
        <w:tc>
          <w:tcPr>
            <w:tcW w:w="3930" w:type="dxa"/>
          </w:tcPr>
          <w:p>
            <w:pPr>
              <w:pStyle w:val="TableParagraph"/>
              <w:spacing w:line="286" w:lineRule="exact"/>
              <w:ind w:left="200"/>
              <w:rPr>
                <w:b/>
                <w:sz w:val="21"/>
              </w:rPr>
            </w:pPr>
            <w:r>
              <w:rPr>
                <w:rFonts w:ascii="Times New Roman" w:eastAsia="Times New Roman"/>
                <w:b/>
                <w:sz w:val="21"/>
              </w:rPr>
              <w:t>3.  </w:t>
            </w:r>
            <w:r>
              <w:rPr>
                <w:b/>
                <w:sz w:val="21"/>
              </w:rPr>
              <w:t>您的义务和权利</w:t>
            </w:r>
          </w:p>
        </w:tc>
        <w:tc>
          <w:tcPr>
            <w:tcW w:w="4504" w:type="dxa"/>
          </w:tcPr>
          <w:p>
            <w:pPr>
              <w:pStyle w:val="TableParagraph"/>
              <w:spacing w:line="286" w:lineRule="exact"/>
              <w:ind w:left="990"/>
              <w:rPr>
                <w:sz w:val="21"/>
              </w:rPr>
            </w:pPr>
            <w:r>
              <w:rPr>
                <w:rFonts w:ascii="Times New Roman" w:eastAsia="Times New Roman"/>
                <w:sz w:val="21"/>
              </w:rPr>
              <w:t>5.2  </w:t>
            </w:r>
            <w:r>
              <w:rPr>
                <w:sz w:val="21"/>
              </w:rPr>
              <w:t>感染艾滋病病毒或患艾滋病</w:t>
            </w:r>
          </w:p>
        </w:tc>
      </w:tr>
      <w:tr>
        <w:trPr>
          <w:trHeight w:val="340" w:hRule="atLeast"/>
        </w:trPr>
        <w:tc>
          <w:tcPr>
            <w:tcW w:w="3930" w:type="dxa"/>
          </w:tcPr>
          <w:p>
            <w:pPr>
              <w:pStyle w:val="TableParagraph"/>
              <w:spacing w:line="287" w:lineRule="exact"/>
              <w:ind w:left="622"/>
              <w:rPr>
                <w:sz w:val="21"/>
              </w:rPr>
            </w:pPr>
            <w:r>
              <w:rPr>
                <w:rFonts w:ascii="Times New Roman" w:eastAsia="Times New Roman"/>
                <w:sz w:val="21"/>
              </w:rPr>
              <w:t>3.1  </w:t>
            </w:r>
            <w:r>
              <w:rPr>
                <w:sz w:val="21"/>
              </w:rPr>
              <w:t>保险费的交纳</w:t>
            </w:r>
          </w:p>
        </w:tc>
        <w:tc>
          <w:tcPr>
            <w:tcW w:w="4504" w:type="dxa"/>
          </w:tcPr>
          <w:p>
            <w:pPr>
              <w:pStyle w:val="TableParagraph"/>
              <w:spacing w:line="287" w:lineRule="exact"/>
              <w:ind w:left="991"/>
              <w:rPr>
                <w:sz w:val="21"/>
              </w:rPr>
            </w:pPr>
            <w:r>
              <w:rPr>
                <w:rFonts w:ascii="Times New Roman" w:eastAsia="Times New Roman"/>
                <w:sz w:val="21"/>
              </w:rPr>
              <w:t>5.3  </w:t>
            </w:r>
            <w:r>
              <w:rPr>
                <w:sz w:val="21"/>
              </w:rPr>
              <w:t>遗传性疾病</w:t>
            </w:r>
          </w:p>
        </w:tc>
      </w:tr>
      <w:tr>
        <w:trPr>
          <w:trHeight w:val="339" w:hRule="atLeast"/>
        </w:trPr>
        <w:tc>
          <w:tcPr>
            <w:tcW w:w="3930" w:type="dxa"/>
          </w:tcPr>
          <w:p>
            <w:pPr>
              <w:pStyle w:val="TableParagraph"/>
              <w:spacing w:line="287" w:lineRule="exact"/>
              <w:ind w:left="620"/>
              <w:rPr>
                <w:sz w:val="21"/>
              </w:rPr>
            </w:pPr>
            <w:r>
              <w:rPr>
                <w:rFonts w:ascii="Times New Roman" w:eastAsia="Times New Roman"/>
                <w:sz w:val="21"/>
              </w:rPr>
              <w:t>3.2  </w:t>
            </w:r>
            <w:r>
              <w:rPr>
                <w:sz w:val="21"/>
              </w:rPr>
              <w:t>犹豫期</w:t>
            </w:r>
          </w:p>
        </w:tc>
        <w:tc>
          <w:tcPr>
            <w:tcW w:w="4504" w:type="dxa"/>
          </w:tcPr>
          <w:p>
            <w:pPr>
              <w:pStyle w:val="TableParagraph"/>
              <w:spacing w:line="287" w:lineRule="exact"/>
              <w:ind w:left="990"/>
              <w:rPr>
                <w:sz w:val="21"/>
              </w:rPr>
            </w:pPr>
            <w:r>
              <w:rPr>
                <w:rFonts w:ascii="Times New Roman" w:eastAsia="Times New Roman"/>
                <w:sz w:val="21"/>
              </w:rPr>
              <w:t>5.4  </w:t>
            </w:r>
            <w:r>
              <w:rPr>
                <w:sz w:val="21"/>
              </w:rPr>
              <w:t>先天性畸形、变形或染色体异常</w:t>
            </w:r>
          </w:p>
        </w:tc>
      </w:tr>
      <w:tr>
        <w:trPr>
          <w:trHeight w:val="339" w:hRule="atLeast"/>
        </w:trPr>
        <w:tc>
          <w:tcPr>
            <w:tcW w:w="3930" w:type="dxa"/>
          </w:tcPr>
          <w:p>
            <w:pPr>
              <w:pStyle w:val="TableParagraph"/>
              <w:spacing w:line="286" w:lineRule="exact"/>
              <w:ind w:left="619"/>
              <w:rPr>
                <w:sz w:val="21"/>
              </w:rPr>
            </w:pPr>
            <w:r>
              <w:rPr>
                <w:rFonts w:ascii="Times New Roman" w:eastAsia="Times New Roman"/>
                <w:sz w:val="21"/>
              </w:rPr>
              <w:t>3.3  </w:t>
            </w:r>
            <w:r>
              <w:rPr>
                <w:sz w:val="21"/>
              </w:rPr>
              <w:t>您解除合同的手续及风险</w:t>
            </w:r>
          </w:p>
        </w:tc>
        <w:tc>
          <w:tcPr>
            <w:tcW w:w="4504" w:type="dxa"/>
          </w:tcPr>
          <w:p>
            <w:pPr>
              <w:pStyle w:val="TableParagraph"/>
              <w:spacing w:line="286" w:lineRule="exact"/>
              <w:ind w:left="990"/>
              <w:rPr>
                <w:sz w:val="21"/>
              </w:rPr>
            </w:pPr>
            <w:r>
              <w:rPr>
                <w:rFonts w:ascii="Times New Roman" w:eastAsia="Times New Roman"/>
                <w:sz w:val="21"/>
              </w:rPr>
              <w:t>5.5  </w:t>
            </w:r>
            <w:r>
              <w:rPr>
                <w:sz w:val="21"/>
              </w:rPr>
              <w:t>重大疾病</w:t>
            </w:r>
          </w:p>
        </w:tc>
      </w:tr>
      <w:tr>
        <w:trPr>
          <w:trHeight w:val="287" w:hRule="atLeast"/>
        </w:trPr>
        <w:tc>
          <w:tcPr>
            <w:tcW w:w="3930" w:type="dxa"/>
          </w:tcPr>
          <w:p>
            <w:pPr>
              <w:pStyle w:val="TableParagraph"/>
              <w:spacing w:line="267" w:lineRule="exact"/>
              <w:ind w:left="619"/>
              <w:rPr>
                <w:sz w:val="21"/>
              </w:rPr>
            </w:pPr>
            <w:r>
              <w:rPr>
                <w:rFonts w:ascii="Times New Roman" w:eastAsia="Times New Roman"/>
                <w:sz w:val="21"/>
              </w:rPr>
              <w:t>3.4  </w:t>
            </w:r>
            <w:r>
              <w:rPr>
                <w:sz w:val="21"/>
              </w:rPr>
              <w:t>效力终止</w:t>
            </w:r>
          </w:p>
        </w:tc>
        <w:tc>
          <w:tcPr>
            <w:tcW w:w="4504" w:type="dxa"/>
          </w:tcPr>
          <w:p>
            <w:pPr>
              <w:pStyle w:val="TableParagraph"/>
              <w:ind w:left="0"/>
              <w:rPr>
                <w:rFonts w:ascii="Times New Roman"/>
                <w:sz w:val="20"/>
              </w:rPr>
            </w:pPr>
          </w:p>
        </w:tc>
      </w:tr>
    </w:tbl>
    <w:p>
      <w:pPr>
        <w:pStyle w:val="BodyText"/>
        <w:spacing w:before="2"/>
        <w:rPr>
          <w:sz w:val="26"/>
        </w:rPr>
      </w:pPr>
    </w:p>
    <w:p>
      <w:pPr>
        <w:pStyle w:val="Heading1"/>
        <w:spacing w:line="240" w:lineRule="auto" w:before="8"/>
        <w:ind w:right="2526"/>
      </w:pPr>
      <w:r>
        <w:rPr>
          <w:w w:val="95"/>
        </w:rPr>
        <w:t>条款特别提示</w:t>
      </w:r>
    </w:p>
    <w:p>
      <w:pPr>
        <w:pStyle w:val="BodyText"/>
        <w:spacing w:before="72"/>
        <w:ind w:left="1296" w:right="1734"/>
        <w:jc w:val="center"/>
        <w:rPr>
          <w:sz w:val="20"/>
        </w:rPr>
      </w:pPr>
      <w:r>
        <w:rPr>
          <w:u w:val="single"/>
        </w:rPr>
        <w:t>本条款特别提示有助于您理解条款，对本附加合同内容的解释以条款为准</w:t>
      </w:r>
      <w:r>
        <w:rPr>
          <w:sz w:val="20"/>
          <w:u w:val="single"/>
        </w:rPr>
        <w:t>。</w:t>
      </w:r>
    </w:p>
    <w:p>
      <w:pPr>
        <w:pStyle w:val="BodyText"/>
        <w:spacing w:before="0"/>
        <w:rPr>
          <w:sz w:val="20"/>
        </w:rPr>
      </w:pPr>
    </w:p>
    <w:p>
      <w:pPr>
        <w:pStyle w:val="BodyText"/>
        <w:spacing w:before="4"/>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6"/>
      </w:tblGrid>
      <w:tr>
        <w:trPr>
          <w:trHeight w:val="270" w:hRule="atLeast"/>
        </w:trPr>
        <w:tc>
          <w:tcPr>
            <w:tcW w:w="8876" w:type="dxa"/>
          </w:tcPr>
          <w:p>
            <w:pPr>
              <w:pStyle w:val="TableParagraph"/>
              <w:spacing w:line="211" w:lineRule="exact"/>
              <w:ind w:left="3599" w:right="3133"/>
              <w:jc w:val="center"/>
              <w:rPr>
                <w:sz w:val="21"/>
              </w:rPr>
            </w:pPr>
            <w:r>
              <w:rPr>
                <w:sz w:val="21"/>
              </w:rPr>
              <w:t>您拥有的重要权利</w:t>
            </w:r>
          </w:p>
        </w:tc>
      </w:tr>
      <w:tr>
        <w:trPr>
          <w:trHeight w:val="347" w:hRule="atLeast"/>
        </w:trPr>
        <w:tc>
          <w:tcPr>
            <w:tcW w:w="8876" w:type="dxa"/>
          </w:tcPr>
          <w:p>
            <w:pPr>
              <w:pStyle w:val="TableParagraph"/>
              <w:numPr>
                <w:ilvl w:val="0"/>
                <w:numId w:val="1"/>
              </w:numPr>
              <w:tabs>
                <w:tab w:pos="637" w:val="left" w:leader="none"/>
                <w:tab w:pos="638" w:val="left" w:leader="none"/>
                <w:tab w:pos="8675" w:val="right" w:leader="dot"/>
              </w:tabs>
              <w:spacing w:line="240" w:lineRule="auto" w:before="4" w:after="0"/>
              <w:ind w:left="637" w:right="0" w:hanging="436"/>
              <w:jc w:val="left"/>
              <w:rPr>
                <w:rFonts w:ascii="Times New Roman" w:eastAsia="Times New Roman"/>
                <w:sz w:val="21"/>
              </w:rPr>
            </w:pPr>
            <w:r>
              <w:rPr>
                <w:sz w:val="21"/>
              </w:rPr>
              <w:t>您可</w:t>
            </w:r>
            <w:r>
              <w:rPr>
                <w:spacing w:val="-3"/>
                <w:sz w:val="21"/>
              </w:rPr>
              <w:t>以</w:t>
            </w:r>
            <w:r>
              <w:rPr>
                <w:sz w:val="21"/>
              </w:rPr>
              <w:t>享</w:t>
            </w:r>
            <w:r>
              <w:rPr>
                <w:spacing w:val="-3"/>
                <w:sz w:val="21"/>
              </w:rPr>
              <w:t>受</w:t>
            </w:r>
            <w:r>
              <w:rPr>
                <w:sz w:val="21"/>
              </w:rPr>
              <w:t>本</w:t>
            </w:r>
            <w:r>
              <w:rPr>
                <w:spacing w:val="-3"/>
                <w:sz w:val="21"/>
              </w:rPr>
              <w:t>附</w:t>
            </w:r>
            <w:r>
              <w:rPr>
                <w:sz w:val="21"/>
              </w:rPr>
              <w:t>加</w:t>
            </w:r>
            <w:r>
              <w:rPr>
                <w:spacing w:val="-3"/>
                <w:sz w:val="21"/>
              </w:rPr>
              <w:t>合</w:t>
            </w:r>
            <w:r>
              <w:rPr>
                <w:sz w:val="21"/>
              </w:rPr>
              <w:t>同</w:t>
            </w:r>
            <w:r>
              <w:rPr>
                <w:spacing w:val="-3"/>
                <w:sz w:val="21"/>
              </w:rPr>
              <w:t>提</w:t>
            </w:r>
            <w:r>
              <w:rPr>
                <w:sz w:val="21"/>
              </w:rPr>
              <w:t>供的</w:t>
            </w:r>
            <w:r>
              <w:rPr>
                <w:spacing w:val="-3"/>
                <w:sz w:val="21"/>
              </w:rPr>
              <w:t>保</w:t>
            </w:r>
            <w:r>
              <w:rPr>
                <w:sz w:val="21"/>
              </w:rPr>
              <w:t>障</w:t>
            </w:r>
            <w:r>
              <w:rPr>
                <w:spacing w:val="-3"/>
                <w:sz w:val="21"/>
              </w:rPr>
              <w:t>利</w:t>
            </w:r>
            <w:r>
              <w:rPr>
                <w:sz w:val="21"/>
              </w:rPr>
              <w:t>益</w:t>
              <w:tab/>
            </w:r>
            <w:r>
              <w:rPr>
                <w:rFonts w:ascii="Times New Roman" w:eastAsia="Times New Roman"/>
                <w:sz w:val="21"/>
              </w:rPr>
              <w:t>2.2</w:t>
            </w:r>
          </w:p>
        </w:tc>
      </w:tr>
      <w:tr>
        <w:trPr>
          <w:trHeight w:val="340" w:hRule="atLeast"/>
        </w:trPr>
        <w:tc>
          <w:tcPr>
            <w:tcW w:w="8876" w:type="dxa"/>
          </w:tcPr>
          <w:p>
            <w:pPr>
              <w:pStyle w:val="TableParagraph"/>
              <w:numPr>
                <w:ilvl w:val="0"/>
                <w:numId w:val="2"/>
              </w:numPr>
              <w:tabs>
                <w:tab w:pos="637" w:val="left" w:leader="none"/>
                <w:tab w:pos="638" w:val="left" w:leader="none"/>
                <w:tab w:pos="8670" w:val="right" w:leader="dot"/>
              </w:tabs>
              <w:spacing w:line="288" w:lineRule="exact" w:before="0" w:after="0"/>
              <w:ind w:left="637" w:right="0" w:hanging="437"/>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8876" w:type="dxa"/>
          </w:tcPr>
          <w:p>
            <w:pPr>
              <w:pStyle w:val="TableParagraph"/>
              <w:numPr>
                <w:ilvl w:val="0"/>
                <w:numId w:val="3"/>
              </w:numPr>
              <w:tabs>
                <w:tab w:pos="637" w:val="left" w:leader="none"/>
                <w:tab w:pos="638" w:val="left" w:leader="none"/>
                <w:tab w:pos="8672" w:val="right" w:leader="dot"/>
              </w:tabs>
              <w:spacing w:line="288" w:lineRule="exact" w:before="0" w:after="0"/>
              <w:ind w:left="637" w:right="0" w:hanging="437"/>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8876" w:type="dxa"/>
          </w:tcPr>
          <w:p>
            <w:pPr>
              <w:pStyle w:val="TableParagraph"/>
              <w:spacing w:before="162"/>
              <w:ind w:left="3599" w:right="3136"/>
              <w:jc w:val="center"/>
              <w:rPr>
                <w:sz w:val="21"/>
              </w:rPr>
            </w:pPr>
            <w:r>
              <w:rPr>
                <w:sz w:val="21"/>
              </w:rPr>
              <w:t>您应当特别注意的事项</w:t>
            </w:r>
          </w:p>
        </w:tc>
      </w:tr>
      <w:tr>
        <w:trPr>
          <w:trHeight w:val="347" w:hRule="atLeast"/>
        </w:trPr>
        <w:tc>
          <w:tcPr>
            <w:tcW w:w="8876" w:type="dxa"/>
          </w:tcPr>
          <w:p>
            <w:pPr>
              <w:pStyle w:val="TableParagraph"/>
              <w:numPr>
                <w:ilvl w:val="0"/>
                <w:numId w:val="4"/>
              </w:numPr>
              <w:tabs>
                <w:tab w:pos="637" w:val="left" w:leader="none"/>
                <w:tab w:pos="638" w:val="left" w:leader="none"/>
              </w:tabs>
              <w:spacing w:line="240" w:lineRule="auto" w:before="5" w:after="0"/>
              <w:ind w:left="637" w:right="0" w:hanging="420"/>
              <w:jc w:val="left"/>
              <w:rPr>
                <w:sz w:val="21"/>
              </w:rPr>
            </w:pPr>
            <w:r>
              <w:rPr>
                <w:spacing w:val="-4"/>
                <w:sz w:val="21"/>
              </w:rPr>
              <w:t>主合同条款也适用于本附加合同，若主合同条款与本附加合同条款互有抵触，则以本</w:t>
            </w:r>
          </w:p>
        </w:tc>
      </w:tr>
      <w:tr>
        <w:trPr>
          <w:trHeight w:val="338" w:hRule="atLeast"/>
        </w:trPr>
        <w:tc>
          <w:tcPr>
            <w:tcW w:w="8876" w:type="dxa"/>
          </w:tcPr>
          <w:p>
            <w:pPr>
              <w:pStyle w:val="TableParagraph"/>
              <w:tabs>
                <w:tab w:pos="8676" w:val="right" w:leader="dot"/>
              </w:tabs>
              <w:spacing w:line="286" w:lineRule="exact"/>
              <w:ind w:left="637"/>
              <w:rPr>
                <w:rFonts w:ascii="Times New Roman" w:eastAsia="Times New Roman"/>
                <w:sz w:val="21"/>
              </w:rPr>
            </w:pPr>
            <w:r>
              <w:rPr>
                <w:sz w:val="21"/>
              </w:rPr>
              <w:t>附加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41" w:hRule="atLeast"/>
        </w:trPr>
        <w:tc>
          <w:tcPr>
            <w:tcW w:w="8876" w:type="dxa"/>
          </w:tcPr>
          <w:p>
            <w:pPr>
              <w:pStyle w:val="TableParagraph"/>
              <w:numPr>
                <w:ilvl w:val="0"/>
                <w:numId w:val="5"/>
              </w:numPr>
              <w:tabs>
                <w:tab w:pos="637" w:val="left" w:leader="none"/>
                <w:tab w:pos="638" w:val="left" w:leader="none"/>
                <w:tab w:pos="8675" w:val="right" w:leader="dot"/>
              </w:tabs>
              <w:spacing w:line="289" w:lineRule="exact" w:before="0" w:after="0"/>
              <w:ind w:left="637"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tc>
      </w:tr>
      <w:tr>
        <w:trPr>
          <w:trHeight w:val="339" w:hRule="atLeast"/>
        </w:trPr>
        <w:tc>
          <w:tcPr>
            <w:tcW w:w="8876" w:type="dxa"/>
          </w:tcPr>
          <w:p>
            <w:pPr>
              <w:pStyle w:val="TableParagraph"/>
              <w:numPr>
                <w:ilvl w:val="0"/>
                <w:numId w:val="6"/>
              </w:numPr>
              <w:tabs>
                <w:tab w:pos="636" w:val="left" w:leader="none"/>
                <w:tab w:pos="637" w:val="left" w:leader="none"/>
                <w:tab w:pos="8675" w:val="right" w:leader="dot"/>
              </w:tabs>
              <w:spacing w:line="288" w:lineRule="exact" w:before="0" w:after="0"/>
              <w:ind w:left="636" w:right="0" w:hanging="419"/>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39" w:hRule="atLeast"/>
        </w:trPr>
        <w:tc>
          <w:tcPr>
            <w:tcW w:w="8876" w:type="dxa"/>
          </w:tcPr>
          <w:p>
            <w:pPr>
              <w:pStyle w:val="TableParagraph"/>
              <w:numPr>
                <w:ilvl w:val="0"/>
                <w:numId w:val="7"/>
              </w:numPr>
              <w:tabs>
                <w:tab w:pos="636" w:val="left" w:leader="none"/>
                <w:tab w:pos="637" w:val="left" w:leader="none"/>
                <w:tab w:pos="8675" w:val="right" w:leader="dot"/>
              </w:tabs>
              <w:spacing w:line="287" w:lineRule="exact" w:before="0" w:after="0"/>
              <w:ind w:left="636" w:right="0" w:hanging="436"/>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8" w:hRule="atLeast"/>
        </w:trPr>
        <w:tc>
          <w:tcPr>
            <w:tcW w:w="8876" w:type="dxa"/>
          </w:tcPr>
          <w:p>
            <w:pPr>
              <w:pStyle w:val="TableParagraph"/>
              <w:numPr>
                <w:ilvl w:val="0"/>
                <w:numId w:val="8"/>
              </w:numPr>
              <w:tabs>
                <w:tab w:pos="636" w:val="left" w:leader="none"/>
                <w:tab w:pos="637" w:val="left" w:leader="none"/>
                <w:tab w:pos="8518" w:val="right" w:leader="dot"/>
              </w:tabs>
              <w:spacing w:line="268" w:lineRule="exact" w:before="0" w:after="0"/>
              <w:ind w:left="636" w:right="0" w:hanging="436"/>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580" w:bottom="280" w:left="1180" w:right="740"/>
        </w:sectPr>
      </w:pPr>
    </w:p>
    <w:p>
      <w:pPr>
        <w:pStyle w:val="Heading1"/>
        <w:spacing w:line="381" w:lineRule="exact"/>
        <w:ind w:left="516" w:right="516"/>
      </w:pPr>
      <w:r>
        <w:rPr>
          <w:w w:val="95"/>
        </w:rPr>
        <w:t>人保寿险附加安然豁免保险费重大疾病保险条款</w:t>
      </w:r>
    </w:p>
    <w:p>
      <w:pPr>
        <w:pStyle w:val="BodyText"/>
        <w:rPr>
          <w:b/>
          <w:sz w:val="35"/>
        </w:rPr>
      </w:pPr>
    </w:p>
    <w:p>
      <w:pPr>
        <w:pStyle w:val="BodyText"/>
        <w:spacing w:before="0" w:after="49"/>
        <w:ind w:left="624" w:right="516"/>
        <w:jc w:val="center"/>
      </w:pPr>
      <w:r>
        <w:rPr/>
        <w:t>在本条款中，“您”指投保人，“我们”、“本公司”均指中国人民人寿保险股份有限公司。</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234"/>
        <w:gridCol w:w="7779"/>
      </w:tblGrid>
      <w:tr>
        <w:trPr>
          <w:trHeight w:val="311"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1</w:t>
            </w:r>
          </w:p>
        </w:tc>
        <w:tc>
          <w:tcPr>
            <w:tcW w:w="9013" w:type="dxa"/>
            <w:gridSpan w:val="2"/>
            <w:shd w:val="clear" w:color="auto" w:fill="E1E1E1"/>
          </w:tcPr>
          <w:p>
            <w:pPr>
              <w:pStyle w:val="TableParagraph"/>
              <w:spacing w:line="262" w:lineRule="exact"/>
              <w:ind w:left="182"/>
              <w:rPr>
                <w:b/>
                <w:sz w:val="21"/>
              </w:rPr>
            </w:pPr>
            <w:r>
              <w:rPr>
                <w:b/>
                <w:sz w:val="21"/>
              </w:rPr>
              <w:t>您与我们的合同</w:t>
            </w:r>
          </w:p>
        </w:tc>
      </w:tr>
      <w:tr>
        <w:trPr>
          <w:trHeight w:val="1679" w:hRule="atLeast"/>
        </w:trPr>
        <w:tc>
          <w:tcPr>
            <w:tcW w:w="554" w:type="dxa"/>
          </w:tcPr>
          <w:p>
            <w:pPr>
              <w:pStyle w:val="TableParagraph"/>
              <w:spacing w:before="156"/>
              <w:ind w:left="108"/>
              <w:rPr>
                <w:rFonts w:ascii="Times New Roman"/>
                <w:b/>
                <w:sz w:val="21"/>
              </w:rPr>
            </w:pPr>
            <w:r>
              <w:rPr>
                <w:rFonts w:ascii="Times New Roman"/>
                <w:b/>
                <w:sz w:val="21"/>
              </w:rPr>
              <w:t>1.1</w:t>
            </w:r>
          </w:p>
        </w:tc>
        <w:tc>
          <w:tcPr>
            <w:tcW w:w="1234" w:type="dxa"/>
          </w:tcPr>
          <w:p>
            <w:pPr>
              <w:pStyle w:val="TableParagraph"/>
              <w:spacing w:line="261" w:lineRule="auto" w:before="107"/>
              <w:ind w:left="182" w:right="204"/>
              <w:rPr>
                <w:b/>
                <w:sz w:val="21"/>
              </w:rPr>
            </w:pPr>
            <w:r>
              <w:rPr>
                <w:b/>
                <w:sz w:val="21"/>
              </w:rPr>
              <w:t>附加合同订立</w:t>
            </w:r>
          </w:p>
        </w:tc>
        <w:tc>
          <w:tcPr>
            <w:tcW w:w="7779" w:type="dxa"/>
          </w:tcPr>
          <w:p>
            <w:pPr>
              <w:pStyle w:val="TableParagraph"/>
              <w:spacing w:line="261" w:lineRule="auto" w:before="107"/>
              <w:ind w:left="208" w:right="98"/>
              <w:jc w:val="both"/>
              <w:rPr>
                <w:sz w:val="21"/>
              </w:rPr>
            </w:pPr>
            <w:r>
              <w:rPr>
                <w:spacing w:val="-6"/>
                <w:sz w:val="21"/>
              </w:rPr>
              <w:t>人保寿险附加安然豁免保险费重大疾病保险合同</w:t>
            </w:r>
            <w:r>
              <w:rPr>
                <w:spacing w:val="-3"/>
                <w:sz w:val="21"/>
              </w:rPr>
              <w:t>（</w:t>
            </w:r>
            <w:r>
              <w:rPr>
                <w:spacing w:val="-6"/>
                <w:sz w:val="21"/>
              </w:rPr>
              <w:t>以下简称“本附加合同”</w:t>
            </w:r>
            <w:r>
              <w:rPr>
                <w:spacing w:val="-26"/>
                <w:sz w:val="21"/>
              </w:rPr>
              <w:t>）</w:t>
            </w:r>
            <w:r>
              <w:rPr>
                <w:spacing w:val="-2"/>
                <w:sz w:val="21"/>
              </w:rPr>
              <w:t>由主</w:t>
            </w:r>
            <w:r>
              <w:rPr>
                <w:spacing w:val="-9"/>
                <w:sz w:val="21"/>
              </w:rPr>
              <w:t>保险合同</w:t>
            </w:r>
            <w:r>
              <w:rPr>
                <w:spacing w:val="-3"/>
                <w:sz w:val="21"/>
              </w:rPr>
              <w:t>（</w:t>
            </w:r>
            <w:r>
              <w:rPr>
                <w:spacing w:val="-5"/>
                <w:sz w:val="21"/>
              </w:rPr>
              <w:t>以下简称“主合同”</w:t>
            </w:r>
            <w:r>
              <w:rPr>
                <w:spacing w:val="-14"/>
                <w:sz w:val="21"/>
              </w:rPr>
              <w:t>）</w:t>
            </w:r>
            <w:r>
              <w:rPr>
                <w:spacing w:val="-8"/>
                <w:sz w:val="21"/>
              </w:rPr>
              <w:t>投保人提出申请，经我们同意而订立。主合同条</w:t>
            </w:r>
            <w:r>
              <w:rPr>
                <w:spacing w:val="-12"/>
                <w:sz w:val="21"/>
              </w:rPr>
              <w:t>款适用于本附加合同，若主合同条款与本附加合同条款互有抵触，则以本附加合同</w:t>
            </w:r>
            <w:r>
              <w:rPr>
                <w:spacing w:val="-6"/>
                <w:sz w:val="21"/>
              </w:rPr>
              <w:t>条款为准。</w:t>
            </w:r>
          </w:p>
          <w:p>
            <w:pPr>
              <w:pStyle w:val="TableParagraph"/>
              <w:spacing w:before="5"/>
              <w:ind w:left="208"/>
              <w:jc w:val="both"/>
              <w:rPr>
                <w:sz w:val="21"/>
              </w:rPr>
            </w:pPr>
            <w:r>
              <w:rPr>
                <w:sz w:val="21"/>
              </w:rPr>
              <w:t>若本附加合同未在主合同保险单上或批注单上载明，本附加合同不发生效力。</w:t>
            </w:r>
          </w:p>
        </w:tc>
      </w:tr>
      <w:tr>
        <w:trPr>
          <w:trHeight w:val="1058" w:hRule="atLeast"/>
        </w:trPr>
        <w:tc>
          <w:tcPr>
            <w:tcW w:w="554" w:type="dxa"/>
          </w:tcPr>
          <w:p>
            <w:pPr>
              <w:pStyle w:val="TableParagraph"/>
              <w:spacing w:before="89"/>
              <w:ind w:left="108"/>
              <w:rPr>
                <w:rFonts w:ascii="Times New Roman"/>
                <w:b/>
                <w:sz w:val="21"/>
              </w:rPr>
            </w:pPr>
            <w:r>
              <w:rPr>
                <w:rFonts w:ascii="Times New Roman"/>
                <w:b/>
                <w:sz w:val="21"/>
              </w:rPr>
              <w:t>1.2</w:t>
            </w:r>
          </w:p>
        </w:tc>
        <w:tc>
          <w:tcPr>
            <w:tcW w:w="1234" w:type="dxa"/>
          </w:tcPr>
          <w:p>
            <w:pPr>
              <w:pStyle w:val="TableParagraph"/>
              <w:spacing w:line="261" w:lineRule="auto" w:before="40"/>
              <w:ind w:left="182" w:right="204"/>
              <w:jc w:val="both"/>
              <w:rPr>
                <w:b/>
                <w:sz w:val="21"/>
              </w:rPr>
            </w:pPr>
            <w:r>
              <w:rPr>
                <w:b/>
                <w:sz w:val="21"/>
              </w:rPr>
              <w:t>附加合同成立与生效</w:t>
            </w:r>
          </w:p>
        </w:tc>
        <w:tc>
          <w:tcPr>
            <w:tcW w:w="7779" w:type="dxa"/>
          </w:tcPr>
          <w:p>
            <w:pPr>
              <w:pStyle w:val="TableParagraph"/>
              <w:spacing w:before="40"/>
              <w:ind w:left="208"/>
              <w:rPr>
                <w:sz w:val="21"/>
              </w:rPr>
            </w:pPr>
            <w:r>
              <w:rPr>
                <w:sz w:val="21"/>
              </w:rPr>
              <w:t>本附加合同需与主合同同时投保，本附加合同的生效日期与主合同相同。</w:t>
            </w:r>
          </w:p>
        </w:tc>
      </w:tr>
      <w:tr>
        <w:trPr>
          <w:trHeight w:val="311"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2</w:t>
            </w:r>
          </w:p>
        </w:tc>
        <w:tc>
          <w:tcPr>
            <w:tcW w:w="9013" w:type="dxa"/>
            <w:gridSpan w:val="2"/>
            <w:shd w:val="clear" w:color="auto" w:fill="E1E1E1"/>
          </w:tcPr>
          <w:p>
            <w:pPr>
              <w:pStyle w:val="TableParagraph"/>
              <w:spacing w:line="262" w:lineRule="exact"/>
              <w:ind w:left="182"/>
              <w:rPr>
                <w:b/>
                <w:sz w:val="21"/>
              </w:rPr>
            </w:pPr>
            <w:r>
              <w:rPr>
                <w:b/>
                <w:sz w:val="21"/>
              </w:rPr>
              <w:t>您获得的保障</w:t>
            </w:r>
          </w:p>
        </w:tc>
      </w:tr>
      <w:tr>
        <w:trPr>
          <w:trHeight w:val="779" w:hRule="atLeast"/>
        </w:trPr>
        <w:tc>
          <w:tcPr>
            <w:tcW w:w="554" w:type="dxa"/>
          </w:tcPr>
          <w:p>
            <w:pPr>
              <w:pStyle w:val="TableParagraph"/>
              <w:spacing w:before="156"/>
              <w:ind w:left="108"/>
              <w:rPr>
                <w:rFonts w:ascii="Times New Roman"/>
                <w:b/>
                <w:sz w:val="21"/>
              </w:rPr>
            </w:pPr>
            <w:r>
              <w:rPr>
                <w:rFonts w:ascii="Times New Roman"/>
                <w:b/>
                <w:sz w:val="21"/>
              </w:rPr>
              <w:t>2.1</w:t>
            </w:r>
          </w:p>
        </w:tc>
        <w:tc>
          <w:tcPr>
            <w:tcW w:w="1234" w:type="dxa"/>
          </w:tcPr>
          <w:p>
            <w:pPr>
              <w:pStyle w:val="TableParagraph"/>
              <w:spacing w:before="107"/>
              <w:ind w:left="182"/>
              <w:rPr>
                <w:b/>
                <w:sz w:val="21"/>
              </w:rPr>
            </w:pPr>
            <w:r>
              <w:rPr>
                <w:b/>
                <w:sz w:val="21"/>
              </w:rPr>
              <w:t>保险期间</w:t>
            </w:r>
          </w:p>
        </w:tc>
        <w:tc>
          <w:tcPr>
            <w:tcW w:w="7779" w:type="dxa"/>
          </w:tcPr>
          <w:p>
            <w:pPr>
              <w:pStyle w:val="TableParagraph"/>
              <w:spacing w:line="261" w:lineRule="auto" w:before="107"/>
              <w:ind w:left="208" w:right="101"/>
              <w:rPr>
                <w:sz w:val="21"/>
              </w:rPr>
            </w:pPr>
            <w:r>
              <w:rPr>
                <w:spacing w:val="-8"/>
                <w:sz w:val="21"/>
              </w:rPr>
              <w:t>本附加合同的保险期间与主合同的交费期间一致。除本附加合同另有约定外，自本</w:t>
            </w:r>
            <w:r>
              <w:rPr>
                <w:spacing w:val="-3"/>
                <w:sz w:val="21"/>
              </w:rPr>
              <w:t>附加合同生效日起，我们开始承担保险责任。</w:t>
            </w:r>
          </w:p>
        </w:tc>
      </w:tr>
      <w:tr>
        <w:trPr>
          <w:trHeight w:val="398" w:hRule="atLeast"/>
        </w:trPr>
        <w:tc>
          <w:tcPr>
            <w:tcW w:w="554" w:type="dxa"/>
          </w:tcPr>
          <w:p>
            <w:pPr>
              <w:pStyle w:val="TableParagraph"/>
              <w:spacing w:before="89"/>
              <w:ind w:left="108"/>
              <w:rPr>
                <w:rFonts w:ascii="Times New Roman"/>
                <w:b/>
                <w:sz w:val="21"/>
              </w:rPr>
            </w:pPr>
            <w:r>
              <w:rPr>
                <w:rFonts w:ascii="Times New Roman"/>
                <w:b/>
                <w:sz w:val="21"/>
              </w:rPr>
              <w:t>2.2</w:t>
            </w:r>
          </w:p>
        </w:tc>
        <w:tc>
          <w:tcPr>
            <w:tcW w:w="1234" w:type="dxa"/>
          </w:tcPr>
          <w:p>
            <w:pPr>
              <w:pStyle w:val="TableParagraph"/>
              <w:spacing w:before="40"/>
              <w:ind w:left="182"/>
              <w:rPr>
                <w:b/>
                <w:sz w:val="21"/>
              </w:rPr>
            </w:pPr>
            <w:r>
              <w:rPr>
                <w:b/>
                <w:sz w:val="21"/>
              </w:rPr>
              <w:t>保险责任</w:t>
            </w:r>
          </w:p>
        </w:tc>
        <w:tc>
          <w:tcPr>
            <w:tcW w:w="7779" w:type="dxa"/>
          </w:tcPr>
          <w:p>
            <w:pPr>
              <w:pStyle w:val="TableParagraph"/>
              <w:spacing w:before="40"/>
              <w:ind w:left="208"/>
              <w:rPr>
                <w:sz w:val="21"/>
              </w:rPr>
            </w:pPr>
            <w:r>
              <w:rPr>
                <w:sz w:val="21"/>
              </w:rPr>
              <w:t>在本附加合同有效期内，我们承担如下保险责任：</w:t>
            </w:r>
          </w:p>
        </w:tc>
      </w:tr>
      <w:tr>
        <w:trPr>
          <w:trHeight w:val="2266" w:hRule="atLeast"/>
        </w:trPr>
        <w:tc>
          <w:tcPr>
            <w:tcW w:w="554" w:type="dxa"/>
          </w:tcPr>
          <w:p>
            <w:pPr>
              <w:pStyle w:val="TableParagraph"/>
              <w:ind w:left="0"/>
              <w:rPr>
                <w:rFonts w:ascii="Times New Roman"/>
                <w:sz w:val="20"/>
              </w:rPr>
            </w:pPr>
          </w:p>
        </w:tc>
        <w:tc>
          <w:tcPr>
            <w:tcW w:w="1234" w:type="dxa"/>
          </w:tcPr>
          <w:p>
            <w:pPr>
              <w:pStyle w:val="TableParagraph"/>
              <w:spacing w:line="184" w:lineRule="auto" w:before="64"/>
              <w:ind w:left="182" w:right="206"/>
              <w:rPr>
                <w:rFonts w:ascii="等线" w:eastAsia="等线" w:hint="eastAsia"/>
                <w:b/>
                <w:sz w:val="21"/>
              </w:rPr>
            </w:pPr>
            <w:r>
              <w:rPr>
                <w:rFonts w:ascii="等线" w:eastAsia="等线" w:hint="eastAsia"/>
                <w:b/>
                <w:sz w:val="21"/>
              </w:rPr>
              <w:t>豁免保险费</w:t>
            </w:r>
          </w:p>
        </w:tc>
        <w:tc>
          <w:tcPr>
            <w:tcW w:w="7779" w:type="dxa"/>
          </w:tcPr>
          <w:p>
            <w:pPr>
              <w:pStyle w:val="TableParagraph"/>
              <w:spacing w:line="247" w:lineRule="auto" w:before="55"/>
              <w:ind w:left="208" w:right="113" w:hanging="1"/>
              <w:jc w:val="both"/>
              <w:rPr>
                <w:sz w:val="21"/>
              </w:rPr>
            </w:pPr>
            <w:r>
              <w:rPr>
                <w:spacing w:val="-3"/>
                <w:sz w:val="21"/>
              </w:rPr>
              <w:t>被保险人自本附加合同生效</w:t>
            </w:r>
            <w:r>
              <w:rPr>
                <w:sz w:val="21"/>
              </w:rPr>
              <w:t>（</w:t>
            </w:r>
            <w:r>
              <w:rPr>
                <w:spacing w:val="-3"/>
                <w:sz w:val="21"/>
              </w:rPr>
              <w:t>或最后复效</w:t>
            </w:r>
            <w:r>
              <w:rPr>
                <w:sz w:val="21"/>
              </w:rPr>
              <w:t>）</w:t>
            </w:r>
            <w:r>
              <w:rPr>
                <w:spacing w:val="-12"/>
                <w:sz w:val="21"/>
              </w:rPr>
              <w:t>之日起 </w:t>
            </w:r>
            <w:r>
              <w:rPr>
                <w:rFonts w:ascii="Times New Roman" w:eastAsia="Times New Roman"/>
                <w:sz w:val="21"/>
              </w:rPr>
              <w:t>90 </w:t>
            </w:r>
            <w:r>
              <w:rPr>
                <w:spacing w:val="-3"/>
                <w:sz w:val="21"/>
              </w:rPr>
              <w:t>日内因疾病，初次被确诊患</w:t>
            </w:r>
            <w:r>
              <w:rPr>
                <w:spacing w:val="-3"/>
                <w:w w:val="100"/>
                <w:sz w:val="21"/>
              </w:rPr>
              <w:t>有本附加合同约定的</w:t>
            </w:r>
            <w:r>
              <w:rPr>
                <w:b/>
                <w:spacing w:val="-2"/>
                <w:w w:val="100"/>
                <w:sz w:val="21"/>
              </w:rPr>
              <w:t>重大疾病</w:t>
            </w:r>
            <w:r>
              <w:rPr>
                <w:w w:val="100"/>
                <w:sz w:val="21"/>
              </w:rPr>
              <w:t>（见</w:t>
            </w:r>
            <w:r>
              <w:rPr>
                <w:spacing w:val="-55"/>
                <w:sz w:val="21"/>
              </w:rPr>
              <w:t> </w:t>
            </w:r>
            <w:r>
              <w:rPr>
                <w:rFonts w:ascii="Times New Roman" w:eastAsia="Times New Roman"/>
                <w:w w:val="100"/>
                <w:sz w:val="21"/>
              </w:rPr>
              <w:t>5.5</w:t>
            </w:r>
            <w:r>
              <w:rPr>
                <w:spacing w:val="-108"/>
                <w:w w:val="100"/>
                <w:sz w:val="21"/>
              </w:rPr>
              <w:t>）</w:t>
            </w:r>
            <w:r>
              <w:rPr>
                <w:spacing w:val="-3"/>
                <w:w w:val="100"/>
                <w:sz w:val="21"/>
              </w:rPr>
              <w:t>（一种或多种</w:t>
            </w:r>
            <w:r>
              <w:rPr>
                <w:spacing w:val="-104"/>
                <w:w w:val="100"/>
                <w:sz w:val="21"/>
              </w:rPr>
              <w:t>）</w:t>
            </w:r>
            <w:r>
              <w:rPr>
                <w:spacing w:val="-3"/>
                <w:w w:val="100"/>
                <w:sz w:val="21"/>
              </w:rPr>
              <w:t>，我们按所交保险费（不计</w:t>
            </w:r>
            <w:r>
              <w:rPr>
                <w:sz w:val="21"/>
              </w:rPr>
              <w:t>利息</w:t>
            </w:r>
            <w:r>
              <w:rPr>
                <w:spacing w:val="-3"/>
                <w:sz w:val="21"/>
              </w:rPr>
              <w:t>）进行给付，本附加合同终止。</w:t>
            </w:r>
          </w:p>
          <w:p>
            <w:pPr>
              <w:pStyle w:val="TableParagraph"/>
              <w:spacing w:line="266" w:lineRule="auto" w:before="11"/>
              <w:ind w:left="208" w:right="99"/>
              <w:jc w:val="both"/>
              <w:rPr>
                <w:sz w:val="21"/>
              </w:rPr>
            </w:pPr>
            <w:r>
              <w:rPr>
                <w:spacing w:val="-3"/>
                <w:sz w:val="21"/>
              </w:rPr>
              <w:t>被保险人因遭受</w:t>
            </w:r>
            <w:r>
              <w:rPr>
                <w:b/>
                <w:spacing w:val="-4"/>
                <w:sz w:val="21"/>
              </w:rPr>
              <w:t>意外伤害</w:t>
            </w:r>
            <w:r>
              <w:rPr>
                <w:sz w:val="21"/>
              </w:rPr>
              <w:t>（</w:t>
            </w:r>
            <w:r>
              <w:rPr>
                <w:spacing w:val="-19"/>
                <w:sz w:val="21"/>
              </w:rPr>
              <w:t>见 </w:t>
            </w:r>
            <w:r>
              <w:rPr>
                <w:rFonts w:ascii="Times New Roman" w:eastAsia="Times New Roman"/>
                <w:spacing w:val="-4"/>
                <w:sz w:val="21"/>
              </w:rPr>
              <w:t>5.1</w:t>
            </w:r>
            <w:r>
              <w:rPr>
                <w:spacing w:val="-4"/>
                <w:sz w:val="21"/>
              </w:rPr>
              <w:t>）或自本附加合同生效</w:t>
            </w:r>
            <w:r>
              <w:rPr>
                <w:spacing w:val="-3"/>
                <w:sz w:val="21"/>
              </w:rPr>
              <w:t>（或最后复效</w:t>
            </w:r>
            <w:r>
              <w:rPr>
                <w:spacing w:val="-13"/>
                <w:sz w:val="21"/>
              </w:rPr>
              <w:t>）</w:t>
            </w:r>
            <w:r>
              <w:rPr>
                <w:spacing w:val="-11"/>
                <w:sz w:val="21"/>
              </w:rPr>
              <w:t>之日起 </w:t>
            </w:r>
            <w:r>
              <w:rPr>
                <w:rFonts w:ascii="Times New Roman" w:eastAsia="Times New Roman"/>
                <w:sz w:val="21"/>
              </w:rPr>
              <w:t>90 </w:t>
            </w:r>
            <w:r>
              <w:rPr>
                <w:spacing w:val="-2"/>
                <w:w w:val="100"/>
                <w:sz w:val="21"/>
              </w:rPr>
              <w:t>日后因</w:t>
            </w:r>
            <w:r>
              <w:rPr>
                <w:spacing w:val="-55"/>
                <w:sz w:val="21"/>
              </w:rPr>
              <w:t> </w:t>
            </w:r>
            <w:r>
              <w:rPr>
                <w:spacing w:val="-6"/>
                <w:w w:val="100"/>
                <w:sz w:val="21"/>
              </w:rPr>
              <w:t>疾病，初次被确诊患有本附加合同约定的重大疾病</w:t>
            </w:r>
            <w:r>
              <w:rPr>
                <w:spacing w:val="-3"/>
                <w:w w:val="100"/>
                <w:sz w:val="21"/>
              </w:rPr>
              <w:t>（</w:t>
            </w:r>
            <w:r>
              <w:rPr>
                <w:spacing w:val="-2"/>
                <w:w w:val="100"/>
                <w:sz w:val="21"/>
              </w:rPr>
              <w:t>一种或多种</w:t>
            </w:r>
            <w:r>
              <w:rPr>
                <w:spacing w:val="-106"/>
                <w:w w:val="100"/>
                <w:sz w:val="21"/>
              </w:rPr>
              <w:t>）</w:t>
            </w:r>
            <w:r>
              <w:rPr>
                <w:spacing w:val="-8"/>
                <w:w w:val="100"/>
                <w:sz w:val="21"/>
              </w:rPr>
              <w:t>，我们豁</w:t>
            </w:r>
            <w:r>
              <w:rPr>
                <w:spacing w:val="-8"/>
                <w:sz w:val="21"/>
              </w:rPr>
              <w:t>免被保险人重大疾病初次确诊之日以后主合同、本附加合同以及保险单或批注单上</w:t>
            </w:r>
            <w:r>
              <w:rPr>
                <w:spacing w:val="-3"/>
                <w:sz w:val="21"/>
              </w:rPr>
              <w:t>列明豁免的附加合同的各期保险费。</w:t>
            </w:r>
          </w:p>
        </w:tc>
      </w:tr>
      <w:tr>
        <w:trPr>
          <w:trHeight w:val="4513" w:hRule="atLeast"/>
        </w:trPr>
        <w:tc>
          <w:tcPr>
            <w:tcW w:w="554" w:type="dxa"/>
          </w:tcPr>
          <w:p>
            <w:pPr>
              <w:pStyle w:val="TableParagraph"/>
              <w:spacing w:before="100"/>
              <w:ind w:left="108"/>
              <w:rPr>
                <w:rFonts w:ascii="Times New Roman"/>
                <w:b/>
                <w:sz w:val="21"/>
              </w:rPr>
            </w:pPr>
            <w:r>
              <w:rPr>
                <w:rFonts w:ascii="Times New Roman"/>
                <w:b/>
                <w:sz w:val="21"/>
              </w:rPr>
              <w:t>2.3</w:t>
            </w:r>
          </w:p>
        </w:tc>
        <w:tc>
          <w:tcPr>
            <w:tcW w:w="1234" w:type="dxa"/>
          </w:tcPr>
          <w:p>
            <w:pPr>
              <w:pStyle w:val="TableParagraph"/>
              <w:spacing w:before="51"/>
              <w:ind w:left="182"/>
              <w:rPr>
                <w:b/>
                <w:sz w:val="21"/>
              </w:rPr>
            </w:pPr>
            <w:r>
              <w:rPr>
                <w:b/>
                <w:sz w:val="21"/>
              </w:rPr>
              <w:t>责任免除</w:t>
            </w:r>
          </w:p>
        </w:tc>
        <w:tc>
          <w:tcPr>
            <w:tcW w:w="7779" w:type="dxa"/>
          </w:tcPr>
          <w:p>
            <w:pPr>
              <w:pStyle w:val="TableParagraph"/>
              <w:spacing w:line="273" w:lineRule="auto" w:before="44"/>
              <w:ind w:left="208" w:right="101"/>
              <w:rPr>
                <w:rFonts w:ascii="黑体" w:eastAsia="黑体" w:hint="eastAsia"/>
                <w:sz w:val="21"/>
              </w:rPr>
            </w:pP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9"/>
                <w:sz w:val="21"/>
              </w:rPr>
              <w:t>重大疾病、达到重大疾病状态或进行手术，我</w:t>
            </w:r>
            <w:r>
              <w:rPr>
                <w:rFonts w:ascii="黑体" w:eastAsia="黑体" w:hint="eastAsia"/>
                <w:spacing w:val="-6"/>
                <w:sz w:val="21"/>
              </w:rPr>
              <w:t>们不承担豁免保险费的责任：</w:t>
            </w:r>
          </w:p>
          <w:p>
            <w:pPr>
              <w:pStyle w:val="TableParagraph"/>
              <w:spacing w:before="7"/>
              <w:ind w:left="208"/>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20"/>
              <w:ind w:left="209"/>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20"/>
              <w:ind w:left="209"/>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20"/>
              <w:ind w:left="209" w:right="-15"/>
              <w:rPr>
                <w:rFonts w:ascii="黑体" w:eastAsia="黑体" w:hint="eastAsia"/>
                <w:sz w:val="21"/>
              </w:rPr>
            </w:pPr>
            <w:r>
              <w:rPr>
                <w:rFonts w:ascii="黑体" w:eastAsia="黑体" w:hint="eastAsia"/>
                <w:spacing w:val="-12"/>
                <w:sz w:val="21"/>
              </w:rPr>
              <w:t>（</w:t>
            </w:r>
            <w:r>
              <w:rPr>
                <w:rFonts w:ascii="Times New Roman" w:eastAsia="Times New Roman"/>
                <w:spacing w:val="-12"/>
                <w:sz w:val="21"/>
              </w:rPr>
              <w:t>4</w:t>
            </w:r>
            <w:r>
              <w:rPr>
                <w:rFonts w:ascii="黑体" w:eastAsia="黑体" w:hint="eastAsia"/>
                <w:spacing w:val="-12"/>
                <w:sz w:val="21"/>
              </w:rPr>
              <w:t>）</w:t>
            </w:r>
            <w:r>
              <w:rPr>
                <w:rFonts w:ascii="黑体" w:eastAsia="黑体" w:hint="eastAsia"/>
                <w:spacing w:val="-9"/>
                <w:sz w:val="21"/>
              </w:rPr>
              <w:t>被保险人酒后驾驶、无合法有效驾驶证驾驶，或驾驶无有效行驶证的机动车；</w:t>
            </w:r>
          </w:p>
          <w:p>
            <w:pPr>
              <w:pStyle w:val="TableParagraph"/>
              <w:spacing w:line="256" w:lineRule="auto" w:before="20"/>
              <w:ind w:left="734" w:right="37" w:hanging="526"/>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5.2</w:t>
            </w:r>
            <w:r>
              <w:rPr>
                <w:rFonts w:ascii="黑体" w:hAnsi="黑体" w:eastAsia="黑体" w:hint="eastAsia"/>
                <w:sz w:val="21"/>
              </w:rPr>
              <w:t>）（被保险人感染艾滋病病毒但符合本附加合同</w:t>
            </w:r>
            <w:r>
              <w:rPr>
                <w:rFonts w:ascii="Times New Roman" w:hAnsi="Times New Roman" w:eastAsia="Times New Roman"/>
                <w:sz w:val="21"/>
              </w:rPr>
              <w:t>“</w:t>
            </w:r>
            <w:r>
              <w:rPr>
                <w:rFonts w:ascii="黑体" w:hAnsi="黑体" w:eastAsia="黑体" w:hint="eastAsia"/>
                <w:sz w:val="21"/>
              </w:rPr>
              <w:t>经输血导致的人类免疫缺陷病毒感染</w:t>
            </w:r>
            <w:r>
              <w:rPr>
                <w:rFonts w:ascii="Times New Roman" w:hAnsi="Times New Roman" w:eastAsia="Times New Roman"/>
                <w:sz w:val="21"/>
              </w:rPr>
              <w:t>”</w:t>
            </w:r>
            <w:r>
              <w:rPr>
                <w:rFonts w:ascii="黑体" w:hAnsi="黑体" w:eastAsia="黑体" w:hint="eastAsia"/>
                <w:sz w:val="21"/>
              </w:rPr>
              <w:t>定义的不在此限）；</w:t>
            </w:r>
          </w:p>
          <w:p>
            <w:pPr>
              <w:pStyle w:val="TableParagraph"/>
              <w:spacing w:before="4"/>
              <w:ind w:left="20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21"/>
              <w:ind w:left="209"/>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21"/>
              <w:ind w:left="209"/>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w:t>
            </w:r>
            <w:r>
              <w:rPr>
                <w:rFonts w:ascii="Times New Roman" w:eastAsia="Times New Roman"/>
                <w:sz w:val="21"/>
              </w:rPr>
              <w:t>5.3</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w:t>
            </w:r>
            <w:r>
              <w:rPr>
                <w:rFonts w:ascii="Times New Roman" w:eastAsia="Times New Roman"/>
                <w:sz w:val="21"/>
              </w:rPr>
              <w:t>5.4</w:t>
            </w:r>
            <w:r>
              <w:rPr>
                <w:rFonts w:ascii="黑体" w:eastAsia="黑体" w:hint="eastAsia"/>
                <w:sz w:val="21"/>
              </w:rPr>
              <w:t>）。</w:t>
            </w:r>
          </w:p>
          <w:p>
            <w:pPr>
              <w:pStyle w:val="TableParagraph"/>
              <w:spacing w:line="261" w:lineRule="auto" w:before="28"/>
              <w:ind w:left="208" w:right="105"/>
              <w:rPr>
                <w:rFonts w:ascii="黑体" w:eastAsia="黑体" w:hint="eastAsia"/>
                <w:sz w:val="21"/>
              </w:rPr>
            </w:pPr>
            <w:r>
              <w:rPr>
                <w:rFonts w:ascii="黑体" w:eastAsia="黑体" w:hint="eastAsia"/>
                <w:sz w:val="21"/>
              </w:rPr>
              <w:t>发Th上述第（1）项情形，本附加合同终止，我们向重大疾病保险金受益人退还本附加合同的现金价值。</w:t>
            </w:r>
          </w:p>
          <w:p>
            <w:pPr>
              <w:pStyle w:val="TableParagraph"/>
              <w:spacing w:line="274" w:lineRule="exact"/>
              <w:ind w:left="208"/>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12" w:hRule="atLeast"/>
        </w:trPr>
        <w:tc>
          <w:tcPr>
            <w:tcW w:w="554" w:type="dxa"/>
            <w:shd w:val="clear" w:color="auto" w:fill="E1E1E1"/>
          </w:tcPr>
          <w:p>
            <w:pPr>
              <w:pStyle w:val="TableParagraph"/>
              <w:spacing w:before="36"/>
              <w:ind w:left="108"/>
              <w:rPr>
                <w:rFonts w:ascii="Times New Roman"/>
                <w:b/>
                <w:sz w:val="21"/>
              </w:rPr>
            </w:pPr>
            <w:r>
              <w:rPr>
                <w:rFonts w:ascii="Times New Roman"/>
                <w:b/>
                <w:w w:val="100"/>
                <w:sz w:val="21"/>
              </w:rPr>
              <w:t>3</w:t>
            </w:r>
          </w:p>
        </w:tc>
        <w:tc>
          <w:tcPr>
            <w:tcW w:w="9013" w:type="dxa"/>
            <w:gridSpan w:val="2"/>
            <w:shd w:val="clear" w:color="auto" w:fill="E1E1E1"/>
          </w:tcPr>
          <w:p>
            <w:pPr>
              <w:pStyle w:val="TableParagraph"/>
              <w:spacing w:line="262" w:lineRule="exact"/>
              <w:ind w:left="182"/>
              <w:rPr>
                <w:b/>
                <w:sz w:val="21"/>
              </w:rPr>
            </w:pPr>
            <w:r>
              <w:rPr>
                <w:b/>
                <w:sz w:val="21"/>
              </w:rPr>
              <w:t>您的义务和权利</w:t>
            </w:r>
          </w:p>
        </w:tc>
      </w:tr>
      <w:tr>
        <w:trPr>
          <w:trHeight w:val="682" w:hRule="atLeast"/>
        </w:trPr>
        <w:tc>
          <w:tcPr>
            <w:tcW w:w="554" w:type="dxa"/>
          </w:tcPr>
          <w:p>
            <w:pPr>
              <w:pStyle w:val="TableParagraph"/>
              <w:spacing w:before="156"/>
              <w:ind w:left="108"/>
              <w:rPr>
                <w:rFonts w:ascii="Times New Roman"/>
                <w:b/>
                <w:sz w:val="21"/>
              </w:rPr>
            </w:pPr>
            <w:r>
              <w:rPr>
                <w:rFonts w:ascii="Times New Roman"/>
                <w:b/>
                <w:sz w:val="21"/>
              </w:rPr>
              <w:t>3.1</w:t>
            </w:r>
          </w:p>
        </w:tc>
        <w:tc>
          <w:tcPr>
            <w:tcW w:w="1234" w:type="dxa"/>
          </w:tcPr>
          <w:p>
            <w:pPr>
              <w:pStyle w:val="TableParagraph"/>
              <w:spacing w:line="300" w:lineRule="atLeast" w:before="82"/>
              <w:ind w:left="182" w:right="204"/>
              <w:rPr>
                <w:b/>
                <w:sz w:val="21"/>
              </w:rPr>
            </w:pPr>
            <w:r>
              <w:rPr>
                <w:b/>
                <w:sz w:val="21"/>
              </w:rPr>
              <w:t>保险费的交纳</w:t>
            </w:r>
          </w:p>
        </w:tc>
        <w:tc>
          <w:tcPr>
            <w:tcW w:w="7779" w:type="dxa"/>
          </w:tcPr>
          <w:p>
            <w:pPr>
              <w:pStyle w:val="TableParagraph"/>
              <w:spacing w:line="300" w:lineRule="atLeast" w:before="82"/>
              <w:ind w:left="208" w:right="3367"/>
              <w:rPr>
                <w:sz w:val="21"/>
              </w:rPr>
            </w:pPr>
            <w:r>
              <w:rPr>
                <w:sz w:val="21"/>
              </w:rPr>
              <w:t>本附加合同保险费的交费方式与主合同相同。本附加合同的交费期间与保险期间一致。</w:t>
            </w:r>
          </w:p>
        </w:tc>
      </w:tr>
    </w:tbl>
    <w:p>
      <w:pPr>
        <w:spacing w:after="0" w:line="300" w:lineRule="atLeast"/>
        <w:rPr>
          <w:sz w:val="21"/>
        </w:rPr>
        <w:sectPr>
          <w:pgSz w:w="11910" w:h="16840"/>
          <w:pgMar w:top="150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234"/>
        <w:gridCol w:w="7779"/>
      </w:tblGrid>
      <w:tr>
        <w:trPr>
          <w:trHeight w:val="1223" w:hRule="atLeast"/>
        </w:trPr>
        <w:tc>
          <w:tcPr>
            <w:tcW w:w="554" w:type="dxa"/>
          </w:tcPr>
          <w:p>
            <w:pPr>
              <w:pStyle w:val="TableParagraph"/>
              <w:spacing w:line="227" w:lineRule="exact"/>
              <w:ind w:left="108"/>
              <w:rPr>
                <w:rFonts w:ascii="Times New Roman"/>
                <w:b/>
                <w:sz w:val="21"/>
              </w:rPr>
            </w:pPr>
            <w:r>
              <w:rPr>
                <w:rFonts w:ascii="Times New Roman"/>
                <w:b/>
                <w:sz w:val="21"/>
              </w:rPr>
              <w:t>3.2</w:t>
            </w:r>
          </w:p>
        </w:tc>
        <w:tc>
          <w:tcPr>
            <w:tcW w:w="1234" w:type="dxa"/>
          </w:tcPr>
          <w:p>
            <w:pPr>
              <w:pStyle w:val="TableParagraph"/>
              <w:spacing w:line="211" w:lineRule="exact"/>
              <w:ind w:left="182"/>
              <w:rPr>
                <w:b/>
                <w:sz w:val="21"/>
              </w:rPr>
            </w:pPr>
            <w:r>
              <w:rPr>
                <w:b/>
                <w:sz w:val="21"/>
              </w:rPr>
              <w:t>犹豫期</w:t>
            </w:r>
          </w:p>
        </w:tc>
        <w:tc>
          <w:tcPr>
            <w:tcW w:w="7779" w:type="dxa"/>
          </w:tcPr>
          <w:p>
            <w:pPr>
              <w:pStyle w:val="TableParagraph"/>
              <w:spacing w:line="227" w:lineRule="exact"/>
              <w:ind w:left="208"/>
              <w:rPr>
                <w:sz w:val="21"/>
              </w:rPr>
            </w:pPr>
            <w:r>
              <w:rPr>
                <w:sz w:val="21"/>
              </w:rPr>
              <w:t>您于签收本附加合同后 </w:t>
            </w:r>
            <w:r>
              <w:rPr>
                <w:rFonts w:ascii="Times New Roman" w:eastAsia="Times New Roman"/>
                <w:sz w:val="21"/>
              </w:rPr>
              <w:t>15 </w:t>
            </w:r>
            <w:r>
              <w:rPr>
                <w:sz w:val="21"/>
              </w:rPr>
              <w:t>日内，可要求撤销本附加合同。若您在此期间提出撤销</w:t>
            </w:r>
          </w:p>
          <w:p>
            <w:pPr>
              <w:pStyle w:val="TableParagraph"/>
              <w:spacing w:line="261" w:lineRule="auto" w:before="9"/>
              <w:ind w:left="209" w:right="98"/>
              <w:jc w:val="both"/>
              <w:rPr>
                <w:sz w:val="21"/>
              </w:rPr>
            </w:pPr>
            <w:r>
              <w:rPr>
                <w:spacing w:val="-11"/>
                <w:sz w:val="21"/>
              </w:rPr>
              <w:t>本附加合同，需要填写书面申请书，并提供您的保险合同及有效身份证件。自您书</w:t>
            </w:r>
            <w:r>
              <w:rPr>
                <w:spacing w:val="-12"/>
                <w:sz w:val="21"/>
              </w:rPr>
              <w:t>面申请撤销本附加合同之日起，本附加合同即被撤销，我们自本附加合同生效日起</w:t>
            </w:r>
            <w:r>
              <w:rPr>
                <w:spacing w:val="-8"/>
                <w:sz w:val="21"/>
              </w:rPr>
              <w:t>即不承担保险责任。本附加合同撤销后 </w:t>
            </w:r>
            <w:r>
              <w:rPr>
                <w:rFonts w:ascii="Times New Roman" w:eastAsia="Times New Roman"/>
                <w:sz w:val="21"/>
              </w:rPr>
              <w:t>30 </w:t>
            </w:r>
            <w:r>
              <w:rPr>
                <w:spacing w:val="-3"/>
                <w:sz w:val="21"/>
              </w:rPr>
              <w:t>日内，我们无息退还您已交保险费。</w:t>
            </w:r>
          </w:p>
        </w:tc>
      </w:tr>
      <w:tr>
        <w:trPr>
          <w:trHeight w:val="2204" w:hRule="atLeast"/>
        </w:trPr>
        <w:tc>
          <w:tcPr>
            <w:tcW w:w="554" w:type="dxa"/>
          </w:tcPr>
          <w:p>
            <w:pPr>
              <w:pStyle w:val="TableParagraph"/>
              <w:spacing w:before="75"/>
              <w:ind w:left="108"/>
              <w:rPr>
                <w:rFonts w:ascii="Times New Roman"/>
                <w:b/>
                <w:sz w:val="21"/>
              </w:rPr>
            </w:pPr>
            <w:r>
              <w:rPr>
                <w:rFonts w:ascii="Times New Roman"/>
                <w:b/>
                <w:sz w:val="21"/>
              </w:rPr>
              <w:t>3.3</w:t>
            </w:r>
          </w:p>
        </w:tc>
        <w:tc>
          <w:tcPr>
            <w:tcW w:w="1234" w:type="dxa"/>
          </w:tcPr>
          <w:p>
            <w:pPr>
              <w:pStyle w:val="TableParagraph"/>
              <w:spacing w:line="261" w:lineRule="auto" w:before="26"/>
              <w:ind w:left="182" w:right="204"/>
              <w:jc w:val="both"/>
              <w:rPr>
                <w:b/>
                <w:sz w:val="21"/>
              </w:rPr>
            </w:pPr>
            <w:r>
              <w:rPr>
                <w:b/>
                <w:sz w:val="21"/>
              </w:rPr>
              <w:t>您解除合同的手续及风险</w:t>
            </w:r>
          </w:p>
        </w:tc>
        <w:tc>
          <w:tcPr>
            <w:tcW w:w="7779" w:type="dxa"/>
          </w:tcPr>
          <w:p>
            <w:pPr>
              <w:pStyle w:val="TableParagraph"/>
              <w:spacing w:line="261" w:lineRule="auto" w:before="26"/>
              <w:ind w:left="209" w:right="103" w:hanging="1"/>
              <w:rPr>
                <w:sz w:val="21"/>
              </w:rPr>
            </w:pPr>
            <w:r>
              <w:rPr>
                <w:spacing w:val="-9"/>
                <w:sz w:val="21"/>
              </w:rPr>
              <w:t>若您在犹豫期后申请解除本附加合同，请填写解除合同申请书并向我们提供下列资</w:t>
            </w:r>
            <w:r>
              <w:rPr>
                <w:sz w:val="21"/>
              </w:rPr>
              <w:t>料：</w:t>
            </w:r>
          </w:p>
          <w:p>
            <w:pPr>
              <w:pStyle w:val="TableParagraph"/>
              <w:spacing w:before="6"/>
              <w:ind w:left="209"/>
              <w:rPr>
                <w:sz w:val="21"/>
              </w:rPr>
            </w:pPr>
            <w:r>
              <w:rPr>
                <w:sz w:val="21"/>
              </w:rPr>
              <w:t>（</w:t>
            </w:r>
            <w:r>
              <w:rPr>
                <w:rFonts w:ascii="Times New Roman" w:eastAsia="Times New Roman"/>
                <w:sz w:val="21"/>
              </w:rPr>
              <w:t>1</w:t>
            </w:r>
            <w:r>
              <w:rPr>
                <w:sz w:val="21"/>
              </w:rPr>
              <w:t>）保险合同；</w:t>
            </w:r>
          </w:p>
          <w:p>
            <w:pPr>
              <w:pStyle w:val="TableParagraph"/>
              <w:spacing w:before="9"/>
              <w:ind w:left="209"/>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9" w:right="98"/>
              <w:rPr>
                <w:sz w:val="21"/>
              </w:rPr>
            </w:pPr>
            <w:r>
              <w:rPr>
                <w:spacing w:val="-8"/>
                <w:sz w:val="21"/>
              </w:rPr>
              <w:t>自我们收到解除合同申请书时起，本附加合同终止。我们自收到解除合同申请书之</w:t>
            </w:r>
            <w:r>
              <w:rPr>
                <w:spacing w:val="-20"/>
                <w:sz w:val="21"/>
              </w:rPr>
              <w:t>日起 </w:t>
            </w:r>
            <w:r>
              <w:rPr>
                <w:rFonts w:ascii="Times New Roman" w:eastAsia="Times New Roman"/>
                <w:sz w:val="21"/>
              </w:rPr>
              <w:t>30 </w:t>
            </w:r>
            <w:r>
              <w:rPr>
                <w:spacing w:val="-3"/>
                <w:sz w:val="21"/>
              </w:rPr>
              <w:t>日内向您退还本附加合同的现金价值。</w:t>
            </w:r>
          </w:p>
          <w:p>
            <w:pPr>
              <w:pStyle w:val="TableParagraph"/>
              <w:spacing w:line="263" w:lineRule="exact"/>
              <w:ind w:left="209"/>
              <w:rPr>
                <w:sz w:val="21"/>
              </w:rPr>
            </w:pPr>
            <w:r>
              <w:rPr>
                <w:sz w:val="21"/>
              </w:rPr>
              <w:t>您犹豫期后解除本附加合同会遭受一定损失。</w:t>
            </w:r>
          </w:p>
        </w:tc>
      </w:tr>
      <w:tr>
        <w:trPr>
          <w:trHeight w:val="1321" w:hRule="atLeast"/>
        </w:trPr>
        <w:tc>
          <w:tcPr>
            <w:tcW w:w="554" w:type="dxa"/>
          </w:tcPr>
          <w:p>
            <w:pPr>
              <w:pStyle w:val="TableParagraph"/>
              <w:spacing w:before="83"/>
              <w:ind w:left="108"/>
              <w:rPr>
                <w:rFonts w:ascii="Times New Roman"/>
                <w:b/>
                <w:sz w:val="21"/>
              </w:rPr>
            </w:pPr>
            <w:r>
              <w:rPr>
                <w:rFonts w:ascii="Times New Roman"/>
                <w:b/>
                <w:sz w:val="21"/>
              </w:rPr>
              <w:t>3.4</w:t>
            </w:r>
          </w:p>
        </w:tc>
        <w:tc>
          <w:tcPr>
            <w:tcW w:w="1234" w:type="dxa"/>
          </w:tcPr>
          <w:p>
            <w:pPr>
              <w:pStyle w:val="TableParagraph"/>
              <w:spacing w:before="34"/>
              <w:ind w:left="182"/>
              <w:rPr>
                <w:b/>
                <w:sz w:val="21"/>
              </w:rPr>
            </w:pPr>
            <w:r>
              <w:rPr>
                <w:b/>
                <w:sz w:val="21"/>
              </w:rPr>
              <w:t>效力终止</w:t>
            </w:r>
          </w:p>
        </w:tc>
        <w:tc>
          <w:tcPr>
            <w:tcW w:w="7779" w:type="dxa"/>
          </w:tcPr>
          <w:p>
            <w:pPr>
              <w:pStyle w:val="TableParagraph"/>
              <w:spacing w:before="34"/>
              <w:ind w:left="208"/>
              <w:rPr>
                <w:sz w:val="21"/>
              </w:rPr>
            </w:pPr>
            <w:r>
              <w:rPr>
                <w:sz w:val="21"/>
              </w:rPr>
              <w:t>当发生下列情形之一时，本附加合同效力自动终止：</w:t>
            </w:r>
          </w:p>
          <w:p>
            <w:pPr>
              <w:pStyle w:val="TableParagraph"/>
              <w:spacing w:before="25"/>
              <w:ind w:left="208"/>
              <w:rPr>
                <w:sz w:val="21"/>
              </w:rPr>
            </w:pPr>
            <w:r>
              <w:rPr>
                <w:sz w:val="21"/>
              </w:rPr>
              <w:t>（</w:t>
            </w:r>
            <w:r>
              <w:rPr>
                <w:rFonts w:ascii="Times New Roman" w:eastAsia="Times New Roman"/>
                <w:sz w:val="21"/>
              </w:rPr>
              <w:t>1</w:t>
            </w:r>
            <w:r>
              <w:rPr>
                <w:sz w:val="21"/>
              </w:rPr>
              <w:t>）主合同效力终止；</w:t>
            </w:r>
          </w:p>
          <w:p>
            <w:pPr>
              <w:pStyle w:val="TableParagraph"/>
              <w:spacing w:before="9"/>
              <w:ind w:left="209"/>
              <w:rPr>
                <w:sz w:val="20"/>
              </w:rPr>
            </w:pPr>
            <w:r>
              <w:rPr>
                <w:sz w:val="21"/>
              </w:rPr>
              <w:t>（</w:t>
            </w:r>
            <w:r>
              <w:rPr>
                <w:rFonts w:ascii="Times New Roman" w:eastAsia="Times New Roman"/>
                <w:sz w:val="21"/>
              </w:rPr>
              <w:t>2</w:t>
            </w:r>
            <w:r>
              <w:rPr>
                <w:sz w:val="21"/>
              </w:rPr>
              <w:t>）主合同办理减额交清</w:t>
            </w:r>
            <w:r>
              <w:rPr>
                <w:sz w:val="20"/>
              </w:rPr>
              <w:t>；</w:t>
            </w:r>
          </w:p>
          <w:p>
            <w:pPr>
              <w:pStyle w:val="TableParagraph"/>
              <w:spacing w:before="9"/>
              <w:ind w:left="208"/>
              <w:rPr>
                <w:sz w:val="21"/>
              </w:rPr>
            </w:pPr>
            <w:r>
              <w:rPr>
                <w:sz w:val="21"/>
              </w:rPr>
              <w:t>（</w:t>
            </w:r>
            <w:r>
              <w:rPr>
                <w:rFonts w:ascii="Times New Roman" w:eastAsia="Times New Roman"/>
                <w:sz w:val="21"/>
              </w:rPr>
              <w:t>3</w:t>
            </w:r>
            <w:r>
              <w:rPr>
                <w:sz w:val="21"/>
              </w:rPr>
              <w:t>）因本附加合同条款所列其他情况而终止。</w:t>
            </w:r>
          </w:p>
        </w:tc>
      </w:tr>
      <w:tr>
        <w:trPr>
          <w:trHeight w:val="750" w:hRule="atLeast"/>
        </w:trPr>
        <w:tc>
          <w:tcPr>
            <w:tcW w:w="554" w:type="dxa"/>
          </w:tcPr>
          <w:p>
            <w:pPr>
              <w:pStyle w:val="TableParagraph"/>
              <w:spacing w:before="75"/>
              <w:ind w:left="108"/>
              <w:rPr>
                <w:rFonts w:ascii="Times New Roman"/>
                <w:b/>
                <w:sz w:val="21"/>
              </w:rPr>
            </w:pPr>
            <w:r>
              <w:rPr>
                <w:rFonts w:ascii="Times New Roman"/>
                <w:b/>
                <w:sz w:val="21"/>
              </w:rPr>
              <w:t>3.5</w:t>
            </w:r>
          </w:p>
        </w:tc>
        <w:tc>
          <w:tcPr>
            <w:tcW w:w="1234" w:type="dxa"/>
          </w:tcPr>
          <w:p>
            <w:pPr>
              <w:pStyle w:val="TableParagraph"/>
              <w:spacing w:before="26"/>
              <w:ind w:left="182"/>
              <w:rPr>
                <w:b/>
                <w:sz w:val="21"/>
              </w:rPr>
            </w:pPr>
            <w:r>
              <w:rPr>
                <w:b/>
                <w:sz w:val="21"/>
              </w:rPr>
              <w:t>未还款项</w:t>
            </w:r>
          </w:p>
        </w:tc>
        <w:tc>
          <w:tcPr>
            <w:tcW w:w="7779" w:type="dxa"/>
          </w:tcPr>
          <w:p>
            <w:pPr>
              <w:pStyle w:val="TableParagraph"/>
              <w:spacing w:line="261" w:lineRule="auto" w:before="26"/>
              <w:ind w:left="208" w:right="99"/>
              <w:rPr>
                <w:sz w:val="21"/>
              </w:rPr>
            </w:pPr>
            <w:r>
              <w:rPr>
                <w:spacing w:val="-11"/>
                <w:sz w:val="21"/>
              </w:rPr>
              <w:t>我们在豁免保险费时，您应先补交在主合同、本附加合同以及保险单或批注单上列</w:t>
            </w:r>
            <w:r>
              <w:rPr>
                <w:spacing w:val="-3"/>
                <w:sz w:val="21"/>
              </w:rPr>
              <w:t>明豁免的附加合同项下的各项欠款及其利息。</w:t>
            </w:r>
          </w:p>
        </w:tc>
      </w:tr>
      <w:tr>
        <w:trPr>
          <w:trHeight w:val="312" w:hRule="atLeast"/>
        </w:trPr>
        <w:tc>
          <w:tcPr>
            <w:tcW w:w="554" w:type="dxa"/>
            <w:shd w:val="clear" w:color="auto" w:fill="E1E1E1"/>
          </w:tcPr>
          <w:p>
            <w:pPr>
              <w:pStyle w:val="TableParagraph"/>
              <w:spacing w:before="30"/>
              <w:ind w:left="108"/>
              <w:rPr>
                <w:rFonts w:ascii="Times New Roman"/>
                <w:b/>
                <w:sz w:val="21"/>
              </w:rPr>
            </w:pPr>
            <w:r>
              <w:rPr>
                <w:rFonts w:ascii="Times New Roman"/>
                <w:b/>
                <w:w w:val="100"/>
                <w:sz w:val="21"/>
              </w:rPr>
              <w:t>4</w:t>
            </w:r>
          </w:p>
        </w:tc>
        <w:tc>
          <w:tcPr>
            <w:tcW w:w="9013" w:type="dxa"/>
            <w:gridSpan w:val="2"/>
            <w:shd w:val="clear" w:color="auto" w:fill="E1E1E1"/>
          </w:tcPr>
          <w:p>
            <w:pPr>
              <w:pStyle w:val="TableParagraph"/>
              <w:spacing w:line="270" w:lineRule="exact"/>
              <w:ind w:left="182"/>
              <w:rPr>
                <w:b/>
                <w:sz w:val="21"/>
              </w:rPr>
            </w:pPr>
            <w:r>
              <w:rPr>
                <w:b/>
                <w:sz w:val="21"/>
              </w:rPr>
              <w:t>如何申请豁免保险费</w:t>
            </w:r>
          </w:p>
        </w:tc>
      </w:tr>
      <w:tr>
        <w:trPr>
          <w:trHeight w:val="757" w:hRule="atLeast"/>
        </w:trPr>
        <w:tc>
          <w:tcPr>
            <w:tcW w:w="554" w:type="dxa"/>
          </w:tcPr>
          <w:p>
            <w:pPr>
              <w:pStyle w:val="TableParagraph"/>
              <w:spacing w:before="150"/>
              <w:ind w:left="108"/>
              <w:rPr>
                <w:rFonts w:ascii="Times New Roman"/>
                <w:b/>
                <w:sz w:val="21"/>
              </w:rPr>
            </w:pPr>
            <w:r>
              <w:rPr>
                <w:rFonts w:ascii="Times New Roman"/>
                <w:b/>
                <w:sz w:val="21"/>
              </w:rPr>
              <w:t>4.1</w:t>
            </w:r>
          </w:p>
        </w:tc>
        <w:tc>
          <w:tcPr>
            <w:tcW w:w="1234" w:type="dxa"/>
          </w:tcPr>
          <w:p>
            <w:pPr>
              <w:pStyle w:val="TableParagraph"/>
              <w:spacing w:line="261" w:lineRule="auto" w:before="101"/>
              <w:ind w:left="182" w:right="204"/>
              <w:rPr>
                <w:b/>
                <w:sz w:val="21"/>
              </w:rPr>
            </w:pPr>
            <w:r>
              <w:rPr>
                <w:b/>
                <w:sz w:val="21"/>
              </w:rPr>
              <w:t>豁免保险费申请</w:t>
            </w:r>
          </w:p>
        </w:tc>
        <w:tc>
          <w:tcPr>
            <w:tcW w:w="7779" w:type="dxa"/>
          </w:tcPr>
          <w:p>
            <w:pPr>
              <w:pStyle w:val="TableParagraph"/>
              <w:spacing w:before="101"/>
              <w:ind w:left="208"/>
              <w:rPr>
                <w:sz w:val="21"/>
              </w:rPr>
            </w:pPr>
            <w:r>
              <w:rPr>
                <w:sz w:val="21"/>
              </w:rPr>
              <w:t>在申请豁免保险费时，请按照下列方式办理：</w:t>
            </w:r>
          </w:p>
        </w:tc>
      </w:tr>
      <w:tr>
        <w:trPr>
          <w:trHeight w:val="2280" w:hRule="atLeast"/>
        </w:trPr>
        <w:tc>
          <w:tcPr>
            <w:tcW w:w="554" w:type="dxa"/>
          </w:tcPr>
          <w:p>
            <w:pPr>
              <w:pStyle w:val="TableParagraph"/>
              <w:ind w:left="0"/>
              <w:rPr>
                <w:rFonts w:ascii="Times New Roman"/>
                <w:sz w:val="20"/>
              </w:rPr>
            </w:pPr>
          </w:p>
        </w:tc>
        <w:tc>
          <w:tcPr>
            <w:tcW w:w="1234" w:type="dxa"/>
          </w:tcPr>
          <w:p>
            <w:pPr>
              <w:pStyle w:val="TableParagraph"/>
              <w:spacing w:line="184" w:lineRule="auto" w:before="65"/>
              <w:ind w:left="182" w:right="206"/>
              <w:rPr>
                <w:rFonts w:ascii="等线" w:eastAsia="等线" w:hint="eastAsia"/>
                <w:b/>
                <w:sz w:val="21"/>
              </w:rPr>
            </w:pPr>
            <w:r>
              <w:rPr>
                <w:rFonts w:ascii="等线" w:eastAsia="等线" w:hint="eastAsia"/>
                <w:b/>
                <w:sz w:val="21"/>
              </w:rPr>
              <w:t>豁免保险费申请</w:t>
            </w:r>
          </w:p>
        </w:tc>
        <w:tc>
          <w:tcPr>
            <w:tcW w:w="7779" w:type="dxa"/>
          </w:tcPr>
          <w:p>
            <w:pPr>
              <w:pStyle w:val="TableParagraph"/>
              <w:spacing w:before="56"/>
              <w:ind w:left="208"/>
              <w:rPr>
                <w:sz w:val="21"/>
              </w:rPr>
            </w:pPr>
            <w:r>
              <w:rPr>
                <w:sz w:val="21"/>
              </w:rPr>
              <w:t>在申请豁免保险费时，申请人须填写豁免保险费申请书，并提供下列证明和资料：</w:t>
            </w:r>
          </w:p>
          <w:p>
            <w:pPr>
              <w:pStyle w:val="TableParagraph"/>
              <w:spacing w:before="24"/>
              <w:ind w:left="208"/>
              <w:rPr>
                <w:sz w:val="21"/>
              </w:rPr>
            </w:pPr>
            <w:r>
              <w:rPr>
                <w:sz w:val="21"/>
              </w:rPr>
              <w:t>（</w:t>
            </w:r>
            <w:r>
              <w:rPr>
                <w:rFonts w:ascii="Times New Roman" w:eastAsia="Times New Roman"/>
                <w:sz w:val="21"/>
              </w:rPr>
              <w:t>1</w:t>
            </w:r>
            <w:r>
              <w:rPr>
                <w:sz w:val="21"/>
              </w:rPr>
              <w:t>）保险合同；</w:t>
            </w:r>
          </w:p>
          <w:p>
            <w:pPr>
              <w:pStyle w:val="TableParagraph"/>
              <w:spacing w:before="8"/>
              <w:ind w:left="208"/>
              <w:rPr>
                <w:sz w:val="21"/>
              </w:rPr>
            </w:pPr>
            <w:r>
              <w:rPr>
                <w:sz w:val="21"/>
              </w:rPr>
              <w:t>（</w:t>
            </w:r>
            <w:r>
              <w:rPr>
                <w:rFonts w:ascii="Times New Roman" w:eastAsia="Times New Roman"/>
                <w:sz w:val="21"/>
              </w:rPr>
              <w:t>2</w:t>
            </w:r>
            <w:r>
              <w:rPr>
                <w:sz w:val="21"/>
              </w:rPr>
              <w:t>）申请人的有效身份证件；</w:t>
            </w:r>
          </w:p>
          <w:p>
            <w:pPr>
              <w:pStyle w:val="TableParagraph"/>
              <w:spacing w:line="264" w:lineRule="auto" w:before="1"/>
              <w:ind w:left="734" w:right="107" w:hanging="526"/>
              <w:jc w:val="both"/>
              <w:rPr>
                <w:sz w:val="21"/>
              </w:rPr>
            </w:pPr>
            <w:r>
              <w:rPr>
                <w:sz w:val="21"/>
              </w:rPr>
              <w:t>（</w:t>
            </w:r>
            <w:r>
              <w:rPr>
                <w:rFonts w:ascii="Times New Roman" w:eastAsia="Times New Roman"/>
                <w:sz w:val="21"/>
              </w:rPr>
              <w:t>3</w:t>
            </w:r>
            <w:r>
              <w:rPr>
                <w:sz w:val="21"/>
              </w:rPr>
              <w:t>）我们认可的医院出具的疾病诊断证明书、病历记录和确诊疾病必要的病理检验、血液检验、影像学检查及其他科学方法的检查报告。我们保留就疾病诊断咨询其他医疗专家的权利；</w:t>
            </w:r>
          </w:p>
          <w:p>
            <w:pPr>
              <w:pStyle w:val="TableParagraph"/>
              <w:spacing w:before="23"/>
              <w:ind w:left="20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720" w:hRule="atLeast"/>
        </w:trPr>
        <w:tc>
          <w:tcPr>
            <w:tcW w:w="554" w:type="dxa"/>
          </w:tcPr>
          <w:p>
            <w:pPr>
              <w:pStyle w:val="TableParagraph"/>
              <w:ind w:left="0"/>
              <w:rPr>
                <w:rFonts w:ascii="Times New Roman"/>
                <w:sz w:val="20"/>
              </w:rPr>
            </w:pPr>
          </w:p>
        </w:tc>
        <w:tc>
          <w:tcPr>
            <w:tcW w:w="1234" w:type="dxa"/>
          </w:tcPr>
          <w:p>
            <w:pPr>
              <w:pStyle w:val="TableParagraph"/>
              <w:ind w:left="0"/>
              <w:rPr>
                <w:rFonts w:ascii="Times New Roman"/>
                <w:sz w:val="20"/>
              </w:rPr>
            </w:pPr>
          </w:p>
        </w:tc>
        <w:tc>
          <w:tcPr>
            <w:tcW w:w="7779" w:type="dxa"/>
          </w:tcPr>
          <w:p>
            <w:pPr>
              <w:pStyle w:val="TableParagraph"/>
              <w:spacing w:line="273" w:lineRule="auto" w:before="20"/>
              <w:ind w:left="208" w:right="104"/>
              <w:rPr>
                <w:sz w:val="21"/>
              </w:rPr>
            </w:pPr>
            <w:r>
              <w:rPr>
                <w:sz w:val="21"/>
              </w:rPr>
              <w:t>以上证明和资料不完整的，我们将及时一次性通知申请人补充提供有关证明和资料。</w:t>
            </w:r>
          </w:p>
        </w:tc>
      </w:tr>
      <w:tr>
        <w:trPr>
          <w:trHeight w:val="3494" w:hRule="atLeast"/>
        </w:trPr>
        <w:tc>
          <w:tcPr>
            <w:tcW w:w="554" w:type="dxa"/>
          </w:tcPr>
          <w:p>
            <w:pPr>
              <w:pStyle w:val="TableParagraph"/>
              <w:spacing w:before="93"/>
              <w:ind w:left="108"/>
              <w:rPr>
                <w:rFonts w:ascii="Times New Roman"/>
                <w:b/>
                <w:sz w:val="21"/>
              </w:rPr>
            </w:pPr>
            <w:r>
              <w:rPr>
                <w:rFonts w:ascii="Times New Roman"/>
                <w:b/>
                <w:sz w:val="21"/>
              </w:rPr>
              <w:t>4.2</w:t>
            </w:r>
          </w:p>
        </w:tc>
        <w:tc>
          <w:tcPr>
            <w:tcW w:w="1234" w:type="dxa"/>
          </w:tcPr>
          <w:p>
            <w:pPr>
              <w:pStyle w:val="TableParagraph"/>
              <w:spacing w:line="261" w:lineRule="auto" w:before="43"/>
              <w:ind w:left="182" w:right="204"/>
              <w:rPr>
                <w:b/>
                <w:sz w:val="21"/>
              </w:rPr>
            </w:pPr>
            <w:r>
              <w:rPr>
                <w:b/>
                <w:sz w:val="21"/>
              </w:rPr>
              <w:t>保险费的豁免</w:t>
            </w:r>
          </w:p>
        </w:tc>
        <w:tc>
          <w:tcPr>
            <w:tcW w:w="7779" w:type="dxa"/>
          </w:tcPr>
          <w:p>
            <w:pPr>
              <w:pStyle w:val="TableParagraph"/>
              <w:spacing w:line="273" w:lineRule="auto" w:before="36"/>
              <w:ind w:left="208" w:right="99"/>
              <w:jc w:val="both"/>
              <w:rPr>
                <w:sz w:val="21"/>
              </w:rPr>
            </w:pPr>
            <w:r>
              <w:rPr>
                <w:spacing w:val="-7"/>
                <w:sz w:val="21"/>
              </w:rPr>
              <w:t>我们在收到豁免保险费申请书及合同约定的证明和资料后，将及时作出核定；情形</w:t>
            </w:r>
            <w:r>
              <w:rPr>
                <w:spacing w:val="-10"/>
                <w:sz w:val="21"/>
              </w:rPr>
              <w:t>复杂的，在 </w:t>
            </w:r>
            <w:r>
              <w:rPr>
                <w:rFonts w:ascii="Times New Roman" w:eastAsia="Times New Roman"/>
                <w:sz w:val="21"/>
              </w:rPr>
              <w:t>30 </w:t>
            </w:r>
            <w:r>
              <w:rPr>
                <w:spacing w:val="-3"/>
                <w:sz w:val="21"/>
              </w:rPr>
              <w:t>日内作出核定。</w:t>
            </w:r>
          </w:p>
          <w:p>
            <w:pPr>
              <w:pStyle w:val="TableParagraph"/>
              <w:spacing w:line="256" w:lineRule="auto"/>
              <w:ind w:left="208" w:right="99"/>
              <w:jc w:val="both"/>
              <w:rPr>
                <w:sz w:val="21"/>
              </w:rPr>
            </w:pPr>
            <w:r>
              <w:rPr>
                <w:spacing w:val="-4"/>
                <w:sz w:val="21"/>
              </w:rPr>
              <w:t>对属于保险责任的，我们在与受益人达成豁免保险费的协议后 </w:t>
            </w:r>
            <w:r>
              <w:rPr>
                <w:rFonts w:ascii="Times New Roman" w:eastAsia="Times New Roman"/>
                <w:sz w:val="21"/>
              </w:rPr>
              <w:t>10 </w:t>
            </w:r>
            <w:r>
              <w:rPr>
                <w:spacing w:val="-3"/>
                <w:sz w:val="21"/>
              </w:rPr>
              <w:t>日内，履行豁免保险费义务。</w:t>
            </w:r>
          </w:p>
          <w:p>
            <w:pPr>
              <w:pStyle w:val="TableParagraph"/>
              <w:spacing w:line="273" w:lineRule="auto" w:before="34"/>
              <w:ind w:left="208" w:right="98"/>
              <w:jc w:val="both"/>
              <w:rPr>
                <w:sz w:val="21"/>
              </w:rPr>
            </w:pPr>
            <w:r>
              <w:rPr>
                <w:spacing w:val="-8"/>
                <w:sz w:val="21"/>
              </w:rPr>
              <w:t>我们未及时履行前款规定义务的，除豁免保险费外，应当赔偿受益人因此受到的损失。</w:t>
            </w:r>
          </w:p>
          <w:p>
            <w:pPr>
              <w:pStyle w:val="TableParagraph"/>
              <w:spacing w:line="247" w:lineRule="auto" w:before="14"/>
              <w:ind w:left="208" w:right="103"/>
              <w:jc w:val="both"/>
              <w:rPr>
                <w:sz w:val="21"/>
              </w:rPr>
            </w:pPr>
            <w:r>
              <w:rPr>
                <w:spacing w:val="-14"/>
                <w:sz w:val="21"/>
              </w:rPr>
              <w:t>对不属于保险责任的，我们自作出核定之日起 </w:t>
            </w:r>
            <w:r>
              <w:rPr>
                <w:rFonts w:ascii="Times New Roman" w:eastAsia="Times New Roman"/>
                <w:sz w:val="21"/>
              </w:rPr>
              <w:t>3 </w:t>
            </w:r>
            <w:r>
              <w:rPr>
                <w:spacing w:val="-3"/>
                <w:sz w:val="21"/>
              </w:rPr>
              <w:t>日内向受益人发出拒绝豁免保险费通知书并说明理由。</w:t>
            </w:r>
          </w:p>
          <w:p>
            <w:pPr>
              <w:pStyle w:val="TableParagraph"/>
              <w:spacing w:line="254" w:lineRule="auto" w:before="18"/>
              <w:ind w:left="208" w:right="98"/>
              <w:jc w:val="both"/>
              <w:rPr>
                <w:sz w:val="21"/>
              </w:rPr>
            </w:pPr>
            <w:r>
              <w:rPr>
                <w:spacing w:val="-5"/>
                <w:sz w:val="21"/>
              </w:rPr>
              <w:t>我们在收到保险金给付申请书及有关证明和资料之日起 </w:t>
            </w:r>
            <w:r>
              <w:rPr>
                <w:rFonts w:ascii="Times New Roman" w:eastAsia="Times New Roman"/>
                <w:sz w:val="21"/>
              </w:rPr>
              <w:t>60 </w:t>
            </w:r>
            <w:r>
              <w:rPr>
                <w:spacing w:val="-3"/>
                <w:sz w:val="21"/>
              </w:rPr>
              <w:t>日内，对给付保险金的</w:t>
            </w:r>
            <w:r>
              <w:rPr>
                <w:spacing w:val="-11"/>
                <w:sz w:val="21"/>
              </w:rPr>
              <w:t>数额不能确定的，根据已有证明和资料可以确定的数额先予支付；我们最终确定给</w:t>
            </w:r>
            <w:r>
              <w:rPr>
                <w:spacing w:val="-6"/>
                <w:sz w:val="21"/>
              </w:rPr>
              <w:t>付保险金的数额后，将支付相应的差额。</w:t>
            </w:r>
          </w:p>
        </w:tc>
      </w:tr>
      <w:tr>
        <w:trPr>
          <w:trHeight w:val="615" w:hRule="atLeast"/>
        </w:trPr>
        <w:tc>
          <w:tcPr>
            <w:tcW w:w="554" w:type="dxa"/>
          </w:tcPr>
          <w:p>
            <w:pPr>
              <w:pStyle w:val="TableParagraph"/>
              <w:spacing w:before="83"/>
              <w:ind w:left="108"/>
              <w:rPr>
                <w:rFonts w:ascii="Times New Roman"/>
                <w:b/>
                <w:sz w:val="21"/>
              </w:rPr>
            </w:pPr>
            <w:r>
              <w:rPr>
                <w:rFonts w:ascii="Times New Roman"/>
                <w:b/>
                <w:sz w:val="21"/>
              </w:rPr>
              <w:t>4.3</w:t>
            </w:r>
          </w:p>
        </w:tc>
        <w:tc>
          <w:tcPr>
            <w:tcW w:w="1234" w:type="dxa"/>
          </w:tcPr>
          <w:p>
            <w:pPr>
              <w:pStyle w:val="TableParagraph"/>
              <w:spacing w:before="33"/>
              <w:ind w:left="182"/>
              <w:rPr>
                <w:b/>
                <w:sz w:val="21"/>
              </w:rPr>
            </w:pPr>
            <w:r>
              <w:rPr>
                <w:b/>
                <w:sz w:val="21"/>
              </w:rPr>
              <w:t>诉讼时效</w:t>
            </w:r>
          </w:p>
        </w:tc>
        <w:tc>
          <w:tcPr>
            <w:tcW w:w="7779" w:type="dxa"/>
          </w:tcPr>
          <w:p>
            <w:pPr>
              <w:pStyle w:val="TableParagraph"/>
              <w:spacing w:line="280" w:lineRule="atLeast" w:before="33"/>
              <w:ind w:left="208" w:right="103"/>
              <w:rPr>
                <w:sz w:val="21"/>
              </w:rPr>
            </w:pPr>
            <w:r>
              <w:rPr>
                <w:spacing w:val="-5"/>
                <w:sz w:val="21"/>
              </w:rPr>
              <w:t>受益人向我们请求豁免保险费的诉讼时效期间为 </w:t>
            </w:r>
            <w:r>
              <w:rPr>
                <w:rFonts w:ascii="Times New Roman" w:eastAsia="Times New Roman"/>
                <w:sz w:val="21"/>
              </w:rPr>
              <w:t>2 </w:t>
            </w:r>
            <w:r>
              <w:rPr>
                <w:spacing w:val="-12"/>
                <w:sz w:val="21"/>
              </w:rPr>
              <w:t>年，自其知道或者应当知道保险</w:t>
            </w:r>
            <w:r>
              <w:rPr>
                <w:spacing w:val="-3"/>
                <w:sz w:val="21"/>
              </w:rPr>
              <w:t>事故发生之日起计算。</w:t>
            </w:r>
          </w:p>
        </w:tc>
      </w:tr>
    </w:tbl>
    <w:p>
      <w:pPr>
        <w:spacing w:after="0" w:line="280" w:lineRule="atLeast"/>
        <w:rPr>
          <w:sz w:val="21"/>
        </w:rPr>
        <w:sectPr>
          <w:pgSz w:w="11910" w:h="16840"/>
          <w:pgMar w:top="148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340"/>
        <w:gridCol w:w="7674"/>
      </w:tblGrid>
      <w:tr>
        <w:trPr>
          <w:trHeight w:val="328" w:hRule="atLeast"/>
        </w:trPr>
        <w:tc>
          <w:tcPr>
            <w:tcW w:w="554" w:type="dxa"/>
            <w:shd w:val="clear" w:color="auto" w:fill="E1E1E1"/>
          </w:tcPr>
          <w:p>
            <w:pPr>
              <w:pStyle w:val="TableParagraph"/>
              <w:spacing w:before="44"/>
              <w:ind w:left="108"/>
              <w:rPr>
                <w:rFonts w:ascii="Times New Roman"/>
                <w:b/>
                <w:sz w:val="21"/>
              </w:rPr>
            </w:pPr>
            <w:r>
              <w:rPr>
                <w:rFonts w:ascii="Times New Roman"/>
                <w:b/>
                <w:w w:val="100"/>
                <w:sz w:val="21"/>
              </w:rPr>
              <w:t>5</w:t>
            </w:r>
          </w:p>
        </w:tc>
        <w:tc>
          <w:tcPr>
            <w:tcW w:w="9014" w:type="dxa"/>
            <w:gridSpan w:val="2"/>
            <w:shd w:val="clear" w:color="auto" w:fill="E1E1E1"/>
          </w:tcPr>
          <w:p>
            <w:pPr>
              <w:pStyle w:val="TableParagraph"/>
              <w:spacing w:line="270" w:lineRule="exact"/>
              <w:ind w:left="182"/>
              <w:rPr>
                <w:b/>
                <w:sz w:val="21"/>
              </w:rPr>
            </w:pPr>
            <w:r>
              <w:rPr>
                <w:b/>
                <w:sz w:val="21"/>
              </w:rPr>
              <w:t>您需要了解的重要术语</w:t>
            </w:r>
          </w:p>
        </w:tc>
      </w:tr>
      <w:tr>
        <w:trPr>
          <w:trHeight w:val="487" w:hRule="atLeast"/>
        </w:trPr>
        <w:tc>
          <w:tcPr>
            <w:tcW w:w="554" w:type="dxa"/>
          </w:tcPr>
          <w:p>
            <w:pPr>
              <w:pStyle w:val="TableParagraph"/>
              <w:spacing w:before="156"/>
              <w:ind w:left="108"/>
              <w:rPr>
                <w:rFonts w:ascii="Times New Roman"/>
                <w:b/>
                <w:sz w:val="21"/>
              </w:rPr>
            </w:pPr>
            <w:r>
              <w:rPr>
                <w:rFonts w:ascii="Times New Roman"/>
                <w:b/>
                <w:sz w:val="21"/>
              </w:rPr>
              <w:t>5.1</w:t>
            </w:r>
          </w:p>
        </w:tc>
        <w:tc>
          <w:tcPr>
            <w:tcW w:w="1340" w:type="dxa"/>
          </w:tcPr>
          <w:p>
            <w:pPr>
              <w:pStyle w:val="TableParagraph"/>
              <w:spacing w:before="107"/>
              <w:ind w:left="182"/>
              <w:rPr>
                <w:b/>
                <w:sz w:val="21"/>
              </w:rPr>
            </w:pPr>
            <w:r>
              <w:rPr>
                <w:b/>
                <w:sz w:val="21"/>
              </w:rPr>
              <w:t>意外伤害</w:t>
            </w:r>
          </w:p>
        </w:tc>
        <w:tc>
          <w:tcPr>
            <w:tcW w:w="7674" w:type="dxa"/>
          </w:tcPr>
          <w:p>
            <w:pPr>
              <w:pStyle w:val="TableParagraph"/>
              <w:spacing w:before="107"/>
              <w:rPr>
                <w:sz w:val="21"/>
              </w:rPr>
            </w:pPr>
            <w:r>
              <w:rPr>
                <w:sz w:val="21"/>
              </w:rPr>
              <w:t>指外来的、突发的、非本意的、非疾病的使身体受到伤害的客观事件。</w:t>
            </w:r>
          </w:p>
        </w:tc>
      </w:tr>
      <w:tr>
        <w:trPr>
          <w:trHeight w:val="1304" w:hRule="atLeast"/>
        </w:trPr>
        <w:tc>
          <w:tcPr>
            <w:tcW w:w="554" w:type="dxa"/>
          </w:tcPr>
          <w:p>
            <w:pPr>
              <w:pStyle w:val="TableParagraph"/>
              <w:spacing w:before="81"/>
              <w:ind w:left="108"/>
              <w:rPr>
                <w:rFonts w:ascii="Times New Roman"/>
                <w:b/>
                <w:sz w:val="21"/>
              </w:rPr>
            </w:pPr>
            <w:r>
              <w:rPr>
                <w:rFonts w:ascii="Times New Roman"/>
                <w:b/>
                <w:sz w:val="21"/>
              </w:rPr>
              <w:t>5.2</w:t>
            </w:r>
          </w:p>
        </w:tc>
        <w:tc>
          <w:tcPr>
            <w:tcW w:w="1340" w:type="dxa"/>
          </w:tcPr>
          <w:p>
            <w:pPr>
              <w:pStyle w:val="TableParagraph"/>
              <w:spacing w:line="261" w:lineRule="auto" w:before="32"/>
              <w:ind w:left="182" w:right="310"/>
              <w:jc w:val="both"/>
              <w:rPr>
                <w:b/>
                <w:sz w:val="21"/>
              </w:rPr>
            </w:pPr>
            <w:r>
              <w:rPr>
                <w:b/>
                <w:sz w:val="21"/>
              </w:rPr>
              <w:t>感染艾滋病病毒或患艾滋病</w:t>
            </w:r>
          </w:p>
        </w:tc>
        <w:tc>
          <w:tcPr>
            <w:tcW w:w="7674" w:type="dxa"/>
          </w:tcPr>
          <w:p>
            <w:pPr>
              <w:pStyle w:val="TableParagraph"/>
              <w:spacing w:line="247" w:lineRule="auto" w:before="32"/>
              <w:ind w:right="100"/>
              <w:rPr>
                <w:sz w:val="21"/>
              </w:rPr>
            </w:pPr>
            <w:r>
              <w:rPr>
                <w:spacing w:val="-8"/>
                <w:sz w:val="21"/>
              </w:rPr>
              <w:t>艾滋病病毒指人类免疫缺陷病毒，英文缩写为 </w:t>
            </w:r>
            <w:r>
              <w:rPr>
                <w:rFonts w:ascii="Times New Roman" w:eastAsia="Times New Roman"/>
                <w:sz w:val="21"/>
              </w:rPr>
              <w:t>HIV</w:t>
            </w:r>
            <w:r>
              <w:rPr>
                <w:spacing w:val="-9"/>
                <w:sz w:val="21"/>
              </w:rPr>
              <w:t>。艾滋病指人类免疫缺陷病毒引</w:t>
            </w:r>
            <w:r>
              <w:rPr>
                <w:spacing w:val="-3"/>
                <w:sz w:val="21"/>
              </w:rPr>
              <w:t>起的获得性免疫缺陷综合征，英文缩写为</w:t>
            </w:r>
            <w:r>
              <w:rPr>
                <w:rFonts w:ascii="Times New Roman" w:eastAsia="Times New Roman"/>
                <w:sz w:val="21"/>
              </w:rPr>
              <w:t>AIDS</w:t>
            </w:r>
            <w:r>
              <w:rPr>
                <w:sz w:val="21"/>
              </w:rPr>
              <w:t>。</w:t>
            </w:r>
          </w:p>
          <w:p>
            <w:pPr>
              <w:pStyle w:val="TableParagraph"/>
              <w:spacing w:line="261" w:lineRule="auto" w:before="2"/>
              <w:ind w:right="5"/>
              <w:rPr>
                <w:sz w:val="21"/>
              </w:rPr>
            </w:pPr>
            <w:r>
              <w:rPr>
                <w:spacing w:val="-7"/>
                <w:sz w:val="21"/>
              </w:rPr>
              <w:t>在人体血液或其它样本中检测到艾滋病病毒或其抗体呈阳性，没有出现临床症状或</w:t>
            </w:r>
            <w:r>
              <w:rPr>
                <w:spacing w:val="-5"/>
                <w:sz w:val="21"/>
              </w:rPr>
              <w:t>体征的，为感染艾滋病病毒；若同时出现了明显临床症状或体征的，为患艾滋病。</w:t>
            </w:r>
          </w:p>
        </w:tc>
      </w:tr>
      <w:tr>
        <w:trPr>
          <w:trHeight w:val="712" w:hRule="atLeast"/>
        </w:trPr>
        <w:tc>
          <w:tcPr>
            <w:tcW w:w="554" w:type="dxa"/>
          </w:tcPr>
          <w:p>
            <w:pPr>
              <w:pStyle w:val="TableParagraph"/>
              <w:spacing w:before="89"/>
              <w:ind w:left="108"/>
              <w:rPr>
                <w:rFonts w:ascii="Times New Roman"/>
                <w:b/>
                <w:sz w:val="21"/>
              </w:rPr>
            </w:pPr>
            <w:r>
              <w:rPr>
                <w:rFonts w:ascii="Times New Roman"/>
                <w:b/>
                <w:sz w:val="21"/>
              </w:rPr>
              <w:t>5.3</w:t>
            </w:r>
          </w:p>
        </w:tc>
        <w:tc>
          <w:tcPr>
            <w:tcW w:w="1340" w:type="dxa"/>
          </w:tcPr>
          <w:p>
            <w:pPr>
              <w:pStyle w:val="TableParagraph"/>
              <w:spacing w:line="261" w:lineRule="auto" w:before="40"/>
              <w:ind w:left="182" w:right="310"/>
              <w:rPr>
                <w:b/>
                <w:sz w:val="21"/>
              </w:rPr>
            </w:pPr>
            <w:r>
              <w:rPr>
                <w:b/>
                <w:sz w:val="21"/>
              </w:rPr>
              <w:t>遗传性疾病</w:t>
            </w:r>
          </w:p>
        </w:tc>
        <w:tc>
          <w:tcPr>
            <w:tcW w:w="7674" w:type="dxa"/>
          </w:tcPr>
          <w:p>
            <w:pPr>
              <w:pStyle w:val="TableParagraph"/>
              <w:spacing w:line="261" w:lineRule="auto" w:before="40"/>
              <w:ind w:right="3"/>
              <w:rPr>
                <w:sz w:val="21"/>
              </w:rPr>
            </w:pPr>
            <w:r>
              <w:rPr>
                <w:sz w:val="21"/>
              </w:rPr>
              <w:t>指生殖细胞或受精卵的遗传物质（染色体和基因）发生突变或畸变所引起的疾病， 通常具有由亲代传至后代的垂直传递的特征。</w:t>
            </w:r>
          </w:p>
        </w:tc>
      </w:tr>
      <w:tr>
        <w:trPr>
          <w:trHeight w:val="1312" w:hRule="atLeast"/>
        </w:trPr>
        <w:tc>
          <w:tcPr>
            <w:tcW w:w="554" w:type="dxa"/>
          </w:tcPr>
          <w:p>
            <w:pPr>
              <w:pStyle w:val="TableParagraph"/>
              <w:spacing w:before="89"/>
              <w:ind w:left="108"/>
              <w:rPr>
                <w:rFonts w:ascii="Times New Roman"/>
                <w:b/>
                <w:sz w:val="21"/>
              </w:rPr>
            </w:pPr>
            <w:r>
              <w:rPr>
                <w:rFonts w:ascii="Times New Roman"/>
                <w:b/>
                <w:sz w:val="21"/>
              </w:rPr>
              <w:t>5.4</w:t>
            </w:r>
          </w:p>
        </w:tc>
        <w:tc>
          <w:tcPr>
            <w:tcW w:w="1340" w:type="dxa"/>
          </w:tcPr>
          <w:p>
            <w:pPr>
              <w:pStyle w:val="TableParagraph"/>
              <w:spacing w:line="261" w:lineRule="auto" w:before="40"/>
              <w:ind w:left="182" w:right="108"/>
              <w:rPr>
                <w:b/>
                <w:sz w:val="21"/>
              </w:rPr>
            </w:pPr>
            <w:r>
              <w:rPr>
                <w:b/>
                <w:sz w:val="21"/>
              </w:rPr>
              <w:t>先天性畸</w:t>
            </w:r>
            <w:r>
              <w:rPr>
                <w:b/>
                <w:spacing w:val="-3"/>
                <w:sz w:val="21"/>
              </w:rPr>
              <w:t>形、变形或染色体异常</w:t>
            </w:r>
          </w:p>
        </w:tc>
        <w:tc>
          <w:tcPr>
            <w:tcW w:w="7674" w:type="dxa"/>
          </w:tcPr>
          <w:p>
            <w:pPr>
              <w:pStyle w:val="TableParagraph"/>
              <w:spacing w:line="261" w:lineRule="auto" w:before="40"/>
              <w:ind w:right="102"/>
              <w:rPr>
                <w:sz w:val="21"/>
              </w:rPr>
            </w:pPr>
            <w:r>
              <w:rPr>
                <w:spacing w:val="-9"/>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3"/>
                <w:sz w:val="21"/>
              </w:rPr>
              <w:t>确定。</w:t>
            </w:r>
          </w:p>
        </w:tc>
      </w:tr>
      <w:tr>
        <w:trPr>
          <w:trHeight w:val="1312" w:hRule="atLeast"/>
        </w:trPr>
        <w:tc>
          <w:tcPr>
            <w:tcW w:w="554" w:type="dxa"/>
          </w:tcPr>
          <w:p>
            <w:pPr>
              <w:pStyle w:val="TableParagraph"/>
              <w:spacing w:before="89"/>
              <w:ind w:left="108"/>
              <w:rPr>
                <w:rFonts w:ascii="Times New Roman"/>
                <w:b/>
                <w:sz w:val="21"/>
              </w:rPr>
            </w:pPr>
            <w:r>
              <w:rPr>
                <w:rFonts w:ascii="Times New Roman"/>
                <w:b/>
                <w:sz w:val="21"/>
              </w:rPr>
              <w:t>5.5</w:t>
            </w:r>
          </w:p>
        </w:tc>
        <w:tc>
          <w:tcPr>
            <w:tcW w:w="1340" w:type="dxa"/>
          </w:tcPr>
          <w:p>
            <w:pPr>
              <w:pStyle w:val="TableParagraph"/>
              <w:spacing w:before="40"/>
              <w:ind w:left="182"/>
              <w:rPr>
                <w:b/>
                <w:sz w:val="21"/>
              </w:rPr>
            </w:pPr>
            <w:r>
              <w:rPr>
                <w:b/>
                <w:sz w:val="21"/>
              </w:rPr>
              <w:t>重大疾病</w:t>
            </w:r>
          </w:p>
        </w:tc>
        <w:tc>
          <w:tcPr>
            <w:tcW w:w="7674" w:type="dxa"/>
          </w:tcPr>
          <w:p>
            <w:pPr>
              <w:pStyle w:val="TableParagraph"/>
              <w:spacing w:line="247" w:lineRule="auto" w:before="40"/>
              <w:ind w:right="104"/>
              <w:rPr>
                <w:sz w:val="21"/>
              </w:rPr>
            </w:pPr>
            <w:r>
              <w:rPr>
                <w:spacing w:val="-3"/>
                <w:sz w:val="21"/>
              </w:rPr>
              <w:t>指被保险人经我们认可的医院的</w:t>
            </w:r>
            <w:r>
              <w:rPr>
                <w:b/>
                <w:spacing w:val="-4"/>
                <w:sz w:val="21"/>
              </w:rPr>
              <w:t>专科医生</w:t>
            </w:r>
            <w:r>
              <w:rPr>
                <w:spacing w:val="-3"/>
                <w:sz w:val="21"/>
              </w:rPr>
              <w:t>（</w:t>
            </w:r>
            <w:r>
              <w:rPr>
                <w:spacing w:val="-13"/>
                <w:sz w:val="21"/>
              </w:rPr>
              <w:t>注 </w:t>
            </w:r>
            <w:r>
              <w:rPr>
                <w:rFonts w:ascii="Times New Roman" w:eastAsia="Times New Roman"/>
                <w:spacing w:val="-9"/>
                <w:sz w:val="21"/>
              </w:rPr>
              <w:t>1</w:t>
            </w:r>
            <w:r>
              <w:rPr>
                <w:spacing w:val="-9"/>
                <w:sz w:val="21"/>
              </w:rPr>
              <w:t>）</w:t>
            </w:r>
            <w:r>
              <w:rPr>
                <w:spacing w:val="-5"/>
                <w:sz w:val="21"/>
              </w:rPr>
              <w:t>确诊，初次发生符合下列定义的</w:t>
            </w:r>
            <w:r>
              <w:rPr>
                <w:spacing w:val="-3"/>
                <w:sz w:val="21"/>
              </w:rPr>
              <w:t>疾病或初次接受符合下列定义的手术。</w:t>
            </w:r>
          </w:p>
          <w:p>
            <w:pPr>
              <w:pStyle w:val="TableParagraph"/>
              <w:spacing w:line="261" w:lineRule="auto" w:before="18"/>
              <w:ind w:right="99"/>
              <w:rPr>
                <w:sz w:val="21"/>
              </w:rPr>
            </w:pPr>
            <w:r>
              <w:rPr>
                <w:spacing w:val="-6"/>
                <w:sz w:val="21"/>
              </w:rPr>
              <w:t>本附加合同所列重大疾病中第一种至第二十三种为中国保险行业协会制定的《重大</w:t>
            </w:r>
            <w:r>
              <w:rPr>
                <w:spacing w:val="-4"/>
                <w:sz w:val="21"/>
              </w:rPr>
              <w:t>疾病保险的疾病定义使用规范》中列明的疾病，其余为本公司增加的疾病。</w:t>
            </w:r>
          </w:p>
        </w:tc>
      </w:tr>
      <w:tr>
        <w:trPr>
          <w:trHeight w:val="3120" w:hRule="atLeast"/>
        </w:trPr>
        <w:tc>
          <w:tcPr>
            <w:tcW w:w="554" w:type="dxa"/>
          </w:tcPr>
          <w:p>
            <w:pPr>
              <w:pStyle w:val="TableParagraph"/>
              <w:spacing w:before="89"/>
              <w:ind w:left="108"/>
              <w:rPr>
                <w:rFonts w:ascii="Times New Roman"/>
                <w:b/>
                <w:sz w:val="21"/>
              </w:rPr>
            </w:pPr>
            <w:r>
              <w:rPr>
                <w:rFonts w:ascii="Times New Roman"/>
                <w:b/>
                <w:sz w:val="21"/>
              </w:rPr>
              <w:t>1.</w:t>
            </w:r>
          </w:p>
        </w:tc>
        <w:tc>
          <w:tcPr>
            <w:tcW w:w="1340" w:type="dxa"/>
          </w:tcPr>
          <w:p>
            <w:pPr>
              <w:pStyle w:val="TableParagraph"/>
              <w:spacing w:before="40"/>
              <w:ind w:left="182"/>
              <w:rPr>
                <w:b/>
                <w:sz w:val="21"/>
              </w:rPr>
            </w:pPr>
            <w:r>
              <w:rPr>
                <w:b/>
                <w:sz w:val="21"/>
              </w:rPr>
              <w:t>恶性肿瘤：</w:t>
            </w:r>
          </w:p>
        </w:tc>
        <w:tc>
          <w:tcPr>
            <w:tcW w:w="7674" w:type="dxa"/>
          </w:tcPr>
          <w:p>
            <w:pPr>
              <w:pStyle w:val="TableParagraph"/>
              <w:spacing w:line="256" w:lineRule="auto" w:before="40"/>
              <w:rPr>
                <w:sz w:val="21"/>
              </w:rPr>
            </w:pPr>
            <w:r>
              <w:rPr>
                <w:spacing w:val="-12"/>
                <w:sz w:val="21"/>
              </w:rPr>
              <w:t>指恶性细胞不受控制的进行性增长和扩散，浸润和破坏周围正常组织，可以经血管、</w:t>
            </w:r>
            <w:r>
              <w:rPr>
                <w:spacing w:val="-8"/>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3"/>
                <w:sz w:val="21"/>
              </w:rPr>
              <w:t>的恶性肿瘤范畴。下列疾病不在保障范围内：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103"/>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8"/>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554" w:type="dxa"/>
          </w:tcPr>
          <w:p>
            <w:pPr>
              <w:pStyle w:val="TableParagraph"/>
              <w:spacing w:before="81"/>
              <w:ind w:left="108"/>
              <w:rPr>
                <w:rFonts w:ascii="Times New Roman"/>
                <w:b/>
                <w:sz w:val="21"/>
              </w:rPr>
            </w:pPr>
            <w:r>
              <w:rPr>
                <w:rFonts w:ascii="Times New Roman"/>
                <w:b/>
                <w:sz w:val="21"/>
              </w:rPr>
              <w:t>2.</w:t>
            </w:r>
          </w:p>
        </w:tc>
        <w:tc>
          <w:tcPr>
            <w:tcW w:w="1340" w:type="dxa"/>
          </w:tcPr>
          <w:p>
            <w:pPr>
              <w:pStyle w:val="TableParagraph"/>
              <w:spacing w:line="261" w:lineRule="auto" w:before="32"/>
              <w:ind w:left="182" w:right="310"/>
              <w:rPr>
                <w:b/>
                <w:sz w:val="21"/>
              </w:rPr>
            </w:pPr>
            <w:r>
              <w:rPr>
                <w:b/>
                <w:sz w:val="21"/>
              </w:rPr>
              <w:t>急性心肌梗塞：</w:t>
            </w:r>
          </w:p>
        </w:tc>
        <w:tc>
          <w:tcPr>
            <w:tcW w:w="7674" w:type="dxa"/>
          </w:tcPr>
          <w:p>
            <w:pPr>
              <w:pStyle w:val="TableParagraph"/>
              <w:spacing w:line="261" w:lineRule="auto" w:before="32"/>
              <w:ind w:right="104"/>
              <w:rPr>
                <w:sz w:val="21"/>
              </w:rPr>
            </w:pPr>
            <w:r>
              <w:rPr>
                <w:spacing w:val="-8"/>
                <w:sz w:val="21"/>
              </w:rPr>
              <w:t>指因冠状动脉阻塞导致的相应区域供血不足造成部分心肌坏死。须满足下列至少三</w:t>
            </w:r>
            <w:r>
              <w:rPr>
                <w:spacing w:val="-1"/>
                <w:sz w:val="21"/>
              </w:rPr>
              <w:t>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103" w:right="-15"/>
              <w:rPr>
                <w:sz w:val="21"/>
              </w:rPr>
            </w:pPr>
            <w:r>
              <w:rPr>
                <w:spacing w:val="-18"/>
                <w:sz w:val="21"/>
              </w:rPr>
              <w:t>（</w:t>
            </w:r>
            <w:r>
              <w:rPr>
                <w:rFonts w:ascii="Times New Roman" w:eastAsia="Times New Roman"/>
                <w:spacing w:val="-18"/>
                <w:sz w:val="21"/>
              </w:rPr>
              <w:t>3</w:t>
            </w:r>
            <w:r>
              <w:rPr>
                <w:spacing w:val="-18"/>
                <w:sz w:val="21"/>
              </w:rPr>
              <w:t>）</w:t>
            </w:r>
            <w:r>
              <w:rPr>
                <w:spacing w:val="-6"/>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554" w:type="dxa"/>
          </w:tcPr>
          <w:p>
            <w:pPr>
              <w:pStyle w:val="TableParagraph"/>
              <w:spacing w:before="81"/>
              <w:ind w:left="108"/>
              <w:rPr>
                <w:rFonts w:ascii="Times New Roman"/>
                <w:b/>
                <w:sz w:val="21"/>
              </w:rPr>
            </w:pPr>
            <w:r>
              <w:rPr>
                <w:rFonts w:ascii="Times New Roman"/>
                <w:b/>
                <w:sz w:val="21"/>
              </w:rPr>
              <w:t>3.</w:t>
            </w:r>
          </w:p>
        </w:tc>
        <w:tc>
          <w:tcPr>
            <w:tcW w:w="1340" w:type="dxa"/>
          </w:tcPr>
          <w:p>
            <w:pPr>
              <w:pStyle w:val="TableParagraph"/>
              <w:spacing w:line="261" w:lineRule="auto" w:before="32"/>
              <w:ind w:left="182" w:right="310"/>
              <w:rPr>
                <w:b/>
                <w:sz w:val="21"/>
              </w:rPr>
            </w:pPr>
            <w:r>
              <w:rPr>
                <w:b/>
                <w:sz w:val="21"/>
              </w:rPr>
              <w:t>脑中风后遗症：</w:t>
            </w:r>
          </w:p>
        </w:tc>
        <w:tc>
          <w:tcPr>
            <w:tcW w:w="7674" w:type="dxa"/>
          </w:tcPr>
          <w:p>
            <w:pPr>
              <w:pStyle w:val="TableParagraph"/>
              <w:spacing w:line="254" w:lineRule="auto" w:before="32"/>
              <w:ind w:right="99"/>
              <w:jc w:val="both"/>
              <w:rPr>
                <w:sz w:val="21"/>
              </w:rPr>
            </w:pPr>
            <w:r>
              <w:rPr>
                <w:spacing w:val="-8"/>
                <w:sz w:val="21"/>
              </w:rPr>
              <w:t>指因脑血管的突发病变引起脑血管出血、栓塞或梗塞，并导致神经系统永久性的功</w:t>
            </w:r>
            <w:r>
              <w:rPr>
                <w:spacing w:val="-13"/>
                <w:sz w:val="21"/>
              </w:rPr>
              <w:t>能障碍。神经系统永久性的功能障碍，指疾病确诊 </w:t>
            </w:r>
            <w:r>
              <w:rPr>
                <w:rFonts w:ascii="Times New Roman" w:eastAsia="Times New Roman"/>
                <w:sz w:val="21"/>
              </w:rPr>
              <w:t>180 </w:t>
            </w:r>
            <w:r>
              <w:rPr>
                <w:spacing w:val="-7"/>
                <w:sz w:val="21"/>
              </w:rPr>
              <w:t>日后，仍遗留下列一种或一</w:t>
            </w:r>
            <w:r>
              <w:rPr>
                <w:spacing w:val="-2"/>
                <w:sz w:val="21"/>
              </w:rPr>
              <w:t>种以上障碍：</w:t>
            </w:r>
          </w:p>
          <w:p>
            <w:pPr>
              <w:pStyle w:val="TableParagraph"/>
              <w:spacing w:before="12"/>
              <w:ind w:left="103"/>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ind w:left="103"/>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r>
              <w:rPr>
                <w:w w:val="100"/>
                <w:sz w:val="21"/>
              </w:rPr>
              <w:t>；</w:t>
            </w:r>
          </w:p>
          <w:p>
            <w:pPr>
              <w:pStyle w:val="TableParagraph"/>
              <w:spacing w:line="247" w:lineRule="auto" w:before="9"/>
              <w:ind w:left="628" w:right="91"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215" w:hRule="atLeast"/>
        </w:trPr>
        <w:tc>
          <w:tcPr>
            <w:tcW w:w="554" w:type="dxa"/>
          </w:tcPr>
          <w:p>
            <w:pPr>
              <w:pStyle w:val="TableParagraph"/>
              <w:spacing w:before="89"/>
              <w:ind w:left="108"/>
              <w:rPr>
                <w:rFonts w:ascii="Times New Roman"/>
                <w:b/>
                <w:sz w:val="21"/>
              </w:rPr>
            </w:pPr>
            <w:r>
              <w:rPr>
                <w:rFonts w:ascii="Times New Roman"/>
                <w:b/>
                <w:sz w:val="21"/>
              </w:rPr>
              <w:t>4.</w:t>
            </w:r>
          </w:p>
        </w:tc>
        <w:tc>
          <w:tcPr>
            <w:tcW w:w="1340" w:type="dxa"/>
          </w:tcPr>
          <w:p>
            <w:pPr>
              <w:pStyle w:val="TableParagraph"/>
              <w:spacing w:line="300" w:lineRule="atLeast" w:before="15"/>
              <w:ind w:left="182" w:right="99"/>
              <w:rPr>
                <w:b/>
                <w:sz w:val="21"/>
              </w:rPr>
            </w:pPr>
            <w:r>
              <w:rPr>
                <w:b/>
                <w:sz w:val="21"/>
              </w:rPr>
              <w:t>重大器官 移植术或 造血干细 胞移植术：</w:t>
            </w:r>
          </w:p>
        </w:tc>
        <w:tc>
          <w:tcPr>
            <w:tcW w:w="7674" w:type="dxa"/>
          </w:tcPr>
          <w:p>
            <w:pPr>
              <w:pStyle w:val="TableParagraph"/>
              <w:spacing w:line="261" w:lineRule="auto" w:before="40"/>
              <w:ind w:right="99"/>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300" w:lineRule="exact" w:before="11"/>
              <w:ind w:right="-15"/>
              <w:rPr>
                <w:sz w:val="21"/>
              </w:rPr>
            </w:pPr>
            <w:r>
              <w:rPr>
                <w:spacing w:val="-11"/>
                <w:sz w:val="21"/>
              </w:rPr>
              <w:t>造血干细胞移植术，指因造血功能损害或造血系统恶性肿瘤，已经实施了造血干细 </w:t>
            </w:r>
            <w:r>
              <w:rPr>
                <w:spacing w:val="-68"/>
                <w:sz w:val="21"/>
              </w:rPr>
              <w:t>胞</w:t>
            </w:r>
            <w:r>
              <w:rPr>
                <w:sz w:val="21"/>
              </w:rPr>
              <w:t>（</w:t>
            </w:r>
            <w:r>
              <w:rPr>
                <w:spacing w:val="-10"/>
                <w:sz w:val="21"/>
              </w:rPr>
              <w:t>包括骨髓造血干细胞、外周血造血干细胞和脐血造血干细胞</w:t>
            </w:r>
            <w:r>
              <w:rPr>
                <w:spacing w:val="-68"/>
                <w:sz w:val="21"/>
              </w:rPr>
              <w:t>）</w:t>
            </w:r>
            <w:r>
              <w:rPr>
                <w:spacing w:val="-3"/>
                <w:sz w:val="21"/>
              </w:rPr>
              <w:t>的异体移植手术。</w:t>
            </w:r>
          </w:p>
        </w:tc>
      </w:tr>
    </w:tbl>
    <w:p>
      <w:pPr>
        <w:spacing w:after="0" w:line="300" w:lineRule="exact"/>
        <w:rPr>
          <w:sz w:val="21"/>
        </w:rPr>
        <w:sectPr>
          <w:pgSz w:w="11910" w:h="16840"/>
          <w:pgMar w:top="142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1515" w:hRule="atLeast"/>
        </w:trPr>
        <w:tc>
          <w:tcPr>
            <w:tcW w:w="646" w:type="dxa"/>
          </w:tcPr>
          <w:p>
            <w:pPr>
              <w:pStyle w:val="TableParagraph"/>
              <w:spacing w:line="234" w:lineRule="exact"/>
              <w:ind w:left="77" w:right="162"/>
              <w:jc w:val="center"/>
              <w:rPr>
                <w:rFonts w:ascii="Times New Roman"/>
                <w:b/>
                <w:sz w:val="21"/>
              </w:rPr>
            </w:pPr>
            <w:r>
              <w:rPr>
                <w:rFonts w:ascii="Times New Roman"/>
                <w:b/>
                <w:sz w:val="21"/>
              </w:rPr>
              <w:t>5.</w:t>
            </w:r>
          </w:p>
        </w:tc>
        <w:tc>
          <w:tcPr>
            <w:tcW w:w="1340" w:type="dxa"/>
          </w:tcPr>
          <w:p>
            <w:pPr>
              <w:pStyle w:val="TableParagraph"/>
              <w:spacing w:line="218" w:lineRule="exact"/>
              <w:ind w:left="182"/>
              <w:rPr>
                <w:b/>
                <w:sz w:val="21"/>
              </w:rPr>
            </w:pPr>
            <w:r>
              <w:rPr>
                <w:b/>
                <w:sz w:val="21"/>
              </w:rPr>
              <w:t>冠状动脉</w:t>
            </w:r>
          </w:p>
          <w:p>
            <w:pPr>
              <w:pStyle w:val="TableParagraph"/>
              <w:spacing w:line="261" w:lineRule="auto" w:before="25"/>
              <w:ind w:left="182" w:right="108"/>
              <w:rPr>
                <w:b/>
                <w:sz w:val="21"/>
              </w:rPr>
            </w:pPr>
            <w:r>
              <w:rPr>
                <w:b/>
                <w:spacing w:val="-4"/>
                <w:sz w:val="21"/>
              </w:rPr>
              <w:t>搭桥术</w:t>
            </w:r>
            <w:r>
              <w:rPr>
                <w:b/>
                <w:sz w:val="21"/>
              </w:rPr>
              <w:t>（或称冠状动脉旁路移植术）：</w:t>
            </w:r>
          </w:p>
        </w:tc>
        <w:tc>
          <w:tcPr>
            <w:tcW w:w="7875" w:type="dxa"/>
          </w:tcPr>
          <w:p>
            <w:pPr>
              <w:pStyle w:val="TableParagraph"/>
              <w:spacing w:line="218" w:lineRule="exact"/>
              <w:rPr>
                <w:sz w:val="21"/>
              </w:rPr>
            </w:pPr>
            <w:r>
              <w:rPr>
                <w:sz w:val="21"/>
              </w:rPr>
              <w:t>指为治疗严重的冠心病，实际实施了开胸进行的冠状动脉血管旁路移植的手术。</w:t>
            </w:r>
          </w:p>
          <w:p>
            <w:pPr>
              <w:pStyle w:val="TableParagraph"/>
              <w:spacing w:line="261" w:lineRule="auto" w:before="25"/>
              <w:ind w:right="196"/>
              <w:rPr>
                <w:sz w:val="21"/>
              </w:rPr>
            </w:pPr>
            <w:r>
              <w:rPr>
                <w:spacing w:val="-17"/>
                <w:sz w:val="21"/>
              </w:rPr>
              <w:t>冠状动脉支架植入术、心导管球囊扩张术、激光射频技术及其它非开胸的介入手术、</w:t>
            </w:r>
            <w:r>
              <w:rPr>
                <w:spacing w:val="-7"/>
                <w:sz w:val="21"/>
              </w:rPr>
              <w:t>腔镜手术不在保障范围内。</w:t>
            </w:r>
          </w:p>
        </w:tc>
      </w:tr>
      <w:tr>
        <w:trPr>
          <w:trHeight w:val="1612" w:hRule="atLeast"/>
        </w:trPr>
        <w:tc>
          <w:tcPr>
            <w:tcW w:w="646" w:type="dxa"/>
          </w:tcPr>
          <w:p>
            <w:pPr>
              <w:pStyle w:val="TableParagraph"/>
              <w:spacing w:before="89"/>
              <w:ind w:left="77" w:right="162"/>
              <w:jc w:val="center"/>
              <w:rPr>
                <w:rFonts w:ascii="Times New Roman"/>
                <w:b/>
                <w:sz w:val="21"/>
              </w:rPr>
            </w:pPr>
            <w:r>
              <w:rPr>
                <w:rFonts w:ascii="Times New Roman"/>
                <w:b/>
                <w:sz w:val="21"/>
              </w:rPr>
              <w:t>6.</w:t>
            </w:r>
          </w:p>
        </w:tc>
        <w:tc>
          <w:tcPr>
            <w:tcW w:w="1340" w:type="dxa"/>
          </w:tcPr>
          <w:p>
            <w:pPr>
              <w:pStyle w:val="TableParagraph"/>
              <w:spacing w:line="261" w:lineRule="auto" w:before="40"/>
              <w:ind w:left="182" w:right="108"/>
              <w:rPr>
                <w:b/>
                <w:sz w:val="21"/>
              </w:rPr>
            </w:pPr>
            <w:r>
              <w:rPr>
                <w:b/>
                <w:sz w:val="21"/>
              </w:rPr>
              <w:t>终末期肾 </w:t>
            </w:r>
            <w:r>
              <w:rPr>
                <w:b/>
                <w:spacing w:val="-10"/>
                <w:sz w:val="21"/>
              </w:rPr>
              <w:t>病</w:t>
            </w:r>
            <w:r>
              <w:rPr>
                <w:b/>
                <w:sz w:val="21"/>
              </w:rPr>
              <w:t>（或称慢性肾功能衰竭尿毒症期）：</w:t>
            </w:r>
          </w:p>
        </w:tc>
        <w:tc>
          <w:tcPr>
            <w:tcW w:w="7875" w:type="dxa"/>
          </w:tcPr>
          <w:p>
            <w:pPr>
              <w:pStyle w:val="TableParagraph"/>
              <w:spacing w:line="247" w:lineRule="auto" w:before="40"/>
              <w:ind w:right="242"/>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1920" w:hRule="atLeast"/>
        </w:trPr>
        <w:tc>
          <w:tcPr>
            <w:tcW w:w="646" w:type="dxa"/>
          </w:tcPr>
          <w:p>
            <w:pPr>
              <w:pStyle w:val="TableParagraph"/>
              <w:spacing w:before="89"/>
              <w:ind w:left="77" w:right="162"/>
              <w:jc w:val="center"/>
              <w:rPr>
                <w:rFonts w:ascii="Times New Roman"/>
                <w:b/>
                <w:sz w:val="21"/>
              </w:rPr>
            </w:pPr>
            <w:r>
              <w:rPr>
                <w:rFonts w:ascii="Times New Roman"/>
                <w:b/>
                <w:sz w:val="21"/>
              </w:rPr>
              <w:t>7.</w:t>
            </w:r>
          </w:p>
        </w:tc>
        <w:tc>
          <w:tcPr>
            <w:tcW w:w="1340" w:type="dxa"/>
          </w:tcPr>
          <w:p>
            <w:pPr>
              <w:pStyle w:val="TableParagraph"/>
              <w:spacing w:line="261" w:lineRule="auto" w:before="40"/>
              <w:ind w:left="182" w:right="310"/>
              <w:jc w:val="both"/>
              <w:rPr>
                <w:b/>
                <w:sz w:val="21"/>
              </w:rPr>
            </w:pPr>
            <w:r>
              <w:rPr>
                <w:b/>
                <w:sz w:val="21"/>
              </w:rPr>
              <w:t>急性或亚急性重症肝炎：</w:t>
            </w:r>
          </w:p>
        </w:tc>
        <w:tc>
          <w:tcPr>
            <w:tcW w:w="7875" w:type="dxa"/>
          </w:tcPr>
          <w:p>
            <w:pPr>
              <w:pStyle w:val="TableParagraph"/>
              <w:spacing w:line="261" w:lineRule="auto" w:before="40"/>
              <w:ind w:right="300"/>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6"/>
              <w:rPr>
                <w:sz w:val="21"/>
              </w:rPr>
            </w:pPr>
            <w:r>
              <w:rPr>
                <w:sz w:val="21"/>
              </w:rPr>
              <w:t>（</w:t>
            </w:r>
            <w:r>
              <w:rPr>
                <w:rFonts w:ascii="Times New Roman" w:eastAsia="Times New Roman"/>
                <w:sz w:val="21"/>
              </w:rPr>
              <w:t>1</w:t>
            </w:r>
            <w:r>
              <w:rPr>
                <w:sz w:val="21"/>
              </w:rPr>
              <w:t>）重度黄疸或黄疸迅速加重；</w:t>
            </w:r>
          </w:p>
          <w:p>
            <w:pPr>
              <w:pStyle w:val="TableParagraph"/>
              <w:spacing w:before="9"/>
              <w:ind w:left="103"/>
              <w:rPr>
                <w:sz w:val="21"/>
              </w:rPr>
            </w:pPr>
            <w:r>
              <w:rPr>
                <w:sz w:val="21"/>
              </w:rPr>
              <w:t>（</w:t>
            </w:r>
            <w:r>
              <w:rPr>
                <w:rFonts w:ascii="Times New Roman" w:eastAsia="Times New Roman"/>
                <w:sz w:val="21"/>
              </w:rPr>
              <w:t>2</w:t>
            </w:r>
            <w:r>
              <w:rPr>
                <w:sz w:val="21"/>
              </w:rPr>
              <w:t>）肝性脑病；</w:t>
            </w:r>
          </w:p>
          <w:p>
            <w:pPr>
              <w:pStyle w:val="TableParagraph"/>
              <w:spacing w:before="9"/>
              <w:ind w:left="10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103"/>
              <w:rPr>
                <w:sz w:val="21"/>
              </w:rPr>
            </w:pPr>
            <w:r>
              <w:rPr>
                <w:sz w:val="21"/>
              </w:rPr>
              <w:t>（</w:t>
            </w:r>
            <w:r>
              <w:rPr>
                <w:rFonts w:ascii="Times New Roman" w:eastAsia="Times New Roman"/>
                <w:sz w:val="21"/>
              </w:rPr>
              <w:t>4</w:t>
            </w:r>
            <w:r>
              <w:rPr>
                <w:sz w:val="21"/>
              </w:rPr>
              <w:t>）肝功能指标进行性恶化。</w:t>
            </w:r>
          </w:p>
        </w:tc>
      </w:tr>
      <w:tr>
        <w:trPr>
          <w:trHeight w:val="2204" w:hRule="atLeast"/>
        </w:trPr>
        <w:tc>
          <w:tcPr>
            <w:tcW w:w="646" w:type="dxa"/>
          </w:tcPr>
          <w:p>
            <w:pPr>
              <w:pStyle w:val="TableParagraph"/>
              <w:spacing w:before="81"/>
              <w:ind w:left="77" w:right="162"/>
              <w:jc w:val="center"/>
              <w:rPr>
                <w:rFonts w:ascii="Times New Roman"/>
                <w:b/>
                <w:sz w:val="21"/>
              </w:rPr>
            </w:pPr>
            <w:r>
              <w:rPr>
                <w:rFonts w:ascii="Times New Roman"/>
                <w:b/>
                <w:sz w:val="21"/>
              </w:rPr>
              <w:t>8.</w:t>
            </w:r>
          </w:p>
        </w:tc>
        <w:tc>
          <w:tcPr>
            <w:tcW w:w="1340" w:type="dxa"/>
          </w:tcPr>
          <w:p>
            <w:pPr>
              <w:pStyle w:val="TableParagraph"/>
              <w:spacing w:line="261" w:lineRule="auto" w:before="32"/>
              <w:ind w:left="182" w:right="310"/>
              <w:rPr>
                <w:b/>
                <w:sz w:val="21"/>
              </w:rPr>
            </w:pPr>
            <w:r>
              <w:rPr>
                <w:b/>
                <w:sz w:val="21"/>
              </w:rPr>
              <w:t>良性脑肿瘤：</w:t>
            </w:r>
          </w:p>
        </w:tc>
        <w:tc>
          <w:tcPr>
            <w:tcW w:w="7875" w:type="dxa"/>
          </w:tcPr>
          <w:p>
            <w:pPr>
              <w:pStyle w:val="TableParagraph"/>
              <w:spacing w:line="261" w:lineRule="auto" w:before="32"/>
              <w:ind w:right="204"/>
              <w:rPr>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p>
          <w:p>
            <w:pPr>
              <w:pStyle w:val="TableParagraph"/>
              <w:spacing w:line="247" w:lineRule="auto"/>
              <w:ind w:right="251"/>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ind w:left="103"/>
              <w:rPr>
                <w:sz w:val="21"/>
              </w:rPr>
            </w:pPr>
            <w:r>
              <w:rPr>
                <w:sz w:val="21"/>
              </w:rPr>
              <w:t>脑垂体瘤、脑囊肿、脑血管性疾病不在保障范围内。</w:t>
            </w:r>
          </w:p>
        </w:tc>
      </w:tr>
      <w:tr>
        <w:trPr>
          <w:trHeight w:val="1912" w:hRule="atLeast"/>
        </w:trPr>
        <w:tc>
          <w:tcPr>
            <w:tcW w:w="646" w:type="dxa"/>
          </w:tcPr>
          <w:p>
            <w:pPr>
              <w:pStyle w:val="TableParagraph"/>
              <w:spacing w:before="90"/>
              <w:ind w:left="77" w:right="162"/>
              <w:jc w:val="center"/>
              <w:rPr>
                <w:rFonts w:ascii="Times New Roman"/>
                <w:b/>
                <w:sz w:val="21"/>
              </w:rPr>
            </w:pPr>
            <w:r>
              <w:rPr>
                <w:rFonts w:ascii="Times New Roman"/>
                <w:b/>
                <w:sz w:val="21"/>
              </w:rPr>
              <w:t>9.</w:t>
            </w:r>
          </w:p>
        </w:tc>
        <w:tc>
          <w:tcPr>
            <w:tcW w:w="1340" w:type="dxa"/>
          </w:tcPr>
          <w:p>
            <w:pPr>
              <w:pStyle w:val="TableParagraph"/>
              <w:spacing w:line="261" w:lineRule="auto" w:before="40"/>
              <w:ind w:left="182" w:right="310"/>
              <w:jc w:val="both"/>
              <w:rPr>
                <w:b/>
                <w:sz w:val="21"/>
              </w:rPr>
            </w:pPr>
            <w:r>
              <w:rPr>
                <w:b/>
                <w:sz w:val="21"/>
              </w:rPr>
              <w:t>慢性肝功能衰竭失代偿期：</w:t>
            </w:r>
          </w:p>
        </w:tc>
        <w:tc>
          <w:tcPr>
            <w:tcW w:w="7875" w:type="dxa"/>
          </w:tcPr>
          <w:p>
            <w:pPr>
              <w:pStyle w:val="TableParagraph"/>
              <w:spacing w:before="40"/>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8"/>
              <w:rPr>
                <w:sz w:val="21"/>
              </w:rPr>
            </w:pPr>
            <w:r>
              <w:rPr>
                <w:sz w:val="21"/>
              </w:rPr>
              <w:t>（</w:t>
            </w:r>
            <w:r>
              <w:rPr>
                <w:rFonts w:ascii="Times New Roman" w:eastAsia="Times New Roman"/>
                <w:sz w:val="21"/>
              </w:rPr>
              <w:t>2</w:t>
            </w:r>
            <w:r>
              <w:rPr>
                <w:sz w:val="21"/>
              </w:rPr>
              <w:t>）腹水；</w:t>
            </w:r>
          </w:p>
          <w:p>
            <w:pPr>
              <w:pStyle w:val="TableParagraph"/>
              <w:spacing w:before="8"/>
              <w:rPr>
                <w:sz w:val="21"/>
              </w:rPr>
            </w:pPr>
            <w:r>
              <w:rPr>
                <w:sz w:val="21"/>
              </w:rPr>
              <w:t>（</w:t>
            </w:r>
            <w:r>
              <w:rPr>
                <w:rFonts w:ascii="Times New Roman" w:eastAsia="Times New Roman"/>
                <w:sz w:val="21"/>
              </w:rPr>
              <w:t>3</w:t>
            </w:r>
            <w:r>
              <w:rPr>
                <w:sz w:val="21"/>
              </w:rPr>
              <w:t>）肝性脑病；</w:t>
            </w:r>
          </w:p>
          <w:p>
            <w:pPr>
              <w:pStyle w:val="TableParagraph"/>
              <w:spacing w:line="247" w:lineRule="auto" w:before="8"/>
              <w:ind w:right="262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4" w:hRule="atLeast"/>
        </w:trPr>
        <w:tc>
          <w:tcPr>
            <w:tcW w:w="646" w:type="dxa"/>
          </w:tcPr>
          <w:p>
            <w:pPr>
              <w:pStyle w:val="TableParagraph"/>
              <w:spacing w:before="90"/>
              <w:ind w:left="163" w:right="145"/>
              <w:jc w:val="center"/>
              <w:rPr>
                <w:rFonts w:ascii="Times New Roman"/>
                <w:b/>
                <w:sz w:val="21"/>
              </w:rPr>
            </w:pPr>
            <w:r>
              <w:rPr>
                <w:rFonts w:ascii="Times New Roman"/>
                <w:b/>
                <w:sz w:val="21"/>
              </w:rPr>
              <w:t>10.</w:t>
            </w:r>
          </w:p>
        </w:tc>
        <w:tc>
          <w:tcPr>
            <w:tcW w:w="1340" w:type="dxa"/>
          </w:tcPr>
          <w:p>
            <w:pPr>
              <w:pStyle w:val="TableParagraph"/>
              <w:spacing w:line="261" w:lineRule="auto" w:before="40"/>
              <w:ind w:left="182" w:right="99"/>
              <w:rPr>
                <w:b/>
                <w:sz w:val="21"/>
              </w:rPr>
            </w:pPr>
            <w:r>
              <w:rPr>
                <w:b/>
                <w:sz w:val="21"/>
              </w:rPr>
              <w:t>脑炎后遗 症或脑膜 炎后遗症：</w:t>
            </w:r>
          </w:p>
        </w:tc>
        <w:tc>
          <w:tcPr>
            <w:tcW w:w="7875" w:type="dxa"/>
          </w:tcPr>
          <w:p>
            <w:pPr>
              <w:pStyle w:val="TableParagraph"/>
              <w:spacing w:line="261" w:lineRule="auto" w:before="40"/>
              <w:ind w:right="300"/>
              <w:rPr>
                <w:sz w:val="21"/>
              </w:rPr>
            </w:pPr>
            <w:r>
              <w:rPr>
                <w:spacing w:val="-7"/>
                <w:sz w:val="21"/>
              </w:rPr>
              <w:t>指因患脑炎或脑膜炎导致的神经系统永久性的功能障碍。神经系统永久性的功能障</w:t>
            </w:r>
            <w:r>
              <w:rPr>
                <w:spacing w:val="-8"/>
                <w:sz w:val="21"/>
              </w:rPr>
              <w:t>碍，指疾病确诊 </w:t>
            </w:r>
            <w:r>
              <w:rPr>
                <w:rFonts w:ascii="Times New Roman" w:eastAsia="Times New Roman"/>
                <w:sz w:val="21"/>
              </w:rPr>
              <w:t>180 </w:t>
            </w:r>
            <w:r>
              <w:rPr>
                <w:spacing w:val="-3"/>
                <w:sz w:val="21"/>
              </w:rPr>
              <w:t>日后，仍遗留下列一种或一种以上障碍：</w:t>
            </w:r>
          </w:p>
          <w:p>
            <w:pPr>
              <w:pStyle w:val="TableParagraph"/>
              <w:spacing w:line="279" w:lineRule="exact"/>
              <w:ind w:left="103"/>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ind w:left="10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9" w:right="30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4" w:hRule="atLeast"/>
        </w:trPr>
        <w:tc>
          <w:tcPr>
            <w:tcW w:w="646" w:type="dxa"/>
          </w:tcPr>
          <w:p>
            <w:pPr>
              <w:pStyle w:val="TableParagraph"/>
              <w:spacing w:before="91"/>
              <w:ind w:left="146" w:right="162"/>
              <w:jc w:val="center"/>
              <w:rPr>
                <w:rFonts w:ascii="Times New Roman"/>
                <w:b/>
                <w:sz w:val="21"/>
              </w:rPr>
            </w:pPr>
            <w:r>
              <w:rPr>
                <w:rFonts w:ascii="Times New Roman"/>
                <w:b/>
                <w:sz w:val="21"/>
              </w:rPr>
              <w:t>11.</w:t>
            </w:r>
          </w:p>
        </w:tc>
        <w:tc>
          <w:tcPr>
            <w:tcW w:w="1340" w:type="dxa"/>
          </w:tcPr>
          <w:p>
            <w:pPr>
              <w:pStyle w:val="TableParagraph"/>
              <w:spacing w:before="41"/>
              <w:ind w:left="182"/>
              <w:rPr>
                <w:b/>
                <w:sz w:val="21"/>
              </w:rPr>
            </w:pPr>
            <w:r>
              <w:rPr>
                <w:b/>
                <w:sz w:val="21"/>
              </w:rPr>
              <w:t>深度昏迷：</w:t>
            </w:r>
          </w:p>
        </w:tc>
        <w:tc>
          <w:tcPr>
            <w:tcW w:w="7875" w:type="dxa"/>
          </w:tcPr>
          <w:p>
            <w:pPr>
              <w:pStyle w:val="TableParagraph"/>
              <w:spacing w:line="247" w:lineRule="auto" w:before="41"/>
              <w:ind w:right="300"/>
              <w:jc w:val="both"/>
              <w:rPr>
                <w:sz w:val="21"/>
              </w:rPr>
            </w:pPr>
            <w:r>
              <w:rPr>
                <w:spacing w:val="-3"/>
                <w:sz w:val="21"/>
              </w:rPr>
              <w:t>指因疾病或意外伤害导致意识丧失</w:t>
            </w:r>
            <w:r>
              <w:rPr>
                <w:rFonts w:ascii="Times New Roman" w:eastAsia="Times New Roman"/>
                <w:sz w:val="21"/>
              </w:rPr>
              <w:t>,</w:t>
            </w:r>
            <w:r>
              <w:rPr>
                <w:spacing w:val="-3"/>
                <w:sz w:val="21"/>
              </w:rPr>
              <w:t>对外界刺激和体内需求均无反应</w:t>
            </w:r>
            <w:r>
              <w:rPr>
                <w:rFonts w:ascii="Times New Roman" w:eastAsia="Times New Roman"/>
                <w:sz w:val="21"/>
              </w:rPr>
              <w:t>,</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3"/>
                <w:sz w:val="21"/>
              </w:rPr>
              <w:t>分以下，且已经持续使</w:t>
            </w:r>
            <w:r>
              <w:rPr>
                <w:spacing w:val="-6"/>
                <w:sz w:val="21"/>
              </w:rPr>
              <w:t>用呼吸机及其它生命维持系统 </w:t>
            </w:r>
            <w:r>
              <w:rPr>
                <w:rFonts w:ascii="Times New Roman" w:eastAsia="Times New Roman"/>
                <w:sz w:val="21"/>
              </w:rPr>
              <w:t>96 </w:t>
            </w:r>
            <w:r>
              <w:rPr>
                <w:spacing w:val="-3"/>
                <w:sz w:val="21"/>
              </w:rPr>
              <w:t>小时以上。</w:t>
            </w:r>
          </w:p>
          <w:p>
            <w:pPr>
              <w:pStyle w:val="TableParagraph"/>
              <w:spacing w:before="1"/>
              <w:ind w:left="103"/>
              <w:jc w:val="both"/>
              <w:rPr>
                <w:sz w:val="21"/>
              </w:rPr>
            </w:pPr>
            <w:r>
              <w:rPr>
                <w:sz w:val="21"/>
              </w:rPr>
              <w:t>因酗酒或药物滥用导致的深度昏迷不在保障范围内。</w:t>
            </w:r>
          </w:p>
        </w:tc>
      </w:tr>
      <w:tr>
        <w:trPr>
          <w:trHeight w:val="1012" w:hRule="atLeast"/>
        </w:trPr>
        <w:tc>
          <w:tcPr>
            <w:tcW w:w="646" w:type="dxa"/>
          </w:tcPr>
          <w:p>
            <w:pPr>
              <w:pStyle w:val="TableParagraph"/>
              <w:spacing w:before="89"/>
              <w:ind w:left="163" w:right="145"/>
              <w:jc w:val="center"/>
              <w:rPr>
                <w:rFonts w:ascii="Times New Roman"/>
                <w:b/>
                <w:sz w:val="21"/>
              </w:rPr>
            </w:pPr>
            <w:r>
              <w:rPr>
                <w:rFonts w:ascii="Times New Roman"/>
                <w:b/>
                <w:sz w:val="21"/>
              </w:rPr>
              <w:t>12.</w:t>
            </w:r>
          </w:p>
        </w:tc>
        <w:tc>
          <w:tcPr>
            <w:tcW w:w="1340" w:type="dxa"/>
          </w:tcPr>
          <w:p>
            <w:pPr>
              <w:pStyle w:val="TableParagraph"/>
              <w:spacing w:before="40"/>
              <w:ind w:left="182"/>
              <w:rPr>
                <w:b/>
                <w:sz w:val="21"/>
              </w:rPr>
            </w:pPr>
            <w:r>
              <w:rPr>
                <w:b/>
                <w:sz w:val="21"/>
              </w:rPr>
              <w:t>双耳失聪：</w:t>
            </w:r>
          </w:p>
        </w:tc>
        <w:tc>
          <w:tcPr>
            <w:tcW w:w="7875" w:type="dxa"/>
          </w:tcPr>
          <w:p>
            <w:pPr>
              <w:pStyle w:val="TableParagraph"/>
              <w:spacing w:line="247" w:lineRule="auto" w:before="40"/>
              <w:ind w:right="303"/>
              <w:jc w:val="both"/>
              <w:rPr>
                <w:sz w:val="21"/>
              </w:rPr>
            </w:pPr>
            <w:r>
              <w:rPr>
                <w:spacing w:val="-3"/>
                <w:sz w:val="21"/>
              </w:rPr>
              <w:t>指因疾病或意外伤害导致双耳听力</w:t>
            </w:r>
            <w:r>
              <w:rPr>
                <w:b/>
                <w:spacing w:val="-3"/>
                <w:sz w:val="21"/>
              </w:rPr>
              <w:t>永久不可逆</w:t>
            </w:r>
            <w:r>
              <w:rPr>
                <w:spacing w:val="-3"/>
                <w:sz w:val="21"/>
              </w:rPr>
              <w:t>（</w:t>
            </w:r>
            <w:r>
              <w:rPr>
                <w:spacing w:val="-23"/>
                <w:sz w:val="21"/>
              </w:rPr>
              <w:t>注 </w:t>
            </w:r>
            <w:r>
              <w:rPr>
                <w:rFonts w:ascii="Times New Roman" w:eastAsia="Times New Roman"/>
                <w:spacing w:val="-7"/>
                <w:sz w:val="21"/>
              </w:rPr>
              <w:t>5</w:t>
            </w:r>
            <w:r>
              <w:rPr>
                <w:spacing w:val="-7"/>
                <w:sz w:val="21"/>
              </w:rPr>
              <w:t>）</w:t>
            </w:r>
            <w:r>
              <w:rPr>
                <w:spacing w:val="-12"/>
                <w:sz w:val="21"/>
              </w:rPr>
              <w:t>性丧失，在 </w:t>
            </w:r>
            <w:r>
              <w:rPr>
                <w:rFonts w:ascii="Times New Roman" w:eastAsia="Times New Roman"/>
                <w:sz w:val="21"/>
              </w:rPr>
              <w:t>500 </w:t>
            </w:r>
            <w:r>
              <w:rPr>
                <w:spacing w:val="-7"/>
                <w:sz w:val="21"/>
              </w:rPr>
              <w:t>赫兹、</w:t>
            </w:r>
            <w:r>
              <w:rPr>
                <w:rFonts w:ascii="Times New Roman" w:eastAsia="Times New Roman"/>
                <w:sz w:val="21"/>
              </w:rPr>
              <w:t>1000 </w:t>
            </w:r>
            <w:r>
              <w:rPr>
                <w:spacing w:val="-13"/>
                <w:sz w:val="21"/>
              </w:rPr>
              <w:t>赫兹和 </w:t>
            </w:r>
            <w:r>
              <w:rPr>
                <w:rFonts w:ascii="Times New Roman" w:eastAsia="Times New Roman"/>
                <w:sz w:val="21"/>
              </w:rPr>
              <w:t>2000 </w:t>
            </w:r>
            <w:r>
              <w:rPr>
                <w:spacing w:val="-10"/>
                <w:sz w:val="21"/>
              </w:rPr>
              <w:t>赫兹语音频率下，平均听阈大于 </w:t>
            </w:r>
            <w:r>
              <w:rPr>
                <w:rFonts w:ascii="Times New Roman" w:eastAsia="Times New Roman"/>
                <w:sz w:val="21"/>
              </w:rPr>
              <w:t>90 </w:t>
            </w:r>
            <w:r>
              <w:rPr>
                <w:spacing w:val="-10"/>
                <w:sz w:val="21"/>
              </w:rPr>
              <w:t>分贝，且经纯音听力测试、声导抗</w:t>
            </w:r>
            <w:r>
              <w:rPr>
                <w:spacing w:val="-3"/>
                <w:sz w:val="21"/>
              </w:rPr>
              <w:t>检测或听觉诱发电位检测等证实。</w:t>
            </w:r>
          </w:p>
        </w:tc>
      </w:tr>
      <w:tr>
        <w:trPr>
          <w:trHeight w:val="331" w:hRule="atLeast"/>
        </w:trPr>
        <w:tc>
          <w:tcPr>
            <w:tcW w:w="646" w:type="dxa"/>
          </w:tcPr>
          <w:p>
            <w:pPr>
              <w:pStyle w:val="TableParagraph"/>
              <w:spacing w:line="222" w:lineRule="exact" w:before="89"/>
              <w:ind w:left="163" w:right="145"/>
              <w:jc w:val="center"/>
              <w:rPr>
                <w:rFonts w:ascii="Times New Roman"/>
                <w:b/>
                <w:sz w:val="21"/>
              </w:rPr>
            </w:pPr>
            <w:r>
              <w:rPr>
                <w:rFonts w:ascii="Times New Roman"/>
                <w:b/>
                <w:sz w:val="21"/>
              </w:rPr>
              <w:t>13.</w:t>
            </w:r>
          </w:p>
        </w:tc>
        <w:tc>
          <w:tcPr>
            <w:tcW w:w="1340" w:type="dxa"/>
          </w:tcPr>
          <w:p>
            <w:pPr>
              <w:pStyle w:val="TableParagraph"/>
              <w:spacing w:line="271" w:lineRule="exact" w:before="40"/>
              <w:ind w:left="182"/>
              <w:rPr>
                <w:b/>
                <w:sz w:val="21"/>
              </w:rPr>
            </w:pPr>
            <w:r>
              <w:rPr>
                <w:b/>
                <w:sz w:val="21"/>
              </w:rPr>
              <w:t>瘫痪：</w:t>
            </w:r>
          </w:p>
        </w:tc>
        <w:tc>
          <w:tcPr>
            <w:tcW w:w="7875" w:type="dxa"/>
          </w:tcPr>
          <w:p>
            <w:pPr>
              <w:pStyle w:val="TableParagraph"/>
              <w:spacing w:line="271" w:lineRule="exact" w:before="40"/>
              <w:rPr>
                <w:sz w:val="21"/>
              </w:rPr>
            </w:pPr>
            <w:r>
              <w:rPr>
                <w:sz w:val="21"/>
              </w:rPr>
              <w:t>指因疾病或意外伤害导致两肢或两肢以上肢体机能永久完全丧失。肢体机能永久完</w:t>
            </w:r>
          </w:p>
        </w:tc>
      </w:tr>
    </w:tbl>
    <w:p>
      <w:pPr>
        <w:spacing w:after="0" w:line="271" w:lineRule="exact"/>
        <w:rPr>
          <w:sz w:val="21"/>
        </w:rPr>
        <w:sectPr>
          <w:pgSz w:w="11910" w:h="16840"/>
          <w:pgMar w:top="15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615" w:hRule="atLeast"/>
        </w:trPr>
        <w:tc>
          <w:tcPr>
            <w:tcW w:w="646" w:type="dxa"/>
          </w:tcPr>
          <w:p>
            <w:pPr>
              <w:pStyle w:val="TableParagraph"/>
              <w:ind w:left="0"/>
              <w:rPr>
                <w:rFonts w:ascii="Times New Roman"/>
                <w:sz w:val="20"/>
              </w:rPr>
            </w:pPr>
          </w:p>
        </w:tc>
        <w:tc>
          <w:tcPr>
            <w:tcW w:w="1340" w:type="dxa"/>
          </w:tcPr>
          <w:p>
            <w:pPr>
              <w:pStyle w:val="TableParagraph"/>
              <w:ind w:left="0"/>
              <w:rPr>
                <w:rFonts w:ascii="Times New Roman"/>
                <w:sz w:val="20"/>
              </w:rPr>
            </w:pPr>
          </w:p>
        </w:tc>
        <w:tc>
          <w:tcPr>
            <w:tcW w:w="7875" w:type="dxa"/>
          </w:tcPr>
          <w:p>
            <w:pPr>
              <w:pStyle w:val="TableParagraph"/>
              <w:spacing w:line="227" w:lineRule="exact"/>
              <w:rPr>
                <w:sz w:val="21"/>
              </w:rPr>
            </w:pPr>
            <w:r>
              <w:rPr>
                <w:sz w:val="21"/>
              </w:rPr>
              <w:t>全丧失，指疾病确诊 </w:t>
            </w:r>
            <w:r>
              <w:rPr>
                <w:rFonts w:ascii="Times New Roman" w:eastAsia="Times New Roman"/>
                <w:sz w:val="21"/>
              </w:rPr>
              <w:t>180 </w:t>
            </w:r>
            <w:r>
              <w:rPr>
                <w:sz w:val="21"/>
              </w:rPr>
              <w:t>日后或意外伤害发生 </w:t>
            </w:r>
            <w:r>
              <w:rPr>
                <w:rFonts w:ascii="Times New Roman" w:eastAsia="Times New Roman"/>
                <w:sz w:val="21"/>
              </w:rPr>
              <w:t>180 </w:t>
            </w:r>
            <w:r>
              <w:rPr>
                <w:sz w:val="21"/>
              </w:rPr>
              <w:t>日后，每肢三大关节中的两大关</w:t>
            </w:r>
          </w:p>
          <w:p>
            <w:pPr>
              <w:pStyle w:val="TableParagraph"/>
              <w:spacing w:before="9"/>
              <w:ind w:left="103"/>
              <w:rPr>
                <w:sz w:val="21"/>
              </w:rPr>
            </w:pPr>
            <w:r>
              <w:rPr>
                <w:sz w:val="21"/>
              </w:rPr>
              <w:t>节仍然完全僵硬，或不能随意识活动。</w:t>
            </w:r>
          </w:p>
        </w:tc>
      </w:tr>
      <w:tr>
        <w:trPr>
          <w:trHeight w:val="712" w:hRule="atLeast"/>
        </w:trPr>
        <w:tc>
          <w:tcPr>
            <w:tcW w:w="646" w:type="dxa"/>
          </w:tcPr>
          <w:p>
            <w:pPr>
              <w:pStyle w:val="TableParagraph"/>
              <w:spacing w:before="83"/>
              <w:ind w:left="163" w:right="145"/>
              <w:jc w:val="center"/>
              <w:rPr>
                <w:rFonts w:ascii="Times New Roman"/>
                <w:b/>
                <w:sz w:val="21"/>
              </w:rPr>
            </w:pPr>
            <w:r>
              <w:rPr>
                <w:rFonts w:ascii="Times New Roman"/>
                <w:b/>
                <w:sz w:val="21"/>
              </w:rPr>
              <w:t>14.</w:t>
            </w:r>
          </w:p>
        </w:tc>
        <w:tc>
          <w:tcPr>
            <w:tcW w:w="1340" w:type="dxa"/>
          </w:tcPr>
          <w:p>
            <w:pPr>
              <w:pStyle w:val="TableParagraph"/>
              <w:spacing w:line="261" w:lineRule="auto" w:before="34"/>
              <w:ind w:left="182" w:right="310"/>
              <w:rPr>
                <w:b/>
                <w:sz w:val="21"/>
              </w:rPr>
            </w:pPr>
            <w:r>
              <w:rPr>
                <w:b/>
                <w:sz w:val="21"/>
              </w:rPr>
              <w:t>心脏瓣膜手术：</w:t>
            </w:r>
          </w:p>
        </w:tc>
        <w:tc>
          <w:tcPr>
            <w:tcW w:w="7875" w:type="dxa"/>
          </w:tcPr>
          <w:p>
            <w:pPr>
              <w:pStyle w:val="TableParagraph"/>
              <w:spacing w:before="34"/>
              <w:rPr>
                <w:sz w:val="21"/>
              </w:rPr>
            </w:pPr>
            <w:r>
              <w:rPr>
                <w:sz w:val="21"/>
              </w:rPr>
              <w:t>指为治疗心脏瓣膜疾病，实际实施了开胸进行的心脏瓣膜置换或修复的手术。</w:t>
            </w:r>
          </w:p>
        </w:tc>
      </w:tr>
      <w:tr>
        <w:trPr>
          <w:trHeight w:val="1912" w:hRule="atLeast"/>
        </w:trPr>
        <w:tc>
          <w:tcPr>
            <w:tcW w:w="646" w:type="dxa"/>
          </w:tcPr>
          <w:p>
            <w:pPr>
              <w:pStyle w:val="TableParagraph"/>
              <w:spacing w:before="83"/>
              <w:ind w:left="163" w:right="145"/>
              <w:jc w:val="center"/>
              <w:rPr>
                <w:rFonts w:ascii="Times New Roman"/>
                <w:b/>
                <w:sz w:val="21"/>
              </w:rPr>
            </w:pPr>
            <w:r>
              <w:rPr>
                <w:rFonts w:ascii="Times New Roman"/>
                <w:b/>
                <w:sz w:val="21"/>
              </w:rPr>
              <w:t>15.</w:t>
            </w:r>
          </w:p>
        </w:tc>
        <w:tc>
          <w:tcPr>
            <w:tcW w:w="1340" w:type="dxa"/>
          </w:tcPr>
          <w:p>
            <w:pPr>
              <w:pStyle w:val="TableParagraph"/>
              <w:spacing w:line="261" w:lineRule="auto" w:before="33"/>
              <w:ind w:left="182" w:right="99"/>
              <w:rPr>
                <w:b/>
                <w:sz w:val="21"/>
              </w:rPr>
            </w:pPr>
            <w:r>
              <w:rPr>
                <w:b/>
                <w:sz w:val="21"/>
              </w:rPr>
              <w:t>严重阿尔 茨海默病：</w:t>
            </w:r>
          </w:p>
        </w:tc>
        <w:tc>
          <w:tcPr>
            <w:tcW w:w="7875" w:type="dxa"/>
          </w:tcPr>
          <w:p>
            <w:pPr>
              <w:pStyle w:val="TableParagraph"/>
              <w:spacing w:line="259" w:lineRule="auto" w:before="33"/>
              <w:ind w:right="300"/>
              <w:jc w:val="both"/>
              <w:rPr>
                <w:sz w:val="21"/>
              </w:rPr>
            </w:pPr>
            <w:r>
              <w:rPr>
                <w:spacing w:val="-11"/>
                <w:sz w:val="21"/>
              </w:rPr>
              <w:t>指因大脑进行性、不可逆性改变导致智能严重衰退或丧失，临床表现为明显的认知</w:t>
            </w:r>
            <w:r>
              <w:rPr>
                <w:spacing w:val="-10"/>
                <w:sz w:val="21"/>
              </w:rPr>
              <w:t>能力障碍、行为异常和社交能力减退，其日常生活必须持续受到他人监护。须由头</w:t>
            </w:r>
            <w:r>
              <w:rPr>
                <w:spacing w:val="-4"/>
                <w:sz w:val="21"/>
              </w:rPr>
              <w:t>颅断层扫描</w:t>
            </w:r>
            <w:r>
              <w:rPr>
                <w:spacing w:val="-5"/>
                <w:sz w:val="21"/>
              </w:rPr>
              <w:t>（</w:t>
            </w:r>
            <w:r>
              <w:rPr>
                <w:rFonts w:ascii="Times New Roman" w:eastAsia="Times New Roman"/>
                <w:spacing w:val="-5"/>
                <w:sz w:val="21"/>
              </w:rPr>
              <w:t>CT</w:t>
            </w:r>
            <w:r>
              <w:rPr>
                <w:spacing w:val="-5"/>
                <w:sz w:val="21"/>
              </w:rPr>
              <w:t>）</w:t>
            </w:r>
            <w:r>
              <w:rPr>
                <w:spacing w:val="-7"/>
                <w:sz w:val="21"/>
              </w:rPr>
              <w:t>、核磁共振检查</w:t>
            </w:r>
            <w:r>
              <w:rPr>
                <w:spacing w:val="-4"/>
                <w:sz w:val="21"/>
              </w:rPr>
              <w:t>（</w:t>
            </w:r>
            <w:r>
              <w:rPr>
                <w:rFonts w:ascii="Times New Roman" w:eastAsia="Times New Roman"/>
                <w:spacing w:val="-4"/>
                <w:sz w:val="21"/>
              </w:rPr>
              <w:t>MRI</w:t>
            </w:r>
            <w:r>
              <w:rPr>
                <w:spacing w:val="-4"/>
                <w:sz w:val="21"/>
              </w:rPr>
              <w:t>）</w:t>
            </w:r>
            <w:r>
              <w:rPr>
                <w:spacing w:val="-5"/>
                <w:sz w:val="21"/>
              </w:rPr>
              <w:t>或正电子发射断层扫描</w:t>
            </w:r>
            <w:r>
              <w:rPr>
                <w:spacing w:val="-4"/>
                <w:sz w:val="21"/>
              </w:rPr>
              <w:t>（</w:t>
            </w:r>
            <w:r>
              <w:rPr>
                <w:rFonts w:ascii="Times New Roman" w:eastAsia="Times New Roman"/>
                <w:spacing w:val="-4"/>
                <w:sz w:val="21"/>
              </w:rPr>
              <w:t>PET</w:t>
            </w:r>
            <w:r>
              <w:rPr>
                <w:spacing w:val="-4"/>
                <w:sz w:val="21"/>
              </w:rPr>
              <w:t>）</w:t>
            </w:r>
            <w:r>
              <w:rPr>
                <w:spacing w:val="-1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7"/>
              <w:jc w:val="both"/>
              <w:rPr>
                <w:sz w:val="21"/>
              </w:rPr>
            </w:pPr>
            <w:r>
              <w:rPr>
                <w:sz w:val="21"/>
              </w:rPr>
              <w:t>神经官能症和精神疾病不在保障范围内。</w:t>
            </w:r>
          </w:p>
        </w:tc>
      </w:tr>
      <w:tr>
        <w:trPr>
          <w:trHeight w:val="2512" w:hRule="atLeast"/>
        </w:trPr>
        <w:tc>
          <w:tcPr>
            <w:tcW w:w="646" w:type="dxa"/>
          </w:tcPr>
          <w:p>
            <w:pPr>
              <w:pStyle w:val="TableParagraph"/>
              <w:spacing w:before="83"/>
              <w:ind w:left="163" w:right="145"/>
              <w:jc w:val="center"/>
              <w:rPr>
                <w:rFonts w:ascii="Times New Roman"/>
                <w:b/>
                <w:sz w:val="21"/>
              </w:rPr>
            </w:pPr>
            <w:r>
              <w:rPr>
                <w:rFonts w:ascii="Times New Roman"/>
                <w:b/>
                <w:sz w:val="21"/>
              </w:rPr>
              <w:t>16.</w:t>
            </w:r>
          </w:p>
        </w:tc>
        <w:tc>
          <w:tcPr>
            <w:tcW w:w="1340" w:type="dxa"/>
          </w:tcPr>
          <w:p>
            <w:pPr>
              <w:pStyle w:val="TableParagraph"/>
              <w:spacing w:line="261" w:lineRule="auto" w:before="34"/>
              <w:ind w:left="182" w:right="310"/>
              <w:rPr>
                <w:b/>
                <w:sz w:val="21"/>
              </w:rPr>
            </w:pPr>
            <w:r>
              <w:rPr>
                <w:b/>
                <w:sz w:val="21"/>
              </w:rPr>
              <w:t>严重脑损伤：</w:t>
            </w:r>
          </w:p>
        </w:tc>
        <w:tc>
          <w:tcPr>
            <w:tcW w:w="7875" w:type="dxa"/>
          </w:tcPr>
          <w:p>
            <w:pPr>
              <w:pStyle w:val="TableParagraph"/>
              <w:spacing w:line="252" w:lineRule="auto" w:before="34"/>
              <w:ind w:right="196"/>
              <w:rPr>
                <w:sz w:val="21"/>
              </w:rPr>
            </w:pPr>
            <w:r>
              <w:rPr>
                <w:spacing w:val="-17"/>
                <w:sz w:val="21"/>
              </w:rPr>
              <w:t>指因头部遭受机械性外力，引起脑重要部位损伤，导致神经系统永久性的功能障碍。</w:t>
            </w:r>
            <w:r>
              <w:rPr>
                <w:spacing w:val="-7"/>
                <w:sz w:val="21"/>
              </w:rPr>
              <w:t>须由头颅断层扫描</w:t>
            </w:r>
            <w:r>
              <w:rPr>
                <w:sz w:val="21"/>
              </w:rPr>
              <w:t>（</w:t>
            </w:r>
            <w:r>
              <w:rPr>
                <w:rFonts w:ascii="Times New Roman" w:eastAsia="Times New Roman"/>
                <w:sz w:val="21"/>
              </w:rPr>
              <w:t>CT</w:t>
            </w:r>
            <w:r>
              <w:rPr>
                <w:sz w:val="21"/>
              </w:rPr>
              <w:t>）</w:t>
            </w:r>
            <w:r>
              <w:rPr>
                <w:spacing w:val="-3"/>
                <w:sz w:val="21"/>
              </w:rPr>
              <w:t>、核磁共振检查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 </w:t>
            </w:r>
            <w:r>
              <w:rPr>
                <w:spacing w:val="-11"/>
                <w:sz w:val="21"/>
              </w:rPr>
              <w:t>等影像学检查证实。神经系统永久性的功能障碍，指脑损伤 </w:t>
            </w:r>
            <w:r>
              <w:rPr>
                <w:rFonts w:ascii="Times New Roman" w:eastAsia="Times New Roman"/>
                <w:sz w:val="21"/>
              </w:rPr>
              <w:t>180 </w:t>
            </w:r>
            <w:r>
              <w:rPr>
                <w:spacing w:val="-9"/>
                <w:sz w:val="21"/>
              </w:rPr>
              <w:t>日后，仍遗留下列</w:t>
            </w:r>
            <w:r>
              <w:rPr>
                <w:spacing w:val="-3"/>
                <w:sz w:val="21"/>
              </w:rPr>
              <w:t>一种或一种以上障碍：</w:t>
            </w:r>
          </w:p>
          <w:p>
            <w:pPr>
              <w:pStyle w:val="TableParagraph"/>
              <w:spacing w:before="14"/>
              <w:ind w:left="103"/>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ind w:left="10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29" w:right="308"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2" w:hRule="atLeast"/>
        </w:trPr>
        <w:tc>
          <w:tcPr>
            <w:tcW w:w="646" w:type="dxa"/>
          </w:tcPr>
          <w:p>
            <w:pPr>
              <w:pStyle w:val="TableParagraph"/>
              <w:spacing w:before="83"/>
              <w:ind w:left="163" w:right="145"/>
              <w:jc w:val="center"/>
              <w:rPr>
                <w:rFonts w:ascii="Times New Roman"/>
                <w:b/>
                <w:sz w:val="21"/>
              </w:rPr>
            </w:pPr>
            <w:r>
              <w:rPr>
                <w:rFonts w:ascii="Times New Roman"/>
                <w:b/>
                <w:sz w:val="21"/>
              </w:rPr>
              <w:t>17.</w:t>
            </w:r>
          </w:p>
        </w:tc>
        <w:tc>
          <w:tcPr>
            <w:tcW w:w="1340" w:type="dxa"/>
          </w:tcPr>
          <w:p>
            <w:pPr>
              <w:pStyle w:val="TableParagraph"/>
              <w:spacing w:line="261" w:lineRule="auto" w:before="34"/>
              <w:ind w:left="182" w:right="310"/>
              <w:rPr>
                <w:b/>
                <w:sz w:val="21"/>
              </w:rPr>
            </w:pPr>
            <w:r>
              <w:rPr>
                <w:b/>
                <w:sz w:val="21"/>
              </w:rPr>
              <w:t>严重帕金森病：</w:t>
            </w:r>
          </w:p>
        </w:tc>
        <w:tc>
          <w:tcPr>
            <w:tcW w:w="7875" w:type="dxa"/>
          </w:tcPr>
          <w:p>
            <w:pPr>
              <w:pStyle w:val="TableParagraph"/>
              <w:spacing w:line="261" w:lineRule="auto" w:before="34"/>
              <w:ind w:right="307"/>
              <w:rPr>
                <w:sz w:val="21"/>
              </w:rPr>
            </w:pPr>
            <w:r>
              <w:rPr>
                <w:spacing w:val="-8"/>
                <w:sz w:val="21"/>
              </w:rPr>
              <w:t>是一种中枢神经系统的退行性疾病，临床表现为震颤麻痹、共济失调等。须满足下</w:t>
            </w:r>
            <w:r>
              <w:rPr>
                <w:spacing w:val="-2"/>
                <w:sz w:val="21"/>
              </w:rPr>
              <w:t>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8" w:right="300"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ind w:left="103"/>
              <w:rPr>
                <w:sz w:val="21"/>
              </w:rPr>
            </w:pPr>
            <w:r>
              <w:rPr>
                <w:sz w:val="21"/>
              </w:rPr>
              <w:t>继发性帕金森综合征不在保障范围内。</w:t>
            </w:r>
          </w:p>
        </w:tc>
      </w:tr>
      <w:tr>
        <w:trPr>
          <w:trHeight w:val="713" w:hRule="atLeast"/>
        </w:trPr>
        <w:tc>
          <w:tcPr>
            <w:tcW w:w="646" w:type="dxa"/>
          </w:tcPr>
          <w:p>
            <w:pPr>
              <w:pStyle w:val="TableParagraph"/>
              <w:spacing w:before="83"/>
              <w:ind w:left="163" w:right="145"/>
              <w:jc w:val="center"/>
              <w:rPr>
                <w:rFonts w:ascii="Times New Roman"/>
                <w:b/>
                <w:sz w:val="21"/>
              </w:rPr>
            </w:pPr>
            <w:r>
              <w:rPr>
                <w:rFonts w:ascii="Times New Roman"/>
                <w:b/>
                <w:sz w:val="21"/>
              </w:rPr>
              <w:t>18.</w:t>
            </w:r>
          </w:p>
        </w:tc>
        <w:tc>
          <w:tcPr>
            <w:tcW w:w="1340" w:type="dxa"/>
          </w:tcPr>
          <w:p>
            <w:pPr>
              <w:pStyle w:val="TableParagraph"/>
              <w:spacing w:line="261" w:lineRule="auto" w:before="34"/>
              <w:ind w:left="182" w:right="310"/>
              <w:rPr>
                <w:b/>
                <w:sz w:val="21"/>
              </w:rPr>
            </w:pPr>
            <w:r>
              <w:rPr>
                <w:b/>
                <w:sz w:val="21"/>
              </w:rPr>
              <w:t>严重Ⅲ度烧伤：</w:t>
            </w:r>
          </w:p>
        </w:tc>
        <w:tc>
          <w:tcPr>
            <w:tcW w:w="7875" w:type="dxa"/>
          </w:tcPr>
          <w:p>
            <w:pPr>
              <w:pStyle w:val="TableParagraph"/>
              <w:spacing w:line="247" w:lineRule="auto" w:before="34"/>
              <w:ind w:left="103" w:right="315" w:hanging="1"/>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3"/>
                <w:sz w:val="21"/>
              </w:rPr>
              <w:t>％以上。体表面积根据《中国新九分法》计算。</w:t>
            </w:r>
          </w:p>
        </w:tc>
      </w:tr>
      <w:tr>
        <w:trPr>
          <w:trHeight w:val="1021" w:hRule="atLeast"/>
        </w:trPr>
        <w:tc>
          <w:tcPr>
            <w:tcW w:w="646" w:type="dxa"/>
          </w:tcPr>
          <w:p>
            <w:pPr>
              <w:pStyle w:val="TableParagraph"/>
              <w:spacing w:before="83"/>
              <w:ind w:left="163" w:right="145"/>
              <w:jc w:val="center"/>
              <w:rPr>
                <w:rFonts w:ascii="Times New Roman"/>
                <w:b/>
                <w:sz w:val="21"/>
              </w:rPr>
            </w:pPr>
            <w:r>
              <w:rPr>
                <w:rFonts w:ascii="Times New Roman"/>
                <w:b/>
                <w:sz w:val="21"/>
              </w:rPr>
              <w:t>19.</w:t>
            </w:r>
          </w:p>
        </w:tc>
        <w:tc>
          <w:tcPr>
            <w:tcW w:w="1340" w:type="dxa"/>
          </w:tcPr>
          <w:p>
            <w:pPr>
              <w:pStyle w:val="TableParagraph"/>
              <w:spacing w:line="261" w:lineRule="auto" w:before="33"/>
              <w:ind w:left="182" w:right="310"/>
              <w:jc w:val="both"/>
              <w:rPr>
                <w:b/>
                <w:sz w:val="21"/>
              </w:rPr>
            </w:pPr>
            <w:r>
              <w:rPr>
                <w:b/>
                <w:sz w:val="21"/>
              </w:rPr>
              <w:t>严重原发性肺动脉高压：</w:t>
            </w:r>
          </w:p>
        </w:tc>
        <w:tc>
          <w:tcPr>
            <w:tcW w:w="7875" w:type="dxa"/>
          </w:tcPr>
          <w:p>
            <w:pPr>
              <w:pStyle w:val="TableParagraph"/>
              <w:spacing w:line="254" w:lineRule="auto" w:before="33"/>
              <w:ind w:right="198"/>
              <w:rPr>
                <w:sz w:val="21"/>
              </w:rPr>
            </w:pPr>
            <w:r>
              <w:rPr>
                <w:spacing w:val="-8"/>
                <w:sz w:val="21"/>
              </w:rPr>
              <w:t>指不明原因的肺动脉压力持续性增高，进行性发展而导致的慢性疾病，已经造成永</w:t>
            </w:r>
            <w:r>
              <w:rPr>
                <w:spacing w:val="-13"/>
                <w:sz w:val="21"/>
              </w:rPr>
              <w:t>久不可逆性的体力活动能力受限，达到美国纽约心脏病学会心功能状态分级 </w:t>
            </w:r>
            <w:r>
              <w:rPr>
                <w:rFonts w:ascii="Times New Roman" w:eastAsia="Times New Roman"/>
                <w:sz w:val="21"/>
              </w:rPr>
              <w:t>IV </w:t>
            </w:r>
            <w:r>
              <w:rPr>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5" w:hRule="atLeast"/>
        </w:trPr>
        <w:tc>
          <w:tcPr>
            <w:tcW w:w="646" w:type="dxa"/>
          </w:tcPr>
          <w:p>
            <w:pPr>
              <w:pStyle w:val="TableParagraph"/>
              <w:spacing w:before="76"/>
              <w:ind w:left="163" w:right="145"/>
              <w:jc w:val="center"/>
              <w:rPr>
                <w:rFonts w:ascii="Times New Roman"/>
                <w:b/>
                <w:sz w:val="21"/>
              </w:rPr>
            </w:pPr>
            <w:r>
              <w:rPr>
                <w:rFonts w:ascii="Times New Roman"/>
                <w:b/>
                <w:sz w:val="21"/>
              </w:rPr>
              <w:t>20.</w:t>
            </w:r>
          </w:p>
        </w:tc>
        <w:tc>
          <w:tcPr>
            <w:tcW w:w="1340" w:type="dxa"/>
          </w:tcPr>
          <w:p>
            <w:pPr>
              <w:pStyle w:val="TableParagraph"/>
              <w:spacing w:line="261" w:lineRule="auto" w:before="27"/>
              <w:ind w:left="182" w:right="99"/>
              <w:rPr>
                <w:b/>
                <w:sz w:val="21"/>
              </w:rPr>
            </w:pPr>
            <w:r>
              <w:rPr>
                <w:b/>
                <w:sz w:val="21"/>
              </w:rPr>
              <w:t>严重运动 神经元病：</w:t>
            </w:r>
          </w:p>
        </w:tc>
        <w:tc>
          <w:tcPr>
            <w:tcW w:w="7875" w:type="dxa"/>
          </w:tcPr>
          <w:p>
            <w:pPr>
              <w:pStyle w:val="TableParagraph"/>
              <w:spacing w:line="261" w:lineRule="auto" w:before="27"/>
              <w:ind w:right="301"/>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3"/>
                <w:sz w:val="21"/>
              </w:rPr>
              <w:t>全丧失，无法独立完成六项基本日常生活活动中的三项或三项以上的条件。</w:t>
            </w:r>
          </w:p>
        </w:tc>
      </w:tr>
      <w:tr>
        <w:trPr>
          <w:trHeight w:val="1012" w:hRule="atLeast"/>
        </w:trPr>
        <w:tc>
          <w:tcPr>
            <w:tcW w:w="646" w:type="dxa"/>
          </w:tcPr>
          <w:p>
            <w:pPr>
              <w:pStyle w:val="TableParagraph"/>
              <w:spacing w:before="83"/>
              <w:ind w:left="163" w:right="145"/>
              <w:jc w:val="center"/>
              <w:rPr>
                <w:rFonts w:ascii="Times New Roman"/>
                <w:b/>
                <w:sz w:val="21"/>
              </w:rPr>
            </w:pPr>
            <w:r>
              <w:rPr>
                <w:rFonts w:ascii="Times New Roman"/>
                <w:b/>
                <w:sz w:val="21"/>
              </w:rPr>
              <w:t>21.</w:t>
            </w:r>
          </w:p>
        </w:tc>
        <w:tc>
          <w:tcPr>
            <w:tcW w:w="1340" w:type="dxa"/>
          </w:tcPr>
          <w:p>
            <w:pPr>
              <w:pStyle w:val="TableParagraph"/>
              <w:spacing w:line="261" w:lineRule="auto" w:before="34"/>
              <w:ind w:left="182" w:right="310"/>
              <w:rPr>
                <w:b/>
                <w:sz w:val="21"/>
              </w:rPr>
            </w:pPr>
            <w:r>
              <w:rPr>
                <w:b/>
                <w:sz w:val="21"/>
              </w:rPr>
              <w:t>语言能力丧失：</w:t>
            </w:r>
          </w:p>
        </w:tc>
        <w:tc>
          <w:tcPr>
            <w:tcW w:w="7875" w:type="dxa"/>
          </w:tcPr>
          <w:p>
            <w:pPr>
              <w:pStyle w:val="TableParagraph"/>
              <w:spacing w:line="247" w:lineRule="auto" w:before="34"/>
              <w:ind w:right="244"/>
              <w:rPr>
                <w:sz w:val="21"/>
              </w:rPr>
            </w:pPr>
            <w:r>
              <w:rPr>
                <w:sz w:val="21"/>
              </w:rPr>
              <w:t>指因疾病或意外伤害导致完全丧失语言能力，经过积极治疗至少 </w:t>
            </w:r>
            <w:r>
              <w:rPr>
                <w:rFonts w:ascii="Times New Roman" w:eastAsia="Times New Roman"/>
                <w:sz w:val="21"/>
              </w:rPr>
              <w:t>12 </w:t>
            </w:r>
            <w:r>
              <w:rPr>
                <w:sz w:val="21"/>
              </w:rPr>
              <w:t>个月（声带完全切除不受此时间限制），仍无法通过现有医疗手段恢复。</w:t>
            </w:r>
          </w:p>
          <w:p>
            <w:pPr>
              <w:pStyle w:val="TableParagraph"/>
              <w:spacing w:before="19"/>
              <w:rPr>
                <w:sz w:val="21"/>
              </w:rPr>
            </w:pPr>
            <w:r>
              <w:rPr>
                <w:sz w:val="21"/>
              </w:rPr>
              <w:t>精神心理因素所致的语言能力丧失不在保障范围内。</w:t>
            </w:r>
          </w:p>
        </w:tc>
      </w:tr>
      <w:tr>
        <w:trPr>
          <w:trHeight w:val="2131" w:hRule="atLeast"/>
        </w:trPr>
        <w:tc>
          <w:tcPr>
            <w:tcW w:w="646" w:type="dxa"/>
          </w:tcPr>
          <w:p>
            <w:pPr>
              <w:pStyle w:val="TableParagraph"/>
              <w:spacing w:before="83"/>
              <w:ind w:left="163" w:right="145"/>
              <w:jc w:val="center"/>
              <w:rPr>
                <w:rFonts w:ascii="Times New Roman"/>
                <w:b/>
                <w:sz w:val="21"/>
              </w:rPr>
            </w:pPr>
            <w:r>
              <w:rPr>
                <w:rFonts w:ascii="Times New Roman"/>
                <w:b/>
                <w:sz w:val="21"/>
              </w:rPr>
              <w:t>22.</w:t>
            </w:r>
          </w:p>
        </w:tc>
        <w:tc>
          <w:tcPr>
            <w:tcW w:w="1340" w:type="dxa"/>
          </w:tcPr>
          <w:p>
            <w:pPr>
              <w:pStyle w:val="TableParagraph"/>
              <w:spacing w:line="261" w:lineRule="auto" w:before="34"/>
              <w:ind w:left="182" w:right="310"/>
              <w:jc w:val="both"/>
              <w:rPr>
                <w:b/>
                <w:sz w:val="21"/>
              </w:rPr>
            </w:pPr>
            <w:r>
              <w:rPr>
                <w:b/>
                <w:sz w:val="21"/>
              </w:rPr>
              <w:t>重型再生障碍性贫血：</w:t>
            </w:r>
          </w:p>
        </w:tc>
        <w:tc>
          <w:tcPr>
            <w:tcW w:w="7875" w:type="dxa"/>
          </w:tcPr>
          <w:p>
            <w:pPr>
              <w:pStyle w:val="TableParagraph"/>
              <w:spacing w:line="261" w:lineRule="auto" w:before="34"/>
              <w:ind w:right="300"/>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6"/>
              <w:ind w:left="10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103"/>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23"/>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
              <w:ind w:left="522"/>
              <w:rPr>
                <w:sz w:val="21"/>
              </w:rPr>
            </w:pPr>
            <w:r>
              <w:rPr>
                <w:sz w:val="21"/>
              </w:rPr>
              <w:t>② 网织红细胞＜</w:t>
            </w:r>
            <w:r>
              <w:rPr>
                <w:rFonts w:ascii="Times New Roman" w:hAnsi="Times New Roman" w:eastAsia="Times New Roman"/>
                <w:sz w:val="21"/>
              </w:rPr>
              <w:t>1%</w:t>
            </w:r>
            <w:r>
              <w:rPr>
                <w:sz w:val="21"/>
              </w:rPr>
              <w:t>；</w:t>
            </w:r>
          </w:p>
          <w:p>
            <w:pPr>
              <w:pStyle w:val="TableParagraph"/>
              <w:spacing w:line="278" w:lineRule="exact" w:before="8"/>
              <w:ind w:left="522"/>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spacing w:after="0" w:line="278"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1215" w:hRule="atLeast"/>
        </w:trPr>
        <w:tc>
          <w:tcPr>
            <w:tcW w:w="646" w:type="dxa"/>
          </w:tcPr>
          <w:p>
            <w:pPr>
              <w:pStyle w:val="TableParagraph"/>
              <w:spacing w:line="227" w:lineRule="exact"/>
              <w:ind w:left="163" w:right="145"/>
              <w:jc w:val="center"/>
              <w:rPr>
                <w:rFonts w:ascii="Times New Roman"/>
                <w:b/>
                <w:sz w:val="21"/>
              </w:rPr>
            </w:pPr>
            <w:r>
              <w:rPr>
                <w:rFonts w:ascii="Times New Roman"/>
                <w:b/>
                <w:sz w:val="21"/>
              </w:rPr>
              <w:t>23.</w:t>
            </w:r>
          </w:p>
        </w:tc>
        <w:tc>
          <w:tcPr>
            <w:tcW w:w="1340" w:type="dxa"/>
          </w:tcPr>
          <w:p>
            <w:pPr>
              <w:pStyle w:val="TableParagraph"/>
              <w:spacing w:line="211" w:lineRule="exact"/>
              <w:ind w:left="182"/>
              <w:rPr>
                <w:b/>
                <w:sz w:val="21"/>
              </w:rPr>
            </w:pPr>
            <w:r>
              <w:rPr>
                <w:b/>
                <w:sz w:val="21"/>
              </w:rPr>
              <w:t>主动脉手</w:t>
            </w:r>
          </w:p>
          <w:p>
            <w:pPr>
              <w:pStyle w:val="TableParagraph"/>
              <w:spacing w:before="25"/>
              <w:ind w:left="182"/>
              <w:rPr>
                <w:b/>
                <w:sz w:val="21"/>
              </w:rPr>
            </w:pPr>
            <w:r>
              <w:rPr>
                <w:b/>
                <w:sz w:val="21"/>
              </w:rPr>
              <w:t>术：</w:t>
            </w:r>
          </w:p>
        </w:tc>
        <w:tc>
          <w:tcPr>
            <w:tcW w:w="7875" w:type="dxa"/>
          </w:tcPr>
          <w:p>
            <w:pPr>
              <w:pStyle w:val="TableParagraph"/>
              <w:spacing w:line="211" w:lineRule="exact"/>
              <w:rPr>
                <w:sz w:val="21"/>
              </w:rPr>
            </w:pPr>
            <w:r>
              <w:rPr>
                <w:sz w:val="21"/>
              </w:rPr>
              <w:t>指为治疗主动脉疾病，实际实施了开胸或开腹进行的切除、置换、修补病损主动脉</w:t>
            </w:r>
          </w:p>
          <w:p>
            <w:pPr>
              <w:pStyle w:val="TableParagraph"/>
              <w:spacing w:line="261" w:lineRule="auto" w:before="25"/>
              <w:ind w:right="300"/>
              <w:rPr>
                <w:sz w:val="21"/>
              </w:rPr>
            </w:pPr>
            <w:r>
              <w:rPr>
                <w:spacing w:val="-11"/>
                <w:sz w:val="21"/>
              </w:rPr>
              <w:t>血管的手术。主动脉指胸主动脉和腹主动脉，不包括胸主动脉和腹主动脉的分支血管。</w:t>
            </w:r>
          </w:p>
          <w:p>
            <w:pPr>
              <w:pStyle w:val="TableParagraph"/>
              <w:spacing w:before="6"/>
              <w:rPr>
                <w:sz w:val="21"/>
              </w:rPr>
            </w:pPr>
            <w:r>
              <w:rPr>
                <w:sz w:val="21"/>
              </w:rPr>
              <w:t>动脉内血管成形术不在保障范围内。</w:t>
            </w:r>
          </w:p>
        </w:tc>
      </w:tr>
      <w:tr>
        <w:trPr>
          <w:trHeight w:val="1920" w:hRule="atLeast"/>
        </w:trPr>
        <w:tc>
          <w:tcPr>
            <w:tcW w:w="646" w:type="dxa"/>
          </w:tcPr>
          <w:p>
            <w:pPr>
              <w:pStyle w:val="TableParagraph"/>
              <w:spacing w:before="83"/>
              <w:ind w:left="163" w:right="145"/>
              <w:jc w:val="center"/>
              <w:rPr>
                <w:rFonts w:ascii="Times New Roman"/>
                <w:b/>
                <w:sz w:val="21"/>
              </w:rPr>
            </w:pPr>
            <w:r>
              <w:rPr>
                <w:rFonts w:ascii="Times New Roman"/>
                <w:b/>
                <w:sz w:val="21"/>
              </w:rPr>
              <w:t>24.</w:t>
            </w:r>
          </w:p>
        </w:tc>
        <w:tc>
          <w:tcPr>
            <w:tcW w:w="1340" w:type="dxa"/>
          </w:tcPr>
          <w:p>
            <w:pPr>
              <w:pStyle w:val="TableParagraph"/>
              <w:spacing w:line="261" w:lineRule="auto" w:before="34"/>
              <w:ind w:left="182" w:right="310"/>
              <w:rPr>
                <w:b/>
                <w:sz w:val="21"/>
              </w:rPr>
            </w:pPr>
            <w:r>
              <w:rPr>
                <w:b/>
                <w:sz w:val="21"/>
              </w:rPr>
              <w:t>终末期肺病：</w:t>
            </w:r>
          </w:p>
        </w:tc>
        <w:tc>
          <w:tcPr>
            <w:tcW w:w="7875" w:type="dxa"/>
          </w:tcPr>
          <w:p>
            <w:pPr>
              <w:pStyle w:val="TableParagraph"/>
              <w:spacing w:line="261" w:lineRule="auto" w:before="34"/>
              <w:ind w:right="306"/>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8"/>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004" w:hRule="atLeast"/>
        </w:trPr>
        <w:tc>
          <w:tcPr>
            <w:tcW w:w="646" w:type="dxa"/>
          </w:tcPr>
          <w:p>
            <w:pPr>
              <w:pStyle w:val="TableParagraph"/>
              <w:spacing w:before="75"/>
              <w:ind w:left="163" w:right="145"/>
              <w:jc w:val="center"/>
              <w:rPr>
                <w:rFonts w:ascii="Times New Roman"/>
                <w:b/>
                <w:sz w:val="21"/>
              </w:rPr>
            </w:pPr>
            <w:r>
              <w:rPr>
                <w:rFonts w:ascii="Times New Roman"/>
                <w:b/>
                <w:sz w:val="21"/>
              </w:rPr>
              <w:t>25.</w:t>
            </w:r>
          </w:p>
        </w:tc>
        <w:tc>
          <w:tcPr>
            <w:tcW w:w="1340" w:type="dxa"/>
          </w:tcPr>
          <w:p>
            <w:pPr>
              <w:pStyle w:val="TableParagraph"/>
              <w:spacing w:line="261" w:lineRule="auto" w:before="26"/>
              <w:ind w:left="182" w:right="310"/>
              <w:rPr>
                <w:b/>
                <w:sz w:val="21"/>
              </w:rPr>
            </w:pPr>
            <w:r>
              <w:rPr>
                <w:b/>
                <w:sz w:val="21"/>
              </w:rPr>
              <w:t>多发性硬化症：</w:t>
            </w:r>
          </w:p>
        </w:tc>
        <w:tc>
          <w:tcPr>
            <w:tcW w:w="7875" w:type="dxa"/>
          </w:tcPr>
          <w:p>
            <w:pPr>
              <w:pStyle w:val="TableParagraph"/>
              <w:spacing w:line="261" w:lineRule="auto" w:before="26"/>
              <w:ind w:right="300"/>
              <w:jc w:val="both"/>
              <w:rPr>
                <w:sz w:val="21"/>
              </w:rPr>
            </w:pPr>
            <w:r>
              <w:rPr>
                <w:spacing w:val="-8"/>
                <w:sz w:val="21"/>
              </w:rPr>
              <w:t>是中枢神经系统白质多灶性脱髓鞘病变，病变有时累及灰质。多发性硬化症必须由</w:t>
            </w:r>
            <w:r>
              <w:rPr>
                <w:spacing w:val="-11"/>
                <w:sz w:val="21"/>
              </w:rPr>
              <w:t>我们认可的医院的专科主任级医生确诊。多发性硬化症必须造成神经系统功能损害</w:t>
            </w:r>
            <w:r>
              <w:rPr>
                <w:spacing w:val="-6"/>
                <w:sz w:val="21"/>
              </w:rPr>
              <w:t>并且被保险人永久不可逆性的丧失独立完成三项或三项以上日常生活活动能力。</w:t>
            </w:r>
          </w:p>
        </w:tc>
      </w:tr>
      <w:tr>
        <w:trPr>
          <w:trHeight w:val="4012" w:hRule="atLeast"/>
        </w:trPr>
        <w:tc>
          <w:tcPr>
            <w:tcW w:w="646" w:type="dxa"/>
          </w:tcPr>
          <w:p>
            <w:pPr>
              <w:pStyle w:val="TableParagraph"/>
              <w:spacing w:before="83"/>
              <w:ind w:left="163" w:right="145"/>
              <w:jc w:val="center"/>
              <w:rPr>
                <w:rFonts w:ascii="Times New Roman"/>
                <w:b/>
                <w:sz w:val="21"/>
              </w:rPr>
            </w:pPr>
            <w:r>
              <w:rPr>
                <w:rFonts w:ascii="Times New Roman"/>
                <w:b/>
                <w:sz w:val="21"/>
              </w:rPr>
              <w:t>26.</w:t>
            </w:r>
          </w:p>
        </w:tc>
        <w:tc>
          <w:tcPr>
            <w:tcW w:w="1340" w:type="dxa"/>
          </w:tcPr>
          <w:p>
            <w:pPr>
              <w:pStyle w:val="TableParagraph"/>
              <w:spacing w:line="261" w:lineRule="auto" w:before="33"/>
              <w:ind w:left="182" w:right="99"/>
              <w:rPr>
                <w:b/>
                <w:sz w:val="21"/>
              </w:rPr>
            </w:pPr>
            <w:r>
              <w:rPr>
                <w:b/>
                <w:sz w:val="21"/>
              </w:rPr>
              <w:t>经输血导 致的人类 免疫缺陷 病毒感染：</w:t>
            </w:r>
          </w:p>
        </w:tc>
        <w:tc>
          <w:tcPr>
            <w:tcW w:w="7875"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31" w:right="304"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47" w:lineRule="auto" w:before="18"/>
              <w:ind w:left="631" w:right="304"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ind w:left="103"/>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103"/>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10"/>
              <w:ind w:right="300"/>
              <w:rPr>
                <w:sz w:val="21"/>
              </w:rPr>
            </w:pPr>
            <w:r>
              <w:rPr>
                <w:spacing w:val="-6"/>
                <w:sz w:val="21"/>
              </w:rPr>
              <w:t>在任何治愈艾滋病或阻止人类免疫缺陷病毒病毒作用的疗法被发现以后，或能防止</w:t>
            </w:r>
            <w:r>
              <w:rPr>
                <w:spacing w:val="-4"/>
                <w:sz w:val="21"/>
              </w:rPr>
              <w:t>艾滋病发生的医疗方法被研究出来以后，本保障将不再予以赔付。</w:t>
            </w:r>
          </w:p>
          <w:p>
            <w:pPr>
              <w:pStyle w:val="TableParagraph"/>
              <w:spacing w:line="261" w:lineRule="auto" w:before="6"/>
              <w:ind w:right="302"/>
              <w:rPr>
                <w:sz w:val="21"/>
              </w:rPr>
            </w:pPr>
            <w:r>
              <w:rPr>
                <w:spacing w:val="-7"/>
                <w:sz w:val="21"/>
              </w:rPr>
              <w:t>任何因其他传播方式</w:t>
            </w:r>
            <w:r>
              <w:rPr>
                <w:spacing w:val="-3"/>
                <w:sz w:val="21"/>
              </w:rPr>
              <w:t>（</w:t>
            </w:r>
            <w:r>
              <w:rPr>
                <w:spacing w:val="-7"/>
                <w:sz w:val="21"/>
              </w:rPr>
              <w:t>包括：性传播或静脉注射毒品</w:t>
            </w:r>
            <w:r>
              <w:rPr>
                <w:spacing w:val="-34"/>
                <w:sz w:val="21"/>
              </w:rPr>
              <w:t>）</w:t>
            </w:r>
            <w:r>
              <w:rPr>
                <w:spacing w:val="-3"/>
                <w:sz w:val="21"/>
              </w:rPr>
              <w:t>导致的人类免疫缺陷病毒感染不在本保单保障范围内。</w:t>
            </w:r>
          </w:p>
          <w:p>
            <w:pPr>
              <w:pStyle w:val="TableParagraph"/>
              <w:spacing w:line="261" w:lineRule="auto" w:before="6"/>
              <w:ind w:right="413"/>
              <w:rPr>
                <w:sz w:val="21"/>
              </w:rPr>
            </w:pPr>
            <w:r>
              <w:rPr>
                <w:sz w:val="21"/>
              </w:rPr>
              <w:t>保险公司必须拥有获得使用被保险人的血液样本的权利和能够对这些样本进行独立检验的权利。</w:t>
            </w:r>
          </w:p>
        </w:tc>
      </w:tr>
      <w:tr>
        <w:trPr>
          <w:trHeight w:val="2896" w:hRule="atLeast"/>
        </w:trPr>
        <w:tc>
          <w:tcPr>
            <w:tcW w:w="646" w:type="dxa"/>
          </w:tcPr>
          <w:p>
            <w:pPr>
              <w:pStyle w:val="TableParagraph"/>
              <w:spacing w:before="83"/>
              <w:ind w:left="163" w:right="145"/>
              <w:jc w:val="center"/>
              <w:rPr>
                <w:rFonts w:ascii="Times New Roman"/>
                <w:b/>
                <w:sz w:val="21"/>
              </w:rPr>
            </w:pPr>
            <w:r>
              <w:rPr>
                <w:rFonts w:ascii="Times New Roman"/>
                <w:b/>
                <w:sz w:val="21"/>
              </w:rPr>
              <w:t>27.</w:t>
            </w:r>
          </w:p>
        </w:tc>
        <w:tc>
          <w:tcPr>
            <w:tcW w:w="1340" w:type="dxa"/>
          </w:tcPr>
          <w:p>
            <w:pPr>
              <w:pStyle w:val="TableParagraph"/>
              <w:spacing w:line="261" w:lineRule="auto" w:before="34"/>
              <w:ind w:left="182" w:right="310"/>
              <w:rPr>
                <w:b/>
                <w:sz w:val="21"/>
              </w:rPr>
            </w:pPr>
            <w:r>
              <w:rPr>
                <w:b/>
                <w:sz w:val="21"/>
              </w:rPr>
              <w:t>重症肌无力：</w:t>
            </w:r>
          </w:p>
        </w:tc>
        <w:tc>
          <w:tcPr>
            <w:tcW w:w="7875" w:type="dxa"/>
          </w:tcPr>
          <w:p>
            <w:pPr>
              <w:pStyle w:val="TableParagraph"/>
              <w:spacing w:line="273" w:lineRule="auto" w:before="27"/>
              <w:ind w:right="300"/>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0"/>
                <w:sz w:val="21"/>
              </w:rPr>
              <w:t>端肌群以至全身肌肉，须经我们认可的神经科医师确诊。其诊断必须同时具有下列情况：</w:t>
            </w:r>
          </w:p>
          <w:p>
            <w:pPr>
              <w:pStyle w:val="TableParagraph"/>
              <w:spacing w:before="8"/>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56" w:lineRule="auto" w:before="21"/>
              <w:ind w:left="628" w:right="257" w:hanging="526"/>
              <w:rPr>
                <w:sz w:val="21"/>
              </w:rPr>
            </w:pPr>
            <w:r>
              <w:rPr>
                <w:sz w:val="21"/>
              </w:rPr>
              <w:t>（</w:t>
            </w:r>
            <w:r>
              <w:rPr>
                <w:rFonts w:ascii="Times New Roman" w:eastAsia="Times New Roman"/>
                <w:sz w:val="21"/>
              </w:rPr>
              <w:t>2</w:t>
            </w:r>
            <w:r>
              <w:rPr>
                <w:sz w:val="21"/>
              </w:rPr>
              <w:t>）出现眼睑下垂，或延髓肌受累引起的构音困难、进食呛咳</w:t>
            </w:r>
            <w:r>
              <w:rPr>
                <w:rFonts w:ascii="Times New Roman" w:eastAsia="Times New Roman"/>
                <w:sz w:val="21"/>
              </w:rPr>
              <w:t>,</w:t>
            </w:r>
            <w:r>
              <w:rPr>
                <w:sz w:val="21"/>
              </w:rPr>
              <w:t>或由于肌无力累及延髓肌、呼吸肌而致机体呼吸功能不正常的危急状态即肌无力危象；</w:t>
            </w:r>
          </w:p>
          <w:p>
            <w:pPr>
              <w:pStyle w:val="TableParagraph"/>
              <w:spacing w:line="247" w:lineRule="auto" w:before="29"/>
              <w:ind w:left="628" w:right="309" w:hanging="526"/>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712" w:hRule="atLeast"/>
        </w:trPr>
        <w:tc>
          <w:tcPr>
            <w:tcW w:w="646" w:type="dxa"/>
          </w:tcPr>
          <w:p>
            <w:pPr>
              <w:pStyle w:val="TableParagraph"/>
              <w:spacing w:before="83"/>
              <w:ind w:left="163" w:right="145"/>
              <w:jc w:val="center"/>
              <w:rPr>
                <w:rFonts w:ascii="Times New Roman"/>
                <w:b/>
                <w:sz w:val="21"/>
              </w:rPr>
            </w:pPr>
            <w:r>
              <w:rPr>
                <w:rFonts w:ascii="Times New Roman"/>
                <w:b/>
                <w:sz w:val="21"/>
              </w:rPr>
              <w:t>28.</w:t>
            </w:r>
          </w:p>
        </w:tc>
        <w:tc>
          <w:tcPr>
            <w:tcW w:w="1340" w:type="dxa"/>
          </w:tcPr>
          <w:p>
            <w:pPr>
              <w:pStyle w:val="TableParagraph"/>
              <w:spacing w:line="261" w:lineRule="auto" w:before="34"/>
              <w:ind w:left="182" w:right="99"/>
              <w:rPr>
                <w:b/>
                <w:sz w:val="21"/>
              </w:rPr>
            </w:pPr>
            <w:r>
              <w:rPr>
                <w:b/>
                <w:sz w:val="21"/>
              </w:rPr>
              <w:t>脑动脉瘤 开颅手术：</w:t>
            </w:r>
          </w:p>
        </w:tc>
        <w:tc>
          <w:tcPr>
            <w:tcW w:w="7875" w:type="dxa"/>
          </w:tcPr>
          <w:p>
            <w:pPr>
              <w:pStyle w:val="TableParagraph"/>
              <w:spacing w:before="34"/>
              <w:rPr>
                <w:sz w:val="21"/>
              </w:rPr>
            </w:pPr>
            <w:r>
              <w:rPr>
                <w:sz w:val="21"/>
              </w:rPr>
              <w:t>是指确已进行开颅手术以夹闭、修复或切除脑动脉瘤。但不包括导管及血管内手术。</w:t>
            </w:r>
          </w:p>
        </w:tc>
      </w:tr>
      <w:tr>
        <w:trPr>
          <w:trHeight w:val="1868" w:hRule="atLeast"/>
        </w:trPr>
        <w:tc>
          <w:tcPr>
            <w:tcW w:w="646" w:type="dxa"/>
          </w:tcPr>
          <w:p>
            <w:pPr>
              <w:pStyle w:val="TableParagraph"/>
              <w:spacing w:before="83"/>
              <w:ind w:left="163" w:right="145"/>
              <w:jc w:val="center"/>
              <w:rPr>
                <w:rFonts w:ascii="Times New Roman"/>
                <w:b/>
                <w:sz w:val="21"/>
              </w:rPr>
            </w:pPr>
            <w:r>
              <w:rPr>
                <w:rFonts w:ascii="Times New Roman"/>
                <w:b/>
                <w:sz w:val="21"/>
              </w:rPr>
              <w:t>29.</w:t>
            </w:r>
          </w:p>
        </w:tc>
        <w:tc>
          <w:tcPr>
            <w:tcW w:w="1340" w:type="dxa"/>
          </w:tcPr>
          <w:p>
            <w:pPr>
              <w:pStyle w:val="TableParagraph"/>
              <w:spacing w:line="261" w:lineRule="auto" w:before="34"/>
              <w:ind w:left="182" w:right="99"/>
              <w:rPr>
                <w:b/>
                <w:sz w:val="21"/>
              </w:rPr>
            </w:pPr>
            <w:r>
              <w:rPr>
                <w:b/>
                <w:sz w:val="21"/>
              </w:rPr>
              <w:t>严重系统 性红斑狼 疮性肾病：</w:t>
            </w:r>
          </w:p>
        </w:tc>
        <w:tc>
          <w:tcPr>
            <w:tcW w:w="7875" w:type="dxa"/>
          </w:tcPr>
          <w:p>
            <w:pPr>
              <w:pStyle w:val="TableParagraph"/>
              <w:spacing w:line="266" w:lineRule="auto" w:before="27"/>
              <w:ind w:right="300"/>
              <w:jc w:val="both"/>
              <w:rPr>
                <w:sz w:val="21"/>
              </w:rPr>
            </w:pPr>
            <w:r>
              <w:rPr>
                <w:spacing w:val="-9"/>
                <w:sz w:val="21"/>
              </w:rPr>
              <w:t>系统性红斑狼疮是累及多系统、多器官的具有多种自身抗体的免疫性疾病。系统性</w:t>
            </w:r>
            <w:r>
              <w:rPr>
                <w:spacing w:val="-11"/>
                <w:sz w:val="21"/>
              </w:rPr>
              <w:t>红斑狼疮性肾病，又称为狼疮性肾炎，是系统性红斑狼疮累及肾脏，造成肾功能损</w:t>
            </w:r>
            <w:r>
              <w:rPr>
                <w:spacing w:val="-10"/>
                <w:sz w:val="21"/>
              </w:rPr>
              <w:t>伤。须经肾脏病理检查或临床确诊，并符合下列</w:t>
            </w:r>
            <w:r>
              <w:rPr>
                <w:rFonts w:ascii="Times New Roman" w:hAnsi="Times New Roman" w:eastAsia="Times New Roman"/>
                <w:sz w:val="21"/>
              </w:rPr>
              <w:t>WHO </w:t>
            </w:r>
            <w:r>
              <w:rPr>
                <w:spacing w:val="-3"/>
                <w:sz w:val="21"/>
              </w:rPr>
              <w:t>诊断标准定义的Ⅲ型至Ⅴ型狼疮性肾炎。</w:t>
            </w:r>
          </w:p>
          <w:p>
            <w:pPr>
              <w:pStyle w:val="TableParagraph"/>
              <w:spacing w:before="14"/>
              <w:ind w:left="522"/>
              <w:rPr>
                <w:sz w:val="21"/>
              </w:rPr>
            </w:pPr>
            <w:r>
              <w:rPr>
                <w:sz w:val="21"/>
              </w:rPr>
              <w:t>世界卫生组织（</w:t>
            </w:r>
            <w:r>
              <w:rPr>
                <w:rFonts w:ascii="Times New Roman" w:eastAsia="Times New Roman"/>
                <w:sz w:val="21"/>
              </w:rPr>
              <w:t>WHO</w:t>
            </w:r>
            <w:r>
              <w:rPr>
                <w:sz w:val="21"/>
              </w:rPr>
              <w:t>）狼疮性肾炎分型：</w:t>
            </w:r>
          </w:p>
          <w:p>
            <w:pPr>
              <w:pStyle w:val="TableParagraph"/>
              <w:spacing w:line="262" w:lineRule="exact" w:before="21"/>
              <w:ind w:left="523"/>
              <w:rPr>
                <w:sz w:val="21"/>
              </w:rPr>
            </w:pPr>
            <w:r>
              <w:rPr>
                <w:sz w:val="21"/>
              </w:rPr>
              <w:t>Ⅰ型（微小病变型）镜下阴性，尿液正常</w:t>
            </w:r>
          </w:p>
        </w:tc>
      </w:tr>
    </w:tbl>
    <w:p>
      <w:pPr>
        <w:spacing w:after="0" w:line="262"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234"/>
        <w:gridCol w:w="7982"/>
      </w:tblGrid>
      <w:tr>
        <w:trPr>
          <w:trHeight w:val="1863" w:hRule="atLeast"/>
        </w:trPr>
        <w:tc>
          <w:tcPr>
            <w:tcW w:w="646" w:type="dxa"/>
          </w:tcPr>
          <w:p>
            <w:pPr>
              <w:pStyle w:val="TableParagraph"/>
              <w:ind w:left="0"/>
              <w:rPr>
                <w:rFonts w:ascii="Times New Roman"/>
                <w:sz w:val="20"/>
              </w:rPr>
            </w:pPr>
          </w:p>
        </w:tc>
        <w:tc>
          <w:tcPr>
            <w:tcW w:w="1234" w:type="dxa"/>
          </w:tcPr>
          <w:p>
            <w:pPr>
              <w:pStyle w:val="TableParagraph"/>
              <w:ind w:left="0"/>
              <w:rPr>
                <w:rFonts w:ascii="Times New Roman"/>
                <w:sz w:val="20"/>
              </w:rPr>
            </w:pPr>
          </w:p>
        </w:tc>
        <w:tc>
          <w:tcPr>
            <w:tcW w:w="7982" w:type="dxa"/>
          </w:tcPr>
          <w:p>
            <w:pPr>
              <w:pStyle w:val="TableParagraph"/>
              <w:spacing w:line="204" w:lineRule="exact"/>
              <w:ind w:left="628"/>
              <w:rPr>
                <w:sz w:val="21"/>
              </w:rPr>
            </w:pPr>
            <w:r>
              <w:rPr>
                <w:sz w:val="21"/>
              </w:rPr>
              <w:t>Ⅱ型（系膜病变型）中度蛋白尿，偶有尿沉渣改变</w:t>
            </w:r>
          </w:p>
          <w:p>
            <w:pPr>
              <w:pStyle w:val="TableParagraph"/>
              <w:spacing w:before="37"/>
              <w:ind w:left="628"/>
              <w:rPr>
                <w:sz w:val="21"/>
              </w:rPr>
            </w:pPr>
            <w:r>
              <w:rPr>
                <w:sz w:val="21"/>
              </w:rPr>
              <w:t>Ⅲ型（局灶及节段增生型）蛋白尿，尿沉渣改变</w:t>
            </w:r>
          </w:p>
          <w:p>
            <w:pPr>
              <w:pStyle w:val="TableParagraph"/>
              <w:spacing w:before="37"/>
              <w:ind w:left="628"/>
              <w:rPr>
                <w:sz w:val="21"/>
              </w:rPr>
            </w:pPr>
            <w:r>
              <w:rPr>
                <w:sz w:val="21"/>
              </w:rPr>
              <w:t>Ⅳ型（弥漫增生型）急性肾炎伴有尿沉渣改变及／或肾病综合征</w:t>
            </w:r>
          </w:p>
          <w:p>
            <w:pPr>
              <w:pStyle w:val="TableParagraph"/>
              <w:spacing w:before="37"/>
              <w:ind w:left="628"/>
              <w:rPr>
                <w:sz w:val="21"/>
              </w:rPr>
            </w:pPr>
            <w:r>
              <w:rPr>
                <w:sz w:val="21"/>
              </w:rPr>
              <w:t>Ⅴ型（膜型）肾病综合征或重度蛋白尿</w:t>
            </w:r>
          </w:p>
          <w:p>
            <w:pPr>
              <w:pStyle w:val="TableParagraph"/>
              <w:spacing w:line="261" w:lineRule="auto" w:before="44"/>
              <w:ind w:left="208" w:right="301"/>
              <w:rPr>
                <w:sz w:val="21"/>
              </w:rPr>
            </w:pPr>
            <w:r>
              <w:rPr>
                <w:spacing w:val="-11"/>
                <w:sz w:val="21"/>
              </w:rPr>
              <w:t>其它类型的红斑性狼疮，如盘状狼疮，仅累及血液及关节等其它系统的系统性红斑</w:t>
            </w:r>
            <w:r>
              <w:rPr>
                <w:spacing w:val="-6"/>
                <w:sz w:val="21"/>
              </w:rPr>
              <w:t>狼疮不在保障范围内。</w:t>
            </w:r>
          </w:p>
        </w:tc>
      </w:tr>
      <w:tr>
        <w:trPr>
          <w:trHeight w:val="2212" w:hRule="atLeast"/>
        </w:trPr>
        <w:tc>
          <w:tcPr>
            <w:tcW w:w="646" w:type="dxa"/>
          </w:tcPr>
          <w:p>
            <w:pPr>
              <w:pStyle w:val="TableParagraph"/>
              <w:spacing w:before="82"/>
              <w:ind w:left="163" w:right="145"/>
              <w:jc w:val="center"/>
              <w:rPr>
                <w:rFonts w:ascii="Times New Roman"/>
                <w:b/>
                <w:sz w:val="21"/>
              </w:rPr>
            </w:pPr>
            <w:r>
              <w:rPr>
                <w:rFonts w:ascii="Times New Roman"/>
                <w:b/>
                <w:sz w:val="21"/>
              </w:rPr>
              <w:t>30.</w:t>
            </w:r>
          </w:p>
        </w:tc>
        <w:tc>
          <w:tcPr>
            <w:tcW w:w="1234" w:type="dxa"/>
          </w:tcPr>
          <w:p>
            <w:pPr>
              <w:pStyle w:val="TableParagraph"/>
              <w:spacing w:line="261" w:lineRule="auto" w:before="33"/>
              <w:ind w:left="182" w:right="204"/>
              <w:jc w:val="both"/>
              <w:rPr>
                <w:b/>
                <w:sz w:val="21"/>
              </w:rPr>
            </w:pPr>
            <w:r>
              <w:rPr>
                <w:b/>
                <w:sz w:val="21"/>
              </w:rPr>
              <w:t>严重的原发性心肌病：</w:t>
            </w:r>
          </w:p>
        </w:tc>
        <w:tc>
          <w:tcPr>
            <w:tcW w:w="7982" w:type="dxa"/>
          </w:tcPr>
          <w:p>
            <w:pPr>
              <w:pStyle w:val="TableParagraph"/>
              <w:spacing w:line="259" w:lineRule="auto" w:before="33"/>
              <w:ind w:left="208" w:right="301"/>
              <w:rPr>
                <w:sz w:val="21"/>
              </w:rPr>
            </w:pPr>
            <w:r>
              <w:rPr>
                <w:spacing w:val="-8"/>
                <w:sz w:val="21"/>
              </w:rPr>
              <w:t>是指不明原因引起的一类心肌病变，包括原发性扩张型心肌病、原发性肥厚型心肌</w:t>
            </w:r>
            <w:r>
              <w:rPr>
                <w:spacing w:val="-12"/>
                <w:sz w:val="21"/>
              </w:rPr>
              <w:t>病及原发性限制型心肌病三种，病变必须已造成事实上心室功能障碍而出现明显的</w:t>
            </w:r>
            <w:r>
              <w:rPr>
                <w:spacing w:val="-16"/>
                <w:sz w:val="21"/>
              </w:rPr>
              <w:t>心功能衰竭</w:t>
            </w:r>
            <w:r>
              <w:rPr>
                <w:sz w:val="21"/>
              </w:rPr>
              <w:t>（</w:t>
            </w:r>
            <w:r>
              <w:rPr>
                <w:spacing w:val="-5"/>
                <w:sz w:val="21"/>
              </w:rPr>
              <w:t>指按照美国纽约心脏协会心功能分类标准心功能达四级，即有医院的</w:t>
            </w:r>
            <w:r>
              <w:rPr>
                <w:spacing w:val="-4"/>
                <w:sz w:val="21"/>
              </w:rPr>
              <w:t>医疗记录显示病人不能进行任何活动，休息时仍有心悸、呼吸困难等心力衰竭表现</w:t>
            </w:r>
            <w:r>
              <w:rPr>
                <w:spacing w:val="-34"/>
                <w:sz w:val="21"/>
              </w:rPr>
              <w:t>），</w:t>
            </w:r>
            <w:r>
              <w:rPr>
                <w:spacing w:val="-5"/>
                <w:sz w:val="21"/>
              </w:rPr>
              <w:t>且有相关住院医疗记录显示四级心功能衰竭状态持续至少 </w:t>
            </w:r>
            <w:r>
              <w:rPr>
                <w:rFonts w:ascii="Times New Roman" w:eastAsia="Times New Roman"/>
                <w:sz w:val="21"/>
              </w:rPr>
              <w:t>180 </w:t>
            </w:r>
            <w:r>
              <w:rPr>
                <w:spacing w:val="-9"/>
                <w:sz w:val="21"/>
              </w:rPr>
              <w:t>日。本病须经</w:t>
            </w:r>
            <w:r>
              <w:rPr>
                <w:spacing w:val="-12"/>
                <w:sz w:val="21"/>
              </w:rPr>
              <w:t>专科医生明确诊断。继发于全身性疾病或其它器官系统疾病造成的心肌病变不在保</w:t>
            </w:r>
            <w:r>
              <w:rPr>
                <w:spacing w:val="-7"/>
                <w:sz w:val="21"/>
              </w:rPr>
              <w:t>障范围。</w:t>
            </w:r>
          </w:p>
        </w:tc>
      </w:tr>
      <w:tr>
        <w:trPr>
          <w:trHeight w:val="1612" w:hRule="atLeast"/>
        </w:trPr>
        <w:tc>
          <w:tcPr>
            <w:tcW w:w="646" w:type="dxa"/>
          </w:tcPr>
          <w:p>
            <w:pPr>
              <w:pStyle w:val="TableParagraph"/>
              <w:spacing w:before="82"/>
              <w:ind w:left="163" w:right="145"/>
              <w:jc w:val="center"/>
              <w:rPr>
                <w:rFonts w:ascii="Times New Roman"/>
                <w:b/>
                <w:sz w:val="21"/>
              </w:rPr>
            </w:pPr>
            <w:r>
              <w:rPr>
                <w:rFonts w:ascii="Times New Roman"/>
                <w:b/>
                <w:sz w:val="21"/>
              </w:rPr>
              <w:t>31.</w:t>
            </w:r>
          </w:p>
        </w:tc>
        <w:tc>
          <w:tcPr>
            <w:tcW w:w="1234" w:type="dxa"/>
          </w:tcPr>
          <w:p>
            <w:pPr>
              <w:pStyle w:val="TableParagraph"/>
              <w:spacing w:line="261" w:lineRule="auto" w:before="33"/>
              <w:ind w:left="182" w:right="204"/>
              <w:rPr>
                <w:b/>
                <w:sz w:val="21"/>
              </w:rPr>
            </w:pPr>
            <w:r>
              <w:rPr>
                <w:b/>
                <w:sz w:val="21"/>
              </w:rPr>
              <w:t>主动脉夹层血肿：</w:t>
            </w:r>
          </w:p>
        </w:tc>
        <w:tc>
          <w:tcPr>
            <w:tcW w:w="7982" w:type="dxa"/>
          </w:tcPr>
          <w:p>
            <w:pPr>
              <w:pStyle w:val="TableParagraph"/>
              <w:spacing w:line="261" w:lineRule="auto" w:before="33"/>
              <w:ind w:left="208" w:right="196"/>
              <w:rPr>
                <w:sz w:val="21"/>
              </w:rPr>
            </w:pPr>
            <w:r>
              <w:rPr>
                <w:spacing w:val="-14"/>
                <w:sz w:val="21"/>
              </w:rPr>
              <w:t>指主动脉壁在受到某些病理因素的破坏后，高速、高压的主动脉血流将其内膜撕裂， </w:t>
            </w:r>
            <w:r>
              <w:rPr>
                <w:spacing w:val="-10"/>
                <w:sz w:val="21"/>
              </w:rPr>
              <w:t>以致主动脉腔内的血流通过主动脉内膜的破裂口进入主动脉内壁而形成血肿。须经</w:t>
            </w:r>
          </w:p>
          <w:p>
            <w:pPr>
              <w:pStyle w:val="TableParagraph"/>
              <w:spacing w:line="254" w:lineRule="auto" w:before="6"/>
              <w:ind w:left="208" w:right="302"/>
              <w:jc w:val="both"/>
              <w:rPr>
                <w:sz w:val="21"/>
              </w:rPr>
            </w:pPr>
            <w:r>
              <w:rPr>
                <w:rFonts w:ascii="Times New Roman" w:eastAsia="Times New Roman"/>
                <w:sz w:val="21"/>
              </w:rPr>
              <w:t>X </w:t>
            </w:r>
            <w:r>
              <w:rPr>
                <w:spacing w:val="-3"/>
                <w:sz w:val="21"/>
              </w:rPr>
              <w:t>线断层扫描</w:t>
            </w:r>
            <w:r>
              <w:rPr>
                <w:sz w:val="21"/>
              </w:rPr>
              <w:t>（</w:t>
            </w:r>
            <w:r>
              <w:rPr>
                <w:rFonts w:ascii="Times New Roman" w:eastAsia="Times New Roman"/>
                <w:sz w:val="21"/>
              </w:rPr>
              <w:t>CT</w:t>
            </w:r>
            <w:r>
              <w:rPr>
                <w:sz w:val="21"/>
              </w:rPr>
              <w:t>）</w:t>
            </w:r>
            <w:r>
              <w:rPr>
                <w:spacing w:val="-3"/>
                <w:sz w:val="21"/>
              </w:rPr>
              <w:t>、磁共振扫描</w:t>
            </w:r>
            <w:r>
              <w:rPr>
                <w:sz w:val="21"/>
              </w:rPr>
              <w:t>（</w:t>
            </w:r>
            <w:r>
              <w:rPr>
                <w:rFonts w:ascii="Times New Roman" w:eastAsia="Times New Roman"/>
                <w:sz w:val="21"/>
              </w:rPr>
              <w:t>MRI</w:t>
            </w:r>
            <w:r>
              <w:rPr>
                <w:sz w:val="21"/>
              </w:rPr>
              <w:t>）</w:t>
            </w:r>
            <w:r>
              <w:rPr>
                <w:spacing w:val="-3"/>
                <w:sz w:val="21"/>
              </w:rPr>
              <w:t>、磁共振血管检验法</w:t>
            </w:r>
            <w:r>
              <w:rPr>
                <w:sz w:val="21"/>
              </w:rPr>
              <w:t>（</w:t>
            </w:r>
            <w:r>
              <w:rPr>
                <w:rFonts w:ascii="Times New Roman" w:eastAsia="Times New Roman"/>
                <w:sz w:val="21"/>
              </w:rPr>
              <w:t>MRA</w:t>
            </w:r>
            <w:r>
              <w:rPr>
                <w:sz w:val="21"/>
              </w:rPr>
              <w:t>）</w:t>
            </w:r>
            <w:r>
              <w:rPr>
                <w:spacing w:val="-2"/>
                <w:sz w:val="21"/>
              </w:rPr>
              <w:t>或血管</w:t>
            </w:r>
            <w:r>
              <w:rPr>
                <w:spacing w:val="-9"/>
                <w:sz w:val="21"/>
              </w:rPr>
              <w:t>扫描等检查证实主动脉夹层血肿的存在，且被保险人确已实施了针对主动脉夹层血</w:t>
            </w:r>
            <w:r>
              <w:rPr>
                <w:spacing w:val="-5"/>
                <w:sz w:val="21"/>
              </w:rPr>
              <w:t>肿的胸腹切开直视手术。</w:t>
            </w:r>
          </w:p>
        </w:tc>
      </w:tr>
      <w:tr>
        <w:trPr>
          <w:trHeight w:val="1320" w:hRule="atLeast"/>
        </w:trPr>
        <w:tc>
          <w:tcPr>
            <w:tcW w:w="646" w:type="dxa"/>
          </w:tcPr>
          <w:p>
            <w:pPr>
              <w:pStyle w:val="TableParagraph"/>
              <w:spacing w:before="82"/>
              <w:ind w:left="163" w:right="145"/>
              <w:jc w:val="center"/>
              <w:rPr>
                <w:rFonts w:ascii="Times New Roman"/>
                <w:b/>
                <w:sz w:val="21"/>
              </w:rPr>
            </w:pPr>
            <w:r>
              <w:rPr>
                <w:rFonts w:ascii="Times New Roman"/>
                <w:b/>
                <w:sz w:val="21"/>
              </w:rPr>
              <w:t>32.</w:t>
            </w:r>
          </w:p>
        </w:tc>
        <w:tc>
          <w:tcPr>
            <w:tcW w:w="1234" w:type="dxa"/>
          </w:tcPr>
          <w:p>
            <w:pPr>
              <w:pStyle w:val="TableParagraph"/>
              <w:spacing w:line="261" w:lineRule="auto" w:before="33"/>
              <w:ind w:left="182" w:right="204"/>
              <w:rPr>
                <w:b/>
                <w:sz w:val="21"/>
              </w:rPr>
            </w:pPr>
            <w:r>
              <w:rPr>
                <w:b/>
                <w:sz w:val="21"/>
              </w:rPr>
              <w:t>肾髓质囊性病：</w:t>
            </w:r>
          </w:p>
        </w:tc>
        <w:tc>
          <w:tcPr>
            <w:tcW w:w="7982" w:type="dxa"/>
          </w:tcPr>
          <w:p>
            <w:pPr>
              <w:pStyle w:val="TableParagraph"/>
              <w:spacing w:before="33"/>
              <w:ind w:left="208"/>
              <w:rPr>
                <w:sz w:val="21"/>
              </w:rPr>
            </w:pPr>
            <w:r>
              <w:rPr>
                <w:sz w:val="21"/>
              </w:rPr>
              <w:t>指经肾脏内科专科医生明确诊断为肾髓质囊性病，且须同时满足下列条件：</w:t>
            </w:r>
          </w:p>
          <w:p>
            <w:pPr>
              <w:pStyle w:val="TableParagraph"/>
              <w:spacing w:before="24"/>
              <w:ind w:left="209"/>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8"/>
              <w:ind w:left="209"/>
              <w:rPr>
                <w:sz w:val="21"/>
              </w:rPr>
            </w:pPr>
            <w:r>
              <w:rPr>
                <w:sz w:val="21"/>
              </w:rPr>
              <w:t>（</w:t>
            </w:r>
            <w:r>
              <w:rPr>
                <w:rFonts w:ascii="Times New Roman" w:eastAsia="Times New Roman"/>
                <w:sz w:val="21"/>
              </w:rPr>
              <w:t>2</w:t>
            </w:r>
            <w:r>
              <w:rPr>
                <w:sz w:val="21"/>
              </w:rPr>
              <w:t>）贫血、多尿及肾功能衰竭等临床表现；</w:t>
            </w:r>
          </w:p>
          <w:p>
            <w:pPr>
              <w:pStyle w:val="TableParagraph"/>
              <w:spacing w:before="8"/>
              <w:ind w:left="209"/>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46" w:type="dxa"/>
          </w:tcPr>
          <w:p>
            <w:pPr>
              <w:pStyle w:val="TableParagraph"/>
              <w:spacing w:before="74"/>
              <w:ind w:left="163" w:right="145"/>
              <w:jc w:val="center"/>
              <w:rPr>
                <w:rFonts w:ascii="Times New Roman"/>
                <w:b/>
                <w:sz w:val="21"/>
              </w:rPr>
            </w:pPr>
            <w:r>
              <w:rPr>
                <w:rFonts w:ascii="Times New Roman"/>
                <w:b/>
                <w:sz w:val="21"/>
              </w:rPr>
              <w:t>33.</w:t>
            </w:r>
          </w:p>
        </w:tc>
        <w:tc>
          <w:tcPr>
            <w:tcW w:w="1234" w:type="dxa"/>
          </w:tcPr>
          <w:p>
            <w:pPr>
              <w:pStyle w:val="TableParagraph"/>
              <w:spacing w:line="261" w:lineRule="auto" w:before="25"/>
              <w:ind w:left="182" w:right="204"/>
              <w:rPr>
                <w:b/>
                <w:sz w:val="21"/>
              </w:rPr>
            </w:pPr>
            <w:r>
              <w:rPr>
                <w:b/>
                <w:sz w:val="21"/>
              </w:rPr>
              <w:t>脊髓灰质炎：</w:t>
            </w:r>
          </w:p>
        </w:tc>
        <w:tc>
          <w:tcPr>
            <w:tcW w:w="7982" w:type="dxa"/>
          </w:tcPr>
          <w:p>
            <w:pPr>
              <w:pStyle w:val="TableParagraph"/>
              <w:spacing w:line="259" w:lineRule="auto" w:before="25"/>
              <w:ind w:left="208" w:right="301"/>
              <w:jc w:val="both"/>
              <w:rPr>
                <w:sz w:val="21"/>
              </w:rPr>
            </w:pPr>
            <w:r>
              <w:rPr>
                <w:spacing w:val="-8"/>
                <w:sz w:val="21"/>
              </w:rPr>
              <w:t>是由于脊髓灰质炎病毒感染所致的瘫痪性疾病，临床表现为运动功能损害或呼吸无</w:t>
            </w:r>
            <w:r>
              <w:rPr>
                <w:spacing w:val="-12"/>
                <w:sz w:val="21"/>
              </w:rPr>
              <w:t>力。脊髓灰质炎必须明确诊断。我们仅对脊髓灰质炎造成的神经系统功能损害导致</w:t>
            </w:r>
            <w:r>
              <w:rPr>
                <w:spacing w:val="-10"/>
                <w:sz w:val="21"/>
              </w:rPr>
              <w:t>被保险人一肢或一肢以上肢体机能永久完全丧失的情况予以理赔。肢体机能永久完</w:t>
            </w:r>
            <w:r>
              <w:rPr>
                <w:spacing w:val="-12"/>
                <w:sz w:val="21"/>
              </w:rPr>
              <w:t>全丧失，指疾病确诊 </w:t>
            </w:r>
            <w:r>
              <w:rPr>
                <w:rFonts w:ascii="Times New Roman" w:eastAsia="Times New Roman"/>
                <w:sz w:val="21"/>
              </w:rPr>
              <w:t>180 </w:t>
            </w:r>
            <w:r>
              <w:rPr>
                <w:spacing w:val="-9"/>
                <w:sz w:val="21"/>
              </w:rPr>
              <w:t>日后，每肢三大关节中的两大关节仍然完全僵硬，或不能</w:t>
            </w:r>
            <w:r>
              <w:rPr>
                <w:spacing w:val="-2"/>
                <w:sz w:val="21"/>
              </w:rPr>
              <w:t>随意识活动。</w:t>
            </w:r>
          </w:p>
        </w:tc>
      </w:tr>
      <w:tr>
        <w:trPr>
          <w:trHeight w:val="2220" w:hRule="atLeast"/>
        </w:trPr>
        <w:tc>
          <w:tcPr>
            <w:tcW w:w="646" w:type="dxa"/>
          </w:tcPr>
          <w:p>
            <w:pPr>
              <w:pStyle w:val="TableParagraph"/>
              <w:spacing w:before="82"/>
              <w:ind w:left="163" w:right="145"/>
              <w:jc w:val="center"/>
              <w:rPr>
                <w:rFonts w:ascii="Times New Roman"/>
                <w:b/>
                <w:sz w:val="21"/>
              </w:rPr>
            </w:pPr>
            <w:r>
              <w:rPr>
                <w:rFonts w:ascii="Times New Roman"/>
                <w:b/>
                <w:sz w:val="21"/>
              </w:rPr>
              <w:t>34.</w:t>
            </w:r>
          </w:p>
        </w:tc>
        <w:tc>
          <w:tcPr>
            <w:tcW w:w="1234" w:type="dxa"/>
          </w:tcPr>
          <w:p>
            <w:pPr>
              <w:pStyle w:val="TableParagraph"/>
              <w:spacing w:before="33"/>
              <w:ind w:left="182"/>
              <w:rPr>
                <w:b/>
                <w:sz w:val="21"/>
              </w:rPr>
            </w:pPr>
            <w:r>
              <w:rPr>
                <w:b/>
                <w:sz w:val="21"/>
              </w:rPr>
              <w:t>硬皮病：</w:t>
            </w:r>
          </w:p>
        </w:tc>
        <w:tc>
          <w:tcPr>
            <w:tcW w:w="7982" w:type="dxa"/>
          </w:tcPr>
          <w:p>
            <w:pPr>
              <w:pStyle w:val="TableParagraph"/>
              <w:spacing w:line="261" w:lineRule="auto" w:before="33"/>
              <w:ind w:left="208" w:right="301"/>
              <w:jc w:val="both"/>
              <w:rPr>
                <w:sz w:val="21"/>
              </w:rPr>
            </w:pPr>
            <w:r>
              <w:rPr>
                <w:spacing w:val="-11"/>
                <w:sz w:val="21"/>
              </w:rPr>
              <w:t>是以弥漫性皮肤、血管及内脏器官结缔组织纤维化、硬化及萎缩为特点的结缔组织</w:t>
            </w:r>
            <w:r>
              <w:rPr>
                <w:spacing w:val="-12"/>
                <w:sz w:val="21"/>
              </w:rPr>
              <w:t>病。必须由风湿免疫专科医生确诊。必须有活体组织检查和血清学的检查作为确诊</w:t>
            </w:r>
            <w:r>
              <w:rPr>
                <w:spacing w:val="-6"/>
                <w:sz w:val="21"/>
              </w:rPr>
              <w:t>依据。病变需累及心脏、肺脏或肾脏。</w:t>
            </w:r>
          </w:p>
          <w:p>
            <w:pPr>
              <w:pStyle w:val="TableParagraph"/>
              <w:spacing w:before="6"/>
              <w:ind w:left="208"/>
              <w:jc w:val="both"/>
              <w:rPr>
                <w:sz w:val="21"/>
              </w:rPr>
            </w:pPr>
            <w:r>
              <w:rPr>
                <w:sz w:val="21"/>
              </w:rPr>
              <w:t>下列疾病不在保障范围内：</w:t>
            </w:r>
          </w:p>
          <w:p>
            <w:pPr>
              <w:pStyle w:val="TableParagraph"/>
              <w:spacing w:before="25"/>
              <w:ind w:left="208"/>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208"/>
              <w:jc w:val="both"/>
              <w:rPr>
                <w:sz w:val="21"/>
              </w:rPr>
            </w:pPr>
            <w:r>
              <w:rPr>
                <w:sz w:val="21"/>
              </w:rPr>
              <w:t>（</w:t>
            </w:r>
            <w:r>
              <w:rPr>
                <w:rFonts w:ascii="Times New Roman" w:eastAsia="Times New Roman"/>
                <w:sz w:val="21"/>
              </w:rPr>
              <w:t>2</w:t>
            </w:r>
            <w:r>
              <w:rPr>
                <w:sz w:val="21"/>
              </w:rPr>
              <w:t>）嗜酸细胞性筋膜炎；</w:t>
            </w:r>
          </w:p>
          <w:p>
            <w:pPr>
              <w:pStyle w:val="TableParagraph"/>
              <w:spacing w:before="9"/>
              <w:ind w:left="208"/>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2598" w:hRule="atLeast"/>
        </w:trPr>
        <w:tc>
          <w:tcPr>
            <w:tcW w:w="646" w:type="dxa"/>
          </w:tcPr>
          <w:p>
            <w:pPr>
              <w:pStyle w:val="TableParagraph"/>
              <w:spacing w:before="75"/>
              <w:ind w:left="163" w:right="145"/>
              <w:jc w:val="center"/>
              <w:rPr>
                <w:rFonts w:ascii="Times New Roman"/>
                <w:b/>
                <w:sz w:val="21"/>
              </w:rPr>
            </w:pPr>
            <w:r>
              <w:rPr>
                <w:rFonts w:ascii="Times New Roman"/>
                <w:b/>
                <w:sz w:val="21"/>
              </w:rPr>
              <w:t>35.</w:t>
            </w:r>
          </w:p>
        </w:tc>
        <w:tc>
          <w:tcPr>
            <w:tcW w:w="1234" w:type="dxa"/>
          </w:tcPr>
          <w:p>
            <w:pPr>
              <w:pStyle w:val="TableParagraph"/>
              <w:spacing w:line="261" w:lineRule="auto" w:before="25"/>
              <w:ind w:left="182" w:right="204"/>
              <w:rPr>
                <w:b/>
                <w:sz w:val="21"/>
              </w:rPr>
            </w:pPr>
            <w:r>
              <w:rPr>
                <w:b/>
                <w:sz w:val="21"/>
              </w:rPr>
              <w:t>肺源性心脏病：</w:t>
            </w:r>
          </w:p>
        </w:tc>
        <w:tc>
          <w:tcPr>
            <w:tcW w:w="7982" w:type="dxa"/>
          </w:tcPr>
          <w:p>
            <w:pPr>
              <w:pStyle w:val="TableParagraph"/>
              <w:spacing w:line="273" w:lineRule="auto" w:before="18"/>
              <w:ind w:left="208" w:right="301"/>
              <w:rPr>
                <w:sz w:val="21"/>
              </w:rPr>
            </w:pPr>
            <w:r>
              <w:rPr>
                <w:spacing w:val="-8"/>
                <w:sz w:val="21"/>
              </w:rPr>
              <w:t>指由于各种胸肺及支气管病变而继发的肺动脉高压，最后导致以右室肥大为特征的</w:t>
            </w:r>
            <w:r>
              <w:rPr>
                <w:spacing w:val="-5"/>
                <w:sz w:val="21"/>
              </w:rPr>
              <w:t>心脏病。须经呼吸专科医生确诊，且必须同时满足如下诊断标准：</w:t>
            </w:r>
          </w:p>
          <w:p>
            <w:pPr>
              <w:pStyle w:val="TableParagraph"/>
              <w:spacing w:before="7"/>
              <w:ind w:left="208"/>
              <w:rPr>
                <w:sz w:val="21"/>
              </w:rPr>
            </w:pPr>
            <w:r>
              <w:rPr>
                <w:w w:val="100"/>
                <w:sz w:val="21"/>
              </w:rPr>
              <w:t>（</w:t>
            </w:r>
            <w:r>
              <w:rPr>
                <w:rFonts w:ascii="Times New Roman" w:eastAsia="Times New Roman"/>
                <w:w w:val="100"/>
                <w:sz w:val="21"/>
              </w:rPr>
              <w:t>1</w:t>
            </w:r>
            <w:r>
              <w:rPr>
                <w:spacing w:val="-3"/>
                <w:w w:val="100"/>
                <w:sz w:val="21"/>
              </w:rPr>
              <w:t>）左心房压力增高</w:t>
            </w:r>
            <w:r>
              <w:rPr>
                <w:w w:val="100"/>
                <w:sz w:val="21"/>
              </w:rPr>
              <w:t>（</w:t>
            </w:r>
            <w:r>
              <w:rPr>
                <w:spacing w:val="-2"/>
                <w:w w:val="100"/>
                <w:sz w:val="21"/>
              </w:rPr>
              <w:t>不低于</w:t>
            </w:r>
            <w:r>
              <w:rPr>
                <w:spacing w:val="-51"/>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209"/>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2"/>
                <w:w w:val="100"/>
                <w:sz w:val="21"/>
              </w:rPr>
              <w:t>个单位</w:t>
            </w:r>
            <w:r>
              <w:rPr>
                <w:spacing w:val="-3"/>
                <w:w w:val="100"/>
                <w:sz w:val="21"/>
              </w:rPr>
              <w:t>（</w:t>
            </w:r>
            <w:r>
              <w:rPr>
                <w:rFonts w:ascii="Times New Roman" w:eastAsia="Times New Roman"/>
                <w:w w:val="100"/>
                <w:sz w:val="21"/>
              </w:rPr>
              <w:t>P</w:t>
            </w:r>
            <w:r>
              <w:rPr>
                <w:rFonts w:ascii="Times New Roman" w:eastAsia="Times New Roman"/>
                <w:spacing w:val="-1"/>
                <w:w w:val="100"/>
                <w:sz w:val="21"/>
              </w:rPr>
              <w:t>ul</w:t>
            </w:r>
            <w:r>
              <w:rPr>
                <w:rFonts w:ascii="Times New Roman" w:eastAsia="Times New Roman"/>
                <w:spacing w:val="-4"/>
                <w:w w:val="100"/>
                <w:sz w:val="21"/>
              </w:rPr>
              <w:t>m</w:t>
            </w:r>
            <w:r>
              <w:rPr>
                <w:rFonts w:ascii="Times New Roman" w:eastAsia="Times New Roman"/>
                <w:spacing w:val="-1"/>
                <w:w w:val="100"/>
                <w:sz w:val="21"/>
              </w:rPr>
              <w:t>on</w:t>
            </w:r>
            <w:r>
              <w:rPr>
                <w:rFonts w:ascii="Times New Roman" w:eastAsia="Times New Roman"/>
                <w:w w:val="100"/>
                <w:sz w:val="21"/>
              </w:rPr>
              <w:t>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spacing w:val="-1"/>
                <w:w w:val="100"/>
                <w:sz w:val="21"/>
              </w:rPr>
              <w:t>es</w:t>
            </w:r>
            <w:r>
              <w:rPr>
                <w:rFonts w:ascii="Times New Roman" w:eastAsia="Times New Roman"/>
                <w:spacing w:val="-2"/>
                <w:w w:val="100"/>
                <w:sz w:val="21"/>
              </w:rPr>
              <w:t>i</w:t>
            </w:r>
            <w:r>
              <w:rPr>
                <w:rFonts w:ascii="Times New Roman" w:eastAsia="Times New Roman"/>
                <w:spacing w:val="-1"/>
                <w:w w:val="100"/>
                <w:sz w:val="21"/>
              </w:rPr>
              <w:t>s</w:t>
            </w:r>
            <w:r>
              <w:rPr>
                <w:rFonts w:ascii="Times New Roman" w:eastAsia="Times New Roman"/>
                <w:spacing w:val="-2"/>
                <w:w w:val="100"/>
                <w:sz w:val="21"/>
              </w:rPr>
              <w:t>t</w:t>
            </w:r>
            <w:r>
              <w:rPr>
                <w:rFonts w:ascii="Times New Roman" w:eastAsia="Times New Roman"/>
                <w:spacing w:val="-1"/>
                <w:w w:val="100"/>
                <w:sz w:val="21"/>
              </w:rPr>
              <w:t>an</w:t>
            </w:r>
            <w:r>
              <w:rPr>
                <w:rFonts w:ascii="Times New Roman" w:eastAsia="Times New Roman"/>
                <w:w w:val="100"/>
                <w:sz w:val="21"/>
              </w:rPr>
              <w:t>c</w:t>
            </w:r>
            <w:r>
              <w:rPr>
                <w:rFonts w:ascii="Times New Roman" w:eastAsia="Times New Roman"/>
                <w:spacing w:val="-1"/>
                <w:w w:val="100"/>
                <w:sz w:val="21"/>
              </w:rPr>
              <w:t>e</w:t>
            </w:r>
            <w:r>
              <w:rPr>
                <w:spacing w:val="-106"/>
                <w:w w:val="100"/>
                <w:sz w:val="21"/>
              </w:rPr>
              <w:t>）；</w:t>
            </w:r>
          </w:p>
          <w:p>
            <w:pPr>
              <w:pStyle w:val="TableParagraph"/>
              <w:spacing w:before="21"/>
              <w:ind w:left="209"/>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209"/>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209"/>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8"/>
              <w:ind w:left="209"/>
              <w:rPr>
                <w:sz w:val="21"/>
              </w:rPr>
            </w:pPr>
            <w:r>
              <w:rPr>
                <w:sz w:val="21"/>
              </w:rPr>
              <w:t>（</w:t>
            </w:r>
            <w:r>
              <w:rPr>
                <w:rFonts w:ascii="Times New Roman" w:eastAsia="Times New Roman"/>
                <w:sz w:val="21"/>
              </w:rPr>
              <w:t>6</w:t>
            </w:r>
            <w:r>
              <w:rPr>
                <w:sz w:val="21"/>
              </w:rPr>
              <w:t>）右心室过度肥大、扩张，出现右心衰竭和呼吸困难。</w:t>
            </w:r>
          </w:p>
        </w:tc>
      </w:tr>
      <w:tr>
        <w:trPr>
          <w:trHeight w:val="324" w:hRule="atLeast"/>
        </w:trPr>
        <w:tc>
          <w:tcPr>
            <w:tcW w:w="646" w:type="dxa"/>
          </w:tcPr>
          <w:p>
            <w:pPr>
              <w:pStyle w:val="TableParagraph"/>
              <w:spacing w:line="229" w:lineRule="exact" w:before="76"/>
              <w:ind w:left="163" w:right="145"/>
              <w:jc w:val="center"/>
              <w:rPr>
                <w:rFonts w:ascii="Times New Roman"/>
                <w:b/>
                <w:sz w:val="21"/>
              </w:rPr>
            </w:pPr>
            <w:r>
              <w:rPr>
                <w:rFonts w:ascii="Times New Roman"/>
                <w:b/>
                <w:sz w:val="21"/>
              </w:rPr>
              <w:t>36.</w:t>
            </w:r>
          </w:p>
        </w:tc>
        <w:tc>
          <w:tcPr>
            <w:tcW w:w="1234" w:type="dxa"/>
          </w:tcPr>
          <w:p>
            <w:pPr>
              <w:pStyle w:val="TableParagraph"/>
              <w:spacing w:before="26"/>
              <w:ind w:left="182"/>
              <w:rPr>
                <w:b/>
                <w:sz w:val="21"/>
              </w:rPr>
            </w:pPr>
            <w:r>
              <w:rPr>
                <w:b/>
                <w:sz w:val="21"/>
              </w:rPr>
              <w:t>严重自身</w:t>
            </w:r>
          </w:p>
        </w:tc>
        <w:tc>
          <w:tcPr>
            <w:tcW w:w="7982" w:type="dxa"/>
          </w:tcPr>
          <w:p>
            <w:pPr>
              <w:pStyle w:val="TableParagraph"/>
              <w:spacing w:before="26"/>
              <w:ind w:left="208"/>
              <w:rPr>
                <w:sz w:val="21"/>
              </w:rPr>
            </w:pPr>
            <w:r>
              <w:rPr>
                <w:sz w:val="21"/>
              </w:rPr>
              <w:t>是一种原因不明的慢性肝脏的坏死性炎性疾病，机体免疫机制被破坏，产生针对肝</w:t>
            </w:r>
          </w:p>
        </w:tc>
      </w:tr>
    </w:tbl>
    <w:p>
      <w:pPr>
        <w:spacing w:after="0"/>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340"/>
        <w:gridCol w:w="7875"/>
      </w:tblGrid>
      <w:tr>
        <w:trPr>
          <w:trHeight w:val="2116" w:hRule="atLeast"/>
        </w:trPr>
        <w:tc>
          <w:tcPr>
            <w:tcW w:w="646" w:type="dxa"/>
          </w:tcPr>
          <w:p>
            <w:pPr>
              <w:pStyle w:val="TableParagraph"/>
              <w:ind w:left="0"/>
              <w:rPr>
                <w:rFonts w:ascii="Times New Roman"/>
                <w:sz w:val="20"/>
              </w:rPr>
            </w:pPr>
          </w:p>
        </w:tc>
        <w:tc>
          <w:tcPr>
            <w:tcW w:w="1340" w:type="dxa"/>
          </w:tcPr>
          <w:p>
            <w:pPr>
              <w:pStyle w:val="TableParagraph"/>
              <w:spacing w:line="211" w:lineRule="exact"/>
              <w:ind w:left="182"/>
              <w:rPr>
                <w:b/>
                <w:sz w:val="21"/>
              </w:rPr>
            </w:pPr>
            <w:r>
              <w:rPr>
                <w:b/>
                <w:sz w:val="21"/>
              </w:rPr>
              <w:t>免疫性肝</w:t>
            </w:r>
          </w:p>
          <w:p>
            <w:pPr>
              <w:pStyle w:val="TableParagraph"/>
              <w:spacing w:before="25"/>
              <w:ind w:left="182"/>
              <w:rPr>
                <w:b/>
                <w:sz w:val="21"/>
              </w:rPr>
            </w:pPr>
            <w:r>
              <w:rPr>
                <w:b/>
                <w:sz w:val="21"/>
              </w:rPr>
              <w:t>炎：</w:t>
            </w:r>
          </w:p>
        </w:tc>
        <w:tc>
          <w:tcPr>
            <w:tcW w:w="7875" w:type="dxa"/>
          </w:tcPr>
          <w:p>
            <w:pPr>
              <w:pStyle w:val="TableParagraph"/>
              <w:spacing w:line="211" w:lineRule="exact"/>
              <w:rPr>
                <w:sz w:val="21"/>
              </w:rPr>
            </w:pPr>
            <w:r>
              <w:rPr>
                <w:sz w:val="21"/>
              </w:rPr>
              <w:t>脏自身抗原的抗体导致自身免疫反应，从而破坏肝细胞造成肝脏炎症坏死，进而发</w:t>
            </w:r>
          </w:p>
          <w:p>
            <w:pPr>
              <w:pStyle w:val="TableParagraph"/>
              <w:spacing w:before="25"/>
              <w:rPr>
                <w:sz w:val="21"/>
              </w:rPr>
            </w:pPr>
            <w:r>
              <w:rPr>
                <w:sz w:val="21"/>
              </w:rPr>
              <w:t>展为肝硬化。必须满足所有以下条件：</w:t>
            </w:r>
          </w:p>
          <w:p>
            <w:pPr>
              <w:pStyle w:val="TableParagraph"/>
              <w:spacing w:before="25"/>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28" w:right="301"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2"/>
              <w:rPr>
                <w:sz w:val="21"/>
              </w:rPr>
            </w:pPr>
            <w:r>
              <w:rPr>
                <w:sz w:val="21"/>
              </w:rPr>
              <w:t>（</w:t>
            </w:r>
            <w:r>
              <w:rPr>
                <w:rFonts w:ascii="Times New Roman" w:eastAsia="Times New Roman"/>
                <w:sz w:val="21"/>
              </w:rPr>
              <w:t>3</w:t>
            </w:r>
            <w:r>
              <w:rPr>
                <w:sz w:val="21"/>
              </w:rPr>
              <w:t>）肝脏活检证实免疫性肝炎；</w:t>
            </w:r>
          </w:p>
          <w:p>
            <w:pPr>
              <w:pStyle w:val="TableParagraph"/>
              <w:spacing w:before="9"/>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3" w:hRule="atLeast"/>
        </w:trPr>
        <w:tc>
          <w:tcPr>
            <w:tcW w:w="646" w:type="dxa"/>
          </w:tcPr>
          <w:p>
            <w:pPr>
              <w:pStyle w:val="TableParagraph"/>
              <w:spacing w:before="82"/>
              <w:ind w:left="163" w:right="145"/>
              <w:jc w:val="center"/>
              <w:rPr>
                <w:rFonts w:ascii="Times New Roman"/>
                <w:b/>
                <w:sz w:val="21"/>
              </w:rPr>
            </w:pPr>
            <w:r>
              <w:rPr>
                <w:rFonts w:ascii="Times New Roman"/>
                <w:b/>
                <w:sz w:val="21"/>
              </w:rPr>
              <w:t>37.</w:t>
            </w:r>
          </w:p>
        </w:tc>
        <w:tc>
          <w:tcPr>
            <w:tcW w:w="1340" w:type="dxa"/>
          </w:tcPr>
          <w:p>
            <w:pPr>
              <w:pStyle w:val="TableParagraph"/>
              <w:spacing w:line="261" w:lineRule="auto" w:before="32"/>
              <w:ind w:left="182" w:right="310"/>
              <w:rPr>
                <w:b/>
                <w:sz w:val="21"/>
              </w:rPr>
            </w:pPr>
            <w:r>
              <w:rPr>
                <w:b/>
                <w:sz w:val="21"/>
              </w:rPr>
              <w:t>严重心肌炎：</w:t>
            </w:r>
          </w:p>
        </w:tc>
        <w:tc>
          <w:tcPr>
            <w:tcW w:w="7875" w:type="dxa"/>
          </w:tcPr>
          <w:p>
            <w:pPr>
              <w:pStyle w:val="TableParagraph"/>
              <w:spacing w:line="261" w:lineRule="auto" w:before="32"/>
              <w:ind w:right="300"/>
              <w:rPr>
                <w:sz w:val="21"/>
              </w:rPr>
            </w:pPr>
            <w:r>
              <w:rPr>
                <w:spacing w:val="-8"/>
                <w:sz w:val="21"/>
              </w:rPr>
              <w:t>指心肌局限性或弥漫性的急性或慢性炎症病变，导致心脏功能障碍，达到美国纽约</w:t>
            </w:r>
            <w:r>
              <w:rPr>
                <w:spacing w:val="-7"/>
                <w:sz w:val="21"/>
              </w:rPr>
              <w:t>心脏病学会心功能状态分级四级，且持续至少 </w:t>
            </w:r>
            <w:r>
              <w:rPr>
                <w:rFonts w:ascii="Times New Roman" w:eastAsia="Times New Roman"/>
                <w:sz w:val="21"/>
              </w:rPr>
              <w:t>90 </w:t>
            </w:r>
            <w:r>
              <w:rPr>
                <w:spacing w:val="-2"/>
                <w:sz w:val="21"/>
              </w:rPr>
              <w:t>日。</w:t>
            </w:r>
          </w:p>
        </w:tc>
      </w:tr>
      <w:tr>
        <w:trPr>
          <w:trHeight w:val="704" w:hRule="atLeast"/>
        </w:trPr>
        <w:tc>
          <w:tcPr>
            <w:tcW w:w="646" w:type="dxa"/>
          </w:tcPr>
          <w:p>
            <w:pPr>
              <w:pStyle w:val="TableParagraph"/>
              <w:spacing w:before="81"/>
              <w:ind w:left="163" w:right="145"/>
              <w:jc w:val="center"/>
              <w:rPr>
                <w:rFonts w:ascii="Times New Roman"/>
                <w:b/>
                <w:sz w:val="21"/>
              </w:rPr>
            </w:pPr>
            <w:r>
              <w:rPr>
                <w:rFonts w:ascii="Times New Roman"/>
                <w:b/>
                <w:sz w:val="21"/>
              </w:rPr>
              <w:t>38.</w:t>
            </w:r>
          </w:p>
        </w:tc>
        <w:tc>
          <w:tcPr>
            <w:tcW w:w="1340" w:type="dxa"/>
          </w:tcPr>
          <w:p>
            <w:pPr>
              <w:pStyle w:val="TableParagraph"/>
              <w:spacing w:line="261" w:lineRule="auto" w:before="32"/>
              <w:ind w:left="182" w:right="99"/>
              <w:rPr>
                <w:b/>
                <w:sz w:val="21"/>
              </w:rPr>
            </w:pPr>
            <w:r>
              <w:rPr>
                <w:b/>
                <w:sz w:val="21"/>
              </w:rPr>
              <w:t>急性坏死 性胰腺炎：</w:t>
            </w:r>
          </w:p>
        </w:tc>
        <w:tc>
          <w:tcPr>
            <w:tcW w:w="7875" w:type="dxa"/>
          </w:tcPr>
          <w:p>
            <w:pPr>
              <w:pStyle w:val="TableParagraph"/>
              <w:spacing w:line="261" w:lineRule="auto" w:before="32"/>
              <w:ind w:right="302"/>
              <w:rPr>
                <w:sz w:val="21"/>
              </w:rPr>
            </w:pPr>
            <w:r>
              <w:rPr>
                <w:spacing w:val="-8"/>
                <w:sz w:val="21"/>
              </w:rPr>
              <w:t>由专科医生确诊为急性坏死性胰腺炎，并需进行手术治疗，以进行组织清除、病灶</w:t>
            </w:r>
            <w:r>
              <w:rPr>
                <w:spacing w:val="-5"/>
                <w:sz w:val="21"/>
              </w:rPr>
              <w:t>切除或胰腺部分切除。但因酒精中毒所致的急性坏死性胰腺炎除外。</w:t>
            </w:r>
          </w:p>
        </w:tc>
      </w:tr>
      <w:tr>
        <w:trPr>
          <w:trHeight w:val="1012" w:hRule="atLeast"/>
        </w:trPr>
        <w:tc>
          <w:tcPr>
            <w:tcW w:w="646" w:type="dxa"/>
          </w:tcPr>
          <w:p>
            <w:pPr>
              <w:pStyle w:val="TableParagraph"/>
              <w:spacing w:before="89"/>
              <w:ind w:left="163" w:right="145"/>
              <w:jc w:val="center"/>
              <w:rPr>
                <w:rFonts w:ascii="Times New Roman"/>
                <w:b/>
                <w:sz w:val="21"/>
              </w:rPr>
            </w:pPr>
            <w:r>
              <w:rPr>
                <w:rFonts w:ascii="Times New Roman"/>
                <w:b/>
                <w:sz w:val="21"/>
              </w:rPr>
              <w:t>39.</w:t>
            </w:r>
          </w:p>
        </w:tc>
        <w:tc>
          <w:tcPr>
            <w:tcW w:w="1340" w:type="dxa"/>
          </w:tcPr>
          <w:p>
            <w:pPr>
              <w:pStyle w:val="TableParagraph"/>
              <w:spacing w:line="261" w:lineRule="auto" w:before="40"/>
              <w:ind w:left="182" w:right="310"/>
              <w:rPr>
                <w:b/>
                <w:sz w:val="21"/>
              </w:rPr>
            </w:pPr>
            <w:r>
              <w:rPr>
                <w:b/>
                <w:sz w:val="21"/>
              </w:rPr>
              <w:t>严重克隆病：</w:t>
            </w:r>
          </w:p>
        </w:tc>
        <w:tc>
          <w:tcPr>
            <w:tcW w:w="7875" w:type="dxa"/>
          </w:tcPr>
          <w:p>
            <w:pPr>
              <w:pStyle w:val="TableParagraph"/>
              <w:spacing w:line="261" w:lineRule="auto" w:before="40"/>
              <w:ind w:right="300"/>
              <w:jc w:val="both"/>
              <w:rPr>
                <w:sz w:val="21"/>
              </w:rPr>
            </w:pPr>
            <w:r>
              <w:rPr>
                <w:spacing w:val="-8"/>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12" w:hRule="atLeast"/>
        </w:trPr>
        <w:tc>
          <w:tcPr>
            <w:tcW w:w="646" w:type="dxa"/>
          </w:tcPr>
          <w:p>
            <w:pPr>
              <w:pStyle w:val="TableParagraph"/>
              <w:spacing w:before="89"/>
              <w:ind w:left="163" w:right="145"/>
              <w:jc w:val="center"/>
              <w:rPr>
                <w:rFonts w:ascii="Times New Roman"/>
                <w:b/>
                <w:sz w:val="21"/>
              </w:rPr>
            </w:pPr>
            <w:r>
              <w:rPr>
                <w:rFonts w:ascii="Times New Roman"/>
                <w:b/>
                <w:sz w:val="21"/>
              </w:rPr>
              <w:t>40.</w:t>
            </w:r>
          </w:p>
        </w:tc>
        <w:tc>
          <w:tcPr>
            <w:tcW w:w="1340" w:type="dxa"/>
          </w:tcPr>
          <w:p>
            <w:pPr>
              <w:pStyle w:val="TableParagraph"/>
              <w:spacing w:line="261" w:lineRule="auto" w:before="40"/>
              <w:ind w:left="182" w:right="310"/>
              <w:rPr>
                <w:b/>
                <w:sz w:val="21"/>
              </w:rPr>
            </w:pPr>
            <w:r>
              <w:rPr>
                <w:b/>
                <w:sz w:val="21"/>
              </w:rPr>
              <w:t>严重冠心病：</w:t>
            </w:r>
          </w:p>
        </w:tc>
        <w:tc>
          <w:tcPr>
            <w:tcW w:w="7875" w:type="dxa"/>
          </w:tcPr>
          <w:p>
            <w:pPr>
              <w:pStyle w:val="TableParagraph"/>
              <w:spacing w:line="256" w:lineRule="auto" w:before="40"/>
              <w:ind w:right="301"/>
              <w:rPr>
                <w:sz w:val="21"/>
              </w:rPr>
            </w:pPr>
            <w:r>
              <w:rPr>
                <w:spacing w:val="-4"/>
                <w:sz w:val="21"/>
              </w:rPr>
              <w:t>指根据冠状动脉造影检查结果确诊的三支主要血管</w:t>
            </w:r>
            <w:r>
              <w:rPr>
                <w:sz w:val="21"/>
              </w:rPr>
              <w:t>（</w:t>
            </w:r>
            <w:r>
              <w:rPr>
                <w:spacing w:val="-3"/>
                <w:sz w:val="21"/>
              </w:rPr>
              <w:t>左冠状动脉主干和右冠状动</w:t>
            </w:r>
            <w:r>
              <w:rPr>
                <w:spacing w:val="-9"/>
                <w:sz w:val="21"/>
              </w:rPr>
              <w:t>脉，或前降支、左旋支和右冠状动脉</w:t>
            </w:r>
            <w:r>
              <w:rPr>
                <w:spacing w:val="-25"/>
                <w:sz w:val="21"/>
              </w:rPr>
              <w:t>）</w:t>
            </w:r>
            <w:r>
              <w:rPr>
                <w:spacing w:val="-6"/>
                <w:sz w:val="21"/>
              </w:rPr>
              <w:t>严重狭窄性病变</w:t>
            </w:r>
            <w:r>
              <w:rPr>
                <w:spacing w:val="-3"/>
                <w:sz w:val="21"/>
              </w:rPr>
              <w:t>（至少一支血管管腔直径减</w:t>
            </w:r>
            <w:r>
              <w:rPr>
                <w:spacing w:val="-24"/>
                <w:sz w:val="21"/>
              </w:rPr>
              <w:t>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。前降支、左旋支及右冠状动脉的分支血管的狭窄不作为本保障的衡量指标。</w:t>
            </w:r>
          </w:p>
        </w:tc>
      </w:tr>
      <w:tr>
        <w:trPr>
          <w:trHeight w:val="2212" w:hRule="atLeast"/>
        </w:trPr>
        <w:tc>
          <w:tcPr>
            <w:tcW w:w="646" w:type="dxa"/>
          </w:tcPr>
          <w:p>
            <w:pPr>
              <w:pStyle w:val="TableParagraph"/>
              <w:spacing w:before="89"/>
              <w:ind w:left="163" w:right="145"/>
              <w:jc w:val="center"/>
              <w:rPr>
                <w:rFonts w:ascii="Times New Roman"/>
                <w:b/>
                <w:sz w:val="21"/>
              </w:rPr>
            </w:pPr>
            <w:r>
              <w:rPr>
                <w:rFonts w:ascii="Times New Roman"/>
                <w:b/>
                <w:sz w:val="21"/>
              </w:rPr>
              <w:t>41.</w:t>
            </w:r>
          </w:p>
        </w:tc>
        <w:tc>
          <w:tcPr>
            <w:tcW w:w="1340" w:type="dxa"/>
          </w:tcPr>
          <w:p>
            <w:pPr>
              <w:pStyle w:val="TableParagraph"/>
              <w:spacing w:line="261" w:lineRule="auto" w:before="40"/>
              <w:ind w:left="182" w:right="204"/>
              <w:rPr>
                <w:b/>
                <w:sz w:val="21"/>
              </w:rPr>
            </w:pPr>
            <w:r>
              <w:rPr>
                <w:b/>
                <w:sz w:val="21"/>
              </w:rPr>
              <w:t>艾迪森氏病(慢性肾上腺皮质功能衰  </w:t>
            </w:r>
            <w:r>
              <w:rPr>
                <w:b/>
                <w:spacing w:val="-1"/>
                <w:sz w:val="21"/>
              </w:rPr>
              <w:t>竭) ：</w:t>
            </w:r>
          </w:p>
        </w:tc>
        <w:tc>
          <w:tcPr>
            <w:tcW w:w="7875" w:type="dxa"/>
          </w:tcPr>
          <w:p>
            <w:pPr>
              <w:pStyle w:val="TableParagraph"/>
              <w:spacing w:line="261" w:lineRule="auto" w:before="40"/>
              <w:ind w:right="197"/>
              <w:rPr>
                <w:sz w:val="21"/>
              </w:rPr>
            </w:pPr>
            <w:r>
              <w:rPr>
                <w:spacing w:val="-10"/>
                <w:sz w:val="21"/>
              </w:rPr>
              <w:t>因为自身免疫功能紊乱，使肾上腺组织逐渐受损，而需要长期接受糖皮质激素及肾</w:t>
            </w:r>
            <w:r>
              <w:rPr>
                <w:spacing w:val="-16"/>
                <w:sz w:val="21"/>
              </w:rPr>
              <w:t>上腺皮质激素替代疗法。该病必须经内分泌专科医生确诊，并有以下报告作为证据：</w:t>
            </w:r>
          </w:p>
          <w:p>
            <w:pPr>
              <w:pStyle w:val="TableParagraph"/>
              <w:spacing w:before="5"/>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ind w:left="103"/>
              <w:rPr>
                <w:sz w:val="21"/>
              </w:rPr>
            </w:pPr>
            <w:r>
              <w:rPr>
                <w:sz w:val="21"/>
              </w:rPr>
              <w:t>（</w:t>
            </w:r>
            <w:r>
              <w:rPr>
                <w:rFonts w:ascii="Times New Roman" w:eastAsia="Times New Roman"/>
                <w:sz w:val="21"/>
              </w:rPr>
              <w:t>2</w:t>
            </w:r>
            <w:r>
              <w:rPr>
                <w:sz w:val="21"/>
              </w:rPr>
              <w:t>）胰岛素血糖减少测试；</w:t>
            </w:r>
          </w:p>
          <w:p>
            <w:pPr>
              <w:pStyle w:val="TableParagraph"/>
              <w:spacing w:before="8"/>
              <w:ind w:left="103"/>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ind w:left="103"/>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ind w:left="103"/>
              <w:rPr>
                <w:sz w:val="21"/>
              </w:rPr>
            </w:pPr>
            <w:r>
              <w:rPr>
                <w:sz w:val="21"/>
              </w:rPr>
              <w:t>非由自身免疫功能紊乱引起的慢性肾上腺皮质功能衰竭不在保障范围内。</w:t>
            </w:r>
          </w:p>
        </w:tc>
      </w:tr>
      <w:tr>
        <w:trPr>
          <w:trHeight w:val="1014" w:hRule="atLeast"/>
        </w:trPr>
        <w:tc>
          <w:tcPr>
            <w:tcW w:w="646" w:type="dxa"/>
          </w:tcPr>
          <w:p>
            <w:pPr>
              <w:pStyle w:val="TableParagraph"/>
              <w:spacing w:before="89"/>
              <w:ind w:left="163" w:right="145"/>
              <w:jc w:val="center"/>
              <w:rPr>
                <w:rFonts w:ascii="Times New Roman"/>
                <w:b/>
                <w:sz w:val="21"/>
              </w:rPr>
            </w:pPr>
            <w:r>
              <w:rPr>
                <w:rFonts w:ascii="Times New Roman"/>
                <w:b/>
                <w:sz w:val="21"/>
              </w:rPr>
              <w:t>42.</w:t>
            </w:r>
          </w:p>
        </w:tc>
        <w:tc>
          <w:tcPr>
            <w:tcW w:w="1340" w:type="dxa"/>
          </w:tcPr>
          <w:p>
            <w:pPr>
              <w:pStyle w:val="TableParagraph"/>
              <w:spacing w:line="261" w:lineRule="auto" w:before="40"/>
              <w:ind w:left="182" w:right="310"/>
              <w:rPr>
                <w:b/>
                <w:sz w:val="21"/>
              </w:rPr>
            </w:pPr>
            <w:r>
              <w:rPr>
                <w:b/>
                <w:sz w:val="21"/>
              </w:rPr>
              <w:t>埃博拉病毒感染：</w:t>
            </w:r>
          </w:p>
        </w:tc>
        <w:tc>
          <w:tcPr>
            <w:tcW w:w="7875" w:type="dxa"/>
          </w:tcPr>
          <w:p>
            <w:pPr>
              <w:pStyle w:val="TableParagraph"/>
              <w:spacing w:line="254" w:lineRule="auto" w:before="40"/>
              <w:ind w:right="300"/>
              <w:jc w:val="both"/>
              <w:rPr>
                <w:sz w:val="21"/>
              </w:rPr>
            </w:pPr>
            <w:r>
              <w:rPr>
                <w:spacing w:val="-8"/>
                <w:sz w:val="21"/>
              </w:rPr>
              <w:t>受埃博拉病毒感染导致出血性发热。埃博拉病必须经传染病专科医生确诊，并且埃</w:t>
            </w:r>
            <w:r>
              <w:rPr>
                <w:spacing w:val="-7"/>
                <w:sz w:val="21"/>
              </w:rPr>
              <w:t>博拉病毒的存在必须经过实验室检查证实。该病必须从症状开始后 </w:t>
            </w:r>
            <w:r>
              <w:rPr>
                <w:rFonts w:ascii="Times New Roman" w:eastAsia="Times New Roman"/>
                <w:sz w:val="21"/>
              </w:rPr>
              <w:t>30 </w:t>
            </w:r>
            <w:r>
              <w:rPr>
                <w:spacing w:val="-3"/>
                <w:sz w:val="21"/>
              </w:rPr>
              <w:t>日后持续出</w:t>
            </w:r>
            <w:r>
              <w:rPr>
                <w:spacing w:val="-1"/>
                <w:sz w:val="21"/>
              </w:rPr>
              <w:t>现并发症。</w:t>
            </w:r>
          </w:p>
        </w:tc>
      </w:tr>
      <w:tr>
        <w:trPr>
          <w:trHeight w:val="2213" w:hRule="atLeast"/>
        </w:trPr>
        <w:tc>
          <w:tcPr>
            <w:tcW w:w="646" w:type="dxa"/>
          </w:tcPr>
          <w:p>
            <w:pPr>
              <w:pStyle w:val="TableParagraph"/>
              <w:spacing w:before="91"/>
              <w:ind w:left="163" w:right="145"/>
              <w:jc w:val="center"/>
              <w:rPr>
                <w:rFonts w:ascii="Times New Roman"/>
                <w:b/>
                <w:sz w:val="21"/>
              </w:rPr>
            </w:pPr>
            <w:r>
              <w:rPr>
                <w:rFonts w:ascii="Times New Roman"/>
                <w:b/>
                <w:sz w:val="21"/>
              </w:rPr>
              <w:t>43.</w:t>
            </w:r>
          </w:p>
        </w:tc>
        <w:tc>
          <w:tcPr>
            <w:tcW w:w="1340" w:type="dxa"/>
          </w:tcPr>
          <w:p>
            <w:pPr>
              <w:pStyle w:val="TableParagraph"/>
              <w:spacing w:line="261" w:lineRule="auto" w:before="41"/>
              <w:ind w:left="182" w:right="310"/>
              <w:jc w:val="both"/>
              <w:rPr>
                <w:b/>
                <w:sz w:val="21"/>
              </w:rPr>
            </w:pPr>
            <w:r>
              <w:rPr>
                <w:b/>
                <w:sz w:val="21"/>
              </w:rPr>
              <w:t>原发性硬化性胆管炎：</w:t>
            </w:r>
          </w:p>
        </w:tc>
        <w:tc>
          <w:tcPr>
            <w:tcW w:w="7875" w:type="dxa"/>
          </w:tcPr>
          <w:p>
            <w:pPr>
              <w:pStyle w:val="TableParagraph"/>
              <w:spacing w:line="261" w:lineRule="auto" w:before="41"/>
              <w:ind w:right="304"/>
              <w:jc w:val="both"/>
              <w:rPr>
                <w:sz w:val="21"/>
              </w:rPr>
            </w:pPr>
            <w:r>
              <w:rPr>
                <w:spacing w:val="-9"/>
                <w:sz w:val="21"/>
              </w:rPr>
              <w:t>指一种胆汁淤积综合征，其特征是肝内、肝外胆道因纤维化性炎症逐渐狭窄，并最</w:t>
            </w:r>
            <w:r>
              <w:rPr>
                <w:sz w:val="21"/>
              </w:rPr>
              <w:t>终导致完全阻塞而发展为肝硬化。本病须经内镜逆行胰胆管造影等影像学检查证</w:t>
            </w:r>
            <w:r>
              <w:rPr>
                <w:spacing w:val="-3"/>
                <w:sz w:val="21"/>
              </w:rPr>
              <w:t>实，并须满足下列全部条件：</w:t>
            </w:r>
          </w:p>
          <w:p>
            <w:pPr>
              <w:pStyle w:val="TableParagraph"/>
              <w:spacing w:before="5"/>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jc w:val="both"/>
              <w:rPr>
                <w:sz w:val="21"/>
              </w:rPr>
            </w:pPr>
            <w:r>
              <w:rPr>
                <w:sz w:val="21"/>
              </w:rPr>
              <w:t>（</w:t>
            </w:r>
            <w:r>
              <w:rPr>
                <w:rFonts w:ascii="Times New Roman" w:eastAsia="Times New Roman"/>
                <w:sz w:val="21"/>
              </w:rPr>
              <w:t>2</w:t>
            </w:r>
            <w:r>
              <w:rPr>
                <w:sz w:val="21"/>
              </w:rPr>
              <w:t>）持续性黄疸病史；</w:t>
            </w:r>
          </w:p>
          <w:p>
            <w:pPr>
              <w:pStyle w:val="TableParagraph"/>
              <w:spacing w:before="8"/>
              <w:ind w:left="103"/>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8"/>
              <w:ind w:left="103"/>
              <w:jc w:val="both"/>
              <w:rPr>
                <w:sz w:val="21"/>
              </w:rPr>
            </w:pPr>
            <w:r>
              <w:rPr>
                <w:sz w:val="21"/>
              </w:rPr>
              <w:t>因肿瘤或胆管损伤等继发性的硬化性胆管炎不在保障范围内。</w:t>
            </w:r>
          </w:p>
        </w:tc>
      </w:tr>
      <w:tr>
        <w:trPr>
          <w:trHeight w:val="1313" w:hRule="atLeast"/>
        </w:trPr>
        <w:tc>
          <w:tcPr>
            <w:tcW w:w="646" w:type="dxa"/>
          </w:tcPr>
          <w:p>
            <w:pPr>
              <w:pStyle w:val="TableParagraph"/>
              <w:spacing w:before="90"/>
              <w:ind w:left="163" w:right="145"/>
              <w:jc w:val="center"/>
              <w:rPr>
                <w:rFonts w:ascii="Times New Roman"/>
                <w:b/>
                <w:sz w:val="21"/>
              </w:rPr>
            </w:pPr>
            <w:r>
              <w:rPr>
                <w:rFonts w:ascii="Times New Roman"/>
                <w:b/>
                <w:sz w:val="21"/>
              </w:rPr>
              <w:t>44.</w:t>
            </w:r>
          </w:p>
        </w:tc>
        <w:tc>
          <w:tcPr>
            <w:tcW w:w="1340" w:type="dxa"/>
          </w:tcPr>
          <w:p>
            <w:pPr>
              <w:pStyle w:val="TableParagraph"/>
              <w:spacing w:line="261" w:lineRule="auto" w:before="40"/>
              <w:ind w:left="182" w:right="99"/>
              <w:rPr>
                <w:b/>
                <w:sz w:val="21"/>
              </w:rPr>
            </w:pPr>
            <w:r>
              <w:rPr>
                <w:b/>
                <w:sz w:val="21"/>
              </w:rPr>
              <w:t>严重溃疡 性结肠炎：</w:t>
            </w:r>
          </w:p>
        </w:tc>
        <w:tc>
          <w:tcPr>
            <w:tcW w:w="7875" w:type="dxa"/>
          </w:tcPr>
          <w:p>
            <w:pPr>
              <w:pStyle w:val="TableParagraph"/>
              <w:spacing w:line="261" w:lineRule="auto" w:before="40"/>
              <w:ind w:right="300"/>
              <w:rPr>
                <w:sz w:val="21"/>
              </w:rPr>
            </w:pPr>
            <w:r>
              <w:rPr>
                <w:spacing w:val="-7"/>
                <w:sz w:val="21"/>
              </w:rPr>
              <w:t>指伴有致命性电解质紊乱的急性暴发性溃疡性结肠炎，病变累及全结肠，表现为严</w:t>
            </w:r>
            <w:r>
              <w:rPr>
                <w:spacing w:val="-11"/>
                <w:sz w:val="21"/>
              </w:rPr>
              <w:t>重的血便和系统性症状体征，治疗通常采取全结肠切除和回肠造瘘术。溃疡性结肠</w:t>
            </w:r>
            <w:r>
              <w:rPr>
                <w:spacing w:val="-6"/>
                <w:sz w:val="21"/>
              </w:rPr>
              <w:t>炎必须根据组织病理学特点诊断，并且被保险人已经接受了结肠切除和回肠造瘘术。</w:t>
            </w:r>
          </w:p>
        </w:tc>
      </w:tr>
      <w:tr>
        <w:trPr>
          <w:trHeight w:val="1231" w:hRule="atLeast"/>
        </w:trPr>
        <w:tc>
          <w:tcPr>
            <w:tcW w:w="646" w:type="dxa"/>
          </w:tcPr>
          <w:p>
            <w:pPr>
              <w:pStyle w:val="TableParagraph"/>
              <w:spacing w:before="89"/>
              <w:ind w:left="163" w:right="145"/>
              <w:jc w:val="center"/>
              <w:rPr>
                <w:rFonts w:ascii="Times New Roman"/>
                <w:b/>
                <w:sz w:val="21"/>
              </w:rPr>
            </w:pPr>
            <w:r>
              <w:rPr>
                <w:rFonts w:ascii="Times New Roman"/>
                <w:b/>
                <w:sz w:val="21"/>
              </w:rPr>
              <w:t>45.</w:t>
            </w:r>
          </w:p>
        </w:tc>
        <w:tc>
          <w:tcPr>
            <w:tcW w:w="1340" w:type="dxa"/>
          </w:tcPr>
          <w:p>
            <w:pPr>
              <w:pStyle w:val="TableParagraph"/>
              <w:spacing w:line="261" w:lineRule="auto" w:before="40"/>
              <w:ind w:left="182" w:right="310"/>
              <w:jc w:val="both"/>
              <w:rPr>
                <w:b/>
                <w:sz w:val="21"/>
              </w:rPr>
            </w:pPr>
            <w:r>
              <w:rPr>
                <w:b/>
                <w:sz w:val="21"/>
              </w:rPr>
              <w:t>严重类风湿性关节炎：</w:t>
            </w:r>
          </w:p>
        </w:tc>
        <w:tc>
          <w:tcPr>
            <w:tcW w:w="7875" w:type="dxa"/>
          </w:tcPr>
          <w:p>
            <w:pPr>
              <w:pStyle w:val="TableParagraph"/>
              <w:spacing w:before="40"/>
              <w:rPr>
                <w:sz w:val="21"/>
              </w:rPr>
            </w:pPr>
            <w:r>
              <w:rPr>
                <w:sz w:val="21"/>
              </w:rPr>
              <w:t>指类风湿性关节炎患者符合以下三项标准的：</w:t>
            </w:r>
          </w:p>
          <w:p>
            <w:pPr>
              <w:pStyle w:val="TableParagraph"/>
              <w:spacing w:line="247" w:lineRule="auto" w:before="24"/>
              <w:ind w:left="628" w:right="198" w:hanging="526"/>
              <w:rPr>
                <w:sz w:val="21"/>
              </w:rPr>
            </w:pPr>
            <w:r>
              <w:rPr>
                <w:w w:val="100"/>
                <w:sz w:val="21"/>
              </w:rPr>
              <w:t>（</w:t>
            </w:r>
            <w:r>
              <w:rPr>
                <w:rFonts w:ascii="Times New Roman" w:eastAsia="Times New Roman"/>
                <w:w w:val="100"/>
                <w:sz w:val="21"/>
              </w:rPr>
              <w:t>1</w:t>
            </w:r>
            <w:r>
              <w:rPr>
                <w:spacing w:val="-104"/>
                <w:w w:val="100"/>
                <w:sz w:val="21"/>
              </w:rPr>
              <w:t>）</w:t>
            </w:r>
            <w:r>
              <w:rPr>
                <w:spacing w:val="-8"/>
                <w:w w:val="100"/>
                <w:sz w:val="21"/>
              </w:rPr>
              <w:t>至少包括下列关节中的三组或以上有广泛受损和畸形改变:手指关节、腕关节、</w:t>
            </w:r>
            <w:r>
              <w:rPr>
                <w:spacing w:val="-5"/>
                <w:sz w:val="21"/>
              </w:rPr>
              <w:t>肘关节、膝关节、髋关节、踝关节、脊椎或脚趾关节；</w:t>
            </w:r>
          </w:p>
          <w:p>
            <w:pPr>
              <w:pStyle w:val="TableParagraph"/>
              <w:spacing w:line="271" w:lineRule="exact" w:before="18"/>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w:t>
            </w:r>
          </w:p>
        </w:tc>
      </w:tr>
    </w:tbl>
    <w:p>
      <w:pPr>
        <w:spacing w:after="0" w:line="271"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265"/>
        <w:gridCol w:w="7871"/>
      </w:tblGrid>
      <w:tr>
        <w:trPr>
          <w:trHeight w:val="1508" w:hRule="atLeast"/>
        </w:trPr>
        <w:tc>
          <w:tcPr>
            <w:tcW w:w="722" w:type="dxa"/>
          </w:tcPr>
          <w:p>
            <w:pPr>
              <w:pStyle w:val="TableParagraph"/>
              <w:ind w:left="0"/>
              <w:rPr>
                <w:rFonts w:ascii="Times New Roman"/>
                <w:sz w:val="20"/>
              </w:rPr>
            </w:pPr>
          </w:p>
        </w:tc>
        <w:tc>
          <w:tcPr>
            <w:tcW w:w="1265" w:type="dxa"/>
          </w:tcPr>
          <w:p>
            <w:pPr>
              <w:pStyle w:val="TableParagraph"/>
              <w:ind w:left="0"/>
              <w:rPr>
                <w:rFonts w:ascii="Times New Roman"/>
                <w:sz w:val="20"/>
              </w:rPr>
            </w:pPr>
          </w:p>
        </w:tc>
        <w:tc>
          <w:tcPr>
            <w:tcW w:w="7871" w:type="dxa"/>
          </w:tcPr>
          <w:p>
            <w:pPr>
              <w:pStyle w:val="TableParagraph"/>
              <w:spacing w:line="211" w:lineRule="exact"/>
              <w:ind w:left="627"/>
              <w:rPr>
                <w:sz w:val="21"/>
              </w:rPr>
            </w:pPr>
            <w:r>
              <w:rPr>
                <w:sz w:val="21"/>
              </w:rPr>
              <w:t>蚀或钙流失，位于受累关节及其邻近部位尤其明显；</w:t>
            </w:r>
          </w:p>
          <w:p>
            <w:pPr>
              <w:pStyle w:val="TableParagraph"/>
              <w:spacing w:before="25"/>
              <w:ind w:left="101"/>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left="101" w:right="297"/>
              <w:rPr>
                <w:sz w:val="21"/>
              </w:rPr>
            </w:pPr>
            <w:r>
              <w:rPr>
                <w:spacing w:val="-6"/>
                <w:sz w:val="21"/>
              </w:rPr>
              <w:t>类风湿性关节炎系指以关节滑膜炎为特征的慢性全身性自身免疫性疾病，诊断必须</w:t>
            </w:r>
            <w:r>
              <w:rPr>
                <w:spacing w:val="-4"/>
                <w:sz w:val="21"/>
              </w:rPr>
              <w:t>符合国际认可的该疾病的诊断标准。</w:t>
            </w:r>
          </w:p>
          <w:p>
            <w:pPr>
              <w:pStyle w:val="TableParagraph"/>
              <w:spacing w:before="6"/>
              <w:ind w:left="101"/>
              <w:rPr>
                <w:sz w:val="21"/>
              </w:rPr>
            </w:pPr>
            <w:r>
              <w:rPr>
                <w:sz w:val="21"/>
              </w:rPr>
              <w:t>只有被保险人已接受膝关节或髋关节置换手术，我们才承担赔偿责任。</w:t>
            </w:r>
          </w:p>
        </w:tc>
      </w:tr>
      <w:tr>
        <w:trPr>
          <w:trHeight w:val="1612" w:hRule="atLeast"/>
        </w:trPr>
        <w:tc>
          <w:tcPr>
            <w:tcW w:w="722" w:type="dxa"/>
          </w:tcPr>
          <w:p>
            <w:pPr>
              <w:pStyle w:val="TableParagraph"/>
              <w:spacing w:before="89"/>
              <w:ind w:left="200"/>
              <w:rPr>
                <w:rFonts w:ascii="Times New Roman"/>
                <w:b/>
                <w:sz w:val="21"/>
              </w:rPr>
            </w:pPr>
            <w:r>
              <w:rPr>
                <w:rFonts w:ascii="Times New Roman"/>
                <w:b/>
                <w:sz w:val="21"/>
              </w:rPr>
              <w:t>46.</w:t>
            </w:r>
          </w:p>
        </w:tc>
        <w:tc>
          <w:tcPr>
            <w:tcW w:w="1265" w:type="dxa"/>
          </w:tcPr>
          <w:p>
            <w:pPr>
              <w:pStyle w:val="TableParagraph"/>
              <w:spacing w:line="261" w:lineRule="auto" w:before="40"/>
              <w:ind w:left="106" w:right="311"/>
              <w:jc w:val="both"/>
              <w:rPr>
                <w:b/>
                <w:sz w:val="21"/>
              </w:rPr>
            </w:pPr>
            <w:r>
              <w:rPr>
                <w:b/>
                <w:sz w:val="21"/>
              </w:rPr>
              <w:t>非阿尔茨海默病所致严重痴呆：</w:t>
            </w:r>
          </w:p>
        </w:tc>
        <w:tc>
          <w:tcPr>
            <w:tcW w:w="7871" w:type="dxa"/>
          </w:tcPr>
          <w:p>
            <w:pPr>
              <w:pStyle w:val="TableParagraph"/>
              <w:spacing w:line="261" w:lineRule="auto" w:before="40"/>
              <w:ind w:left="101" w:right="201"/>
              <w:rPr>
                <w:sz w:val="21"/>
              </w:rPr>
            </w:pPr>
            <w:r>
              <w:rPr>
                <w:spacing w:val="-3"/>
                <w:sz w:val="21"/>
              </w:rPr>
              <w:t>指因阿尔茨海默病以外的脑的器质性疾病造成脑功能衰竭导致永久不可逆性的严 </w:t>
            </w:r>
            <w:r>
              <w:rPr>
                <w:spacing w:val="-10"/>
                <w:sz w:val="21"/>
              </w:rPr>
              <w:t>重痴呆，临床表现为明显的认知能力障碍、行为异常和社交能力减退。被保险人自</w:t>
            </w:r>
            <w:r>
              <w:rPr>
                <w:spacing w:val="-3"/>
                <w:sz w:val="21"/>
              </w:rPr>
              <w:t>主生活能力完全丧失，无法独立完成六项基本日常生活活动中的三项或三项以上， </w:t>
            </w:r>
            <w:r>
              <w:rPr>
                <w:spacing w:val="-8"/>
                <w:sz w:val="21"/>
              </w:rPr>
              <w:t>日常生活必须持续受到他人监护。导致痴呆的疾病必须明确诊断，并且由完整的临</w:t>
            </w:r>
            <w:r>
              <w:rPr>
                <w:spacing w:val="-5"/>
                <w:sz w:val="21"/>
              </w:rPr>
              <w:t>床、实验室和影像学检查结果证实。神经官能症和精神疾病不在保障范围内。</w:t>
            </w:r>
          </w:p>
        </w:tc>
      </w:tr>
      <w:tr>
        <w:trPr>
          <w:trHeight w:val="1612" w:hRule="atLeast"/>
        </w:trPr>
        <w:tc>
          <w:tcPr>
            <w:tcW w:w="722" w:type="dxa"/>
          </w:tcPr>
          <w:p>
            <w:pPr>
              <w:pStyle w:val="TableParagraph"/>
              <w:spacing w:before="89"/>
              <w:ind w:left="200"/>
              <w:rPr>
                <w:rFonts w:ascii="Times New Roman"/>
                <w:b/>
                <w:sz w:val="21"/>
              </w:rPr>
            </w:pPr>
            <w:r>
              <w:rPr>
                <w:rFonts w:ascii="Times New Roman"/>
                <w:b/>
                <w:sz w:val="21"/>
              </w:rPr>
              <w:t>47.</w:t>
            </w:r>
          </w:p>
        </w:tc>
        <w:tc>
          <w:tcPr>
            <w:tcW w:w="1265" w:type="dxa"/>
          </w:tcPr>
          <w:p>
            <w:pPr>
              <w:pStyle w:val="TableParagraph"/>
              <w:spacing w:line="261" w:lineRule="auto" w:before="40"/>
              <w:ind w:left="106" w:right="311"/>
              <w:rPr>
                <w:b/>
                <w:sz w:val="21"/>
              </w:rPr>
            </w:pPr>
            <w:r>
              <w:rPr>
                <w:b/>
                <w:sz w:val="21"/>
              </w:rPr>
              <w:t>坏死性筋膜炎：</w:t>
            </w:r>
          </w:p>
        </w:tc>
        <w:tc>
          <w:tcPr>
            <w:tcW w:w="7871" w:type="dxa"/>
          </w:tcPr>
          <w:p>
            <w:pPr>
              <w:pStyle w:val="TableParagraph"/>
              <w:spacing w:before="40"/>
              <w:ind w:left="101"/>
              <w:rPr>
                <w:sz w:val="21"/>
              </w:rPr>
            </w:pPr>
            <w:r>
              <w:rPr>
                <w:sz w:val="21"/>
              </w:rPr>
              <w:t>坏死性筋膜炎的诊断须同时符合下列要求：</w:t>
            </w:r>
          </w:p>
          <w:p>
            <w:pPr>
              <w:pStyle w:val="TableParagraph"/>
              <w:spacing w:before="24"/>
              <w:ind w:left="101"/>
              <w:rPr>
                <w:sz w:val="21"/>
              </w:rPr>
            </w:pPr>
            <w:r>
              <w:rPr>
                <w:sz w:val="21"/>
              </w:rPr>
              <w:t>（</w:t>
            </w:r>
            <w:r>
              <w:rPr>
                <w:rFonts w:ascii="Times New Roman" w:eastAsia="Times New Roman"/>
                <w:sz w:val="21"/>
              </w:rPr>
              <w:t>1</w:t>
            </w:r>
            <w:r>
              <w:rPr>
                <w:sz w:val="21"/>
              </w:rPr>
              <w:t>）符合坏死性筋膜炎的一般临床表现；</w:t>
            </w:r>
          </w:p>
          <w:p>
            <w:pPr>
              <w:pStyle w:val="TableParagraph"/>
              <w:spacing w:before="8"/>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8"/>
              <w:ind w:right="306"/>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22" w:type="dxa"/>
          </w:tcPr>
          <w:p>
            <w:pPr>
              <w:pStyle w:val="TableParagraph"/>
              <w:spacing w:before="89"/>
              <w:ind w:left="200"/>
              <w:rPr>
                <w:rFonts w:ascii="Times New Roman"/>
                <w:b/>
                <w:sz w:val="21"/>
              </w:rPr>
            </w:pPr>
            <w:r>
              <w:rPr>
                <w:rFonts w:ascii="Times New Roman"/>
                <w:b/>
                <w:sz w:val="21"/>
              </w:rPr>
              <w:t>48.</w:t>
            </w:r>
          </w:p>
        </w:tc>
        <w:tc>
          <w:tcPr>
            <w:tcW w:w="1265" w:type="dxa"/>
          </w:tcPr>
          <w:p>
            <w:pPr>
              <w:pStyle w:val="TableParagraph"/>
              <w:spacing w:line="261" w:lineRule="auto" w:before="40"/>
              <w:ind w:left="106" w:right="311"/>
              <w:jc w:val="both"/>
              <w:rPr>
                <w:b/>
                <w:sz w:val="21"/>
              </w:rPr>
            </w:pPr>
            <w:r>
              <w:rPr>
                <w:b/>
                <w:sz w:val="21"/>
              </w:rPr>
              <w:t>严重慢性复发性胰腺炎：</w:t>
            </w:r>
          </w:p>
        </w:tc>
        <w:tc>
          <w:tcPr>
            <w:tcW w:w="7871" w:type="dxa"/>
          </w:tcPr>
          <w:p>
            <w:pPr>
              <w:pStyle w:val="TableParagraph"/>
              <w:spacing w:line="261" w:lineRule="auto" w:before="40"/>
              <w:ind w:left="101" w:right="297"/>
              <w:rPr>
                <w:sz w:val="21"/>
              </w:rPr>
            </w:pPr>
            <w:r>
              <w:rPr>
                <w:spacing w:val="-7"/>
                <w:sz w:val="21"/>
              </w:rPr>
              <w:t>指慢性反复发作的胰腺炎症导致胰腺的广泛纤维化、坏死、弥漫性钙化及假性囊肿</w:t>
            </w:r>
            <w:r>
              <w:rPr>
                <w:spacing w:val="-5"/>
                <w:sz w:val="21"/>
              </w:rPr>
              <w:t>形成，造成胰腺功能障碍出现严重糖尿病和营养不良。必须满足以下所有条件：</w:t>
            </w:r>
          </w:p>
          <w:p>
            <w:pPr>
              <w:pStyle w:val="TableParagraph"/>
              <w:spacing w:line="247" w:lineRule="auto" w:before="5"/>
              <w:ind w:left="627" w:right="304"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47" w:lineRule="auto" w:before="18"/>
              <w:ind w:right="2765" w:hanging="1"/>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日以上。酒精导致的慢性复发性胰腺炎不在本保障范围内。</w:t>
            </w:r>
          </w:p>
        </w:tc>
      </w:tr>
      <w:tr>
        <w:trPr>
          <w:trHeight w:val="2212" w:hRule="atLeast"/>
        </w:trPr>
        <w:tc>
          <w:tcPr>
            <w:tcW w:w="722" w:type="dxa"/>
          </w:tcPr>
          <w:p>
            <w:pPr>
              <w:pStyle w:val="TableParagraph"/>
              <w:spacing w:before="89"/>
              <w:ind w:left="200"/>
              <w:rPr>
                <w:rFonts w:ascii="Times New Roman"/>
                <w:b/>
                <w:sz w:val="21"/>
              </w:rPr>
            </w:pPr>
            <w:r>
              <w:rPr>
                <w:rFonts w:ascii="Times New Roman"/>
                <w:b/>
                <w:sz w:val="21"/>
              </w:rPr>
              <w:t>49.</w:t>
            </w:r>
          </w:p>
        </w:tc>
        <w:tc>
          <w:tcPr>
            <w:tcW w:w="1265" w:type="dxa"/>
          </w:tcPr>
          <w:p>
            <w:pPr>
              <w:pStyle w:val="TableParagraph"/>
              <w:spacing w:line="261" w:lineRule="auto" w:before="40"/>
              <w:ind w:left="106" w:right="109"/>
              <w:rPr>
                <w:b/>
                <w:sz w:val="21"/>
              </w:rPr>
            </w:pPr>
            <w:r>
              <w:rPr>
                <w:b/>
                <w:sz w:val="21"/>
              </w:rPr>
              <w:t>胰岛素依赖型糖尿 </w:t>
            </w:r>
            <w:r>
              <w:rPr>
                <w:b/>
                <w:spacing w:val="-10"/>
                <w:sz w:val="21"/>
              </w:rPr>
              <w:t>病</w:t>
            </w:r>
            <w:r>
              <w:rPr>
                <w:b/>
                <w:sz w:val="21"/>
              </w:rPr>
              <w:t>（Ｉ型糖</w:t>
            </w:r>
            <w:r>
              <w:rPr>
                <w:b/>
                <w:w w:val="100"/>
                <w:sz w:val="21"/>
              </w:rPr>
              <w:t>尿病</w:t>
            </w:r>
            <w:r>
              <w:rPr>
                <w:b/>
                <w:spacing w:val="-106"/>
                <w:w w:val="100"/>
                <w:sz w:val="21"/>
              </w:rPr>
              <w:t>）</w:t>
            </w:r>
            <w:r>
              <w:rPr>
                <w:b/>
                <w:w w:val="100"/>
                <w:sz w:val="21"/>
              </w:rPr>
              <w:t>：</w:t>
            </w:r>
          </w:p>
        </w:tc>
        <w:tc>
          <w:tcPr>
            <w:tcW w:w="7871" w:type="dxa"/>
          </w:tcPr>
          <w:p>
            <w:pPr>
              <w:pStyle w:val="TableParagraph"/>
              <w:spacing w:before="40"/>
              <w:ind w:left="101"/>
              <w:rPr>
                <w:sz w:val="21"/>
              </w:rPr>
            </w:pPr>
            <w:r>
              <w:rPr>
                <w:sz w:val="21"/>
              </w:rPr>
              <w:t>经内分泌专科医生明确诊断为Ｉ型糖尿病，且须同时满足下列条件：</w:t>
            </w:r>
          </w:p>
          <w:p>
            <w:pPr>
              <w:pStyle w:val="TableParagraph"/>
              <w:spacing w:before="24"/>
              <w:ind w:left="101"/>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8"/>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8"/>
              <w:ind w:left="522"/>
              <w:rPr>
                <w:sz w:val="21"/>
              </w:rPr>
            </w:pPr>
            <w:r>
              <w:rPr>
                <w:sz w:val="21"/>
              </w:rPr>
              <w:t>① 并发增殖性视网膜病变；</w:t>
            </w:r>
          </w:p>
          <w:p>
            <w:pPr>
              <w:pStyle w:val="TableParagraph"/>
              <w:spacing w:before="24"/>
              <w:ind w:left="522"/>
              <w:rPr>
                <w:sz w:val="21"/>
              </w:rPr>
            </w:pPr>
            <w:r>
              <w:rPr>
                <w:sz w:val="21"/>
              </w:rPr>
              <w:t>② 并发心脏病变，并须植入心脏起搏器进行治疗；</w:t>
            </w:r>
          </w:p>
          <w:p>
            <w:pPr>
              <w:pStyle w:val="TableParagraph"/>
              <w:spacing w:before="24"/>
              <w:rPr>
                <w:sz w:val="21"/>
              </w:rPr>
            </w:pPr>
            <w:r>
              <w:rPr>
                <w:sz w:val="21"/>
              </w:rPr>
              <w:t>③ 至少一个脚趾发生坏疽并已达到手术切除指征。</w:t>
            </w:r>
          </w:p>
        </w:tc>
      </w:tr>
      <w:tr>
        <w:trPr>
          <w:trHeight w:val="1339" w:hRule="atLeast"/>
        </w:trPr>
        <w:tc>
          <w:tcPr>
            <w:tcW w:w="722" w:type="dxa"/>
          </w:tcPr>
          <w:p>
            <w:pPr>
              <w:pStyle w:val="TableParagraph"/>
              <w:spacing w:before="90"/>
              <w:ind w:left="200"/>
              <w:rPr>
                <w:rFonts w:ascii="Times New Roman"/>
                <w:b/>
                <w:sz w:val="21"/>
              </w:rPr>
            </w:pPr>
            <w:r>
              <w:rPr>
                <w:rFonts w:ascii="Times New Roman"/>
                <w:b/>
                <w:sz w:val="21"/>
              </w:rPr>
              <w:t>50.</w:t>
            </w:r>
          </w:p>
        </w:tc>
        <w:tc>
          <w:tcPr>
            <w:tcW w:w="1265" w:type="dxa"/>
          </w:tcPr>
          <w:p>
            <w:pPr>
              <w:pStyle w:val="TableParagraph"/>
              <w:spacing w:line="261" w:lineRule="auto" w:before="41"/>
              <w:ind w:left="106" w:right="109"/>
              <w:rPr>
                <w:b/>
                <w:sz w:val="21"/>
              </w:rPr>
            </w:pPr>
            <w:r>
              <w:rPr>
                <w:b/>
                <w:spacing w:val="-4"/>
                <w:sz w:val="21"/>
              </w:rPr>
              <w:t>川崎病</w:t>
            </w:r>
            <w:r>
              <w:rPr>
                <w:b/>
                <w:sz w:val="21"/>
              </w:rPr>
              <w:t>（伴有冠状动脉瘤）：</w:t>
            </w:r>
          </w:p>
        </w:tc>
        <w:tc>
          <w:tcPr>
            <w:tcW w:w="7871" w:type="dxa"/>
          </w:tcPr>
          <w:p>
            <w:pPr>
              <w:pStyle w:val="TableParagraph"/>
              <w:spacing w:line="273" w:lineRule="auto" w:before="33"/>
              <w:ind w:left="101" w:right="297"/>
              <w:jc w:val="both"/>
              <w:rPr>
                <w:sz w:val="21"/>
              </w:rPr>
            </w:pPr>
            <w:r>
              <w:rPr>
                <w:spacing w:val="-8"/>
                <w:sz w:val="21"/>
              </w:rPr>
              <w:t>是一种病因不明的系统性血管炎，主要发生于八岁以下的儿童。川崎病根据轻度贫</w:t>
            </w:r>
            <w:r>
              <w:rPr>
                <w:spacing w:val="-11"/>
                <w:sz w:val="21"/>
              </w:rPr>
              <w:t>血、白细胞计数升高和红细胞沉降率升高诊断。血液化验也可能发现血小板</w:t>
            </w:r>
            <w:r>
              <w:rPr>
                <w:sz w:val="21"/>
              </w:rPr>
              <w:t>（</w:t>
            </w:r>
            <w:r>
              <w:rPr>
                <w:spacing w:val="-2"/>
                <w:sz w:val="21"/>
              </w:rPr>
              <w:t>血液</w:t>
            </w:r>
            <w:r>
              <w:rPr>
                <w:spacing w:val="-3"/>
                <w:sz w:val="21"/>
              </w:rPr>
              <w:t>中重要的凝血成份）</w:t>
            </w:r>
            <w:r>
              <w:rPr>
                <w:spacing w:val="-2"/>
                <w:sz w:val="21"/>
              </w:rPr>
              <w:t>显著升高。</w:t>
            </w:r>
          </w:p>
          <w:p>
            <w:pPr>
              <w:pStyle w:val="TableParagraph"/>
              <w:spacing w:before="14"/>
              <w:ind w:left="101"/>
              <w:jc w:val="both"/>
              <w:rPr>
                <w:sz w:val="21"/>
              </w:rPr>
            </w:pPr>
            <w:r>
              <w:rPr>
                <w:sz w:val="21"/>
              </w:rPr>
              <w:t>本保单仅对诊断性检查证实川崎病并伴有冠状动脉瘤或其他心血管并发症，而且实</w:t>
            </w:r>
          </w:p>
        </w:tc>
      </w:tr>
      <w:tr>
        <w:trPr>
          <w:trHeight w:val="1923" w:hRule="atLeast"/>
        </w:trPr>
        <w:tc>
          <w:tcPr>
            <w:tcW w:w="722" w:type="dxa"/>
          </w:tcPr>
          <w:p>
            <w:pPr>
              <w:pStyle w:val="TableParagraph"/>
              <w:spacing w:before="9"/>
              <w:ind w:left="0"/>
              <w:rPr>
                <w:sz w:val="26"/>
              </w:rPr>
            </w:pPr>
          </w:p>
          <w:p>
            <w:pPr>
              <w:pStyle w:val="TableParagraph"/>
              <w:ind w:left="200"/>
              <w:rPr>
                <w:rFonts w:ascii="Times New Roman" w:eastAsia="Times New Roman"/>
                <w:b/>
                <w:sz w:val="21"/>
              </w:rPr>
            </w:pPr>
            <w:r>
              <w:rPr>
                <w:b/>
                <w:sz w:val="21"/>
              </w:rPr>
              <w:t>注 </w:t>
            </w:r>
            <w:r>
              <w:rPr>
                <w:rFonts w:ascii="Times New Roman" w:eastAsia="Times New Roman"/>
                <w:b/>
                <w:sz w:val="21"/>
              </w:rPr>
              <w:t>1.</w:t>
            </w:r>
          </w:p>
        </w:tc>
        <w:tc>
          <w:tcPr>
            <w:tcW w:w="1265" w:type="dxa"/>
          </w:tcPr>
          <w:p>
            <w:pPr>
              <w:pStyle w:val="TableParagraph"/>
              <w:spacing w:before="9"/>
              <w:ind w:left="0"/>
              <w:rPr>
                <w:sz w:val="26"/>
              </w:rPr>
            </w:pPr>
          </w:p>
          <w:p>
            <w:pPr>
              <w:pStyle w:val="TableParagraph"/>
              <w:ind w:left="106"/>
              <w:rPr>
                <w:b/>
                <w:sz w:val="21"/>
              </w:rPr>
            </w:pPr>
            <w:r>
              <w:rPr>
                <w:b/>
                <w:sz w:val="21"/>
              </w:rPr>
              <w:t>专科医生：</w:t>
            </w:r>
          </w:p>
        </w:tc>
        <w:tc>
          <w:tcPr>
            <w:tcW w:w="7871" w:type="dxa"/>
          </w:tcPr>
          <w:p>
            <w:pPr>
              <w:pStyle w:val="TableParagraph"/>
              <w:spacing w:line="212" w:lineRule="exact"/>
              <w:ind w:left="101"/>
              <w:rPr>
                <w:sz w:val="21"/>
              </w:rPr>
            </w:pPr>
            <w:r>
              <w:rPr>
                <w:sz w:val="21"/>
              </w:rPr>
              <w:t>际接受了对此等并发症进行的手术治疗的情况予以理赔。</w:t>
            </w:r>
          </w:p>
          <w:p>
            <w:pPr>
              <w:pStyle w:val="TableParagraph"/>
              <w:spacing w:line="247" w:lineRule="auto" w:before="138"/>
              <w:ind w:left="101" w:right="306"/>
              <w:jc w:val="both"/>
              <w:rPr>
                <w:sz w:val="21"/>
              </w:rPr>
            </w:pPr>
            <w:r>
              <w:rPr>
                <w:sz w:val="21"/>
              </w:rPr>
              <w:t>专科医生应当同时满足以下四项资格条件：（</w:t>
            </w:r>
            <w:r>
              <w:rPr>
                <w:rFonts w:ascii="Times New Roman" w:eastAsia="Times New Roman"/>
                <w:sz w:val="21"/>
              </w:rPr>
              <w:t>1</w:t>
            </w:r>
            <w:r>
              <w:rPr>
                <w:sz w:val="21"/>
              </w:rPr>
              <w:t>）具有有效的中华人民共和国《医师资格证书》；（</w:t>
            </w:r>
            <w:r>
              <w:rPr>
                <w:rFonts w:ascii="Times New Roman" w:eastAsia="Times New Roman"/>
                <w:sz w:val="21"/>
              </w:rPr>
              <w:t>2</w:t>
            </w:r>
            <w:r>
              <w:rPr>
                <w:sz w:val="21"/>
              </w:rPr>
              <w:t>）具有有效的中华人民共和国《医师执业证书》，并按期到相关部门登记注册；（</w:t>
            </w:r>
            <w:r>
              <w:rPr>
                <w:rFonts w:ascii="Times New Roman" w:eastAsia="Times New Roman"/>
                <w:sz w:val="21"/>
              </w:rPr>
              <w:t>3</w:t>
            </w:r>
            <w:r>
              <w:rPr>
                <w:sz w:val="21"/>
              </w:rPr>
              <w:t>）具有有效的中华人民共和国主治医师或主治医师以上职称的《医师职称证书》；（</w:t>
            </w:r>
            <w:r>
              <w:rPr>
                <w:rFonts w:ascii="Times New Roman" w:eastAsia="Times New Roman"/>
                <w:sz w:val="21"/>
              </w:rPr>
              <w:t>4</w:t>
            </w:r>
            <w:r>
              <w:rPr>
                <w:sz w:val="21"/>
              </w:rPr>
              <w:t>）在二级或二级以上医院的相应科室从事临床工作三年以上。</w:t>
            </w:r>
          </w:p>
        </w:tc>
      </w:tr>
      <w:tr>
        <w:trPr>
          <w:trHeight w:val="714" w:hRule="atLeast"/>
        </w:trPr>
        <w:tc>
          <w:tcPr>
            <w:tcW w:w="722" w:type="dxa"/>
          </w:tcPr>
          <w:p>
            <w:pPr>
              <w:pStyle w:val="TableParagraph"/>
              <w:spacing w:before="41"/>
              <w:ind w:left="200"/>
              <w:rPr>
                <w:rFonts w:ascii="Times New Roman" w:eastAsia="Times New Roman"/>
                <w:b/>
                <w:sz w:val="21"/>
              </w:rPr>
            </w:pPr>
            <w:r>
              <w:rPr>
                <w:b/>
                <w:sz w:val="21"/>
              </w:rPr>
              <w:t>注 </w:t>
            </w:r>
            <w:r>
              <w:rPr>
                <w:rFonts w:ascii="Times New Roman" w:eastAsia="Times New Roman"/>
                <w:b/>
                <w:sz w:val="21"/>
              </w:rPr>
              <w:t>2.</w:t>
            </w:r>
          </w:p>
        </w:tc>
        <w:tc>
          <w:tcPr>
            <w:tcW w:w="1265" w:type="dxa"/>
          </w:tcPr>
          <w:p>
            <w:pPr>
              <w:pStyle w:val="TableParagraph"/>
              <w:spacing w:line="261" w:lineRule="auto" w:before="41"/>
              <w:ind w:left="106" w:right="100"/>
              <w:rPr>
                <w:b/>
                <w:sz w:val="21"/>
              </w:rPr>
            </w:pPr>
            <w:r>
              <w:rPr>
                <w:b/>
                <w:sz w:val="21"/>
              </w:rPr>
              <w:t>肢体机能 完全丧失：</w:t>
            </w:r>
          </w:p>
        </w:tc>
        <w:tc>
          <w:tcPr>
            <w:tcW w:w="7871" w:type="dxa"/>
          </w:tcPr>
          <w:p>
            <w:pPr>
              <w:pStyle w:val="TableParagraph"/>
              <w:spacing w:line="261" w:lineRule="auto" w:before="41"/>
              <w:ind w:left="101" w:right="297"/>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915" w:hRule="atLeast"/>
        </w:trPr>
        <w:tc>
          <w:tcPr>
            <w:tcW w:w="722"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3.</w:t>
            </w:r>
          </w:p>
        </w:tc>
        <w:tc>
          <w:tcPr>
            <w:tcW w:w="1265" w:type="dxa"/>
          </w:tcPr>
          <w:p>
            <w:pPr>
              <w:pStyle w:val="TableParagraph"/>
              <w:spacing w:line="300" w:lineRule="atLeast" w:before="15"/>
              <w:ind w:left="106" w:right="311"/>
              <w:jc w:val="both"/>
              <w:rPr>
                <w:b/>
                <w:sz w:val="21"/>
              </w:rPr>
            </w:pPr>
            <w:r>
              <w:rPr>
                <w:b/>
                <w:sz w:val="21"/>
              </w:rPr>
              <w:t>语言能力或咀嚼吞咽能力完</w:t>
            </w:r>
          </w:p>
        </w:tc>
        <w:tc>
          <w:tcPr>
            <w:tcW w:w="7871" w:type="dxa"/>
          </w:tcPr>
          <w:p>
            <w:pPr>
              <w:pStyle w:val="TableParagraph"/>
              <w:spacing w:line="261" w:lineRule="auto" w:before="40"/>
              <w:ind w:left="101" w:right="198"/>
              <w:rPr>
                <w:sz w:val="21"/>
              </w:rPr>
            </w:pPr>
            <w:r>
              <w:rPr>
                <w:spacing w:val="-12"/>
                <w:sz w:val="21"/>
              </w:rPr>
              <w:t>语言能力完全丧失，指无法发出四种语音</w:t>
            </w:r>
            <w:r>
              <w:rPr>
                <w:sz w:val="21"/>
              </w:rPr>
              <w:t>（</w:t>
            </w:r>
            <w:r>
              <w:rPr>
                <w:spacing w:val="-13"/>
                <w:sz w:val="21"/>
              </w:rPr>
              <w:t>包括口唇音、齿舌音、口盖音和喉头音</w:t>
            </w:r>
            <w:r>
              <w:rPr>
                <w:spacing w:val="-3"/>
                <w:sz w:val="21"/>
              </w:rPr>
              <w:t>） 中的任何三种、或声带全部切除，或因大脑语言中枢受伤害而患失语症。</w:t>
            </w:r>
          </w:p>
          <w:p>
            <w:pPr>
              <w:pStyle w:val="TableParagraph"/>
              <w:spacing w:line="255" w:lineRule="exact" w:before="6"/>
              <w:ind w:left="101"/>
              <w:rPr>
                <w:sz w:val="21"/>
              </w:rPr>
            </w:pPr>
            <w:r>
              <w:rPr>
                <w:sz w:val="21"/>
              </w:rPr>
              <w:t>咀嚼吞咽能力完全丧失，指因牙齿以外的原因导致器质障碍或机能障碍，以致不能</w:t>
            </w:r>
          </w:p>
        </w:tc>
      </w:tr>
    </w:tbl>
    <w:p>
      <w:pPr>
        <w:spacing w:after="0" w:line="255"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159"/>
        <w:gridCol w:w="7972"/>
      </w:tblGrid>
      <w:tr>
        <w:trPr>
          <w:trHeight w:val="308" w:hRule="atLeast"/>
        </w:trPr>
        <w:tc>
          <w:tcPr>
            <w:tcW w:w="722" w:type="dxa"/>
          </w:tcPr>
          <w:p>
            <w:pPr>
              <w:pStyle w:val="TableParagraph"/>
              <w:ind w:left="0"/>
              <w:rPr>
                <w:rFonts w:ascii="Times New Roman"/>
                <w:sz w:val="20"/>
              </w:rPr>
            </w:pPr>
          </w:p>
        </w:tc>
        <w:tc>
          <w:tcPr>
            <w:tcW w:w="1159" w:type="dxa"/>
          </w:tcPr>
          <w:p>
            <w:pPr>
              <w:pStyle w:val="TableParagraph"/>
              <w:spacing w:line="211" w:lineRule="exact"/>
              <w:ind w:left="106"/>
              <w:rPr>
                <w:b/>
                <w:sz w:val="21"/>
              </w:rPr>
            </w:pPr>
            <w:r>
              <w:rPr>
                <w:b/>
                <w:sz w:val="21"/>
              </w:rPr>
              <w:t>全丧失：</w:t>
            </w:r>
          </w:p>
        </w:tc>
        <w:tc>
          <w:tcPr>
            <w:tcW w:w="7972" w:type="dxa"/>
          </w:tcPr>
          <w:p>
            <w:pPr>
              <w:pStyle w:val="TableParagraph"/>
              <w:spacing w:line="211" w:lineRule="exact"/>
              <w:ind w:left="207"/>
              <w:rPr>
                <w:sz w:val="21"/>
              </w:rPr>
            </w:pPr>
            <w:r>
              <w:rPr>
                <w:sz w:val="21"/>
              </w:rPr>
              <w:t>作咀嚼吞咽运动，除流质食物外不能摄取或吞咽的状态。</w:t>
            </w:r>
          </w:p>
        </w:tc>
      </w:tr>
      <w:tr>
        <w:trPr>
          <w:trHeight w:val="1312" w:hRule="atLeast"/>
        </w:trPr>
        <w:tc>
          <w:tcPr>
            <w:tcW w:w="722" w:type="dxa"/>
          </w:tcPr>
          <w:p>
            <w:pPr>
              <w:pStyle w:val="TableParagraph"/>
              <w:spacing w:before="40"/>
              <w:ind w:left="0" w:right="104"/>
              <w:jc w:val="right"/>
              <w:rPr>
                <w:rFonts w:ascii="Times New Roman" w:eastAsia="Times New Roman"/>
                <w:b/>
                <w:sz w:val="21"/>
              </w:rPr>
            </w:pPr>
            <w:r>
              <w:rPr>
                <w:b/>
                <w:sz w:val="21"/>
              </w:rPr>
              <w:t>注 </w:t>
            </w:r>
            <w:r>
              <w:rPr>
                <w:rFonts w:ascii="Times New Roman" w:eastAsia="Times New Roman"/>
                <w:b/>
                <w:sz w:val="21"/>
              </w:rPr>
              <w:t>4.</w:t>
            </w:r>
          </w:p>
        </w:tc>
        <w:tc>
          <w:tcPr>
            <w:tcW w:w="1159" w:type="dxa"/>
          </w:tcPr>
          <w:p>
            <w:pPr>
              <w:pStyle w:val="TableParagraph"/>
              <w:spacing w:line="261" w:lineRule="auto" w:before="40"/>
              <w:ind w:left="106" w:right="205"/>
              <w:jc w:val="both"/>
              <w:rPr>
                <w:b/>
                <w:sz w:val="21"/>
              </w:rPr>
            </w:pPr>
            <w:r>
              <w:rPr>
                <w:b/>
                <w:sz w:val="21"/>
              </w:rPr>
              <w:t>六项基本日常生活活动：</w:t>
            </w:r>
          </w:p>
        </w:tc>
        <w:tc>
          <w:tcPr>
            <w:tcW w:w="7972" w:type="dxa"/>
          </w:tcPr>
          <w:p>
            <w:pPr>
              <w:pStyle w:val="TableParagraph"/>
              <w:spacing w:line="247" w:lineRule="auto" w:before="40"/>
              <w:ind w:left="207" w:right="197"/>
              <w:rPr>
                <w:sz w:val="21"/>
              </w:rPr>
            </w:pPr>
            <w:r>
              <w:rPr>
                <w:spacing w:val="-4"/>
                <w:sz w:val="21"/>
              </w:rPr>
              <w:t>六项基本日常生活活动是指：</w:t>
            </w:r>
            <w:r>
              <w:rPr>
                <w:spacing w:val="-11"/>
                <w:sz w:val="21"/>
              </w:rPr>
              <w:t>（</w:t>
            </w:r>
            <w:r>
              <w:rPr>
                <w:rFonts w:ascii="Times New Roman" w:eastAsia="Times New Roman"/>
                <w:spacing w:val="-11"/>
                <w:sz w:val="21"/>
              </w:rPr>
              <w:t>1</w:t>
            </w:r>
            <w:r>
              <w:rPr>
                <w:spacing w:val="-11"/>
                <w:sz w:val="21"/>
              </w:rPr>
              <w:t>）</w:t>
            </w:r>
            <w:r>
              <w:rPr>
                <w:spacing w:val="-6"/>
                <w:sz w:val="21"/>
              </w:rPr>
              <w:t>穿衣：自己能够穿衣及脱衣；</w:t>
            </w:r>
            <w:r>
              <w:rPr>
                <w:spacing w:val="-11"/>
                <w:sz w:val="21"/>
              </w:rPr>
              <w:t>（</w:t>
            </w:r>
            <w:r>
              <w:rPr>
                <w:rFonts w:ascii="Times New Roman" w:eastAsia="Times New Roman"/>
                <w:spacing w:val="-11"/>
                <w:sz w:val="21"/>
              </w:rPr>
              <w:t>2</w:t>
            </w:r>
            <w:r>
              <w:rPr>
                <w:spacing w:val="-11"/>
                <w:sz w:val="21"/>
              </w:rPr>
              <w:t>）移动：自己</w:t>
            </w:r>
            <w:r>
              <w:rPr>
                <w:spacing w:val="-4"/>
                <w:sz w:val="21"/>
              </w:rPr>
              <w:t>从一个房间到另一个房间；</w:t>
            </w:r>
            <w:r>
              <w:rPr>
                <w:spacing w:val="-11"/>
                <w:sz w:val="21"/>
              </w:rPr>
              <w:t>（</w:t>
            </w:r>
            <w:r>
              <w:rPr>
                <w:rFonts w:ascii="Times New Roman" w:eastAsia="Times New Roman"/>
                <w:spacing w:val="-11"/>
                <w:sz w:val="21"/>
              </w:rPr>
              <w:t>3</w:t>
            </w:r>
            <w:r>
              <w:rPr>
                <w:spacing w:val="-11"/>
                <w:sz w:val="21"/>
              </w:rPr>
              <w:t>）</w:t>
            </w:r>
            <w:r>
              <w:rPr>
                <w:spacing w:val="-6"/>
                <w:sz w:val="21"/>
              </w:rPr>
              <w:t>行动：自己上下床或上下轮椅；</w:t>
            </w:r>
            <w:r>
              <w:rPr>
                <w:spacing w:val="-11"/>
                <w:sz w:val="21"/>
              </w:rPr>
              <w:t>（</w:t>
            </w:r>
            <w:r>
              <w:rPr>
                <w:rFonts w:ascii="Times New Roman" w:eastAsia="Times New Roman"/>
                <w:spacing w:val="-11"/>
                <w:sz w:val="21"/>
              </w:rPr>
              <w:t>4</w:t>
            </w:r>
            <w:r>
              <w:rPr>
                <w:spacing w:val="-11"/>
                <w:sz w:val="21"/>
              </w:rPr>
              <w:t>）如厕：自己</w:t>
            </w:r>
            <w:r>
              <w:rPr>
                <w:spacing w:val="-3"/>
                <w:sz w:val="21"/>
              </w:rPr>
              <w:t>控制进行大小便；</w:t>
            </w:r>
            <w:r>
              <w:rPr>
                <w:sz w:val="21"/>
              </w:rPr>
              <w:t>（</w:t>
            </w:r>
            <w:r>
              <w:rPr>
                <w:rFonts w:ascii="Times New Roman" w:eastAsia="Times New Roman"/>
                <w:sz w:val="21"/>
              </w:rPr>
              <w:t>5</w:t>
            </w:r>
            <w:r>
              <w:rPr>
                <w:sz w:val="21"/>
              </w:rPr>
              <w:t>）</w:t>
            </w:r>
            <w:r>
              <w:rPr>
                <w:spacing w:val="-3"/>
                <w:sz w:val="21"/>
              </w:rPr>
              <w:t>进食：自己从已准备好的碗或碟中取食物放入口中；</w:t>
            </w:r>
            <w:r>
              <w:rPr>
                <w:sz w:val="21"/>
              </w:rPr>
              <w:t>（</w:t>
            </w:r>
            <w:r>
              <w:rPr>
                <w:rFonts w:ascii="Times New Roman" w:eastAsia="Times New Roman"/>
                <w:sz w:val="21"/>
              </w:rPr>
              <w:t>6</w:t>
            </w:r>
            <w:r>
              <w:rPr>
                <w:sz w:val="21"/>
              </w:rPr>
              <w:t>） </w:t>
            </w:r>
            <w:r>
              <w:rPr>
                <w:spacing w:val="-3"/>
                <w:sz w:val="21"/>
              </w:rPr>
              <w:t>洗澡：自己进行淋浴或盆浴。</w:t>
            </w:r>
          </w:p>
        </w:tc>
      </w:tr>
      <w:tr>
        <w:trPr>
          <w:trHeight w:val="615" w:hRule="atLeast"/>
        </w:trPr>
        <w:tc>
          <w:tcPr>
            <w:tcW w:w="722" w:type="dxa"/>
          </w:tcPr>
          <w:p>
            <w:pPr>
              <w:pStyle w:val="TableParagraph"/>
              <w:spacing w:before="40"/>
              <w:ind w:left="0" w:right="104"/>
              <w:jc w:val="right"/>
              <w:rPr>
                <w:rFonts w:ascii="Times New Roman" w:eastAsia="Times New Roman"/>
                <w:b/>
                <w:sz w:val="21"/>
              </w:rPr>
            </w:pPr>
            <w:r>
              <w:rPr>
                <w:b/>
                <w:sz w:val="21"/>
              </w:rPr>
              <w:t>注 </w:t>
            </w:r>
            <w:r>
              <w:rPr>
                <w:rFonts w:ascii="Times New Roman" w:eastAsia="Times New Roman"/>
                <w:b/>
                <w:sz w:val="21"/>
              </w:rPr>
              <w:t>5.</w:t>
            </w:r>
          </w:p>
        </w:tc>
        <w:tc>
          <w:tcPr>
            <w:tcW w:w="1159" w:type="dxa"/>
          </w:tcPr>
          <w:p>
            <w:pPr>
              <w:pStyle w:val="TableParagraph"/>
              <w:spacing w:line="300" w:lineRule="atLeast" w:before="15"/>
              <w:ind w:left="106" w:right="205"/>
              <w:rPr>
                <w:b/>
                <w:sz w:val="21"/>
              </w:rPr>
            </w:pPr>
            <w:r>
              <w:rPr>
                <w:b/>
                <w:sz w:val="21"/>
              </w:rPr>
              <w:t>永久不可逆：</w:t>
            </w:r>
          </w:p>
        </w:tc>
        <w:tc>
          <w:tcPr>
            <w:tcW w:w="7972" w:type="dxa"/>
          </w:tcPr>
          <w:p>
            <w:pPr>
              <w:pStyle w:val="TableParagraph"/>
              <w:spacing w:line="280" w:lineRule="atLeast" w:before="40"/>
              <w:ind w:left="207" w:right="292"/>
              <w:rPr>
                <w:sz w:val="21"/>
              </w:rPr>
            </w:pPr>
            <w:r>
              <w:rPr>
                <w:spacing w:val="-8"/>
                <w:sz w:val="21"/>
              </w:rPr>
              <w:t>指自疾病确诊或意外伤害发生之日起，经过积极治疗 </w:t>
            </w:r>
            <w:r>
              <w:rPr>
                <w:rFonts w:ascii="Times New Roman" w:eastAsia="Times New Roman"/>
                <w:sz w:val="21"/>
              </w:rPr>
              <w:t>180 </w:t>
            </w:r>
            <w:r>
              <w:rPr>
                <w:spacing w:val="-9"/>
                <w:sz w:val="21"/>
              </w:rPr>
              <w:t>日后，仍无法通过现有医</w:t>
            </w:r>
            <w:r>
              <w:rPr>
                <w:spacing w:val="-5"/>
                <w:sz w:val="21"/>
              </w:rPr>
              <w:t>疗手段恢复。</w:t>
            </w:r>
          </w:p>
        </w:tc>
      </w:tr>
    </w:tbl>
    <w:p>
      <w:pPr>
        <w:pStyle w:val="BodyText"/>
        <w:rPr>
          <w:sz w:val="22"/>
        </w:rPr>
      </w:pPr>
    </w:p>
    <w:p>
      <w:pPr>
        <w:pStyle w:val="BodyText"/>
        <w:spacing w:before="36"/>
        <w:ind w:left="4136" w:right="4233"/>
        <w:jc w:val="center"/>
      </w:pPr>
      <w:r>
        <w:rPr/>
        <w:t>（条款全文结束）</w:t>
      </w:r>
    </w:p>
    <w:sectPr>
      <w:pgSz w:w="11910" w:h="16840"/>
      <w:pgMar w:top="1480" w:bottom="280" w:left="9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36"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6">
    <w:multiLevelType w:val="hybridMultilevel"/>
    <w:lvl w:ilvl="0">
      <w:start w:val="0"/>
      <w:numFmt w:val="bullet"/>
      <w:lvlText w:val=""/>
      <w:lvlJc w:val="left"/>
      <w:pPr>
        <w:ind w:left="636"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5">
    <w:multiLevelType w:val="hybridMultilevel"/>
    <w:lvl w:ilvl="0">
      <w:start w:val="0"/>
      <w:numFmt w:val="bullet"/>
      <w:lvlText w:val=""/>
      <w:lvlJc w:val="left"/>
      <w:pPr>
        <w:ind w:left="636" w:hanging="420"/>
      </w:pPr>
      <w:rPr>
        <w:rFonts w:hint="default" w:ascii="Wingdings" w:hAnsi="Wingdings" w:eastAsia="Wingdings" w:cs="Wingdings"/>
        <w:w w:val="100"/>
        <w:sz w:val="21"/>
        <w:szCs w:val="21"/>
      </w:rPr>
    </w:lvl>
    <w:lvl w:ilvl="1">
      <w:start w:val="0"/>
      <w:numFmt w:val="bullet"/>
      <w:lvlText w:val="•"/>
      <w:lvlJc w:val="left"/>
      <w:pPr>
        <w:ind w:left="1463" w:hanging="420"/>
      </w:pPr>
      <w:rPr>
        <w:rFonts w:hint="default"/>
      </w:rPr>
    </w:lvl>
    <w:lvl w:ilvl="2">
      <w:start w:val="0"/>
      <w:numFmt w:val="bullet"/>
      <w:lvlText w:val="•"/>
      <w:lvlJc w:val="left"/>
      <w:pPr>
        <w:ind w:left="2287"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758" w:hanging="420"/>
      </w:pPr>
      <w:rPr>
        <w:rFonts w:hint="default"/>
      </w:rPr>
    </w:lvl>
    <w:lvl w:ilvl="6">
      <w:start w:val="0"/>
      <w:numFmt w:val="bullet"/>
      <w:lvlText w:val="•"/>
      <w:lvlJc w:val="left"/>
      <w:pPr>
        <w:ind w:left="5581" w:hanging="420"/>
      </w:pPr>
      <w:rPr>
        <w:rFonts w:hint="default"/>
      </w:rPr>
    </w:lvl>
    <w:lvl w:ilvl="7">
      <w:start w:val="0"/>
      <w:numFmt w:val="bullet"/>
      <w:lvlText w:val="•"/>
      <w:lvlJc w:val="left"/>
      <w:pPr>
        <w:ind w:left="6405" w:hanging="420"/>
      </w:pPr>
      <w:rPr>
        <w:rFonts w:hint="default"/>
      </w:rPr>
    </w:lvl>
    <w:lvl w:ilvl="8">
      <w:start w:val="0"/>
      <w:numFmt w:val="bullet"/>
      <w:lvlText w:val="•"/>
      <w:lvlJc w:val="left"/>
      <w:pPr>
        <w:ind w:left="7228" w:hanging="420"/>
      </w:pPr>
      <w:rPr>
        <w:rFonts w:hint="default"/>
      </w:rPr>
    </w:lvl>
  </w:abstractNum>
  <w:abstractNum w:abstractNumId="4">
    <w:multiLevelType w:val="hybridMultilevel"/>
    <w:lvl w:ilvl="0">
      <w:start w:val="0"/>
      <w:numFmt w:val="bullet"/>
      <w:lvlText w:val=""/>
      <w:lvlJc w:val="left"/>
      <w:pPr>
        <w:ind w:left="637" w:hanging="420"/>
      </w:pPr>
      <w:rPr>
        <w:rFonts w:hint="default" w:ascii="Wingdings" w:hAnsi="Wingdings" w:eastAsia="Wingdings" w:cs="Wingdings"/>
        <w:w w:val="100"/>
        <w:sz w:val="21"/>
        <w:szCs w:val="21"/>
      </w:rPr>
    </w:lvl>
    <w:lvl w:ilvl="1">
      <w:start w:val="0"/>
      <w:numFmt w:val="bullet"/>
      <w:lvlText w:val="•"/>
      <w:lvlJc w:val="left"/>
      <w:pPr>
        <w:ind w:left="1463" w:hanging="420"/>
      </w:pPr>
      <w:rPr>
        <w:rFonts w:hint="default"/>
      </w:rPr>
    </w:lvl>
    <w:lvl w:ilvl="2">
      <w:start w:val="0"/>
      <w:numFmt w:val="bullet"/>
      <w:lvlText w:val="•"/>
      <w:lvlJc w:val="left"/>
      <w:pPr>
        <w:ind w:left="2287"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758" w:hanging="420"/>
      </w:pPr>
      <w:rPr>
        <w:rFonts w:hint="default"/>
      </w:rPr>
    </w:lvl>
    <w:lvl w:ilvl="6">
      <w:start w:val="0"/>
      <w:numFmt w:val="bullet"/>
      <w:lvlText w:val="•"/>
      <w:lvlJc w:val="left"/>
      <w:pPr>
        <w:ind w:left="5581" w:hanging="420"/>
      </w:pPr>
      <w:rPr>
        <w:rFonts w:hint="default"/>
      </w:rPr>
    </w:lvl>
    <w:lvl w:ilvl="7">
      <w:start w:val="0"/>
      <w:numFmt w:val="bullet"/>
      <w:lvlText w:val="•"/>
      <w:lvlJc w:val="left"/>
      <w:pPr>
        <w:ind w:left="6405" w:hanging="420"/>
      </w:pPr>
      <w:rPr>
        <w:rFonts w:hint="default"/>
      </w:rPr>
    </w:lvl>
    <w:lvl w:ilvl="8">
      <w:start w:val="0"/>
      <w:numFmt w:val="bullet"/>
      <w:lvlText w:val="•"/>
      <w:lvlJc w:val="left"/>
      <w:pPr>
        <w:ind w:left="7228" w:hanging="420"/>
      </w:pPr>
      <w:rPr>
        <w:rFonts w:hint="default"/>
      </w:rPr>
    </w:lvl>
  </w:abstractNum>
  <w:abstractNum w:abstractNumId="3">
    <w:multiLevelType w:val="hybridMultilevel"/>
    <w:lvl w:ilvl="0">
      <w:start w:val="0"/>
      <w:numFmt w:val="bullet"/>
      <w:lvlText w:val=""/>
      <w:lvlJc w:val="left"/>
      <w:pPr>
        <w:ind w:left="637" w:hanging="420"/>
      </w:pPr>
      <w:rPr>
        <w:rFonts w:hint="default" w:ascii="Wingdings" w:hAnsi="Wingdings" w:eastAsia="Wingdings" w:cs="Wingdings"/>
        <w:w w:val="100"/>
        <w:sz w:val="21"/>
        <w:szCs w:val="21"/>
      </w:rPr>
    </w:lvl>
    <w:lvl w:ilvl="1">
      <w:start w:val="0"/>
      <w:numFmt w:val="bullet"/>
      <w:lvlText w:val="•"/>
      <w:lvlJc w:val="left"/>
      <w:pPr>
        <w:ind w:left="1463" w:hanging="420"/>
      </w:pPr>
      <w:rPr>
        <w:rFonts w:hint="default"/>
      </w:rPr>
    </w:lvl>
    <w:lvl w:ilvl="2">
      <w:start w:val="0"/>
      <w:numFmt w:val="bullet"/>
      <w:lvlText w:val="•"/>
      <w:lvlJc w:val="left"/>
      <w:pPr>
        <w:ind w:left="2287"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758" w:hanging="420"/>
      </w:pPr>
      <w:rPr>
        <w:rFonts w:hint="default"/>
      </w:rPr>
    </w:lvl>
    <w:lvl w:ilvl="6">
      <w:start w:val="0"/>
      <w:numFmt w:val="bullet"/>
      <w:lvlText w:val="•"/>
      <w:lvlJc w:val="left"/>
      <w:pPr>
        <w:ind w:left="5581" w:hanging="420"/>
      </w:pPr>
      <w:rPr>
        <w:rFonts w:hint="default"/>
      </w:rPr>
    </w:lvl>
    <w:lvl w:ilvl="7">
      <w:start w:val="0"/>
      <w:numFmt w:val="bullet"/>
      <w:lvlText w:val="•"/>
      <w:lvlJc w:val="left"/>
      <w:pPr>
        <w:ind w:left="6405" w:hanging="420"/>
      </w:pPr>
      <w:rPr>
        <w:rFonts w:hint="default"/>
      </w:rPr>
    </w:lvl>
    <w:lvl w:ilvl="8">
      <w:start w:val="0"/>
      <w:numFmt w:val="bullet"/>
      <w:lvlText w:val="•"/>
      <w:lvlJc w:val="left"/>
      <w:pPr>
        <w:ind w:left="7228" w:hanging="420"/>
      </w:pPr>
      <w:rPr>
        <w:rFonts w:hint="default"/>
      </w:rPr>
    </w:lvl>
  </w:abstractNum>
  <w:abstractNum w:abstractNumId="2">
    <w:multiLevelType w:val="hybridMultilevel"/>
    <w:lvl w:ilvl="0">
      <w:start w:val="0"/>
      <w:numFmt w:val="bullet"/>
      <w:lvlText w:val=""/>
      <w:lvlJc w:val="left"/>
      <w:pPr>
        <w:ind w:left="637"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1">
    <w:multiLevelType w:val="hybridMultilevel"/>
    <w:lvl w:ilvl="0">
      <w:start w:val="0"/>
      <w:numFmt w:val="bullet"/>
      <w:lvlText w:val=""/>
      <w:lvlJc w:val="left"/>
      <w:pPr>
        <w:ind w:left="637"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abstractNum w:abstractNumId="0">
    <w:multiLevelType w:val="hybridMultilevel"/>
    <w:lvl w:ilvl="0">
      <w:start w:val="0"/>
      <w:numFmt w:val="bullet"/>
      <w:lvlText w:val=""/>
      <w:lvlJc w:val="left"/>
      <w:pPr>
        <w:ind w:left="637" w:hanging="437"/>
      </w:pPr>
      <w:rPr>
        <w:rFonts w:hint="default" w:ascii="Wingdings" w:hAnsi="Wingdings" w:eastAsia="Wingdings" w:cs="Wingdings"/>
        <w:w w:val="100"/>
        <w:sz w:val="21"/>
        <w:szCs w:val="21"/>
      </w:rPr>
    </w:lvl>
    <w:lvl w:ilvl="1">
      <w:start w:val="0"/>
      <w:numFmt w:val="bullet"/>
      <w:lvlText w:val="•"/>
      <w:lvlJc w:val="left"/>
      <w:pPr>
        <w:ind w:left="1463" w:hanging="437"/>
      </w:pPr>
      <w:rPr>
        <w:rFonts w:hint="default"/>
      </w:rPr>
    </w:lvl>
    <w:lvl w:ilvl="2">
      <w:start w:val="0"/>
      <w:numFmt w:val="bullet"/>
      <w:lvlText w:val="•"/>
      <w:lvlJc w:val="left"/>
      <w:pPr>
        <w:ind w:left="2287" w:hanging="437"/>
      </w:pPr>
      <w:rPr>
        <w:rFonts w:hint="default"/>
      </w:rPr>
    </w:lvl>
    <w:lvl w:ilvl="3">
      <w:start w:val="0"/>
      <w:numFmt w:val="bullet"/>
      <w:lvlText w:val="•"/>
      <w:lvlJc w:val="left"/>
      <w:pPr>
        <w:ind w:left="3110" w:hanging="437"/>
      </w:pPr>
      <w:rPr>
        <w:rFonts w:hint="default"/>
      </w:rPr>
    </w:lvl>
    <w:lvl w:ilvl="4">
      <w:start w:val="0"/>
      <w:numFmt w:val="bullet"/>
      <w:lvlText w:val="•"/>
      <w:lvlJc w:val="left"/>
      <w:pPr>
        <w:ind w:left="3934" w:hanging="437"/>
      </w:pPr>
      <w:rPr>
        <w:rFonts w:hint="default"/>
      </w:rPr>
    </w:lvl>
    <w:lvl w:ilvl="5">
      <w:start w:val="0"/>
      <w:numFmt w:val="bullet"/>
      <w:lvlText w:val="•"/>
      <w:lvlJc w:val="left"/>
      <w:pPr>
        <w:ind w:left="4758" w:hanging="437"/>
      </w:pPr>
      <w:rPr>
        <w:rFonts w:hint="default"/>
      </w:rPr>
    </w:lvl>
    <w:lvl w:ilvl="6">
      <w:start w:val="0"/>
      <w:numFmt w:val="bullet"/>
      <w:lvlText w:val="•"/>
      <w:lvlJc w:val="left"/>
      <w:pPr>
        <w:ind w:left="5581" w:hanging="437"/>
      </w:pPr>
      <w:rPr>
        <w:rFonts w:hint="default"/>
      </w:rPr>
    </w:lvl>
    <w:lvl w:ilvl="7">
      <w:start w:val="0"/>
      <w:numFmt w:val="bullet"/>
      <w:lvlText w:val="•"/>
      <w:lvlJc w:val="left"/>
      <w:pPr>
        <w:ind w:left="6405" w:hanging="437"/>
      </w:pPr>
      <w:rPr>
        <w:rFonts w:hint="default"/>
      </w:rPr>
    </w:lvl>
    <w:lvl w:ilvl="8">
      <w:start w:val="0"/>
      <w:numFmt w:val="bullet"/>
      <w:lvlText w:val="•"/>
      <w:lvlJc w:val="left"/>
      <w:pPr>
        <w:ind w:left="7228" w:hanging="43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
    </w:pPr>
    <w:rPr>
      <w:rFonts w:ascii="宋体" w:hAnsi="宋体" w:eastAsia="宋体" w:cs="宋体"/>
      <w:sz w:val="21"/>
      <w:szCs w:val="21"/>
    </w:rPr>
  </w:style>
  <w:style w:styleId="Heading1" w:type="paragraph">
    <w:name w:val="Heading 1"/>
    <w:basedOn w:val="Normal"/>
    <w:uiPriority w:val="1"/>
    <w:qFormat/>
    <w:pPr>
      <w:spacing w:line="376" w:lineRule="exact"/>
      <w:ind w:left="2088"/>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人保寿险附加投保人豁免保险费定期寿险条款目录</dc:title>
  <dcterms:created xsi:type="dcterms:W3CDTF">2018-10-20T04:07:04Z</dcterms:created>
  <dcterms:modified xsi:type="dcterms:W3CDTF">2018-10-20T04:07:04Z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Acrobat PDFMaker 9.0 Word 版</vt:lpwstr>
  </property>
  <property fmtid="{D5CDD505-2E9C-101B-9397-08002B2CF9AE}" pid="4" name="LastSaved">
    <vt:filetime>2018-10-19T00:00:00Z</vt:filetime>
  </property>
</Properties>
</file>