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54"/>
        </w:rPr>
      </w:pPr>
    </w:p>
    <w:p>
      <w:pPr>
        <w:spacing w:before="0"/>
        <w:ind w:left="1773" w:right="0" w:firstLine="0"/>
        <w:jc w:val="center"/>
        <w:rPr>
          <w:sz w:val="32"/>
        </w:rPr>
      </w:pPr>
      <w:r>
        <w:rPr>
          <w:sz w:val="32"/>
        </w:rPr>
        <w:t>首创安泰人寿保险有限公司</w:t>
      </w:r>
    </w:p>
    <w:p>
      <w:pPr>
        <w:spacing w:before="227"/>
        <w:ind w:left="1774" w:right="0" w:firstLine="0"/>
        <w:jc w:val="center"/>
        <w:rPr>
          <w:rFonts w:ascii="Courier New"/>
          <w:b/>
          <w:sz w:val="18"/>
        </w:rPr>
      </w:pPr>
      <w:r>
        <w:rPr>
          <w:rFonts w:ascii="Courier New"/>
          <w:b/>
          <w:w w:val="90"/>
          <w:sz w:val="18"/>
        </w:rPr>
        <w:t>ING</w:t>
      </w:r>
      <w:r>
        <w:rPr>
          <w:rFonts w:ascii="Courier New"/>
          <w:b/>
          <w:spacing w:val="-56"/>
          <w:w w:val="90"/>
          <w:sz w:val="18"/>
        </w:rPr>
        <w:t> </w:t>
      </w:r>
      <w:r>
        <w:rPr>
          <w:rFonts w:ascii="Courier New"/>
          <w:b/>
          <w:w w:val="90"/>
          <w:sz w:val="18"/>
        </w:rPr>
        <w:t>CAPITAL</w:t>
      </w:r>
      <w:r>
        <w:rPr>
          <w:rFonts w:ascii="Courier New"/>
          <w:b/>
          <w:spacing w:val="-55"/>
          <w:w w:val="90"/>
          <w:sz w:val="18"/>
        </w:rPr>
        <w:t> </w:t>
      </w:r>
      <w:r>
        <w:rPr>
          <w:rFonts w:ascii="Courier New"/>
          <w:b/>
          <w:w w:val="90"/>
          <w:sz w:val="18"/>
        </w:rPr>
        <w:t>LIFE</w:t>
      </w:r>
      <w:r>
        <w:rPr>
          <w:rFonts w:ascii="Courier New"/>
          <w:b/>
          <w:spacing w:val="-56"/>
          <w:w w:val="90"/>
          <w:sz w:val="18"/>
        </w:rPr>
        <w:t> </w:t>
      </w:r>
      <w:r>
        <w:rPr>
          <w:rFonts w:ascii="Courier New"/>
          <w:b/>
          <w:w w:val="90"/>
          <w:sz w:val="18"/>
        </w:rPr>
        <w:t>INSURANCE</w:t>
      </w:r>
      <w:r>
        <w:rPr>
          <w:rFonts w:ascii="Courier New"/>
          <w:b/>
          <w:spacing w:val="-56"/>
          <w:w w:val="90"/>
          <w:sz w:val="18"/>
        </w:rPr>
        <w:t> </w:t>
      </w:r>
      <w:r>
        <w:rPr>
          <w:rFonts w:ascii="Courier New"/>
          <w:b/>
          <w:w w:val="90"/>
          <w:sz w:val="18"/>
        </w:rPr>
        <w:t>COMPANY</w:t>
      </w:r>
      <w:r>
        <w:rPr>
          <w:rFonts w:ascii="Courier New"/>
          <w:b/>
          <w:spacing w:val="-56"/>
          <w:w w:val="90"/>
          <w:sz w:val="18"/>
        </w:rPr>
        <w:t> </w:t>
      </w:r>
      <w:r>
        <w:rPr>
          <w:rFonts w:ascii="Courier New"/>
          <w:b/>
          <w:w w:val="90"/>
          <w:sz w:val="18"/>
        </w:rPr>
        <w:t>LIMITED</w:t>
      </w:r>
    </w:p>
    <w:p>
      <w:pPr>
        <w:spacing w:before="85"/>
        <w:ind w:left="1773" w:right="0" w:firstLine="0"/>
        <w:jc w:val="center"/>
        <w:rPr>
          <w:sz w:val="32"/>
        </w:rPr>
      </w:pPr>
      <w:r>
        <w:rPr>
          <w:sz w:val="32"/>
        </w:rPr>
        <w:t>首创安泰附加团体重大疾病保险合同条款</w:t>
      </w:r>
    </w:p>
    <w:p>
      <w:pPr>
        <w:spacing w:line="300" w:lineRule="auto" w:before="37"/>
        <w:ind w:left="552" w:right="372" w:firstLine="2"/>
        <w:jc w:val="center"/>
        <w:rPr>
          <w:b/>
          <w:sz w:val="18"/>
        </w:rPr>
      </w:pPr>
      <w:r>
        <w:rPr/>
        <w:br w:type="column"/>
      </w:r>
      <w:r>
        <w:rPr>
          <w:b/>
          <w:sz w:val="18"/>
        </w:rPr>
        <w:t>中荷人寿</w:t>
      </w:r>
      <w:r>
        <w:rPr>
          <w:rFonts w:ascii="Times New Roman" w:eastAsia="Times New Roman"/>
          <w:b/>
          <w:sz w:val="18"/>
        </w:rPr>
        <w:t>[2009] </w:t>
      </w:r>
      <w:r>
        <w:rPr>
          <w:b/>
          <w:spacing w:val="-9"/>
          <w:sz w:val="18"/>
        </w:rPr>
        <w:t>疾病保险 </w:t>
      </w:r>
      <w:r>
        <w:rPr>
          <w:rFonts w:ascii="Times New Roman" w:eastAsia="Times New Roman"/>
          <w:b/>
          <w:sz w:val="18"/>
        </w:rPr>
        <w:t>036 </w:t>
      </w:r>
      <w:r>
        <w:rPr>
          <w:b/>
          <w:sz w:val="18"/>
        </w:rPr>
        <w:t>号</w:t>
      </w:r>
    </w:p>
    <w:p>
      <w:pPr>
        <w:pStyle w:val="BodyText"/>
        <w:spacing w:before="4"/>
        <w:ind w:left="0"/>
        <w:rPr>
          <w:b/>
          <w:sz w:val="4"/>
        </w:rPr>
      </w:pPr>
    </w:p>
    <w:p>
      <w:pPr>
        <w:pStyle w:val="BodyText"/>
        <w:ind w:left="61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64"/>
        <w:ind w:left="308" w:right="130" w:firstLine="0"/>
        <w:jc w:val="center"/>
        <w:rPr>
          <w:sz w:val="18"/>
        </w:rPr>
      </w:pPr>
      <w:r>
        <w:rPr>
          <w:b/>
          <w:w w:val="95"/>
          <w:sz w:val="18"/>
        </w:rPr>
        <w:t>请扫描以查询验证条</w:t>
      </w:r>
      <w:r>
        <w:rPr>
          <w:w w:val="95"/>
          <w:sz w:val="18"/>
        </w:rPr>
        <w:t>款</w:t>
      </w:r>
    </w:p>
    <w:p>
      <w:pPr>
        <w:spacing w:after="0"/>
        <w:jc w:val="center"/>
        <w:rPr>
          <w:sz w:val="18"/>
        </w:rPr>
        <w:sectPr>
          <w:footerReference w:type="default" r:id="rId5"/>
          <w:type w:val="continuous"/>
          <w:pgSz w:w="11910" w:h="16840"/>
          <w:pgMar w:footer="857" w:top="840" w:bottom="1040" w:left="1300" w:right="840"/>
          <w:pgNumType w:start="1"/>
          <w:cols w:num="2" w:equalWidth="0">
            <w:col w:w="7534" w:space="40"/>
            <w:col w:w="2196"/>
          </w:cols>
        </w:sectPr>
      </w:pPr>
    </w:p>
    <w:p>
      <w:pPr>
        <w:pStyle w:val="BodyText"/>
        <w:ind w:left="0"/>
        <w:rPr>
          <w:sz w:val="20"/>
        </w:rPr>
      </w:pPr>
    </w:p>
    <w:p>
      <w:pPr>
        <w:pStyle w:val="BodyText"/>
        <w:spacing w:before="4"/>
        <w:ind w:left="0"/>
        <w:rPr>
          <w:sz w:val="23"/>
        </w:rPr>
      </w:pPr>
    </w:p>
    <w:p>
      <w:pPr>
        <w:pStyle w:val="Heading1"/>
        <w:tabs>
          <w:tab w:pos="1198" w:val="left" w:leader="none"/>
        </w:tabs>
        <w:spacing w:line="273" w:lineRule="auto" w:before="35"/>
        <w:ind w:right="3636"/>
      </w:pPr>
      <w:r>
        <w:rPr>
          <w:spacing w:val="0"/>
          <w:w w:val="99"/>
        </w:rPr>
        <w:t>在本条</w:t>
      </w:r>
      <w:r>
        <w:rPr>
          <w:w w:val="99"/>
        </w:rPr>
        <w:t>款</w:t>
      </w:r>
      <w:r>
        <w:rPr>
          <w:spacing w:val="0"/>
          <w:w w:val="99"/>
        </w:rPr>
        <w:t>中</w:t>
      </w:r>
      <w:r>
        <w:rPr>
          <w:spacing w:val="-106"/>
          <w:w w:val="99"/>
        </w:rPr>
        <w:t>，</w:t>
      </w:r>
      <w:r>
        <w:rPr>
          <w:spacing w:val="0"/>
          <w:w w:val="99"/>
        </w:rPr>
        <w:t>“我们</w:t>
      </w:r>
      <w:r>
        <w:rPr>
          <w:spacing w:val="-105"/>
          <w:w w:val="99"/>
        </w:rPr>
        <w:t>”</w:t>
      </w:r>
      <w:r>
        <w:rPr>
          <w:spacing w:val="-106"/>
          <w:w w:val="99"/>
        </w:rPr>
        <w:t>、</w:t>
      </w:r>
      <w:r>
        <w:rPr>
          <w:w w:val="99"/>
        </w:rPr>
        <w:t>“</w:t>
      </w:r>
      <w:r>
        <w:rPr>
          <w:spacing w:val="0"/>
          <w:w w:val="99"/>
        </w:rPr>
        <w:t>本公司</w:t>
      </w:r>
      <w:r>
        <w:rPr>
          <w:w w:val="99"/>
        </w:rPr>
        <w:t>”均</w:t>
      </w:r>
      <w:r>
        <w:rPr>
          <w:spacing w:val="0"/>
          <w:w w:val="99"/>
        </w:rPr>
        <w:t>指首创</w:t>
      </w:r>
      <w:r>
        <w:rPr>
          <w:w w:val="99"/>
        </w:rPr>
        <w:t>安泰</w:t>
      </w:r>
      <w:r>
        <w:rPr>
          <w:spacing w:val="0"/>
          <w:w w:val="99"/>
        </w:rPr>
        <w:t>人寿保</w:t>
      </w:r>
      <w:r>
        <w:rPr>
          <w:w w:val="99"/>
        </w:rPr>
        <w:t>险有</w:t>
      </w:r>
      <w:r>
        <w:rPr>
          <w:spacing w:val="0"/>
          <w:w w:val="99"/>
        </w:rPr>
        <w:t>限公司</w:t>
      </w:r>
      <w:r>
        <w:rPr/>
        <w:t>第一条</w:t>
        <w:tab/>
      </w:r>
      <w:r>
        <w:rPr>
          <w:w w:val="95"/>
        </w:rPr>
        <w:t>保险合同的构成</w:t>
      </w:r>
    </w:p>
    <w:p>
      <w:pPr>
        <w:pStyle w:val="BodyText"/>
        <w:spacing w:line="273" w:lineRule="auto" w:before="7"/>
        <w:ind w:right="572"/>
        <w:jc w:val="both"/>
      </w:pPr>
      <w:r>
        <w:rPr/>
        <w:t>首创安泰附加团体重大疾病保险合同（以下简称本附加合同）依主合同投保人的申请，经本公司同意而订立。本附加合同须附加于主合同后始为有效。本附加合同由所载的条款、保险单、投保单、被保险人名册、有关声明、批注、附贴批单、其它约定书以及主合同中与本附加合同相关的部分构成。凡本附加合同条款未作规定的内容，适用主合同条款。若主合同条款与本附加合同条款有抵触时，以本附加合同条款为准。</w:t>
      </w:r>
    </w:p>
    <w:p>
      <w:pPr>
        <w:pStyle w:val="BodyText"/>
        <w:spacing w:before="5"/>
        <w:ind w:left="0"/>
        <w:rPr>
          <w:sz w:val="24"/>
        </w:rPr>
      </w:pPr>
    </w:p>
    <w:p>
      <w:pPr>
        <w:pStyle w:val="BodyText"/>
        <w:spacing w:line="273" w:lineRule="auto"/>
        <w:ind w:right="572"/>
        <w:jc w:val="both"/>
      </w:pPr>
      <w:r>
        <w:rPr/>
        <w:t>若上述构成本附加合同的文件正本需留本公司存档，则其复印件或电子影像印刷件亦视为本附加合同的构成部分，其效力与正本相同；若复印件或电子影像印刷件的内容与正本不同时，则以正本为准。</w:t>
      </w:r>
    </w:p>
    <w:p>
      <w:pPr>
        <w:pStyle w:val="BodyText"/>
        <w:ind w:left="0"/>
        <w:rPr>
          <w:sz w:val="23"/>
        </w:rPr>
      </w:pPr>
    </w:p>
    <w:p>
      <w:pPr>
        <w:pStyle w:val="BodyText"/>
        <w:spacing w:line="237" w:lineRule="auto"/>
        <w:ind w:right="572"/>
      </w:pPr>
      <w:r>
        <w:rPr/>
        <w:t>本附加合同条款依法按照通常理解予以解释，如本附加合同条款有两种以上解释的，作有利于被保险人或受益人的解释。</w:t>
      </w:r>
    </w:p>
    <w:p>
      <w:pPr>
        <w:tabs>
          <w:tab w:pos="1198" w:val="left" w:leader="none"/>
        </w:tabs>
        <w:spacing w:line="624" w:lineRule="exact" w:before="75"/>
        <w:ind w:left="118" w:right="7176" w:firstLine="0"/>
        <w:jc w:val="left"/>
        <w:rPr>
          <w:b/>
          <w:sz w:val="21"/>
        </w:rPr>
      </w:pPr>
      <w:r>
        <w:rPr>
          <w:sz w:val="21"/>
        </w:rPr>
        <w:t>本附加合同的代码为</w:t>
      </w:r>
      <w:r>
        <w:rPr>
          <w:spacing w:val="-62"/>
          <w:sz w:val="21"/>
        </w:rPr>
        <w:t> </w:t>
      </w:r>
      <w:r>
        <w:rPr>
          <w:sz w:val="21"/>
        </w:rPr>
        <w:t>GDD。</w:t>
      </w:r>
      <w:r>
        <w:rPr>
          <w:b/>
          <w:sz w:val="21"/>
        </w:rPr>
        <w:t>第二条</w:t>
        <w:tab/>
        <w:t>投保范围</w:t>
      </w:r>
    </w:p>
    <w:p>
      <w:pPr>
        <w:pStyle w:val="BodyText"/>
        <w:spacing w:line="217" w:lineRule="exact"/>
        <w:jc w:val="both"/>
      </w:pPr>
      <w:r>
        <w:rPr/>
        <w:t>一、 年龄在 16 周岁至 65 周岁，身体健康，能全职正常工作或劳动的在职员工，可作为被保险人参</w:t>
      </w:r>
    </w:p>
    <w:p>
      <w:pPr>
        <w:pStyle w:val="BodyText"/>
        <w:spacing w:before="37"/>
        <w:jc w:val="both"/>
      </w:pPr>
      <w:r>
        <w:rPr/>
        <w:t>加本保险。</w:t>
      </w:r>
    </w:p>
    <w:p>
      <w:pPr>
        <w:pStyle w:val="BodyText"/>
        <w:spacing w:before="36"/>
        <w:jc w:val="both"/>
      </w:pPr>
      <w:r>
        <w:rPr/>
        <w:t>二、 经被保险人同意，被保险人所在团体可作为投保人。团体投保时，符合投保条件的人数不低于</w:t>
      </w:r>
    </w:p>
    <w:p>
      <w:pPr>
        <w:pStyle w:val="BodyText"/>
        <w:spacing w:before="36"/>
        <w:jc w:val="both"/>
      </w:pPr>
      <w:r>
        <w:rPr/>
        <w:t>8 人, 且投保比例要符合下面的要求：</w:t>
      </w:r>
    </w:p>
    <w:p>
      <w:pPr>
        <w:pStyle w:val="BodyText"/>
        <w:spacing w:line="271" w:lineRule="auto" w:before="36"/>
        <w:ind w:left="538" w:right="3502"/>
      </w:pPr>
      <w:r>
        <w:rPr>
          <w:spacing w:val="-2"/>
        </w:rPr>
        <w:t>当团体人数小于 </w:t>
      </w:r>
      <w:r>
        <w:rPr/>
        <w:t>10</w:t>
      </w:r>
      <w:r>
        <w:rPr>
          <w:spacing w:val="-8"/>
        </w:rPr>
        <w:t> 人</w:t>
      </w:r>
      <w:r>
        <w:rPr/>
        <w:t>（含）</w:t>
      </w:r>
      <w:r>
        <w:rPr>
          <w:spacing w:val="-2"/>
        </w:rPr>
        <w:t>时，在职人员必须 </w:t>
      </w:r>
      <w:r>
        <w:rPr/>
        <w:t>100%投保； </w:t>
      </w:r>
      <w:r>
        <w:rPr>
          <w:spacing w:val="-8"/>
        </w:rPr>
        <w:t>当团体人数小于 </w:t>
      </w:r>
      <w:r>
        <w:rPr/>
        <w:t>15</w:t>
      </w:r>
      <w:r>
        <w:rPr>
          <w:spacing w:val="-30"/>
        </w:rPr>
        <w:t> 人</w:t>
      </w:r>
      <w:r>
        <w:rPr/>
        <w:t>（含）</w:t>
      </w:r>
      <w:r>
        <w:rPr>
          <w:spacing w:val="-7"/>
        </w:rPr>
        <w:t>时，在职人员必须 </w:t>
      </w:r>
      <w:r>
        <w:rPr/>
        <w:t>90%以上投保； </w:t>
      </w:r>
      <w:r>
        <w:rPr>
          <w:spacing w:val="-8"/>
        </w:rPr>
        <w:t>当团体人数小于 </w:t>
      </w:r>
      <w:r>
        <w:rPr/>
        <w:t>20</w:t>
      </w:r>
      <w:r>
        <w:rPr>
          <w:spacing w:val="-30"/>
        </w:rPr>
        <w:t> 人</w:t>
      </w:r>
      <w:r>
        <w:rPr/>
        <w:t>（含）</w:t>
      </w:r>
      <w:r>
        <w:rPr>
          <w:spacing w:val="-7"/>
        </w:rPr>
        <w:t>时，在职人员必须 </w:t>
      </w:r>
      <w:r>
        <w:rPr/>
        <w:t>80%以上投保； </w:t>
      </w:r>
      <w:r>
        <w:rPr>
          <w:spacing w:val="-8"/>
        </w:rPr>
        <w:t>当团体人数大于 </w:t>
      </w:r>
      <w:r>
        <w:rPr/>
        <w:t>20</w:t>
      </w:r>
      <w:r>
        <w:rPr>
          <w:spacing w:val="-13"/>
        </w:rPr>
        <w:t> 人时，在职人员必须 </w:t>
      </w:r>
      <w:r>
        <w:rPr/>
        <w:t>75%以上投保。</w:t>
      </w:r>
    </w:p>
    <w:p>
      <w:pPr>
        <w:pStyle w:val="BodyText"/>
        <w:spacing w:before="7"/>
        <w:ind w:left="0"/>
        <w:rPr>
          <w:sz w:val="24"/>
        </w:rPr>
      </w:pPr>
    </w:p>
    <w:p>
      <w:pPr>
        <w:pStyle w:val="Heading1"/>
        <w:tabs>
          <w:tab w:pos="1198" w:val="left" w:leader="none"/>
        </w:tabs>
      </w:pPr>
      <w:r>
        <w:rPr/>
        <w:t>第三条</w:t>
        <w:tab/>
      </w:r>
      <w:r>
        <w:rPr>
          <w:w w:val="95"/>
        </w:rPr>
        <w:t>合同生效日及保险责任开始</w:t>
      </w:r>
    </w:p>
    <w:p>
      <w:pPr>
        <w:pStyle w:val="BodyText"/>
        <w:spacing w:line="237" w:lineRule="auto" w:before="19"/>
        <w:ind w:right="572"/>
        <w:jc w:val="both"/>
      </w:pPr>
      <w:r>
        <w:rPr/>
        <w:t>若本附加合同与主合同同时投保，则以主合同的生效日为本附加合同的生效日；若投保人于主合同有效期内投保本附加合同，则本附加合同自合同批注上所载的生效日起生效。本公司将在主合同保险单上注明或批注作为承保的凭证。</w:t>
      </w:r>
    </w:p>
    <w:p>
      <w:pPr>
        <w:pStyle w:val="BodyText"/>
        <w:tabs>
          <w:tab w:pos="1172" w:val="left" w:leader="none"/>
        </w:tabs>
        <w:spacing w:line="624" w:lineRule="exact" w:before="75"/>
        <w:ind w:right="2820"/>
        <w:rPr>
          <w:b/>
        </w:rPr>
      </w:pPr>
      <w:r>
        <w:rPr/>
        <w:t>本公司对本附加合同承担的保险责任自本附加合同生效日当日</w:t>
      </w:r>
      <w:r>
        <w:rPr>
          <w:spacing w:val="-65"/>
        </w:rPr>
        <w:t> </w:t>
      </w:r>
      <w:r>
        <w:rPr/>
        <w:t>24</w:t>
      </w:r>
      <w:r>
        <w:rPr>
          <w:spacing w:val="-64"/>
        </w:rPr>
        <w:t> </w:t>
      </w:r>
      <w:r>
        <w:rPr/>
        <w:t>时开始。</w:t>
      </w:r>
      <w:r>
        <w:rPr>
          <w:b/>
        </w:rPr>
        <w:t>第四条</w:t>
        <w:tab/>
      </w:r>
      <w:r>
        <w:rPr>
          <w:b/>
          <w:w w:val="95"/>
        </w:rPr>
        <w:t>保险期间</w:t>
      </w:r>
    </w:p>
    <w:p>
      <w:pPr>
        <w:pStyle w:val="BodyText"/>
        <w:spacing w:line="217" w:lineRule="exact"/>
        <w:jc w:val="both"/>
      </w:pPr>
      <w:r>
        <w:rPr/>
        <w:t>本附加合同的保险期间为一年。具体日期由投保人和本公司约定并在保险单上载明。</w:t>
      </w:r>
    </w:p>
    <w:p>
      <w:pPr>
        <w:pStyle w:val="BodyText"/>
        <w:spacing w:before="9"/>
        <w:ind w:left="0"/>
        <w:rPr>
          <w:sz w:val="26"/>
        </w:rPr>
      </w:pPr>
    </w:p>
    <w:p>
      <w:pPr>
        <w:pStyle w:val="Heading1"/>
        <w:jc w:val="both"/>
      </w:pPr>
      <w:r>
        <w:rPr/>
        <w:t>第五条   保险责任</w:t>
      </w:r>
    </w:p>
    <w:p>
      <w:pPr>
        <w:spacing w:after="0"/>
        <w:jc w:val="both"/>
        <w:sectPr>
          <w:type w:val="continuous"/>
          <w:pgSz w:w="11910" w:h="16840"/>
          <w:pgMar w:top="840" w:bottom="1040" w:left="1300" w:right="840"/>
        </w:sectPr>
      </w:pPr>
    </w:p>
    <w:p>
      <w:pPr>
        <w:pStyle w:val="BodyText"/>
        <w:spacing w:before="23"/>
      </w:pPr>
      <w:r>
        <w:rPr/>
        <w:t>在本附加合同保险责任有效期内，本公司承担下列保险责任：</w:t>
      </w:r>
    </w:p>
    <w:p>
      <w:pPr>
        <w:pStyle w:val="BodyText"/>
        <w:spacing w:line="273" w:lineRule="auto" w:before="36"/>
        <w:ind w:right="112"/>
        <w:jc w:val="both"/>
      </w:pPr>
      <w:r>
        <w:rPr/>
        <w:t>一、首次投保本保险或非连续投保本保险时，自本附加合同生效日起三十日（含第三十日）内符合</w:t>
      </w:r>
      <w:r>
        <w:rPr>
          <w:spacing w:val="-5"/>
        </w:rPr>
        <w:t>以下两种情况时，本公司按本附加合同约定的保险金额的</w:t>
      </w:r>
      <w:r>
        <w:rPr/>
        <w:t>10%</w:t>
      </w:r>
      <w:r>
        <w:rPr>
          <w:spacing w:val="-4"/>
        </w:rPr>
        <w:t>给付重大疾病保险金，同时对该被保险人的保险责任终止。</w:t>
      </w:r>
    </w:p>
    <w:p>
      <w:pPr>
        <w:pStyle w:val="ListParagraph"/>
        <w:numPr>
          <w:ilvl w:val="0"/>
          <w:numId w:val="1"/>
        </w:numPr>
        <w:tabs>
          <w:tab w:pos="839" w:val="left" w:leader="none"/>
        </w:tabs>
        <w:spacing w:line="240" w:lineRule="auto" w:before="7" w:after="0"/>
        <w:ind w:left="478" w:right="0" w:firstLine="0"/>
        <w:jc w:val="left"/>
        <w:rPr>
          <w:sz w:val="21"/>
        </w:rPr>
      </w:pPr>
      <w:r>
        <w:rPr>
          <w:sz w:val="21"/>
        </w:rPr>
        <w:t>被保险人首次确诊患本附加合同所指一种或多种重大疾病，并在确诊后生存满三十日；</w:t>
      </w:r>
    </w:p>
    <w:p>
      <w:pPr>
        <w:pStyle w:val="ListParagraph"/>
        <w:numPr>
          <w:ilvl w:val="0"/>
          <w:numId w:val="1"/>
        </w:numPr>
        <w:tabs>
          <w:tab w:pos="839" w:val="left" w:leader="none"/>
        </w:tabs>
        <w:spacing w:line="273" w:lineRule="auto" w:before="37" w:after="0"/>
        <w:ind w:left="478" w:right="114" w:firstLine="0"/>
        <w:jc w:val="left"/>
        <w:rPr>
          <w:sz w:val="21"/>
        </w:rPr>
      </w:pPr>
      <w:r>
        <w:rPr>
          <w:spacing w:val="-2"/>
          <w:sz w:val="21"/>
        </w:rPr>
        <w:t>被保险人初次进行本附加合同所指重大疾病的医疗咨询活动，且在不迟于合同期满后三十日内确诊初次患与其所咨询相同的一种或多种重大疾病，并在确诊后生存满三十日。</w:t>
      </w:r>
    </w:p>
    <w:p>
      <w:pPr>
        <w:pStyle w:val="BodyText"/>
        <w:spacing w:before="5"/>
        <w:ind w:left="0"/>
        <w:rPr>
          <w:sz w:val="24"/>
        </w:rPr>
      </w:pPr>
    </w:p>
    <w:p>
      <w:pPr>
        <w:pStyle w:val="BodyText"/>
        <w:spacing w:line="273" w:lineRule="auto"/>
        <w:ind w:left="478" w:right="115"/>
      </w:pPr>
      <w:r>
        <w:rPr/>
        <w:t>二、自本附加合同生效日起三十日后，符合以下两种情况时，本公司按本附加合同约定的保险金额</w:t>
      </w:r>
    </w:p>
    <w:p>
      <w:pPr>
        <w:pStyle w:val="BodyText"/>
        <w:spacing w:before="7"/>
      </w:pPr>
      <w:r>
        <w:rPr/>
        <w:t>给付重大疾病保险金，同时对该被保险人的保险责任终止。</w:t>
      </w:r>
    </w:p>
    <w:p>
      <w:pPr>
        <w:pStyle w:val="ListParagraph"/>
        <w:numPr>
          <w:ilvl w:val="0"/>
          <w:numId w:val="2"/>
        </w:numPr>
        <w:tabs>
          <w:tab w:pos="839" w:val="left" w:leader="none"/>
        </w:tabs>
        <w:spacing w:line="240" w:lineRule="auto" w:before="37" w:after="0"/>
        <w:ind w:left="478" w:right="0" w:firstLine="0"/>
        <w:jc w:val="left"/>
        <w:rPr>
          <w:sz w:val="21"/>
        </w:rPr>
      </w:pPr>
      <w:r>
        <w:rPr>
          <w:sz w:val="21"/>
        </w:rPr>
        <w:t>被保险人首次确诊患本附加合同所指一种或多种重大疾病，并在确诊后生存满三十日；</w:t>
      </w:r>
    </w:p>
    <w:p>
      <w:pPr>
        <w:pStyle w:val="ListParagraph"/>
        <w:numPr>
          <w:ilvl w:val="0"/>
          <w:numId w:val="2"/>
        </w:numPr>
        <w:tabs>
          <w:tab w:pos="839" w:val="left" w:leader="none"/>
        </w:tabs>
        <w:spacing w:line="273" w:lineRule="auto" w:before="37" w:after="0"/>
        <w:ind w:left="478" w:right="114" w:firstLine="0"/>
        <w:jc w:val="left"/>
        <w:rPr>
          <w:sz w:val="21"/>
        </w:rPr>
      </w:pPr>
      <w:r>
        <w:rPr>
          <w:spacing w:val="-2"/>
          <w:sz w:val="21"/>
        </w:rPr>
        <w:t>被保险人初次进行本附加合同所指重大疾病的医疗咨询活动，且在不迟于合同期满后三十日内确诊初次患与其所咨询相同的一种或多种重大疾病，并在确诊后生存满三十日。</w:t>
      </w:r>
    </w:p>
    <w:p>
      <w:pPr>
        <w:pStyle w:val="BodyText"/>
        <w:spacing w:before="5"/>
        <w:ind w:left="0"/>
        <w:rPr>
          <w:sz w:val="24"/>
        </w:rPr>
      </w:pPr>
    </w:p>
    <w:p>
      <w:pPr>
        <w:pStyle w:val="BodyText"/>
      </w:pPr>
      <w:r>
        <w:rPr/>
        <w:t>若被保险人确诊患重大疾病后生存未满 30 日，本公司不承担上述保险责任，本附加合同终止。</w:t>
      </w:r>
    </w:p>
    <w:p>
      <w:pPr>
        <w:pStyle w:val="BodyText"/>
        <w:spacing w:before="8"/>
        <w:ind w:left="0"/>
        <w:rPr>
          <w:sz w:val="26"/>
        </w:rPr>
      </w:pPr>
    </w:p>
    <w:p>
      <w:pPr>
        <w:pStyle w:val="BodyText"/>
        <w:spacing w:line="273" w:lineRule="auto"/>
        <w:ind w:right="112"/>
      </w:pPr>
      <w:r>
        <w:rPr/>
        <w:t>被保险人因意外事故所致的深度昏迷、重大器官移植手术、瘫痪或严重烧伤，不受上述“一”中本附加合同生效日起三十日的限制。</w:t>
      </w:r>
    </w:p>
    <w:p>
      <w:pPr>
        <w:pStyle w:val="BodyText"/>
        <w:spacing w:before="11"/>
        <w:ind w:left="0"/>
        <w:rPr>
          <w:sz w:val="22"/>
        </w:rPr>
      </w:pPr>
    </w:p>
    <w:p>
      <w:pPr>
        <w:pStyle w:val="Heading1"/>
        <w:tabs>
          <w:tab w:pos="1172" w:val="left" w:leader="none"/>
        </w:tabs>
        <w:spacing w:line="274" w:lineRule="exact"/>
      </w:pPr>
      <w:r>
        <w:rPr/>
        <w:t>第六条</w:t>
        <w:tab/>
      </w:r>
      <w:r>
        <w:rPr>
          <w:w w:val="95"/>
        </w:rPr>
        <w:t>重大疾病</w:t>
      </w:r>
    </w:p>
    <w:p>
      <w:pPr>
        <w:pStyle w:val="BodyText"/>
        <w:spacing w:line="237" w:lineRule="auto" w:before="1"/>
        <w:ind w:right="112"/>
        <w:jc w:val="both"/>
      </w:pPr>
      <w:r>
        <w:rPr/>
        <w:t>本附加合同所指的重大疾病在本附加合同中有确定的含义，不仅包括部分一般意义上的重大疾病， 还包括某些重大手术和严重的机体功能障碍，本附加合同所指的重大疾病可能与临床医学所指的重大疾病在概念和范围上有所不同，本公司将在本附加合同重大疾病定义中详细列明，投保人投保本附加合同即表明其认可并遵从本附加合同中对重大疾病的定义。</w:t>
      </w:r>
    </w:p>
    <w:p>
      <w:pPr>
        <w:pStyle w:val="BodyText"/>
        <w:spacing w:line="271" w:lineRule="exact"/>
        <w:jc w:val="both"/>
      </w:pPr>
      <w:r>
        <w:rPr/>
        <w:t>本附加合同所指重大疾病如下：</w:t>
      </w:r>
    </w:p>
    <w:p>
      <w:pPr>
        <w:pStyle w:val="BodyText"/>
        <w:spacing w:line="272" w:lineRule="exact"/>
        <w:jc w:val="both"/>
      </w:pPr>
      <w:r>
        <w:rPr/>
        <w:t>1． 癌症（恶性肿瘤）</w:t>
      </w:r>
    </w:p>
    <w:p>
      <w:pPr>
        <w:pStyle w:val="BodyText"/>
        <w:spacing w:line="272" w:lineRule="exact"/>
        <w:jc w:val="both"/>
      </w:pPr>
      <w:r>
        <w:rPr/>
        <w:t>2． 急性心肌梗死</w:t>
      </w:r>
    </w:p>
    <w:p>
      <w:pPr>
        <w:pStyle w:val="ListParagraph"/>
        <w:numPr>
          <w:ilvl w:val="0"/>
          <w:numId w:val="2"/>
        </w:numPr>
        <w:tabs>
          <w:tab w:pos="434" w:val="left" w:leader="none"/>
        </w:tabs>
        <w:spacing w:line="272" w:lineRule="exact" w:before="0" w:after="0"/>
        <w:ind w:left="433" w:right="0" w:hanging="315"/>
        <w:jc w:val="both"/>
        <w:rPr>
          <w:sz w:val="21"/>
        </w:rPr>
      </w:pPr>
      <w:r>
        <w:rPr>
          <w:sz w:val="21"/>
        </w:rPr>
        <w:t>中风</w:t>
      </w:r>
    </w:p>
    <w:p>
      <w:pPr>
        <w:pStyle w:val="ListParagraph"/>
        <w:numPr>
          <w:ilvl w:val="0"/>
          <w:numId w:val="2"/>
        </w:numPr>
        <w:tabs>
          <w:tab w:pos="434" w:val="left" w:leader="none"/>
        </w:tabs>
        <w:spacing w:line="272" w:lineRule="exact" w:before="0" w:after="0"/>
        <w:ind w:left="433" w:right="0" w:hanging="315"/>
        <w:jc w:val="both"/>
        <w:rPr>
          <w:sz w:val="21"/>
        </w:rPr>
      </w:pPr>
      <w:r>
        <w:rPr>
          <w:spacing w:val="-1"/>
          <w:sz w:val="21"/>
        </w:rPr>
        <w:t>重大器官移植手术</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慢性肾衰竭（尿毒症）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慢性肝脏衰竭</w:t>
      </w:r>
    </w:p>
    <w:p>
      <w:pPr>
        <w:pStyle w:val="ListParagraph"/>
        <w:numPr>
          <w:ilvl w:val="0"/>
          <w:numId w:val="2"/>
        </w:numPr>
        <w:tabs>
          <w:tab w:pos="479" w:val="left" w:leader="none"/>
        </w:tabs>
        <w:spacing w:line="272" w:lineRule="exact" w:before="0" w:after="0"/>
        <w:ind w:left="478" w:right="0" w:hanging="360"/>
        <w:jc w:val="both"/>
        <w:rPr>
          <w:sz w:val="21"/>
        </w:rPr>
      </w:pPr>
      <w:r>
        <w:rPr>
          <w:sz w:val="21"/>
        </w:rPr>
        <w:t>帕金森氏病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严重烧伤</w:t>
      </w:r>
    </w:p>
    <w:p>
      <w:pPr>
        <w:pStyle w:val="ListParagraph"/>
        <w:numPr>
          <w:ilvl w:val="0"/>
          <w:numId w:val="2"/>
        </w:numPr>
        <w:tabs>
          <w:tab w:pos="479" w:val="left" w:leader="none"/>
        </w:tabs>
        <w:spacing w:line="272" w:lineRule="exact" w:before="0" w:after="0"/>
        <w:ind w:left="478" w:right="0" w:hanging="360"/>
        <w:jc w:val="both"/>
        <w:rPr>
          <w:sz w:val="21"/>
        </w:rPr>
      </w:pPr>
      <w:r>
        <w:rPr>
          <w:sz w:val="21"/>
        </w:rPr>
        <w:t>瘫痪</w:t>
      </w:r>
    </w:p>
    <w:p>
      <w:pPr>
        <w:pStyle w:val="ListParagraph"/>
        <w:numPr>
          <w:ilvl w:val="0"/>
          <w:numId w:val="2"/>
        </w:numPr>
        <w:tabs>
          <w:tab w:pos="479" w:val="left" w:leader="none"/>
        </w:tabs>
        <w:spacing w:line="272" w:lineRule="exact" w:before="0" w:after="0"/>
        <w:ind w:left="478" w:right="0" w:hanging="360"/>
        <w:jc w:val="both"/>
        <w:rPr>
          <w:sz w:val="21"/>
        </w:rPr>
      </w:pPr>
      <w:r>
        <w:rPr>
          <w:sz w:val="21"/>
        </w:rPr>
        <w:t>再生障碍性贫血</w:t>
      </w:r>
    </w:p>
    <w:p>
      <w:pPr>
        <w:pStyle w:val="ListParagraph"/>
        <w:numPr>
          <w:ilvl w:val="0"/>
          <w:numId w:val="2"/>
        </w:numPr>
        <w:tabs>
          <w:tab w:pos="479" w:val="left" w:leader="none"/>
        </w:tabs>
        <w:spacing w:line="272" w:lineRule="exact" w:before="0" w:after="0"/>
        <w:ind w:left="478" w:right="0" w:hanging="360"/>
        <w:jc w:val="both"/>
        <w:rPr>
          <w:sz w:val="21"/>
        </w:rPr>
      </w:pPr>
      <w:r>
        <w:rPr>
          <w:sz w:val="21"/>
        </w:rPr>
        <w:t>深度昏迷</w:t>
      </w:r>
    </w:p>
    <w:p>
      <w:pPr>
        <w:pStyle w:val="ListParagraph"/>
        <w:numPr>
          <w:ilvl w:val="0"/>
          <w:numId w:val="2"/>
        </w:numPr>
        <w:tabs>
          <w:tab w:pos="479" w:val="left" w:leader="none"/>
        </w:tabs>
        <w:spacing w:line="272" w:lineRule="exact" w:before="0" w:after="0"/>
        <w:ind w:left="478" w:right="0" w:hanging="360"/>
        <w:jc w:val="both"/>
        <w:rPr>
          <w:sz w:val="21"/>
        </w:rPr>
      </w:pPr>
      <w:r>
        <w:rPr>
          <w:sz w:val="21"/>
        </w:rPr>
        <w:t>良性肿瘤</w:t>
      </w:r>
    </w:p>
    <w:p>
      <w:pPr>
        <w:pStyle w:val="ListParagraph"/>
        <w:numPr>
          <w:ilvl w:val="0"/>
          <w:numId w:val="2"/>
        </w:numPr>
        <w:tabs>
          <w:tab w:pos="479" w:val="left" w:leader="none"/>
        </w:tabs>
        <w:spacing w:line="272" w:lineRule="exact" w:before="0" w:after="0"/>
        <w:ind w:left="478" w:right="0" w:hanging="360"/>
        <w:jc w:val="both"/>
        <w:rPr>
          <w:sz w:val="21"/>
        </w:rPr>
      </w:pPr>
      <w:r>
        <w:rPr>
          <w:sz w:val="21"/>
        </w:rPr>
        <w:t>暴发性肝炎</w:t>
      </w:r>
    </w:p>
    <w:p>
      <w:pPr>
        <w:pStyle w:val="ListParagraph"/>
        <w:numPr>
          <w:ilvl w:val="0"/>
          <w:numId w:val="2"/>
        </w:numPr>
        <w:tabs>
          <w:tab w:pos="479" w:val="left" w:leader="none"/>
        </w:tabs>
        <w:spacing w:line="272" w:lineRule="exact" w:before="0" w:after="0"/>
        <w:ind w:left="478" w:right="0" w:hanging="360"/>
        <w:jc w:val="both"/>
        <w:rPr>
          <w:sz w:val="21"/>
        </w:rPr>
      </w:pPr>
      <w:r>
        <w:rPr>
          <w:sz w:val="21"/>
        </w:rPr>
        <w:t>原发性肺动脉高压症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慢性肺部疾病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阿尔茨海默病（老年痴呆或早老性痴呆）</w:t>
      </w:r>
    </w:p>
    <w:p>
      <w:pPr>
        <w:pStyle w:val="ListParagraph"/>
        <w:numPr>
          <w:ilvl w:val="0"/>
          <w:numId w:val="2"/>
        </w:numPr>
        <w:tabs>
          <w:tab w:pos="479" w:val="left" w:leader="none"/>
        </w:tabs>
        <w:spacing w:line="272" w:lineRule="exact" w:before="0" w:after="0"/>
        <w:ind w:left="478" w:right="0" w:hanging="360"/>
        <w:jc w:val="both"/>
        <w:rPr>
          <w:sz w:val="21"/>
        </w:rPr>
      </w:pPr>
      <w:r>
        <w:rPr>
          <w:sz w:val="21"/>
        </w:rPr>
        <w:t>多发性硬化症</w:t>
      </w:r>
    </w:p>
    <w:p>
      <w:pPr>
        <w:pStyle w:val="ListParagraph"/>
        <w:numPr>
          <w:ilvl w:val="0"/>
          <w:numId w:val="2"/>
        </w:numPr>
        <w:tabs>
          <w:tab w:pos="479" w:val="left" w:leader="none"/>
        </w:tabs>
        <w:spacing w:line="272" w:lineRule="exact" w:before="0" w:after="0"/>
        <w:ind w:left="478" w:right="0" w:hanging="360"/>
        <w:jc w:val="both"/>
        <w:rPr>
          <w:sz w:val="21"/>
        </w:rPr>
      </w:pPr>
      <w:r>
        <w:rPr>
          <w:sz w:val="21"/>
        </w:rPr>
        <w:t>运动神经元病</w:t>
      </w:r>
    </w:p>
    <w:p>
      <w:pPr>
        <w:pStyle w:val="ListParagraph"/>
        <w:numPr>
          <w:ilvl w:val="0"/>
          <w:numId w:val="2"/>
        </w:numPr>
        <w:tabs>
          <w:tab w:pos="479" w:val="left" w:leader="none"/>
        </w:tabs>
        <w:spacing w:line="272" w:lineRule="exact" w:before="0" w:after="0"/>
        <w:ind w:left="478" w:right="0" w:hanging="360"/>
        <w:jc w:val="both"/>
        <w:rPr>
          <w:sz w:val="21"/>
        </w:rPr>
      </w:pPr>
      <w:r>
        <w:rPr>
          <w:sz w:val="21"/>
        </w:rPr>
        <w:t>冠状动脉搭桥手术</w:t>
      </w:r>
    </w:p>
    <w:p>
      <w:pPr>
        <w:pStyle w:val="ListParagraph"/>
        <w:numPr>
          <w:ilvl w:val="0"/>
          <w:numId w:val="2"/>
        </w:numPr>
        <w:tabs>
          <w:tab w:pos="479" w:val="left" w:leader="none"/>
        </w:tabs>
        <w:spacing w:line="272" w:lineRule="exact" w:before="0" w:after="0"/>
        <w:ind w:left="478" w:right="0" w:hanging="360"/>
        <w:jc w:val="both"/>
        <w:rPr>
          <w:sz w:val="21"/>
        </w:rPr>
      </w:pPr>
      <w:r>
        <w:rPr>
          <w:sz w:val="21"/>
        </w:rPr>
        <w:t>主动脉外科手术</w:t>
      </w:r>
    </w:p>
    <w:p>
      <w:pPr>
        <w:pStyle w:val="ListParagraph"/>
        <w:numPr>
          <w:ilvl w:val="0"/>
          <w:numId w:val="2"/>
        </w:numPr>
        <w:tabs>
          <w:tab w:pos="479" w:val="left" w:leader="none"/>
        </w:tabs>
        <w:spacing w:line="274" w:lineRule="exact" w:before="0" w:after="0"/>
        <w:ind w:left="478" w:right="0" w:hanging="360"/>
        <w:jc w:val="both"/>
        <w:rPr>
          <w:sz w:val="21"/>
        </w:rPr>
      </w:pPr>
      <w:r>
        <w:rPr>
          <w:sz w:val="21"/>
        </w:rPr>
        <w:t>心脏瓣膜手术</w:t>
      </w:r>
    </w:p>
    <w:p>
      <w:pPr>
        <w:spacing w:after="0" w:line="274" w:lineRule="exact"/>
        <w:jc w:val="both"/>
        <w:rPr>
          <w:sz w:val="21"/>
        </w:rPr>
        <w:sectPr>
          <w:pgSz w:w="11910" w:h="16840"/>
          <w:pgMar w:header="0" w:footer="857" w:top="1380" w:bottom="1040" w:left="1300" w:right="1300"/>
        </w:sectPr>
      </w:pPr>
    </w:p>
    <w:p>
      <w:pPr>
        <w:pStyle w:val="BodyText"/>
        <w:spacing w:before="23"/>
      </w:pPr>
      <w:r>
        <w:rPr/>
        <w:t>以上各种重大疾病的解释及认定标准在本附加合同重大疾病定义中具体规定。</w:t>
      </w:r>
    </w:p>
    <w:p>
      <w:pPr>
        <w:pStyle w:val="BodyText"/>
        <w:spacing w:before="8"/>
        <w:ind w:left="0"/>
        <w:rPr>
          <w:sz w:val="26"/>
        </w:rPr>
      </w:pPr>
    </w:p>
    <w:p>
      <w:pPr>
        <w:pStyle w:val="Heading1"/>
        <w:tabs>
          <w:tab w:pos="1172" w:val="left" w:leader="none"/>
        </w:tabs>
      </w:pPr>
      <w:r>
        <w:rPr/>
        <w:t>第七条</w:t>
        <w:tab/>
      </w:r>
      <w:r>
        <w:rPr>
          <w:w w:val="95"/>
        </w:rPr>
        <w:t>责任免除</w:t>
      </w:r>
    </w:p>
    <w:p>
      <w:pPr>
        <w:pStyle w:val="BodyText"/>
        <w:spacing w:line="237" w:lineRule="auto" w:before="19"/>
        <w:ind w:right="172"/>
      </w:pPr>
      <w:r>
        <w:rPr/>
        <w:t>因下列情形之一,导致被保险人初次患本条款所指重大疾病,本公司不承担给付重大疾病保险金的责任：</w:t>
      </w:r>
    </w:p>
    <w:p>
      <w:pPr>
        <w:pStyle w:val="BodyText"/>
        <w:spacing w:line="271" w:lineRule="exact"/>
      </w:pPr>
      <w:r>
        <w:rPr/>
        <w:t>1、投保人对于被保险人的故意行为；</w:t>
      </w:r>
    </w:p>
    <w:p>
      <w:pPr>
        <w:pStyle w:val="BodyText"/>
        <w:spacing w:line="237" w:lineRule="auto" w:before="1"/>
        <w:ind w:right="109"/>
      </w:pPr>
      <w:r>
        <w:rPr/>
        <w:t>2、被保险人故意自致的伤害、参与殴斗、犯罪、抗拒依法采取的刑事强制措施或主动服用、吸食、注射毒品；</w:t>
      </w:r>
    </w:p>
    <w:p>
      <w:pPr>
        <w:pStyle w:val="BodyText"/>
        <w:spacing w:line="237" w:lineRule="auto"/>
        <w:ind w:right="105"/>
      </w:pPr>
      <w:r>
        <w:rPr/>
        <w:t>3、被保险人自本附加合同生效（或复效）之日起两年内自杀，但被保险人自杀时为无民事行为能力人的除外；</w:t>
      </w:r>
    </w:p>
    <w:p>
      <w:pPr>
        <w:pStyle w:val="BodyText"/>
        <w:spacing w:line="271" w:lineRule="exact"/>
      </w:pPr>
      <w:r>
        <w:rPr/>
        <w:t>4、被保险人酗酒或受酒精、管制药物影响；</w:t>
      </w:r>
    </w:p>
    <w:p>
      <w:pPr>
        <w:pStyle w:val="BodyText"/>
        <w:spacing w:line="237" w:lineRule="auto" w:before="1"/>
        <w:ind w:right="174"/>
      </w:pPr>
      <w:r>
        <w:rPr/>
        <w:t>5</w:t>
      </w:r>
      <w:r>
        <w:rPr>
          <w:spacing w:val="-7"/>
        </w:rPr>
        <w:t>、被保险人在本附加合同生效或复效日前的既往症，但在投保单上告知并经本公司同意承保的，不在此限；</w:t>
      </w:r>
    </w:p>
    <w:p>
      <w:pPr>
        <w:pStyle w:val="BodyText"/>
        <w:spacing w:line="271" w:lineRule="exact"/>
      </w:pPr>
      <w:r>
        <w:rPr/>
        <w:t>6、被保险人患艾滋病(AIDS)或感染艾滋病病毒(HIV 呈阳性)；</w:t>
      </w:r>
    </w:p>
    <w:p>
      <w:pPr>
        <w:pStyle w:val="BodyText"/>
        <w:spacing w:line="272" w:lineRule="exact"/>
      </w:pPr>
      <w:r>
        <w:rPr/>
        <w:t>7、被保险人酒后驾驶，无合法有效驾驶证驾驶，或驾驶无有效行驶证的机动车；</w:t>
      </w:r>
    </w:p>
    <w:p>
      <w:pPr>
        <w:pStyle w:val="BodyText"/>
        <w:spacing w:line="272" w:lineRule="exact"/>
      </w:pPr>
      <w:r>
        <w:rPr/>
        <w:t>8、战争、军事行为、暴乱、武装叛乱或恐怖活动；</w:t>
      </w:r>
    </w:p>
    <w:p>
      <w:pPr>
        <w:pStyle w:val="BodyText"/>
        <w:spacing w:line="272" w:lineRule="exact"/>
      </w:pPr>
      <w:r>
        <w:rPr/>
        <w:t>9、核爆炸、核辐射、核污染、原子或生化武器；</w:t>
      </w:r>
    </w:p>
    <w:p>
      <w:pPr>
        <w:pStyle w:val="BodyText"/>
        <w:spacing w:line="237" w:lineRule="auto" w:before="1"/>
        <w:ind w:right="172"/>
      </w:pPr>
      <w:r>
        <w:rPr/>
        <w:t>10、被保险人因进行潜水、跳伞、攀岩活动、探险活动、武术比赛、摔跤比赛、特技表演、赛马、赛车、飞行（不含搭乘民用客运航班者）等高风险活动。</w:t>
      </w:r>
    </w:p>
    <w:p>
      <w:pPr>
        <w:pStyle w:val="BodyText"/>
        <w:spacing w:before="2"/>
        <w:ind w:left="0"/>
        <w:rPr>
          <w:sz w:val="22"/>
        </w:rPr>
      </w:pPr>
    </w:p>
    <w:p>
      <w:pPr>
        <w:pStyle w:val="BodyText"/>
        <w:spacing w:line="273" w:lineRule="auto"/>
        <w:ind w:right="215"/>
      </w:pPr>
      <w:r>
        <w:rPr/>
        <w:t>因前述免责情形本附加合同终止或本附加合同对该被保险人的保险责任终止时，本公司将退还未满期净保费。</w:t>
      </w:r>
    </w:p>
    <w:p>
      <w:pPr>
        <w:pStyle w:val="BodyText"/>
        <w:spacing w:before="5"/>
        <w:ind w:left="0"/>
        <w:rPr>
          <w:sz w:val="24"/>
        </w:rPr>
      </w:pPr>
    </w:p>
    <w:p>
      <w:pPr>
        <w:pStyle w:val="Heading1"/>
        <w:tabs>
          <w:tab w:pos="1172" w:val="left" w:leader="none"/>
        </w:tabs>
      </w:pPr>
      <w:r>
        <w:rPr/>
        <w:t>第八条</w:t>
        <w:tab/>
      </w:r>
      <w:r>
        <w:rPr>
          <w:w w:val="95"/>
        </w:rPr>
        <w:t>承保区域</w:t>
      </w:r>
    </w:p>
    <w:p>
      <w:pPr>
        <w:pStyle w:val="BodyText"/>
        <w:spacing w:before="36"/>
      </w:pPr>
      <w:r>
        <w:rPr/>
        <w:t>本公司对在中华人民共和国境内（不包括港、澳、台地区）发生的保险事故承担保险责任。</w:t>
      </w:r>
    </w:p>
    <w:p>
      <w:pPr>
        <w:pStyle w:val="BodyText"/>
        <w:spacing w:line="273" w:lineRule="auto" w:before="36"/>
        <w:ind w:right="215"/>
        <w:jc w:val="both"/>
      </w:pPr>
      <w:r>
        <w:rPr/>
        <w:t>如果被保险人在国外（包括港、澳、台地区）停留九十日（含第九十日）以内，发生保险事故，本公司承担保险责任；九十日以上，本公司不承担任何保险责任，除非被保险人经过申请并征得本公司的同意。</w:t>
      </w:r>
    </w:p>
    <w:p>
      <w:pPr>
        <w:pStyle w:val="BodyText"/>
        <w:spacing w:before="5"/>
        <w:ind w:left="0"/>
        <w:rPr>
          <w:sz w:val="24"/>
        </w:rPr>
      </w:pPr>
    </w:p>
    <w:p>
      <w:pPr>
        <w:pStyle w:val="Heading1"/>
        <w:tabs>
          <w:tab w:pos="1171" w:val="left" w:leader="none"/>
        </w:tabs>
      </w:pPr>
      <w:r>
        <w:rPr/>
        <w:t>第九条</w:t>
        <w:tab/>
      </w:r>
      <w:r>
        <w:rPr>
          <w:w w:val="95"/>
        </w:rPr>
        <w:t>保险金额和保险费</w:t>
      </w:r>
    </w:p>
    <w:p>
      <w:pPr>
        <w:pStyle w:val="BodyText"/>
        <w:spacing w:before="37"/>
      </w:pPr>
      <w:r>
        <w:rPr/>
        <w:t>本附加合同的保险金额由投保人和本公司约定并载明于本附加合同的保险单或批注上。</w:t>
      </w:r>
    </w:p>
    <w:p>
      <w:pPr>
        <w:pStyle w:val="BodyText"/>
        <w:spacing w:before="8"/>
        <w:ind w:left="0"/>
        <w:rPr>
          <w:sz w:val="26"/>
        </w:rPr>
      </w:pPr>
    </w:p>
    <w:p>
      <w:pPr>
        <w:pStyle w:val="BodyText"/>
        <w:spacing w:line="273" w:lineRule="auto" w:before="1"/>
        <w:ind w:right="171"/>
      </w:pPr>
      <w:r>
        <w:rPr/>
        <w:t>保险费根据团体的具体情况(团体的大小，被保险人的职业，被保险人的年龄，被保险人的性别等) 确定。本附加保险合同费率见附表一。</w:t>
      </w:r>
    </w:p>
    <w:p>
      <w:pPr>
        <w:pStyle w:val="BodyText"/>
        <w:spacing w:before="5"/>
        <w:ind w:left="0"/>
        <w:rPr>
          <w:sz w:val="24"/>
        </w:rPr>
      </w:pPr>
    </w:p>
    <w:p>
      <w:pPr>
        <w:pStyle w:val="BodyText"/>
        <w:spacing w:line="273" w:lineRule="auto"/>
        <w:ind w:right="172"/>
      </w:pPr>
      <w:r>
        <w:rPr/>
        <w:t>如果投保人在事先约定的日期或合同期满日之前通知本公司不再续保，则本附加合同将在合同期满日终止。</w:t>
      </w:r>
    </w:p>
    <w:p>
      <w:pPr>
        <w:pStyle w:val="BodyText"/>
        <w:spacing w:before="4"/>
        <w:ind w:left="0"/>
        <w:rPr>
          <w:sz w:val="24"/>
        </w:rPr>
      </w:pPr>
    </w:p>
    <w:p>
      <w:pPr>
        <w:pStyle w:val="BodyText"/>
        <w:spacing w:line="544" w:lineRule="auto" w:before="1"/>
        <w:ind w:right="3575"/>
      </w:pPr>
      <w:r>
        <w:rPr/>
        <w:t>本公司有权在保险合同期满或保险合同变更时调整保险费率。保险费均以人民币为单位。</w:t>
      </w:r>
    </w:p>
    <w:p>
      <w:pPr>
        <w:pStyle w:val="BodyText"/>
        <w:spacing w:before="82"/>
      </w:pPr>
      <w:r>
        <w:rPr/>
        <w:t>保险费由投保人在订立本附加合同时一次缴清。</w:t>
      </w:r>
    </w:p>
    <w:p>
      <w:pPr>
        <w:pStyle w:val="BodyText"/>
        <w:spacing w:before="8"/>
        <w:ind w:left="0"/>
        <w:rPr>
          <w:sz w:val="26"/>
        </w:rPr>
      </w:pPr>
    </w:p>
    <w:p>
      <w:pPr>
        <w:pStyle w:val="Heading1"/>
        <w:tabs>
          <w:tab w:pos="1172" w:val="left" w:leader="none"/>
        </w:tabs>
      </w:pPr>
      <w:r>
        <w:rPr/>
        <w:t>第十条</w:t>
        <w:tab/>
      </w:r>
      <w:r>
        <w:rPr>
          <w:w w:val="95"/>
        </w:rPr>
        <w:t>身体检查</w:t>
      </w:r>
    </w:p>
    <w:p>
      <w:pPr>
        <w:pStyle w:val="BodyText"/>
        <w:spacing w:line="273" w:lineRule="auto" w:before="36"/>
        <w:ind w:right="172"/>
      </w:pPr>
      <w:r>
        <w:rPr/>
        <w:t>当投保人申请投保本附加合同时，本公司有权要求被保险人进行身体检查，其费用由投保人或被保险人承担。</w:t>
      </w:r>
    </w:p>
    <w:p>
      <w:pPr>
        <w:spacing w:after="0" w:line="273" w:lineRule="auto"/>
        <w:sectPr>
          <w:pgSz w:w="11910" w:h="16840"/>
          <w:pgMar w:header="0" w:footer="857" w:top="1380" w:bottom="1040" w:left="1300" w:right="1240"/>
        </w:sectPr>
      </w:pPr>
    </w:p>
    <w:p>
      <w:pPr>
        <w:pStyle w:val="Heading1"/>
        <w:tabs>
          <w:tab w:pos="1384" w:val="left" w:leader="none"/>
        </w:tabs>
        <w:spacing w:before="115"/>
      </w:pPr>
      <w:r>
        <w:rPr/>
        <w:t>第十一条</w:t>
        <w:tab/>
      </w:r>
      <w:r>
        <w:rPr>
          <w:w w:val="95"/>
        </w:rPr>
        <w:t>如实告知</w:t>
      </w:r>
    </w:p>
    <w:p>
      <w:pPr>
        <w:pStyle w:val="BodyText"/>
        <w:spacing w:line="273" w:lineRule="auto" w:before="36"/>
        <w:ind w:right="255"/>
        <w:jc w:val="both"/>
      </w:pPr>
      <w:r>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订立本合同，我们可以就投保人和被保险人的有关情况提出书面询问，投保人应当如实告知。</w:t>
      </w:r>
    </w:p>
    <w:p>
      <w:pPr>
        <w:pStyle w:val="BodyText"/>
        <w:spacing w:line="273" w:lineRule="auto" w:before="7"/>
        <w:ind w:right="212"/>
      </w:pPr>
      <w:r>
        <w:rPr/>
        <w:t>如果投保人故意隐瞒事实，不履行如实告知义务，或者因重大过失未履行如实告知义务，足以影响我们决定是否同意承保或者提高保险费率的，我们有权解除本合同。</w:t>
      </w:r>
    </w:p>
    <w:p>
      <w:pPr>
        <w:pStyle w:val="BodyText"/>
        <w:spacing w:line="237" w:lineRule="auto"/>
        <w:ind w:right="212"/>
      </w:pPr>
      <w:r>
        <w:rPr/>
        <w:t>如果我们在合同订立时已经知道投保人未如实告知的或自我们知道有解除事由之日起超过三十日没有解除本合同，则我们不再依据前款约定行使解除权。</w:t>
      </w:r>
    </w:p>
    <w:p>
      <w:pPr>
        <w:pStyle w:val="BodyText"/>
        <w:spacing w:line="273" w:lineRule="auto" w:before="28"/>
        <w:ind w:right="212"/>
      </w:pPr>
      <w:r>
        <w:rPr/>
        <w:t>如果投保人故意不履行如实告知义务，我们对于本合同解除前发生的保险事故，不承担给付保险金的责任，并不退还保险费。</w:t>
      </w:r>
    </w:p>
    <w:p>
      <w:pPr>
        <w:pStyle w:val="BodyText"/>
        <w:spacing w:line="273" w:lineRule="auto" w:before="8"/>
        <w:ind w:right="212"/>
      </w:pPr>
      <w:r>
        <w:rPr/>
        <w:t>如果投保人因重大过失未履行如实告知义务，对保险事故的发生有严重影响的，我们对于本合同解除前发生的保险事故，不承担给付保险金的责任，但退还本合同的保险费。</w:t>
      </w:r>
    </w:p>
    <w:p>
      <w:pPr>
        <w:pStyle w:val="BodyText"/>
        <w:spacing w:before="5"/>
        <w:ind w:left="0"/>
        <w:rPr>
          <w:sz w:val="24"/>
        </w:rPr>
      </w:pPr>
    </w:p>
    <w:p>
      <w:pPr>
        <w:pStyle w:val="Heading1"/>
        <w:spacing w:before="1"/>
        <w:jc w:val="both"/>
      </w:pPr>
      <w:r>
        <w:rPr/>
        <w:t>第十二条   受益人的指定和变更</w:t>
      </w:r>
    </w:p>
    <w:p>
      <w:pPr>
        <w:pStyle w:val="BodyText"/>
        <w:spacing w:before="37"/>
        <w:jc w:val="both"/>
        <w:rPr>
          <w:b/>
        </w:rPr>
      </w:pPr>
      <w:r>
        <w:rPr>
          <w:w w:val="95"/>
        </w:rPr>
        <w:t>除另有约定外，本附加合同重大疾病保险金的受益人为被保险人本人</w:t>
      </w:r>
      <w:r>
        <w:rPr>
          <w:b/>
          <w:w w:val="95"/>
        </w:rPr>
        <w:t>。</w:t>
      </w:r>
    </w:p>
    <w:p>
      <w:pPr>
        <w:pStyle w:val="BodyText"/>
        <w:spacing w:before="8"/>
        <w:ind w:left="0"/>
        <w:rPr>
          <w:b/>
          <w:sz w:val="26"/>
        </w:rPr>
      </w:pPr>
    </w:p>
    <w:p>
      <w:pPr>
        <w:pStyle w:val="Heading1"/>
        <w:jc w:val="both"/>
      </w:pPr>
      <w:r>
        <w:rPr/>
        <w:t>第十三条   保险事故的通知</w:t>
      </w:r>
    </w:p>
    <w:p>
      <w:pPr>
        <w:pStyle w:val="BodyText"/>
        <w:spacing w:before="16"/>
        <w:jc w:val="both"/>
      </w:pPr>
      <w:r>
        <w:rPr/>
        <w:t>本附加合同的投保人，被保险人或受益人知道保险事故后应当在十日内通知我们。</w:t>
      </w:r>
    </w:p>
    <w:p>
      <w:pPr>
        <w:pStyle w:val="BodyText"/>
        <w:spacing w:line="273" w:lineRule="auto" w:before="67"/>
        <w:ind w:right="108"/>
      </w:pPr>
      <w:r>
        <w:rPr>
          <w:spacing w:val="-6"/>
        </w:rPr>
        <w:t>如果投保人，被保险人或受益人故意或者因重大过失未及时通知我们，致使保险事故的性质、原因、损失程度等难以确定的，我们对无法确定的部分，不承担给付保险金的责任，但我们通过其他途径</w:t>
      </w:r>
      <w:r>
        <w:rPr>
          <w:spacing w:val="3"/>
        </w:rPr>
        <w:t>已经及时知道或者应当及时知道保险事故发生或者虽未及时通知但不影响我们确定保险事故的性质、原因、损失程度的除外。</w:t>
      </w:r>
    </w:p>
    <w:p>
      <w:pPr>
        <w:pStyle w:val="BodyText"/>
        <w:spacing w:before="5"/>
        <w:ind w:left="0"/>
        <w:rPr>
          <w:sz w:val="24"/>
        </w:rPr>
      </w:pPr>
    </w:p>
    <w:p>
      <w:pPr>
        <w:pStyle w:val="Heading1"/>
        <w:tabs>
          <w:tab w:pos="1384" w:val="left" w:leader="none"/>
        </w:tabs>
      </w:pPr>
      <w:r>
        <w:rPr/>
        <w:t>第十四条</w:t>
        <w:tab/>
      </w:r>
      <w:r>
        <w:rPr>
          <w:w w:val="95"/>
        </w:rPr>
        <w:t>保险金的申请</w:t>
      </w:r>
    </w:p>
    <w:p>
      <w:pPr>
        <w:pStyle w:val="BodyText"/>
        <w:spacing w:line="273" w:lineRule="auto" w:before="87"/>
        <w:ind w:right="255"/>
      </w:pPr>
      <w:r>
        <w:rPr/>
        <w:t>被保险人申请重大疾病保险金时，应当提供下列证明文件和资料，如果有关证明资料不完整，我们将及时一次性通知申请人补充提供。</w:t>
      </w:r>
    </w:p>
    <w:p>
      <w:pPr>
        <w:pStyle w:val="BodyText"/>
        <w:spacing w:before="4"/>
        <w:ind w:left="0"/>
        <w:rPr>
          <w:sz w:val="26"/>
        </w:rPr>
      </w:pPr>
    </w:p>
    <w:p>
      <w:pPr>
        <w:pStyle w:val="BodyText"/>
        <w:spacing w:before="1"/>
      </w:pPr>
      <w:r>
        <w:rPr/>
        <w:t>1、给付申请书；</w:t>
      </w:r>
    </w:p>
    <w:p>
      <w:pPr>
        <w:pStyle w:val="BodyText"/>
        <w:spacing w:before="44"/>
      </w:pPr>
      <w:r>
        <w:rPr/>
        <w:t>2、投保人证明及保险单或保险凭证；</w:t>
      </w:r>
    </w:p>
    <w:p>
      <w:pPr>
        <w:pStyle w:val="BodyText"/>
        <w:spacing w:before="45"/>
      </w:pPr>
      <w:r>
        <w:rPr/>
        <w:t>3、被保险人的户籍证明及身份证明；</w:t>
      </w:r>
    </w:p>
    <w:p>
      <w:pPr>
        <w:pStyle w:val="BodyText"/>
        <w:spacing w:line="264" w:lineRule="auto" w:before="20"/>
        <w:ind w:right="149"/>
        <w:jc w:val="both"/>
      </w:pPr>
      <w:r>
        <w:rPr>
          <w:rFonts w:ascii="Times New Roman" w:eastAsia="Times New Roman"/>
        </w:rPr>
        <w:t>4</w:t>
      </w:r>
      <w:r>
        <w:rPr/>
        <w:t>、由本公司指定或认可医院的专科主任级医师出具的疾病诊断书及病理检查报告、血液检查报告、超声波、影像学及其它医学诊断检查报告等相关所必需的检查结果证明。若接受外科手术者，还需提供外科手术证明文件。</w:t>
      </w:r>
    </w:p>
    <w:p>
      <w:pPr>
        <w:pStyle w:val="BodyText"/>
        <w:ind w:left="0"/>
        <w:rPr>
          <w:sz w:val="25"/>
        </w:rPr>
      </w:pPr>
    </w:p>
    <w:p>
      <w:pPr>
        <w:pStyle w:val="BodyText"/>
        <w:spacing w:line="273" w:lineRule="auto"/>
        <w:ind w:right="255"/>
      </w:pPr>
      <w:r>
        <w:rPr/>
        <w:t>若被保险人委托他人代为申请保险金，被委托人还应提供被保险人签字的授权委托书、被委托人的身份证明等相关证明文件。</w:t>
      </w:r>
    </w:p>
    <w:p>
      <w:pPr>
        <w:pStyle w:val="BodyText"/>
        <w:spacing w:before="5"/>
        <w:ind w:left="0"/>
        <w:rPr>
          <w:sz w:val="24"/>
        </w:rPr>
      </w:pPr>
    </w:p>
    <w:p>
      <w:pPr>
        <w:pStyle w:val="BodyText"/>
        <w:spacing w:line="273" w:lineRule="auto"/>
        <w:ind w:right="212"/>
        <w:jc w:val="both"/>
      </w:pPr>
      <w:r>
        <w:rPr/>
        <w:t>申请本附加合同重大疾病保险金时，本公司有权根据实际情况要求被保险人到本公司指定的医院进行身体检查或其他必要的检验，费用由本公司承担。如果被保险人拒绝检查、检验或检查、检验结果不符合本保险合同关于保险事故的约定，本公司有权不给付保险金。</w:t>
      </w:r>
    </w:p>
    <w:p>
      <w:pPr>
        <w:spacing w:after="0" w:line="273" w:lineRule="auto"/>
        <w:jc w:val="both"/>
        <w:sectPr>
          <w:pgSz w:w="11910" w:h="16840"/>
          <w:pgMar w:header="0" w:footer="857" w:top="1600" w:bottom="1040" w:left="1300" w:right="1200"/>
        </w:sectPr>
      </w:pPr>
    </w:p>
    <w:p>
      <w:pPr>
        <w:pStyle w:val="BodyText"/>
        <w:spacing w:line="273" w:lineRule="auto" w:before="23"/>
        <w:ind w:right="155"/>
        <w:jc w:val="both"/>
      </w:pPr>
      <w:r>
        <w:rPr/>
        <w:t>我们在收到保险金给付申请书及上述有关证明和资料后五日内作出核定，情形复杂的，在三十日内作出核定。对确定属于保险责任的，在与受益人达成有关给付保险金数额的协议后十日内，履行给付保险金的责任。</w:t>
      </w:r>
    </w:p>
    <w:p>
      <w:pPr>
        <w:pStyle w:val="BodyText"/>
        <w:spacing w:before="7"/>
        <w:jc w:val="both"/>
      </w:pPr>
      <w:r>
        <w:rPr/>
        <w:t>本公司未及时履行前款规定义务的，除支付保险金外，应当赔偿受益人因此受到的损失。</w:t>
      </w:r>
    </w:p>
    <w:p>
      <w:pPr>
        <w:pStyle w:val="BodyText"/>
        <w:spacing w:line="273" w:lineRule="auto" w:before="37"/>
        <w:ind w:right="155"/>
        <w:jc w:val="both"/>
      </w:pPr>
      <w:r>
        <w:rPr/>
        <w:t>对不属于保险责任的，我们将在作出核定后三日内，向申请人发出拒绝给付保险金通知书，并说明理由。</w:t>
      </w:r>
    </w:p>
    <w:p>
      <w:pPr>
        <w:pStyle w:val="BodyText"/>
        <w:spacing w:line="271" w:lineRule="auto" w:before="58"/>
        <w:ind w:right="155"/>
        <w:jc w:val="both"/>
      </w:pPr>
      <w:r>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5"/>
        <w:ind w:left="0"/>
        <w:rPr>
          <w:sz w:val="28"/>
        </w:rPr>
      </w:pPr>
    </w:p>
    <w:p>
      <w:pPr>
        <w:pStyle w:val="BodyText"/>
        <w:spacing w:line="273" w:lineRule="auto"/>
        <w:ind w:right="155"/>
        <w:jc w:val="both"/>
      </w:pPr>
      <w:r>
        <w:rPr/>
        <w:t>被保险人或者受益人对本合同请求给付保险金的诉讼时效期间为两年，自其知道或者应当知道保险事故发生之日起计算。</w:t>
      </w:r>
    </w:p>
    <w:p>
      <w:pPr>
        <w:tabs>
          <w:tab w:pos="1384" w:val="left" w:leader="none"/>
        </w:tabs>
        <w:spacing w:line="624" w:lineRule="exact" w:before="65"/>
        <w:ind w:left="118" w:right="6035" w:firstLine="0"/>
        <w:jc w:val="left"/>
        <w:rPr>
          <w:b/>
          <w:sz w:val="21"/>
        </w:rPr>
      </w:pPr>
      <w:r>
        <w:rPr>
          <w:sz w:val="21"/>
        </w:rPr>
        <w:t>所有理赔金额均以人民币为单位。</w:t>
      </w:r>
      <w:r>
        <w:rPr>
          <w:b/>
          <w:sz w:val="21"/>
        </w:rPr>
        <w:t>第十五条</w:t>
        <w:tab/>
      </w:r>
      <w:r>
        <w:rPr>
          <w:b/>
          <w:w w:val="95"/>
          <w:sz w:val="21"/>
        </w:rPr>
        <w:t>被保险人的变更</w:t>
      </w:r>
    </w:p>
    <w:p>
      <w:pPr>
        <w:pStyle w:val="BodyText"/>
        <w:spacing w:line="217" w:lineRule="exact"/>
        <w:jc w:val="both"/>
      </w:pPr>
      <w:r>
        <w:rPr/>
        <w:t>投保人因在职人员变动需要增加被保险人的，应以书面形式或本公司认可的其它形式通知本公司，</w:t>
      </w:r>
    </w:p>
    <w:p>
      <w:pPr>
        <w:pStyle w:val="BodyText"/>
        <w:spacing w:before="37"/>
        <w:jc w:val="both"/>
      </w:pPr>
      <w:r>
        <w:rPr/>
        <w:t>经本公司审核同意，于收取保险费的当日 24 时开始承担保险责任。</w:t>
      </w:r>
    </w:p>
    <w:p>
      <w:pPr>
        <w:pStyle w:val="BodyText"/>
        <w:spacing w:before="8"/>
        <w:ind w:left="0"/>
        <w:rPr>
          <w:sz w:val="26"/>
        </w:rPr>
      </w:pPr>
    </w:p>
    <w:p>
      <w:pPr>
        <w:pStyle w:val="BodyText"/>
        <w:spacing w:line="273" w:lineRule="auto"/>
        <w:ind w:right="112"/>
        <w:jc w:val="both"/>
      </w:pPr>
      <w:r>
        <w:rPr/>
        <w:t>投保人因被保险人离职或其它原因需要减少被保险人的，应以书面形式通知本公司，本附加合同对</w:t>
      </w:r>
      <w:r>
        <w:rPr>
          <w:spacing w:val="-3"/>
        </w:rPr>
        <w:t>该被保险人所承担的保险责任自通知到达之日 </w:t>
      </w:r>
      <w:r>
        <w:rPr/>
        <w:t>24</w:t>
      </w:r>
      <w:r>
        <w:rPr>
          <w:spacing w:val="-12"/>
        </w:rPr>
        <w:t> 时起终止，同时本公司退还该被保险人的未满期净保费。如投保人要求的退保日期在通知到达日之后，本附加合同对该被保险人所承担的保险责任自该退保日零时起终止。</w:t>
      </w:r>
    </w:p>
    <w:p>
      <w:pPr>
        <w:pStyle w:val="BodyText"/>
        <w:spacing w:before="5"/>
        <w:ind w:left="0"/>
        <w:rPr>
          <w:sz w:val="24"/>
        </w:rPr>
      </w:pPr>
    </w:p>
    <w:p>
      <w:pPr>
        <w:pStyle w:val="BodyText"/>
        <w:spacing w:line="273" w:lineRule="auto"/>
        <w:ind w:right="112"/>
        <w:jc w:val="both"/>
      </w:pPr>
      <w:r>
        <w:rPr/>
        <w:t>若本附加合同被保险人人数少于五人或减少到本附加合同规定的参加本保险条件的在职人员总数的百分之七十五以下时，本公司有权解除本附加合同，同时本公司退还未满期净保费。</w:t>
      </w:r>
    </w:p>
    <w:p>
      <w:pPr>
        <w:pStyle w:val="BodyText"/>
        <w:spacing w:before="5"/>
        <w:ind w:left="0"/>
        <w:rPr>
          <w:sz w:val="24"/>
        </w:rPr>
      </w:pPr>
    </w:p>
    <w:p>
      <w:pPr>
        <w:pStyle w:val="Heading1"/>
        <w:jc w:val="both"/>
      </w:pPr>
      <w:r>
        <w:rPr/>
        <w:t>第十六条   职业或工种的变更</w:t>
      </w:r>
    </w:p>
    <w:p>
      <w:pPr>
        <w:pStyle w:val="BodyText"/>
        <w:spacing w:before="36"/>
        <w:jc w:val="both"/>
      </w:pPr>
      <w:r>
        <w:rPr/>
        <w:t>被保险人变更其职业或工种时</w:t>
      </w:r>
      <w:r>
        <w:rPr>
          <w:rFonts w:ascii="Times New Roman" w:eastAsia="Times New Roman"/>
        </w:rPr>
        <w:t>, </w:t>
      </w:r>
      <w:r>
        <w:rPr/>
        <w:t>投保人或被保险人应于十日内以书面形式通知本公司。</w:t>
      </w:r>
    </w:p>
    <w:p>
      <w:pPr>
        <w:pStyle w:val="BodyText"/>
        <w:spacing w:before="5"/>
        <w:ind w:left="0"/>
        <w:rPr>
          <w:sz w:val="25"/>
        </w:rPr>
      </w:pPr>
    </w:p>
    <w:p>
      <w:pPr>
        <w:pStyle w:val="BodyText"/>
        <w:spacing w:line="273" w:lineRule="auto"/>
        <w:ind w:right="112"/>
        <w:jc w:val="both"/>
      </w:pPr>
      <w:r>
        <w:rPr/>
        <w:t>被保险人所变更的职业或工种，按照本公司的职业分类其危险程度降低时，本公司于收到通知后， 自职业或工种变更之日起，按变更前后本附加合同保险费的差额退还未满期净保费；被保险人所变更的职业或工种，按照本公司的职业分类其危险程度增加时，本公司于收到通知后，自职业或工种变更之日起，按变更前后本附加合同保险费的差额增收未满期保险费。</w:t>
      </w:r>
    </w:p>
    <w:p>
      <w:pPr>
        <w:pStyle w:val="BodyText"/>
        <w:spacing w:before="5"/>
        <w:ind w:left="0"/>
        <w:rPr>
          <w:sz w:val="24"/>
        </w:rPr>
      </w:pPr>
    </w:p>
    <w:p>
      <w:pPr>
        <w:pStyle w:val="BodyText"/>
        <w:spacing w:line="273" w:lineRule="auto"/>
        <w:ind w:right="112"/>
        <w:jc w:val="both"/>
      </w:pPr>
      <w:r>
        <w:rPr/>
        <w:t>但被保险人所变更的职业或工种，按照本公司的职业分类在拒保范围内者，本公司于收到通知后， 自职业或工种变更之日起，本附加合同对该被保险人的效力终止，并按日计算退还该被保险人的未满期净保费。</w:t>
      </w:r>
    </w:p>
    <w:p>
      <w:pPr>
        <w:pStyle w:val="BodyText"/>
        <w:spacing w:before="5"/>
        <w:ind w:left="0"/>
        <w:rPr>
          <w:sz w:val="24"/>
        </w:rPr>
      </w:pPr>
    </w:p>
    <w:p>
      <w:pPr>
        <w:pStyle w:val="BodyText"/>
        <w:spacing w:line="273" w:lineRule="auto"/>
        <w:ind w:right="112"/>
        <w:jc w:val="both"/>
      </w:pPr>
      <w:r>
        <w:rPr/>
        <w:t>被保险人所变更的职业或工种，按照本公司的职业分类其危险程度增加，但未依本条第一款通知本公司而发生保险事故者，本公司按其原收保险费与应收保险费的比例计算、给付保险金。但若被保险人所变更的职业或工种在拒保范围内者，本公司不承担保险金的给付责任，仅按日计算退还该被保险人的未满期净保费。</w:t>
      </w:r>
    </w:p>
    <w:p>
      <w:pPr>
        <w:spacing w:after="0" w:line="273" w:lineRule="auto"/>
        <w:jc w:val="both"/>
        <w:sectPr>
          <w:pgSz w:w="11910" w:h="16840"/>
          <w:pgMar w:header="0" w:footer="857" w:top="1380" w:bottom="1040" w:left="1300" w:right="1300"/>
        </w:sectPr>
      </w:pPr>
    </w:p>
    <w:p>
      <w:pPr>
        <w:pStyle w:val="Heading1"/>
        <w:tabs>
          <w:tab w:pos="1384" w:val="left" w:leader="none"/>
        </w:tabs>
        <w:spacing w:before="23"/>
      </w:pPr>
      <w:r>
        <w:rPr/>
        <w:t>第十七条</w:t>
        <w:tab/>
      </w:r>
      <w:r>
        <w:rPr>
          <w:w w:val="95"/>
        </w:rPr>
        <w:t>合同内容的变更</w:t>
      </w:r>
    </w:p>
    <w:p>
      <w:pPr>
        <w:pStyle w:val="BodyText"/>
        <w:spacing w:line="273" w:lineRule="auto" w:before="36"/>
        <w:ind w:right="255"/>
        <w:jc w:val="both"/>
      </w:pPr>
      <w:r>
        <w:rPr/>
        <w:t>除本附加合同另有约定外，经投保人和本公司协商同意后，可变更本附加合同的有关内容。变更本附加合同时，投保人应填写变更合同申请书，经本公司审核同意，并在本附加合同的保险单或其它保险凭证上加以批注，或由投保人和本公司订立合同变更的书面协议后生效。</w:t>
      </w:r>
    </w:p>
    <w:p>
      <w:pPr>
        <w:pStyle w:val="BodyText"/>
        <w:spacing w:before="5"/>
        <w:ind w:left="0"/>
        <w:rPr>
          <w:sz w:val="24"/>
        </w:rPr>
      </w:pPr>
    </w:p>
    <w:p>
      <w:pPr>
        <w:pStyle w:val="Heading1"/>
        <w:tabs>
          <w:tab w:pos="1384" w:val="left" w:leader="none"/>
        </w:tabs>
      </w:pPr>
      <w:r>
        <w:rPr/>
        <w:t>第十八条</w:t>
        <w:tab/>
      </w:r>
      <w:r>
        <w:rPr>
          <w:w w:val="95"/>
        </w:rPr>
        <w:t>通讯地址的变更</w:t>
      </w:r>
    </w:p>
    <w:p>
      <w:pPr>
        <w:pStyle w:val="BodyText"/>
        <w:spacing w:line="273" w:lineRule="auto" w:before="37"/>
        <w:ind w:right="255"/>
      </w:pPr>
      <w:r>
        <w:rPr/>
        <w:t>投保人的通讯地址变更时，应及时以书面形式或本公司认可的其他形式通知本公司。投保人不作前述通知时，本公司按投保单所载的最后通讯地址发送通知，视为已送达给投保人。</w:t>
      </w:r>
    </w:p>
    <w:p>
      <w:pPr>
        <w:pStyle w:val="BodyText"/>
        <w:spacing w:before="5"/>
        <w:ind w:left="0"/>
        <w:rPr>
          <w:sz w:val="24"/>
        </w:rPr>
      </w:pPr>
    </w:p>
    <w:p>
      <w:pPr>
        <w:pStyle w:val="Heading1"/>
        <w:tabs>
          <w:tab w:pos="1384" w:val="left" w:leader="none"/>
        </w:tabs>
      </w:pPr>
      <w:r>
        <w:rPr/>
        <w:t>第十九条</w:t>
        <w:tab/>
      </w:r>
      <w:r>
        <w:rPr>
          <w:w w:val="95"/>
        </w:rPr>
        <w:t>资料提供</w:t>
      </w:r>
    </w:p>
    <w:p>
      <w:pPr>
        <w:pStyle w:val="BodyText"/>
        <w:spacing w:line="273" w:lineRule="auto" w:before="36"/>
        <w:ind w:right="40"/>
      </w:pPr>
      <w:r>
        <w:rPr/>
        <w:t>投保人应保存并提供给本公司每一被保险人的个人资料，详细记录其姓名、性别、年龄、出生日期、交费金额以及其它与本附加合同有关的一切资料。</w:t>
      </w:r>
    </w:p>
    <w:p>
      <w:pPr>
        <w:pStyle w:val="BodyText"/>
        <w:spacing w:before="5"/>
        <w:ind w:left="0"/>
        <w:rPr>
          <w:sz w:val="24"/>
        </w:rPr>
      </w:pPr>
    </w:p>
    <w:p>
      <w:pPr>
        <w:pStyle w:val="Heading1"/>
        <w:tabs>
          <w:tab w:pos="1384" w:val="left" w:leader="none"/>
        </w:tabs>
      </w:pPr>
      <w:r>
        <w:rPr/>
        <w:t>第二十条</w:t>
        <w:tab/>
      </w:r>
      <w:r>
        <w:rPr>
          <w:w w:val="95"/>
        </w:rPr>
        <w:t>年龄或性别错误的处理</w:t>
      </w:r>
    </w:p>
    <w:p>
      <w:pPr>
        <w:pStyle w:val="BodyText"/>
        <w:spacing w:line="273" w:lineRule="auto" w:before="37"/>
        <w:ind w:right="212"/>
      </w:pPr>
      <w:r>
        <w:rPr/>
        <w:t>被保险人的年龄以周岁计算。投保人在申请投保时，应在投保单上按被保险人的真实年龄及性别填明，若发生错误，则按下列规定办理：</w:t>
      </w:r>
    </w:p>
    <w:p>
      <w:pPr>
        <w:pStyle w:val="BodyText"/>
        <w:spacing w:before="1"/>
        <w:ind w:left="0"/>
        <w:rPr>
          <w:sz w:val="23"/>
        </w:rPr>
      </w:pPr>
    </w:p>
    <w:p>
      <w:pPr>
        <w:pStyle w:val="BodyText"/>
        <w:spacing w:line="237" w:lineRule="auto"/>
        <w:ind w:right="212"/>
        <w:jc w:val="both"/>
      </w:pPr>
      <w:r>
        <w:rPr/>
        <w:t>1</w:t>
      </w:r>
      <w:r>
        <w:rPr>
          <w:spacing w:val="-8"/>
        </w:rPr>
        <w:t>、若投保人申报的被保险人年龄或性别不真实，并且其真实年龄或性别不符合本公司对本险种接受的被保险人的年龄或性别要求的，本公司有权解除本附加合同，向投保人退还未满期净保费。如果我们在合同订立时已经知道投保人未如实告知的或自我们知道有解除事由之日起超过三十日没有解除本合同，则我们不再依据前款约定行使解除权。</w:t>
      </w:r>
    </w:p>
    <w:p>
      <w:pPr>
        <w:pStyle w:val="BodyText"/>
        <w:ind w:left="0"/>
        <w:rPr>
          <w:sz w:val="20"/>
        </w:rPr>
      </w:pPr>
    </w:p>
    <w:p>
      <w:pPr>
        <w:pStyle w:val="BodyText"/>
        <w:ind w:left="0"/>
        <w:rPr>
          <w:sz w:val="29"/>
        </w:rPr>
      </w:pPr>
    </w:p>
    <w:p>
      <w:pPr>
        <w:pStyle w:val="BodyText"/>
        <w:spacing w:line="273" w:lineRule="auto"/>
        <w:ind w:right="212"/>
        <w:jc w:val="both"/>
      </w:pPr>
      <w:r>
        <w:rPr/>
        <w:t>2</w:t>
      </w:r>
      <w:r>
        <w:rPr>
          <w:spacing w:val="-7"/>
        </w:rPr>
        <w:t>、若投保人申报的被保险人的年龄或性别不真实，致使投保人实缴保险费少于应缴保险费的，本公司有权更正并要求投保人补缴保险费。若已发生保险事故，本公司将按实缴保险费和应缴保险费的比例折算给付保险金。</w:t>
      </w:r>
    </w:p>
    <w:p>
      <w:pPr>
        <w:pStyle w:val="BodyText"/>
        <w:spacing w:before="5"/>
        <w:ind w:left="0"/>
        <w:rPr>
          <w:sz w:val="24"/>
        </w:rPr>
      </w:pPr>
    </w:p>
    <w:p>
      <w:pPr>
        <w:pStyle w:val="BodyText"/>
        <w:spacing w:line="273" w:lineRule="auto"/>
        <w:ind w:right="149"/>
      </w:pPr>
      <w:r>
        <w:rPr/>
        <w:t>3、若投保人申报的被保险人的年龄或性别不真实，致使投保人实缴的保险费多于应缴的保险费的， 本公司应将多收的保险费退还给投保人。</w:t>
      </w:r>
    </w:p>
    <w:p>
      <w:pPr>
        <w:pStyle w:val="BodyText"/>
        <w:spacing w:before="5"/>
        <w:ind w:left="0"/>
        <w:rPr>
          <w:sz w:val="24"/>
        </w:rPr>
      </w:pPr>
    </w:p>
    <w:p>
      <w:pPr>
        <w:pStyle w:val="Heading1"/>
        <w:tabs>
          <w:tab w:pos="1594" w:val="left" w:leader="none"/>
        </w:tabs>
      </w:pPr>
      <w:r>
        <w:rPr/>
        <w:t>第二十一条</w:t>
        <w:tab/>
      </w:r>
      <w:r>
        <w:rPr>
          <w:w w:val="95"/>
        </w:rPr>
        <w:t>投保人解除合同的处理</w:t>
      </w:r>
    </w:p>
    <w:p>
      <w:pPr>
        <w:pStyle w:val="BodyText"/>
        <w:spacing w:line="273" w:lineRule="auto" w:before="36"/>
        <w:ind w:right="212"/>
      </w:pPr>
      <w:r>
        <w:rPr/>
        <w:t>投保人于本附加合同生效后，可以以书面形式通知本公司要求解除本附加合同。但已经提出索赔申请的，投保人不得要求解除本附加合同。要求解除本附加合同时投保人应提供下列文件和资料：</w:t>
      </w:r>
    </w:p>
    <w:p>
      <w:pPr>
        <w:pStyle w:val="BodyText"/>
        <w:spacing w:before="7"/>
        <w:jc w:val="both"/>
      </w:pPr>
      <w:r>
        <w:rPr/>
        <w:t>1、解除合同申请书；</w:t>
      </w:r>
    </w:p>
    <w:p>
      <w:pPr>
        <w:pStyle w:val="BodyText"/>
        <w:spacing w:before="37"/>
        <w:jc w:val="both"/>
      </w:pPr>
      <w:r>
        <w:rPr/>
        <w:t>2、保险合同及其它保险凭证；</w:t>
      </w:r>
    </w:p>
    <w:p>
      <w:pPr>
        <w:pStyle w:val="BodyText"/>
        <w:spacing w:before="37"/>
        <w:jc w:val="both"/>
      </w:pPr>
      <w:r>
        <w:rPr/>
        <w:t>3、投保人证明文件；</w:t>
      </w:r>
    </w:p>
    <w:p>
      <w:pPr>
        <w:pStyle w:val="BodyText"/>
        <w:spacing w:before="37"/>
        <w:jc w:val="both"/>
      </w:pPr>
      <w:r>
        <w:rPr/>
        <w:t>4、保险费交付凭证；</w:t>
      </w:r>
    </w:p>
    <w:p>
      <w:pPr>
        <w:pStyle w:val="BodyText"/>
        <w:spacing w:before="37"/>
        <w:jc w:val="both"/>
      </w:pPr>
      <w:r>
        <w:rPr/>
        <w:t>5、本公司需要的其他有关文件和资料。</w:t>
      </w:r>
    </w:p>
    <w:p>
      <w:pPr>
        <w:pStyle w:val="BodyText"/>
        <w:spacing w:before="8"/>
        <w:ind w:left="0"/>
        <w:rPr>
          <w:sz w:val="26"/>
        </w:rPr>
      </w:pPr>
    </w:p>
    <w:p>
      <w:pPr>
        <w:pStyle w:val="BodyText"/>
        <w:spacing w:line="273" w:lineRule="auto"/>
        <w:ind w:right="212"/>
        <w:jc w:val="both"/>
      </w:pPr>
      <w:r>
        <w:rPr>
          <w:spacing w:val="-1"/>
        </w:rPr>
        <w:t>本合同自本公司接到解除合同申请书当日(若为邮寄,则以寄出邮戳为准) </w:t>
      </w:r>
      <w:r>
        <w:rPr/>
        <w:t>24</w:t>
      </w:r>
      <w:r>
        <w:rPr>
          <w:spacing w:val="-8"/>
        </w:rPr>
        <w:t> 时起终止。投保人自收到本合同后十日内要求解除本合同的，本合同自始无效，我们将向投保人退还所有已缴的保险费。投保人自收到本合同十日后要求解除本合同的，本公司退还未满期净保费。</w:t>
      </w:r>
    </w:p>
    <w:p>
      <w:pPr>
        <w:pStyle w:val="BodyText"/>
        <w:spacing w:before="5"/>
        <w:ind w:left="0"/>
        <w:rPr>
          <w:sz w:val="24"/>
        </w:rPr>
      </w:pPr>
    </w:p>
    <w:p>
      <w:pPr>
        <w:pStyle w:val="Heading1"/>
        <w:jc w:val="both"/>
      </w:pPr>
      <w:r>
        <w:rPr/>
        <w:t>第二十二条   争议处理</w:t>
      </w:r>
    </w:p>
    <w:p>
      <w:pPr>
        <w:pStyle w:val="BodyText"/>
        <w:spacing w:before="37"/>
        <w:jc w:val="both"/>
      </w:pPr>
      <w:r>
        <w:rPr/>
        <w:t>本附加合同争议的解决方式，由当事人从下列合同中约定的两种方式中选择一种：</w:t>
      </w:r>
    </w:p>
    <w:p>
      <w:pPr>
        <w:spacing w:after="0"/>
        <w:jc w:val="both"/>
        <w:sectPr>
          <w:pgSz w:w="11910" w:h="16840"/>
          <w:pgMar w:header="0" w:footer="857" w:top="1380" w:bottom="1040" w:left="1300" w:right="1200"/>
        </w:sectPr>
      </w:pPr>
    </w:p>
    <w:p>
      <w:pPr>
        <w:pStyle w:val="BodyText"/>
        <w:spacing w:line="273" w:lineRule="auto" w:before="23"/>
        <w:ind w:right="112"/>
        <w:jc w:val="both"/>
      </w:pPr>
      <w:r>
        <w:rPr/>
        <w:t>一、因履行本附加合同发生的争议，由当事人协商解决，协商不成的，提交</w:t>
      </w:r>
      <w:r>
        <w:rPr>
          <w:spacing w:val="50"/>
          <w:u w:val="single"/>
        </w:rPr>
        <w:t>  </w:t>
      </w:r>
      <w:r>
        <w:rPr/>
        <w:t>仲裁委员会仲裁； 二、因履行本附加合同发生的争议，由当事人协商解决，协商不成的，依法向有管辖权的人民法院提起诉讼。</w:t>
      </w:r>
    </w:p>
    <w:p>
      <w:pPr>
        <w:pStyle w:val="BodyText"/>
        <w:spacing w:before="5"/>
        <w:ind w:left="0"/>
        <w:rPr>
          <w:sz w:val="24"/>
        </w:rPr>
      </w:pPr>
    </w:p>
    <w:p>
      <w:pPr>
        <w:pStyle w:val="Heading1"/>
        <w:tabs>
          <w:tab w:pos="1593" w:val="left" w:leader="none"/>
        </w:tabs>
      </w:pPr>
      <w:r>
        <w:rPr/>
        <w:t>第二十三条</w:t>
        <w:tab/>
      </w:r>
      <w:r>
        <w:rPr>
          <w:w w:val="95"/>
        </w:rPr>
        <w:t>重大疾病定义</w:t>
      </w:r>
    </w:p>
    <w:p>
      <w:pPr>
        <w:pStyle w:val="BodyText"/>
        <w:spacing w:line="273" w:lineRule="auto" w:before="37"/>
        <w:ind w:right="45"/>
      </w:pPr>
      <w:r>
        <w:rPr/>
        <w:t>一、 癌症（恶性肿瘤）基于病理检验结果确诊的恶性肿瘤，其特征为恶性细胞不受控制的生长和扩散并且浸润和破坏正常组织，必须采取重大介入性治疗或手术治疗。但下列肿瘤除外：</w:t>
      </w:r>
    </w:p>
    <w:p>
      <w:pPr>
        <w:pStyle w:val="ListParagraph"/>
        <w:numPr>
          <w:ilvl w:val="1"/>
          <w:numId w:val="2"/>
        </w:numPr>
        <w:tabs>
          <w:tab w:pos="958" w:val="left" w:leader="none"/>
          <w:tab w:pos="959" w:val="left" w:leader="none"/>
        </w:tabs>
        <w:spacing w:line="273" w:lineRule="auto" w:before="8" w:after="0"/>
        <w:ind w:left="538" w:right="207" w:firstLine="0"/>
        <w:jc w:val="left"/>
        <w:rPr>
          <w:sz w:val="21"/>
        </w:rPr>
      </w:pPr>
      <w:r>
        <w:rPr>
          <w:sz w:val="21"/>
        </w:rPr>
        <w:t>原位癌（</w:t>
      </w:r>
      <w:r>
        <w:rPr>
          <w:spacing w:val="-4"/>
          <w:sz w:val="21"/>
        </w:rPr>
        <w:t>包括：子宫颈上皮非典型增生 </w:t>
      </w:r>
      <w:r>
        <w:rPr>
          <w:sz w:val="21"/>
        </w:rPr>
        <w:t>CIN-1</w:t>
      </w:r>
      <w:r>
        <w:rPr>
          <w:spacing w:val="-2"/>
          <w:sz w:val="21"/>
        </w:rPr>
        <w:t>、</w:t>
      </w:r>
      <w:r>
        <w:rPr>
          <w:sz w:val="21"/>
        </w:rPr>
        <w:t>CIN-2</w:t>
      </w:r>
      <w:r>
        <w:rPr>
          <w:spacing w:val="-1"/>
          <w:sz w:val="21"/>
        </w:rPr>
        <w:t> 和</w:t>
      </w:r>
      <w:r>
        <w:rPr>
          <w:sz w:val="21"/>
        </w:rPr>
        <w:t>CIN-3</w:t>
      </w:r>
      <w:r>
        <w:rPr>
          <w:spacing w:val="-105"/>
          <w:sz w:val="21"/>
        </w:rPr>
        <w:t>，</w:t>
      </w:r>
      <w:r>
        <w:rPr>
          <w:sz w:val="21"/>
        </w:rPr>
        <w:t>）</w:t>
      </w:r>
      <w:r>
        <w:rPr>
          <w:spacing w:val="-1"/>
          <w:sz w:val="21"/>
        </w:rPr>
        <w:t>或病理学描述为癌前病变的肿瘤；</w:t>
      </w:r>
    </w:p>
    <w:p>
      <w:pPr>
        <w:pStyle w:val="ListParagraph"/>
        <w:numPr>
          <w:ilvl w:val="1"/>
          <w:numId w:val="2"/>
        </w:numPr>
        <w:tabs>
          <w:tab w:pos="958" w:val="left" w:leader="none"/>
          <w:tab w:pos="959" w:val="left" w:leader="none"/>
        </w:tabs>
        <w:spacing w:line="273" w:lineRule="auto" w:before="8" w:after="0"/>
        <w:ind w:left="538" w:right="155" w:firstLine="0"/>
        <w:jc w:val="left"/>
        <w:rPr>
          <w:sz w:val="21"/>
        </w:rPr>
      </w:pPr>
      <w:r>
        <w:rPr>
          <w:spacing w:val="-2"/>
          <w:sz w:val="21"/>
        </w:rPr>
        <w:t>所有皮肤癌，包括表皮角化症、基底细胞癌、鳞状细胞癌和用 </w:t>
      </w:r>
      <w:r>
        <w:rPr>
          <w:sz w:val="21"/>
        </w:rPr>
        <w:t>Breslow</w:t>
      </w:r>
      <w:r>
        <w:rPr>
          <w:spacing w:val="-8"/>
          <w:sz w:val="21"/>
        </w:rPr>
        <w:t> 组织学法检查证实</w:t>
      </w:r>
      <w:r>
        <w:rPr>
          <w:spacing w:val="-16"/>
          <w:sz w:val="21"/>
        </w:rPr>
        <w:t>的厚度小于 </w:t>
      </w:r>
      <w:r>
        <w:rPr>
          <w:sz w:val="21"/>
        </w:rPr>
        <w:t>1.5mm</w:t>
      </w:r>
      <w:r>
        <w:rPr>
          <w:spacing w:val="-8"/>
          <w:sz w:val="21"/>
        </w:rPr>
        <w:t> 的黑色素细胞瘤(已发生转移的黑色素细胞瘤除外)；</w:t>
      </w:r>
    </w:p>
    <w:p>
      <w:pPr>
        <w:pStyle w:val="ListParagraph"/>
        <w:numPr>
          <w:ilvl w:val="1"/>
          <w:numId w:val="2"/>
        </w:numPr>
        <w:tabs>
          <w:tab w:pos="958" w:val="left" w:leader="none"/>
          <w:tab w:pos="959" w:val="left" w:leader="none"/>
        </w:tabs>
        <w:spacing w:line="273" w:lineRule="auto" w:before="8" w:after="0"/>
        <w:ind w:left="538" w:right="113" w:firstLine="0"/>
        <w:jc w:val="left"/>
        <w:rPr>
          <w:sz w:val="21"/>
        </w:rPr>
      </w:pPr>
      <w:r>
        <w:rPr>
          <w:sz w:val="21"/>
        </w:rPr>
        <w:t>TNM</w:t>
      </w:r>
      <w:r>
        <w:rPr>
          <w:spacing w:val="-1"/>
          <w:sz w:val="21"/>
        </w:rPr>
        <w:t> 分级为</w:t>
      </w:r>
      <w:r>
        <w:rPr>
          <w:sz w:val="21"/>
        </w:rPr>
        <w:t>T1(a)</w:t>
      </w:r>
      <w:r>
        <w:rPr>
          <w:spacing w:val="50"/>
          <w:sz w:val="21"/>
        </w:rPr>
        <w:t>或</w:t>
      </w:r>
      <w:r>
        <w:rPr>
          <w:sz w:val="21"/>
        </w:rPr>
        <w:t>T1(b)</w:t>
      </w:r>
      <w:r>
        <w:rPr>
          <w:spacing w:val="-1"/>
          <w:sz w:val="21"/>
        </w:rPr>
        <w:t>的前列腺癌或其它相同或更轻分级的前列腺癌、甲状腺或膀胱的乳头状微癌，RAI3</w:t>
      </w:r>
      <w:r>
        <w:rPr>
          <w:spacing w:val="-8"/>
          <w:sz w:val="21"/>
        </w:rPr>
        <w:t> 期以下的慢性淋巴细胞性白血病；</w:t>
      </w:r>
    </w:p>
    <w:p>
      <w:pPr>
        <w:pStyle w:val="ListParagraph"/>
        <w:numPr>
          <w:ilvl w:val="1"/>
          <w:numId w:val="2"/>
        </w:numPr>
        <w:tabs>
          <w:tab w:pos="958" w:val="left" w:leader="none"/>
          <w:tab w:pos="959" w:val="left" w:leader="none"/>
        </w:tabs>
        <w:spacing w:line="262" w:lineRule="exact" w:before="0" w:after="0"/>
        <w:ind w:left="538" w:right="0" w:firstLine="0"/>
        <w:jc w:val="left"/>
        <w:rPr>
          <w:sz w:val="21"/>
        </w:rPr>
      </w:pPr>
      <w:r>
        <w:rPr>
          <w:sz w:val="21"/>
        </w:rPr>
        <w:t>第一期何杰金氏（HODGKIN）病。</w:t>
      </w:r>
    </w:p>
    <w:p>
      <w:pPr>
        <w:pStyle w:val="BodyText"/>
        <w:spacing w:before="1"/>
        <w:ind w:left="0"/>
        <w:rPr>
          <w:sz w:val="24"/>
        </w:rPr>
      </w:pPr>
    </w:p>
    <w:p>
      <w:pPr>
        <w:pStyle w:val="BodyText"/>
        <w:spacing w:line="278" w:lineRule="auto"/>
        <w:ind w:right="114"/>
      </w:pPr>
      <w:r>
        <w:rPr>
          <w:spacing w:val="-8"/>
        </w:rPr>
        <w:t>二、 急性心肌梗死: 由于相应区域冠状动脉供血不足造成的部分心肌坏死。诊断应同时具备下列三项条件：</w:t>
      </w:r>
    </w:p>
    <w:p>
      <w:pPr>
        <w:pStyle w:val="ListParagraph"/>
        <w:numPr>
          <w:ilvl w:val="0"/>
          <w:numId w:val="3"/>
        </w:numPr>
        <w:tabs>
          <w:tab w:pos="958" w:val="left" w:leader="none"/>
          <w:tab w:pos="959" w:val="left" w:leader="none"/>
        </w:tabs>
        <w:spacing w:line="240" w:lineRule="auto" w:before="11" w:after="0"/>
        <w:ind w:left="538" w:right="0" w:firstLine="0"/>
        <w:jc w:val="left"/>
        <w:rPr>
          <w:sz w:val="21"/>
        </w:rPr>
      </w:pPr>
      <w:r>
        <w:rPr>
          <w:sz w:val="21"/>
        </w:rPr>
        <w:t>典型的临床表现；</w:t>
      </w:r>
    </w:p>
    <w:p>
      <w:pPr>
        <w:pStyle w:val="ListParagraph"/>
        <w:numPr>
          <w:ilvl w:val="0"/>
          <w:numId w:val="3"/>
        </w:numPr>
        <w:tabs>
          <w:tab w:pos="958" w:val="left" w:leader="none"/>
          <w:tab w:pos="959" w:val="left" w:leader="none"/>
        </w:tabs>
        <w:spacing w:line="240" w:lineRule="auto" w:before="45" w:after="0"/>
        <w:ind w:left="538" w:right="0" w:firstLine="0"/>
        <w:jc w:val="left"/>
        <w:rPr>
          <w:sz w:val="21"/>
        </w:rPr>
      </w:pPr>
      <w:r>
        <w:rPr>
          <w:sz w:val="21"/>
        </w:rPr>
        <w:t>最新心电图变化显示有心肌坏死；</w:t>
      </w:r>
    </w:p>
    <w:p>
      <w:pPr>
        <w:pStyle w:val="ListParagraph"/>
        <w:numPr>
          <w:ilvl w:val="0"/>
          <w:numId w:val="3"/>
        </w:numPr>
        <w:tabs>
          <w:tab w:pos="958" w:val="left" w:leader="none"/>
          <w:tab w:pos="959" w:val="left" w:leader="none"/>
        </w:tabs>
        <w:spacing w:line="280" w:lineRule="auto" w:before="44" w:after="0"/>
        <w:ind w:left="538" w:right="155" w:firstLine="0"/>
        <w:jc w:val="left"/>
        <w:rPr>
          <w:sz w:val="21"/>
        </w:rPr>
      </w:pPr>
      <w:r>
        <w:rPr>
          <w:spacing w:val="-6"/>
          <w:sz w:val="21"/>
        </w:rPr>
        <w:t>有诊断意义的心肌酶 </w:t>
      </w:r>
      <w:r>
        <w:rPr>
          <w:sz w:val="21"/>
        </w:rPr>
        <w:t>CK-MB</w:t>
      </w:r>
      <w:r>
        <w:rPr>
          <w:spacing w:val="-12"/>
          <w:sz w:val="21"/>
        </w:rPr>
        <w:t> 升高或肌钙蛋白升高和发病 </w:t>
      </w:r>
      <w:r>
        <w:rPr>
          <w:sz w:val="21"/>
        </w:rPr>
        <w:t>3</w:t>
      </w:r>
      <w:r>
        <w:rPr>
          <w:spacing w:val="-8"/>
          <w:sz w:val="21"/>
        </w:rPr>
        <w:t> 个月以后左室射血分数仍然小于</w:t>
      </w:r>
      <w:r>
        <w:rPr>
          <w:spacing w:val="-1"/>
          <w:sz w:val="21"/>
        </w:rPr>
        <w:t>50%。</w:t>
      </w:r>
    </w:p>
    <w:p>
      <w:pPr>
        <w:pStyle w:val="BodyText"/>
        <w:spacing w:before="8"/>
        <w:ind w:left="0"/>
      </w:pPr>
    </w:p>
    <w:p>
      <w:pPr>
        <w:pStyle w:val="BodyText"/>
      </w:pPr>
      <w:r>
        <w:rPr/>
        <w:t>本疾病应由心脏专科主任级医师确诊。</w:t>
      </w:r>
    </w:p>
    <w:p>
      <w:pPr>
        <w:pStyle w:val="BodyText"/>
        <w:spacing w:before="2"/>
        <w:ind w:left="0"/>
        <w:rPr>
          <w:sz w:val="22"/>
        </w:rPr>
      </w:pPr>
    </w:p>
    <w:p>
      <w:pPr>
        <w:pStyle w:val="BodyText"/>
        <w:spacing w:line="256" w:lineRule="auto"/>
        <w:ind w:right="140"/>
      </w:pPr>
      <w:r>
        <w:rPr/>
        <w:t>三、 中风</w:t>
      </w:r>
      <w:r>
        <w:rPr>
          <w:rFonts w:ascii="Times New Roman" w:eastAsia="Times New Roman"/>
        </w:rPr>
        <w:t>: </w:t>
      </w:r>
      <w:r>
        <w:rPr/>
        <w:t>由于脑血管突发病变（包括脑梗塞、脑出血和源于颅外因素的脑栓塞）引起的下列一项或一项以上永久神经系统功能障碍：</w:t>
      </w:r>
    </w:p>
    <w:p>
      <w:pPr>
        <w:pStyle w:val="ListParagraph"/>
        <w:numPr>
          <w:ilvl w:val="0"/>
          <w:numId w:val="4"/>
        </w:numPr>
        <w:tabs>
          <w:tab w:pos="854" w:val="left" w:leader="none"/>
        </w:tabs>
        <w:spacing w:line="240" w:lineRule="auto" w:before="22" w:after="0"/>
        <w:ind w:left="537" w:right="0" w:firstLine="1"/>
        <w:jc w:val="left"/>
        <w:rPr>
          <w:sz w:val="21"/>
        </w:rPr>
      </w:pPr>
      <w:r>
        <w:rPr>
          <w:spacing w:val="-1"/>
          <w:sz w:val="21"/>
        </w:rPr>
        <w:t>一肢以上完全及永久瘫痪；</w:t>
      </w:r>
    </w:p>
    <w:p>
      <w:pPr>
        <w:pStyle w:val="ListParagraph"/>
        <w:numPr>
          <w:ilvl w:val="0"/>
          <w:numId w:val="4"/>
        </w:numPr>
        <w:tabs>
          <w:tab w:pos="854" w:val="left" w:leader="none"/>
        </w:tabs>
        <w:spacing w:line="240" w:lineRule="auto" w:before="37" w:after="0"/>
        <w:ind w:left="537" w:right="0" w:firstLine="1"/>
        <w:jc w:val="left"/>
        <w:rPr>
          <w:sz w:val="21"/>
        </w:rPr>
      </w:pPr>
      <w:r>
        <w:rPr>
          <w:spacing w:val="-1"/>
          <w:sz w:val="21"/>
        </w:rPr>
        <w:t>完全及永久丧失语言能力；</w:t>
      </w:r>
    </w:p>
    <w:p>
      <w:pPr>
        <w:pStyle w:val="ListParagraph"/>
        <w:numPr>
          <w:ilvl w:val="0"/>
          <w:numId w:val="4"/>
        </w:numPr>
        <w:tabs>
          <w:tab w:pos="854" w:val="left" w:leader="none"/>
        </w:tabs>
        <w:spacing w:line="240" w:lineRule="auto" w:before="37" w:after="0"/>
        <w:ind w:left="853" w:right="0" w:hanging="315"/>
        <w:jc w:val="left"/>
        <w:rPr>
          <w:sz w:val="21"/>
        </w:rPr>
      </w:pPr>
      <w:r>
        <w:rPr>
          <w:spacing w:val="-1"/>
          <w:sz w:val="21"/>
        </w:rPr>
        <w:t>完全及永久丧失吞咽能力(吞咽困难)，必须永久使用喂饲管；</w:t>
      </w:r>
    </w:p>
    <w:p>
      <w:pPr>
        <w:pStyle w:val="ListParagraph"/>
        <w:numPr>
          <w:ilvl w:val="0"/>
          <w:numId w:val="4"/>
        </w:numPr>
        <w:tabs>
          <w:tab w:pos="853" w:val="left" w:leader="none"/>
        </w:tabs>
        <w:spacing w:line="273" w:lineRule="auto" w:before="37" w:after="0"/>
        <w:ind w:left="537" w:right="115" w:firstLine="0"/>
        <w:jc w:val="left"/>
        <w:rPr>
          <w:sz w:val="21"/>
        </w:rPr>
      </w:pPr>
      <w:r>
        <w:rPr>
          <w:spacing w:val="-4"/>
          <w:sz w:val="21"/>
        </w:rPr>
        <w:t>严重中枢神经系统或胸、腹部器官的功能障碍，导致永久完全性功能丧失，无能力独立完成</w:t>
      </w:r>
      <w:r>
        <w:rPr>
          <w:spacing w:val="-1"/>
          <w:sz w:val="21"/>
        </w:rPr>
        <w:t>日常生活活动[注]中的三项或三项以上。</w:t>
      </w:r>
    </w:p>
    <w:p>
      <w:pPr>
        <w:pStyle w:val="BodyText"/>
        <w:spacing w:before="5"/>
        <w:ind w:left="0"/>
        <w:rPr>
          <w:sz w:val="24"/>
        </w:rPr>
      </w:pPr>
    </w:p>
    <w:p>
      <w:pPr>
        <w:pStyle w:val="BodyText"/>
        <w:spacing w:line="273" w:lineRule="auto"/>
        <w:ind w:right="112"/>
      </w:pPr>
      <w:r>
        <w:rPr/>
        <w:t>所有神经系统功能障碍应在发病九十天后由神经内科主任级医师鉴定后方可申请理赔。理赔时应有影像学检查证据，如：脑计算机断层扫描（CT）或核磁共振扫描（MRI）检查结果。</w:t>
      </w:r>
    </w:p>
    <w:p>
      <w:pPr>
        <w:pStyle w:val="BodyText"/>
        <w:spacing w:before="4"/>
        <w:ind w:left="0"/>
        <w:rPr>
          <w:sz w:val="24"/>
        </w:rPr>
      </w:pPr>
    </w:p>
    <w:p>
      <w:pPr>
        <w:pStyle w:val="BodyText"/>
        <w:spacing w:before="1"/>
      </w:pPr>
      <w:r>
        <w:rPr/>
        <w:t>下列情形不在理赔范围内：</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短暂性脑缺血发作</w:t>
      </w:r>
      <w:r>
        <w:rPr>
          <w:sz w:val="21"/>
        </w:rPr>
        <w:t>（TIA</w:t>
      </w:r>
      <w:r>
        <w:rPr>
          <w:spacing w:val="-105"/>
          <w:sz w:val="21"/>
        </w:rPr>
        <w:t>）</w:t>
      </w:r>
      <w:r>
        <w:rPr>
          <w:sz w:val="21"/>
        </w:rPr>
        <w:t>；</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仅造成记忆力或人格改变的病症；</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偏头痛所致的脑症状；</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由于外伤或缺氧所致的脑损伤；</w:t>
      </w:r>
    </w:p>
    <w:p>
      <w:pPr>
        <w:pStyle w:val="ListParagraph"/>
        <w:numPr>
          <w:ilvl w:val="0"/>
          <w:numId w:val="5"/>
        </w:numPr>
        <w:tabs>
          <w:tab w:pos="854" w:val="left" w:leader="none"/>
        </w:tabs>
        <w:spacing w:line="240" w:lineRule="auto" w:before="37" w:after="0"/>
        <w:ind w:left="853" w:right="0" w:hanging="315"/>
        <w:jc w:val="left"/>
        <w:rPr>
          <w:sz w:val="21"/>
        </w:rPr>
      </w:pPr>
      <w:r>
        <w:rPr>
          <w:spacing w:val="-1"/>
          <w:sz w:val="21"/>
        </w:rPr>
        <w:t>仅影响视力、视神经或前庭系统的缺血性病变。</w:t>
      </w:r>
    </w:p>
    <w:p>
      <w:pPr>
        <w:pStyle w:val="BodyText"/>
        <w:spacing w:before="4"/>
        <w:ind w:left="0"/>
        <w:rPr>
          <w:sz w:val="25"/>
        </w:rPr>
      </w:pPr>
    </w:p>
    <w:p>
      <w:pPr>
        <w:pStyle w:val="BodyText"/>
        <w:spacing w:line="237" w:lineRule="auto"/>
        <w:ind w:right="112"/>
      </w:pPr>
      <w:r>
        <w:rPr>
          <w:spacing w:val="-7"/>
        </w:rPr>
        <w:t>四、 重大器官移植手术: 在医学上确定必须进行的人与人之间的自捐献者到被保险人的一个或多个器官的移植。包括且限于：肾脏、肝脏、心脏、肺、胰脏、小肠或骨髓移植。任何其它器官、组织或细胞移植不在本附加保险合同保障范围内。</w:t>
      </w:r>
    </w:p>
    <w:p>
      <w:pPr>
        <w:spacing w:after="0" w:line="237" w:lineRule="auto"/>
        <w:sectPr>
          <w:pgSz w:w="11910" w:h="16840"/>
          <w:pgMar w:header="0" w:footer="857" w:top="1380" w:bottom="1040" w:left="1300" w:right="1300"/>
        </w:sectPr>
      </w:pPr>
    </w:p>
    <w:p>
      <w:pPr>
        <w:pStyle w:val="BodyText"/>
        <w:spacing w:line="237" w:lineRule="auto" w:before="58"/>
        <w:ind w:right="144"/>
      </w:pPr>
      <w:r>
        <w:rPr/>
        <w:t>五、 慢性肾衰竭（尿毒症）: 双侧肾脏功能呈现慢性、不可逆性的末期衰竭，必须接受长期的定期肾脏透析治疗或肾脏移植。</w:t>
      </w:r>
    </w:p>
    <w:p>
      <w:pPr>
        <w:pStyle w:val="BodyText"/>
        <w:spacing w:before="6"/>
        <w:ind w:left="0"/>
        <w:rPr>
          <w:sz w:val="20"/>
        </w:rPr>
      </w:pPr>
    </w:p>
    <w:p>
      <w:pPr>
        <w:pStyle w:val="BodyText"/>
        <w:spacing w:before="1"/>
      </w:pPr>
      <w:r>
        <w:rPr/>
        <w:t>六、 慢性肝脏衰竭: 终末期肝脏衰竭，并且具备所有下列临床特征：</w:t>
      </w:r>
    </w:p>
    <w:p>
      <w:pPr>
        <w:pStyle w:val="ListParagraph"/>
        <w:numPr>
          <w:ilvl w:val="0"/>
          <w:numId w:val="6"/>
        </w:numPr>
        <w:tabs>
          <w:tab w:pos="958" w:val="left" w:leader="none"/>
          <w:tab w:pos="959" w:val="left" w:leader="none"/>
        </w:tabs>
        <w:spacing w:line="240" w:lineRule="auto" w:before="43" w:after="0"/>
        <w:ind w:left="958" w:right="0" w:hanging="420"/>
        <w:jc w:val="left"/>
        <w:rPr>
          <w:sz w:val="21"/>
        </w:rPr>
      </w:pPr>
      <w:r>
        <w:rPr>
          <w:sz w:val="21"/>
        </w:rPr>
        <w:t>持久性黄疸；</w:t>
      </w:r>
    </w:p>
    <w:p>
      <w:pPr>
        <w:pStyle w:val="ListParagraph"/>
        <w:numPr>
          <w:ilvl w:val="0"/>
          <w:numId w:val="6"/>
        </w:numPr>
        <w:tabs>
          <w:tab w:pos="958" w:val="left" w:leader="none"/>
          <w:tab w:pos="959" w:val="left" w:leader="none"/>
        </w:tabs>
        <w:spacing w:line="240" w:lineRule="auto" w:before="45" w:after="0"/>
        <w:ind w:left="958" w:right="0" w:hanging="420"/>
        <w:jc w:val="left"/>
        <w:rPr>
          <w:sz w:val="21"/>
        </w:rPr>
      </w:pPr>
      <w:r>
        <w:rPr>
          <w:sz w:val="21"/>
        </w:rPr>
        <w:t>腹水；</w:t>
      </w:r>
    </w:p>
    <w:p>
      <w:pPr>
        <w:pStyle w:val="ListParagraph"/>
        <w:numPr>
          <w:ilvl w:val="0"/>
          <w:numId w:val="6"/>
        </w:numPr>
        <w:tabs>
          <w:tab w:pos="958" w:val="left" w:leader="none"/>
          <w:tab w:pos="959" w:val="left" w:leader="none"/>
        </w:tabs>
        <w:spacing w:line="240" w:lineRule="auto" w:before="45" w:after="0"/>
        <w:ind w:left="958" w:right="0" w:hanging="420"/>
        <w:jc w:val="left"/>
        <w:rPr>
          <w:sz w:val="21"/>
        </w:rPr>
      </w:pPr>
      <w:r>
        <w:rPr>
          <w:sz w:val="21"/>
        </w:rPr>
        <w:t>肝性脑病。</w:t>
      </w:r>
    </w:p>
    <w:p>
      <w:pPr>
        <w:pStyle w:val="BodyText"/>
        <w:spacing w:before="4"/>
        <w:ind w:left="0"/>
        <w:rPr>
          <w:sz w:val="24"/>
        </w:rPr>
      </w:pPr>
    </w:p>
    <w:p>
      <w:pPr>
        <w:pStyle w:val="BodyText"/>
      </w:pPr>
      <w:r>
        <w:rPr/>
        <w:t>因酒精过量或滥用、误用药物所致的继发性肝病不在本保障范围内。</w:t>
      </w:r>
    </w:p>
    <w:p>
      <w:pPr>
        <w:pStyle w:val="BodyText"/>
        <w:spacing w:before="10"/>
        <w:ind w:left="0"/>
        <w:rPr>
          <w:sz w:val="20"/>
        </w:rPr>
      </w:pPr>
    </w:p>
    <w:p>
      <w:pPr>
        <w:pStyle w:val="BodyText"/>
        <w:spacing w:line="237" w:lineRule="auto"/>
        <w:ind w:right="128"/>
      </w:pPr>
      <w:r>
        <w:rPr/>
        <w:t>七、 帕金森氏病: 由于脑神经元（黑质）色素脱失导致的缓慢进行性的中枢神经系统变性性疾病。本疾病应由神经内科主任级医师确诊，并且应符合下列所有条件：</w:t>
      </w:r>
    </w:p>
    <w:p>
      <w:pPr>
        <w:pStyle w:val="ListParagraph"/>
        <w:numPr>
          <w:ilvl w:val="0"/>
          <w:numId w:val="7"/>
        </w:numPr>
        <w:tabs>
          <w:tab w:pos="958" w:val="left" w:leader="none"/>
          <w:tab w:pos="959" w:val="left" w:leader="none"/>
        </w:tabs>
        <w:spacing w:line="240" w:lineRule="auto" w:before="43" w:after="0"/>
        <w:ind w:left="958" w:right="0" w:hanging="420"/>
        <w:jc w:val="left"/>
        <w:rPr>
          <w:sz w:val="21"/>
        </w:rPr>
      </w:pPr>
      <w:r>
        <w:rPr>
          <w:sz w:val="21"/>
        </w:rPr>
        <w:t>药物治疗无法控制病情；</w:t>
      </w:r>
    </w:p>
    <w:p>
      <w:pPr>
        <w:pStyle w:val="ListParagraph"/>
        <w:numPr>
          <w:ilvl w:val="0"/>
          <w:numId w:val="7"/>
        </w:numPr>
        <w:tabs>
          <w:tab w:pos="958" w:val="left" w:leader="none"/>
          <w:tab w:pos="959" w:val="left" w:leader="none"/>
        </w:tabs>
        <w:spacing w:line="274" w:lineRule="exact" w:before="45" w:after="0"/>
        <w:ind w:left="958" w:right="0" w:hanging="420"/>
        <w:jc w:val="left"/>
        <w:rPr>
          <w:sz w:val="21"/>
        </w:rPr>
      </w:pPr>
      <w:r>
        <w:rPr>
          <w:sz w:val="21"/>
        </w:rPr>
        <w:t>有进行性功能障碍的临床表现；</w:t>
      </w:r>
    </w:p>
    <w:p>
      <w:pPr>
        <w:pStyle w:val="ListParagraph"/>
        <w:numPr>
          <w:ilvl w:val="0"/>
          <w:numId w:val="7"/>
        </w:numPr>
        <w:tabs>
          <w:tab w:pos="958" w:val="left" w:leader="none"/>
          <w:tab w:pos="959" w:val="left" w:leader="none"/>
        </w:tabs>
        <w:spacing w:line="274" w:lineRule="exact" w:before="0" w:after="0"/>
        <w:ind w:left="958" w:right="0" w:hanging="420"/>
        <w:jc w:val="left"/>
        <w:rPr>
          <w:sz w:val="21"/>
        </w:rPr>
      </w:pPr>
      <w:r>
        <w:rPr>
          <w:spacing w:val="-1"/>
          <w:sz w:val="21"/>
        </w:rPr>
        <w:t>无能力独立完成日常生活活动[注]中的三项或三项以上.</w:t>
      </w:r>
    </w:p>
    <w:p>
      <w:pPr>
        <w:pStyle w:val="BodyText"/>
        <w:spacing w:before="11"/>
        <w:ind w:left="0"/>
        <w:rPr>
          <w:sz w:val="20"/>
        </w:rPr>
      </w:pPr>
    </w:p>
    <w:p>
      <w:pPr>
        <w:pStyle w:val="BodyText"/>
        <w:spacing w:line="237" w:lineRule="auto"/>
        <w:ind w:right="212"/>
      </w:pPr>
      <w:r>
        <w:rPr/>
        <w:t>本附加保险合同的保障范围限于原发性帕金森氏病，不包括因药物或中毒所引起的继发性帕金森氏病。</w:t>
      </w:r>
    </w:p>
    <w:p>
      <w:pPr>
        <w:pStyle w:val="BodyText"/>
        <w:spacing w:before="10"/>
        <w:ind w:left="0"/>
        <w:rPr>
          <w:sz w:val="20"/>
        </w:rPr>
      </w:pPr>
    </w:p>
    <w:p>
      <w:pPr>
        <w:pStyle w:val="BodyText"/>
        <w:spacing w:line="237" w:lineRule="auto"/>
        <w:ind w:right="153"/>
      </w:pPr>
      <w:r>
        <w:rPr/>
        <w:t>八、 严重烧伤: 由于热、电或化学物质等引起的超过 20%体表面积的三度或全层皮肤烧伤。体表面积根据九分法计算。</w:t>
      </w:r>
    </w:p>
    <w:p>
      <w:pPr>
        <w:pStyle w:val="BodyText"/>
        <w:spacing w:before="10"/>
        <w:ind w:left="0"/>
        <w:rPr>
          <w:sz w:val="20"/>
        </w:rPr>
      </w:pPr>
    </w:p>
    <w:p>
      <w:pPr>
        <w:pStyle w:val="BodyText"/>
        <w:spacing w:line="237" w:lineRule="auto"/>
        <w:ind w:right="214" w:hanging="1"/>
      </w:pPr>
      <w:r>
        <w:rPr>
          <w:spacing w:val="-7"/>
        </w:rPr>
        <w:t>九、 瘫痪: 因外伤或脊髓疾病导致的两个或两个以上肢体功能的永久完全性丧失。肢体的定义为整个上肢或是整个下肢。</w:t>
      </w:r>
    </w:p>
    <w:p>
      <w:pPr>
        <w:pStyle w:val="BodyText"/>
        <w:spacing w:before="10"/>
        <w:ind w:left="0"/>
        <w:rPr>
          <w:sz w:val="20"/>
        </w:rPr>
      </w:pPr>
    </w:p>
    <w:p>
      <w:pPr>
        <w:pStyle w:val="BodyText"/>
        <w:spacing w:line="237" w:lineRule="auto"/>
        <w:ind w:right="213"/>
      </w:pPr>
      <w:r>
        <w:rPr>
          <w:spacing w:val="-9"/>
        </w:rPr>
        <w:t>十、 再生障碍性贫血: 因骨髓功能衰竭而导致的贫血、中性白细胞减少和血小板减少，由血液科主任级医师根据骨髓穿刺检查结果确认至少需要接受下列治疗中的一项：</w:t>
      </w:r>
    </w:p>
    <w:p>
      <w:pPr>
        <w:pStyle w:val="ListParagraph"/>
        <w:numPr>
          <w:ilvl w:val="0"/>
          <w:numId w:val="8"/>
        </w:numPr>
        <w:tabs>
          <w:tab w:pos="854" w:val="left" w:leader="none"/>
        </w:tabs>
        <w:spacing w:line="240" w:lineRule="auto" w:before="43" w:after="0"/>
        <w:ind w:left="853" w:right="0" w:hanging="315"/>
        <w:jc w:val="left"/>
        <w:rPr>
          <w:sz w:val="21"/>
        </w:rPr>
      </w:pPr>
      <w:r>
        <w:rPr>
          <w:spacing w:val="-1"/>
          <w:sz w:val="21"/>
        </w:rPr>
        <w:t>定期输血或输注血液制品</w:t>
      </w:r>
      <w:r>
        <w:rPr>
          <w:sz w:val="21"/>
        </w:rPr>
        <w:t>（治疗历时九十天以上</w:t>
      </w:r>
      <w:r>
        <w:rPr>
          <w:spacing w:val="-105"/>
          <w:sz w:val="21"/>
        </w:rPr>
        <w:t>）</w:t>
      </w:r>
      <w:r>
        <w:rPr>
          <w:sz w:val="21"/>
        </w:rPr>
        <w:t>；</w:t>
      </w:r>
    </w:p>
    <w:p>
      <w:pPr>
        <w:pStyle w:val="ListParagraph"/>
        <w:numPr>
          <w:ilvl w:val="0"/>
          <w:numId w:val="8"/>
        </w:numPr>
        <w:tabs>
          <w:tab w:pos="899" w:val="left" w:leader="none"/>
        </w:tabs>
        <w:spacing w:line="240" w:lineRule="auto" w:before="44" w:after="0"/>
        <w:ind w:left="898" w:right="0" w:hanging="360"/>
        <w:jc w:val="left"/>
        <w:rPr>
          <w:sz w:val="21"/>
        </w:rPr>
      </w:pPr>
      <w:r>
        <w:rPr>
          <w:sz w:val="21"/>
        </w:rPr>
        <w:t>骨髓刺激性药物（治疗历时九十天以上</w:t>
      </w:r>
      <w:r>
        <w:rPr>
          <w:spacing w:val="-105"/>
          <w:sz w:val="21"/>
        </w:rPr>
        <w:t>）</w:t>
      </w:r>
      <w:r>
        <w:rPr>
          <w:sz w:val="21"/>
        </w:rPr>
        <w:t>；</w:t>
      </w:r>
    </w:p>
    <w:p>
      <w:pPr>
        <w:pStyle w:val="ListParagraph"/>
        <w:numPr>
          <w:ilvl w:val="0"/>
          <w:numId w:val="8"/>
        </w:numPr>
        <w:tabs>
          <w:tab w:pos="899" w:val="left" w:leader="none"/>
        </w:tabs>
        <w:spacing w:line="240" w:lineRule="auto" w:before="45" w:after="0"/>
        <w:ind w:left="898" w:right="0" w:hanging="360"/>
        <w:jc w:val="left"/>
        <w:rPr>
          <w:sz w:val="21"/>
        </w:rPr>
      </w:pPr>
      <w:r>
        <w:rPr>
          <w:sz w:val="21"/>
        </w:rPr>
        <w:t>疫抑制剂（治疗历时九十天以上</w:t>
      </w:r>
      <w:r>
        <w:rPr>
          <w:spacing w:val="-105"/>
          <w:sz w:val="21"/>
        </w:rPr>
        <w:t>）</w:t>
      </w:r>
      <w:r>
        <w:rPr>
          <w:sz w:val="21"/>
        </w:rPr>
        <w:t>；</w:t>
      </w:r>
    </w:p>
    <w:p>
      <w:pPr>
        <w:pStyle w:val="ListParagraph"/>
        <w:numPr>
          <w:ilvl w:val="0"/>
          <w:numId w:val="8"/>
        </w:numPr>
        <w:tabs>
          <w:tab w:pos="899" w:val="left" w:leader="none"/>
        </w:tabs>
        <w:spacing w:line="240" w:lineRule="auto" w:before="45" w:after="0"/>
        <w:ind w:left="898" w:right="0" w:hanging="360"/>
        <w:jc w:val="left"/>
        <w:rPr>
          <w:sz w:val="21"/>
        </w:rPr>
      </w:pPr>
      <w:r>
        <w:rPr>
          <w:sz w:val="21"/>
        </w:rPr>
        <w:t>骨髓移植。</w:t>
      </w:r>
    </w:p>
    <w:p>
      <w:pPr>
        <w:pStyle w:val="BodyText"/>
        <w:spacing w:before="4"/>
        <w:ind w:left="0"/>
        <w:rPr>
          <w:sz w:val="24"/>
        </w:rPr>
      </w:pPr>
    </w:p>
    <w:p>
      <w:pPr>
        <w:pStyle w:val="BodyText"/>
      </w:pPr>
      <w:r>
        <w:rPr/>
        <w:t>因药物或放射线所导致的再生障不良贫血不在本附加保险合同保障范围内。</w:t>
      </w:r>
    </w:p>
    <w:p>
      <w:pPr>
        <w:pStyle w:val="BodyText"/>
        <w:spacing w:before="10"/>
        <w:ind w:left="0"/>
        <w:rPr>
          <w:sz w:val="20"/>
        </w:rPr>
      </w:pPr>
    </w:p>
    <w:p>
      <w:pPr>
        <w:pStyle w:val="BodyText"/>
        <w:tabs>
          <w:tab w:pos="958" w:val="left" w:leader="none"/>
        </w:tabs>
        <w:spacing w:line="237" w:lineRule="auto"/>
        <w:ind w:right="108"/>
      </w:pPr>
      <w:r>
        <w:rPr/>
        <w:t>十一、</w:t>
        <w:tab/>
        <w:t>深度昏迷:</w:t>
      </w:r>
      <w:r>
        <w:rPr>
          <w:spacing w:val="15"/>
        </w:rPr>
        <w:t> </w:t>
      </w:r>
      <w:r>
        <w:rPr/>
        <w:t>因脑部功能衰竭造成的完全意识丧失状态，对所有外界刺激均无反应，需要持续使用生命维持系统至少一百二十小时以上</w:t>
      </w:r>
      <w:r>
        <w:rPr>
          <w:spacing w:val="-33"/>
        </w:rPr>
        <w:t>，</w:t>
      </w:r>
      <w:r>
        <w:rPr/>
        <w:t>并导致严重中枢神经系统或胸</w:t>
      </w:r>
      <w:r>
        <w:rPr>
          <w:spacing w:val="-33"/>
        </w:rPr>
        <w:t>、</w:t>
      </w:r>
      <w:r>
        <w:rPr/>
        <w:t>腹部器官的功能障碍， </w:t>
      </w:r>
      <w:r>
        <w:rPr>
          <w:spacing w:val="-1"/>
        </w:rPr>
        <w:t>以致</w:t>
      </w:r>
      <w:r>
        <w:rPr/>
        <w:t>永久完全性功能丧失，无能力独立完成日常生活活动[注]中的三项或三项以上。</w:t>
      </w:r>
    </w:p>
    <w:p>
      <w:pPr>
        <w:pStyle w:val="BodyText"/>
        <w:spacing w:before="7"/>
        <w:ind w:left="0"/>
        <w:rPr>
          <w:sz w:val="20"/>
        </w:rPr>
      </w:pPr>
    </w:p>
    <w:p>
      <w:pPr>
        <w:pStyle w:val="BodyText"/>
        <w:spacing w:before="1"/>
      </w:pPr>
      <w:r>
        <w:rPr/>
        <w:t>直接因酒精或滥用药物所致的昏迷不在本附加保险合同保障范围之内。</w:t>
      </w:r>
    </w:p>
    <w:p>
      <w:pPr>
        <w:pStyle w:val="BodyText"/>
        <w:spacing w:before="11"/>
        <w:ind w:left="0"/>
        <w:rPr>
          <w:sz w:val="20"/>
        </w:rPr>
      </w:pPr>
    </w:p>
    <w:p>
      <w:pPr>
        <w:pStyle w:val="BodyText"/>
        <w:spacing w:line="237" w:lineRule="auto"/>
        <w:ind w:right="201"/>
        <w:jc w:val="both"/>
      </w:pPr>
      <w:r>
        <w:rPr/>
        <w:t>十二、 良性脑肿瘤: 由神经科主任级医师确诊的非恶性脑肿瘤，伴有颅内压增高的表现，如：视神经乳头水肿、意识障碍、癫痫及感觉障碍等。颅内肿瘤的存在应由影像学（</w:t>
      </w:r>
      <w:r>
        <w:rPr>
          <w:spacing w:val="-14"/>
        </w:rPr>
        <w:t>如：头颅 </w:t>
      </w:r>
      <w:r>
        <w:rPr/>
        <w:t>CT</w:t>
      </w:r>
      <w:r>
        <w:rPr>
          <w:spacing w:val="-8"/>
        </w:rPr>
        <w:t> 或</w:t>
      </w:r>
      <w:r>
        <w:rPr/>
        <w:t>MRI） </w:t>
      </w:r>
      <w:r>
        <w:rPr>
          <w:spacing w:val="-8"/>
        </w:rPr>
        <w:t>检查证实。脑的囊肿、钙化、肉芽肿、脑动静脉畸形、血肿、听神经肿瘤,垂体肿瘤和脊髓肿瘤等不在本附加保险合同保障范围内。</w:t>
      </w:r>
    </w:p>
    <w:p>
      <w:pPr>
        <w:pStyle w:val="BodyText"/>
        <w:spacing w:before="1"/>
        <w:ind w:left="0"/>
        <w:rPr>
          <w:sz w:val="24"/>
        </w:rPr>
      </w:pPr>
    </w:p>
    <w:p>
      <w:pPr>
        <w:pStyle w:val="BodyText"/>
        <w:tabs>
          <w:tab w:pos="958" w:val="left" w:leader="none"/>
        </w:tabs>
        <w:spacing w:line="280" w:lineRule="auto"/>
        <w:ind w:right="255"/>
      </w:pPr>
      <w:r>
        <w:rPr/>
        <w:t>十三、</w:t>
        <w:tab/>
        <w:t>暴发性肝炎:</w:t>
      </w:r>
      <w:r>
        <w:rPr>
          <w:spacing w:val="-2"/>
        </w:rPr>
        <w:t> </w:t>
      </w:r>
      <w:r>
        <w:rPr/>
        <w:t>因肝炎病毒感染造成部份或大部份的肝坏死并导致急骤性肝脏功能衰竭，诊断应符合所有下列条件：</w:t>
      </w:r>
    </w:p>
    <w:p>
      <w:pPr>
        <w:spacing w:after="0" w:line="280" w:lineRule="auto"/>
        <w:sectPr>
          <w:pgSz w:w="11910" w:h="16840"/>
          <w:pgMar w:header="0" w:footer="857" w:top="1600" w:bottom="1040" w:left="1300" w:right="1200"/>
        </w:sectPr>
      </w:pPr>
    </w:p>
    <w:p>
      <w:pPr>
        <w:pStyle w:val="ListParagraph"/>
        <w:numPr>
          <w:ilvl w:val="0"/>
          <w:numId w:val="9"/>
        </w:numPr>
        <w:tabs>
          <w:tab w:pos="853" w:val="left" w:leader="none"/>
        </w:tabs>
        <w:spacing w:line="240" w:lineRule="auto" w:before="8" w:after="0"/>
        <w:ind w:left="852" w:right="0" w:hanging="315"/>
        <w:jc w:val="left"/>
        <w:rPr>
          <w:sz w:val="21"/>
        </w:rPr>
      </w:pPr>
      <w:r>
        <w:rPr>
          <w:spacing w:val="-1"/>
          <w:sz w:val="21"/>
        </w:rPr>
        <w:t>急速肝脏萎缩；</w:t>
      </w:r>
    </w:p>
    <w:p>
      <w:pPr>
        <w:pStyle w:val="ListParagraph"/>
        <w:numPr>
          <w:ilvl w:val="0"/>
          <w:numId w:val="9"/>
        </w:numPr>
        <w:tabs>
          <w:tab w:pos="853" w:val="left" w:leader="none"/>
        </w:tabs>
        <w:spacing w:line="240" w:lineRule="auto" w:before="43" w:after="0"/>
        <w:ind w:left="852" w:right="0" w:hanging="315"/>
        <w:jc w:val="left"/>
        <w:rPr>
          <w:sz w:val="21"/>
        </w:rPr>
      </w:pPr>
      <w:r>
        <w:rPr>
          <w:spacing w:val="-1"/>
          <w:sz w:val="21"/>
        </w:rPr>
        <w:t>肝叶坏死，只存留萎陷的肝脏网状支架；</w:t>
      </w:r>
    </w:p>
    <w:p>
      <w:pPr>
        <w:pStyle w:val="ListParagraph"/>
        <w:numPr>
          <w:ilvl w:val="0"/>
          <w:numId w:val="9"/>
        </w:numPr>
        <w:tabs>
          <w:tab w:pos="853" w:val="left" w:leader="none"/>
        </w:tabs>
        <w:spacing w:line="240" w:lineRule="auto" w:before="45" w:after="0"/>
        <w:ind w:left="852" w:right="0" w:hanging="315"/>
        <w:jc w:val="left"/>
        <w:rPr>
          <w:sz w:val="21"/>
        </w:rPr>
      </w:pPr>
      <w:r>
        <w:rPr>
          <w:spacing w:val="-1"/>
          <w:sz w:val="21"/>
        </w:rPr>
        <w:t>肝功能急速恶化；</w:t>
      </w:r>
    </w:p>
    <w:p>
      <w:pPr>
        <w:pStyle w:val="ListParagraph"/>
        <w:numPr>
          <w:ilvl w:val="0"/>
          <w:numId w:val="9"/>
        </w:numPr>
        <w:tabs>
          <w:tab w:pos="854" w:val="left" w:leader="none"/>
        </w:tabs>
        <w:spacing w:line="240" w:lineRule="auto" w:before="45" w:after="0"/>
        <w:ind w:left="853" w:right="0" w:hanging="315"/>
        <w:jc w:val="left"/>
        <w:rPr>
          <w:sz w:val="21"/>
        </w:rPr>
      </w:pPr>
      <w:r>
        <w:rPr>
          <w:spacing w:val="-1"/>
          <w:sz w:val="21"/>
        </w:rPr>
        <w:t>肝性脑病。</w:t>
      </w:r>
    </w:p>
    <w:p>
      <w:pPr>
        <w:pStyle w:val="BodyText"/>
        <w:spacing w:before="4"/>
        <w:ind w:left="0"/>
        <w:rPr>
          <w:sz w:val="24"/>
        </w:rPr>
      </w:pPr>
    </w:p>
    <w:p>
      <w:pPr>
        <w:pStyle w:val="BodyText"/>
        <w:jc w:val="both"/>
      </w:pPr>
      <w:r>
        <w:rPr/>
        <w:t>直接或间接因中毒、药物过量、酒精过量等所导致的肝脏疾病不在本附加保险合同保障范围内。</w:t>
      </w:r>
    </w:p>
    <w:p>
      <w:pPr>
        <w:pStyle w:val="BodyText"/>
        <w:spacing w:before="10"/>
        <w:ind w:left="0"/>
        <w:rPr>
          <w:sz w:val="20"/>
        </w:rPr>
      </w:pPr>
    </w:p>
    <w:p>
      <w:pPr>
        <w:pStyle w:val="BodyText"/>
        <w:spacing w:line="237" w:lineRule="auto"/>
        <w:ind w:right="112"/>
        <w:jc w:val="both"/>
      </w:pPr>
      <w:r>
        <w:rPr/>
        <w:t>十四、 原发性肺动脉高压症: 根据包括心导管检查在内的临床检查证实的伴有显着右心室扩大的原发性肺动脉高压并导致永久性不可逆性的四级以上心功能衰竭（美国纽约心脏病学会心脏功能分级</w:t>
      </w:r>
      <w:r>
        <w:rPr>
          <w:spacing w:val="-105"/>
        </w:rPr>
        <w:t>）</w:t>
      </w:r>
      <w:r>
        <w:rPr/>
        <w:t>。</w:t>
      </w:r>
    </w:p>
    <w:p>
      <w:pPr>
        <w:pStyle w:val="BodyText"/>
        <w:spacing w:before="10"/>
        <w:ind w:left="0"/>
        <w:rPr>
          <w:sz w:val="20"/>
        </w:rPr>
      </w:pPr>
    </w:p>
    <w:p>
      <w:pPr>
        <w:pStyle w:val="BodyText"/>
        <w:spacing w:line="237" w:lineRule="auto"/>
        <w:ind w:right="114" w:hanging="1"/>
        <w:jc w:val="both"/>
      </w:pPr>
      <w:r>
        <w:rPr/>
        <w:t>十五、 慢性肺部疾病: 肺功能FEV1(第一秒钟末呼气指数)少于 1 公升并且需要永久的、大量的氧气治疗，血气分析检查结果符合严重的呼吸衰竭的慢性肺部疾病末期，包括间质性肺部疾病。</w:t>
      </w:r>
    </w:p>
    <w:p>
      <w:pPr>
        <w:pStyle w:val="BodyText"/>
        <w:spacing w:before="1"/>
        <w:ind w:left="0"/>
        <w:rPr>
          <w:sz w:val="24"/>
        </w:rPr>
      </w:pPr>
    </w:p>
    <w:p>
      <w:pPr>
        <w:pStyle w:val="BodyText"/>
        <w:spacing w:line="278" w:lineRule="auto"/>
        <w:ind w:right="138"/>
        <w:jc w:val="both"/>
      </w:pPr>
      <w:r>
        <w:rPr/>
        <w:t>十六、 阿尔茨海默病（老年痴呆或早老性痴呆）: 指由于阿尔茨海默病或者不可逆性器质性脑疾病导致的以智力衰退或丧失和行为异常为特征的痴呆性病症。</w:t>
      </w:r>
    </w:p>
    <w:p>
      <w:pPr>
        <w:pStyle w:val="BodyText"/>
        <w:spacing w:before="5"/>
        <w:ind w:left="0"/>
        <w:rPr>
          <w:sz w:val="25"/>
        </w:rPr>
      </w:pPr>
    </w:p>
    <w:p>
      <w:pPr>
        <w:pStyle w:val="BodyText"/>
        <w:ind w:left="538"/>
      </w:pPr>
      <w:r>
        <w:rPr/>
        <w:t>诊断应同时具备下列条件：</w:t>
      </w:r>
    </w:p>
    <w:p>
      <w:pPr>
        <w:pStyle w:val="ListParagraph"/>
        <w:numPr>
          <w:ilvl w:val="0"/>
          <w:numId w:val="10"/>
        </w:numPr>
        <w:tabs>
          <w:tab w:pos="854" w:val="left" w:leader="none"/>
        </w:tabs>
        <w:spacing w:line="240" w:lineRule="auto" w:before="44" w:after="0"/>
        <w:ind w:left="853" w:right="0" w:hanging="315"/>
        <w:jc w:val="left"/>
        <w:rPr>
          <w:sz w:val="21"/>
        </w:rPr>
      </w:pPr>
      <w:r>
        <w:rPr>
          <w:spacing w:val="-1"/>
          <w:sz w:val="21"/>
        </w:rPr>
        <w:t>智力衰退和行为异常应根据临床表现和标准问卷或检查证实；</w:t>
      </w:r>
    </w:p>
    <w:p>
      <w:pPr>
        <w:pStyle w:val="ListParagraph"/>
        <w:numPr>
          <w:ilvl w:val="0"/>
          <w:numId w:val="10"/>
        </w:numPr>
        <w:tabs>
          <w:tab w:pos="854" w:val="left" w:leader="none"/>
        </w:tabs>
        <w:spacing w:line="240" w:lineRule="auto" w:before="45" w:after="0"/>
        <w:ind w:left="853" w:right="0" w:hanging="315"/>
        <w:jc w:val="left"/>
        <w:rPr>
          <w:sz w:val="21"/>
        </w:rPr>
      </w:pPr>
      <w:r>
        <w:rPr>
          <w:spacing w:val="-1"/>
          <w:sz w:val="21"/>
        </w:rPr>
        <w:t>被保险人精神和社会能力严重下降，并且持续需要他人长期看护；</w:t>
      </w:r>
    </w:p>
    <w:p>
      <w:pPr>
        <w:pStyle w:val="ListParagraph"/>
        <w:numPr>
          <w:ilvl w:val="0"/>
          <w:numId w:val="10"/>
        </w:numPr>
        <w:tabs>
          <w:tab w:pos="854" w:val="left" w:leader="none"/>
        </w:tabs>
        <w:spacing w:line="240" w:lineRule="auto" w:before="45" w:after="0"/>
        <w:ind w:left="853" w:right="0" w:hanging="315"/>
        <w:jc w:val="left"/>
        <w:rPr>
          <w:sz w:val="21"/>
        </w:rPr>
      </w:pPr>
      <w:r>
        <w:rPr>
          <w:spacing w:val="-1"/>
          <w:sz w:val="21"/>
        </w:rPr>
        <w:t>无能力独立完成日常生活活动[注]中的三项或三项以上。</w:t>
      </w:r>
    </w:p>
    <w:p>
      <w:pPr>
        <w:pStyle w:val="BodyText"/>
        <w:spacing w:before="11"/>
        <w:ind w:left="0"/>
        <w:rPr>
          <w:sz w:val="27"/>
        </w:rPr>
      </w:pPr>
    </w:p>
    <w:p>
      <w:pPr>
        <w:pStyle w:val="BodyText"/>
        <w:ind w:firstLine="420"/>
      </w:pPr>
      <w:r>
        <w:rPr/>
        <w:t>诊断需由神经内科主任级医师确认。神经官能症及精神疾病不在本附加保险合同保障范围内。</w:t>
      </w:r>
    </w:p>
    <w:p>
      <w:pPr>
        <w:pStyle w:val="BodyText"/>
        <w:spacing w:before="3"/>
        <w:ind w:left="0"/>
        <w:rPr>
          <w:sz w:val="24"/>
        </w:rPr>
      </w:pPr>
    </w:p>
    <w:p>
      <w:pPr>
        <w:pStyle w:val="BodyText"/>
        <w:spacing w:line="278" w:lineRule="auto"/>
        <w:ind w:right="113"/>
        <w:jc w:val="both"/>
      </w:pPr>
      <w:r>
        <w:rPr>
          <w:spacing w:val="-4"/>
        </w:rPr>
        <w:t>十七、 多发性硬化症: 由神经内科主任级医师确诊的中枢神经系统脱髓鞘病变，并由 </w:t>
      </w:r>
      <w:r>
        <w:rPr/>
        <w:t>CT</w:t>
      </w:r>
      <w:r>
        <w:rPr>
          <w:spacing w:val="-36"/>
        </w:rPr>
        <w:t> 或 </w:t>
      </w:r>
      <w:r>
        <w:rPr/>
        <w:t>MRI</w:t>
      </w:r>
      <w:r>
        <w:rPr>
          <w:spacing w:val="-27"/>
        </w:rPr>
        <w:t> 证实有中枢神经系统病灶。</w:t>
      </w:r>
    </w:p>
    <w:p>
      <w:pPr>
        <w:pStyle w:val="BodyText"/>
        <w:spacing w:line="280" w:lineRule="auto" w:before="11"/>
        <w:ind w:right="112"/>
        <w:jc w:val="both"/>
      </w:pPr>
      <w:r>
        <w:rPr/>
        <w:t>由于其它病因（如：血管疾病、细菌或病毒疾病）引起的中枢神经系统疾病不在本附加保险合同保障范围内。</w:t>
      </w:r>
    </w:p>
    <w:p>
      <w:pPr>
        <w:pStyle w:val="BodyText"/>
        <w:spacing w:line="237" w:lineRule="exact"/>
      </w:pPr>
      <w:r>
        <w:rPr/>
        <w:t>神经内科专科主任级医师提供的病历文件应载明不可逆性的神经系统功能障碍与缺失的详细情况。</w:t>
      </w:r>
    </w:p>
    <w:p>
      <w:pPr>
        <w:pStyle w:val="BodyText"/>
        <w:spacing w:line="274" w:lineRule="exact"/>
      </w:pPr>
      <w:r>
        <w:rPr/>
        <w:t>不可逆性的神经系统功能障碍的诊断应在首次诊断功能障碍的六个月以后作出方有效。</w:t>
      </w:r>
    </w:p>
    <w:p>
      <w:pPr>
        <w:pStyle w:val="BodyText"/>
        <w:spacing w:before="1"/>
        <w:ind w:left="0"/>
        <w:rPr>
          <w:sz w:val="24"/>
        </w:rPr>
      </w:pPr>
    </w:p>
    <w:p>
      <w:pPr>
        <w:pStyle w:val="BodyText"/>
        <w:spacing w:line="278" w:lineRule="auto"/>
        <w:ind w:right="112"/>
        <w:jc w:val="both"/>
      </w:pPr>
      <w:r>
        <w:rPr/>
        <w:t>十八、 运动神经元病: 指一组原因不明的损害皮质脊髓束和脊髓前角细胞或延髓传出神经元的进行性的神经系统变性性疾病，包括脊肌萎缩症、进行性延髓麻痹、肌萎缩性侧束硬化症和原发性侧束硬化症，并由此导致被保险人无能力独立完成日常生活活动[注]中的三项或三项以上。</w:t>
      </w:r>
    </w:p>
    <w:p>
      <w:pPr>
        <w:pStyle w:val="BodyText"/>
        <w:spacing w:before="11"/>
        <w:ind w:left="0"/>
      </w:pPr>
    </w:p>
    <w:p>
      <w:pPr>
        <w:pStyle w:val="BodyText"/>
      </w:pPr>
      <w:r>
        <w:rPr/>
        <w:t>须由神经内科专科主任级医师确诊有进行性和不可逆性的神经系统损害存在。</w:t>
      </w:r>
    </w:p>
    <w:p>
      <w:pPr>
        <w:pStyle w:val="BodyText"/>
        <w:spacing w:before="1"/>
        <w:ind w:left="0"/>
        <w:rPr>
          <w:sz w:val="22"/>
        </w:rPr>
      </w:pPr>
    </w:p>
    <w:p>
      <w:pPr>
        <w:pStyle w:val="BodyText"/>
        <w:spacing w:line="273" w:lineRule="auto"/>
        <w:ind w:right="112"/>
        <w:jc w:val="both"/>
      </w:pPr>
      <w:r>
        <w:rPr/>
        <w:t>十九、 冠状动脉搭桥手术: 在医学上确定必须进行的为治疗冠状动脉疾病而实际接受的开胸心脏冠状动脉搭桥手术,但不包括冠状动脉球囊扩张术,激光射频术及其它动脉内治疗方法。索赔时应提供冠状动脉造影报告。</w:t>
      </w:r>
    </w:p>
    <w:p>
      <w:pPr>
        <w:pStyle w:val="BodyText"/>
        <w:spacing w:before="5"/>
        <w:ind w:left="0"/>
        <w:rPr>
          <w:sz w:val="24"/>
        </w:rPr>
      </w:pPr>
    </w:p>
    <w:p>
      <w:pPr>
        <w:pStyle w:val="BodyText"/>
        <w:spacing w:line="273" w:lineRule="auto"/>
        <w:ind w:right="112"/>
        <w:jc w:val="both"/>
      </w:pPr>
      <w:r>
        <w:rPr/>
        <w:t>二十、 主动脉外科手术: 在医学上确定必须进行的以修补或矫正主动脉瘤、主动脉阻塞或主动脉缩窄为目的的胸廓切开或剖腹主动脉手术。这里的主动脉是指胸主动脉和腹主动脉，不包括主动脉的分支血管。仅采用动脉内治疗技术实施的手术不在本附加保险合同保障范围内。</w:t>
      </w:r>
    </w:p>
    <w:p>
      <w:pPr>
        <w:pStyle w:val="BodyText"/>
        <w:spacing w:before="11"/>
        <w:ind w:left="0"/>
        <w:rPr>
          <w:sz w:val="22"/>
        </w:rPr>
      </w:pPr>
    </w:p>
    <w:p>
      <w:pPr>
        <w:pStyle w:val="BodyText"/>
        <w:jc w:val="both"/>
      </w:pPr>
      <w:r>
        <w:rPr/>
        <w:t>二十一、   心脏瓣膜手术: 在医学上确定必须进行的以置换或修补缺损或异常的心脏瓣膜为目的</w:t>
      </w:r>
    </w:p>
    <w:p>
      <w:pPr>
        <w:spacing w:after="0"/>
        <w:jc w:val="both"/>
        <w:sectPr>
          <w:pgSz w:w="11910" w:h="16840"/>
          <w:pgMar w:header="0" w:footer="857" w:top="1420" w:bottom="1040" w:left="1300" w:right="1300"/>
        </w:sectPr>
      </w:pPr>
    </w:p>
    <w:p>
      <w:pPr>
        <w:pStyle w:val="BodyText"/>
        <w:spacing w:line="237" w:lineRule="auto" w:before="26"/>
        <w:ind w:right="112"/>
      </w:pPr>
      <w:r>
        <w:rPr/>
        <w:t>的心腔切开瓣膜修补或瓣膜置换手术。通过瓣膜切开术、动脉内手术或其它类似技术进行的瓣膜修补治疗不在本附加保险合同保障范围内。</w:t>
      </w:r>
    </w:p>
    <w:p>
      <w:pPr>
        <w:pStyle w:val="BodyText"/>
        <w:spacing w:before="43"/>
      </w:pPr>
      <w:r>
        <w:rPr/>
        <w:t>日常生活活动：</w:t>
      </w:r>
    </w:p>
    <w:p>
      <w:pPr>
        <w:pStyle w:val="BodyText"/>
        <w:spacing w:before="44"/>
      </w:pPr>
      <w:r>
        <w:rPr/>
        <w:t>1、洗澡：盆浴或淋浴（包括自行出入浴缸或冲淋房）或以任何其它方式清洗身体；</w:t>
      </w:r>
    </w:p>
    <w:p>
      <w:pPr>
        <w:pStyle w:val="BodyText"/>
        <w:spacing w:line="280" w:lineRule="auto" w:before="45"/>
        <w:ind w:right="112"/>
      </w:pPr>
      <w:r>
        <w:rPr>
          <w:spacing w:val="0"/>
        </w:rPr>
        <w:t>2</w:t>
      </w:r>
      <w:r>
        <w:rPr/>
        <w:t>、穿脱衣物</w:t>
      </w:r>
      <w:r>
        <w:rPr>
          <w:spacing w:val="0"/>
        </w:rPr>
        <w:t>（更衣</w:t>
      </w:r>
      <w:r>
        <w:rPr>
          <w:spacing w:val="-105"/>
        </w:rPr>
        <w:t>）</w:t>
      </w:r>
      <w:r>
        <w:rPr/>
        <w:t>：穿衣、脱衣、扣紧或解开所穿衣物，包括脱穿吊带、脱戴义肢及其它医疗辅助器具；</w:t>
      </w:r>
    </w:p>
    <w:p>
      <w:pPr>
        <w:pStyle w:val="BodyText"/>
        <w:spacing w:before="8"/>
      </w:pPr>
      <w:r>
        <w:rPr/>
        <w:t>3、移动：自床上移至座椅或轮椅或替代器械上；</w:t>
      </w:r>
    </w:p>
    <w:p>
      <w:pPr>
        <w:pStyle w:val="BodyText"/>
        <w:spacing w:before="45"/>
      </w:pPr>
      <w:r>
        <w:rPr/>
        <w:t>4、步行：在室内从房间到房间之间的平地行走；</w:t>
      </w:r>
    </w:p>
    <w:p>
      <w:pPr>
        <w:pStyle w:val="BodyText"/>
        <w:spacing w:line="278" w:lineRule="auto" w:before="45"/>
        <w:ind w:right="114"/>
      </w:pPr>
      <w:r>
        <w:rPr/>
        <w:t>5</w:t>
      </w:r>
      <w:r>
        <w:rPr>
          <w:spacing w:val="-8"/>
        </w:rPr>
        <w:t>、如厕：自行使用厕所和控制大小便，需要时可以通过使用保护性衣物和医疗辅助器具协助如厕动作；</w:t>
      </w:r>
    </w:p>
    <w:p>
      <w:pPr>
        <w:pStyle w:val="BodyText"/>
        <w:spacing w:line="241" w:lineRule="exact"/>
      </w:pPr>
      <w:r>
        <w:rPr/>
        <w:t>6、进食：在食物已经准备好的情况下自己进食。</w:t>
      </w:r>
    </w:p>
    <w:p>
      <w:pPr>
        <w:pStyle w:val="BodyText"/>
        <w:spacing w:before="3"/>
        <w:ind w:left="0"/>
        <w:rPr>
          <w:sz w:val="25"/>
        </w:rPr>
      </w:pPr>
    </w:p>
    <w:p>
      <w:pPr>
        <w:pStyle w:val="Heading1"/>
        <w:tabs>
          <w:tab w:pos="1594" w:val="left" w:leader="none"/>
        </w:tabs>
      </w:pPr>
      <w:r>
        <w:rPr/>
        <w:t>第二十四条</w:t>
        <w:tab/>
      </w:r>
      <w:r>
        <w:rPr>
          <w:w w:val="95"/>
        </w:rPr>
        <w:t>释义</w:t>
      </w:r>
    </w:p>
    <w:p>
      <w:pPr>
        <w:pStyle w:val="BodyText"/>
        <w:spacing w:line="273" w:lineRule="auto" w:before="37"/>
        <w:ind w:right="113"/>
      </w:pPr>
      <w:r>
        <w:rPr>
          <w:b/>
        </w:rPr>
        <w:t>团体</w:t>
      </w:r>
      <w:r>
        <w:rPr/>
        <w:t>：指中国境内非因购买保险而组织的合法团体。包括但不限于国家机关、院校、企事业单位、行业组织、职业工会等。</w:t>
      </w:r>
    </w:p>
    <w:p>
      <w:pPr>
        <w:pStyle w:val="BodyText"/>
        <w:spacing w:before="5"/>
        <w:ind w:left="0"/>
        <w:rPr>
          <w:sz w:val="24"/>
        </w:rPr>
      </w:pPr>
    </w:p>
    <w:p>
      <w:pPr>
        <w:pStyle w:val="BodyText"/>
      </w:pPr>
      <w:r>
        <w:rPr>
          <w:b/>
          <w:w w:val="95"/>
        </w:rPr>
        <w:t>周岁</w:t>
      </w:r>
      <w:r>
        <w:rPr>
          <w:w w:val="95"/>
        </w:rPr>
        <w:t>：以法定身份证明文件中记载的出生日期为计算基础。</w:t>
      </w:r>
    </w:p>
    <w:p>
      <w:pPr>
        <w:pStyle w:val="BodyText"/>
        <w:spacing w:before="8"/>
        <w:ind w:left="0"/>
        <w:rPr>
          <w:sz w:val="26"/>
        </w:rPr>
      </w:pPr>
    </w:p>
    <w:p>
      <w:pPr>
        <w:pStyle w:val="BodyText"/>
        <w:spacing w:line="273" w:lineRule="auto"/>
        <w:ind w:right="112"/>
      </w:pPr>
      <w:r>
        <w:rPr>
          <w:b/>
        </w:rPr>
        <w:t>正常工作</w:t>
      </w:r>
      <w:r>
        <w:rPr/>
        <w:t>：按照正常的工作时间表，在办公场所参加全职工作，在工作期间积极有效分配时间和精力完成自己所在的职业和岗位的职责。</w:t>
      </w:r>
    </w:p>
    <w:p>
      <w:pPr>
        <w:pStyle w:val="BodyText"/>
        <w:spacing w:line="674" w:lineRule="exact" w:before="76"/>
        <w:ind w:right="2879"/>
      </w:pPr>
      <w:r>
        <w:rPr>
          <w:b/>
        </w:rPr>
        <w:t>意外伤害事故</w:t>
      </w:r>
      <w:r>
        <w:rPr/>
        <w:t>：指外来的、突发的、非本意的、非疾病的客观事件。</w:t>
      </w:r>
      <w:r>
        <w:rPr>
          <w:b/>
          <w:w w:val="95"/>
        </w:rPr>
        <w:t>医院</w:t>
      </w:r>
      <w:r>
        <w:rPr>
          <w:w w:val="95"/>
        </w:rPr>
        <w:t>：指符合以下所有条件的机构：</w:t>
      </w:r>
    </w:p>
    <w:p>
      <w:pPr>
        <w:pStyle w:val="BodyText"/>
        <w:spacing w:line="257" w:lineRule="exact"/>
        <w:ind w:left="748"/>
      </w:pPr>
      <w:r>
        <w:rPr/>
        <w:t>1、 有合法经营执照；</w:t>
      </w:r>
    </w:p>
    <w:p>
      <w:pPr>
        <w:pStyle w:val="BodyText"/>
        <w:spacing w:before="87"/>
        <w:ind w:left="748"/>
      </w:pPr>
      <w:r>
        <w:rPr/>
        <w:t>2、 设立的主要目的为受伤者和患病者提供留院治疗和护理；</w:t>
      </w:r>
    </w:p>
    <w:p>
      <w:pPr>
        <w:pStyle w:val="BodyText"/>
        <w:spacing w:before="86"/>
        <w:ind w:left="748"/>
      </w:pPr>
      <w:r>
        <w:rPr/>
        <w:t>3、 有合法职称的专业医生和护士提供全日二十四小时的医疗和护理服务；</w:t>
      </w:r>
    </w:p>
    <w:p>
      <w:pPr>
        <w:pStyle w:val="BodyText"/>
        <w:spacing w:line="316" w:lineRule="auto" w:before="87"/>
        <w:ind w:left="748" w:right="213"/>
      </w:pPr>
      <w:r>
        <w:rPr/>
        <w:t>4</w:t>
      </w:r>
      <w:r>
        <w:rPr>
          <w:spacing w:val="-8"/>
        </w:rPr>
        <w:t>、 具有系统性诊疗等程序或手术设备的市级及市级以上或本公司指定的综合性医院和专科医院，但不包括观察室、联合病房和康复病房；</w:t>
      </w:r>
    </w:p>
    <w:p>
      <w:pPr>
        <w:pStyle w:val="BodyText"/>
        <w:spacing w:line="327" w:lineRule="exact"/>
        <w:ind w:left="748"/>
        <w:rPr>
          <w:sz w:val="24"/>
        </w:rPr>
      </w:pPr>
      <w:r>
        <w:rPr>
          <w:rFonts w:ascii="Times New Roman" w:eastAsia="Times New Roman"/>
          <w:sz w:val="24"/>
        </w:rPr>
        <w:t>5</w:t>
      </w:r>
      <w:r>
        <w:rPr>
          <w:sz w:val="24"/>
        </w:rPr>
        <w:t>、</w:t>
      </w:r>
      <w:r>
        <w:rPr/>
        <w:t>非主要作为康复医院、诊所、护理、疗养、戒酒、戒毒或类似的医疗机构</w:t>
      </w:r>
      <w:r>
        <w:rPr>
          <w:sz w:val="24"/>
        </w:rPr>
        <w:t>。</w:t>
      </w:r>
    </w:p>
    <w:p>
      <w:pPr>
        <w:pStyle w:val="BodyText"/>
        <w:spacing w:before="2"/>
        <w:ind w:left="0"/>
        <w:rPr>
          <w:sz w:val="24"/>
        </w:rPr>
      </w:pPr>
    </w:p>
    <w:p>
      <w:pPr>
        <w:pStyle w:val="BodyText"/>
      </w:pPr>
      <w:r>
        <w:rPr>
          <w:b/>
          <w:w w:val="95"/>
        </w:rPr>
        <w:t>指定医院</w:t>
      </w:r>
      <w:r>
        <w:rPr>
          <w:w w:val="95"/>
        </w:rPr>
        <w:t>：指本公司认可的二级或二级以上的医院，具体在保险合同上列名。</w:t>
      </w:r>
    </w:p>
    <w:p>
      <w:pPr>
        <w:pStyle w:val="BodyText"/>
        <w:spacing w:before="8"/>
        <w:ind w:left="0"/>
        <w:rPr>
          <w:sz w:val="26"/>
        </w:rPr>
      </w:pPr>
    </w:p>
    <w:p>
      <w:pPr>
        <w:pStyle w:val="BodyText"/>
        <w:spacing w:line="273" w:lineRule="auto"/>
        <w:ind w:right="1831"/>
      </w:pPr>
      <w:r>
        <w:rPr>
          <w:b/>
        </w:rPr>
        <w:t>殴斗：</w:t>
      </w:r>
      <w:r>
        <w:rPr/>
        <w:t>违反国家有关治安管理的法律法规，受到司法行政机关的处罚或处理，使用暴力攻击伤害对方的搏斗行为。</w:t>
      </w:r>
    </w:p>
    <w:p>
      <w:pPr>
        <w:pStyle w:val="BodyText"/>
        <w:spacing w:before="5"/>
        <w:ind w:left="0"/>
        <w:rPr>
          <w:sz w:val="24"/>
        </w:rPr>
      </w:pPr>
    </w:p>
    <w:p>
      <w:pPr>
        <w:spacing w:before="0"/>
        <w:ind w:left="118" w:right="0" w:firstLine="0"/>
        <w:jc w:val="left"/>
        <w:rPr>
          <w:sz w:val="21"/>
        </w:rPr>
      </w:pPr>
      <w:r>
        <w:rPr>
          <w:b/>
          <w:w w:val="95"/>
          <w:sz w:val="21"/>
        </w:rPr>
        <w:t>艾滋病</w:t>
      </w:r>
      <w:r>
        <w:rPr>
          <w:rFonts w:ascii="Times New Roman" w:eastAsia="Times New Roman"/>
          <w:b/>
          <w:w w:val="95"/>
          <w:sz w:val="21"/>
        </w:rPr>
        <w:t>(AIDS)</w:t>
      </w:r>
      <w:r>
        <w:rPr>
          <w:w w:val="95"/>
          <w:sz w:val="21"/>
        </w:rPr>
        <w:t>：是后天性免疫力缺乏综合症的简称。</w:t>
      </w:r>
    </w:p>
    <w:p>
      <w:pPr>
        <w:pStyle w:val="BodyText"/>
        <w:spacing w:before="5"/>
        <w:ind w:left="0"/>
        <w:rPr>
          <w:sz w:val="25"/>
        </w:rPr>
      </w:pPr>
    </w:p>
    <w:p>
      <w:pPr>
        <w:pStyle w:val="BodyText"/>
        <w:spacing w:line="264" w:lineRule="auto"/>
        <w:ind w:right="112"/>
        <w:jc w:val="both"/>
      </w:pPr>
      <w:r>
        <w:rPr>
          <w:b/>
        </w:rPr>
        <w:t>艾滋病病毒</w:t>
      </w:r>
      <w:r>
        <w:rPr>
          <w:rFonts w:ascii="Times New Roman" w:eastAsia="Times New Roman"/>
          <w:b/>
        </w:rPr>
        <w:t>(HIV </w:t>
      </w:r>
      <w:r>
        <w:rPr>
          <w:b/>
        </w:rPr>
        <w:t>呈阳性</w:t>
      </w:r>
      <w:r>
        <w:rPr>
          <w:rFonts w:ascii="Times New Roman" w:eastAsia="Times New Roman"/>
          <w:b/>
        </w:rPr>
        <w:t>)</w:t>
      </w:r>
      <w:r>
        <w:rPr/>
        <w:t>：是后天性免疫力缺乏综合症病毒的简称。后天性免疫力缺乏综合症的定义按世界卫生组织所定的定义为准。若在被保险人的血液样本中发现后天性免疫力缺乏综合症病毒</w:t>
      </w:r>
      <w:r>
        <w:rPr>
          <w:w w:val="95"/>
        </w:rPr>
        <w:t>或其抗体，则可认为此人已受艾滋病或艾滋病病毒感染。</w:t>
      </w:r>
    </w:p>
    <w:p>
      <w:pPr>
        <w:pStyle w:val="BodyText"/>
        <w:spacing w:before="11"/>
        <w:ind w:left="0"/>
        <w:rPr>
          <w:sz w:val="28"/>
        </w:rPr>
      </w:pPr>
    </w:p>
    <w:p>
      <w:pPr>
        <w:pStyle w:val="BodyText"/>
      </w:pPr>
      <w:r>
        <w:rPr>
          <w:b/>
          <w:spacing w:val="-2"/>
        </w:rPr>
        <w:t>毒品: </w:t>
      </w:r>
      <w:r>
        <w:rPr>
          <w:spacing w:val="-3"/>
        </w:rPr>
        <w:t>指中华人民共和国刑法规定的鸦片、海洛因、甲基苯丙胺</w:t>
      </w:r>
      <w:r>
        <w:rPr/>
        <w:t>（冰毒</w:t>
      </w:r>
      <w:r>
        <w:rPr>
          <w:spacing w:val="-105"/>
        </w:rPr>
        <w:t>）</w:t>
      </w:r>
      <w:r>
        <w:rPr>
          <w:spacing w:val="-6"/>
        </w:rPr>
        <w:t>、吗啡、大麻、可卡因以及</w:t>
      </w:r>
    </w:p>
    <w:p>
      <w:pPr>
        <w:spacing w:after="0"/>
        <w:sectPr>
          <w:footerReference w:type="default" r:id="rId7"/>
          <w:pgSz w:w="11910" w:h="16840"/>
          <w:pgMar w:footer="777" w:header="0" w:top="1360" w:bottom="960" w:left="1300" w:right="1300"/>
          <w:pgNumType w:start="10"/>
        </w:sectPr>
      </w:pPr>
    </w:p>
    <w:p>
      <w:pPr>
        <w:pStyle w:val="BodyText"/>
        <w:spacing w:line="273" w:lineRule="auto" w:before="23"/>
        <w:ind w:right="112"/>
        <w:jc w:val="both"/>
      </w:pPr>
      <w:r>
        <w:rPr/>
        <w:t>国家规定管制的其他能够使人形成瘾癖的麻醉药品和精神药品，但不包括由医生开具并遵医嘱使用的用于治疗疾病但含有毒品成分的处方药品。</w:t>
      </w:r>
    </w:p>
    <w:p>
      <w:pPr>
        <w:pStyle w:val="BodyText"/>
        <w:spacing w:before="2"/>
        <w:ind w:left="0"/>
        <w:rPr>
          <w:sz w:val="28"/>
        </w:rPr>
      </w:pPr>
    </w:p>
    <w:p>
      <w:pPr>
        <w:pStyle w:val="BodyText"/>
        <w:spacing w:line="273" w:lineRule="auto"/>
        <w:ind w:right="149"/>
        <w:jc w:val="both"/>
      </w:pPr>
      <w:r>
        <w:rPr>
          <w:b/>
        </w:rPr>
        <w:t>酒后驾驶: </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3"/>
        <w:ind w:left="0"/>
        <w:rPr>
          <w:sz w:val="28"/>
        </w:rPr>
      </w:pPr>
    </w:p>
    <w:p>
      <w:pPr>
        <w:pStyle w:val="BodyText"/>
        <w:spacing w:line="256" w:lineRule="auto"/>
        <w:ind w:right="154"/>
        <w:jc w:val="both"/>
      </w:pPr>
      <w:r>
        <w:rPr>
          <w:b/>
          <w:w w:val="99"/>
        </w:rPr>
        <w:t>无合法有效驾驶证驾驶</w:t>
      </w:r>
      <w:r>
        <w:rPr>
          <w:rFonts w:ascii="Times New Roman" w:eastAsia="Times New Roman"/>
          <w:b/>
          <w:w w:val="99"/>
        </w:rPr>
        <w:t>:  </w:t>
      </w:r>
      <w:r>
        <w:rPr>
          <w:spacing w:val="-14"/>
          <w:w w:val="99"/>
        </w:rPr>
        <w:t>指下列情形之一：</w:t>
      </w:r>
      <w:r>
        <w:rPr>
          <w:w w:val="99"/>
        </w:rPr>
        <w:t>（</w:t>
      </w:r>
      <w:r>
        <w:rPr>
          <w:rFonts w:ascii="Times New Roman" w:eastAsia="Times New Roman"/>
          <w:w w:val="99"/>
        </w:rPr>
        <w:t>1</w:t>
      </w:r>
      <w:r>
        <w:rPr>
          <w:spacing w:val="-2"/>
          <w:w w:val="99"/>
        </w:rPr>
        <w:t>）</w:t>
      </w:r>
      <w:r>
        <w:rPr>
          <w:spacing w:val="-12"/>
          <w:w w:val="99"/>
        </w:rPr>
        <w:t>没有取得驾驶资格；</w:t>
      </w:r>
      <w:r>
        <w:rPr>
          <w:w w:val="99"/>
        </w:rPr>
        <w:t>（</w:t>
      </w:r>
      <w:r>
        <w:rPr>
          <w:rFonts w:ascii="Times New Roman" w:eastAsia="Times New Roman"/>
          <w:spacing w:val="-1"/>
          <w:w w:val="99"/>
        </w:rPr>
        <w:t>2</w:t>
      </w:r>
      <w:r>
        <w:rPr>
          <w:w w:val="99"/>
        </w:rPr>
        <w:t>）驾驶与驾驶证准驾车型不</w:t>
      </w:r>
      <w:r>
        <w:rPr>
          <w:spacing w:val="-15"/>
          <w:w w:val="99"/>
        </w:rPr>
        <w:t>相符合的车辆；</w:t>
      </w:r>
      <w:r>
        <w:rPr>
          <w:w w:val="99"/>
        </w:rPr>
        <w:t>（</w:t>
      </w:r>
      <w:r>
        <w:rPr>
          <w:rFonts w:ascii="Times New Roman" w:eastAsia="Times New Roman"/>
          <w:w w:val="99"/>
        </w:rPr>
        <w:t>3</w:t>
      </w:r>
      <w:r>
        <w:rPr>
          <w:w w:val="99"/>
        </w:rPr>
        <w:t>）</w:t>
      </w:r>
      <w:r>
        <w:rPr>
          <w:spacing w:val="-9"/>
          <w:w w:val="99"/>
        </w:rPr>
        <w:t>持审验不合格的驾驶证驾驶；</w:t>
      </w:r>
      <w:r>
        <w:rPr>
          <w:w w:val="99"/>
        </w:rPr>
        <w:t>（4）</w:t>
      </w:r>
      <w:r>
        <w:rPr>
          <w:spacing w:val="-1"/>
          <w:w w:val="99"/>
        </w:rPr>
        <w:t>持学习驾驶证学习驾车时，无教练员随车指</w:t>
      </w:r>
      <w:r>
        <w:rPr>
          <w:spacing w:val="-1"/>
          <w:w w:val="95"/>
        </w:rPr>
        <w:t>导，或不按指定时间、路线学习驾车。</w:t>
      </w:r>
    </w:p>
    <w:p>
      <w:pPr>
        <w:pStyle w:val="BodyText"/>
        <w:spacing w:before="6"/>
        <w:ind w:left="0"/>
        <w:rPr>
          <w:sz w:val="25"/>
        </w:rPr>
      </w:pPr>
    </w:p>
    <w:p>
      <w:pPr>
        <w:pStyle w:val="BodyText"/>
        <w:spacing w:line="273" w:lineRule="auto"/>
        <w:ind w:right="149"/>
        <w:jc w:val="both"/>
      </w:pPr>
      <w:r>
        <w:rPr>
          <w:b/>
          <w:w w:val="99"/>
        </w:rPr>
        <w:t>无有效行驶证</w:t>
      </w:r>
      <w:r>
        <w:rPr>
          <w:b/>
          <w:w w:val="99"/>
        </w:rPr>
        <w:t>:</w:t>
      </w:r>
      <w:r>
        <w:rPr>
          <w:b/>
        </w:rPr>
        <w:t> </w:t>
      </w:r>
      <w:r>
        <w:rPr>
          <w:spacing w:val="-14"/>
        </w:rPr>
        <w:t>指下列情形之一：</w:t>
      </w:r>
      <w:r>
        <w:rPr>
          <w:spacing w:val="-2"/>
        </w:rPr>
        <w:t>（</w:t>
      </w:r>
      <w:r>
        <w:rPr/>
        <w:t>1）</w:t>
      </w:r>
      <w:r>
        <w:rPr>
          <w:spacing w:val="-1"/>
        </w:rPr>
        <w:t>机动车被依法注销登记的； （2）未依法按时进行或通过机</w:t>
      </w:r>
      <w:r>
        <w:rPr/>
        <w:t>动车安全技术检验。</w:t>
      </w:r>
    </w:p>
    <w:p>
      <w:pPr>
        <w:pStyle w:val="BodyText"/>
        <w:spacing w:before="5"/>
        <w:ind w:left="0"/>
        <w:rPr>
          <w:sz w:val="24"/>
        </w:rPr>
      </w:pPr>
    </w:p>
    <w:p>
      <w:pPr>
        <w:pStyle w:val="BodyText"/>
        <w:spacing w:line="273" w:lineRule="auto"/>
        <w:ind w:right="110"/>
        <w:jc w:val="both"/>
      </w:pPr>
      <w:r>
        <w:rPr>
          <w:b/>
        </w:rPr>
        <w:t>恐怖活动</w:t>
      </w:r>
      <w:r>
        <w:rPr/>
        <w:t>：是指任何人或群体单独地或有组织地进行的为达到政治、宗教、意识形态等目的或以影响任何政府或公众、或以恐吓公众为目的的活动，包括但不限于使用武力、暴力、原子能/生物/化学武器、大规模杀伤性武器、对交通和通信系统等的基础设施或内容进行破坏、或其他任何手段造成的或试图造成的任何性质的伤害或威胁。</w:t>
      </w:r>
    </w:p>
    <w:p>
      <w:pPr>
        <w:pStyle w:val="BodyText"/>
        <w:spacing w:before="5"/>
        <w:ind w:left="0"/>
        <w:rPr>
          <w:sz w:val="24"/>
        </w:rPr>
      </w:pPr>
    </w:p>
    <w:p>
      <w:pPr>
        <w:pStyle w:val="BodyText"/>
      </w:pPr>
      <w:r>
        <w:rPr>
          <w:b/>
        </w:rPr>
        <w:t>潜水</w:t>
      </w:r>
      <w:r>
        <w:rPr>
          <w:rFonts w:ascii="Times New Roman" w:eastAsia="Times New Roman"/>
        </w:rPr>
        <w:t>: </w:t>
      </w:r>
      <w:r>
        <w:rPr/>
        <w:t>指以辅助呼吸器材在江、河、湖、海、水库、运河等水域潜水。</w:t>
      </w:r>
    </w:p>
    <w:p>
      <w:pPr>
        <w:pStyle w:val="BodyText"/>
        <w:spacing w:before="5"/>
        <w:ind w:left="0"/>
        <w:rPr>
          <w:sz w:val="25"/>
        </w:rPr>
      </w:pPr>
    </w:p>
    <w:p>
      <w:pPr>
        <w:pStyle w:val="BodyText"/>
      </w:pPr>
      <w:r>
        <w:rPr>
          <w:b/>
        </w:rPr>
        <w:t>攀岩</w:t>
      </w:r>
      <w:r>
        <w:rPr/>
        <w:t>: 指以攀登悬崖、楼宇外墙、人造悬崖、冰崖、冰ft等为锻炼身体方式的运动</w:t>
      </w:r>
    </w:p>
    <w:p>
      <w:pPr>
        <w:pStyle w:val="BodyText"/>
        <w:spacing w:before="8"/>
        <w:ind w:left="0"/>
        <w:rPr>
          <w:sz w:val="26"/>
        </w:rPr>
      </w:pPr>
    </w:p>
    <w:p>
      <w:pPr>
        <w:pStyle w:val="BodyText"/>
        <w:spacing w:line="273" w:lineRule="auto"/>
        <w:ind w:right="112"/>
        <w:jc w:val="both"/>
      </w:pPr>
      <w:r>
        <w:rPr>
          <w:b/>
        </w:rPr>
        <w:t>探险活动</w:t>
      </w:r>
      <w:r>
        <w:rPr/>
        <w:t>: 指明知在某种特定的自然条件下有失去生命或使身体受到伤害的危险，而故意使自己置身其中的行为。如江河漂流、徒步穿越沙漠或人迹罕至的原始森林等活动。</w:t>
      </w:r>
    </w:p>
    <w:p>
      <w:pPr>
        <w:pStyle w:val="BodyText"/>
        <w:spacing w:before="5"/>
        <w:ind w:left="0"/>
        <w:rPr>
          <w:sz w:val="24"/>
        </w:rPr>
      </w:pPr>
    </w:p>
    <w:p>
      <w:pPr>
        <w:pStyle w:val="BodyText"/>
        <w:spacing w:line="273" w:lineRule="auto"/>
        <w:ind w:right="112"/>
        <w:jc w:val="both"/>
      </w:pPr>
      <w:r>
        <w:rPr>
          <w:b/>
        </w:rPr>
        <w:t>武术比赛</w:t>
      </w:r>
      <w:r>
        <w:rPr/>
        <w:t>: 指两人或两人以上对抗性柔道、空手道、跆拳道、散打、拳击等各种拳术及各种使用器械的对抗性比赛。</w:t>
      </w:r>
    </w:p>
    <w:p>
      <w:pPr>
        <w:pStyle w:val="BodyText"/>
        <w:spacing w:before="5"/>
        <w:ind w:left="0"/>
        <w:rPr>
          <w:sz w:val="24"/>
        </w:rPr>
      </w:pPr>
    </w:p>
    <w:p>
      <w:pPr>
        <w:pStyle w:val="BodyText"/>
        <w:jc w:val="both"/>
      </w:pPr>
      <w:r>
        <w:rPr>
          <w:b/>
        </w:rPr>
        <w:t>特技</w:t>
      </w:r>
      <w:r>
        <w:rPr/>
        <w:t>: 指从事马术、杂技、驯兽等特技技能。</w:t>
      </w:r>
    </w:p>
    <w:p>
      <w:pPr>
        <w:pStyle w:val="BodyText"/>
        <w:ind w:left="0"/>
        <w:rPr>
          <w:sz w:val="20"/>
        </w:rPr>
      </w:pPr>
    </w:p>
    <w:p>
      <w:pPr>
        <w:pStyle w:val="BodyText"/>
        <w:spacing w:before="10"/>
        <w:ind w:left="0"/>
        <w:rPr>
          <w:sz w:val="27"/>
        </w:rPr>
      </w:pPr>
    </w:p>
    <w:p>
      <w:pPr>
        <w:spacing w:after="0"/>
        <w:rPr>
          <w:sz w:val="27"/>
        </w:rPr>
        <w:sectPr>
          <w:pgSz w:w="11910" w:h="16840"/>
          <w:pgMar w:header="0" w:footer="777" w:top="1380" w:bottom="1040" w:left="1300" w:right="1300"/>
        </w:sectPr>
      </w:pPr>
    </w:p>
    <w:p>
      <w:pPr>
        <w:pStyle w:val="Heading1"/>
        <w:spacing w:before="35"/>
      </w:pPr>
      <w:r>
        <w:rPr>
          <w:w w:val="95"/>
        </w:rPr>
        <w:t>附表一</w:t>
      </w:r>
    </w:p>
    <w:p>
      <w:pPr>
        <w:pStyle w:val="BodyText"/>
        <w:spacing w:before="7"/>
        <w:ind w:left="0"/>
        <w:rPr>
          <w:b/>
          <w:sz w:val="26"/>
        </w:rPr>
      </w:pPr>
      <w:r>
        <w:rPr/>
        <w:br w:type="column"/>
      </w:r>
      <w:r>
        <w:rPr>
          <w:b/>
          <w:sz w:val="26"/>
        </w:rPr>
      </w:r>
    </w:p>
    <w:p>
      <w:pPr>
        <w:spacing w:before="0"/>
        <w:ind w:left="118" w:right="0" w:firstLine="0"/>
        <w:jc w:val="left"/>
        <w:rPr>
          <w:b/>
          <w:sz w:val="21"/>
        </w:rPr>
      </w:pPr>
      <w:r>
        <w:rPr>
          <w:b/>
          <w:sz w:val="21"/>
        </w:rPr>
        <w:t>首创安泰团体重大疾病保险费率表 (每千元保额)</w:t>
      </w:r>
    </w:p>
    <w:p>
      <w:pPr>
        <w:pStyle w:val="BodyText"/>
        <w:spacing w:before="36"/>
        <w:ind w:left="2723"/>
      </w:pPr>
      <w:r>
        <w:rPr/>
        <w:t>职业等级 </w:t>
      </w:r>
      <w:r>
        <w:rPr>
          <w:rFonts w:ascii="Times New Roman" w:eastAsia="Times New Roman"/>
        </w:rPr>
        <w:t>1, </w:t>
      </w:r>
      <w:r>
        <w:rPr/>
        <w:t>单位</w:t>
      </w:r>
      <w:r>
        <w:rPr>
          <w:rFonts w:ascii="Times New Roman" w:eastAsia="Times New Roman"/>
        </w:rPr>
        <w:t>:</w:t>
      </w:r>
      <w:r>
        <w:rPr/>
        <w:t>人民币元</w:t>
      </w:r>
    </w:p>
    <w:p>
      <w:pPr>
        <w:spacing w:after="0"/>
        <w:sectPr>
          <w:type w:val="continuous"/>
          <w:pgSz w:w="11910" w:h="16840"/>
          <w:pgMar w:top="840" w:bottom="1040" w:left="1300" w:right="1300"/>
          <w:cols w:num="2" w:equalWidth="0">
            <w:col w:w="752" w:space="1516"/>
            <w:col w:w="7042"/>
          </w:cols>
        </w:sectPr>
      </w:pPr>
    </w:p>
    <w:p>
      <w:pPr>
        <w:pStyle w:val="BodyText"/>
        <w:spacing w:before="9"/>
        <w:ind w:left="0"/>
        <w:rPr>
          <w:sz w:val="2"/>
        </w:rPr>
      </w:pPr>
    </w:p>
    <w:tbl>
      <w:tblPr>
        <w:tblW w:w="0" w:type="auto"/>
        <w:jc w:val="left"/>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7"/>
        <w:gridCol w:w="2233"/>
        <w:gridCol w:w="2340"/>
      </w:tblGrid>
      <w:tr>
        <w:trPr>
          <w:trHeight w:val="311" w:hRule="atLeast"/>
        </w:trPr>
        <w:tc>
          <w:tcPr>
            <w:tcW w:w="2447" w:type="dxa"/>
          </w:tcPr>
          <w:p>
            <w:pPr>
              <w:pStyle w:val="TableParagraph"/>
              <w:spacing w:before="0"/>
              <w:ind w:left="961" w:right="953"/>
              <w:rPr>
                <w:rFonts w:ascii="宋体" w:eastAsia="宋体" w:hint="eastAsia"/>
                <w:b/>
                <w:sz w:val="24"/>
              </w:rPr>
            </w:pPr>
            <w:r>
              <w:rPr>
                <w:rFonts w:ascii="宋体" w:eastAsia="宋体" w:hint="eastAsia"/>
                <w:b/>
                <w:sz w:val="24"/>
              </w:rPr>
              <w:t>年龄</w:t>
            </w:r>
          </w:p>
        </w:tc>
        <w:tc>
          <w:tcPr>
            <w:tcW w:w="2233" w:type="dxa"/>
          </w:tcPr>
          <w:p>
            <w:pPr>
              <w:pStyle w:val="TableParagraph"/>
              <w:spacing w:before="0"/>
              <w:ind w:right="846"/>
              <w:rPr>
                <w:rFonts w:ascii="宋体" w:eastAsia="宋体" w:hint="eastAsia"/>
                <w:b/>
                <w:sz w:val="24"/>
              </w:rPr>
            </w:pPr>
            <w:r>
              <w:rPr>
                <w:rFonts w:ascii="宋体" w:eastAsia="宋体" w:hint="eastAsia"/>
                <w:b/>
                <w:sz w:val="24"/>
              </w:rPr>
              <w:t>男性</w:t>
            </w:r>
          </w:p>
        </w:tc>
        <w:tc>
          <w:tcPr>
            <w:tcW w:w="2340" w:type="dxa"/>
          </w:tcPr>
          <w:p>
            <w:pPr>
              <w:pStyle w:val="TableParagraph"/>
              <w:spacing w:before="0"/>
              <w:ind w:left="908"/>
              <w:rPr>
                <w:rFonts w:ascii="宋体" w:eastAsia="宋体" w:hint="eastAsia"/>
                <w:b/>
                <w:sz w:val="24"/>
              </w:rPr>
            </w:pPr>
            <w:r>
              <w:rPr>
                <w:rFonts w:ascii="宋体" w:eastAsia="宋体" w:hint="eastAsia"/>
                <w:b/>
                <w:sz w:val="24"/>
              </w:rPr>
              <w:t>女性</w:t>
            </w:r>
          </w:p>
        </w:tc>
      </w:tr>
      <w:tr>
        <w:trPr>
          <w:trHeight w:val="312" w:hRule="atLeast"/>
        </w:trPr>
        <w:tc>
          <w:tcPr>
            <w:tcW w:w="2447" w:type="dxa"/>
          </w:tcPr>
          <w:p>
            <w:pPr>
              <w:pStyle w:val="TableParagraph"/>
              <w:spacing w:before="18"/>
              <w:ind w:left="961" w:right="953"/>
              <w:rPr>
                <w:sz w:val="24"/>
              </w:rPr>
            </w:pPr>
            <w:r>
              <w:rPr>
                <w:sz w:val="24"/>
              </w:rPr>
              <w:t>16</w:t>
            </w:r>
          </w:p>
        </w:tc>
        <w:tc>
          <w:tcPr>
            <w:tcW w:w="2233" w:type="dxa"/>
          </w:tcPr>
          <w:p>
            <w:pPr>
              <w:pStyle w:val="TableParagraph"/>
              <w:spacing w:before="18"/>
              <w:ind w:right="846"/>
              <w:rPr>
                <w:sz w:val="24"/>
              </w:rPr>
            </w:pPr>
            <w:r>
              <w:rPr>
                <w:sz w:val="24"/>
              </w:rPr>
              <w:t>0.7</w:t>
            </w:r>
          </w:p>
        </w:tc>
        <w:tc>
          <w:tcPr>
            <w:tcW w:w="2340" w:type="dxa"/>
          </w:tcPr>
          <w:p>
            <w:pPr>
              <w:pStyle w:val="TableParagraph"/>
              <w:spacing w:before="18"/>
              <w:ind w:left="908"/>
              <w:rPr>
                <w:sz w:val="24"/>
              </w:rPr>
            </w:pPr>
            <w:r>
              <w:rPr>
                <w:sz w:val="24"/>
              </w:rPr>
              <w:t>0.7</w:t>
            </w:r>
          </w:p>
        </w:tc>
      </w:tr>
      <w:tr>
        <w:trPr>
          <w:trHeight w:val="311" w:hRule="atLeast"/>
        </w:trPr>
        <w:tc>
          <w:tcPr>
            <w:tcW w:w="2447" w:type="dxa"/>
          </w:tcPr>
          <w:p>
            <w:pPr>
              <w:pStyle w:val="TableParagraph"/>
              <w:ind w:left="961" w:right="953"/>
              <w:rPr>
                <w:sz w:val="24"/>
              </w:rPr>
            </w:pPr>
            <w:r>
              <w:rPr>
                <w:sz w:val="24"/>
              </w:rPr>
              <w:t>17</w:t>
            </w:r>
          </w:p>
        </w:tc>
        <w:tc>
          <w:tcPr>
            <w:tcW w:w="2233" w:type="dxa"/>
          </w:tcPr>
          <w:p>
            <w:pPr>
              <w:pStyle w:val="TableParagraph"/>
              <w:ind w:right="846"/>
              <w:rPr>
                <w:sz w:val="24"/>
              </w:rPr>
            </w:pPr>
            <w:r>
              <w:rPr>
                <w:sz w:val="24"/>
              </w:rPr>
              <w:t>0.8</w:t>
            </w:r>
          </w:p>
        </w:tc>
        <w:tc>
          <w:tcPr>
            <w:tcW w:w="2340" w:type="dxa"/>
          </w:tcPr>
          <w:p>
            <w:pPr>
              <w:pStyle w:val="TableParagraph"/>
              <w:ind w:left="908"/>
              <w:rPr>
                <w:sz w:val="24"/>
              </w:rPr>
            </w:pPr>
            <w:r>
              <w:rPr>
                <w:sz w:val="24"/>
              </w:rPr>
              <w:t>0.7</w:t>
            </w:r>
          </w:p>
        </w:tc>
      </w:tr>
      <w:tr>
        <w:trPr>
          <w:trHeight w:val="311" w:hRule="atLeast"/>
        </w:trPr>
        <w:tc>
          <w:tcPr>
            <w:tcW w:w="2447" w:type="dxa"/>
          </w:tcPr>
          <w:p>
            <w:pPr>
              <w:pStyle w:val="TableParagraph"/>
              <w:ind w:left="961" w:right="953"/>
              <w:rPr>
                <w:sz w:val="24"/>
              </w:rPr>
            </w:pPr>
            <w:r>
              <w:rPr>
                <w:sz w:val="24"/>
              </w:rPr>
              <w:t>18</w:t>
            </w:r>
          </w:p>
        </w:tc>
        <w:tc>
          <w:tcPr>
            <w:tcW w:w="2233" w:type="dxa"/>
          </w:tcPr>
          <w:p>
            <w:pPr>
              <w:pStyle w:val="TableParagraph"/>
              <w:ind w:right="846"/>
              <w:rPr>
                <w:sz w:val="24"/>
              </w:rPr>
            </w:pPr>
            <w:r>
              <w:rPr>
                <w:sz w:val="24"/>
              </w:rPr>
              <w:t>0.8</w:t>
            </w:r>
          </w:p>
        </w:tc>
        <w:tc>
          <w:tcPr>
            <w:tcW w:w="2340" w:type="dxa"/>
          </w:tcPr>
          <w:p>
            <w:pPr>
              <w:pStyle w:val="TableParagraph"/>
              <w:ind w:left="908"/>
              <w:rPr>
                <w:sz w:val="24"/>
              </w:rPr>
            </w:pPr>
            <w:r>
              <w:rPr>
                <w:sz w:val="24"/>
              </w:rPr>
              <w:t>0.8</w:t>
            </w:r>
          </w:p>
        </w:tc>
      </w:tr>
      <w:tr>
        <w:trPr>
          <w:trHeight w:val="312" w:hRule="atLeast"/>
        </w:trPr>
        <w:tc>
          <w:tcPr>
            <w:tcW w:w="2447" w:type="dxa"/>
          </w:tcPr>
          <w:p>
            <w:pPr>
              <w:pStyle w:val="TableParagraph"/>
              <w:spacing w:before="18"/>
              <w:ind w:left="961" w:right="953"/>
              <w:rPr>
                <w:sz w:val="24"/>
              </w:rPr>
            </w:pPr>
            <w:r>
              <w:rPr>
                <w:sz w:val="24"/>
              </w:rPr>
              <w:t>19</w:t>
            </w:r>
          </w:p>
        </w:tc>
        <w:tc>
          <w:tcPr>
            <w:tcW w:w="2233" w:type="dxa"/>
          </w:tcPr>
          <w:p>
            <w:pPr>
              <w:pStyle w:val="TableParagraph"/>
              <w:spacing w:before="18"/>
              <w:ind w:right="846"/>
              <w:rPr>
                <w:sz w:val="24"/>
              </w:rPr>
            </w:pPr>
            <w:r>
              <w:rPr>
                <w:sz w:val="24"/>
              </w:rPr>
              <w:t>0.9</w:t>
            </w:r>
          </w:p>
        </w:tc>
        <w:tc>
          <w:tcPr>
            <w:tcW w:w="2340" w:type="dxa"/>
          </w:tcPr>
          <w:p>
            <w:pPr>
              <w:pStyle w:val="TableParagraph"/>
              <w:spacing w:before="18"/>
              <w:ind w:left="908"/>
              <w:rPr>
                <w:sz w:val="24"/>
              </w:rPr>
            </w:pPr>
            <w:r>
              <w:rPr>
                <w:sz w:val="24"/>
              </w:rPr>
              <w:t>0.9</w:t>
            </w:r>
          </w:p>
        </w:tc>
      </w:tr>
      <w:tr>
        <w:trPr>
          <w:trHeight w:val="311" w:hRule="atLeast"/>
        </w:trPr>
        <w:tc>
          <w:tcPr>
            <w:tcW w:w="2447" w:type="dxa"/>
          </w:tcPr>
          <w:p>
            <w:pPr>
              <w:pStyle w:val="TableParagraph"/>
              <w:ind w:left="961" w:right="953"/>
              <w:rPr>
                <w:sz w:val="24"/>
              </w:rPr>
            </w:pPr>
            <w:r>
              <w:rPr>
                <w:sz w:val="24"/>
              </w:rPr>
              <w:t>20</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0.9</w:t>
            </w:r>
          </w:p>
        </w:tc>
      </w:tr>
      <w:tr>
        <w:trPr>
          <w:trHeight w:val="311" w:hRule="atLeast"/>
        </w:trPr>
        <w:tc>
          <w:tcPr>
            <w:tcW w:w="2447" w:type="dxa"/>
          </w:tcPr>
          <w:p>
            <w:pPr>
              <w:pStyle w:val="TableParagraph"/>
              <w:ind w:left="961" w:right="953"/>
              <w:rPr>
                <w:sz w:val="24"/>
              </w:rPr>
            </w:pPr>
            <w:r>
              <w:rPr>
                <w:sz w:val="24"/>
              </w:rPr>
              <w:t>21</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1.0</w:t>
            </w:r>
          </w:p>
        </w:tc>
      </w:tr>
      <w:tr>
        <w:trPr>
          <w:trHeight w:val="312" w:hRule="atLeast"/>
        </w:trPr>
        <w:tc>
          <w:tcPr>
            <w:tcW w:w="2447" w:type="dxa"/>
          </w:tcPr>
          <w:p>
            <w:pPr>
              <w:pStyle w:val="TableParagraph"/>
              <w:spacing w:before="18"/>
              <w:ind w:left="961" w:right="953"/>
              <w:rPr>
                <w:sz w:val="24"/>
              </w:rPr>
            </w:pPr>
            <w:r>
              <w:rPr>
                <w:sz w:val="24"/>
              </w:rPr>
              <w:t>22</w:t>
            </w:r>
          </w:p>
        </w:tc>
        <w:tc>
          <w:tcPr>
            <w:tcW w:w="2233" w:type="dxa"/>
          </w:tcPr>
          <w:p>
            <w:pPr>
              <w:pStyle w:val="TableParagraph"/>
              <w:spacing w:before="18"/>
              <w:ind w:right="846"/>
              <w:rPr>
                <w:sz w:val="24"/>
              </w:rPr>
            </w:pPr>
            <w:r>
              <w:rPr>
                <w:sz w:val="24"/>
              </w:rPr>
              <w:t>1.0</w:t>
            </w:r>
          </w:p>
        </w:tc>
        <w:tc>
          <w:tcPr>
            <w:tcW w:w="2340" w:type="dxa"/>
          </w:tcPr>
          <w:p>
            <w:pPr>
              <w:pStyle w:val="TableParagraph"/>
              <w:spacing w:before="18"/>
              <w:ind w:left="908"/>
              <w:rPr>
                <w:sz w:val="24"/>
              </w:rPr>
            </w:pPr>
            <w:r>
              <w:rPr>
                <w:sz w:val="24"/>
              </w:rPr>
              <w:t>1.0</w:t>
            </w:r>
          </w:p>
        </w:tc>
      </w:tr>
      <w:tr>
        <w:trPr>
          <w:trHeight w:val="311" w:hRule="atLeast"/>
        </w:trPr>
        <w:tc>
          <w:tcPr>
            <w:tcW w:w="2447" w:type="dxa"/>
          </w:tcPr>
          <w:p>
            <w:pPr>
              <w:pStyle w:val="TableParagraph"/>
              <w:ind w:left="961" w:right="953"/>
              <w:rPr>
                <w:sz w:val="24"/>
              </w:rPr>
            </w:pPr>
            <w:r>
              <w:rPr>
                <w:sz w:val="24"/>
              </w:rPr>
              <w:t>23</w:t>
            </w:r>
          </w:p>
        </w:tc>
        <w:tc>
          <w:tcPr>
            <w:tcW w:w="2233" w:type="dxa"/>
          </w:tcPr>
          <w:p>
            <w:pPr>
              <w:pStyle w:val="TableParagraph"/>
              <w:ind w:right="846"/>
              <w:rPr>
                <w:sz w:val="24"/>
              </w:rPr>
            </w:pPr>
            <w:r>
              <w:rPr>
                <w:sz w:val="24"/>
              </w:rPr>
              <w:t>1.0</w:t>
            </w:r>
          </w:p>
        </w:tc>
        <w:tc>
          <w:tcPr>
            <w:tcW w:w="2340" w:type="dxa"/>
          </w:tcPr>
          <w:p>
            <w:pPr>
              <w:pStyle w:val="TableParagraph"/>
              <w:ind w:left="908"/>
              <w:rPr>
                <w:sz w:val="24"/>
              </w:rPr>
            </w:pPr>
            <w:r>
              <w:rPr>
                <w:sz w:val="24"/>
              </w:rPr>
              <w:t>1.2</w:t>
            </w:r>
          </w:p>
        </w:tc>
      </w:tr>
      <w:tr>
        <w:trPr>
          <w:trHeight w:val="312" w:hRule="atLeast"/>
        </w:trPr>
        <w:tc>
          <w:tcPr>
            <w:tcW w:w="2447" w:type="dxa"/>
          </w:tcPr>
          <w:p>
            <w:pPr>
              <w:pStyle w:val="TableParagraph"/>
              <w:spacing w:line="240" w:lineRule="auto"/>
              <w:ind w:left="961" w:right="953"/>
              <w:rPr>
                <w:sz w:val="24"/>
              </w:rPr>
            </w:pPr>
            <w:r>
              <w:rPr>
                <w:sz w:val="24"/>
              </w:rPr>
              <w:t>24</w:t>
            </w:r>
          </w:p>
        </w:tc>
        <w:tc>
          <w:tcPr>
            <w:tcW w:w="2233" w:type="dxa"/>
          </w:tcPr>
          <w:p>
            <w:pPr>
              <w:pStyle w:val="TableParagraph"/>
              <w:spacing w:line="240" w:lineRule="auto"/>
              <w:ind w:right="846"/>
              <w:rPr>
                <w:sz w:val="24"/>
              </w:rPr>
            </w:pPr>
            <w:r>
              <w:rPr>
                <w:sz w:val="24"/>
              </w:rPr>
              <w:t>1.1</w:t>
            </w:r>
          </w:p>
        </w:tc>
        <w:tc>
          <w:tcPr>
            <w:tcW w:w="2340" w:type="dxa"/>
          </w:tcPr>
          <w:p>
            <w:pPr>
              <w:pStyle w:val="TableParagraph"/>
              <w:spacing w:line="240" w:lineRule="auto"/>
              <w:ind w:left="908"/>
              <w:rPr>
                <w:sz w:val="24"/>
              </w:rPr>
            </w:pPr>
            <w:r>
              <w:rPr>
                <w:sz w:val="24"/>
              </w:rPr>
              <w:t>1.3</w:t>
            </w:r>
          </w:p>
        </w:tc>
      </w:tr>
    </w:tbl>
    <w:p>
      <w:pPr>
        <w:spacing w:after="0" w:line="240" w:lineRule="auto"/>
        <w:rPr>
          <w:sz w:val="24"/>
        </w:rPr>
        <w:sectPr>
          <w:type w:val="continuous"/>
          <w:pgSz w:w="11910" w:h="16840"/>
          <w:pgMar w:top="840" w:bottom="1040" w:left="1300" w:right="1300"/>
        </w:sectPr>
      </w:pPr>
    </w:p>
    <w:tbl>
      <w:tblPr>
        <w:tblW w:w="0" w:type="auto"/>
        <w:jc w:val="left"/>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7"/>
        <w:gridCol w:w="2233"/>
        <w:gridCol w:w="2340"/>
      </w:tblGrid>
      <w:tr>
        <w:trPr>
          <w:trHeight w:val="311" w:hRule="atLeast"/>
        </w:trPr>
        <w:tc>
          <w:tcPr>
            <w:tcW w:w="2447" w:type="dxa"/>
          </w:tcPr>
          <w:p>
            <w:pPr>
              <w:pStyle w:val="TableParagraph"/>
              <w:ind w:left="961" w:right="953"/>
              <w:rPr>
                <w:sz w:val="24"/>
              </w:rPr>
            </w:pPr>
            <w:r>
              <w:rPr>
                <w:sz w:val="24"/>
              </w:rPr>
              <w:t>25</w:t>
            </w:r>
          </w:p>
        </w:tc>
        <w:tc>
          <w:tcPr>
            <w:tcW w:w="2233" w:type="dxa"/>
          </w:tcPr>
          <w:p>
            <w:pPr>
              <w:pStyle w:val="TableParagraph"/>
              <w:ind w:right="846"/>
              <w:rPr>
                <w:sz w:val="24"/>
              </w:rPr>
            </w:pPr>
            <w:r>
              <w:rPr>
                <w:sz w:val="24"/>
              </w:rPr>
              <w:t>1.1</w:t>
            </w:r>
          </w:p>
        </w:tc>
        <w:tc>
          <w:tcPr>
            <w:tcW w:w="2340" w:type="dxa"/>
          </w:tcPr>
          <w:p>
            <w:pPr>
              <w:pStyle w:val="TableParagraph"/>
              <w:ind w:left="908"/>
              <w:rPr>
                <w:sz w:val="24"/>
              </w:rPr>
            </w:pPr>
            <w:r>
              <w:rPr>
                <w:sz w:val="24"/>
              </w:rPr>
              <w:t>1.3</w:t>
            </w:r>
          </w:p>
        </w:tc>
      </w:tr>
      <w:tr>
        <w:trPr>
          <w:trHeight w:val="311" w:hRule="atLeast"/>
        </w:trPr>
        <w:tc>
          <w:tcPr>
            <w:tcW w:w="2447" w:type="dxa"/>
          </w:tcPr>
          <w:p>
            <w:pPr>
              <w:pStyle w:val="TableParagraph"/>
              <w:ind w:left="961" w:right="953"/>
              <w:rPr>
                <w:sz w:val="24"/>
              </w:rPr>
            </w:pPr>
            <w:r>
              <w:rPr>
                <w:sz w:val="24"/>
              </w:rPr>
              <w:t>26</w:t>
            </w:r>
          </w:p>
        </w:tc>
        <w:tc>
          <w:tcPr>
            <w:tcW w:w="2233" w:type="dxa"/>
          </w:tcPr>
          <w:p>
            <w:pPr>
              <w:pStyle w:val="TableParagraph"/>
              <w:ind w:right="846"/>
              <w:rPr>
                <w:sz w:val="24"/>
              </w:rPr>
            </w:pPr>
            <w:r>
              <w:rPr>
                <w:sz w:val="24"/>
              </w:rPr>
              <w:t>1.2</w:t>
            </w:r>
          </w:p>
        </w:tc>
        <w:tc>
          <w:tcPr>
            <w:tcW w:w="2340" w:type="dxa"/>
          </w:tcPr>
          <w:p>
            <w:pPr>
              <w:pStyle w:val="TableParagraph"/>
              <w:ind w:left="908"/>
              <w:rPr>
                <w:sz w:val="24"/>
              </w:rPr>
            </w:pPr>
            <w:r>
              <w:rPr>
                <w:sz w:val="24"/>
              </w:rPr>
              <w:t>1.4</w:t>
            </w:r>
          </w:p>
        </w:tc>
      </w:tr>
      <w:tr>
        <w:trPr>
          <w:trHeight w:val="312" w:hRule="atLeast"/>
        </w:trPr>
        <w:tc>
          <w:tcPr>
            <w:tcW w:w="2447" w:type="dxa"/>
          </w:tcPr>
          <w:p>
            <w:pPr>
              <w:pStyle w:val="TableParagraph"/>
              <w:spacing w:before="18"/>
              <w:ind w:left="961" w:right="953"/>
              <w:rPr>
                <w:sz w:val="24"/>
              </w:rPr>
            </w:pPr>
            <w:r>
              <w:rPr>
                <w:sz w:val="24"/>
              </w:rPr>
              <w:t>27</w:t>
            </w:r>
          </w:p>
        </w:tc>
        <w:tc>
          <w:tcPr>
            <w:tcW w:w="2233" w:type="dxa"/>
          </w:tcPr>
          <w:p>
            <w:pPr>
              <w:pStyle w:val="TableParagraph"/>
              <w:spacing w:before="18"/>
              <w:ind w:right="846"/>
              <w:rPr>
                <w:sz w:val="24"/>
              </w:rPr>
            </w:pPr>
            <w:r>
              <w:rPr>
                <w:sz w:val="24"/>
              </w:rPr>
              <w:t>1.3</w:t>
            </w:r>
          </w:p>
        </w:tc>
        <w:tc>
          <w:tcPr>
            <w:tcW w:w="2340" w:type="dxa"/>
          </w:tcPr>
          <w:p>
            <w:pPr>
              <w:pStyle w:val="TableParagraph"/>
              <w:spacing w:before="18"/>
              <w:ind w:left="908"/>
              <w:rPr>
                <w:sz w:val="24"/>
              </w:rPr>
            </w:pPr>
            <w:r>
              <w:rPr>
                <w:sz w:val="24"/>
              </w:rPr>
              <w:t>1.5</w:t>
            </w:r>
          </w:p>
        </w:tc>
      </w:tr>
      <w:tr>
        <w:trPr>
          <w:trHeight w:val="311" w:hRule="atLeast"/>
        </w:trPr>
        <w:tc>
          <w:tcPr>
            <w:tcW w:w="2447" w:type="dxa"/>
          </w:tcPr>
          <w:p>
            <w:pPr>
              <w:pStyle w:val="TableParagraph"/>
              <w:ind w:left="961" w:right="953"/>
              <w:rPr>
                <w:sz w:val="24"/>
              </w:rPr>
            </w:pPr>
            <w:r>
              <w:rPr>
                <w:sz w:val="24"/>
              </w:rPr>
              <w:t>28</w:t>
            </w:r>
          </w:p>
        </w:tc>
        <w:tc>
          <w:tcPr>
            <w:tcW w:w="2233" w:type="dxa"/>
          </w:tcPr>
          <w:p>
            <w:pPr>
              <w:pStyle w:val="TableParagraph"/>
              <w:ind w:right="846"/>
              <w:rPr>
                <w:sz w:val="24"/>
              </w:rPr>
            </w:pPr>
            <w:r>
              <w:rPr>
                <w:sz w:val="24"/>
              </w:rPr>
              <w:t>1.5</w:t>
            </w:r>
          </w:p>
        </w:tc>
        <w:tc>
          <w:tcPr>
            <w:tcW w:w="2340" w:type="dxa"/>
          </w:tcPr>
          <w:p>
            <w:pPr>
              <w:pStyle w:val="TableParagraph"/>
              <w:ind w:left="908"/>
              <w:rPr>
                <w:sz w:val="24"/>
              </w:rPr>
            </w:pPr>
            <w:r>
              <w:rPr>
                <w:sz w:val="24"/>
              </w:rPr>
              <w:t>1.7</w:t>
            </w:r>
          </w:p>
        </w:tc>
      </w:tr>
      <w:tr>
        <w:trPr>
          <w:trHeight w:val="311" w:hRule="atLeast"/>
        </w:trPr>
        <w:tc>
          <w:tcPr>
            <w:tcW w:w="2447" w:type="dxa"/>
          </w:tcPr>
          <w:p>
            <w:pPr>
              <w:pStyle w:val="TableParagraph"/>
              <w:ind w:left="961" w:right="953"/>
              <w:rPr>
                <w:sz w:val="24"/>
              </w:rPr>
            </w:pPr>
            <w:r>
              <w:rPr>
                <w:sz w:val="24"/>
              </w:rPr>
              <w:t>29</w:t>
            </w:r>
          </w:p>
        </w:tc>
        <w:tc>
          <w:tcPr>
            <w:tcW w:w="2233" w:type="dxa"/>
          </w:tcPr>
          <w:p>
            <w:pPr>
              <w:pStyle w:val="TableParagraph"/>
              <w:ind w:right="846"/>
              <w:rPr>
                <w:sz w:val="24"/>
              </w:rPr>
            </w:pPr>
            <w:r>
              <w:rPr>
                <w:sz w:val="24"/>
              </w:rPr>
              <w:t>1.7</w:t>
            </w:r>
          </w:p>
        </w:tc>
        <w:tc>
          <w:tcPr>
            <w:tcW w:w="2340" w:type="dxa"/>
          </w:tcPr>
          <w:p>
            <w:pPr>
              <w:pStyle w:val="TableParagraph"/>
              <w:ind w:left="908"/>
              <w:rPr>
                <w:sz w:val="24"/>
              </w:rPr>
            </w:pPr>
            <w:r>
              <w:rPr>
                <w:sz w:val="24"/>
              </w:rPr>
              <w:t>1.9</w:t>
            </w:r>
          </w:p>
        </w:tc>
      </w:tr>
      <w:tr>
        <w:trPr>
          <w:trHeight w:val="312" w:hRule="atLeast"/>
        </w:trPr>
        <w:tc>
          <w:tcPr>
            <w:tcW w:w="2447" w:type="dxa"/>
          </w:tcPr>
          <w:p>
            <w:pPr>
              <w:pStyle w:val="TableParagraph"/>
              <w:spacing w:before="18"/>
              <w:ind w:left="961" w:right="953"/>
              <w:rPr>
                <w:sz w:val="24"/>
              </w:rPr>
            </w:pPr>
            <w:r>
              <w:rPr>
                <w:sz w:val="24"/>
              </w:rPr>
              <w:t>30</w:t>
            </w:r>
          </w:p>
        </w:tc>
        <w:tc>
          <w:tcPr>
            <w:tcW w:w="2233" w:type="dxa"/>
          </w:tcPr>
          <w:p>
            <w:pPr>
              <w:pStyle w:val="TableParagraph"/>
              <w:spacing w:before="18"/>
              <w:ind w:right="846"/>
              <w:rPr>
                <w:sz w:val="24"/>
              </w:rPr>
            </w:pPr>
            <w:r>
              <w:rPr>
                <w:sz w:val="24"/>
              </w:rPr>
              <w:t>1.8</w:t>
            </w:r>
          </w:p>
        </w:tc>
        <w:tc>
          <w:tcPr>
            <w:tcW w:w="2340" w:type="dxa"/>
          </w:tcPr>
          <w:p>
            <w:pPr>
              <w:pStyle w:val="TableParagraph"/>
              <w:spacing w:before="18"/>
              <w:ind w:left="908"/>
              <w:rPr>
                <w:sz w:val="24"/>
              </w:rPr>
            </w:pPr>
            <w:r>
              <w:rPr>
                <w:sz w:val="24"/>
              </w:rPr>
              <w:t>2.2</w:t>
            </w:r>
          </w:p>
        </w:tc>
      </w:tr>
      <w:tr>
        <w:trPr>
          <w:trHeight w:val="311" w:hRule="atLeast"/>
        </w:trPr>
        <w:tc>
          <w:tcPr>
            <w:tcW w:w="2447" w:type="dxa"/>
          </w:tcPr>
          <w:p>
            <w:pPr>
              <w:pStyle w:val="TableParagraph"/>
              <w:ind w:left="961" w:right="953"/>
              <w:rPr>
                <w:sz w:val="24"/>
              </w:rPr>
            </w:pPr>
            <w:r>
              <w:rPr>
                <w:sz w:val="24"/>
              </w:rPr>
              <w:t>31</w:t>
            </w:r>
          </w:p>
        </w:tc>
        <w:tc>
          <w:tcPr>
            <w:tcW w:w="2233" w:type="dxa"/>
          </w:tcPr>
          <w:p>
            <w:pPr>
              <w:pStyle w:val="TableParagraph"/>
              <w:ind w:right="846"/>
              <w:rPr>
                <w:sz w:val="24"/>
              </w:rPr>
            </w:pPr>
            <w:r>
              <w:rPr>
                <w:sz w:val="24"/>
              </w:rPr>
              <w:t>2.0</w:t>
            </w:r>
          </w:p>
        </w:tc>
        <w:tc>
          <w:tcPr>
            <w:tcW w:w="2340" w:type="dxa"/>
          </w:tcPr>
          <w:p>
            <w:pPr>
              <w:pStyle w:val="TableParagraph"/>
              <w:ind w:left="908"/>
              <w:rPr>
                <w:sz w:val="24"/>
              </w:rPr>
            </w:pPr>
            <w:r>
              <w:rPr>
                <w:sz w:val="24"/>
              </w:rPr>
              <w:t>2.4</w:t>
            </w:r>
          </w:p>
        </w:tc>
      </w:tr>
      <w:tr>
        <w:trPr>
          <w:trHeight w:val="311" w:hRule="atLeast"/>
        </w:trPr>
        <w:tc>
          <w:tcPr>
            <w:tcW w:w="2447" w:type="dxa"/>
          </w:tcPr>
          <w:p>
            <w:pPr>
              <w:pStyle w:val="TableParagraph"/>
              <w:ind w:left="961" w:right="953"/>
              <w:rPr>
                <w:sz w:val="24"/>
              </w:rPr>
            </w:pPr>
            <w:r>
              <w:rPr>
                <w:sz w:val="24"/>
              </w:rPr>
              <w:t>32</w:t>
            </w:r>
          </w:p>
        </w:tc>
        <w:tc>
          <w:tcPr>
            <w:tcW w:w="2233" w:type="dxa"/>
          </w:tcPr>
          <w:p>
            <w:pPr>
              <w:pStyle w:val="TableParagraph"/>
              <w:ind w:right="846"/>
              <w:rPr>
                <w:sz w:val="24"/>
              </w:rPr>
            </w:pPr>
            <w:r>
              <w:rPr>
                <w:sz w:val="24"/>
              </w:rPr>
              <w:t>2.1</w:t>
            </w:r>
          </w:p>
        </w:tc>
        <w:tc>
          <w:tcPr>
            <w:tcW w:w="2340" w:type="dxa"/>
          </w:tcPr>
          <w:p>
            <w:pPr>
              <w:pStyle w:val="TableParagraph"/>
              <w:ind w:left="908"/>
              <w:rPr>
                <w:sz w:val="24"/>
              </w:rPr>
            </w:pPr>
            <w:r>
              <w:rPr>
                <w:sz w:val="24"/>
              </w:rPr>
              <w:t>2.7</w:t>
            </w:r>
          </w:p>
        </w:tc>
      </w:tr>
      <w:tr>
        <w:trPr>
          <w:trHeight w:val="312" w:hRule="atLeast"/>
        </w:trPr>
        <w:tc>
          <w:tcPr>
            <w:tcW w:w="2447" w:type="dxa"/>
          </w:tcPr>
          <w:p>
            <w:pPr>
              <w:pStyle w:val="TableParagraph"/>
              <w:spacing w:before="18"/>
              <w:ind w:left="961" w:right="953"/>
              <w:rPr>
                <w:sz w:val="24"/>
              </w:rPr>
            </w:pPr>
            <w:r>
              <w:rPr>
                <w:sz w:val="24"/>
              </w:rPr>
              <w:t>33</w:t>
            </w:r>
          </w:p>
        </w:tc>
        <w:tc>
          <w:tcPr>
            <w:tcW w:w="2233" w:type="dxa"/>
          </w:tcPr>
          <w:p>
            <w:pPr>
              <w:pStyle w:val="TableParagraph"/>
              <w:spacing w:before="18"/>
              <w:ind w:right="846"/>
              <w:rPr>
                <w:sz w:val="24"/>
              </w:rPr>
            </w:pPr>
            <w:r>
              <w:rPr>
                <w:sz w:val="24"/>
              </w:rPr>
              <w:t>2.4</w:t>
            </w:r>
          </w:p>
        </w:tc>
        <w:tc>
          <w:tcPr>
            <w:tcW w:w="2340" w:type="dxa"/>
          </w:tcPr>
          <w:p>
            <w:pPr>
              <w:pStyle w:val="TableParagraph"/>
              <w:spacing w:before="18"/>
              <w:ind w:left="908"/>
              <w:rPr>
                <w:sz w:val="24"/>
              </w:rPr>
            </w:pPr>
            <w:r>
              <w:rPr>
                <w:sz w:val="24"/>
              </w:rPr>
              <w:t>2.9</w:t>
            </w:r>
          </w:p>
        </w:tc>
      </w:tr>
      <w:tr>
        <w:trPr>
          <w:trHeight w:val="311" w:hRule="atLeast"/>
        </w:trPr>
        <w:tc>
          <w:tcPr>
            <w:tcW w:w="2447" w:type="dxa"/>
          </w:tcPr>
          <w:p>
            <w:pPr>
              <w:pStyle w:val="TableParagraph"/>
              <w:ind w:left="961" w:right="953"/>
              <w:rPr>
                <w:sz w:val="24"/>
              </w:rPr>
            </w:pPr>
            <w:r>
              <w:rPr>
                <w:sz w:val="24"/>
              </w:rPr>
              <w:t>34</w:t>
            </w:r>
          </w:p>
        </w:tc>
        <w:tc>
          <w:tcPr>
            <w:tcW w:w="2233" w:type="dxa"/>
          </w:tcPr>
          <w:p>
            <w:pPr>
              <w:pStyle w:val="TableParagraph"/>
              <w:ind w:right="846"/>
              <w:rPr>
                <w:sz w:val="24"/>
              </w:rPr>
            </w:pPr>
            <w:r>
              <w:rPr>
                <w:sz w:val="24"/>
              </w:rPr>
              <w:t>2.6</w:t>
            </w:r>
          </w:p>
        </w:tc>
        <w:tc>
          <w:tcPr>
            <w:tcW w:w="2340" w:type="dxa"/>
          </w:tcPr>
          <w:p>
            <w:pPr>
              <w:pStyle w:val="TableParagraph"/>
              <w:ind w:left="908"/>
              <w:rPr>
                <w:sz w:val="24"/>
              </w:rPr>
            </w:pPr>
            <w:r>
              <w:rPr>
                <w:sz w:val="24"/>
              </w:rPr>
              <w:t>3.1</w:t>
            </w:r>
          </w:p>
        </w:tc>
      </w:tr>
      <w:tr>
        <w:trPr>
          <w:trHeight w:val="311" w:hRule="atLeast"/>
        </w:trPr>
        <w:tc>
          <w:tcPr>
            <w:tcW w:w="2447" w:type="dxa"/>
          </w:tcPr>
          <w:p>
            <w:pPr>
              <w:pStyle w:val="TableParagraph"/>
              <w:ind w:left="961" w:right="953"/>
              <w:rPr>
                <w:sz w:val="24"/>
              </w:rPr>
            </w:pPr>
            <w:r>
              <w:rPr>
                <w:sz w:val="24"/>
              </w:rPr>
              <w:t>35</w:t>
            </w:r>
          </w:p>
        </w:tc>
        <w:tc>
          <w:tcPr>
            <w:tcW w:w="2233" w:type="dxa"/>
          </w:tcPr>
          <w:p>
            <w:pPr>
              <w:pStyle w:val="TableParagraph"/>
              <w:ind w:right="846"/>
              <w:rPr>
                <w:sz w:val="24"/>
              </w:rPr>
            </w:pPr>
            <w:r>
              <w:rPr>
                <w:sz w:val="24"/>
              </w:rPr>
              <w:t>2.9</w:t>
            </w:r>
          </w:p>
        </w:tc>
        <w:tc>
          <w:tcPr>
            <w:tcW w:w="2340" w:type="dxa"/>
          </w:tcPr>
          <w:p>
            <w:pPr>
              <w:pStyle w:val="TableParagraph"/>
              <w:ind w:left="908"/>
              <w:rPr>
                <w:sz w:val="24"/>
              </w:rPr>
            </w:pPr>
            <w:r>
              <w:rPr>
                <w:sz w:val="24"/>
              </w:rPr>
              <w:t>3.4</w:t>
            </w:r>
          </w:p>
        </w:tc>
      </w:tr>
      <w:tr>
        <w:trPr>
          <w:trHeight w:val="312" w:hRule="atLeast"/>
        </w:trPr>
        <w:tc>
          <w:tcPr>
            <w:tcW w:w="2447" w:type="dxa"/>
          </w:tcPr>
          <w:p>
            <w:pPr>
              <w:pStyle w:val="TableParagraph"/>
              <w:spacing w:before="18"/>
              <w:ind w:left="961" w:right="953"/>
              <w:rPr>
                <w:sz w:val="24"/>
              </w:rPr>
            </w:pPr>
            <w:r>
              <w:rPr>
                <w:sz w:val="24"/>
              </w:rPr>
              <w:t>36</w:t>
            </w:r>
          </w:p>
        </w:tc>
        <w:tc>
          <w:tcPr>
            <w:tcW w:w="2233" w:type="dxa"/>
          </w:tcPr>
          <w:p>
            <w:pPr>
              <w:pStyle w:val="TableParagraph"/>
              <w:spacing w:before="18"/>
              <w:ind w:right="846"/>
              <w:rPr>
                <w:sz w:val="24"/>
              </w:rPr>
            </w:pPr>
            <w:r>
              <w:rPr>
                <w:sz w:val="24"/>
              </w:rPr>
              <w:t>3.2</w:t>
            </w:r>
          </w:p>
        </w:tc>
        <w:tc>
          <w:tcPr>
            <w:tcW w:w="2340" w:type="dxa"/>
          </w:tcPr>
          <w:p>
            <w:pPr>
              <w:pStyle w:val="TableParagraph"/>
              <w:spacing w:before="18"/>
              <w:ind w:left="908"/>
              <w:rPr>
                <w:sz w:val="24"/>
              </w:rPr>
            </w:pPr>
            <w:r>
              <w:rPr>
                <w:sz w:val="24"/>
              </w:rPr>
              <w:t>3.6</w:t>
            </w:r>
          </w:p>
        </w:tc>
      </w:tr>
      <w:tr>
        <w:trPr>
          <w:trHeight w:val="311" w:hRule="atLeast"/>
        </w:trPr>
        <w:tc>
          <w:tcPr>
            <w:tcW w:w="2447" w:type="dxa"/>
          </w:tcPr>
          <w:p>
            <w:pPr>
              <w:pStyle w:val="TableParagraph"/>
              <w:ind w:left="961" w:right="953"/>
              <w:rPr>
                <w:sz w:val="24"/>
              </w:rPr>
            </w:pPr>
            <w:r>
              <w:rPr>
                <w:sz w:val="24"/>
              </w:rPr>
              <w:t>37</w:t>
            </w:r>
          </w:p>
        </w:tc>
        <w:tc>
          <w:tcPr>
            <w:tcW w:w="2233" w:type="dxa"/>
          </w:tcPr>
          <w:p>
            <w:pPr>
              <w:pStyle w:val="TableParagraph"/>
              <w:ind w:right="846"/>
              <w:rPr>
                <w:sz w:val="24"/>
              </w:rPr>
            </w:pPr>
            <w:r>
              <w:rPr>
                <w:sz w:val="24"/>
              </w:rPr>
              <w:t>3.5</w:t>
            </w:r>
          </w:p>
        </w:tc>
        <w:tc>
          <w:tcPr>
            <w:tcW w:w="2340" w:type="dxa"/>
          </w:tcPr>
          <w:p>
            <w:pPr>
              <w:pStyle w:val="TableParagraph"/>
              <w:ind w:left="908"/>
              <w:rPr>
                <w:sz w:val="24"/>
              </w:rPr>
            </w:pPr>
            <w:r>
              <w:rPr>
                <w:sz w:val="24"/>
              </w:rPr>
              <w:t>3.9</w:t>
            </w:r>
          </w:p>
        </w:tc>
      </w:tr>
      <w:tr>
        <w:trPr>
          <w:trHeight w:val="311" w:hRule="atLeast"/>
        </w:trPr>
        <w:tc>
          <w:tcPr>
            <w:tcW w:w="2447" w:type="dxa"/>
          </w:tcPr>
          <w:p>
            <w:pPr>
              <w:pStyle w:val="TableParagraph"/>
              <w:ind w:left="961" w:right="953"/>
              <w:rPr>
                <w:sz w:val="24"/>
              </w:rPr>
            </w:pPr>
            <w:r>
              <w:rPr>
                <w:sz w:val="24"/>
              </w:rPr>
              <w:t>38</w:t>
            </w:r>
          </w:p>
        </w:tc>
        <w:tc>
          <w:tcPr>
            <w:tcW w:w="2233" w:type="dxa"/>
          </w:tcPr>
          <w:p>
            <w:pPr>
              <w:pStyle w:val="TableParagraph"/>
              <w:ind w:right="846"/>
              <w:rPr>
                <w:sz w:val="24"/>
              </w:rPr>
            </w:pPr>
            <w:r>
              <w:rPr>
                <w:sz w:val="24"/>
              </w:rPr>
              <w:t>3.9</w:t>
            </w:r>
          </w:p>
        </w:tc>
        <w:tc>
          <w:tcPr>
            <w:tcW w:w="2340" w:type="dxa"/>
          </w:tcPr>
          <w:p>
            <w:pPr>
              <w:pStyle w:val="TableParagraph"/>
              <w:ind w:left="908"/>
              <w:rPr>
                <w:sz w:val="24"/>
              </w:rPr>
            </w:pPr>
            <w:r>
              <w:rPr>
                <w:sz w:val="24"/>
              </w:rPr>
              <w:t>4.6</w:t>
            </w:r>
          </w:p>
        </w:tc>
      </w:tr>
      <w:tr>
        <w:trPr>
          <w:trHeight w:val="312" w:hRule="atLeast"/>
        </w:trPr>
        <w:tc>
          <w:tcPr>
            <w:tcW w:w="2447" w:type="dxa"/>
          </w:tcPr>
          <w:p>
            <w:pPr>
              <w:pStyle w:val="TableParagraph"/>
              <w:spacing w:before="18"/>
              <w:ind w:left="961" w:right="953"/>
              <w:rPr>
                <w:sz w:val="24"/>
              </w:rPr>
            </w:pPr>
            <w:r>
              <w:rPr>
                <w:sz w:val="24"/>
              </w:rPr>
              <w:t>39</w:t>
            </w:r>
          </w:p>
        </w:tc>
        <w:tc>
          <w:tcPr>
            <w:tcW w:w="2233" w:type="dxa"/>
          </w:tcPr>
          <w:p>
            <w:pPr>
              <w:pStyle w:val="TableParagraph"/>
              <w:spacing w:before="18"/>
              <w:ind w:right="846"/>
              <w:rPr>
                <w:sz w:val="24"/>
              </w:rPr>
            </w:pPr>
            <w:r>
              <w:rPr>
                <w:sz w:val="24"/>
              </w:rPr>
              <w:t>4.4</w:t>
            </w:r>
          </w:p>
        </w:tc>
        <w:tc>
          <w:tcPr>
            <w:tcW w:w="2340" w:type="dxa"/>
          </w:tcPr>
          <w:p>
            <w:pPr>
              <w:pStyle w:val="TableParagraph"/>
              <w:spacing w:before="18"/>
              <w:ind w:left="908"/>
              <w:rPr>
                <w:sz w:val="24"/>
              </w:rPr>
            </w:pPr>
            <w:r>
              <w:rPr>
                <w:sz w:val="24"/>
              </w:rPr>
              <w:t>5.2</w:t>
            </w:r>
          </w:p>
        </w:tc>
      </w:tr>
      <w:tr>
        <w:trPr>
          <w:trHeight w:val="311" w:hRule="atLeast"/>
        </w:trPr>
        <w:tc>
          <w:tcPr>
            <w:tcW w:w="2447" w:type="dxa"/>
          </w:tcPr>
          <w:p>
            <w:pPr>
              <w:pStyle w:val="TableParagraph"/>
              <w:ind w:left="961" w:right="953"/>
              <w:rPr>
                <w:sz w:val="24"/>
              </w:rPr>
            </w:pPr>
            <w:r>
              <w:rPr>
                <w:sz w:val="24"/>
              </w:rPr>
              <w:t>40</w:t>
            </w:r>
          </w:p>
        </w:tc>
        <w:tc>
          <w:tcPr>
            <w:tcW w:w="2233" w:type="dxa"/>
          </w:tcPr>
          <w:p>
            <w:pPr>
              <w:pStyle w:val="TableParagraph"/>
              <w:ind w:right="846"/>
              <w:rPr>
                <w:sz w:val="24"/>
              </w:rPr>
            </w:pPr>
            <w:r>
              <w:rPr>
                <w:sz w:val="24"/>
              </w:rPr>
              <w:t>4.9</w:t>
            </w:r>
          </w:p>
        </w:tc>
        <w:tc>
          <w:tcPr>
            <w:tcW w:w="2340" w:type="dxa"/>
          </w:tcPr>
          <w:p>
            <w:pPr>
              <w:pStyle w:val="TableParagraph"/>
              <w:ind w:left="908"/>
              <w:rPr>
                <w:sz w:val="24"/>
              </w:rPr>
            </w:pPr>
            <w:r>
              <w:rPr>
                <w:sz w:val="24"/>
              </w:rPr>
              <w:t>5.9</w:t>
            </w:r>
          </w:p>
        </w:tc>
      </w:tr>
      <w:tr>
        <w:trPr>
          <w:trHeight w:val="311" w:hRule="atLeast"/>
        </w:trPr>
        <w:tc>
          <w:tcPr>
            <w:tcW w:w="2447" w:type="dxa"/>
          </w:tcPr>
          <w:p>
            <w:pPr>
              <w:pStyle w:val="TableParagraph"/>
              <w:ind w:left="961" w:right="953"/>
              <w:rPr>
                <w:sz w:val="24"/>
              </w:rPr>
            </w:pPr>
            <w:r>
              <w:rPr>
                <w:sz w:val="24"/>
              </w:rPr>
              <w:t>41</w:t>
            </w:r>
          </w:p>
        </w:tc>
        <w:tc>
          <w:tcPr>
            <w:tcW w:w="2233" w:type="dxa"/>
          </w:tcPr>
          <w:p>
            <w:pPr>
              <w:pStyle w:val="TableParagraph"/>
              <w:ind w:right="846"/>
              <w:rPr>
                <w:sz w:val="24"/>
              </w:rPr>
            </w:pPr>
            <w:r>
              <w:rPr>
                <w:sz w:val="24"/>
              </w:rPr>
              <w:t>5.4</w:t>
            </w:r>
          </w:p>
        </w:tc>
        <w:tc>
          <w:tcPr>
            <w:tcW w:w="2340" w:type="dxa"/>
          </w:tcPr>
          <w:p>
            <w:pPr>
              <w:pStyle w:val="TableParagraph"/>
              <w:ind w:left="908"/>
              <w:rPr>
                <w:sz w:val="24"/>
              </w:rPr>
            </w:pPr>
            <w:r>
              <w:rPr>
                <w:sz w:val="24"/>
              </w:rPr>
              <w:t>6.5</w:t>
            </w:r>
          </w:p>
        </w:tc>
      </w:tr>
      <w:tr>
        <w:trPr>
          <w:trHeight w:val="312" w:hRule="atLeast"/>
        </w:trPr>
        <w:tc>
          <w:tcPr>
            <w:tcW w:w="2447" w:type="dxa"/>
          </w:tcPr>
          <w:p>
            <w:pPr>
              <w:pStyle w:val="TableParagraph"/>
              <w:spacing w:before="18"/>
              <w:ind w:left="961" w:right="953"/>
              <w:rPr>
                <w:sz w:val="24"/>
              </w:rPr>
            </w:pPr>
            <w:r>
              <w:rPr>
                <w:sz w:val="24"/>
              </w:rPr>
              <w:t>42</w:t>
            </w:r>
          </w:p>
        </w:tc>
        <w:tc>
          <w:tcPr>
            <w:tcW w:w="2233" w:type="dxa"/>
          </w:tcPr>
          <w:p>
            <w:pPr>
              <w:pStyle w:val="TableParagraph"/>
              <w:spacing w:before="18"/>
              <w:ind w:right="846"/>
              <w:rPr>
                <w:sz w:val="24"/>
              </w:rPr>
            </w:pPr>
            <w:r>
              <w:rPr>
                <w:sz w:val="24"/>
              </w:rPr>
              <w:t>6.0</w:t>
            </w:r>
          </w:p>
        </w:tc>
        <w:tc>
          <w:tcPr>
            <w:tcW w:w="2340" w:type="dxa"/>
          </w:tcPr>
          <w:p>
            <w:pPr>
              <w:pStyle w:val="TableParagraph"/>
              <w:spacing w:before="18"/>
              <w:ind w:left="908"/>
              <w:rPr>
                <w:sz w:val="24"/>
              </w:rPr>
            </w:pPr>
            <w:r>
              <w:rPr>
                <w:sz w:val="24"/>
              </w:rPr>
              <w:t>7.2</w:t>
            </w:r>
          </w:p>
        </w:tc>
      </w:tr>
      <w:tr>
        <w:trPr>
          <w:trHeight w:val="311" w:hRule="atLeast"/>
        </w:trPr>
        <w:tc>
          <w:tcPr>
            <w:tcW w:w="2447" w:type="dxa"/>
          </w:tcPr>
          <w:p>
            <w:pPr>
              <w:pStyle w:val="TableParagraph"/>
              <w:ind w:left="961" w:right="953"/>
              <w:rPr>
                <w:sz w:val="24"/>
              </w:rPr>
            </w:pPr>
            <w:r>
              <w:rPr>
                <w:sz w:val="24"/>
              </w:rPr>
              <w:t>43</w:t>
            </w:r>
          </w:p>
        </w:tc>
        <w:tc>
          <w:tcPr>
            <w:tcW w:w="2233" w:type="dxa"/>
          </w:tcPr>
          <w:p>
            <w:pPr>
              <w:pStyle w:val="TableParagraph"/>
              <w:ind w:right="846"/>
              <w:rPr>
                <w:sz w:val="24"/>
              </w:rPr>
            </w:pPr>
            <w:r>
              <w:rPr>
                <w:sz w:val="24"/>
              </w:rPr>
              <w:t>6.6</w:t>
            </w:r>
          </w:p>
        </w:tc>
        <w:tc>
          <w:tcPr>
            <w:tcW w:w="2340" w:type="dxa"/>
          </w:tcPr>
          <w:p>
            <w:pPr>
              <w:pStyle w:val="TableParagraph"/>
              <w:ind w:left="908"/>
              <w:rPr>
                <w:sz w:val="24"/>
              </w:rPr>
            </w:pPr>
            <w:r>
              <w:rPr>
                <w:sz w:val="24"/>
              </w:rPr>
              <w:t>8.0</w:t>
            </w:r>
          </w:p>
        </w:tc>
      </w:tr>
      <w:tr>
        <w:trPr>
          <w:trHeight w:val="311" w:hRule="atLeast"/>
        </w:trPr>
        <w:tc>
          <w:tcPr>
            <w:tcW w:w="2447" w:type="dxa"/>
          </w:tcPr>
          <w:p>
            <w:pPr>
              <w:pStyle w:val="TableParagraph"/>
              <w:ind w:left="961" w:right="953"/>
              <w:rPr>
                <w:sz w:val="24"/>
              </w:rPr>
            </w:pPr>
            <w:r>
              <w:rPr>
                <w:sz w:val="24"/>
              </w:rPr>
              <w:t>44</w:t>
            </w:r>
          </w:p>
        </w:tc>
        <w:tc>
          <w:tcPr>
            <w:tcW w:w="2233" w:type="dxa"/>
          </w:tcPr>
          <w:p>
            <w:pPr>
              <w:pStyle w:val="TableParagraph"/>
              <w:ind w:right="846"/>
              <w:rPr>
                <w:sz w:val="24"/>
              </w:rPr>
            </w:pPr>
            <w:r>
              <w:rPr>
                <w:sz w:val="24"/>
              </w:rPr>
              <w:t>7.3</w:t>
            </w:r>
          </w:p>
        </w:tc>
        <w:tc>
          <w:tcPr>
            <w:tcW w:w="2340" w:type="dxa"/>
          </w:tcPr>
          <w:p>
            <w:pPr>
              <w:pStyle w:val="TableParagraph"/>
              <w:ind w:left="908"/>
              <w:rPr>
                <w:sz w:val="24"/>
              </w:rPr>
            </w:pPr>
            <w:r>
              <w:rPr>
                <w:sz w:val="24"/>
              </w:rPr>
              <w:t>8.8</w:t>
            </w:r>
          </w:p>
        </w:tc>
      </w:tr>
      <w:tr>
        <w:trPr>
          <w:trHeight w:val="312" w:hRule="atLeast"/>
        </w:trPr>
        <w:tc>
          <w:tcPr>
            <w:tcW w:w="2447" w:type="dxa"/>
          </w:tcPr>
          <w:p>
            <w:pPr>
              <w:pStyle w:val="TableParagraph"/>
              <w:spacing w:before="18"/>
              <w:ind w:left="961" w:right="953"/>
              <w:rPr>
                <w:sz w:val="24"/>
              </w:rPr>
            </w:pPr>
            <w:r>
              <w:rPr>
                <w:sz w:val="24"/>
              </w:rPr>
              <w:t>45</w:t>
            </w:r>
          </w:p>
        </w:tc>
        <w:tc>
          <w:tcPr>
            <w:tcW w:w="2233" w:type="dxa"/>
          </w:tcPr>
          <w:p>
            <w:pPr>
              <w:pStyle w:val="TableParagraph"/>
              <w:spacing w:before="18"/>
              <w:ind w:right="846"/>
              <w:rPr>
                <w:sz w:val="24"/>
              </w:rPr>
            </w:pPr>
            <w:r>
              <w:rPr>
                <w:sz w:val="24"/>
              </w:rPr>
              <w:t>8.0</w:t>
            </w:r>
          </w:p>
        </w:tc>
        <w:tc>
          <w:tcPr>
            <w:tcW w:w="2340" w:type="dxa"/>
          </w:tcPr>
          <w:p>
            <w:pPr>
              <w:pStyle w:val="TableParagraph"/>
              <w:spacing w:before="18"/>
              <w:ind w:left="908"/>
              <w:rPr>
                <w:sz w:val="24"/>
              </w:rPr>
            </w:pPr>
            <w:r>
              <w:rPr>
                <w:sz w:val="24"/>
              </w:rPr>
              <w:t>9.5</w:t>
            </w:r>
          </w:p>
        </w:tc>
      </w:tr>
      <w:tr>
        <w:trPr>
          <w:trHeight w:val="311" w:hRule="atLeast"/>
        </w:trPr>
        <w:tc>
          <w:tcPr>
            <w:tcW w:w="2447" w:type="dxa"/>
          </w:tcPr>
          <w:p>
            <w:pPr>
              <w:pStyle w:val="TableParagraph"/>
              <w:ind w:left="961" w:right="953"/>
              <w:rPr>
                <w:sz w:val="24"/>
              </w:rPr>
            </w:pPr>
            <w:r>
              <w:rPr>
                <w:sz w:val="24"/>
              </w:rPr>
              <w:t>46</w:t>
            </w:r>
          </w:p>
        </w:tc>
        <w:tc>
          <w:tcPr>
            <w:tcW w:w="2233" w:type="dxa"/>
          </w:tcPr>
          <w:p>
            <w:pPr>
              <w:pStyle w:val="TableParagraph"/>
              <w:ind w:right="846"/>
              <w:rPr>
                <w:sz w:val="24"/>
              </w:rPr>
            </w:pPr>
            <w:r>
              <w:rPr>
                <w:sz w:val="24"/>
              </w:rPr>
              <w:t>9.0</w:t>
            </w:r>
          </w:p>
        </w:tc>
        <w:tc>
          <w:tcPr>
            <w:tcW w:w="2340" w:type="dxa"/>
          </w:tcPr>
          <w:p>
            <w:pPr>
              <w:pStyle w:val="TableParagraph"/>
              <w:ind w:left="908"/>
              <w:rPr>
                <w:sz w:val="24"/>
              </w:rPr>
            </w:pPr>
            <w:r>
              <w:rPr>
                <w:sz w:val="24"/>
              </w:rPr>
              <w:t>10.2</w:t>
            </w:r>
          </w:p>
        </w:tc>
      </w:tr>
      <w:tr>
        <w:trPr>
          <w:trHeight w:val="311" w:hRule="atLeast"/>
        </w:trPr>
        <w:tc>
          <w:tcPr>
            <w:tcW w:w="2447" w:type="dxa"/>
          </w:tcPr>
          <w:p>
            <w:pPr>
              <w:pStyle w:val="TableParagraph"/>
              <w:ind w:left="961" w:right="953"/>
              <w:rPr>
                <w:sz w:val="24"/>
              </w:rPr>
            </w:pPr>
            <w:r>
              <w:rPr>
                <w:sz w:val="24"/>
              </w:rPr>
              <w:t>47</w:t>
            </w:r>
          </w:p>
        </w:tc>
        <w:tc>
          <w:tcPr>
            <w:tcW w:w="2233" w:type="dxa"/>
          </w:tcPr>
          <w:p>
            <w:pPr>
              <w:pStyle w:val="TableParagraph"/>
              <w:ind w:right="846"/>
              <w:rPr>
                <w:sz w:val="24"/>
              </w:rPr>
            </w:pPr>
            <w:r>
              <w:rPr>
                <w:sz w:val="24"/>
              </w:rPr>
              <w:t>9.8</w:t>
            </w:r>
          </w:p>
        </w:tc>
        <w:tc>
          <w:tcPr>
            <w:tcW w:w="2340" w:type="dxa"/>
          </w:tcPr>
          <w:p>
            <w:pPr>
              <w:pStyle w:val="TableParagraph"/>
              <w:ind w:left="908"/>
              <w:rPr>
                <w:sz w:val="24"/>
              </w:rPr>
            </w:pPr>
            <w:r>
              <w:rPr>
                <w:sz w:val="24"/>
              </w:rPr>
              <w:t>10.8</w:t>
            </w:r>
          </w:p>
        </w:tc>
      </w:tr>
      <w:tr>
        <w:trPr>
          <w:trHeight w:val="312" w:hRule="atLeast"/>
        </w:trPr>
        <w:tc>
          <w:tcPr>
            <w:tcW w:w="2447" w:type="dxa"/>
          </w:tcPr>
          <w:p>
            <w:pPr>
              <w:pStyle w:val="TableParagraph"/>
              <w:spacing w:before="18"/>
              <w:ind w:left="961" w:right="953"/>
              <w:rPr>
                <w:sz w:val="24"/>
              </w:rPr>
            </w:pPr>
            <w:r>
              <w:rPr>
                <w:sz w:val="24"/>
              </w:rPr>
              <w:t>48</w:t>
            </w:r>
          </w:p>
        </w:tc>
        <w:tc>
          <w:tcPr>
            <w:tcW w:w="2233" w:type="dxa"/>
          </w:tcPr>
          <w:p>
            <w:pPr>
              <w:pStyle w:val="TableParagraph"/>
              <w:spacing w:before="18"/>
              <w:ind w:right="845"/>
              <w:rPr>
                <w:sz w:val="24"/>
              </w:rPr>
            </w:pPr>
            <w:r>
              <w:rPr>
                <w:sz w:val="24"/>
              </w:rPr>
              <w:t>11.2</w:t>
            </w:r>
          </w:p>
        </w:tc>
        <w:tc>
          <w:tcPr>
            <w:tcW w:w="2340" w:type="dxa"/>
          </w:tcPr>
          <w:p>
            <w:pPr>
              <w:pStyle w:val="TableParagraph"/>
              <w:spacing w:before="18"/>
              <w:ind w:left="907"/>
              <w:rPr>
                <w:sz w:val="24"/>
              </w:rPr>
            </w:pPr>
            <w:r>
              <w:rPr>
                <w:sz w:val="24"/>
              </w:rPr>
              <w:t>11.6</w:t>
            </w:r>
          </w:p>
        </w:tc>
      </w:tr>
      <w:tr>
        <w:trPr>
          <w:trHeight w:val="311" w:hRule="atLeast"/>
        </w:trPr>
        <w:tc>
          <w:tcPr>
            <w:tcW w:w="2447" w:type="dxa"/>
          </w:tcPr>
          <w:p>
            <w:pPr>
              <w:pStyle w:val="TableParagraph"/>
              <w:ind w:left="961" w:right="953"/>
              <w:rPr>
                <w:sz w:val="24"/>
              </w:rPr>
            </w:pPr>
            <w:r>
              <w:rPr>
                <w:sz w:val="24"/>
              </w:rPr>
              <w:t>49</w:t>
            </w:r>
          </w:p>
        </w:tc>
        <w:tc>
          <w:tcPr>
            <w:tcW w:w="2233" w:type="dxa"/>
          </w:tcPr>
          <w:p>
            <w:pPr>
              <w:pStyle w:val="TableParagraph"/>
              <w:ind w:right="846"/>
              <w:rPr>
                <w:sz w:val="24"/>
              </w:rPr>
            </w:pPr>
            <w:r>
              <w:rPr>
                <w:sz w:val="24"/>
              </w:rPr>
              <w:t>12.3</w:t>
            </w:r>
          </w:p>
        </w:tc>
        <w:tc>
          <w:tcPr>
            <w:tcW w:w="2340" w:type="dxa"/>
          </w:tcPr>
          <w:p>
            <w:pPr>
              <w:pStyle w:val="TableParagraph"/>
              <w:ind w:left="908"/>
              <w:rPr>
                <w:sz w:val="24"/>
              </w:rPr>
            </w:pPr>
            <w:r>
              <w:rPr>
                <w:sz w:val="24"/>
              </w:rPr>
              <w:t>12.3</w:t>
            </w:r>
          </w:p>
        </w:tc>
      </w:tr>
      <w:tr>
        <w:trPr>
          <w:trHeight w:val="311" w:hRule="atLeast"/>
        </w:trPr>
        <w:tc>
          <w:tcPr>
            <w:tcW w:w="2447" w:type="dxa"/>
          </w:tcPr>
          <w:p>
            <w:pPr>
              <w:pStyle w:val="TableParagraph"/>
              <w:ind w:left="961" w:right="953"/>
              <w:rPr>
                <w:sz w:val="24"/>
              </w:rPr>
            </w:pPr>
            <w:r>
              <w:rPr>
                <w:sz w:val="24"/>
              </w:rPr>
              <w:t>50</w:t>
            </w:r>
          </w:p>
        </w:tc>
        <w:tc>
          <w:tcPr>
            <w:tcW w:w="2233" w:type="dxa"/>
          </w:tcPr>
          <w:p>
            <w:pPr>
              <w:pStyle w:val="TableParagraph"/>
              <w:ind w:right="846"/>
              <w:rPr>
                <w:sz w:val="24"/>
              </w:rPr>
            </w:pPr>
            <w:r>
              <w:rPr>
                <w:sz w:val="24"/>
              </w:rPr>
              <w:t>13.9</w:t>
            </w:r>
          </w:p>
        </w:tc>
        <w:tc>
          <w:tcPr>
            <w:tcW w:w="2340" w:type="dxa"/>
          </w:tcPr>
          <w:p>
            <w:pPr>
              <w:pStyle w:val="TableParagraph"/>
              <w:ind w:left="908"/>
              <w:rPr>
                <w:sz w:val="24"/>
              </w:rPr>
            </w:pPr>
            <w:r>
              <w:rPr>
                <w:sz w:val="24"/>
              </w:rPr>
              <w:t>13.1</w:t>
            </w:r>
          </w:p>
        </w:tc>
      </w:tr>
      <w:tr>
        <w:trPr>
          <w:trHeight w:val="312" w:hRule="atLeast"/>
        </w:trPr>
        <w:tc>
          <w:tcPr>
            <w:tcW w:w="2447" w:type="dxa"/>
          </w:tcPr>
          <w:p>
            <w:pPr>
              <w:pStyle w:val="TableParagraph"/>
              <w:spacing w:before="18"/>
              <w:ind w:left="961" w:right="953"/>
              <w:rPr>
                <w:sz w:val="24"/>
              </w:rPr>
            </w:pPr>
            <w:r>
              <w:rPr>
                <w:sz w:val="24"/>
              </w:rPr>
              <w:t>51</w:t>
            </w:r>
          </w:p>
        </w:tc>
        <w:tc>
          <w:tcPr>
            <w:tcW w:w="2233" w:type="dxa"/>
          </w:tcPr>
          <w:p>
            <w:pPr>
              <w:pStyle w:val="TableParagraph"/>
              <w:spacing w:before="18"/>
              <w:ind w:right="846"/>
              <w:rPr>
                <w:sz w:val="24"/>
              </w:rPr>
            </w:pPr>
            <w:r>
              <w:rPr>
                <w:sz w:val="24"/>
              </w:rPr>
              <w:t>15.0</w:t>
            </w:r>
          </w:p>
        </w:tc>
        <w:tc>
          <w:tcPr>
            <w:tcW w:w="2340" w:type="dxa"/>
          </w:tcPr>
          <w:p>
            <w:pPr>
              <w:pStyle w:val="TableParagraph"/>
              <w:spacing w:before="18"/>
              <w:ind w:left="908"/>
              <w:rPr>
                <w:sz w:val="24"/>
              </w:rPr>
            </w:pPr>
            <w:r>
              <w:rPr>
                <w:sz w:val="24"/>
              </w:rPr>
              <w:t>13.6</w:t>
            </w:r>
          </w:p>
        </w:tc>
      </w:tr>
      <w:tr>
        <w:trPr>
          <w:trHeight w:val="311" w:hRule="atLeast"/>
        </w:trPr>
        <w:tc>
          <w:tcPr>
            <w:tcW w:w="2447" w:type="dxa"/>
          </w:tcPr>
          <w:p>
            <w:pPr>
              <w:pStyle w:val="TableParagraph"/>
              <w:ind w:left="961" w:right="953"/>
              <w:rPr>
                <w:sz w:val="24"/>
              </w:rPr>
            </w:pPr>
            <w:r>
              <w:rPr>
                <w:sz w:val="24"/>
              </w:rPr>
              <w:t>52</w:t>
            </w:r>
          </w:p>
        </w:tc>
        <w:tc>
          <w:tcPr>
            <w:tcW w:w="2233" w:type="dxa"/>
          </w:tcPr>
          <w:p>
            <w:pPr>
              <w:pStyle w:val="TableParagraph"/>
              <w:ind w:right="846"/>
              <w:rPr>
                <w:sz w:val="24"/>
              </w:rPr>
            </w:pPr>
            <w:r>
              <w:rPr>
                <w:sz w:val="24"/>
              </w:rPr>
              <w:t>16.1</w:t>
            </w:r>
          </w:p>
        </w:tc>
        <w:tc>
          <w:tcPr>
            <w:tcW w:w="2340" w:type="dxa"/>
          </w:tcPr>
          <w:p>
            <w:pPr>
              <w:pStyle w:val="TableParagraph"/>
              <w:ind w:left="908"/>
              <w:rPr>
                <w:sz w:val="24"/>
              </w:rPr>
            </w:pPr>
            <w:r>
              <w:rPr>
                <w:sz w:val="24"/>
              </w:rPr>
              <w:t>14.2</w:t>
            </w:r>
          </w:p>
        </w:tc>
      </w:tr>
      <w:tr>
        <w:trPr>
          <w:trHeight w:val="311" w:hRule="atLeast"/>
        </w:trPr>
        <w:tc>
          <w:tcPr>
            <w:tcW w:w="2447" w:type="dxa"/>
          </w:tcPr>
          <w:p>
            <w:pPr>
              <w:pStyle w:val="TableParagraph"/>
              <w:ind w:left="961" w:right="953"/>
              <w:rPr>
                <w:sz w:val="24"/>
              </w:rPr>
            </w:pPr>
            <w:r>
              <w:rPr>
                <w:sz w:val="24"/>
              </w:rPr>
              <w:t>53</w:t>
            </w:r>
          </w:p>
        </w:tc>
        <w:tc>
          <w:tcPr>
            <w:tcW w:w="2233" w:type="dxa"/>
          </w:tcPr>
          <w:p>
            <w:pPr>
              <w:pStyle w:val="TableParagraph"/>
              <w:ind w:right="846"/>
              <w:rPr>
                <w:sz w:val="24"/>
              </w:rPr>
            </w:pPr>
            <w:r>
              <w:rPr>
                <w:sz w:val="24"/>
              </w:rPr>
              <w:t>17.6</w:t>
            </w:r>
          </w:p>
        </w:tc>
        <w:tc>
          <w:tcPr>
            <w:tcW w:w="2340" w:type="dxa"/>
          </w:tcPr>
          <w:p>
            <w:pPr>
              <w:pStyle w:val="TableParagraph"/>
              <w:ind w:left="908"/>
              <w:rPr>
                <w:sz w:val="24"/>
              </w:rPr>
            </w:pPr>
            <w:r>
              <w:rPr>
                <w:sz w:val="24"/>
              </w:rPr>
              <w:t>15.6</w:t>
            </w:r>
          </w:p>
        </w:tc>
      </w:tr>
      <w:tr>
        <w:trPr>
          <w:trHeight w:val="312" w:hRule="atLeast"/>
        </w:trPr>
        <w:tc>
          <w:tcPr>
            <w:tcW w:w="2447" w:type="dxa"/>
          </w:tcPr>
          <w:p>
            <w:pPr>
              <w:pStyle w:val="TableParagraph"/>
              <w:spacing w:before="18"/>
              <w:ind w:left="961" w:right="953"/>
              <w:rPr>
                <w:sz w:val="24"/>
              </w:rPr>
            </w:pPr>
            <w:r>
              <w:rPr>
                <w:sz w:val="24"/>
              </w:rPr>
              <w:t>54</w:t>
            </w:r>
          </w:p>
        </w:tc>
        <w:tc>
          <w:tcPr>
            <w:tcW w:w="2233" w:type="dxa"/>
          </w:tcPr>
          <w:p>
            <w:pPr>
              <w:pStyle w:val="TableParagraph"/>
              <w:spacing w:before="18"/>
              <w:ind w:right="846"/>
              <w:rPr>
                <w:sz w:val="24"/>
              </w:rPr>
            </w:pPr>
            <w:r>
              <w:rPr>
                <w:sz w:val="24"/>
              </w:rPr>
              <w:t>19.6</w:t>
            </w:r>
          </w:p>
        </w:tc>
        <w:tc>
          <w:tcPr>
            <w:tcW w:w="2340" w:type="dxa"/>
          </w:tcPr>
          <w:p>
            <w:pPr>
              <w:pStyle w:val="TableParagraph"/>
              <w:spacing w:before="18"/>
              <w:ind w:left="908"/>
              <w:rPr>
                <w:sz w:val="24"/>
              </w:rPr>
            </w:pPr>
            <w:r>
              <w:rPr>
                <w:sz w:val="24"/>
              </w:rPr>
              <w:t>17.0</w:t>
            </w:r>
          </w:p>
        </w:tc>
      </w:tr>
      <w:tr>
        <w:trPr>
          <w:trHeight w:val="311" w:hRule="atLeast"/>
        </w:trPr>
        <w:tc>
          <w:tcPr>
            <w:tcW w:w="2447" w:type="dxa"/>
          </w:tcPr>
          <w:p>
            <w:pPr>
              <w:pStyle w:val="TableParagraph"/>
              <w:ind w:left="961" w:right="953"/>
              <w:rPr>
                <w:sz w:val="24"/>
              </w:rPr>
            </w:pPr>
            <w:r>
              <w:rPr>
                <w:sz w:val="24"/>
              </w:rPr>
              <w:t>55</w:t>
            </w:r>
          </w:p>
        </w:tc>
        <w:tc>
          <w:tcPr>
            <w:tcW w:w="2233" w:type="dxa"/>
          </w:tcPr>
          <w:p>
            <w:pPr>
              <w:pStyle w:val="TableParagraph"/>
              <w:ind w:right="846"/>
              <w:rPr>
                <w:sz w:val="24"/>
              </w:rPr>
            </w:pPr>
            <w:r>
              <w:rPr>
                <w:sz w:val="24"/>
              </w:rPr>
              <w:t>21.2</w:t>
            </w:r>
          </w:p>
        </w:tc>
        <w:tc>
          <w:tcPr>
            <w:tcW w:w="2340" w:type="dxa"/>
          </w:tcPr>
          <w:p>
            <w:pPr>
              <w:pStyle w:val="TableParagraph"/>
              <w:ind w:left="908"/>
              <w:rPr>
                <w:sz w:val="24"/>
              </w:rPr>
            </w:pPr>
            <w:r>
              <w:rPr>
                <w:sz w:val="24"/>
              </w:rPr>
              <w:t>18.2</w:t>
            </w:r>
          </w:p>
        </w:tc>
      </w:tr>
      <w:tr>
        <w:trPr>
          <w:trHeight w:val="311" w:hRule="atLeast"/>
        </w:trPr>
        <w:tc>
          <w:tcPr>
            <w:tcW w:w="2447" w:type="dxa"/>
          </w:tcPr>
          <w:p>
            <w:pPr>
              <w:pStyle w:val="TableParagraph"/>
              <w:ind w:left="961" w:right="953"/>
              <w:rPr>
                <w:sz w:val="24"/>
              </w:rPr>
            </w:pPr>
            <w:r>
              <w:rPr>
                <w:sz w:val="24"/>
              </w:rPr>
              <w:t>56</w:t>
            </w:r>
          </w:p>
        </w:tc>
        <w:tc>
          <w:tcPr>
            <w:tcW w:w="2233" w:type="dxa"/>
          </w:tcPr>
          <w:p>
            <w:pPr>
              <w:pStyle w:val="TableParagraph"/>
              <w:ind w:right="846"/>
              <w:rPr>
                <w:sz w:val="24"/>
              </w:rPr>
            </w:pPr>
            <w:r>
              <w:rPr>
                <w:sz w:val="24"/>
              </w:rPr>
              <w:t>22.9</w:t>
            </w:r>
          </w:p>
        </w:tc>
        <w:tc>
          <w:tcPr>
            <w:tcW w:w="2340" w:type="dxa"/>
          </w:tcPr>
          <w:p>
            <w:pPr>
              <w:pStyle w:val="TableParagraph"/>
              <w:ind w:left="908"/>
              <w:rPr>
                <w:sz w:val="24"/>
              </w:rPr>
            </w:pPr>
            <w:r>
              <w:rPr>
                <w:sz w:val="24"/>
              </w:rPr>
              <w:t>19.3</w:t>
            </w:r>
          </w:p>
        </w:tc>
      </w:tr>
      <w:tr>
        <w:trPr>
          <w:trHeight w:val="312" w:hRule="atLeast"/>
        </w:trPr>
        <w:tc>
          <w:tcPr>
            <w:tcW w:w="2447" w:type="dxa"/>
          </w:tcPr>
          <w:p>
            <w:pPr>
              <w:pStyle w:val="TableParagraph"/>
              <w:spacing w:before="18"/>
              <w:ind w:left="961" w:right="953"/>
              <w:rPr>
                <w:sz w:val="24"/>
              </w:rPr>
            </w:pPr>
            <w:r>
              <w:rPr>
                <w:sz w:val="24"/>
              </w:rPr>
              <w:t>57</w:t>
            </w:r>
          </w:p>
        </w:tc>
        <w:tc>
          <w:tcPr>
            <w:tcW w:w="2233" w:type="dxa"/>
          </w:tcPr>
          <w:p>
            <w:pPr>
              <w:pStyle w:val="TableParagraph"/>
              <w:spacing w:before="18"/>
              <w:ind w:right="846"/>
              <w:rPr>
                <w:sz w:val="24"/>
              </w:rPr>
            </w:pPr>
            <w:r>
              <w:rPr>
                <w:sz w:val="24"/>
              </w:rPr>
              <w:t>24.6</w:t>
            </w:r>
          </w:p>
        </w:tc>
        <w:tc>
          <w:tcPr>
            <w:tcW w:w="2340" w:type="dxa"/>
          </w:tcPr>
          <w:p>
            <w:pPr>
              <w:pStyle w:val="TableParagraph"/>
              <w:spacing w:before="18"/>
              <w:ind w:left="908"/>
              <w:rPr>
                <w:sz w:val="24"/>
              </w:rPr>
            </w:pPr>
            <w:r>
              <w:rPr>
                <w:sz w:val="24"/>
              </w:rPr>
              <w:t>20.5</w:t>
            </w:r>
          </w:p>
        </w:tc>
      </w:tr>
      <w:tr>
        <w:trPr>
          <w:trHeight w:val="311" w:hRule="atLeast"/>
        </w:trPr>
        <w:tc>
          <w:tcPr>
            <w:tcW w:w="2447" w:type="dxa"/>
          </w:tcPr>
          <w:p>
            <w:pPr>
              <w:pStyle w:val="TableParagraph"/>
              <w:ind w:left="961" w:right="953"/>
              <w:rPr>
                <w:sz w:val="24"/>
              </w:rPr>
            </w:pPr>
            <w:r>
              <w:rPr>
                <w:sz w:val="24"/>
              </w:rPr>
              <w:t>58</w:t>
            </w:r>
          </w:p>
        </w:tc>
        <w:tc>
          <w:tcPr>
            <w:tcW w:w="2233" w:type="dxa"/>
          </w:tcPr>
          <w:p>
            <w:pPr>
              <w:pStyle w:val="TableParagraph"/>
              <w:ind w:right="846"/>
              <w:rPr>
                <w:sz w:val="24"/>
              </w:rPr>
            </w:pPr>
            <w:r>
              <w:rPr>
                <w:sz w:val="24"/>
              </w:rPr>
              <w:t>28.0</w:t>
            </w:r>
          </w:p>
        </w:tc>
        <w:tc>
          <w:tcPr>
            <w:tcW w:w="2340" w:type="dxa"/>
          </w:tcPr>
          <w:p>
            <w:pPr>
              <w:pStyle w:val="TableParagraph"/>
              <w:ind w:left="908"/>
              <w:rPr>
                <w:sz w:val="24"/>
              </w:rPr>
            </w:pPr>
            <w:r>
              <w:rPr>
                <w:sz w:val="24"/>
              </w:rPr>
              <w:t>22.4</w:t>
            </w:r>
          </w:p>
        </w:tc>
      </w:tr>
      <w:tr>
        <w:trPr>
          <w:trHeight w:val="311" w:hRule="atLeast"/>
        </w:trPr>
        <w:tc>
          <w:tcPr>
            <w:tcW w:w="2447" w:type="dxa"/>
          </w:tcPr>
          <w:p>
            <w:pPr>
              <w:pStyle w:val="TableParagraph"/>
              <w:ind w:left="961" w:right="953"/>
              <w:rPr>
                <w:sz w:val="24"/>
              </w:rPr>
            </w:pPr>
            <w:r>
              <w:rPr>
                <w:sz w:val="24"/>
              </w:rPr>
              <w:t>59</w:t>
            </w:r>
          </w:p>
        </w:tc>
        <w:tc>
          <w:tcPr>
            <w:tcW w:w="2233" w:type="dxa"/>
          </w:tcPr>
          <w:p>
            <w:pPr>
              <w:pStyle w:val="TableParagraph"/>
              <w:ind w:right="846"/>
              <w:rPr>
                <w:sz w:val="24"/>
              </w:rPr>
            </w:pPr>
            <w:r>
              <w:rPr>
                <w:sz w:val="24"/>
              </w:rPr>
              <w:t>31.1</w:t>
            </w:r>
          </w:p>
        </w:tc>
        <w:tc>
          <w:tcPr>
            <w:tcW w:w="2340" w:type="dxa"/>
          </w:tcPr>
          <w:p>
            <w:pPr>
              <w:pStyle w:val="TableParagraph"/>
              <w:ind w:left="908"/>
              <w:rPr>
                <w:sz w:val="24"/>
              </w:rPr>
            </w:pPr>
            <w:r>
              <w:rPr>
                <w:sz w:val="24"/>
              </w:rPr>
              <w:t>24.2</w:t>
            </w:r>
          </w:p>
        </w:tc>
      </w:tr>
      <w:tr>
        <w:trPr>
          <w:trHeight w:val="312" w:hRule="atLeast"/>
        </w:trPr>
        <w:tc>
          <w:tcPr>
            <w:tcW w:w="2447" w:type="dxa"/>
          </w:tcPr>
          <w:p>
            <w:pPr>
              <w:pStyle w:val="TableParagraph"/>
              <w:spacing w:before="18"/>
              <w:ind w:left="961" w:right="953"/>
              <w:rPr>
                <w:sz w:val="24"/>
              </w:rPr>
            </w:pPr>
            <w:r>
              <w:rPr>
                <w:sz w:val="24"/>
              </w:rPr>
              <w:t>60</w:t>
            </w:r>
          </w:p>
        </w:tc>
        <w:tc>
          <w:tcPr>
            <w:tcW w:w="2233" w:type="dxa"/>
          </w:tcPr>
          <w:p>
            <w:pPr>
              <w:pStyle w:val="TableParagraph"/>
              <w:spacing w:before="18"/>
              <w:ind w:right="846"/>
              <w:rPr>
                <w:sz w:val="24"/>
              </w:rPr>
            </w:pPr>
            <w:r>
              <w:rPr>
                <w:sz w:val="24"/>
              </w:rPr>
              <w:t>34.1</w:t>
            </w:r>
          </w:p>
        </w:tc>
        <w:tc>
          <w:tcPr>
            <w:tcW w:w="2340" w:type="dxa"/>
          </w:tcPr>
          <w:p>
            <w:pPr>
              <w:pStyle w:val="TableParagraph"/>
              <w:spacing w:before="18"/>
              <w:ind w:left="908"/>
              <w:rPr>
                <w:sz w:val="24"/>
              </w:rPr>
            </w:pPr>
            <w:r>
              <w:rPr>
                <w:sz w:val="24"/>
              </w:rPr>
              <w:t>26.0</w:t>
            </w:r>
          </w:p>
        </w:tc>
      </w:tr>
      <w:tr>
        <w:trPr>
          <w:trHeight w:val="311" w:hRule="atLeast"/>
        </w:trPr>
        <w:tc>
          <w:tcPr>
            <w:tcW w:w="2447" w:type="dxa"/>
          </w:tcPr>
          <w:p>
            <w:pPr>
              <w:pStyle w:val="TableParagraph"/>
              <w:ind w:left="961" w:right="953"/>
              <w:rPr>
                <w:sz w:val="24"/>
              </w:rPr>
            </w:pPr>
            <w:r>
              <w:rPr>
                <w:sz w:val="24"/>
              </w:rPr>
              <w:t>61</w:t>
            </w:r>
          </w:p>
        </w:tc>
        <w:tc>
          <w:tcPr>
            <w:tcW w:w="2233" w:type="dxa"/>
          </w:tcPr>
          <w:p>
            <w:pPr>
              <w:pStyle w:val="TableParagraph"/>
              <w:ind w:right="846"/>
              <w:rPr>
                <w:sz w:val="24"/>
              </w:rPr>
            </w:pPr>
            <w:r>
              <w:rPr>
                <w:sz w:val="24"/>
              </w:rPr>
              <w:t>36.4</w:t>
            </w:r>
          </w:p>
        </w:tc>
        <w:tc>
          <w:tcPr>
            <w:tcW w:w="2340" w:type="dxa"/>
          </w:tcPr>
          <w:p>
            <w:pPr>
              <w:pStyle w:val="TableParagraph"/>
              <w:ind w:left="908"/>
              <w:rPr>
                <w:sz w:val="24"/>
              </w:rPr>
            </w:pPr>
            <w:r>
              <w:rPr>
                <w:sz w:val="24"/>
              </w:rPr>
              <w:t>28.4</w:t>
            </w:r>
          </w:p>
        </w:tc>
      </w:tr>
      <w:tr>
        <w:trPr>
          <w:trHeight w:val="311" w:hRule="atLeast"/>
        </w:trPr>
        <w:tc>
          <w:tcPr>
            <w:tcW w:w="2447" w:type="dxa"/>
          </w:tcPr>
          <w:p>
            <w:pPr>
              <w:pStyle w:val="TableParagraph"/>
              <w:ind w:left="961" w:right="953"/>
              <w:rPr>
                <w:sz w:val="24"/>
              </w:rPr>
            </w:pPr>
            <w:r>
              <w:rPr>
                <w:sz w:val="24"/>
              </w:rPr>
              <w:t>62</w:t>
            </w:r>
          </w:p>
        </w:tc>
        <w:tc>
          <w:tcPr>
            <w:tcW w:w="2233" w:type="dxa"/>
          </w:tcPr>
          <w:p>
            <w:pPr>
              <w:pStyle w:val="TableParagraph"/>
              <w:ind w:right="846"/>
              <w:rPr>
                <w:sz w:val="24"/>
              </w:rPr>
            </w:pPr>
            <w:r>
              <w:rPr>
                <w:sz w:val="24"/>
              </w:rPr>
              <w:t>39.9</w:t>
            </w:r>
          </w:p>
        </w:tc>
        <w:tc>
          <w:tcPr>
            <w:tcW w:w="2340" w:type="dxa"/>
          </w:tcPr>
          <w:p>
            <w:pPr>
              <w:pStyle w:val="TableParagraph"/>
              <w:ind w:left="908"/>
              <w:rPr>
                <w:sz w:val="24"/>
              </w:rPr>
            </w:pPr>
            <w:r>
              <w:rPr>
                <w:sz w:val="24"/>
              </w:rPr>
              <w:t>30.9</w:t>
            </w:r>
          </w:p>
        </w:tc>
      </w:tr>
      <w:tr>
        <w:trPr>
          <w:trHeight w:val="312" w:hRule="atLeast"/>
        </w:trPr>
        <w:tc>
          <w:tcPr>
            <w:tcW w:w="2447" w:type="dxa"/>
          </w:tcPr>
          <w:p>
            <w:pPr>
              <w:pStyle w:val="TableParagraph"/>
              <w:spacing w:before="18"/>
              <w:ind w:left="961" w:right="953"/>
              <w:rPr>
                <w:sz w:val="24"/>
              </w:rPr>
            </w:pPr>
            <w:r>
              <w:rPr>
                <w:sz w:val="24"/>
              </w:rPr>
              <w:t>63</w:t>
            </w:r>
          </w:p>
        </w:tc>
        <w:tc>
          <w:tcPr>
            <w:tcW w:w="2233" w:type="dxa"/>
          </w:tcPr>
          <w:p>
            <w:pPr>
              <w:pStyle w:val="TableParagraph"/>
              <w:spacing w:before="18"/>
              <w:ind w:right="846"/>
              <w:rPr>
                <w:sz w:val="24"/>
              </w:rPr>
            </w:pPr>
            <w:r>
              <w:rPr>
                <w:sz w:val="24"/>
              </w:rPr>
              <w:t>43.9</w:t>
            </w:r>
          </w:p>
        </w:tc>
        <w:tc>
          <w:tcPr>
            <w:tcW w:w="2340" w:type="dxa"/>
          </w:tcPr>
          <w:p>
            <w:pPr>
              <w:pStyle w:val="TableParagraph"/>
              <w:spacing w:before="18"/>
              <w:ind w:left="908"/>
              <w:rPr>
                <w:sz w:val="24"/>
              </w:rPr>
            </w:pPr>
            <w:r>
              <w:rPr>
                <w:sz w:val="24"/>
              </w:rPr>
              <w:t>33.0</w:t>
            </w:r>
          </w:p>
        </w:tc>
      </w:tr>
      <w:tr>
        <w:trPr>
          <w:trHeight w:val="311" w:hRule="atLeast"/>
        </w:trPr>
        <w:tc>
          <w:tcPr>
            <w:tcW w:w="2447" w:type="dxa"/>
          </w:tcPr>
          <w:p>
            <w:pPr>
              <w:pStyle w:val="TableParagraph"/>
              <w:ind w:left="961" w:right="953"/>
              <w:rPr>
                <w:sz w:val="24"/>
              </w:rPr>
            </w:pPr>
            <w:r>
              <w:rPr>
                <w:sz w:val="24"/>
              </w:rPr>
              <w:t>64</w:t>
            </w:r>
          </w:p>
        </w:tc>
        <w:tc>
          <w:tcPr>
            <w:tcW w:w="2233" w:type="dxa"/>
          </w:tcPr>
          <w:p>
            <w:pPr>
              <w:pStyle w:val="TableParagraph"/>
              <w:ind w:right="846"/>
              <w:rPr>
                <w:sz w:val="24"/>
              </w:rPr>
            </w:pPr>
            <w:r>
              <w:rPr>
                <w:sz w:val="24"/>
              </w:rPr>
              <w:t>48.1</w:t>
            </w:r>
          </w:p>
        </w:tc>
        <w:tc>
          <w:tcPr>
            <w:tcW w:w="2340" w:type="dxa"/>
          </w:tcPr>
          <w:p>
            <w:pPr>
              <w:pStyle w:val="TableParagraph"/>
              <w:ind w:left="908"/>
              <w:rPr>
                <w:sz w:val="24"/>
              </w:rPr>
            </w:pPr>
            <w:r>
              <w:rPr>
                <w:sz w:val="24"/>
              </w:rPr>
              <w:t>35.3</w:t>
            </w:r>
          </w:p>
        </w:tc>
      </w:tr>
      <w:tr>
        <w:trPr>
          <w:trHeight w:val="312" w:hRule="atLeast"/>
        </w:trPr>
        <w:tc>
          <w:tcPr>
            <w:tcW w:w="2447" w:type="dxa"/>
          </w:tcPr>
          <w:p>
            <w:pPr>
              <w:pStyle w:val="TableParagraph"/>
              <w:spacing w:line="240" w:lineRule="auto"/>
              <w:ind w:left="961" w:right="953"/>
              <w:rPr>
                <w:sz w:val="24"/>
              </w:rPr>
            </w:pPr>
            <w:r>
              <w:rPr>
                <w:sz w:val="24"/>
              </w:rPr>
              <w:t>65</w:t>
            </w:r>
          </w:p>
        </w:tc>
        <w:tc>
          <w:tcPr>
            <w:tcW w:w="2233" w:type="dxa"/>
          </w:tcPr>
          <w:p>
            <w:pPr>
              <w:pStyle w:val="TableParagraph"/>
              <w:spacing w:line="240" w:lineRule="auto"/>
              <w:ind w:right="846"/>
              <w:rPr>
                <w:sz w:val="24"/>
              </w:rPr>
            </w:pPr>
            <w:r>
              <w:rPr>
                <w:sz w:val="24"/>
              </w:rPr>
              <w:t>48.1</w:t>
            </w:r>
          </w:p>
        </w:tc>
        <w:tc>
          <w:tcPr>
            <w:tcW w:w="2340" w:type="dxa"/>
          </w:tcPr>
          <w:p>
            <w:pPr>
              <w:pStyle w:val="TableParagraph"/>
              <w:spacing w:line="240" w:lineRule="auto"/>
              <w:ind w:left="908"/>
              <w:rPr>
                <w:sz w:val="24"/>
              </w:rPr>
            </w:pPr>
            <w:r>
              <w:rPr>
                <w:sz w:val="24"/>
              </w:rPr>
              <w:t>35.3</w:t>
            </w:r>
          </w:p>
        </w:tc>
      </w:tr>
    </w:tbl>
    <w:sectPr>
      <w:pgSz w:w="11910" w:h="16840"/>
      <w:pgMar w:header="0" w:footer="777" w:top="142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0.160309pt;margin-top:788.139709pt;width:19.55pt;height:12pt;mso-position-horizontal-relative:page;mso-position-vertical-relative:page;z-index:-22360" type="#_x0000_t202" filled="false" stroked="false">
          <v:textbox inset="0,0,0,0">
            <w:txbxContent>
              <w:p>
                <w:pPr>
                  <w:spacing w:before="12"/>
                  <w:ind w:left="20" w:right="0" w:firstLine="0"/>
                  <w:jc w:val="left"/>
                  <w:rPr>
                    <w:rFonts w:ascii="Times New Roman"/>
                    <w:sz w:val="18"/>
                  </w:rPr>
                </w:pPr>
                <w:r>
                  <w:rPr>
                    <w:rFonts w:ascii="Times New Roman"/>
                    <w:sz w:val="18"/>
                  </w:rPr>
                  <w:t>12-</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80.160309pt;margin-top:788.139709pt;width:23.95pt;height:12pt;mso-position-horizontal-relative:page;mso-position-vertical-relative:page;z-index:-22336" type="#_x0000_t202" filled="false" stroked="false">
          <v:textbox inset="0,0,0,0">
            <w:txbxContent>
              <w:p>
                <w:pPr>
                  <w:spacing w:before="12"/>
                  <w:ind w:left="20" w:right="0" w:firstLine="0"/>
                  <w:jc w:val="left"/>
                  <w:rPr>
                    <w:rFonts w:ascii="Times New Roman"/>
                    <w:sz w:val="18"/>
                  </w:rPr>
                </w:pPr>
                <w:r>
                  <w:rPr>
                    <w:rFonts w:ascii="Times New Roman"/>
                    <w:sz w:val="18"/>
                  </w:rPr>
                  <w:t>12-</w:t>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8" w:hanging="361"/>
        <w:jc w:val="left"/>
      </w:pPr>
      <w:rPr>
        <w:rFonts w:hint="default" w:ascii="宋体" w:hAnsi="宋体" w:eastAsia="宋体" w:cs="宋体"/>
        <w:w w:val="100"/>
        <w:sz w:val="21"/>
        <w:szCs w:val="21"/>
      </w:rPr>
    </w:lvl>
    <w:lvl w:ilvl="1">
      <w:start w:val="0"/>
      <w:numFmt w:val="bullet"/>
      <w:lvlText w:val="•"/>
      <w:lvlJc w:val="left"/>
      <w:pPr>
        <w:ind w:left="1362" w:hanging="361"/>
      </w:pPr>
      <w:rPr>
        <w:rFonts w:hint="default"/>
      </w:rPr>
    </w:lvl>
    <w:lvl w:ilvl="2">
      <w:start w:val="0"/>
      <w:numFmt w:val="bullet"/>
      <w:lvlText w:val="•"/>
      <w:lvlJc w:val="left"/>
      <w:pPr>
        <w:ind w:left="2244" w:hanging="361"/>
      </w:pPr>
      <w:rPr>
        <w:rFonts w:hint="default"/>
      </w:rPr>
    </w:lvl>
    <w:lvl w:ilvl="3">
      <w:start w:val="0"/>
      <w:numFmt w:val="bullet"/>
      <w:lvlText w:val="•"/>
      <w:lvlJc w:val="left"/>
      <w:pPr>
        <w:ind w:left="3127" w:hanging="361"/>
      </w:pPr>
      <w:rPr>
        <w:rFonts w:hint="default"/>
      </w:rPr>
    </w:lvl>
    <w:lvl w:ilvl="4">
      <w:start w:val="0"/>
      <w:numFmt w:val="bullet"/>
      <w:lvlText w:val="•"/>
      <w:lvlJc w:val="left"/>
      <w:pPr>
        <w:ind w:left="4009" w:hanging="361"/>
      </w:pPr>
      <w:rPr>
        <w:rFonts w:hint="default"/>
      </w:rPr>
    </w:lvl>
    <w:lvl w:ilvl="5">
      <w:start w:val="0"/>
      <w:numFmt w:val="bullet"/>
      <w:lvlText w:val="•"/>
      <w:lvlJc w:val="left"/>
      <w:pPr>
        <w:ind w:left="4892" w:hanging="361"/>
      </w:pPr>
      <w:rPr>
        <w:rFonts w:hint="default"/>
      </w:rPr>
    </w:lvl>
    <w:lvl w:ilvl="6">
      <w:start w:val="0"/>
      <w:numFmt w:val="bullet"/>
      <w:lvlText w:val="•"/>
      <w:lvlJc w:val="left"/>
      <w:pPr>
        <w:ind w:left="5774" w:hanging="361"/>
      </w:pPr>
      <w:rPr>
        <w:rFonts w:hint="default"/>
      </w:rPr>
    </w:lvl>
    <w:lvl w:ilvl="7">
      <w:start w:val="0"/>
      <w:numFmt w:val="bullet"/>
      <w:lvlText w:val="•"/>
      <w:lvlJc w:val="left"/>
      <w:pPr>
        <w:ind w:left="6657" w:hanging="361"/>
      </w:pPr>
      <w:rPr>
        <w:rFonts w:hint="default"/>
      </w:rPr>
    </w:lvl>
    <w:lvl w:ilvl="8">
      <w:start w:val="0"/>
      <w:numFmt w:val="bullet"/>
      <w:lvlText w:val="•"/>
      <w:lvlJc w:val="left"/>
      <w:pPr>
        <w:ind w:left="7539" w:hanging="361"/>
      </w:pPr>
      <w:rPr>
        <w:rFonts w:hint="default"/>
      </w:rPr>
    </w:lvl>
  </w:abstractNum>
  <w:abstractNum w:abstractNumId="9">
    <w:multiLevelType w:val="hybridMultilevel"/>
    <w:lvl w:ilvl="0">
      <w:start w:val="1"/>
      <w:numFmt w:val="decimal"/>
      <w:lvlText w:val="%1."/>
      <w:lvlJc w:val="left"/>
      <w:pPr>
        <w:ind w:left="853" w:hanging="316"/>
        <w:jc w:val="left"/>
      </w:pPr>
      <w:rPr>
        <w:rFonts w:hint="default" w:ascii="宋体" w:hAnsi="宋体" w:eastAsia="宋体" w:cs="宋体"/>
        <w:spacing w:val="-2"/>
        <w:w w:val="100"/>
        <w:sz w:val="21"/>
        <w:szCs w:val="21"/>
      </w:rPr>
    </w:lvl>
    <w:lvl w:ilvl="1">
      <w:start w:val="0"/>
      <w:numFmt w:val="bullet"/>
      <w:lvlText w:val="•"/>
      <w:lvlJc w:val="left"/>
      <w:pPr>
        <w:ind w:left="1704" w:hanging="316"/>
      </w:pPr>
      <w:rPr>
        <w:rFonts w:hint="default"/>
      </w:rPr>
    </w:lvl>
    <w:lvl w:ilvl="2">
      <w:start w:val="0"/>
      <w:numFmt w:val="bullet"/>
      <w:lvlText w:val="•"/>
      <w:lvlJc w:val="left"/>
      <w:pPr>
        <w:ind w:left="2548" w:hanging="316"/>
      </w:pPr>
      <w:rPr>
        <w:rFonts w:hint="default"/>
      </w:rPr>
    </w:lvl>
    <w:lvl w:ilvl="3">
      <w:start w:val="0"/>
      <w:numFmt w:val="bullet"/>
      <w:lvlText w:val="•"/>
      <w:lvlJc w:val="left"/>
      <w:pPr>
        <w:ind w:left="3393" w:hanging="316"/>
      </w:pPr>
      <w:rPr>
        <w:rFonts w:hint="default"/>
      </w:rPr>
    </w:lvl>
    <w:lvl w:ilvl="4">
      <w:start w:val="0"/>
      <w:numFmt w:val="bullet"/>
      <w:lvlText w:val="•"/>
      <w:lvlJc w:val="left"/>
      <w:pPr>
        <w:ind w:left="4237" w:hanging="316"/>
      </w:pPr>
      <w:rPr>
        <w:rFonts w:hint="default"/>
      </w:rPr>
    </w:lvl>
    <w:lvl w:ilvl="5">
      <w:start w:val="0"/>
      <w:numFmt w:val="bullet"/>
      <w:lvlText w:val="•"/>
      <w:lvlJc w:val="left"/>
      <w:pPr>
        <w:ind w:left="5082" w:hanging="316"/>
      </w:pPr>
      <w:rPr>
        <w:rFonts w:hint="default"/>
      </w:rPr>
    </w:lvl>
    <w:lvl w:ilvl="6">
      <w:start w:val="0"/>
      <w:numFmt w:val="bullet"/>
      <w:lvlText w:val="•"/>
      <w:lvlJc w:val="left"/>
      <w:pPr>
        <w:ind w:left="5926" w:hanging="316"/>
      </w:pPr>
      <w:rPr>
        <w:rFonts w:hint="default"/>
      </w:rPr>
    </w:lvl>
    <w:lvl w:ilvl="7">
      <w:start w:val="0"/>
      <w:numFmt w:val="bullet"/>
      <w:lvlText w:val="•"/>
      <w:lvlJc w:val="left"/>
      <w:pPr>
        <w:ind w:left="6771" w:hanging="316"/>
      </w:pPr>
      <w:rPr>
        <w:rFonts w:hint="default"/>
      </w:rPr>
    </w:lvl>
    <w:lvl w:ilvl="8">
      <w:start w:val="0"/>
      <w:numFmt w:val="bullet"/>
      <w:lvlText w:val="•"/>
      <w:lvlJc w:val="left"/>
      <w:pPr>
        <w:ind w:left="7615" w:hanging="316"/>
      </w:pPr>
      <w:rPr>
        <w:rFonts w:hint="default"/>
      </w:rPr>
    </w:lvl>
  </w:abstractNum>
  <w:abstractNum w:abstractNumId="8">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704" w:hanging="316"/>
      </w:pPr>
      <w:rPr>
        <w:rFonts w:hint="default"/>
      </w:rPr>
    </w:lvl>
    <w:lvl w:ilvl="2">
      <w:start w:val="0"/>
      <w:numFmt w:val="bullet"/>
      <w:lvlText w:val="•"/>
      <w:lvlJc w:val="left"/>
      <w:pPr>
        <w:ind w:left="2548" w:hanging="316"/>
      </w:pPr>
      <w:rPr>
        <w:rFonts w:hint="default"/>
      </w:rPr>
    </w:lvl>
    <w:lvl w:ilvl="3">
      <w:start w:val="0"/>
      <w:numFmt w:val="bullet"/>
      <w:lvlText w:val="•"/>
      <w:lvlJc w:val="left"/>
      <w:pPr>
        <w:ind w:left="3393" w:hanging="316"/>
      </w:pPr>
      <w:rPr>
        <w:rFonts w:hint="default"/>
      </w:rPr>
    </w:lvl>
    <w:lvl w:ilvl="4">
      <w:start w:val="0"/>
      <w:numFmt w:val="bullet"/>
      <w:lvlText w:val="•"/>
      <w:lvlJc w:val="left"/>
      <w:pPr>
        <w:ind w:left="4237" w:hanging="316"/>
      </w:pPr>
      <w:rPr>
        <w:rFonts w:hint="default"/>
      </w:rPr>
    </w:lvl>
    <w:lvl w:ilvl="5">
      <w:start w:val="0"/>
      <w:numFmt w:val="bullet"/>
      <w:lvlText w:val="•"/>
      <w:lvlJc w:val="left"/>
      <w:pPr>
        <w:ind w:left="5082" w:hanging="316"/>
      </w:pPr>
      <w:rPr>
        <w:rFonts w:hint="default"/>
      </w:rPr>
    </w:lvl>
    <w:lvl w:ilvl="6">
      <w:start w:val="0"/>
      <w:numFmt w:val="bullet"/>
      <w:lvlText w:val="•"/>
      <w:lvlJc w:val="left"/>
      <w:pPr>
        <w:ind w:left="5926" w:hanging="316"/>
      </w:pPr>
      <w:rPr>
        <w:rFonts w:hint="default"/>
      </w:rPr>
    </w:lvl>
    <w:lvl w:ilvl="7">
      <w:start w:val="0"/>
      <w:numFmt w:val="bullet"/>
      <w:lvlText w:val="•"/>
      <w:lvlJc w:val="left"/>
      <w:pPr>
        <w:ind w:left="6771" w:hanging="316"/>
      </w:pPr>
      <w:rPr>
        <w:rFonts w:hint="default"/>
      </w:rPr>
    </w:lvl>
    <w:lvl w:ilvl="8">
      <w:start w:val="0"/>
      <w:numFmt w:val="bullet"/>
      <w:lvlText w:val="•"/>
      <w:lvlJc w:val="left"/>
      <w:pPr>
        <w:ind w:left="7615" w:hanging="316"/>
      </w:pPr>
      <w:rPr>
        <w:rFonts w:hint="default"/>
      </w:rPr>
    </w:lvl>
  </w:abstractNum>
  <w:abstractNum w:abstractNumId="7">
    <w:multiLevelType w:val="hybridMultilevel"/>
    <w:lvl w:ilvl="0">
      <w:start w:val="1"/>
      <w:numFmt w:val="decimal"/>
      <w:lvlText w:val="%1."/>
      <w:lvlJc w:val="left"/>
      <w:pPr>
        <w:ind w:left="853" w:hanging="316"/>
        <w:jc w:val="left"/>
      </w:pPr>
      <w:rPr>
        <w:rFonts w:hint="default" w:ascii="宋体" w:hAnsi="宋体" w:eastAsia="宋体" w:cs="宋体"/>
        <w:spacing w:val="-105"/>
        <w:w w:val="100"/>
        <w:sz w:val="21"/>
        <w:szCs w:val="21"/>
      </w:rPr>
    </w:lvl>
    <w:lvl w:ilvl="1">
      <w:start w:val="0"/>
      <w:numFmt w:val="bullet"/>
      <w:lvlText w:val="•"/>
      <w:lvlJc w:val="left"/>
      <w:pPr>
        <w:ind w:left="1714" w:hanging="316"/>
      </w:pPr>
      <w:rPr>
        <w:rFonts w:hint="default"/>
      </w:rPr>
    </w:lvl>
    <w:lvl w:ilvl="2">
      <w:start w:val="0"/>
      <w:numFmt w:val="bullet"/>
      <w:lvlText w:val="•"/>
      <w:lvlJc w:val="left"/>
      <w:pPr>
        <w:ind w:left="2568" w:hanging="316"/>
      </w:pPr>
      <w:rPr>
        <w:rFonts w:hint="default"/>
      </w:rPr>
    </w:lvl>
    <w:lvl w:ilvl="3">
      <w:start w:val="0"/>
      <w:numFmt w:val="bullet"/>
      <w:lvlText w:val="•"/>
      <w:lvlJc w:val="left"/>
      <w:pPr>
        <w:ind w:left="3423" w:hanging="316"/>
      </w:pPr>
      <w:rPr>
        <w:rFonts w:hint="default"/>
      </w:rPr>
    </w:lvl>
    <w:lvl w:ilvl="4">
      <w:start w:val="0"/>
      <w:numFmt w:val="bullet"/>
      <w:lvlText w:val="•"/>
      <w:lvlJc w:val="left"/>
      <w:pPr>
        <w:ind w:left="4277" w:hanging="316"/>
      </w:pPr>
      <w:rPr>
        <w:rFonts w:hint="default"/>
      </w:rPr>
    </w:lvl>
    <w:lvl w:ilvl="5">
      <w:start w:val="0"/>
      <w:numFmt w:val="bullet"/>
      <w:lvlText w:val="•"/>
      <w:lvlJc w:val="left"/>
      <w:pPr>
        <w:ind w:left="5132" w:hanging="316"/>
      </w:pPr>
      <w:rPr>
        <w:rFonts w:hint="default"/>
      </w:rPr>
    </w:lvl>
    <w:lvl w:ilvl="6">
      <w:start w:val="0"/>
      <w:numFmt w:val="bullet"/>
      <w:lvlText w:val="•"/>
      <w:lvlJc w:val="left"/>
      <w:pPr>
        <w:ind w:left="5986" w:hanging="316"/>
      </w:pPr>
      <w:rPr>
        <w:rFonts w:hint="default"/>
      </w:rPr>
    </w:lvl>
    <w:lvl w:ilvl="7">
      <w:start w:val="0"/>
      <w:numFmt w:val="bullet"/>
      <w:lvlText w:val="•"/>
      <w:lvlJc w:val="left"/>
      <w:pPr>
        <w:ind w:left="6841" w:hanging="316"/>
      </w:pPr>
      <w:rPr>
        <w:rFonts w:hint="default"/>
      </w:rPr>
    </w:lvl>
    <w:lvl w:ilvl="8">
      <w:start w:val="0"/>
      <w:numFmt w:val="bullet"/>
      <w:lvlText w:val="•"/>
      <w:lvlJc w:val="left"/>
      <w:pPr>
        <w:ind w:left="7695" w:hanging="316"/>
      </w:pPr>
      <w:rPr>
        <w:rFonts w:hint="default"/>
      </w:rPr>
    </w:lvl>
  </w:abstractNum>
  <w:abstractNum w:abstractNumId="6">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804" w:hanging="420"/>
      </w:pPr>
      <w:rPr>
        <w:rFonts w:hint="default"/>
      </w:rPr>
    </w:lvl>
    <w:lvl w:ilvl="2">
      <w:start w:val="0"/>
      <w:numFmt w:val="bullet"/>
      <w:lvlText w:val="•"/>
      <w:lvlJc w:val="left"/>
      <w:pPr>
        <w:ind w:left="2648" w:hanging="420"/>
      </w:pPr>
      <w:rPr>
        <w:rFonts w:hint="default"/>
      </w:rPr>
    </w:lvl>
    <w:lvl w:ilvl="3">
      <w:start w:val="0"/>
      <w:numFmt w:val="bullet"/>
      <w:lvlText w:val="•"/>
      <w:lvlJc w:val="left"/>
      <w:pPr>
        <w:ind w:left="3493" w:hanging="420"/>
      </w:pPr>
      <w:rPr>
        <w:rFonts w:hint="default"/>
      </w:rPr>
    </w:lvl>
    <w:lvl w:ilvl="4">
      <w:start w:val="0"/>
      <w:numFmt w:val="bullet"/>
      <w:lvlText w:val="•"/>
      <w:lvlJc w:val="left"/>
      <w:pPr>
        <w:ind w:left="433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026" w:hanging="420"/>
      </w:pPr>
      <w:rPr>
        <w:rFonts w:hint="default"/>
      </w:rPr>
    </w:lvl>
    <w:lvl w:ilvl="7">
      <w:start w:val="0"/>
      <w:numFmt w:val="bullet"/>
      <w:lvlText w:val="•"/>
      <w:lvlJc w:val="left"/>
      <w:pPr>
        <w:ind w:left="6871" w:hanging="420"/>
      </w:pPr>
      <w:rPr>
        <w:rFonts w:hint="default"/>
      </w:rPr>
    </w:lvl>
    <w:lvl w:ilvl="8">
      <w:start w:val="0"/>
      <w:numFmt w:val="bullet"/>
      <w:lvlText w:val="•"/>
      <w:lvlJc w:val="left"/>
      <w:pPr>
        <w:ind w:left="7715" w:hanging="420"/>
      </w:pPr>
      <w:rPr>
        <w:rFonts w:hint="default"/>
      </w:rPr>
    </w:lvl>
  </w:abstractNum>
  <w:abstractNum w:abstractNumId="5">
    <w:multiLevelType w:val="hybridMultilevel"/>
    <w:lvl w:ilvl="0">
      <w:start w:val="1"/>
      <w:numFmt w:val="decimal"/>
      <w:lvlText w:val="%1."/>
      <w:lvlJc w:val="left"/>
      <w:pPr>
        <w:ind w:left="958" w:hanging="420"/>
        <w:jc w:val="left"/>
      </w:pPr>
      <w:rPr>
        <w:rFonts w:hint="default" w:ascii="宋体" w:hAnsi="宋体" w:eastAsia="宋体" w:cs="宋体"/>
        <w:w w:val="100"/>
        <w:sz w:val="21"/>
        <w:szCs w:val="21"/>
      </w:rPr>
    </w:lvl>
    <w:lvl w:ilvl="1">
      <w:start w:val="0"/>
      <w:numFmt w:val="bullet"/>
      <w:lvlText w:val="•"/>
      <w:lvlJc w:val="left"/>
      <w:pPr>
        <w:ind w:left="1804" w:hanging="420"/>
      </w:pPr>
      <w:rPr>
        <w:rFonts w:hint="default"/>
      </w:rPr>
    </w:lvl>
    <w:lvl w:ilvl="2">
      <w:start w:val="0"/>
      <w:numFmt w:val="bullet"/>
      <w:lvlText w:val="•"/>
      <w:lvlJc w:val="left"/>
      <w:pPr>
        <w:ind w:left="2648" w:hanging="420"/>
      </w:pPr>
      <w:rPr>
        <w:rFonts w:hint="default"/>
      </w:rPr>
    </w:lvl>
    <w:lvl w:ilvl="3">
      <w:start w:val="0"/>
      <w:numFmt w:val="bullet"/>
      <w:lvlText w:val="•"/>
      <w:lvlJc w:val="left"/>
      <w:pPr>
        <w:ind w:left="3493" w:hanging="420"/>
      </w:pPr>
      <w:rPr>
        <w:rFonts w:hint="default"/>
      </w:rPr>
    </w:lvl>
    <w:lvl w:ilvl="4">
      <w:start w:val="0"/>
      <w:numFmt w:val="bullet"/>
      <w:lvlText w:val="•"/>
      <w:lvlJc w:val="left"/>
      <w:pPr>
        <w:ind w:left="4337" w:hanging="420"/>
      </w:pPr>
      <w:rPr>
        <w:rFonts w:hint="default"/>
      </w:rPr>
    </w:lvl>
    <w:lvl w:ilvl="5">
      <w:start w:val="0"/>
      <w:numFmt w:val="bullet"/>
      <w:lvlText w:val="•"/>
      <w:lvlJc w:val="left"/>
      <w:pPr>
        <w:ind w:left="5182" w:hanging="420"/>
      </w:pPr>
      <w:rPr>
        <w:rFonts w:hint="default"/>
      </w:rPr>
    </w:lvl>
    <w:lvl w:ilvl="6">
      <w:start w:val="0"/>
      <w:numFmt w:val="bullet"/>
      <w:lvlText w:val="•"/>
      <w:lvlJc w:val="left"/>
      <w:pPr>
        <w:ind w:left="6026" w:hanging="420"/>
      </w:pPr>
      <w:rPr>
        <w:rFonts w:hint="default"/>
      </w:rPr>
    </w:lvl>
    <w:lvl w:ilvl="7">
      <w:start w:val="0"/>
      <w:numFmt w:val="bullet"/>
      <w:lvlText w:val="•"/>
      <w:lvlJc w:val="left"/>
      <w:pPr>
        <w:ind w:left="6871" w:hanging="420"/>
      </w:pPr>
      <w:rPr>
        <w:rFonts w:hint="default"/>
      </w:rPr>
    </w:lvl>
    <w:lvl w:ilvl="8">
      <w:start w:val="0"/>
      <w:numFmt w:val="bullet"/>
      <w:lvlText w:val="•"/>
      <w:lvlJc w:val="left"/>
      <w:pPr>
        <w:ind w:left="7715" w:hanging="420"/>
      </w:pPr>
      <w:rPr>
        <w:rFonts w:hint="default"/>
      </w:rPr>
    </w:lvl>
  </w:abstractNum>
  <w:abstractNum w:abstractNumId="4">
    <w:multiLevelType w:val="hybridMultilevel"/>
    <w:lvl w:ilvl="0">
      <w:start w:val="1"/>
      <w:numFmt w:val="decimal"/>
      <w:lvlText w:val="%1."/>
      <w:lvlJc w:val="left"/>
      <w:pPr>
        <w:ind w:left="853" w:hanging="315"/>
        <w:jc w:val="left"/>
      </w:pPr>
      <w:rPr>
        <w:rFonts w:hint="default" w:ascii="宋体" w:hAnsi="宋体" w:eastAsia="宋体" w:cs="宋体"/>
        <w:spacing w:val="-105"/>
        <w:w w:val="100"/>
        <w:sz w:val="21"/>
        <w:szCs w:val="21"/>
      </w:rPr>
    </w:lvl>
    <w:lvl w:ilvl="1">
      <w:start w:val="0"/>
      <w:numFmt w:val="bullet"/>
      <w:lvlText w:val="•"/>
      <w:lvlJc w:val="left"/>
      <w:pPr>
        <w:ind w:left="1704" w:hanging="315"/>
      </w:pPr>
      <w:rPr>
        <w:rFonts w:hint="default"/>
      </w:rPr>
    </w:lvl>
    <w:lvl w:ilvl="2">
      <w:start w:val="0"/>
      <w:numFmt w:val="bullet"/>
      <w:lvlText w:val="•"/>
      <w:lvlJc w:val="left"/>
      <w:pPr>
        <w:ind w:left="2548" w:hanging="315"/>
      </w:pPr>
      <w:rPr>
        <w:rFonts w:hint="default"/>
      </w:rPr>
    </w:lvl>
    <w:lvl w:ilvl="3">
      <w:start w:val="0"/>
      <w:numFmt w:val="bullet"/>
      <w:lvlText w:val="•"/>
      <w:lvlJc w:val="left"/>
      <w:pPr>
        <w:ind w:left="3393" w:hanging="315"/>
      </w:pPr>
      <w:rPr>
        <w:rFonts w:hint="default"/>
      </w:rPr>
    </w:lvl>
    <w:lvl w:ilvl="4">
      <w:start w:val="0"/>
      <w:numFmt w:val="bullet"/>
      <w:lvlText w:val="•"/>
      <w:lvlJc w:val="left"/>
      <w:pPr>
        <w:ind w:left="4237" w:hanging="315"/>
      </w:pPr>
      <w:rPr>
        <w:rFonts w:hint="default"/>
      </w:rPr>
    </w:lvl>
    <w:lvl w:ilvl="5">
      <w:start w:val="0"/>
      <w:numFmt w:val="bullet"/>
      <w:lvlText w:val="•"/>
      <w:lvlJc w:val="left"/>
      <w:pPr>
        <w:ind w:left="5082" w:hanging="315"/>
      </w:pPr>
      <w:rPr>
        <w:rFonts w:hint="default"/>
      </w:rPr>
    </w:lvl>
    <w:lvl w:ilvl="6">
      <w:start w:val="0"/>
      <w:numFmt w:val="bullet"/>
      <w:lvlText w:val="•"/>
      <w:lvlJc w:val="left"/>
      <w:pPr>
        <w:ind w:left="5926" w:hanging="315"/>
      </w:pPr>
      <w:rPr>
        <w:rFonts w:hint="default"/>
      </w:rPr>
    </w:lvl>
    <w:lvl w:ilvl="7">
      <w:start w:val="0"/>
      <w:numFmt w:val="bullet"/>
      <w:lvlText w:val="•"/>
      <w:lvlJc w:val="left"/>
      <w:pPr>
        <w:ind w:left="6771" w:hanging="315"/>
      </w:pPr>
      <w:rPr>
        <w:rFonts w:hint="default"/>
      </w:rPr>
    </w:lvl>
    <w:lvl w:ilvl="8">
      <w:start w:val="0"/>
      <w:numFmt w:val="bullet"/>
      <w:lvlText w:val="•"/>
      <w:lvlJc w:val="left"/>
      <w:pPr>
        <w:ind w:left="7615" w:hanging="315"/>
      </w:pPr>
      <w:rPr>
        <w:rFonts w:hint="default"/>
      </w:rPr>
    </w:lvl>
  </w:abstractNum>
  <w:abstractNum w:abstractNumId="3">
    <w:multiLevelType w:val="hybridMultilevel"/>
    <w:lvl w:ilvl="0">
      <w:start w:val="1"/>
      <w:numFmt w:val="decimal"/>
      <w:lvlText w:val="%1."/>
      <w:lvlJc w:val="left"/>
      <w:pPr>
        <w:ind w:left="537" w:hanging="316"/>
        <w:jc w:val="left"/>
      </w:pPr>
      <w:rPr>
        <w:rFonts w:hint="default" w:ascii="宋体" w:hAnsi="宋体" w:eastAsia="宋体" w:cs="宋体"/>
        <w:spacing w:val="-2"/>
        <w:w w:val="100"/>
        <w:sz w:val="21"/>
        <w:szCs w:val="21"/>
      </w:rPr>
    </w:lvl>
    <w:lvl w:ilvl="1">
      <w:start w:val="0"/>
      <w:numFmt w:val="bullet"/>
      <w:lvlText w:val="•"/>
      <w:lvlJc w:val="left"/>
      <w:pPr>
        <w:ind w:left="1416" w:hanging="316"/>
      </w:pPr>
      <w:rPr>
        <w:rFonts w:hint="default"/>
      </w:rPr>
    </w:lvl>
    <w:lvl w:ilvl="2">
      <w:start w:val="0"/>
      <w:numFmt w:val="bullet"/>
      <w:lvlText w:val="•"/>
      <w:lvlJc w:val="left"/>
      <w:pPr>
        <w:ind w:left="2292" w:hanging="316"/>
      </w:pPr>
      <w:rPr>
        <w:rFonts w:hint="default"/>
      </w:rPr>
    </w:lvl>
    <w:lvl w:ilvl="3">
      <w:start w:val="0"/>
      <w:numFmt w:val="bullet"/>
      <w:lvlText w:val="•"/>
      <w:lvlJc w:val="left"/>
      <w:pPr>
        <w:ind w:left="3169" w:hanging="316"/>
      </w:pPr>
      <w:rPr>
        <w:rFonts w:hint="default"/>
      </w:rPr>
    </w:lvl>
    <w:lvl w:ilvl="4">
      <w:start w:val="0"/>
      <w:numFmt w:val="bullet"/>
      <w:lvlText w:val="•"/>
      <w:lvlJc w:val="left"/>
      <w:pPr>
        <w:ind w:left="4045" w:hanging="316"/>
      </w:pPr>
      <w:rPr>
        <w:rFonts w:hint="default"/>
      </w:rPr>
    </w:lvl>
    <w:lvl w:ilvl="5">
      <w:start w:val="0"/>
      <w:numFmt w:val="bullet"/>
      <w:lvlText w:val="•"/>
      <w:lvlJc w:val="left"/>
      <w:pPr>
        <w:ind w:left="4922" w:hanging="316"/>
      </w:pPr>
      <w:rPr>
        <w:rFonts w:hint="default"/>
      </w:rPr>
    </w:lvl>
    <w:lvl w:ilvl="6">
      <w:start w:val="0"/>
      <w:numFmt w:val="bullet"/>
      <w:lvlText w:val="•"/>
      <w:lvlJc w:val="left"/>
      <w:pPr>
        <w:ind w:left="5798" w:hanging="316"/>
      </w:pPr>
      <w:rPr>
        <w:rFonts w:hint="default"/>
      </w:rPr>
    </w:lvl>
    <w:lvl w:ilvl="7">
      <w:start w:val="0"/>
      <w:numFmt w:val="bullet"/>
      <w:lvlText w:val="•"/>
      <w:lvlJc w:val="left"/>
      <w:pPr>
        <w:ind w:left="6675" w:hanging="316"/>
      </w:pPr>
      <w:rPr>
        <w:rFonts w:hint="default"/>
      </w:rPr>
    </w:lvl>
    <w:lvl w:ilvl="8">
      <w:start w:val="0"/>
      <w:numFmt w:val="bullet"/>
      <w:lvlText w:val="•"/>
      <w:lvlJc w:val="left"/>
      <w:pPr>
        <w:ind w:left="7551" w:hanging="316"/>
      </w:pPr>
      <w:rPr>
        <w:rFonts w:hint="default"/>
      </w:rPr>
    </w:lvl>
  </w:abstractNum>
  <w:abstractNum w:abstractNumId="2">
    <w:multiLevelType w:val="hybridMultilevel"/>
    <w:lvl w:ilvl="0">
      <w:start w:val="1"/>
      <w:numFmt w:val="decimal"/>
      <w:lvlText w:val="%1."/>
      <w:lvlJc w:val="left"/>
      <w:pPr>
        <w:ind w:left="538" w:hanging="420"/>
        <w:jc w:val="left"/>
      </w:pPr>
      <w:rPr>
        <w:rFonts w:hint="default" w:ascii="宋体" w:hAnsi="宋体" w:eastAsia="宋体" w:cs="宋体"/>
        <w:w w:val="100"/>
        <w:sz w:val="21"/>
        <w:szCs w:val="21"/>
      </w:rPr>
    </w:lvl>
    <w:lvl w:ilvl="1">
      <w:start w:val="0"/>
      <w:numFmt w:val="bullet"/>
      <w:lvlText w:val="•"/>
      <w:lvlJc w:val="left"/>
      <w:pPr>
        <w:ind w:left="1416" w:hanging="420"/>
      </w:pPr>
      <w:rPr>
        <w:rFonts w:hint="default"/>
      </w:rPr>
    </w:lvl>
    <w:lvl w:ilvl="2">
      <w:start w:val="0"/>
      <w:numFmt w:val="bullet"/>
      <w:lvlText w:val="•"/>
      <w:lvlJc w:val="left"/>
      <w:pPr>
        <w:ind w:left="2292"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5" w:hanging="420"/>
      </w:pPr>
      <w:rPr>
        <w:rFonts w:hint="default"/>
      </w:rPr>
    </w:lvl>
    <w:lvl w:ilvl="5">
      <w:start w:val="0"/>
      <w:numFmt w:val="bullet"/>
      <w:lvlText w:val="•"/>
      <w:lvlJc w:val="left"/>
      <w:pPr>
        <w:ind w:left="4922" w:hanging="420"/>
      </w:pPr>
      <w:rPr>
        <w:rFonts w:hint="default"/>
      </w:rPr>
    </w:lvl>
    <w:lvl w:ilvl="6">
      <w:start w:val="0"/>
      <w:numFmt w:val="bullet"/>
      <w:lvlText w:val="•"/>
      <w:lvlJc w:val="left"/>
      <w:pPr>
        <w:ind w:left="5798" w:hanging="420"/>
      </w:pPr>
      <w:rPr>
        <w:rFonts w:hint="default"/>
      </w:rPr>
    </w:lvl>
    <w:lvl w:ilvl="7">
      <w:start w:val="0"/>
      <w:numFmt w:val="bullet"/>
      <w:lvlText w:val="•"/>
      <w:lvlJc w:val="left"/>
      <w:pPr>
        <w:ind w:left="6675" w:hanging="420"/>
      </w:pPr>
      <w:rPr>
        <w:rFonts w:hint="default"/>
      </w:rPr>
    </w:lvl>
    <w:lvl w:ilvl="8">
      <w:start w:val="0"/>
      <w:numFmt w:val="bullet"/>
      <w:lvlText w:val="•"/>
      <w:lvlJc w:val="left"/>
      <w:pPr>
        <w:ind w:left="7551" w:hanging="420"/>
      </w:pPr>
      <w:rPr>
        <w:rFonts w:hint="default"/>
      </w:rPr>
    </w:lvl>
  </w:abstractNum>
  <w:abstractNum w:abstractNumId="1">
    <w:multiLevelType w:val="hybridMultilevel"/>
    <w:lvl w:ilvl="0">
      <w:start w:val="1"/>
      <w:numFmt w:val="decimal"/>
      <w:lvlText w:val="%1."/>
      <w:lvlJc w:val="left"/>
      <w:pPr>
        <w:ind w:left="478" w:hanging="361"/>
        <w:jc w:val="right"/>
      </w:pPr>
      <w:rPr>
        <w:rFonts w:hint="default" w:ascii="宋体" w:hAnsi="宋体" w:eastAsia="宋体" w:cs="宋体"/>
        <w:w w:val="100"/>
        <w:sz w:val="21"/>
        <w:szCs w:val="21"/>
      </w:rPr>
    </w:lvl>
    <w:lvl w:ilvl="1">
      <w:start w:val="1"/>
      <w:numFmt w:val="decimal"/>
      <w:lvlText w:val="%2."/>
      <w:lvlJc w:val="left"/>
      <w:pPr>
        <w:ind w:left="538" w:hanging="420"/>
        <w:jc w:val="left"/>
      </w:pPr>
      <w:rPr>
        <w:rFonts w:hint="default" w:ascii="宋体" w:hAnsi="宋体" w:eastAsia="宋体" w:cs="宋体"/>
        <w:spacing w:val="-105"/>
        <w:w w:val="100"/>
        <w:sz w:val="21"/>
        <w:szCs w:val="21"/>
      </w:rPr>
    </w:lvl>
    <w:lvl w:ilvl="2">
      <w:start w:val="0"/>
      <w:numFmt w:val="bullet"/>
      <w:lvlText w:val="•"/>
      <w:lvlJc w:val="left"/>
      <w:pPr>
        <w:ind w:left="1513" w:hanging="420"/>
      </w:pPr>
      <w:rPr>
        <w:rFonts w:hint="default"/>
      </w:rPr>
    </w:lvl>
    <w:lvl w:ilvl="3">
      <w:start w:val="0"/>
      <w:numFmt w:val="bullet"/>
      <w:lvlText w:val="•"/>
      <w:lvlJc w:val="left"/>
      <w:pPr>
        <w:ind w:left="2487" w:hanging="420"/>
      </w:pPr>
      <w:rPr>
        <w:rFonts w:hint="default"/>
      </w:rPr>
    </w:lvl>
    <w:lvl w:ilvl="4">
      <w:start w:val="0"/>
      <w:numFmt w:val="bullet"/>
      <w:lvlText w:val="•"/>
      <w:lvlJc w:val="left"/>
      <w:pPr>
        <w:ind w:left="3461" w:hanging="420"/>
      </w:pPr>
      <w:rPr>
        <w:rFonts w:hint="default"/>
      </w:rPr>
    </w:lvl>
    <w:lvl w:ilvl="5">
      <w:start w:val="0"/>
      <w:numFmt w:val="bullet"/>
      <w:lvlText w:val="•"/>
      <w:lvlJc w:val="left"/>
      <w:pPr>
        <w:ind w:left="4435" w:hanging="420"/>
      </w:pPr>
      <w:rPr>
        <w:rFonts w:hint="default"/>
      </w:rPr>
    </w:lvl>
    <w:lvl w:ilvl="6">
      <w:start w:val="0"/>
      <w:numFmt w:val="bullet"/>
      <w:lvlText w:val="•"/>
      <w:lvlJc w:val="left"/>
      <w:pPr>
        <w:ind w:left="5409" w:hanging="420"/>
      </w:pPr>
      <w:rPr>
        <w:rFonts w:hint="default"/>
      </w:rPr>
    </w:lvl>
    <w:lvl w:ilvl="7">
      <w:start w:val="0"/>
      <w:numFmt w:val="bullet"/>
      <w:lvlText w:val="•"/>
      <w:lvlJc w:val="left"/>
      <w:pPr>
        <w:ind w:left="6382" w:hanging="420"/>
      </w:pPr>
      <w:rPr>
        <w:rFonts w:hint="default"/>
      </w:rPr>
    </w:lvl>
    <w:lvl w:ilvl="8">
      <w:start w:val="0"/>
      <w:numFmt w:val="bullet"/>
      <w:lvlText w:val="•"/>
      <w:lvlJc w:val="left"/>
      <w:pPr>
        <w:ind w:left="7356" w:hanging="420"/>
      </w:pPr>
      <w:rPr>
        <w:rFonts w:hint="default"/>
      </w:rPr>
    </w:lvl>
  </w:abstract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8"/>
    </w:pPr>
    <w:rPr>
      <w:rFonts w:ascii="宋体" w:hAnsi="宋体" w:eastAsia="宋体" w:cs="宋体"/>
      <w:sz w:val="21"/>
      <w:szCs w:val="21"/>
    </w:rPr>
  </w:style>
  <w:style w:styleId="Heading1" w:type="paragraph">
    <w:name w:val="Heading 1"/>
    <w:basedOn w:val="Normal"/>
    <w:uiPriority w:val="1"/>
    <w:qFormat/>
    <w:pPr>
      <w:ind w:left="118"/>
      <w:outlineLvl w:val="1"/>
    </w:pPr>
    <w:rPr>
      <w:rFonts w:ascii="宋体" w:hAnsi="宋体" w:eastAsia="宋体" w:cs="宋体"/>
      <w:b/>
      <w:bCs/>
      <w:sz w:val="21"/>
      <w:szCs w:val="21"/>
    </w:rPr>
  </w:style>
  <w:style w:styleId="ListParagraph" w:type="paragraph">
    <w:name w:val="List Paragraph"/>
    <w:basedOn w:val="Normal"/>
    <w:uiPriority w:val="1"/>
    <w:qFormat/>
    <w:pPr>
      <w:ind w:left="478" w:hanging="360"/>
    </w:pPr>
    <w:rPr>
      <w:rFonts w:ascii="宋体" w:hAnsi="宋体" w:eastAsia="宋体" w:cs="宋体"/>
    </w:rPr>
  </w:style>
  <w:style w:styleId="TableParagraph" w:type="paragraph">
    <w:name w:val="Table Paragraph"/>
    <w:basedOn w:val="Normal"/>
    <w:uiPriority w:val="1"/>
    <w:qFormat/>
    <w:pPr>
      <w:spacing w:before="17" w:line="275" w:lineRule="exact"/>
      <w:ind w:left="854" w:right="899"/>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&lt;4D6963726F736F667420576F7264202D204744442DCAD7B4B4B0B2CCA9B8BDBCD3CDC5CCE5D6D8B4F3BCB2B2A1B1A3CFD52DCAD7B4B4B0B2CCA95B323030395DB5DA30313130BAC52D33312E646F636D&gt;</dc:title>
  <dcterms:created xsi:type="dcterms:W3CDTF">2018-10-20T03:53:45Z</dcterms:created>
  <dcterms:modified xsi:type="dcterms:W3CDTF">2018-10-20T03:53:45Z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