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6"/>
        <w:ind w:left="1664" w:right="29" w:firstLine="0"/>
        <w:jc w:val="center"/>
        <w:rPr>
          <w:sz w:val="32"/>
        </w:rPr>
      </w:pPr>
      <w:r>
        <w:rPr>
          <w:sz w:val="32"/>
        </w:rPr>
        <w:t>阅 读 指 引</w:t>
      </w:r>
    </w:p>
    <w:p>
      <w:pPr>
        <w:pStyle w:val="BodyText"/>
        <w:spacing w:before="156"/>
        <w:ind w:left="1669" w:right="29"/>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投</w:t>
      </w:r>
      <w:r>
        <w:rPr>
          <w:spacing w:val="-63"/>
          <w:position w:val="-7"/>
        </w:rPr>
        <w:t>．</w:t>
      </w:r>
      <w:r>
        <w:rPr>
          <w:spacing w:val="-149"/>
        </w:rPr>
        <w:t>保</w:t>
      </w:r>
      <w:r>
        <w:rPr>
          <w:spacing w:val="-63"/>
          <w:position w:val="-7"/>
        </w:rPr>
        <w:t>．</w:t>
      </w:r>
      <w:r>
        <w:rPr>
          <w:spacing w:val="-152"/>
        </w:rPr>
        <w:t>人</w:t>
      </w:r>
      <w:r>
        <w:rPr>
          <w:spacing w:val="-63"/>
          <w:position w:val="-7"/>
        </w:rPr>
        <w:t>．</w:t>
      </w:r>
      <w:r>
        <w:rPr>
          <w:spacing w:val="-149"/>
        </w:rPr>
        <w:t>理</w:t>
      </w:r>
      <w:r>
        <w:rPr>
          <w:spacing w:val="-63"/>
          <w:position w:val="-7"/>
        </w:rPr>
        <w:t>．</w:t>
      </w:r>
      <w:r>
        <w:rPr>
          <w:spacing w:val="-149"/>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52"/>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49"/>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spacing w:before="72"/>
        <w:ind w:left="-31" w:right="0" w:firstLine="0"/>
        <w:jc w:val="left"/>
        <w:rPr>
          <w:sz w:val="15"/>
        </w:rPr>
      </w:pPr>
      <w:r>
        <w:rPr/>
        <w:br w:type="column"/>
      </w:r>
      <w:r>
        <w:rPr>
          <w:sz w:val="15"/>
        </w:rPr>
        <w:t>新华保险[2009]疾病保险 081 号</w:t>
      </w:r>
    </w:p>
    <w:p>
      <w:pPr>
        <w:spacing w:after="0"/>
        <w:jc w:val="left"/>
        <w:rPr>
          <w:sz w:val="15"/>
        </w:rPr>
        <w:sectPr>
          <w:headerReference w:type="default" r:id="rId5"/>
          <w:footerReference w:type="default" r:id="rId6"/>
          <w:type w:val="continuous"/>
          <w:pgSz w:w="11910" w:h="16840"/>
          <w:pgMar w:header="879" w:footer="999" w:top="1120" w:bottom="1180" w:left="1160" w:right="340"/>
          <w:cols w:num="2" w:equalWidth="0">
            <w:col w:w="8178" w:space="40"/>
            <w:col w:w="2192"/>
          </w:cols>
        </w:sectPr>
      </w:pPr>
    </w:p>
    <w:p>
      <w:pPr>
        <w:pStyle w:val="BodyText"/>
        <w:spacing w:before="0"/>
        <w:rPr>
          <w:sz w:val="10"/>
        </w:rPr>
      </w:pPr>
    </w:p>
    <w:p>
      <w:pPr>
        <w:spacing w:after="0"/>
        <w:rPr>
          <w:sz w:val="10"/>
        </w:rPr>
        <w:sectPr>
          <w:type w:val="continuous"/>
          <w:pgSz w:w="11910" w:h="16840"/>
          <w:pgMar w:top="1120" w:bottom="1180" w:left="1160" w:right="340"/>
        </w:sectPr>
      </w:pPr>
    </w:p>
    <w:p>
      <w:pPr>
        <w:pStyle w:val="BodyText"/>
        <w:spacing w:before="49"/>
        <w:ind w:left="1105"/>
        <w:jc w:val="center"/>
      </w:pPr>
      <w:r>
        <w:rPr/>
        <w:drawing>
          <wp:anchor distT="0" distB="0" distL="0" distR="0" allowOverlap="1" layoutInCell="1" locked="0" behindDoc="1" simplePos="0" relativeHeight="268408559">
            <wp:simplePos x="0" y="0"/>
            <wp:positionH relativeFrom="page">
              <wp:posOffset>6374615</wp:posOffset>
            </wp:positionH>
            <wp:positionV relativeFrom="paragraph">
              <wp:posOffset>-669624</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899"/>
                    </a:xfrm>
                    <a:prstGeom prst="rect">
                      <a:avLst/>
                    </a:prstGeom>
                  </pic:spPr>
                </pic:pic>
              </a:graphicData>
            </a:graphic>
          </wp:anchor>
        </w:drawing>
      </w:r>
      <w:r>
        <w:rPr/>
        <w:t>在本条款中，“本公司”指新华人寿保险股份有限公司。</w:t>
      </w:r>
    </w:p>
    <w:p>
      <w:pPr>
        <w:pStyle w:val="BodyText"/>
        <w:tabs>
          <w:tab w:pos="1263" w:val="left" w:leader="none"/>
        </w:tabs>
        <w:spacing w:line="558" w:lineRule="exact" w:before="142"/>
        <w:ind w:left="253"/>
      </w:pPr>
      <w:r>
        <w:rPr/>
        <w:drawing>
          <wp:anchor distT="0" distB="0" distL="0" distR="0" allowOverlap="1" layoutInCell="1" locked="0" behindDoc="1" simplePos="0" relativeHeight="268408535">
            <wp:simplePos x="0" y="0"/>
            <wp:positionH relativeFrom="page">
              <wp:posOffset>808967</wp:posOffset>
            </wp:positionH>
            <wp:positionV relativeFrom="paragraph">
              <wp:posOffset>81450</wp:posOffset>
            </wp:positionV>
            <wp:extent cx="6086856" cy="784098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86856" cy="7840980"/>
                    </a:xfrm>
                    <a:prstGeom prst="rect">
                      <a:avLst/>
                    </a:prstGeom>
                  </pic:spPr>
                </pic:pic>
              </a:graphicData>
            </a:graphic>
          </wp:anchor>
        </w:drawing>
      </w:r>
      <w:r>
        <w:rPr>
          <w:rFonts w:ascii="Times New Roman" w:eastAsia="Times New Roman"/>
          <w:w w:val="125"/>
          <w:position w:val="-11"/>
          <w:sz w:val="52"/>
        </w:rPr>
        <w:t>C</w:t>
        <w:tab/>
      </w:r>
      <w:r>
        <w:rPr>
          <w:spacing w:val="-1"/>
        </w:rPr>
        <w:t>投保人重要权益提示</w:t>
      </w:r>
    </w:p>
    <w:p>
      <w:pPr>
        <w:pStyle w:val="BodyText"/>
        <w:tabs>
          <w:tab w:pos="1645" w:val="left" w:leader="none"/>
        </w:tabs>
        <w:spacing w:line="246" w:lineRule="exact" w:before="0"/>
        <w:ind w:left="1225"/>
        <w:jc w:val="center"/>
      </w:pPr>
      <w:r>
        <w:rPr>
          <w:rFonts w:ascii="Times New Roman" w:hAnsi="Times New Roman" w:eastAsia="Times New Roman"/>
          <w:w w:val="150"/>
        </w:rPr>
        <w:t>v</w:t>
        <w:tab/>
      </w:r>
      <w:r>
        <w:rPr>
          <w:spacing w:val="-3"/>
        </w:rPr>
        <w:t>被保险人享受本保险合同提供的保障……………………………………第</w:t>
      </w:r>
      <w:r>
        <w:rPr/>
        <w:t>2.3条</w:t>
      </w:r>
    </w:p>
    <w:p>
      <w:pPr>
        <w:pStyle w:val="BodyText"/>
        <w:tabs>
          <w:tab w:pos="1263" w:val="left" w:leader="none"/>
        </w:tabs>
        <w:spacing w:line="571" w:lineRule="exact" w:before="0"/>
        <w:ind w:left="253"/>
      </w:pPr>
      <w:r>
        <w:rPr>
          <w:rFonts w:ascii="Times New Roman" w:eastAsia="Times New Roman"/>
          <w:w w:val="125"/>
          <w:position w:val="-11"/>
          <w:sz w:val="52"/>
        </w:rPr>
        <w:t>C</w:t>
        <w:tab/>
      </w:r>
      <w:r>
        <w:rPr>
          <w:spacing w:val="-1"/>
        </w:rPr>
        <w:t>投保人注意的事项提醒</w:t>
      </w:r>
    </w:p>
    <w:p>
      <w:pPr>
        <w:spacing w:before="55"/>
        <w:ind w:left="-33" w:right="0" w:firstLine="0"/>
        <w:jc w:val="left"/>
        <w:rPr>
          <w:sz w:val="15"/>
        </w:rPr>
      </w:pPr>
      <w:r>
        <w:rPr/>
        <w:br w:type="column"/>
      </w:r>
      <w:r>
        <w:rPr>
          <w:sz w:val="15"/>
        </w:rPr>
        <w:t>请扫描以查询验证条款</w:t>
      </w:r>
    </w:p>
    <w:p>
      <w:pPr>
        <w:spacing w:after="0"/>
        <w:jc w:val="left"/>
        <w:rPr>
          <w:sz w:val="15"/>
        </w:rPr>
        <w:sectPr>
          <w:type w:val="continuous"/>
          <w:pgSz w:w="11910" w:h="16840"/>
          <w:pgMar w:top="1120" w:bottom="1180" w:left="1160" w:right="340"/>
          <w:cols w:num="2" w:equalWidth="0">
            <w:col w:w="8711" w:space="40"/>
            <w:col w:w="1659"/>
          </w:cols>
        </w:sectPr>
      </w:pPr>
    </w:p>
    <w:p>
      <w:pPr>
        <w:pStyle w:val="BodyText"/>
        <w:tabs>
          <w:tab w:pos="1664" w:val="left" w:leader="none"/>
        </w:tabs>
        <w:spacing w:line="235" w:lineRule="exact" w:before="0"/>
        <w:ind w:left="1225"/>
      </w:pPr>
      <w:r>
        <w:rPr>
          <w:rFonts w:ascii="Times New Roman" w:hAnsi="Times New Roman" w:eastAsia="Times New Roman"/>
          <w:w w:val="150"/>
        </w:rPr>
        <w:t>v</w:t>
        <w:tab/>
      </w:r>
      <w:r>
        <w:rPr>
          <w:spacing w:val="-3"/>
        </w:rPr>
        <w:t>投保人解除合同会有一定的损失，请慎重决策…………………………第</w:t>
      </w:r>
      <w:r>
        <w:rPr/>
        <w:t>1.5条</w:t>
      </w:r>
    </w:p>
    <w:p>
      <w:pPr>
        <w:pStyle w:val="BodyText"/>
        <w:tabs>
          <w:tab w:pos="1664" w:val="left" w:leader="none"/>
        </w:tabs>
        <w:spacing w:before="107"/>
        <w:ind w:left="1225"/>
      </w:pPr>
      <w:r>
        <w:rPr>
          <w:rFonts w:ascii="Times New Roman" w:hAnsi="Times New Roman" w:eastAsia="Times New Roman"/>
          <w:w w:val="150"/>
        </w:rPr>
        <w:t>v</w:t>
        <w:tab/>
      </w:r>
      <w:r>
        <w:rPr>
          <w:spacing w:val="-3"/>
        </w:rPr>
        <w:t>在某些情况下，本公司不承担保险责任…………………………………第</w:t>
      </w:r>
      <w:r>
        <w:rPr/>
        <w:t>2.4条</w:t>
      </w:r>
    </w:p>
    <w:p>
      <w:pPr>
        <w:pStyle w:val="BodyText"/>
        <w:tabs>
          <w:tab w:pos="1664" w:val="left" w:leader="none"/>
        </w:tabs>
        <w:spacing w:before="109"/>
        <w:ind w:left="1225"/>
      </w:pPr>
      <w:r>
        <w:rPr>
          <w:rFonts w:ascii="Times New Roman" w:hAnsi="Times New Roman" w:eastAsia="Times New Roman"/>
          <w:w w:val="150"/>
        </w:rPr>
        <w:t>v</w:t>
        <w:tab/>
      </w:r>
      <w:r>
        <w:rPr>
          <w:spacing w:val="-3"/>
        </w:rPr>
        <w:t>申请保险金给付时，应当提供的证明和资料……………………………第</w:t>
      </w:r>
      <w:r>
        <w:rPr/>
        <w:t>4.3条</w:t>
      </w:r>
    </w:p>
    <w:p>
      <w:pPr>
        <w:pStyle w:val="BodyText"/>
        <w:tabs>
          <w:tab w:pos="1664" w:val="left" w:leader="none"/>
        </w:tabs>
        <w:spacing w:before="109"/>
        <w:ind w:left="1225"/>
      </w:pPr>
      <w:r>
        <w:rPr>
          <w:rFonts w:ascii="Times New Roman" w:hAnsi="Times New Roman" w:eastAsia="Times New Roman"/>
          <w:w w:val="150"/>
        </w:rPr>
        <w:t>v</w:t>
        <w:tab/>
      </w:r>
      <w:r>
        <w:rPr>
          <w:spacing w:val="-2"/>
        </w:rPr>
        <w:t>投保人有如实告知的义务…………………………………………………第</w:t>
      </w:r>
      <w:r>
        <w:rPr/>
        <w:t>5.1条</w:t>
      </w:r>
    </w:p>
    <w:p>
      <w:pPr>
        <w:pStyle w:val="BodyText"/>
        <w:tabs>
          <w:tab w:pos="1664" w:val="left" w:leader="none"/>
        </w:tabs>
        <w:spacing w:line="286" w:lineRule="exact" w:before="107"/>
        <w:ind w:left="1225"/>
      </w:pPr>
      <w:r>
        <w:rPr>
          <w:rFonts w:ascii="Times New Roman" w:hAnsi="Times New Roman" w:eastAsia="Times New Roman"/>
          <w:w w:val="150"/>
        </w:rPr>
        <w:t>v</w:t>
        <w:tab/>
      </w:r>
      <w:r>
        <w:rPr>
          <w:spacing w:val="-3"/>
        </w:rPr>
        <w:t>本公司对一些重要术语进行了解释，请投保人注意……………………第 </w:t>
      </w:r>
      <w:r>
        <w:rPr/>
        <w:t>6</w:t>
      </w:r>
      <w:r>
        <w:rPr>
          <w:spacing w:val="7"/>
        </w:rPr>
        <w:t> 条</w:t>
      </w:r>
    </w:p>
    <w:p>
      <w:pPr>
        <w:pStyle w:val="BodyText"/>
        <w:tabs>
          <w:tab w:pos="1263" w:val="left" w:leader="none"/>
        </w:tabs>
        <w:spacing w:line="494" w:lineRule="exact" w:before="0"/>
        <w:ind w:left="253"/>
      </w:pPr>
      <w:r>
        <w:rPr>
          <w:rFonts w:ascii="Times New Roman" w:eastAsia="Times New Roman"/>
          <w:w w:val="125"/>
          <w:position w:val="-11"/>
          <w:sz w:val="52"/>
        </w:rPr>
        <w:t>C</w:t>
        <w:tab/>
      </w:r>
      <w:r>
        <w:rPr>
          <w:spacing w:val="-3"/>
        </w:rPr>
        <w:t>条款是保险合同的重要内容，为充分保障投保人的权益，请投保人仔细阅读本条款。</w:t>
      </w:r>
    </w:p>
    <w:p>
      <w:pPr>
        <w:tabs>
          <w:tab w:pos="1263" w:val="left" w:leader="none"/>
        </w:tabs>
        <w:spacing w:line="499" w:lineRule="exact" w:before="0"/>
        <w:ind w:left="253" w:right="0" w:firstLine="0"/>
        <w:jc w:val="left"/>
        <w:rPr>
          <w:sz w:val="21"/>
        </w:rPr>
      </w:pPr>
      <w:r>
        <w:rPr>
          <w:rFonts w:ascii="Times New Roman" w:eastAsia="Times New Roman"/>
          <w:w w:val="125"/>
          <w:position w:val="-11"/>
          <w:sz w:val="52"/>
        </w:rPr>
        <w:t>C</w:t>
        <w:tab/>
      </w:r>
      <w:r>
        <w:rPr>
          <w:sz w:val="21"/>
        </w:rPr>
        <w:t>条款目录</w:t>
      </w:r>
    </w:p>
    <w:p>
      <w:pPr>
        <w:spacing w:after="0" w:line="499" w:lineRule="exact"/>
        <w:jc w:val="left"/>
        <w:rPr>
          <w:sz w:val="21"/>
        </w:rPr>
        <w:sectPr>
          <w:type w:val="continuous"/>
          <w:pgSz w:w="11910" w:h="16840"/>
          <w:pgMar w:top="1120" w:bottom="1180" w:left="1160" w:right="340"/>
        </w:sectPr>
      </w:pPr>
    </w:p>
    <w:p>
      <w:pPr>
        <w:pStyle w:val="BodyText"/>
        <w:spacing w:before="24"/>
        <w:ind w:left="759"/>
      </w:pPr>
      <w:r>
        <w:rPr/>
        <w:t>1.保险合同</w:t>
      </w:r>
    </w:p>
    <w:p>
      <w:pPr>
        <w:pStyle w:val="BodyText"/>
        <w:spacing w:before="9"/>
        <w:ind w:left="759"/>
      </w:pPr>
      <w:r>
        <w:rPr/>
        <w:br w:type="column"/>
      </w:r>
      <w:r>
        <w:rPr/>
        <w:t>4.保险金的申请与给付</w:t>
      </w:r>
    </w:p>
    <w:p>
      <w:pPr>
        <w:pStyle w:val="BodyText"/>
        <w:spacing w:line="265" w:lineRule="exact" w:before="0"/>
        <w:ind w:left="759"/>
      </w:pPr>
      <w:r>
        <w:rPr/>
        <w:br w:type="column"/>
      </w:r>
      <w:r>
        <w:rPr/>
        <w:t>6.释义</w:t>
      </w:r>
    </w:p>
    <w:p>
      <w:pPr>
        <w:spacing w:after="0" w:line="265" w:lineRule="exact"/>
        <w:sectPr>
          <w:type w:val="continuous"/>
          <w:pgSz w:w="11910" w:h="16840"/>
          <w:pgMar w:top="1120" w:bottom="1180" w:left="1160" w:right="340"/>
          <w:cols w:num="3" w:equalWidth="0">
            <w:col w:w="1816" w:space="1134"/>
            <w:col w:w="2872" w:space="185"/>
            <w:col w:w="4403"/>
          </w:cols>
        </w:sectPr>
      </w:pPr>
    </w:p>
    <w:p>
      <w:pPr>
        <w:pStyle w:val="BodyText"/>
        <w:spacing w:before="12"/>
        <w:rPr>
          <w:sz w:val="11"/>
        </w:rPr>
      </w:pP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052"/>
        <w:gridCol w:w="898"/>
        <w:gridCol w:w="2001"/>
        <w:gridCol w:w="1058"/>
        <w:gridCol w:w="1155"/>
      </w:tblGrid>
      <w:tr>
        <w:trPr>
          <w:trHeight w:val="320" w:hRule="atLeast"/>
        </w:trPr>
        <w:tc>
          <w:tcPr>
            <w:tcW w:w="420" w:type="dxa"/>
          </w:tcPr>
          <w:p>
            <w:pPr>
              <w:pStyle w:val="TableParagraph"/>
              <w:spacing w:line="242" w:lineRule="exact"/>
              <w:ind w:right="51"/>
              <w:jc w:val="right"/>
              <w:rPr>
                <w:sz w:val="21"/>
              </w:rPr>
            </w:pPr>
            <w:r>
              <w:rPr>
                <w:sz w:val="21"/>
              </w:rPr>
              <w:t>1.1</w:t>
            </w:r>
          </w:p>
        </w:tc>
        <w:tc>
          <w:tcPr>
            <w:tcW w:w="2052" w:type="dxa"/>
          </w:tcPr>
          <w:p>
            <w:pPr>
              <w:pStyle w:val="TableParagraph"/>
              <w:spacing w:line="242" w:lineRule="exact"/>
              <w:ind w:left="52"/>
              <w:rPr>
                <w:sz w:val="21"/>
              </w:rPr>
            </w:pPr>
            <w:r>
              <w:rPr>
                <w:sz w:val="21"/>
              </w:rPr>
              <w:t>合同构成</w:t>
            </w:r>
          </w:p>
        </w:tc>
        <w:tc>
          <w:tcPr>
            <w:tcW w:w="898" w:type="dxa"/>
          </w:tcPr>
          <w:p>
            <w:pPr>
              <w:pStyle w:val="TableParagraph"/>
              <w:spacing w:line="228" w:lineRule="exact"/>
              <w:ind w:right="51"/>
              <w:jc w:val="right"/>
              <w:rPr>
                <w:sz w:val="21"/>
              </w:rPr>
            </w:pPr>
            <w:r>
              <w:rPr>
                <w:sz w:val="21"/>
              </w:rPr>
              <w:t>4.1</w:t>
            </w:r>
          </w:p>
        </w:tc>
        <w:tc>
          <w:tcPr>
            <w:tcW w:w="2001" w:type="dxa"/>
          </w:tcPr>
          <w:p>
            <w:pPr>
              <w:pStyle w:val="TableParagraph"/>
              <w:spacing w:line="228" w:lineRule="exact"/>
              <w:ind w:left="52"/>
              <w:rPr>
                <w:sz w:val="21"/>
              </w:rPr>
            </w:pPr>
            <w:r>
              <w:rPr>
                <w:sz w:val="21"/>
              </w:rPr>
              <w:t>保险金受益人</w:t>
            </w:r>
          </w:p>
        </w:tc>
        <w:tc>
          <w:tcPr>
            <w:tcW w:w="1058" w:type="dxa"/>
          </w:tcPr>
          <w:p>
            <w:pPr>
              <w:pStyle w:val="TableParagraph"/>
              <w:spacing w:line="211" w:lineRule="exact"/>
              <w:ind w:right="54"/>
              <w:jc w:val="right"/>
              <w:rPr>
                <w:sz w:val="21"/>
              </w:rPr>
            </w:pPr>
            <w:r>
              <w:rPr>
                <w:sz w:val="21"/>
              </w:rPr>
              <w:t>6.1</w:t>
            </w:r>
          </w:p>
        </w:tc>
        <w:tc>
          <w:tcPr>
            <w:tcW w:w="1155" w:type="dxa"/>
          </w:tcPr>
          <w:p>
            <w:pPr>
              <w:pStyle w:val="TableParagraph"/>
              <w:spacing w:line="211" w:lineRule="exact"/>
              <w:ind w:left="50"/>
              <w:rPr>
                <w:sz w:val="21"/>
              </w:rPr>
            </w:pPr>
            <w:r>
              <w:rPr>
                <w:sz w:val="21"/>
              </w:rPr>
              <w:t>本公司公章</w:t>
            </w:r>
          </w:p>
        </w:tc>
      </w:tr>
      <w:tr>
        <w:trPr>
          <w:trHeight w:val="400" w:hRule="atLeast"/>
        </w:trPr>
        <w:tc>
          <w:tcPr>
            <w:tcW w:w="420" w:type="dxa"/>
          </w:tcPr>
          <w:p>
            <w:pPr>
              <w:pStyle w:val="TableParagraph"/>
              <w:spacing w:before="48"/>
              <w:ind w:right="51"/>
              <w:jc w:val="right"/>
              <w:rPr>
                <w:sz w:val="21"/>
              </w:rPr>
            </w:pPr>
            <w:r>
              <w:rPr>
                <w:sz w:val="21"/>
              </w:rPr>
              <w:t>1.2</w:t>
            </w:r>
          </w:p>
        </w:tc>
        <w:tc>
          <w:tcPr>
            <w:tcW w:w="2052" w:type="dxa"/>
          </w:tcPr>
          <w:p>
            <w:pPr>
              <w:pStyle w:val="TableParagraph"/>
              <w:spacing w:before="48"/>
              <w:ind w:left="52"/>
              <w:rPr>
                <w:sz w:val="21"/>
              </w:rPr>
            </w:pPr>
            <w:r>
              <w:rPr>
                <w:sz w:val="21"/>
              </w:rPr>
              <w:t>投保范围</w:t>
            </w:r>
          </w:p>
        </w:tc>
        <w:tc>
          <w:tcPr>
            <w:tcW w:w="898" w:type="dxa"/>
          </w:tcPr>
          <w:p>
            <w:pPr>
              <w:pStyle w:val="TableParagraph"/>
              <w:spacing w:before="33"/>
              <w:ind w:right="51"/>
              <w:jc w:val="right"/>
              <w:rPr>
                <w:sz w:val="21"/>
              </w:rPr>
            </w:pPr>
            <w:r>
              <w:rPr>
                <w:sz w:val="21"/>
              </w:rPr>
              <w:t>4.2</w:t>
            </w:r>
          </w:p>
        </w:tc>
        <w:tc>
          <w:tcPr>
            <w:tcW w:w="2001" w:type="dxa"/>
          </w:tcPr>
          <w:p>
            <w:pPr>
              <w:pStyle w:val="TableParagraph"/>
              <w:spacing w:before="33"/>
              <w:ind w:left="52"/>
              <w:rPr>
                <w:sz w:val="21"/>
              </w:rPr>
            </w:pPr>
            <w:r>
              <w:rPr>
                <w:sz w:val="21"/>
              </w:rPr>
              <w:t>保险事故通知</w:t>
            </w:r>
          </w:p>
        </w:tc>
        <w:tc>
          <w:tcPr>
            <w:tcW w:w="1058" w:type="dxa"/>
          </w:tcPr>
          <w:p>
            <w:pPr>
              <w:pStyle w:val="TableParagraph"/>
              <w:spacing w:before="14"/>
              <w:ind w:right="54"/>
              <w:jc w:val="right"/>
              <w:rPr>
                <w:sz w:val="21"/>
              </w:rPr>
            </w:pPr>
            <w:r>
              <w:rPr>
                <w:sz w:val="21"/>
              </w:rPr>
              <w:t>6.2</w:t>
            </w:r>
          </w:p>
        </w:tc>
        <w:tc>
          <w:tcPr>
            <w:tcW w:w="1155" w:type="dxa"/>
          </w:tcPr>
          <w:p>
            <w:pPr>
              <w:pStyle w:val="TableParagraph"/>
              <w:spacing w:before="14"/>
              <w:ind w:left="50"/>
              <w:rPr>
                <w:sz w:val="21"/>
              </w:rPr>
            </w:pPr>
            <w:r>
              <w:rPr>
                <w:sz w:val="21"/>
              </w:rPr>
              <w:t>周岁</w:t>
            </w:r>
          </w:p>
        </w:tc>
      </w:tr>
      <w:tr>
        <w:trPr>
          <w:trHeight w:val="400" w:hRule="atLeast"/>
        </w:trPr>
        <w:tc>
          <w:tcPr>
            <w:tcW w:w="420" w:type="dxa"/>
          </w:tcPr>
          <w:p>
            <w:pPr>
              <w:pStyle w:val="TableParagraph"/>
              <w:spacing w:before="48"/>
              <w:ind w:right="51"/>
              <w:jc w:val="right"/>
              <w:rPr>
                <w:sz w:val="21"/>
              </w:rPr>
            </w:pPr>
            <w:r>
              <w:rPr>
                <w:sz w:val="21"/>
              </w:rPr>
              <w:t>1.3</w:t>
            </w:r>
          </w:p>
        </w:tc>
        <w:tc>
          <w:tcPr>
            <w:tcW w:w="2052" w:type="dxa"/>
          </w:tcPr>
          <w:p>
            <w:pPr>
              <w:pStyle w:val="TableParagraph"/>
              <w:spacing w:before="48"/>
              <w:ind w:left="52"/>
              <w:rPr>
                <w:sz w:val="21"/>
              </w:rPr>
            </w:pPr>
            <w:r>
              <w:rPr>
                <w:sz w:val="21"/>
              </w:rPr>
              <w:t>合同成立与生效</w:t>
            </w:r>
          </w:p>
        </w:tc>
        <w:tc>
          <w:tcPr>
            <w:tcW w:w="898" w:type="dxa"/>
          </w:tcPr>
          <w:p>
            <w:pPr>
              <w:pStyle w:val="TableParagraph"/>
              <w:spacing w:before="33"/>
              <w:ind w:right="51"/>
              <w:jc w:val="right"/>
              <w:rPr>
                <w:sz w:val="21"/>
              </w:rPr>
            </w:pPr>
            <w:r>
              <w:rPr>
                <w:sz w:val="21"/>
              </w:rPr>
              <w:t>4.3</w:t>
            </w:r>
          </w:p>
        </w:tc>
        <w:tc>
          <w:tcPr>
            <w:tcW w:w="2001" w:type="dxa"/>
          </w:tcPr>
          <w:p>
            <w:pPr>
              <w:pStyle w:val="TableParagraph"/>
              <w:spacing w:before="33"/>
              <w:ind w:left="52"/>
              <w:rPr>
                <w:sz w:val="21"/>
              </w:rPr>
            </w:pPr>
            <w:r>
              <w:rPr>
                <w:sz w:val="21"/>
              </w:rPr>
              <w:t>保险金的申请</w:t>
            </w:r>
          </w:p>
        </w:tc>
        <w:tc>
          <w:tcPr>
            <w:tcW w:w="1058" w:type="dxa"/>
          </w:tcPr>
          <w:p>
            <w:pPr>
              <w:pStyle w:val="TableParagraph"/>
              <w:spacing w:before="14"/>
              <w:ind w:right="54"/>
              <w:jc w:val="right"/>
              <w:rPr>
                <w:sz w:val="21"/>
              </w:rPr>
            </w:pPr>
            <w:r>
              <w:rPr>
                <w:sz w:val="21"/>
              </w:rPr>
              <w:t>6.3</w:t>
            </w:r>
          </w:p>
        </w:tc>
        <w:tc>
          <w:tcPr>
            <w:tcW w:w="1155" w:type="dxa"/>
          </w:tcPr>
          <w:p>
            <w:pPr>
              <w:pStyle w:val="TableParagraph"/>
              <w:spacing w:before="14"/>
              <w:ind w:left="50"/>
              <w:rPr>
                <w:sz w:val="21"/>
              </w:rPr>
            </w:pPr>
            <w:r>
              <w:rPr>
                <w:sz w:val="21"/>
              </w:rPr>
              <w:t>现金价值</w:t>
            </w:r>
          </w:p>
        </w:tc>
      </w:tr>
      <w:tr>
        <w:trPr>
          <w:trHeight w:val="320" w:hRule="atLeast"/>
        </w:trPr>
        <w:tc>
          <w:tcPr>
            <w:tcW w:w="420" w:type="dxa"/>
          </w:tcPr>
          <w:p>
            <w:pPr>
              <w:pStyle w:val="TableParagraph"/>
              <w:spacing w:line="255" w:lineRule="exact" w:before="45"/>
              <w:ind w:right="51"/>
              <w:jc w:val="right"/>
              <w:rPr>
                <w:sz w:val="21"/>
              </w:rPr>
            </w:pPr>
            <w:r>
              <w:rPr>
                <w:sz w:val="21"/>
              </w:rPr>
              <w:t>1.4</w:t>
            </w:r>
          </w:p>
        </w:tc>
        <w:tc>
          <w:tcPr>
            <w:tcW w:w="2052" w:type="dxa"/>
          </w:tcPr>
          <w:p>
            <w:pPr>
              <w:pStyle w:val="TableParagraph"/>
              <w:spacing w:line="255" w:lineRule="exact" w:before="45"/>
              <w:ind w:left="52"/>
              <w:rPr>
                <w:sz w:val="21"/>
              </w:rPr>
            </w:pPr>
            <w:r>
              <w:rPr>
                <w:sz w:val="21"/>
              </w:rPr>
              <w:t>合同内容变更</w:t>
            </w:r>
          </w:p>
        </w:tc>
        <w:tc>
          <w:tcPr>
            <w:tcW w:w="898" w:type="dxa"/>
          </w:tcPr>
          <w:p>
            <w:pPr>
              <w:pStyle w:val="TableParagraph"/>
              <w:spacing w:line="269" w:lineRule="exact" w:before="31"/>
              <w:ind w:right="51"/>
              <w:jc w:val="right"/>
              <w:rPr>
                <w:sz w:val="21"/>
              </w:rPr>
            </w:pPr>
            <w:r>
              <w:rPr>
                <w:sz w:val="21"/>
              </w:rPr>
              <w:t>4.4</w:t>
            </w:r>
          </w:p>
        </w:tc>
        <w:tc>
          <w:tcPr>
            <w:tcW w:w="2001" w:type="dxa"/>
          </w:tcPr>
          <w:p>
            <w:pPr>
              <w:pStyle w:val="TableParagraph"/>
              <w:spacing w:line="269" w:lineRule="exact" w:before="31"/>
              <w:ind w:left="52"/>
              <w:rPr>
                <w:sz w:val="21"/>
              </w:rPr>
            </w:pPr>
            <w:r>
              <w:rPr>
                <w:sz w:val="21"/>
              </w:rPr>
              <w:t>保险金的给付</w:t>
            </w:r>
          </w:p>
        </w:tc>
        <w:tc>
          <w:tcPr>
            <w:tcW w:w="1058" w:type="dxa"/>
          </w:tcPr>
          <w:p>
            <w:pPr>
              <w:pStyle w:val="TableParagraph"/>
              <w:spacing w:before="14"/>
              <w:ind w:right="54"/>
              <w:jc w:val="right"/>
              <w:rPr>
                <w:sz w:val="21"/>
              </w:rPr>
            </w:pPr>
            <w:r>
              <w:rPr>
                <w:sz w:val="21"/>
              </w:rPr>
              <w:t>6.4</w:t>
            </w:r>
          </w:p>
        </w:tc>
        <w:tc>
          <w:tcPr>
            <w:tcW w:w="1155" w:type="dxa"/>
          </w:tcPr>
          <w:p>
            <w:pPr>
              <w:pStyle w:val="TableParagraph"/>
              <w:spacing w:before="14"/>
              <w:ind w:left="50"/>
              <w:rPr>
                <w:sz w:val="21"/>
              </w:rPr>
            </w:pPr>
            <w:r>
              <w:rPr>
                <w:sz w:val="21"/>
              </w:rPr>
              <w:t>认可医院</w:t>
            </w:r>
          </w:p>
        </w:tc>
      </w:tr>
    </w:tbl>
    <w:p>
      <w:pPr>
        <w:pStyle w:val="BodyText"/>
        <w:spacing w:before="4"/>
        <w:rPr>
          <w:sz w:val="5"/>
        </w:rPr>
      </w:pPr>
    </w:p>
    <w:p>
      <w:pPr>
        <w:spacing w:after="0"/>
        <w:rPr>
          <w:sz w:val="5"/>
        </w:rPr>
        <w:sectPr>
          <w:type w:val="continuous"/>
          <w:pgSz w:w="11910" w:h="16840"/>
          <w:pgMar w:top="1120" w:bottom="1180" w:left="1160" w:right="340"/>
        </w:sectPr>
      </w:pPr>
    </w:p>
    <w:p>
      <w:pPr>
        <w:pStyle w:val="ListParagraph"/>
        <w:numPr>
          <w:ilvl w:val="1"/>
          <w:numId w:val="1"/>
        </w:numPr>
        <w:tabs>
          <w:tab w:pos="1394" w:val="left" w:leader="none"/>
        </w:tabs>
        <w:spacing w:line="350" w:lineRule="auto" w:before="56" w:after="0"/>
        <w:ind w:left="1390" w:right="0" w:hanging="420"/>
        <w:jc w:val="left"/>
        <w:rPr>
          <w:sz w:val="21"/>
        </w:rPr>
      </w:pPr>
      <w:r>
        <w:rPr>
          <w:spacing w:val="-3"/>
          <w:sz w:val="21"/>
        </w:rPr>
        <w:t>投保人解除合同的手续及风险</w:t>
      </w:r>
    </w:p>
    <w:p>
      <w:pPr>
        <w:pStyle w:val="ListParagraph"/>
        <w:numPr>
          <w:ilvl w:val="1"/>
          <w:numId w:val="1"/>
        </w:numPr>
        <w:tabs>
          <w:tab w:pos="1394" w:val="left" w:leader="none"/>
        </w:tabs>
        <w:spacing w:line="240" w:lineRule="auto" w:before="26" w:after="0"/>
        <w:ind w:left="1390" w:right="0" w:hanging="420"/>
        <w:jc w:val="left"/>
        <w:rPr>
          <w:sz w:val="21"/>
        </w:rPr>
      </w:pPr>
      <w:r>
        <w:rPr>
          <w:spacing w:val="-3"/>
          <w:sz w:val="21"/>
        </w:rPr>
        <w:t>合同终止</w:t>
      </w:r>
    </w:p>
    <w:p>
      <w:pPr>
        <w:pStyle w:val="BodyText"/>
        <w:spacing w:before="42"/>
        <w:ind w:left="804"/>
      </w:pPr>
      <w:r>
        <w:rPr/>
        <w:br w:type="column"/>
      </w:r>
      <w:r>
        <w:rPr/>
        <w:t>5.基本条款</w:t>
      </w:r>
    </w:p>
    <w:p>
      <w:pPr>
        <w:pStyle w:val="BodyText"/>
        <w:spacing w:line="348" w:lineRule="auto" w:before="126"/>
        <w:ind w:left="1435" w:hanging="420"/>
      </w:pPr>
      <w:r>
        <w:rPr/>
        <w:t>5.1 明确说明与如实告知</w:t>
      </w:r>
    </w:p>
    <w:p>
      <w:pPr>
        <w:pStyle w:val="ListParagraph"/>
        <w:numPr>
          <w:ilvl w:val="1"/>
          <w:numId w:val="2"/>
        </w:numPr>
        <w:tabs>
          <w:tab w:pos="1394" w:val="left" w:leader="none"/>
        </w:tabs>
        <w:spacing w:line="240" w:lineRule="auto" w:before="22" w:after="0"/>
        <w:ind w:left="1390" w:right="0" w:hanging="420"/>
        <w:jc w:val="left"/>
        <w:rPr>
          <w:sz w:val="21"/>
        </w:rPr>
      </w:pPr>
      <w:r>
        <w:rPr>
          <w:spacing w:val="-3"/>
          <w:w w:val="100"/>
          <w:sz w:val="21"/>
        </w:rPr>
        <w:br w:type="column"/>
      </w:r>
      <w:r>
        <w:rPr>
          <w:spacing w:val="-3"/>
          <w:sz w:val="21"/>
        </w:rPr>
        <w:t>专科医生</w:t>
      </w:r>
    </w:p>
    <w:p>
      <w:pPr>
        <w:pStyle w:val="ListParagraph"/>
        <w:numPr>
          <w:ilvl w:val="1"/>
          <w:numId w:val="2"/>
        </w:numPr>
        <w:tabs>
          <w:tab w:pos="1394" w:val="left" w:leader="none"/>
        </w:tabs>
        <w:spacing w:line="350" w:lineRule="auto" w:before="125" w:after="0"/>
        <w:ind w:left="1390" w:right="1531" w:hanging="420"/>
        <w:jc w:val="left"/>
        <w:rPr>
          <w:sz w:val="21"/>
        </w:rPr>
      </w:pPr>
      <w:r>
        <w:rPr>
          <w:spacing w:val="-3"/>
          <w:sz w:val="21"/>
        </w:rPr>
        <w:t>本合同所指的重大疾病</w:t>
      </w:r>
    </w:p>
    <w:p>
      <w:pPr>
        <w:spacing w:after="0" w:line="350" w:lineRule="auto"/>
        <w:jc w:val="left"/>
        <w:rPr>
          <w:sz w:val="21"/>
        </w:rPr>
        <w:sectPr>
          <w:type w:val="continuous"/>
          <w:pgSz w:w="11910" w:h="16840"/>
          <w:pgMar w:top="1120" w:bottom="1180" w:left="1160" w:right="340"/>
          <w:cols w:num="3" w:equalWidth="0">
            <w:col w:w="2865" w:space="40"/>
            <w:col w:w="2910" w:space="192"/>
            <w:col w:w="4403"/>
          </w:cols>
        </w:sectPr>
      </w:pPr>
    </w:p>
    <w:p>
      <w:pPr>
        <w:pStyle w:val="BodyText"/>
        <w:spacing w:before="10"/>
        <w:rPr>
          <w:sz w:val="5"/>
        </w:rPr>
      </w:pPr>
    </w:p>
    <w:tbl>
      <w:tblPr>
        <w:tblW w:w="0" w:type="auto"/>
        <w:jc w:val="lef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6"/>
        <w:gridCol w:w="892"/>
        <w:gridCol w:w="2106"/>
        <w:gridCol w:w="1003"/>
        <w:gridCol w:w="1623"/>
      </w:tblGrid>
      <w:tr>
        <w:trPr>
          <w:trHeight w:val="322" w:hRule="atLeast"/>
        </w:trPr>
        <w:tc>
          <w:tcPr>
            <w:tcW w:w="2686" w:type="dxa"/>
          </w:tcPr>
          <w:p>
            <w:pPr>
              <w:pStyle w:val="TableParagraph"/>
              <w:spacing w:line="245" w:lineRule="exact"/>
              <w:ind w:left="50"/>
              <w:rPr>
                <w:sz w:val="21"/>
              </w:rPr>
            </w:pPr>
            <w:r>
              <w:rPr>
                <w:sz w:val="21"/>
              </w:rPr>
              <w:t>2.本公司提供的保障</w:t>
            </w:r>
          </w:p>
        </w:tc>
        <w:tc>
          <w:tcPr>
            <w:tcW w:w="892" w:type="dxa"/>
          </w:tcPr>
          <w:p>
            <w:pPr>
              <w:pStyle w:val="TableParagraph"/>
              <w:spacing w:line="230" w:lineRule="exact"/>
              <w:ind w:right="48"/>
              <w:jc w:val="right"/>
              <w:rPr>
                <w:sz w:val="21"/>
              </w:rPr>
            </w:pPr>
            <w:r>
              <w:rPr>
                <w:sz w:val="21"/>
              </w:rPr>
              <w:t>5.2</w:t>
            </w:r>
          </w:p>
        </w:tc>
        <w:tc>
          <w:tcPr>
            <w:tcW w:w="2106" w:type="dxa"/>
          </w:tcPr>
          <w:p>
            <w:pPr>
              <w:pStyle w:val="TableParagraph"/>
              <w:spacing w:line="230" w:lineRule="exact"/>
              <w:ind w:left="55"/>
              <w:rPr>
                <w:sz w:val="21"/>
              </w:rPr>
            </w:pPr>
            <w:r>
              <w:rPr>
                <w:sz w:val="21"/>
              </w:rPr>
              <w:t>本公司合同解除</w:t>
            </w:r>
          </w:p>
        </w:tc>
        <w:tc>
          <w:tcPr>
            <w:tcW w:w="1003" w:type="dxa"/>
          </w:tcPr>
          <w:p>
            <w:pPr>
              <w:pStyle w:val="TableParagraph"/>
              <w:spacing w:line="211" w:lineRule="exact"/>
              <w:ind w:right="99"/>
              <w:jc w:val="right"/>
              <w:rPr>
                <w:sz w:val="21"/>
              </w:rPr>
            </w:pPr>
            <w:r>
              <w:rPr>
                <w:sz w:val="21"/>
              </w:rPr>
              <w:t>6.7</w:t>
            </w:r>
          </w:p>
        </w:tc>
        <w:tc>
          <w:tcPr>
            <w:tcW w:w="1623" w:type="dxa"/>
          </w:tcPr>
          <w:p>
            <w:pPr>
              <w:pStyle w:val="TableParagraph"/>
              <w:spacing w:line="211" w:lineRule="exact"/>
              <w:ind w:left="3"/>
              <w:rPr>
                <w:sz w:val="21"/>
              </w:rPr>
            </w:pPr>
            <w:r>
              <w:rPr>
                <w:sz w:val="21"/>
              </w:rPr>
              <w:t>毒品</w:t>
            </w:r>
          </w:p>
        </w:tc>
      </w:tr>
      <w:tr>
        <w:trPr>
          <w:trHeight w:val="400" w:hRule="atLeast"/>
        </w:trPr>
        <w:tc>
          <w:tcPr>
            <w:tcW w:w="2686" w:type="dxa"/>
          </w:tcPr>
          <w:p>
            <w:pPr>
              <w:pStyle w:val="TableParagraph"/>
              <w:spacing w:before="48"/>
              <w:ind w:left="261"/>
              <w:rPr>
                <w:sz w:val="21"/>
              </w:rPr>
            </w:pPr>
            <w:r>
              <w:rPr>
                <w:sz w:val="21"/>
              </w:rPr>
              <w:t>2.1 保险金额</w:t>
            </w:r>
          </w:p>
        </w:tc>
        <w:tc>
          <w:tcPr>
            <w:tcW w:w="892" w:type="dxa"/>
          </w:tcPr>
          <w:p>
            <w:pPr>
              <w:pStyle w:val="TableParagraph"/>
              <w:rPr>
                <w:rFonts w:ascii="Times New Roman"/>
                <w:sz w:val="20"/>
              </w:rPr>
            </w:pPr>
          </w:p>
        </w:tc>
        <w:tc>
          <w:tcPr>
            <w:tcW w:w="2106" w:type="dxa"/>
          </w:tcPr>
          <w:p>
            <w:pPr>
              <w:pStyle w:val="TableParagraph"/>
              <w:spacing w:before="33"/>
              <w:ind w:left="52"/>
              <w:rPr>
                <w:sz w:val="21"/>
              </w:rPr>
            </w:pPr>
            <w:r>
              <w:rPr>
                <w:sz w:val="21"/>
              </w:rPr>
              <w:t>权及解除被保险</w:t>
            </w:r>
          </w:p>
        </w:tc>
        <w:tc>
          <w:tcPr>
            <w:tcW w:w="1003" w:type="dxa"/>
          </w:tcPr>
          <w:p>
            <w:pPr>
              <w:pStyle w:val="TableParagraph"/>
              <w:spacing w:before="14"/>
              <w:ind w:right="99"/>
              <w:jc w:val="right"/>
              <w:rPr>
                <w:sz w:val="21"/>
              </w:rPr>
            </w:pPr>
            <w:r>
              <w:rPr>
                <w:sz w:val="21"/>
              </w:rPr>
              <w:t>6.8</w:t>
            </w:r>
          </w:p>
        </w:tc>
        <w:tc>
          <w:tcPr>
            <w:tcW w:w="1623" w:type="dxa"/>
          </w:tcPr>
          <w:p>
            <w:pPr>
              <w:pStyle w:val="TableParagraph"/>
              <w:spacing w:before="14"/>
              <w:ind w:left="3"/>
              <w:rPr>
                <w:sz w:val="21"/>
              </w:rPr>
            </w:pPr>
            <w:r>
              <w:rPr>
                <w:sz w:val="21"/>
              </w:rPr>
              <w:t>酒后驾驶</w:t>
            </w:r>
          </w:p>
        </w:tc>
      </w:tr>
      <w:tr>
        <w:trPr>
          <w:trHeight w:val="398" w:hRule="atLeast"/>
        </w:trPr>
        <w:tc>
          <w:tcPr>
            <w:tcW w:w="2686" w:type="dxa"/>
          </w:tcPr>
          <w:p>
            <w:pPr>
              <w:pStyle w:val="TableParagraph"/>
              <w:spacing w:before="45"/>
              <w:ind w:left="261"/>
              <w:rPr>
                <w:sz w:val="21"/>
              </w:rPr>
            </w:pPr>
            <w:r>
              <w:rPr>
                <w:sz w:val="21"/>
              </w:rPr>
              <w:t>2.2 保险期间</w:t>
            </w:r>
          </w:p>
        </w:tc>
        <w:tc>
          <w:tcPr>
            <w:tcW w:w="892" w:type="dxa"/>
          </w:tcPr>
          <w:p>
            <w:pPr>
              <w:pStyle w:val="TableParagraph"/>
              <w:rPr>
                <w:rFonts w:ascii="Times New Roman"/>
                <w:sz w:val="20"/>
              </w:rPr>
            </w:pPr>
          </w:p>
        </w:tc>
        <w:tc>
          <w:tcPr>
            <w:tcW w:w="2106" w:type="dxa"/>
          </w:tcPr>
          <w:p>
            <w:pPr>
              <w:pStyle w:val="TableParagraph"/>
              <w:spacing w:before="31"/>
              <w:ind w:left="52"/>
              <w:rPr>
                <w:sz w:val="21"/>
              </w:rPr>
            </w:pPr>
            <w:r>
              <w:rPr>
                <w:sz w:val="21"/>
              </w:rPr>
              <w:t>人资格的限制</w:t>
            </w:r>
          </w:p>
        </w:tc>
        <w:tc>
          <w:tcPr>
            <w:tcW w:w="1003" w:type="dxa"/>
          </w:tcPr>
          <w:p>
            <w:pPr>
              <w:pStyle w:val="TableParagraph"/>
              <w:spacing w:before="14"/>
              <w:ind w:right="99"/>
              <w:jc w:val="right"/>
              <w:rPr>
                <w:sz w:val="21"/>
              </w:rPr>
            </w:pPr>
            <w:r>
              <w:rPr>
                <w:sz w:val="21"/>
              </w:rPr>
              <w:t>6.9</w:t>
            </w:r>
          </w:p>
        </w:tc>
        <w:tc>
          <w:tcPr>
            <w:tcW w:w="1623" w:type="dxa"/>
          </w:tcPr>
          <w:p>
            <w:pPr>
              <w:pStyle w:val="TableParagraph"/>
              <w:spacing w:before="14"/>
              <w:ind w:left="3"/>
              <w:rPr>
                <w:sz w:val="21"/>
              </w:rPr>
            </w:pPr>
            <w:r>
              <w:rPr>
                <w:sz w:val="21"/>
              </w:rPr>
              <w:t>无合法有效驾驶</w:t>
            </w:r>
          </w:p>
        </w:tc>
      </w:tr>
      <w:tr>
        <w:trPr>
          <w:trHeight w:val="400" w:hRule="atLeast"/>
        </w:trPr>
        <w:tc>
          <w:tcPr>
            <w:tcW w:w="2686" w:type="dxa"/>
          </w:tcPr>
          <w:p>
            <w:pPr>
              <w:pStyle w:val="TableParagraph"/>
              <w:spacing w:before="48"/>
              <w:ind w:left="261"/>
              <w:rPr>
                <w:sz w:val="21"/>
              </w:rPr>
            </w:pPr>
            <w:r>
              <w:rPr>
                <w:sz w:val="21"/>
              </w:rPr>
              <w:t>2.3 保险责任</w:t>
            </w:r>
          </w:p>
        </w:tc>
        <w:tc>
          <w:tcPr>
            <w:tcW w:w="892" w:type="dxa"/>
          </w:tcPr>
          <w:p>
            <w:pPr>
              <w:pStyle w:val="TableParagraph"/>
              <w:spacing w:before="33"/>
              <w:ind w:right="48"/>
              <w:jc w:val="right"/>
              <w:rPr>
                <w:sz w:val="21"/>
              </w:rPr>
            </w:pPr>
            <w:r>
              <w:rPr>
                <w:sz w:val="21"/>
              </w:rPr>
              <w:t>5.3</w:t>
            </w:r>
          </w:p>
        </w:tc>
        <w:tc>
          <w:tcPr>
            <w:tcW w:w="2106" w:type="dxa"/>
          </w:tcPr>
          <w:p>
            <w:pPr>
              <w:pStyle w:val="TableParagraph"/>
              <w:spacing w:before="33"/>
              <w:ind w:left="55"/>
              <w:rPr>
                <w:sz w:val="21"/>
              </w:rPr>
            </w:pPr>
            <w:r>
              <w:rPr>
                <w:sz w:val="21"/>
              </w:rPr>
              <w:t>年龄确定与错误</w:t>
            </w:r>
          </w:p>
        </w:tc>
        <w:tc>
          <w:tcPr>
            <w:tcW w:w="1003" w:type="dxa"/>
          </w:tcPr>
          <w:p>
            <w:pPr>
              <w:pStyle w:val="TableParagraph"/>
              <w:rPr>
                <w:rFonts w:ascii="Times New Roman"/>
                <w:sz w:val="20"/>
              </w:rPr>
            </w:pPr>
          </w:p>
        </w:tc>
        <w:tc>
          <w:tcPr>
            <w:tcW w:w="1623" w:type="dxa"/>
          </w:tcPr>
          <w:p>
            <w:pPr>
              <w:pStyle w:val="TableParagraph"/>
              <w:spacing w:before="14"/>
              <w:ind w:left="104"/>
              <w:rPr>
                <w:sz w:val="21"/>
              </w:rPr>
            </w:pPr>
            <w:r>
              <w:rPr>
                <w:sz w:val="21"/>
              </w:rPr>
              <w:t>证驾驶</w:t>
            </w:r>
          </w:p>
        </w:tc>
      </w:tr>
      <w:tr>
        <w:trPr>
          <w:trHeight w:val="400" w:hRule="atLeast"/>
        </w:trPr>
        <w:tc>
          <w:tcPr>
            <w:tcW w:w="2686" w:type="dxa"/>
          </w:tcPr>
          <w:p>
            <w:pPr>
              <w:pStyle w:val="TableParagraph"/>
              <w:spacing w:before="48"/>
              <w:ind w:left="261"/>
              <w:rPr>
                <w:sz w:val="21"/>
              </w:rPr>
            </w:pPr>
            <w:r>
              <w:rPr>
                <w:sz w:val="21"/>
              </w:rPr>
              <w:t>2.4 责任免除</w:t>
            </w:r>
          </w:p>
        </w:tc>
        <w:tc>
          <w:tcPr>
            <w:tcW w:w="892" w:type="dxa"/>
          </w:tcPr>
          <w:p>
            <w:pPr>
              <w:pStyle w:val="TableParagraph"/>
              <w:rPr>
                <w:rFonts w:ascii="Times New Roman"/>
                <w:sz w:val="20"/>
              </w:rPr>
            </w:pPr>
          </w:p>
        </w:tc>
        <w:tc>
          <w:tcPr>
            <w:tcW w:w="2106" w:type="dxa"/>
          </w:tcPr>
          <w:p>
            <w:pPr>
              <w:pStyle w:val="TableParagraph"/>
              <w:spacing w:before="33"/>
              <w:ind w:left="52"/>
              <w:rPr>
                <w:sz w:val="21"/>
              </w:rPr>
            </w:pPr>
            <w:r>
              <w:rPr>
                <w:sz w:val="21"/>
              </w:rPr>
              <w:t>处理</w:t>
            </w:r>
          </w:p>
        </w:tc>
        <w:tc>
          <w:tcPr>
            <w:tcW w:w="1003" w:type="dxa"/>
          </w:tcPr>
          <w:p>
            <w:pPr>
              <w:pStyle w:val="TableParagraph"/>
              <w:spacing w:before="14"/>
              <w:ind w:right="-15"/>
              <w:jc w:val="right"/>
              <w:rPr>
                <w:sz w:val="21"/>
              </w:rPr>
            </w:pPr>
            <w:r>
              <w:rPr>
                <w:sz w:val="21"/>
              </w:rPr>
              <w:t>6.10</w:t>
            </w:r>
          </w:p>
        </w:tc>
        <w:tc>
          <w:tcPr>
            <w:tcW w:w="1623" w:type="dxa"/>
          </w:tcPr>
          <w:p>
            <w:pPr>
              <w:pStyle w:val="TableParagraph"/>
              <w:spacing w:before="14"/>
              <w:ind w:left="107"/>
              <w:rPr>
                <w:sz w:val="21"/>
              </w:rPr>
            </w:pPr>
            <w:r>
              <w:rPr>
                <w:sz w:val="21"/>
              </w:rPr>
              <w:t>无有效行驶证</w:t>
            </w:r>
          </w:p>
        </w:tc>
      </w:tr>
      <w:tr>
        <w:trPr>
          <w:trHeight w:val="398" w:hRule="atLeast"/>
        </w:trPr>
        <w:tc>
          <w:tcPr>
            <w:tcW w:w="2686" w:type="dxa"/>
          </w:tcPr>
          <w:p>
            <w:pPr>
              <w:pStyle w:val="TableParagraph"/>
              <w:spacing w:before="45"/>
              <w:ind w:left="50"/>
              <w:rPr>
                <w:sz w:val="21"/>
              </w:rPr>
            </w:pPr>
            <w:r>
              <w:rPr>
                <w:sz w:val="21"/>
              </w:rPr>
              <w:t>3.投保人的权利与义务</w:t>
            </w:r>
          </w:p>
        </w:tc>
        <w:tc>
          <w:tcPr>
            <w:tcW w:w="892" w:type="dxa"/>
          </w:tcPr>
          <w:p>
            <w:pPr>
              <w:pStyle w:val="TableParagraph"/>
              <w:spacing w:before="31"/>
              <w:ind w:right="48"/>
              <w:jc w:val="right"/>
              <w:rPr>
                <w:sz w:val="21"/>
              </w:rPr>
            </w:pPr>
            <w:r>
              <w:rPr>
                <w:sz w:val="21"/>
              </w:rPr>
              <w:t>5.4</w:t>
            </w:r>
          </w:p>
        </w:tc>
        <w:tc>
          <w:tcPr>
            <w:tcW w:w="2106" w:type="dxa"/>
          </w:tcPr>
          <w:p>
            <w:pPr>
              <w:pStyle w:val="TableParagraph"/>
              <w:spacing w:before="31"/>
              <w:ind w:left="55"/>
              <w:rPr>
                <w:sz w:val="21"/>
              </w:rPr>
            </w:pPr>
            <w:r>
              <w:rPr>
                <w:sz w:val="21"/>
              </w:rPr>
              <w:t>被保险人的变动</w:t>
            </w:r>
          </w:p>
        </w:tc>
        <w:tc>
          <w:tcPr>
            <w:tcW w:w="1003" w:type="dxa"/>
          </w:tcPr>
          <w:p>
            <w:pPr>
              <w:pStyle w:val="TableParagraph"/>
              <w:spacing w:before="14"/>
              <w:ind w:right="-15"/>
              <w:jc w:val="right"/>
              <w:rPr>
                <w:sz w:val="21"/>
              </w:rPr>
            </w:pPr>
            <w:r>
              <w:rPr>
                <w:sz w:val="21"/>
              </w:rPr>
              <w:t>6.11</w:t>
            </w:r>
          </w:p>
        </w:tc>
        <w:tc>
          <w:tcPr>
            <w:tcW w:w="1623" w:type="dxa"/>
          </w:tcPr>
          <w:p>
            <w:pPr>
              <w:pStyle w:val="TableParagraph"/>
              <w:spacing w:before="14"/>
              <w:ind w:left="107"/>
              <w:rPr>
                <w:sz w:val="21"/>
              </w:rPr>
            </w:pPr>
            <w:r>
              <w:rPr>
                <w:sz w:val="21"/>
              </w:rPr>
              <w:t>机动车</w:t>
            </w:r>
          </w:p>
        </w:tc>
      </w:tr>
      <w:tr>
        <w:trPr>
          <w:trHeight w:val="400" w:hRule="atLeast"/>
        </w:trPr>
        <w:tc>
          <w:tcPr>
            <w:tcW w:w="2686" w:type="dxa"/>
          </w:tcPr>
          <w:p>
            <w:pPr>
              <w:pStyle w:val="TableParagraph"/>
              <w:spacing w:before="48"/>
              <w:ind w:left="261"/>
              <w:rPr>
                <w:sz w:val="21"/>
              </w:rPr>
            </w:pPr>
            <w:r>
              <w:rPr>
                <w:sz w:val="21"/>
              </w:rPr>
              <w:t>3.1 保险费的交纳</w:t>
            </w:r>
          </w:p>
        </w:tc>
        <w:tc>
          <w:tcPr>
            <w:tcW w:w="892" w:type="dxa"/>
          </w:tcPr>
          <w:p>
            <w:pPr>
              <w:pStyle w:val="TableParagraph"/>
              <w:spacing w:before="33"/>
              <w:ind w:right="48"/>
              <w:jc w:val="right"/>
              <w:rPr>
                <w:sz w:val="21"/>
              </w:rPr>
            </w:pPr>
            <w:r>
              <w:rPr>
                <w:sz w:val="21"/>
              </w:rPr>
              <w:t>5.5</w:t>
            </w:r>
          </w:p>
        </w:tc>
        <w:tc>
          <w:tcPr>
            <w:tcW w:w="2106" w:type="dxa"/>
          </w:tcPr>
          <w:p>
            <w:pPr>
              <w:pStyle w:val="TableParagraph"/>
              <w:spacing w:before="33"/>
              <w:ind w:left="55"/>
              <w:rPr>
                <w:sz w:val="21"/>
              </w:rPr>
            </w:pPr>
            <w:r>
              <w:rPr>
                <w:sz w:val="21"/>
              </w:rPr>
              <w:t>地址变更</w:t>
            </w:r>
          </w:p>
        </w:tc>
        <w:tc>
          <w:tcPr>
            <w:tcW w:w="1003" w:type="dxa"/>
          </w:tcPr>
          <w:p>
            <w:pPr>
              <w:pStyle w:val="TableParagraph"/>
              <w:spacing w:before="14"/>
              <w:ind w:right="-15"/>
              <w:jc w:val="right"/>
              <w:rPr>
                <w:sz w:val="21"/>
              </w:rPr>
            </w:pPr>
            <w:r>
              <w:rPr>
                <w:sz w:val="21"/>
              </w:rPr>
              <w:t>6.12</w:t>
            </w:r>
          </w:p>
        </w:tc>
        <w:tc>
          <w:tcPr>
            <w:tcW w:w="1623" w:type="dxa"/>
          </w:tcPr>
          <w:p>
            <w:pPr>
              <w:pStyle w:val="TableParagraph"/>
              <w:spacing w:before="14"/>
              <w:ind w:left="107"/>
              <w:rPr>
                <w:sz w:val="21"/>
              </w:rPr>
            </w:pPr>
            <w:r>
              <w:rPr>
                <w:sz w:val="21"/>
              </w:rPr>
              <w:t>遗传性疾病</w:t>
            </w:r>
          </w:p>
        </w:tc>
      </w:tr>
      <w:tr>
        <w:trPr>
          <w:trHeight w:val="783" w:hRule="atLeast"/>
        </w:trPr>
        <w:tc>
          <w:tcPr>
            <w:tcW w:w="2686" w:type="dxa"/>
          </w:tcPr>
          <w:p>
            <w:pPr>
              <w:pStyle w:val="TableParagraph"/>
              <w:rPr>
                <w:rFonts w:ascii="Times New Roman"/>
                <w:sz w:val="20"/>
              </w:rPr>
            </w:pPr>
          </w:p>
        </w:tc>
        <w:tc>
          <w:tcPr>
            <w:tcW w:w="892" w:type="dxa"/>
          </w:tcPr>
          <w:p>
            <w:pPr>
              <w:pStyle w:val="TableParagraph"/>
              <w:spacing w:before="33"/>
              <w:ind w:right="48"/>
              <w:jc w:val="right"/>
              <w:rPr>
                <w:sz w:val="21"/>
              </w:rPr>
            </w:pPr>
            <w:r>
              <w:rPr>
                <w:sz w:val="21"/>
              </w:rPr>
              <w:t>5.6</w:t>
            </w:r>
          </w:p>
        </w:tc>
        <w:tc>
          <w:tcPr>
            <w:tcW w:w="2106" w:type="dxa"/>
          </w:tcPr>
          <w:p>
            <w:pPr>
              <w:pStyle w:val="TableParagraph"/>
              <w:spacing w:before="33"/>
              <w:ind w:left="55"/>
              <w:rPr>
                <w:sz w:val="21"/>
              </w:rPr>
            </w:pPr>
            <w:r>
              <w:rPr>
                <w:sz w:val="21"/>
              </w:rPr>
              <w:t>争议处理</w:t>
            </w:r>
          </w:p>
        </w:tc>
        <w:tc>
          <w:tcPr>
            <w:tcW w:w="1003" w:type="dxa"/>
          </w:tcPr>
          <w:p>
            <w:pPr>
              <w:pStyle w:val="TableParagraph"/>
              <w:spacing w:before="14"/>
              <w:ind w:right="-15"/>
              <w:jc w:val="right"/>
              <w:rPr>
                <w:sz w:val="21"/>
              </w:rPr>
            </w:pPr>
            <w:r>
              <w:rPr>
                <w:sz w:val="21"/>
              </w:rPr>
              <w:t>6.13</w:t>
            </w:r>
          </w:p>
        </w:tc>
        <w:tc>
          <w:tcPr>
            <w:tcW w:w="1623" w:type="dxa"/>
          </w:tcPr>
          <w:p>
            <w:pPr>
              <w:pStyle w:val="TableParagraph"/>
              <w:spacing w:before="14"/>
              <w:ind w:left="107"/>
              <w:rPr>
                <w:sz w:val="21"/>
              </w:rPr>
            </w:pPr>
            <w:r>
              <w:rPr>
                <w:sz w:val="21"/>
              </w:rPr>
              <w:t>先天性畸形、变</w:t>
            </w:r>
          </w:p>
          <w:p>
            <w:pPr>
              <w:pStyle w:val="TableParagraph"/>
              <w:spacing w:before="125"/>
              <w:ind w:left="104"/>
              <w:rPr>
                <w:sz w:val="21"/>
              </w:rPr>
            </w:pPr>
            <w:r>
              <w:rPr>
                <w:sz w:val="21"/>
              </w:rPr>
              <w:t>形或染色体异常</w:t>
            </w:r>
          </w:p>
        </w:tc>
      </w:tr>
      <w:tr>
        <w:trPr>
          <w:trHeight w:val="399" w:hRule="atLeast"/>
        </w:trPr>
        <w:tc>
          <w:tcPr>
            <w:tcW w:w="2686" w:type="dxa"/>
          </w:tcPr>
          <w:p>
            <w:pPr>
              <w:pStyle w:val="TableParagraph"/>
              <w:rPr>
                <w:rFonts w:ascii="Times New Roman"/>
                <w:sz w:val="20"/>
              </w:rPr>
            </w:pPr>
          </w:p>
        </w:tc>
        <w:tc>
          <w:tcPr>
            <w:tcW w:w="892" w:type="dxa"/>
          </w:tcPr>
          <w:p>
            <w:pPr>
              <w:pStyle w:val="TableParagraph"/>
              <w:rPr>
                <w:rFonts w:ascii="Times New Roman"/>
                <w:sz w:val="20"/>
              </w:rPr>
            </w:pPr>
          </w:p>
        </w:tc>
        <w:tc>
          <w:tcPr>
            <w:tcW w:w="2106" w:type="dxa"/>
          </w:tcPr>
          <w:p>
            <w:pPr>
              <w:pStyle w:val="TableParagraph"/>
              <w:rPr>
                <w:rFonts w:ascii="Times New Roman"/>
                <w:sz w:val="20"/>
              </w:rPr>
            </w:pPr>
          </w:p>
        </w:tc>
        <w:tc>
          <w:tcPr>
            <w:tcW w:w="1003" w:type="dxa"/>
          </w:tcPr>
          <w:p>
            <w:pPr>
              <w:pStyle w:val="TableParagraph"/>
              <w:spacing w:before="30"/>
              <w:ind w:right="-15"/>
              <w:jc w:val="right"/>
              <w:rPr>
                <w:sz w:val="21"/>
              </w:rPr>
            </w:pPr>
            <w:r>
              <w:rPr>
                <w:sz w:val="21"/>
              </w:rPr>
              <w:t>6.14</w:t>
            </w:r>
          </w:p>
        </w:tc>
        <w:tc>
          <w:tcPr>
            <w:tcW w:w="1623" w:type="dxa"/>
          </w:tcPr>
          <w:p>
            <w:pPr>
              <w:pStyle w:val="TableParagraph"/>
              <w:spacing w:before="30"/>
              <w:ind w:left="107"/>
              <w:rPr>
                <w:sz w:val="21"/>
              </w:rPr>
            </w:pPr>
            <w:r>
              <w:rPr>
                <w:sz w:val="21"/>
              </w:rPr>
              <w:t>感染艾滋病病毒</w:t>
            </w:r>
          </w:p>
        </w:tc>
      </w:tr>
      <w:tr>
        <w:trPr>
          <w:trHeight w:val="306" w:hRule="atLeast"/>
        </w:trPr>
        <w:tc>
          <w:tcPr>
            <w:tcW w:w="2686" w:type="dxa"/>
          </w:tcPr>
          <w:p>
            <w:pPr>
              <w:pStyle w:val="TableParagraph"/>
              <w:rPr>
                <w:rFonts w:ascii="Times New Roman"/>
                <w:sz w:val="20"/>
              </w:rPr>
            </w:pPr>
          </w:p>
        </w:tc>
        <w:tc>
          <w:tcPr>
            <w:tcW w:w="892" w:type="dxa"/>
          </w:tcPr>
          <w:p>
            <w:pPr>
              <w:pStyle w:val="TableParagraph"/>
              <w:rPr>
                <w:rFonts w:ascii="Times New Roman"/>
                <w:sz w:val="20"/>
              </w:rPr>
            </w:pPr>
          </w:p>
        </w:tc>
        <w:tc>
          <w:tcPr>
            <w:tcW w:w="2106" w:type="dxa"/>
          </w:tcPr>
          <w:p>
            <w:pPr>
              <w:pStyle w:val="TableParagraph"/>
              <w:rPr>
                <w:rFonts w:ascii="Times New Roman"/>
                <w:sz w:val="20"/>
              </w:rPr>
            </w:pPr>
          </w:p>
        </w:tc>
        <w:tc>
          <w:tcPr>
            <w:tcW w:w="1003" w:type="dxa"/>
          </w:tcPr>
          <w:p>
            <w:pPr>
              <w:pStyle w:val="TableParagraph"/>
              <w:rPr>
                <w:rFonts w:ascii="Times New Roman"/>
                <w:sz w:val="20"/>
              </w:rPr>
            </w:pPr>
          </w:p>
        </w:tc>
        <w:tc>
          <w:tcPr>
            <w:tcW w:w="1623" w:type="dxa"/>
          </w:tcPr>
          <w:p>
            <w:pPr>
              <w:pStyle w:val="TableParagraph"/>
              <w:spacing w:line="255" w:lineRule="exact" w:before="31"/>
              <w:ind w:left="107"/>
              <w:rPr>
                <w:sz w:val="21"/>
              </w:rPr>
            </w:pPr>
            <w:r>
              <w:rPr>
                <w:sz w:val="21"/>
              </w:rPr>
              <w:t>或患艾滋病</w:t>
            </w:r>
          </w:p>
        </w:tc>
      </w:tr>
    </w:tbl>
    <w:p>
      <w:pPr>
        <w:spacing w:after="0" w:line="255" w:lineRule="exact"/>
        <w:rPr>
          <w:sz w:val="21"/>
        </w:rPr>
        <w:sectPr>
          <w:type w:val="continuous"/>
          <w:pgSz w:w="11910" w:h="16840"/>
          <w:pgMar w:top="1120" w:bottom="1180" w:left="1160" w:right="340"/>
        </w:sectPr>
      </w:pPr>
    </w:p>
    <w:p>
      <w:pPr>
        <w:pStyle w:val="BodyText"/>
        <w:spacing w:before="5"/>
        <w:rPr>
          <w:sz w:val="28"/>
        </w:rPr>
      </w:pPr>
    </w:p>
    <w:p>
      <w:pPr>
        <w:spacing w:line="408" w:lineRule="auto" w:before="14"/>
        <w:ind w:left="3239" w:right="3249" w:firstLine="0"/>
        <w:jc w:val="center"/>
        <w:rPr>
          <w:sz w:val="28"/>
        </w:rPr>
      </w:pPr>
      <w:r>
        <w:rPr>
          <w:sz w:val="28"/>
        </w:rPr>
        <w:t>新华人寿保险股份有限公司团体重大疾病保险条款</w:t>
      </w:r>
    </w:p>
    <w:p>
      <w:pPr>
        <w:pStyle w:val="BodyText"/>
        <w:spacing w:before="39"/>
        <w:ind w:left="2706" w:right="2713"/>
        <w:jc w:val="center"/>
      </w:pPr>
      <w:r>
        <w:rPr/>
        <w:t>(2009 年 9 月向中国保险监督管理委员会备案)</w:t>
      </w:r>
    </w:p>
    <w:p>
      <w:pPr>
        <w:pStyle w:val="BodyText"/>
        <w:spacing w:before="0"/>
        <w:rPr>
          <w:sz w:val="20"/>
        </w:rPr>
      </w:pPr>
    </w:p>
    <w:p>
      <w:pPr>
        <w:tabs>
          <w:tab w:pos="856" w:val="left" w:leader="none"/>
        </w:tabs>
        <w:spacing w:before="241"/>
        <w:ind w:left="217" w:right="0" w:firstLine="0"/>
        <w:jc w:val="left"/>
        <w:rPr>
          <w:sz w:val="24"/>
        </w:rPr>
      </w:pPr>
      <w:r>
        <w:rPr/>
        <w:pict>
          <v:group style="position:absolute;margin-left:62.378262pt;margin-top:40.121895pt;width:482.05pt;height:1pt;mso-position-horizontal-relative:page;mso-position-vertical-relative:paragraph;z-index:1072;mso-wrap-distance-left:0;mso-wrap-distance-right:0" coordorigin="1248,802" coordsize="9641,20">
            <v:line style="position:absolute" from="1248,812" to="1888,812" stroked="true" strokeweight=".96pt" strokecolor="#000000">
              <v:stroke dashstyle="solid"/>
            </v:line>
            <v:rect style="position:absolute;left:1888;top:802;width:20;height:20" filled="true" fillcolor="#000000" stroked="false">
              <v:fill type="solid"/>
            </v:rect>
            <v:line style="position:absolute" from="1908,812" to="3019,812" stroked="true" strokeweight=".96pt" strokecolor="#000000">
              <v:stroke dashstyle="solid"/>
            </v:line>
            <v:rect style="position:absolute;left:3018;top:802;width:20;height:20" filled="true" fillcolor="#000000" stroked="false">
              <v:fill type="solid"/>
            </v:rect>
            <v:line style="position:absolute" from="3038,812" to="10888,812" stroked="true" strokeweight=".96pt" strokecolor="#000000">
              <v:stroke dashstyle="solid"/>
            </v:line>
            <w10:wrap type="topAndBottom"/>
          </v:group>
        </w:pict>
      </w:r>
      <w:r>
        <w:rPr>
          <w:rFonts w:ascii="Times New Roman" w:eastAsia="Times New Roman"/>
          <w:w w:val="160"/>
          <w:position w:val="-3"/>
          <w:sz w:val="40"/>
        </w:rPr>
        <w:t>u</w:t>
        <w:tab/>
      </w:r>
      <w:r>
        <w:rPr>
          <w:sz w:val="24"/>
        </w:rPr>
        <w:t>保险合同</w:t>
      </w:r>
    </w:p>
    <w:p>
      <w:pPr>
        <w:pStyle w:val="BodyText"/>
        <w:spacing w:before="11"/>
        <w:rPr>
          <w:sz w:val="17"/>
        </w:rPr>
      </w:pPr>
    </w:p>
    <w:p>
      <w:pPr>
        <w:pStyle w:val="ListParagraph"/>
        <w:numPr>
          <w:ilvl w:val="1"/>
          <w:numId w:val="3"/>
        </w:numPr>
        <w:tabs>
          <w:tab w:pos="856" w:val="left" w:leader="none"/>
          <w:tab w:pos="857" w:val="left" w:leader="none"/>
          <w:tab w:pos="2406" w:val="left" w:leader="none"/>
        </w:tabs>
        <w:spacing w:line="273" w:lineRule="auto" w:before="36" w:after="0"/>
        <w:ind w:left="1986" w:right="117" w:hanging="1769"/>
        <w:jc w:val="left"/>
        <w:rPr>
          <w:sz w:val="21"/>
        </w:rPr>
      </w:pPr>
      <w:r>
        <w:rPr>
          <w:w w:val="100"/>
          <w:sz w:val="21"/>
        </w:rPr>
        <w:t>合同构成</w:t>
      </w:r>
      <w:r>
        <w:rPr>
          <w:sz w:val="21"/>
        </w:rPr>
        <w:tab/>
        <w:tab/>
      </w:r>
      <w:r>
        <w:rPr>
          <w:w w:val="100"/>
          <w:sz w:val="21"/>
        </w:rPr>
        <w:t>本保</w:t>
      </w:r>
      <w:r>
        <w:rPr>
          <w:spacing w:val="-3"/>
          <w:w w:val="100"/>
          <w:sz w:val="21"/>
        </w:rPr>
        <w:t>险</w:t>
      </w:r>
      <w:r>
        <w:rPr>
          <w:w w:val="100"/>
          <w:sz w:val="21"/>
        </w:rPr>
        <w:t>合</w:t>
      </w:r>
      <w:r>
        <w:rPr>
          <w:spacing w:val="-5"/>
          <w:w w:val="100"/>
          <w:sz w:val="21"/>
        </w:rPr>
        <w:t>同</w:t>
      </w:r>
      <w:r>
        <w:rPr>
          <w:spacing w:val="-3"/>
          <w:w w:val="100"/>
          <w:sz w:val="21"/>
        </w:rPr>
        <w:t>（</w:t>
      </w:r>
      <w:r>
        <w:rPr>
          <w:w w:val="100"/>
          <w:sz w:val="21"/>
        </w:rPr>
        <w:t>以</w:t>
      </w:r>
      <w:r>
        <w:rPr>
          <w:spacing w:val="-3"/>
          <w:w w:val="100"/>
          <w:sz w:val="21"/>
        </w:rPr>
        <w:t>下</w:t>
      </w:r>
      <w:r>
        <w:rPr>
          <w:w w:val="100"/>
          <w:sz w:val="21"/>
        </w:rPr>
        <w:t>简</w:t>
      </w:r>
      <w:r>
        <w:rPr>
          <w:spacing w:val="-5"/>
          <w:w w:val="100"/>
          <w:sz w:val="21"/>
        </w:rPr>
        <w:t>称</w:t>
      </w:r>
      <w:r>
        <w:rPr>
          <w:spacing w:val="-3"/>
          <w:w w:val="100"/>
          <w:sz w:val="21"/>
        </w:rPr>
        <w:t>“</w:t>
      </w:r>
      <w:r>
        <w:rPr>
          <w:w w:val="100"/>
          <w:sz w:val="21"/>
        </w:rPr>
        <w:t>本合</w:t>
      </w:r>
      <w:r>
        <w:rPr>
          <w:spacing w:val="-3"/>
          <w:w w:val="100"/>
          <w:sz w:val="21"/>
        </w:rPr>
        <w:t>同</w:t>
      </w:r>
      <w:r>
        <w:rPr>
          <w:spacing w:val="-106"/>
          <w:w w:val="100"/>
          <w:sz w:val="21"/>
        </w:rPr>
        <w:t>”</w:t>
      </w:r>
      <w:r>
        <w:rPr>
          <w:spacing w:val="-5"/>
          <w:w w:val="100"/>
          <w:sz w:val="21"/>
        </w:rPr>
        <w:t>）</w:t>
      </w:r>
      <w:r>
        <w:rPr>
          <w:w w:val="100"/>
          <w:sz w:val="21"/>
        </w:rPr>
        <w:t>由</w:t>
      </w:r>
      <w:r>
        <w:rPr>
          <w:spacing w:val="-3"/>
          <w:w w:val="100"/>
          <w:sz w:val="21"/>
        </w:rPr>
        <w:t>保</w:t>
      </w:r>
      <w:r>
        <w:rPr>
          <w:w w:val="100"/>
          <w:sz w:val="21"/>
        </w:rPr>
        <w:t>险</w:t>
      </w:r>
      <w:r>
        <w:rPr>
          <w:spacing w:val="-3"/>
          <w:w w:val="100"/>
          <w:sz w:val="21"/>
        </w:rPr>
        <w:t>单</w:t>
      </w:r>
      <w:r>
        <w:rPr>
          <w:spacing w:val="-1"/>
          <w:w w:val="100"/>
          <w:sz w:val="21"/>
        </w:rPr>
        <w:t>或</w:t>
      </w:r>
      <w:r>
        <w:rPr>
          <w:spacing w:val="-3"/>
          <w:w w:val="100"/>
          <w:sz w:val="21"/>
        </w:rPr>
        <w:t>其他</w:t>
      </w:r>
      <w:r>
        <w:rPr>
          <w:w w:val="100"/>
          <w:sz w:val="21"/>
        </w:rPr>
        <w:t>保险</w:t>
      </w:r>
      <w:r>
        <w:rPr>
          <w:spacing w:val="-3"/>
          <w:w w:val="100"/>
          <w:sz w:val="21"/>
        </w:rPr>
        <w:t>凭</w:t>
      </w:r>
      <w:r>
        <w:rPr>
          <w:spacing w:val="-1"/>
          <w:w w:val="100"/>
          <w:sz w:val="21"/>
        </w:rPr>
        <w:t>证</w:t>
      </w:r>
      <w:r>
        <w:rPr>
          <w:spacing w:val="-3"/>
          <w:w w:val="100"/>
          <w:sz w:val="21"/>
        </w:rPr>
        <w:t>及</w:t>
      </w:r>
      <w:r>
        <w:rPr>
          <w:w w:val="100"/>
          <w:sz w:val="21"/>
        </w:rPr>
        <w:t>所</w:t>
      </w:r>
      <w:r>
        <w:rPr>
          <w:spacing w:val="-3"/>
          <w:w w:val="100"/>
          <w:sz w:val="21"/>
        </w:rPr>
        <w:t>附</w:t>
      </w:r>
      <w:r>
        <w:rPr>
          <w:w w:val="100"/>
          <w:sz w:val="21"/>
        </w:rPr>
        <w:t>条</w:t>
      </w:r>
      <w:r>
        <w:rPr>
          <w:spacing w:val="-3"/>
          <w:w w:val="100"/>
          <w:sz w:val="21"/>
        </w:rPr>
        <w:t>款</w:t>
      </w:r>
      <w:r>
        <w:rPr>
          <w:spacing w:val="-5"/>
          <w:w w:val="100"/>
          <w:sz w:val="21"/>
        </w:rPr>
        <w:t>、</w:t>
      </w:r>
      <w:r>
        <w:rPr>
          <w:spacing w:val="-3"/>
          <w:w w:val="100"/>
          <w:sz w:val="21"/>
        </w:rPr>
        <w:t>投</w:t>
      </w:r>
      <w:r>
        <w:rPr>
          <w:w w:val="100"/>
          <w:sz w:val="21"/>
        </w:rPr>
        <w:t>保</w:t>
      </w:r>
      <w:r>
        <w:rPr>
          <w:sz w:val="21"/>
        </w:rPr>
        <w:t>单</w:t>
      </w:r>
      <w:r>
        <w:rPr>
          <w:spacing w:val="-5"/>
          <w:sz w:val="21"/>
        </w:rPr>
        <w:t>、</w:t>
      </w:r>
      <w:r>
        <w:rPr>
          <w:sz w:val="21"/>
        </w:rPr>
        <w:t>与</w:t>
      </w:r>
      <w:r>
        <w:rPr>
          <w:spacing w:val="-3"/>
          <w:sz w:val="21"/>
        </w:rPr>
        <w:t>本</w:t>
      </w:r>
      <w:r>
        <w:rPr>
          <w:sz w:val="21"/>
        </w:rPr>
        <w:t>合</w:t>
      </w:r>
      <w:r>
        <w:rPr>
          <w:spacing w:val="-3"/>
          <w:sz w:val="21"/>
        </w:rPr>
        <w:t>同</w:t>
      </w:r>
      <w:r>
        <w:rPr>
          <w:sz w:val="21"/>
        </w:rPr>
        <w:t>有</w:t>
      </w:r>
      <w:r>
        <w:rPr>
          <w:spacing w:val="-3"/>
          <w:sz w:val="21"/>
        </w:rPr>
        <w:t>关</w:t>
      </w:r>
      <w:r>
        <w:rPr>
          <w:sz w:val="21"/>
        </w:rPr>
        <w:t>的</w:t>
      </w:r>
      <w:r>
        <w:rPr>
          <w:spacing w:val="-3"/>
          <w:sz w:val="21"/>
        </w:rPr>
        <w:t>其他</w:t>
      </w:r>
      <w:r>
        <w:rPr>
          <w:sz w:val="21"/>
        </w:rPr>
        <w:t>投保</w:t>
      </w:r>
      <w:r>
        <w:rPr>
          <w:spacing w:val="-3"/>
          <w:sz w:val="21"/>
        </w:rPr>
        <w:t>文件、被</w:t>
      </w:r>
      <w:r>
        <w:rPr>
          <w:sz w:val="21"/>
        </w:rPr>
        <w:t>保</w:t>
      </w:r>
      <w:r>
        <w:rPr>
          <w:spacing w:val="-3"/>
          <w:sz w:val="21"/>
        </w:rPr>
        <w:t>险</w:t>
      </w:r>
      <w:r>
        <w:rPr>
          <w:sz w:val="21"/>
        </w:rPr>
        <w:t>人</w:t>
      </w:r>
      <w:r>
        <w:rPr>
          <w:spacing w:val="-3"/>
          <w:sz w:val="21"/>
        </w:rPr>
        <w:t>人名</w:t>
      </w:r>
      <w:r>
        <w:rPr>
          <w:sz w:val="21"/>
        </w:rPr>
        <w:t>清</w:t>
      </w:r>
      <w:r>
        <w:rPr>
          <w:spacing w:val="-3"/>
          <w:sz w:val="21"/>
        </w:rPr>
        <w:t>单、健</w:t>
      </w:r>
      <w:r>
        <w:rPr>
          <w:sz w:val="21"/>
        </w:rPr>
        <w:t>康</w:t>
      </w:r>
      <w:r>
        <w:rPr>
          <w:spacing w:val="-3"/>
          <w:sz w:val="21"/>
        </w:rPr>
        <w:t>告</w:t>
      </w:r>
      <w:r>
        <w:rPr>
          <w:sz w:val="21"/>
        </w:rPr>
        <w:t>知</w:t>
      </w:r>
      <w:r>
        <w:rPr>
          <w:spacing w:val="-3"/>
          <w:sz w:val="21"/>
        </w:rPr>
        <w:t>书、变更</w:t>
      </w:r>
      <w:r>
        <w:rPr>
          <w:sz w:val="21"/>
        </w:rPr>
        <w:t>申请</w:t>
      </w:r>
      <w:r>
        <w:rPr>
          <w:spacing w:val="-3"/>
          <w:sz w:val="21"/>
        </w:rPr>
        <w:t>书</w:t>
      </w:r>
      <w:r>
        <w:rPr>
          <w:sz w:val="21"/>
        </w:rPr>
        <w:t>、</w:t>
      </w:r>
      <w:r>
        <w:rPr>
          <w:spacing w:val="-1"/>
          <w:sz w:val="21"/>
        </w:rPr>
        <w:t>声</w:t>
      </w:r>
      <w:r>
        <w:rPr>
          <w:sz w:val="21"/>
        </w:rPr>
        <w:t>明</w:t>
      </w:r>
      <w:r>
        <w:rPr>
          <w:spacing w:val="-3"/>
          <w:sz w:val="21"/>
        </w:rPr>
        <w:t>、</w:t>
      </w:r>
      <w:r>
        <w:rPr>
          <w:sz w:val="21"/>
        </w:rPr>
        <w:t>批</w:t>
      </w:r>
      <w:r>
        <w:rPr>
          <w:spacing w:val="-3"/>
          <w:sz w:val="21"/>
        </w:rPr>
        <w:t>注</w:t>
      </w:r>
      <w:r>
        <w:rPr>
          <w:sz w:val="21"/>
        </w:rPr>
        <w:t>、</w:t>
      </w:r>
      <w:r>
        <w:rPr>
          <w:spacing w:val="-3"/>
          <w:sz w:val="21"/>
        </w:rPr>
        <w:t>附</w:t>
      </w:r>
      <w:r>
        <w:rPr>
          <w:sz w:val="21"/>
        </w:rPr>
        <w:t>贴</w:t>
      </w:r>
      <w:r>
        <w:rPr>
          <w:spacing w:val="-3"/>
          <w:sz w:val="21"/>
        </w:rPr>
        <w:t>批</w:t>
      </w:r>
      <w:r>
        <w:rPr>
          <w:sz w:val="21"/>
        </w:rPr>
        <w:t>单</w:t>
      </w:r>
      <w:r>
        <w:rPr>
          <w:spacing w:val="-3"/>
          <w:sz w:val="21"/>
        </w:rPr>
        <w:t>及</w:t>
      </w:r>
      <w:r>
        <w:rPr>
          <w:sz w:val="21"/>
        </w:rPr>
        <w:t>其他</w:t>
      </w:r>
      <w:r>
        <w:rPr>
          <w:spacing w:val="-3"/>
          <w:sz w:val="21"/>
        </w:rPr>
        <w:t>加盖</w:t>
      </w:r>
      <w:r>
        <w:rPr>
          <w:sz w:val="21"/>
        </w:rPr>
        <w:t>本公司公章（</w:t>
      </w:r>
      <w:r>
        <w:rPr>
          <w:spacing w:val="-3"/>
          <w:sz w:val="21"/>
        </w:rPr>
        <w:t>详</w:t>
      </w:r>
      <w:r>
        <w:rPr>
          <w:sz w:val="21"/>
        </w:rPr>
        <w:t>见释义）</w:t>
      </w:r>
      <w:r>
        <w:rPr>
          <w:spacing w:val="-3"/>
          <w:sz w:val="21"/>
        </w:rPr>
        <w:t>的</w:t>
      </w:r>
      <w:r>
        <w:rPr>
          <w:sz w:val="21"/>
        </w:rPr>
        <w:t>书</w:t>
      </w:r>
      <w:r>
        <w:rPr>
          <w:spacing w:val="-3"/>
          <w:sz w:val="21"/>
        </w:rPr>
        <w:t>面</w:t>
      </w:r>
      <w:r>
        <w:rPr>
          <w:sz w:val="21"/>
        </w:rPr>
        <w:t>协</w:t>
      </w:r>
      <w:r>
        <w:rPr>
          <w:spacing w:val="-3"/>
          <w:sz w:val="21"/>
        </w:rPr>
        <w:t>议</w:t>
      </w:r>
      <w:r>
        <w:rPr>
          <w:sz w:val="21"/>
        </w:rPr>
        <w:t>构</w:t>
      </w:r>
      <w:r>
        <w:rPr>
          <w:spacing w:val="-3"/>
          <w:sz w:val="21"/>
        </w:rPr>
        <w:t>成</w:t>
      </w:r>
      <w:r>
        <w:rPr>
          <w:sz w:val="21"/>
        </w:rPr>
        <w:t>。</w:t>
      </w:r>
    </w:p>
    <w:p>
      <w:pPr>
        <w:pStyle w:val="BodyText"/>
        <w:spacing w:line="273" w:lineRule="auto" w:before="7"/>
        <w:ind w:left="1986" w:right="78" w:firstLine="422"/>
      </w:pPr>
      <w:r>
        <w:rPr/>
        <w:t>除上述文件之外的其他任何书面或口头的协议、承诺均不构成本合同组成部分， 对其效力本公司不予认可。</w:t>
      </w:r>
    </w:p>
    <w:p>
      <w:pPr>
        <w:pStyle w:val="BodyText"/>
        <w:spacing w:before="5"/>
        <w:rPr>
          <w:sz w:val="24"/>
        </w:rPr>
      </w:pPr>
    </w:p>
    <w:p>
      <w:pPr>
        <w:pStyle w:val="ListParagraph"/>
        <w:numPr>
          <w:ilvl w:val="1"/>
          <w:numId w:val="3"/>
        </w:numPr>
        <w:tabs>
          <w:tab w:pos="856" w:val="left" w:leader="none"/>
          <w:tab w:pos="857" w:val="left" w:leader="none"/>
          <w:tab w:pos="2406" w:val="left" w:leader="none"/>
        </w:tabs>
        <w:spacing w:line="273" w:lineRule="auto" w:before="0" w:after="0"/>
        <w:ind w:left="1986" w:right="225" w:hanging="1769"/>
        <w:jc w:val="left"/>
        <w:rPr>
          <w:sz w:val="21"/>
        </w:rPr>
      </w:pPr>
      <w:r>
        <w:rPr>
          <w:sz w:val="21"/>
        </w:rPr>
        <w:t>投保范围</w:t>
        <w:tab/>
        <w:tab/>
        <w:t>1.投保人范围：机关、企业、事业单位和社会团体可作为投保人，向本公司投 </w:t>
      </w:r>
      <w:r>
        <w:rPr>
          <w:spacing w:val="-1"/>
          <w:sz w:val="21"/>
        </w:rPr>
        <w:t>保</w:t>
      </w:r>
      <w:r>
        <w:rPr>
          <w:sz w:val="21"/>
        </w:rPr>
        <w:t>本</w:t>
      </w:r>
      <w:r>
        <w:rPr>
          <w:spacing w:val="-3"/>
          <w:sz w:val="21"/>
        </w:rPr>
        <w:t>保</w:t>
      </w:r>
      <w:r>
        <w:rPr>
          <w:sz w:val="21"/>
        </w:rPr>
        <w:t>险。</w:t>
      </w:r>
    </w:p>
    <w:p>
      <w:pPr>
        <w:pStyle w:val="BodyText"/>
        <w:spacing w:line="273" w:lineRule="auto" w:before="7"/>
        <w:ind w:left="1986" w:right="304" w:firstLine="420"/>
        <w:jc w:val="both"/>
      </w:pPr>
      <w:r>
        <w:rPr/>
        <w:t>2.</w:t>
      </w:r>
      <w:r>
        <w:rPr>
          <w:spacing w:val="-8"/>
        </w:rPr>
        <w:t>被保险人范围：凡 </w:t>
      </w:r>
      <w:r>
        <w:rPr/>
        <w:t>16</w:t>
      </w:r>
      <w:r>
        <w:rPr>
          <w:spacing w:val="-16"/>
        </w:rPr>
        <w:t> 周岁</w:t>
      </w:r>
      <w:r>
        <w:rPr/>
        <w:t>（详见释义）</w:t>
      </w:r>
      <w:r>
        <w:rPr>
          <w:spacing w:val="-23"/>
        </w:rPr>
        <w:t>至 </w:t>
      </w:r>
      <w:r>
        <w:rPr/>
        <w:t>64</w:t>
      </w:r>
      <w:r>
        <w:rPr>
          <w:spacing w:val="-8"/>
        </w:rPr>
        <w:t> 周岁、身体健康能正常工作或</w:t>
      </w:r>
      <w:r>
        <w:rPr>
          <w:spacing w:val="-5"/>
        </w:rPr>
        <w:t>正常劳动的投保人员工及其身体健康的配偶和子女，可作为被保险人参加本保险。</w:t>
      </w:r>
      <w:r>
        <w:rPr>
          <w:spacing w:val="-3"/>
        </w:rPr>
        <w:t>投保时，参保人数和参保比例应符合国务院保险监督管理机构的相关规定。</w:t>
      </w:r>
    </w:p>
    <w:p>
      <w:pPr>
        <w:pStyle w:val="BodyText"/>
        <w:spacing w:before="8"/>
      </w:pPr>
    </w:p>
    <w:p>
      <w:pPr>
        <w:spacing w:after="0"/>
        <w:sectPr>
          <w:pgSz w:w="11910" w:h="16840"/>
          <w:pgMar w:header="879" w:footer="999" w:top="1120" w:bottom="1180" w:left="1140" w:right="900"/>
        </w:sectPr>
      </w:pPr>
    </w:p>
    <w:p>
      <w:pPr>
        <w:pStyle w:val="ListParagraph"/>
        <w:numPr>
          <w:ilvl w:val="1"/>
          <w:numId w:val="3"/>
        </w:numPr>
        <w:tabs>
          <w:tab w:pos="856" w:val="left" w:leader="none"/>
          <w:tab w:pos="857" w:val="left" w:leader="none"/>
        </w:tabs>
        <w:spacing w:line="273" w:lineRule="auto" w:before="36" w:after="0"/>
        <w:ind w:left="856" w:right="0" w:hanging="639"/>
        <w:jc w:val="left"/>
        <w:rPr>
          <w:sz w:val="21"/>
        </w:rPr>
      </w:pPr>
      <w:r>
        <w:rPr>
          <w:sz w:val="21"/>
        </w:rPr>
        <w:t>合同成立与生效</w:t>
      </w:r>
    </w:p>
    <w:p>
      <w:pPr>
        <w:pStyle w:val="BodyText"/>
        <w:spacing w:line="273" w:lineRule="auto"/>
        <w:ind w:left="217" w:right="225" w:firstLine="420"/>
        <w:jc w:val="both"/>
      </w:pPr>
      <w:r>
        <w:rPr/>
        <w:br w:type="column"/>
      </w:r>
      <w:r>
        <w:rPr/>
        <w:t>投保人提出保险申请、本公司同意承保，本合同成立，合同成立日期在保险单上载明。</w:t>
      </w:r>
    </w:p>
    <w:p>
      <w:pPr>
        <w:pStyle w:val="BodyText"/>
        <w:spacing w:line="273" w:lineRule="auto" w:before="7"/>
        <w:ind w:left="217" w:right="218" w:firstLine="420"/>
        <w:jc w:val="both"/>
      </w:pPr>
      <w:r>
        <w:rPr/>
        <w:t>除另有约定外，自本合同成立、本公司收取保险费并签发保险单的次日零时起本合同生效，本公司开始承担保险责任，合同生效日期在保险单上载明。本合同生效日即为保单生效日。</w:t>
      </w:r>
    </w:p>
    <w:p>
      <w:pPr>
        <w:spacing w:after="0" w:line="273" w:lineRule="auto"/>
        <w:jc w:val="both"/>
        <w:sectPr>
          <w:type w:val="continuous"/>
          <w:pgSz w:w="11910" w:h="16840"/>
          <w:pgMar w:top="1120" w:bottom="1180" w:left="1140" w:right="900"/>
          <w:cols w:num="2" w:equalWidth="0">
            <w:col w:w="1702" w:space="67"/>
            <w:col w:w="8101"/>
          </w:cols>
        </w:sectPr>
      </w:pPr>
    </w:p>
    <w:p>
      <w:pPr>
        <w:pStyle w:val="BodyText"/>
        <w:spacing w:before="4"/>
        <w:rPr>
          <w:sz w:val="29"/>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
        <w:gridCol w:w="1149"/>
        <w:gridCol w:w="7845"/>
      </w:tblGrid>
      <w:tr>
        <w:trPr>
          <w:trHeight w:val="729" w:hRule="atLeast"/>
        </w:trPr>
        <w:tc>
          <w:tcPr>
            <w:tcW w:w="528" w:type="dxa"/>
          </w:tcPr>
          <w:p>
            <w:pPr>
              <w:pStyle w:val="TableParagraph"/>
              <w:spacing w:line="211" w:lineRule="exact"/>
              <w:ind w:left="50"/>
              <w:rPr>
                <w:sz w:val="21"/>
              </w:rPr>
            </w:pPr>
            <w:r>
              <w:rPr>
                <w:sz w:val="21"/>
              </w:rPr>
              <w:t>1.4</w:t>
            </w:r>
          </w:p>
        </w:tc>
        <w:tc>
          <w:tcPr>
            <w:tcW w:w="1149" w:type="dxa"/>
          </w:tcPr>
          <w:p>
            <w:pPr>
              <w:pStyle w:val="TableParagraph"/>
              <w:spacing w:line="211" w:lineRule="exact"/>
              <w:ind w:left="160"/>
              <w:rPr>
                <w:sz w:val="21"/>
              </w:rPr>
            </w:pPr>
            <w:r>
              <w:rPr>
                <w:sz w:val="21"/>
              </w:rPr>
              <w:t>合同内容</w:t>
            </w:r>
          </w:p>
          <w:p>
            <w:pPr>
              <w:pStyle w:val="TableParagraph"/>
              <w:spacing w:before="37"/>
              <w:ind w:left="160"/>
              <w:rPr>
                <w:sz w:val="21"/>
              </w:rPr>
            </w:pPr>
            <w:r>
              <w:rPr>
                <w:sz w:val="21"/>
              </w:rPr>
              <w:t>变更</w:t>
            </w:r>
          </w:p>
        </w:tc>
        <w:tc>
          <w:tcPr>
            <w:tcW w:w="7845" w:type="dxa"/>
          </w:tcPr>
          <w:p>
            <w:pPr>
              <w:pStyle w:val="TableParagraph"/>
              <w:spacing w:line="211" w:lineRule="exact"/>
              <w:ind w:left="561"/>
              <w:rPr>
                <w:sz w:val="21"/>
              </w:rPr>
            </w:pPr>
            <w:r>
              <w:rPr>
                <w:sz w:val="21"/>
              </w:rPr>
              <w:t>投保人和本公司可以协商变更本合同的有关内容。变更本合同的，由本公司在</w:t>
            </w:r>
          </w:p>
          <w:p>
            <w:pPr>
              <w:pStyle w:val="TableParagraph"/>
              <w:spacing w:before="37"/>
              <w:ind w:left="141"/>
              <w:rPr>
                <w:sz w:val="21"/>
              </w:rPr>
            </w:pPr>
            <w:r>
              <w:rPr>
                <w:sz w:val="21"/>
              </w:rPr>
              <w:t>保险单或其他保险凭证上批注或附贴批单。</w:t>
            </w:r>
          </w:p>
        </w:tc>
      </w:tr>
      <w:tr>
        <w:trPr>
          <w:trHeight w:val="2028" w:hRule="atLeast"/>
        </w:trPr>
        <w:tc>
          <w:tcPr>
            <w:tcW w:w="528" w:type="dxa"/>
          </w:tcPr>
          <w:p>
            <w:pPr>
              <w:pStyle w:val="TableParagraph"/>
              <w:spacing w:before="142"/>
              <w:ind w:left="50"/>
              <w:rPr>
                <w:sz w:val="21"/>
              </w:rPr>
            </w:pPr>
            <w:r>
              <w:rPr>
                <w:sz w:val="21"/>
              </w:rPr>
              <w:t>1.5</w:t>
            </w:r>
          </w:p>
        </w:tc>
        <w:tc>
          <w:tcPr>
            <w:tcW w:w="1149" w:type="dxa"/>
          </w:tcPr>
          <w:p>
            <w:pPr>
              <w:pStyle w:val="TableParagraph"/>
              <w:spacing w:line="273" w:lineRule="auto" w:before="142"/>
              <w:ind w:left="160" w:right="141"/>
              <w:jc w:val="both"/>
              <w:rPr>
                <w:sz w:val="21"/>
              </w:rPr>
            </w:pPr>
            <w:r>
              <w:rPr>
                <w:sz w:val="21"/>
              </w:rPr>
              <w:t>投保人解除合同的手续及风险</w:t>
            </w:r>
          </w:p>
        </w:tc>
        <w:tc>
          <w:tcPr>
            <w:tcW w:w="7845" w:type="dxa"/>
          </w:tcPr>
          <w:p>
            <w:pPr>
              <w:pStyle w:val="TableParagraph"/>
              <w:spacing w:line="273" w:lineRule="auto" w:before="142"/>
              <w:ind w:left="141" w:right="136" w:firstLine="420"/>
              <w:rPr>
                <w:sz w:val="21"/>
              </w:rPr>
            </w:pPr>
            <w:r>
              <w:rPr>
                <w:sz w:val="21"/>
              </w:rPr>
              <w:t>1.本合同生效后，投保人可以要求解除本合同。投保人要求解除本合同时，应填写合同解除申请书并加盖投保人公章，并提供下列证明和资料：</w:t>
            </w:r>
          </w:p>
          <w:p>
            <w:pPr>
              <w:pStyle w:val="TableParagraph"/>
              <w:spacing w:before="7"/>
              <w:ind w:left="561"/>
              <w:rPr>
                <w:sz w:val="21"/>
              </w:rPr>
            </w:pPr>
            <w:r>
              <w:rPr>
                <w:sz w:val="21"/>
              </w:rPr>
              <w:t>（1）保险合同；</w:t>
            </w:r>
          </w:p>
          <w:p>
            <w:pPr>
              <w:pStyle w:val="TableParagraph"/>
              <w:spacing w:before="37"/>
              <w:ind w:left="561"/>
              <w:rPr>
                <w:sz w:val="21"/>
              </w:rPr>
            </w:pPr>
            <w:r>
              <w:rPr>
                <w:sz w:val="21"/>
              </w:rPr>
              <w:t>（2）投保人已通知被保险人解除合同事宜的有效证明。</w:t>
            </w:r>
          </w:p>
          <w:p>
            <w:pPr>
              <w:pStyle w:val="TableParagraph"/>
              <w:spacing w:line="273" w:lineRule="auto" w:before="37"/>
              <w:ind w:left="141" w:right="45" w:firstLine="420"/>
              <w:rPr>
                <w:sz w:val="21"/>
              </w:rPr>
            </w:pPr>
            <w:r>
              <w:rPr>
                <w:sz w:val="21"/>
              </w:rPr>
              <w:t>2.自本公司收到合同解除申请书及上述证明和资料之日起，本合同终止。本公</w:t>
            </w:r>
            <w:r>
              <w:rPr>
                <w:spacing w:val="-6"/>
                <w:sz w:val="21"/>
              </w:rPr>
              <w:t>司自本合同解除之日起 </w:t>
            </w:r>
            <w:r>
              <w:rPr>
                <w:sz w:val="21"/>
              </w:rPr>
              <w:t>10</w:t>
            </w:r>
            <w:r>
              <w:rPr>
                <w:spacing w:val="-8"/>
                <w:sz w:val="21"/>
              </w:rPr>
              <w:t> 日内以银行转账方式向投保人退还保险单的现金价值</w:t>
            </w:r>
            <w:r>
              <w:rPr>
                <w:sz w:val="21"/>
              </w:rPr>
              <w:t>（详</w:t>
            </w:r>
          </w:p>
        </w:tc>
      </w:tr>
      <w:tr>
        <w:trPr>
          <w:trHeight w:val="468" w:hRule="atLeast"/>
        </w:trPr>
        <w:tc>
          <w:tcPr>
            <w:tcW w:w="528" w:type="dxa"/>
          </w:tcPr>
          <w:p>
            <w:pPr>
              <w:pStyle w:val="TableParagraph"/>
              <w:rPr>
                <w:rFonts w:ascii="Times New Roman"/>
                <w:sz w:val="20"/>
              </w:rPr>
            </w:pPr>
          </w:p>
        </w:tc>
        <w:tc>
          <w:tcPr>
            <w:tcW w:w="1149" w:type="dxa"/>
          </w:tcPr>
          <w:p>
            <w:pPr>
              <w:pStyle w:val="TableParagraph"/>
              <w:rPr>
                <w:rFonts w:ascii="Times New Roman"/>
                <w:sz w:val="20"/>
              </w:rPr>
            </w:pPr>
          </w:p>
        </w:tc>
        <w:tc>
          <w:tcPr>
            <w:tcW w:w="7845" w:type="dxa"/>
          </w:tcPr>
          <w:p>
            <w:pPr>
              <w:pStyle w:val="TableParagraph"/>
              <w:spacing w:line="261" w:lineRule="exact"/>
              <w:ind w:left="141"/>
              <w:rPr>
                <w:sz w:val="21"/>
              </w:rPr>
            </w:pPr>
            <w:r>
              <w:rPr>
                <w:sz w:val="21"/>
              </w:rPr>
              <w:t>见释义</w:t>
            </w:r>
            <w:r>
              <w:rPr>
                <w:spacing w:val="-106"/>
                <w:sz w:val="21"/>
              </w:rPr>
              <w:t>）</w:t>
            </w:r>
            <w:r>
              <w:rPr>
                <w:spacing w:val="-3"/>
                <w:sz w:val="21"/>
              </w:rPr>
              <w:t>。投保人解除合同可能会遭受一定损失。</w:t>
            </w:r>
          </w:p>
        </w:tc>
      </w:tr>
      <w:tr>
        <w:trPr>
          <w:trHeight w:val="468" w:hRule="atLeast"/>
        </w:trPr>
        <w:tc>
          <w:tcPr>
            <w:tcW w:w="528" w:type="dxa"/>
          </w:tcPr>
          <w:p>
            <w:pPr>
              <w:pStyle w:val="TableParagraph"/>
              <w:spacing w:before="142"/>
              <w:ind w:left="50"/>
              <w:rPr>
                <w:sz w:val="21"/>
              </w:rPr>
            </w:pPr>
            <w:r>
              <w:rPr>
                <w:sz w:val="21"/>
              </w:rPr>
              <w:t>1.6</w:t>
            </w:r>
          </w:p>
        </w:tc>
        <w:tc>
          <w:tcPr>
            <w:tcW w:w="1149" w:type="dxa"/>
          </w:tcPr>
          <w:p>
            <w:pPr>
              <w:pStyle w:val="TableParagraph"/>
              <w:spacing w:before="142"/>
              <w:ind w:left="160"/>
              <w:rPr>
                <w:sz w:val="21"/>
              </w:rPr>
            </w:pPr>
            <w:r>
              <w:rPr>
                <w:sz w:val="21"/>
              </w:rPr>
              <w:t>合同终止</w:t>
            </w:r>
          </w:p>
        </w:tc>
        <w:tc>
          <w:tcPr>
            <w:tcW w:w="7845" w:type="dxa"/>
          </w:tcPr>
          <w:p>
            <w:pPr>
              <w:pStyle w:val="TableParagraph"/>
              <w:spacing w:before="142"/>
              <w:ind w:left="561"/>
              <w:rPr>
                <w:sz w:val="21"/>
              </w:rPr>
            </w:pPr>
            <w:r>
              <w:rPr>
                <w:sz w:val="21"/>
              </w:rPr>
              <w:t>以下任何一种情况发生时，本合同终止：</w:t>
            </w:r>
          </w:p>
        </w:tc>
      </w:tr>
      <w:tr>
        <w:trPr>
          <w:trHeight w:val="311" w:hRule="atLeast"/>
        </w:trPr>
        <w:tc>
          <w:tcPr>
            <w:tcW w:w="1677" w:type="dxa"/>
            <w:gridSpan w:val="2"/>
            <w:vMerge w:val="restart"/>
          </w:tcPr>
          <w:p>
            <w:pPr>
              <w:pStyle w:val="TableParagraph"/>
              <w:rPr>
                <w:rFonts w:ascii="Times New Roman"/>
                <w:sz w:val="20"/>
              </w:rPr>
            </w:pPr>
          </w:p>
        </w:tc>
        <w:tc>
          <w:tcPr>
            <w:tcW w:w="7845" w:type="dxa"/>
          </w:tcPr>
          <w:p>
            <w:pPr>
              <w:pStyle w:val="TableParagraph"/>
              <w:spacing w:line="261" w:lineRule="exact"/>
              <w:ind w:left="561"/>
              <w:rPr>
                <w:sz w:val="21"/>
              </w:rPr>
            </w:pPr>
            <w:r>
              <w:rPr>
                <w:sz w:val="21"/>
              </w:rPr>
              <w:t>1.在本合同有效期内解除本合同的；</w:t>
            </w:r>
          </w:p>
        </w:tc>
      </w:tr>
      <w:tr>
        <w:trPr>
          <w:trHeight w:val="312" w:hRule="atLeast"/>
        </w:trPr>
        <w:tc>
          <w:tcPr>
            <w:tcW w:w="1677" w:type="dxa"/>
            <w:gridSpan w:val="2"/>
            <w:vMerge/>
            <w:tcBorders>
              <w:top w:val="nil"/>
            </w:tcBorders>
          </w:tcPr>
          <w:p>
            <w:pPr>
              <w:rPr>
                <w:sz w:val="2"/>
                <w:szCs w:val="2"/>
              </w:rPr>
            </w:pPr>
          </w:p>
        </w:tc>
        <w:tc>
          <w:tcPr>
            <w:tcW w:w="7845" w:type="dxa"/>
          </w:tcPr>
          <w:p>
            <w:pPr>
              <w:pStyle w:val="TableParagraph"/>
              <w:spacing w:line="261" w:lineRule="exact"/>
              <w:ind w:left="561"/>
              <w:rPr>
                <w:sz w:val="21"/>
              </w:rPr>
            </w:pPr>
            <w:r>
              <w:rPr>
                <w:sz w:val="21"/>
              </w:rPr>
              <w:t>2.本公司已经履行完毕保险责任的；</w:t>
            </w:r>
          </w:p>
        </w:tc>
      </w:tr>
      <w:tr>
        <w:trPr>
          <w:trHeight w:val="261" w:hRule="atLeast"/>
        </w:trPr>
        <w:tc>
          <w:tcPr>
            <w:tcW w:w="1677" w:type="dxa"/>
            <w:gridSpan w:val="2"/>
            <w:vMerge/>
            <w:tcBorders>
              <w:top w:val="nil"/>
            </w:tcBorders>
          </w:tcPr>
          <w:p>
            <w:pPr>
              <w:rPr>
                <w:sz w:val="2"/>
                <w:szCs w:val="2"/>
              </w:rPr>
            </w:pPr>
          </w:p>
        </w:tc>
        <w:tc>
          <w:tcPr>
            <w:tcW w:w="7845" w:type="dxa"/>
          </w:tcPr>
          <w:p>
            <w:pPr>
              <w:pStyle w:val="TableParagraph"/>
              <w:spacing w:line="242" w:lineRule="exact"/>
              <w:ind w:left="561"/>
              <w:rPr>
                <w:sz w:val="21"/>
              </w:rPr>
            </w:pPr>
            <w:r>
              <w:rPr>
                <w:sz w:val="21"/>
              </w:rPr>
              <w:t>3.本合同因条款所列其他情况而终止的。</w:t>
            </w:r>
          </w:p>
        </w:tc>
      </w:tr>
    </w:tbl>
    <w:p>
      <w:pPr>
        <w:spacing w:after="0" w:line="242" w:lineRule="exact"/>
        <w:rPr>
          <w:sz w:val="21"/>
        </w:rPr>
        <w:sectPr>
          <w:type w:val="continuous"/>
          <w:pgSz w:w="11910" w:h="16840"/>
          <w:pgMar w:top="1120" w:bottom="1180" w:left="1140" w:right="900"/>
        </w:sectPr>
      </w:pPr>
    </w:p>
    <w:p>
      <w:pPr>
        <w:pStyle w:val="BodyText"/>
        <w:spacing w:before="0"/>
        <w:rPr>
          <w:sz w:val="23"/>
        </w:rPr>
      </w:pPr>
    </w:p>
    <w:p>
      <w:pPr>
        <w:pStyle w:val="Heading1"/>
        <w:tabs>
          <w:tab w:pos="856" w:val="left" w:leader="none"/>
        </w:tabs>
        <w:ind w:left="217" w:firstLine="0"/>
      </w:pPr>
      <w:r>
        <w:rPr/>
        <w:pict>
          <v:group style="position:absolute;margin-left:62.378262pt;margin-top:31.121857pt;width:482.05pt;height:1pt;mso-position-horizontal-relative:page;mso-position-vertical-relative:paragraph;z-index:1096;mso-wrap-distance-left:0;mso-wrap-distance-right:0" coordorigin="1248,622" coordsize="9641,20">
            <v:line style="position:absolute" from="1248,632" to="1888,632" stroked="true" strokeweight=".96pt" strokecolor="#000000">
              <v:stroke dashstyle="solid"/>
            </v:line>
            <v:rect style="position:absolute;left:1888;top:622;width:20;height:20" filled="true" fillcolor="#000000" stroked="false">
              <v:fill type="solid"/>
            </v:rect>
            <v:line style="position:absolute" from="1908,632" to="3019,632" stroked="true" strokeweight=".96pt" strokecolor="#000000">
              <v:stroke dashstyle="solid"/>
            </v:line>
            <v:rect style="position:absolute;left:3018;top:622;width:20;height:20" filled="true" fillcolor="#000000" stroked="false">
              <v:fill type="solid"/>
            </v:rect>
            <v:line style="position:absolute" from="3038,632" to="10888,632" stroked="true" strokeweight=".96pt" strokecolor="#000000">
              <v:stroke dashstyle="solid"/>
            </v:line>
            <w10:wrap type="topAndBottom"/>
          </v:group>
        </w:pict>
      </w:r>
      <w:r>
        <w:rPr>
          <w:rFonts w:ascii="Times New Roman" w:eastAsia="Times New Roman"/>
          <w:w w:val="160"/>
          <w:position w:val="-3"/>
          <w:sz w:val="40"/>
        </w:rPr>
        <w:t>v</w:t>
        <w:tab/>
      </w:r>
      <w:r>
        <w:rPr/>
        <w:t>本公司提供的保障</w:t>
      </w:r>
    </w:p>
    <w:p>
      <w:pPr>
        <w:pStyle w:val="BodyText"/>
        <w:spacing w:before="11"/>
        <w:rPr>
          <w:sz w:val="17"/>
        </w:rPr>
      </w:pPr>
    </w:p>
    <w:p>
      <w:pPr>
        <w:pStyle w:val="ListParagraph"/>
        <w:numPr>
          <w:ilvl w:val="1"/>
          <w:numId w:val="4"/>
        </w:numPr>
        <w:tabs>
          <w:tab w:pos="856" w:val="left" w:leader="none"/>
          <w:tab w:pos="857" w:val="left" w:leader="none"/>
          <w:tab w:pos="2406" w:val="left" w:leader="none"/>
        </w:tabs>
        <w:spacing w:line="240" w:lineRule="auto" w:before="36" w:after="0"/>
        <w:ind w:left="1986" w:right="0" w:hanging="1769"/>
        <w:jc w:val="left"/>
        <w:rPr>
          <w:sz w:val="21"/>
        </w:rPr>
      </w:pPr>
      <w:r>
        <w:rPr>
          <w:sz w:val="21"/>
        </w:rPr>
        <w:t>保险金额</w:t>
        <w:tab/>
        <w:t>本合</w:t>
      </w:r>
      <w:r>
        <w:rPr>
          <w:spacing w:val="-3"/>
          <w:sz w:val="21"/>
        </w:rPr>
        <w:t>同</w:t>
      </w:r>
      <w:r>
        <w:rPr>
          <w:sz w:val="21"/>
        </w:rPr>
        <w:t>保</w:t>
      </w:r>
      <w:r>
        <w:rPr>
          <w:spacing w:val="-3"/>
          <w:sz w:val="21"/>
        </w:rPr>
        <w:t>险</w:t>
      </w:r>
      <w:r>
        <w:rPr>
          <w:sz w:val="21"/>
        </w:rPr>
        <w:t>金</w:t>
      </w:r>
      <w:r>
        <w:rPr>
          <w:spacing w:val="-3"/>
          <w:sz w:val="21"/>
        </w:rPr>
        <w:t>额</w:t>
      </w:r>
      <w:r>
        <w:rPr>
          <w:sz w:val="21"/>
        </w:rPr>
        <w:t>为</w:t>
      </w:r>
      <w:r>
        <w:rPr>
          <w:spacing w:val="-3"/>
          <w:sz w:val="21"/>
        </w:rPr>
        <w:t>每</w:t>
      </w:r>
      <w:r>
        <w:rPr>
          <w:sz w:val="21"/>
        </w:rPr>
        <w:t>位</w:t>
      </w:r>
      <w:r>
        <w:rPr>
          <w:spacing w:val="-3"/>
          <w:sz w:val="21"/>
        </w:rPr>
        <w:t>被</w:t>
      </w:r>
      <w:r>
        <w:rPr>
          <w:sz w:val="21"/>
        </w:rPr>
        <w:t>保险</w:t>
      </w:r>
      <w:r>
        <w:rPr>
          <w:spacing w:val="-3"/>
          <w:sz w:val="21"/>
        </w:rPr>
        <w:t>人</w:t>
      </w:r>
      <w:r>
        <w:rPr>
          <w:sz w:val="21"/>
        </w:rPr>
        <w:t>的</w:t>
      </w:r>
      <w:r>
        <w:rPr>
          <w:spacing w:val="-3"/>
          <w:sz w:val="21"/>
        </w:rPr>
        <w:t>保</w:t>
      </w:r>
      <w:r>
        <w:rPr>
          <w:sz w:val="21"/>
        </w:rPr>
        <w:t>险</w:t>
      </w:r>
      <w:r>
        <w:rPr>
          <w:spacing w:val="-3"/>
          <w:sz w:val="21"/>
        </w:rPr>
        <w:t>金</w:t>
      </w:r>
      <w:r>
        <w:rPr>
          <w:sz w:val="21"/>
        </w:rPr>
        <w:t>额</w:t>
      </w:r>
      <w:r>
        <w:rPr>
          <w:spacing w:val="-3"/>
          <w:sz w:val="21"/>
        </w:rPr>
        <w:t>总</w:t>
      </w:r>
      <w:r>
        <w:rPr>
          <w:sz w:val="21"/>
        </w:rPr>
        <w:t>和。</w:t>
      </w:r>
    </w:p>
    <w:p>
      <w:pPr>
        <w:pStyle w:val="BodyText"/>
        <w:spacing w:line="273" w:lineRule="auto"/>
        <w:ind w:left="1986" w:right="225" w:firstLine="420"/>
        <w:jc w:val="both"/>
      </w:pPr>
      <w:r>
        <w:rPr/>
        <w:t>每位被保险人的保险金额由投保人和本公司在投保时约定，但须符合本公司当时的投保规定，约定的保险金额将在保险单或其他保险凭证上载明。</w:t>
      </w:r>
    </w:p>
    <w:p>
      <w:pPr>
        <w:pStyle w:val="BodyText"/>
        <w:spacing w:before="5"/>
        <w:rPr>
          <w:sz w:val="24"/>
        </w:rPr>
      </w:pPr>
    </w:p>
    <w:p>
      <w:pPr>
        <w:pStyle w:val="ListParagraph"/>
        <w:numPr>
          <w:ilvl w:val="1"/>
          <w:numId w:val="4"/>
        </w:numPr>
        <w:tabs>
          <w:tab w:pos="856" w:val="left" w:leader="none"/>
          <w:tab w:pos="857" w:val="left" w:leader="none"/>
          <w:tab w:pos="2406" w:val="left" w:leader="none"/>
        </w:tabs>
        <w:spacing w:line="240" w:lineRule="auto" w:before="0" w:after="0"/>
        <w:ind w:left="1986" w:right="0" w:hanging="1769"/>
        <w:jc w:val="left"/>
        <w:rPr>
          <w:sz w:val="21"/>
        </w:rPr>
      </w:pPr>
      <w:r>
        <w:rPr>
          <w:sz w:val="21"/>
        </w:rPr>
        <w:t>保险期间</w:t>
        <w:tab/>
        <w:t>本合</w:t>
      </w:r>
      <w:r>
        <w:rPr>
          <w:spacing w:val="-3"/>
          <w:sz w:val="21"/>
        </w:rPr>
        <w:t>同</w:t>
      </w:r>
      <w:r>
        <w:rPr>
          <w:sz w:val="21"/>
        </w:rPr>
        <w:t>保</w:t>
      </w:r>
      <w:r>
        <w:rPr>
          <w:spacing w:val="-3"/>
          <w:sz w:val="21"/>
        </w:rPr>
        <w:t>险</w:t>
      </w:r>
      <w:r>
        <w:rPr>
          <w:sz w:val="21"/>
        </w:rPr>
        <w:t>期</w:t>
      </w:r>
      <w:r>
        <w:rPr>
          <w:spacing w:val="-3"/>
          <w:sz w:val="21"/>
        </w:rPr>
        <w:t>间</w:t>
      </w:r>
      <w:r>
        <w:rPr>
          <w:sz w:val="21"/>
        </w:rPr>
        <w:t>为</w:t>
      </w:r>
      <w:r>
        <w:rPr>
          <w:spacing w:val="-3"/>
          <w:sz w:val="21"/>
        </w:rPr>
        <w:t>一</w:t>
      </w:r>
      <w:r>
        <w:rPr>
          <w:sz w:val="21"/>
        </w:rPr>
        <w:t>年</w:t>
      </w:r>
      <w:r>
        <w:rPr>
          <w:spacing w:val="-3"/>
          <w:sz w:val="21"/>
        </w:rPr>
        <w:t>，</w:t>
      </w:r>
      <w:r>
        <w:rPr>
          <w:sz w:val="21"/>
        </w:rPr>
        <w:t>并在</w:t>
      </w:r>
      <w:r>
        <w:rPr>
          <w:spacing w:val="-3"/>
          <w:sz w:val="21"/>
        </w:rPr>
        <w:t>保</w:t>
      </w:r>
      <w:r>
        <w:rPr>
          <w:sz w:val="21"/>
        </w:rPr>
        <w:t>险</w:t>
      </w:r>
      <w:r>
        <w:rPr>
          <w:spacing w:val="-3"/>
          <w:sz w:val="21"/>
        </w:rPr>
        <w:t>单</w:t>
      </w:r>
      <w:r>
        <w:rPr>
          <w:sz w:val="21"/>
        </w:rPr>
        <w:t>上</w:t>
      </w:r>
      <w:r>
        <w:rPr>
          <w:spacing w:val="-3"/>
          <w:sz w:val="21"/>
        </w:rPr>
        <w:t>载</w:t>
      </w:r>
      <w:r>
        <w:rPr>
          <w:sz w:val="21"/>
        </w:rPr>
        <w:t>明。</w:t>
      </w:r>
    </w:p>
    <w:p>
      <w:pPr>
        <w:pStyle w:val="BodyText"/>
        <w:spacing w:before="8"/>
        <w:rPr>
          <w:sz w:val="26"/>
        </w:rPr>
      </w:pPr>
    </w:p>
    <w:p>
      <w:pPr>
        <w:pStyle w:val="ListParagraph"/>
        <w:numPr>
          <w:ilvl w:val="1"/>
          <w:numId w:val="4"/>
        </w:numPr>
        <w:tabs>
          <w:tab w:pos="857" w:val="left" w:leader="none"/>
        </w:tabs>
        <w:spacing w:line="273" w:lineRule="auto" w:before="0" w:after="0"/>
        <w:ind w:left="1986" w:right="218" w:hanging="1769"/>
        <w:jc w:val="both"/>
        <w:rPr>
          <w:sz w:val="21"/>
        </w:rPr>
      </w:pPr>
      <w:r>
        <w:rPr>
          <w:spacing w:val="-6"/>
          <w:sz w:val="21"/>
        </w:rPr>
        <w:t>保险责任 被保险人于本合同生效之日起 </w:t>
      </w:r>
      <w:r>
        <w:rPr>
          <w:sz w:val="21"/>
        </w:rPr>
        <w:t>30</w:t>
      </w:r>
      <w:r>
        <w:rPr>
          <w:spacing w:val="-9"/>
          <w:sz w:val="21"/>
        </w:rPr>
        <w:t> 日内，由本公司认可医院</w:t>
      </w:r>
      <w:r>
        <w:rPr>
          <w:sz w:val="21"/>
        </w:rPr>
        <w:t>（</w:t>
      </w:r>
      <w:r>
        <w:rPr>
          <w:spacing w:val="-1"/>
          <w:sz w:val="21"/>
        </w:rPr>
        <w:t>详见释义</w:t>
      </w:r>
      <w:r>
        <w:rPr>
          <w:spacing w:val="-8"/>
          <w:sz w:val="21"/>
        </w:rPr>
        <w:t>）</w:t>
      </w:r>
      <w:r>
        <w:rPr>
          <w:spacing w:val="-2"/>
          <w:sz w:val="21"/>
        </w:rPr>
        <w:t>的专科</w:t>
      </w:r>
      <w:r>
        <w:rPr>
          <w:spacing w:val="-4"/>
          <w:w w:val="100"/>
          <w:sz w:val="21"/>
        </w:rPr>
        <w:t>医生</w:t>
      </w:r>
      <w:r>
        <w:rPr>
          <w:w w:val="100"/>
          <w:sz w:val="21"/>
        </w:rPr>
        <w:t>（</w:t>
      </w:r>
      <w:r>
        <w:rPr>
          <w:spacing w:val="-1"/>
          <w:w w:val="100"/>
          <w:sz w:val="21"/>
        </w:rPr>
        <w:t>详见释义</w:t>
      </w:r>
      <w:r>
        <w:rPr>
          <w:spacing w:val="-8"/>
          <w:w w:val="100"/>
          <w:sz w:val="21"/>
        </w:rPr>
        <w:t>）</w:t>
      </w:r>
      <w:r>
        <w:rPr>
          <w:spacing w:val="-4"/>
          <w:w w:val="100"/>
          <w:sz w:val="21"/>
        </w:rPr>
        <w:t>确诊初次发生本合同所指的重大疾病</w:t>
      </w:r>
      <w:r>
        <w:rPr>
          <w:w w:val="100"/>
          <w:sz w:val="21"/>
        </w:rPr>
        <w:t>（</w:t>
      </w:r>
      <w:r>
        <w:rPr>
          <w:spacing w:val="-1"/>
          <w:w w:val="100"/>
          <w:sz w:val="21"/>
        </w:rPr>
        <w:t>详见释义</w:t>
      </w:r>
      <w:r>
        <w:rPr>
          <w:spacing w:val="-106"/>
          <w:w w:val="100"/>
          <w:sz w:val="21"/>
        </w:rPr>
        <w:t>）</w:t>
      </w:r>
      <w:r>
        <w:rPr>
          <w:spacing w:val="-4"/>
          <w:w w:val="100"/>
          <w:sz w:val="21"/>
        </w:rPr>
        <w:t>，本公司按该被</w:t>
      </w:r>
      <w:r>
        <w:rPr>
          <w:spacing w:val="-1"/>
          <w:sz w:val="21"/>
        </w:rPr>
        <w:t>保险人</w:t>
      </w:r>
      <w:r>
        <w:rPr>
          <w:spacing w:val="-8"/>
          <w:sz w:val="21"/>
        </w:rPr>
        <w:t>的保险金额的 </w:t>
      </w:r>
      <w:r>
        <w:rPr>
          <w:sz w:val="21"/>
        </w:rPr>
        <w:t>10</w:t>
      </w:r>
      <w:r>
        <w:rPr>
          <w:spacing w:val="-3"/>
          <w:sz w:val="21"/>
        </w:rPr>
        <w:t>％给付重大疾病保险金，本公司对该被保险人的保险责任终止。</w:t>
      </w:r>
    </w:p>
    <w:p>
      <w:pPr>
        <w:pStyle w:val="BodyText"/>
        <w:spacing w:line="273" w:lineRule="auto" w:before="7"/>
        <w:ind w:left="1986" w:right="218" w:firstLine="422"/>
        <w:jc w:val="both"/>
      </w:pPr>
      <w:r>
        <w:rPr>
          <w:spacing w:val="-6"/>
        </w:rPr>
        <w:t>被保险人于本合同生效之日起 </w:t>
      </w:r>
      <w:r>
        <w:rPr/>
        <w:t>30</w:t>
      </w:r>
      <w:r>
        <w:rPr>
          <w:spacing w:val="-17"/>
        </w:rPr>
        <w:t> 日后</w:t>
      </w:r>
      <w:r>
        <w:rPr/>
        <w:t>（</w:t>
      </w:r>
      <w:r>
        <w:rPr>
          <w:spacing w:val="-4"/>
        </w:rPr>
        <w:t>按照本公司相关规定续保的，自续保合</w:t>
      </w:r>
      <w:r>
        <w:rPr>
          <w:spacing w:val="2"/>
          <w:w w:val="100"/>
        </w:rPr>
        <w:t>同生效之日起</w:t>
      </w:r>
      <w:r>
        <w:rPr>
          <w:spacing w:val="-99"/>
          <w:w w:val="100"/>
        </w:rPr>
        <w:t>）</w:t>
      </w:r>
      <w:r>
        <w:rPr>
          <w:w w:val="100"/>
        </w:rPr>
        <w:t>，由本公司认可医院的专科医生确诊初次发生本合同所指的重大疾</w:t>
      </w:r>
      <w:r>
        <w:rPr/>
        <w:t>病，本公司按该被保险人的保险金额给付重大疾病保险金，本公司对该被保险人的</w:t>
      </w:r>
      <w:r>
        <w:rPr>
          <w:spacing w:val="-3"/>
        </w:rPr>
        <w:t>保险责任终止。</w:t>
      </w:r>
    </w:p>
    <w:p>
      <w:pPr>
        <w:pStyle w:val="BodyText"/>
        <w:spacing w:before="5"/>
        <w:rPr>
          <w:sz w:val="24"/>
        </w:rPr>
      </w:pPr>
    </w:p>
    <w:p>
      <w:pPr>
        <w:pStyle w:val="ListParagraph"/>
        <w:numPr>
          <w:ilvl w:val="1"/>
          <w:numId w:val="4"/>
        </w:numPr>
        <w:tabs>
          <w:tab w:pos="856" w:val="left" w:leader="none"/>
          <w:tab w:pos="857" w:val="left" w:leader="none"/>
          <w:tab w:pos="2406" w:val="left" w:leader="none"/>
        </w:tabs>
        <w:spacing w:line="273" w:lineRule="auto" w:before="0" w:after="0"/>
        <w:ind w:left="1984" w:right="218" w:hanging="1767"/>
        <w:jc w:val="left"/>
        <w:rPr>
          <w:sz w:val="21"/>
        </w:rPr>
      </w:pPr>
      <w:r>
        <w:rPr>
          <w:sz w:val="21"/>
        </w:rPr>
        <w:t>责任免除</w:t>
        <w:tab/>
        <w:tab/>
        <w:t>被保险人因下列情形之一发生本合同所指的重大疾病的，本公司不承担保险责 任：</w:t>
      </w:r>
    </w:p>
    <w:p>
      <w:pPr>
        <w:pStyle w:val="BodyText"/>
        <w:spacing w:before="7"/>
        <w:ind w:left="2409"/>
      </w:pPr>
      <w:r>
        <w:rPr/>
        <w:t>1.被保险人故意犯罪或抗拒依法采取的刑事强制措施；</w:t>
      </w:r>
    </w:p>
    <w:p>
      <w:pPr>
        <w:pStyle w:val="BodyText"/>
        <w:spacing w:before="37"/>
        <w:ind w:left="2409"/>
      </w:pPr>
      <w:r>
        <w:rPr>
          <w:w w:val="100"/>
        </w:rPr>
        <w:t>2.</w:t>
      </w:r>
      <w:r>
        <w:rPr>
          <w:spacing w:val="-1"/>
          <w:w w:val="100"/>
        </w:rPr>
        <w:t>被保险人主动吸食或注射毒品</w:t>
      </w:r>
      <w:r>
        <w:rPr>
          <w:w w:val="100"/>
        </w:rPr>
        <w:t>（详见释义</w:t>
      </w:r>
      <w:r>
        <w:rPr>
          <w:spacing w:val="-106"/>
          <w:w w:val="100"/>
        </w:rPr>
        <w:t>）</w:t>
      </w:r>
      <w:r>
        <w:rPr>
          <w:w w:val="100"/>
        </w:rPr>
        <w:t>；</w:t>
      </w:r>
    </w:p>
    <w:p>
      <w:pPr>
        <w:pStyle w:val="BodyText"/>
        <w:spacing w:line="273" w:lineRule="auto" w:before="37"/>
        <w:ind w:left="1986" w:right="223" w:firstLine="420"/>
      </w:pPr>
      <w:r>
        <w:rPr/>
        <w:t>3.</w:t>
      </w:r>
      <w:r>
        <w:rPr>
          <w:spacing w:val="-2"/>
        </w:rPr>
        <w:t>被保险人酒后驾驶</w:t>
      </w:r>
      <w:r>
        <w:rPr>
          <w:spacing w:val="-3"/>
        </w:rPr>
        <w:t>（</w:t>
      </w:r>
      <w:r>
        <w:rPr>
          <w:spacing w:val="-2"/>
        </w:rPr>
        <w:t>详见释义</w:t>
      </w:r>
      <w:r>
        <w:rPr>
          <w:spacing w:val="-106"/>
        </w:rPr>
        <w:t>）</w:t>
      </w:r>
      <w:r>
        <w:rPr>
          <w:spacing w:val="-5"/>
        </w:rPr>
        <w:t>、无合法有效驾驶证驾驶</w:t>
      </w:r>
      <w:r>
        <w:rPr/>
        <w:t>（</w:t>
      </w:r>
      <w:r>
        <w:rPr>
          <w:spacing w:val="-1"/>
        </w:rPr>
        <w:t>详见释义</w:t>
      </w:r>
      <w:r>
        <w:rPr>
          <w:spacing w:val="-10"/>
        </w:rPr>
        <w:t>）</w:t>
      </w:r>
      <w:r>
        <w:rPr>
          <w:spacing w:val="-2"/>
        </w:rPr>
        <w:t>或驾驶</w:t>
      </w:r>
      <w:r>
        <w:rPr>
          <w:spacing w:val="-2"/>
          <w:w w:val="100"/>
        </w:rPr>
        <w:t>无有效行驶证（</w:t>
      </w:r>
      <w:r>
        <w:rPr>
          <w:spacing w:val="-3"/>
          <w:w w:val="100"/>
        </w:rPr>
        <w:t>详见释义</w:t>
      </w:r>
      <w:r>
        <w:rPr>
          <w:w w:val="100"/>
        </w:rPr>
        <w:t>）的机动车（</w:t>
      </w:r>
      <w:r>
        <w:rPr>
          <w:spacing w:val="-1"/>
          <w:w w:val="100"/>
        </w:rPr>
        <w:t>详见释义</w:t>
      </w:r>
      <w:r>
        <w:rPr>
          <w:spacing w:val="-106"/>
          <w:w w:val="100"/>
        </w:rPr>
        <w:t>）</w:t>
      </w:r>
      <w:r>
        <w:rPr>
          <w:w w:val="100"/>
        </w:rPr>
        <w:t>；</w:t>
      </w:r>
    </w:p>
    <w:p>
      <w:pPr>
        <w:pStyle w:val="BodyText"/>
        <w:spacing w:before="7"/>
        <w:ind w:left="2406"/>
      </w:pPr>
      <w:r>
        <w:rPr/>
        <w:t>4.战争、军事冲突、暴乱或武装叛乱；</w:t>
      </w:r>
    </w:p>
    <w:p>
      <w:pPr>
        <w:pStyle w:val="BodyText"/>
        <w:ind w:left="2406"/>
      </w:pPr>
      <w:r>
        <w:rPr/>
        <w:t>5.核爆炸、核辐射或核污染；</w:t>
      </w:r>
    </w:p>
    <w:p>
      <w:pPr>
        <w:pStyle w:val="BodyText"/>
        <w:ind w:left="2409"/>
      </w:pPr>
      <w:r>
        <w:rPr>
          <w:w w:val="100"/>
        </w:rPr>
        <w:t>6.遗传性疾病（详见释义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ind w:left="2409"/>
      </w:pPr>
      <w:r>
        <w:rPr>
          <w:spacing w:val="-1"/>
        </w:rPr>
        <w:t>7.被保险人感染艾滋病病毒或患艾滋病</w:t>
      </w:r>
      <w:r>
        <w:rPr/>
        <w:t>（</w:t>
      </w:r>
      <w:r>
        <w:rPr>
          <w:spacing w:val="-2"/>
        </w:rPr>
        <w:t>详见释义</w:t>
      </w:r>
      <w:r>
        <w:rPr>
          <w:spacing w:val="-108"/>
        </w:rPr>
        <w:t>）</w:t>
      </w:r>
      <w:r>
        <w:rPr/>
        <w:t>。</w:t>
      </w:r>
    </w:p>
    <w:p>
      <w:pPr>
        <w:pStyle w:val="BodyText"/>
        <w:spacing w:before="0"/>
        <w:rPr>
          <w:sz w:val="20"/>
        </w:rPr>
      </w:pPr>
    </w:p>
    <w:p>
      <w:pPr>
        <w:pStyle w:val="Heading1"/>
        <w:numPr>
          <w:ilvl w:val="0"/>
          <w:numId w:val="5"/>
        </w:numPr>
        <w:tabs>
          <w:tab w:pos="856" w:val="left" w:leader="none"/>
          <w:tab w:pos="857" w:val="left" w:leader="none"/>
        </w:tabs>
        <w:spacing w:line="240" w:lineRule="auto" w:before="162" w:after="0"/>
        <w:ind w:left="856" w:right="0" w:hanging="639"/>
        <w:jc w:val="left"/>
      </w:pPr>
      <w:r>
        <w:rPr/>
        <w:pict>
          <v:group style="position:absolute;margin-left:62.378262pt;margin-top:36.171871pt;width:482.05pt;height:1pt;mso-position-horizontal-relative:page;mso-position-vertical-relative:paragraph;z-index:1120;mso-wrap-distance-left:0;mso-wrap-distance-right:0" coordorigin="1248,723" coordsize="9641,20">
            <v:line style="position:absolute" from="1248,733" to="1888,733" stroked="true" strokeweight=".96pt" strokecolor="#000000">
              <v:stroke dashstyle="solid"/>
            </v:line>
            <v:rect style="position:absolute;left:1888;top:723;width:20;height:20" filled="true" fillcolor="#000000" stroked="false">
              <v:fill type="solid"/>
            </v:rect>
            <v:line style="position:absolute" from="1908,733" to="3019,733" stroked="true" strokeweight=".96pt" strokecolor="#000000">
              <v:stroke dashstyle="solid"/>
            </v:line>
            <v:rect style="position:absolute;left:3018;top:723;width:20;height:20" filled="true" fillcolor="#000000" stroked="false">
              <v:fill type="solid"/>
            </v:rect>
            <v:line style="position:absolute" from="3038,733" to="10888,733" stroked="true" strokeweight=".96pt" strokecolor="#000000">
              <v:stroke dashstyle="solid"/>
            </v:line>
            <w10:wrap type="topAndBottom"/>
          </v:group>
        </w:pict>
      </w:r>
      <w:r>
        <w:rPr/>
        <w:t>投保人的权利与义务</w:t>
      </w:r>
    </w:p>
    <w:p>
      <w:pPr>
        <w:pStyle w:val="BodyText"/>
        <w:spacing w:before="11"/>
        <w:rPr>
          <w:sz w:val="17"/>
        </w:rPr>
      </w:pPr>
    </w:p>
    <w:p>
      <w:pPr>
        <w:spacing w:after="0"/>
        <w:rPr>
          <w:sz w:val="17"/>
        </w:rPr>
        <w:sectPr>
          <w:pgSz w:w="11910" w:h="16840"/>
          <w:pgMar w:header="879" w:footer="999" w:top="1120" w:bottom="1180" w:left="1140" w:right="900"/>
        </w:sectPr>
      </w:pPr>
    </w:p>
    <w:p>
      <w:pPr>
        <w:pStyle w:val="BodyText"/>
        <w:tabs>
          <w:tab w:pos="856" w:val="left" w:leader="none"/>
        </w:tabs>
        <w:spacing w:line="273" w:lineRule="auto"/>
        <w:ind w:left="856" w:hanging="639"/>
      </w:pPr>
      <w:r>
        <w:rPr/>
        <w:t>3.1</w:t>
        <w:tab/>
        <w:t>保险费的 交纳</w:t>
      </w:r>
    </w:p>
    <w:p>
      <w:pPr>
        <w:pStyle w:val="BodyText"/>
        <w:ind w:left="217"/>
      </w:pPr>
      <w:r>
        <w:rPr/>
        <w:br w:type="column"/>
      </w:r>
      <w:r>
        <w:rPr/>
        <w:t>本合同交费方式为一次交清，并在保险单上载明。</w:t>
      </w:r>
    </w:p>
    <w:p>
      <w:pPr>
        <w:spacing w:after="0"/>
        <w:sectPr>
          <w:type w:val="continuous"/>
          <w:pgSz w:w="11910" w:h="16840"/>
          <w:pgMar w:top="1120" w:bottom="1180" w:left="1140" w:right="900"/>
          <w:cols w:num="2" w:equalWidth="0">
            <w:col w:w="1702" w:space="487"/>
            <w:col w:w="7681"/>
          </w:cols>
        </w:sectPr>
      </w:pPr>
    </w:p>
    <w:p>
      <w:pPr>
        <w:pStyle w:val="BodyText"/>
        <w:spacing w:before="5"/>
        <w:rPr>
          <w:sz w:val="25"/>
        </w:rPr>
      </w:pPr>
    </w:p>
    <w:p>
      <w:pPr>
        <w:pStyle w:val="Heading1"/>
        <w:numPr>
          <w:ilvl w:val="0"/>
          <w:numId w:val="5"/>
        </w:numPr>
        <w:tabs>
          <w:tab w:pos="856" w:val="left" w:leader="none"/>
          <w:tab w:pos="857" w:val="left" w:leader="none"/>
        </w:tabs>
        <w:spacing w:line="240" w:lineRule="auto" w:before="62" w:after="0"/>
        <w:ind w:left="856" w:right="0" w:hanging="639"/>
        <w:jc w:val="left"/>
      </w:pPr>
      <w:r>
        <w:rPr/>
        <w:pict>
          <v:group style="position:absolute;margin-left:62.378262pt;margin-top:31.171875pt;width:482.05pt;height:1pt;mso-position-horizontal-relative:page;mso-position-vertical-relative:paragraph;z-index:1144;mso-wrap-distance-left:0;mso-wrap-distance-right:0" coordorigin="1248,623" coordsize="9641,20">
            <v:line style="position:absolute" from="1248,633" to="1888,633" stroked="true" strokeweight=".96pt" strokecolor="#000000">
              <v:stroke dashstyle="solid"/>
            </v:line>
            <v:rect style="position:absolute;left:1888;top:623;width:20;height:20" filled="true" fillcolor="#000000" stroked="false">
              <v:fill type="solid"/>
            </v:rect>
            <v:line style="position:absolute" from="1908,633" to="3019,633" stroked="true" strokeweight=".96pt" strokecolor="#000000">
              <v:stroke dashstyle="solid"/>
            </v:line>
            <v:rect style="position:absolute;left:3018;top:623;width:20;height:20" filled="true" fillcolor="#000000" stroked="false">
              <v:fill type="solid"/>
            </v:rect>
            <v:line style="position:absolute" from="3038,633" to="10888,633" stroked="true" strokeweight=".96pt" strokecolor="#000000">
              <v:stroke dashstyle="solid"/>
            </v:line>
            <w10:wrap type="topAndBottom"/>
          </v:group>
        </w:pict>
      </w:r>
      <w:r>
        <w:rPr/>
        <w:t>保险金的申请与给付</w:t>
      </w:r>
    </w:p>
    <w:p>
      <w:pPr>
        <w:pStyle w:val="BodyText"/>
        <w:spacing w:before="0"/>
        <w:rPr>
          <w:sz w:val="18"/>
        </w:rPr>
      </w:pPr>
    </w:p>
    <w:p>
      <w:pPr>
        <w:spacing w:after="0"/>
        <w:rPr>
          <w:sz w:val="18"/>
        </w:rPr>
        <w:sectPr>
          <w:type w:val="continuous"/>
          <w:pgSz w:w="11910" w:h="16840"/>
          <w:pgMar w:top="1120" w:bottom="1180" w:left="1140" w:right="900"/>
        </w:sectPr>
      </w:pPr>
    </w:p>
    <w:p>
      <w:pPr>
        <w:pStyle w:val="ListParagraph"/>
        <w:numPr>
          <w:ilvl w:val="1"/>
          <w:numId w:val="6"/>
        </w:numPr>
        <w:tabs>
          <w:tab w:pos="856" w:val="left" w:leader="none"/>
          <w:tab w:pos="857" w:val="left" w:leader="none"/>
        </w:tabs>
        <w:spacing w:line="273" w:lineRule="auto" w:before="37" w:after="0"/>
        <w:ind w:left="856" w:right="0" w:hanging="639"/>
        <w:jc w:val="left"/>
        <w:rPr>
          <w:sz w:val="21"/>
        </w:rPr>
      </w:pPr>
      <w:r>
        <w:rPr>
          <w:sz w:val="21"/>
        </w:rPr>
        <w:t>保险金受益人</w:t>
      </w:r>
    </w:p>
    <w:p>
      <w:pPr>
        <w:pStyle w:val="BodyText"/>
        <w:spacing w:before="37"/>
        <w:ind w:left="217"/>
      </w:pPr>
      <w:r>
        <w:rPr/>
        <w:br w:type="column"/>
      </w:r>
      <w:r>
        <w:rPr/>
        <w:t>保险金的受益人为被保险人本人。</w:t>
      </w:r>
    </w:p>
    <w:p>
      <w:pPr>
        <w:spacing w:after="0"/>
        <w:sectPr>
          <w:type w:val="continuous"/>
          <w:pgSz w:w="11910" w:h="16840"/>
          <w:pgMar w:top="1120" w:bottom="1180" w:left="1140" w:right="900"/>
          <w:cols w:num="2" w:equalWidth="0">
            <w:col w:w="1702" w:space="487"/>
            <w:col w:w="7681"/>
          </w:cols>
        </w:sectPr>
      </w:pPr>
    </w:p>
    <w:p>
      <w:pPr>
        <w:pStyle w:val="BodyText"/>
        <w:spacing w:before="8"/>
      </w:pPr>
    </w:p>
    <w:p>
      <w:pPr>
        <w:spacing w:after="0"/>
        <w:sectPr>
          <w:type w:val="continuous"/>
          <w:pgSz w:w="11910" w:h="16840"/>
          <w:pgMar w:top="1120" w:bottom="1180" w:left="1140" w:right="900"/>
        </w:sectPr>
      </w:pPr>
    </w:p>
    <w:p>
      <w:pPr>
        <w:pStyle w:val="ListParagraph"/>
        <w:numPr>
          <w:ilvl w:val="1"/>
          <w:numId w:val="6"/>
        </w:numPr>
        <w:tabs>
          <w:tab w:pos="856" w:val="left" w:leader="none"/>
          <w:tab w:pos="857" w:val="left" w:leader="none"/>
        </w:tabs>
        <w:spacing w:line="273" w:lineRule="auto" w:before="37" w:after="0"/>
        <w:ind w:left="856" w:right="0" w:hanging="639"/>
        <w:jc w:val="left"/>
        <w:rPr>
          <w:sz w:val="21"/>
        </w:rPr>
      </w:pPr>
      <w:r>
        <w:rPr>
          <w:sz w:val="21"/>
        </w:rPr>
        <w:t>保险事故通知</w:t>
      </w:r>
    </w:p>
    <w:p>
      <w:pPr>
        <w:pStyle w:val="BodyText"/>
        <w:spacing w:line="273" w:lineRule="auto" w:before="37"/>
        <w:ind w:left="637" w:right="208"/>
      </w:pPr>
      <w:r>
        <w:rPr/>
        <w:br w:type="column"/>
      </w:r>
      <w:r>
        <w:rPr>
          <w:spacing w:val="-5"/>
        </w:rPr>
        <w:t>投保人、被保险人或受益人应于知道保险事故发生之日起 </w:t>
      </w:r>
      <w:r>
        <w:rPr/>
        <w:t>10</w:t>
      </w:r>
      <w:r>
        <w:rPr>
          <w:spacing w:val="-8"/>
        </w:rPr>
        <w:t> 日内通知本公司。</w:t>
      </w:r>
      <w:r>
        <w:rPr>
          <w:spacing w:val="-3"/>
        </w:rPr>
        <w:t>如投保人、被保险人或受益人故意或因重大过失未及时通知本公司，致使保险</w:t>
      </w:r>
    </w:p>
    <w:p>
      <w:pPr>
        <w:pStyle w:val="BodyText"/>
        <w:spacing w:before="7"/>
        <w:ind w:left="217"/>
      </w:pPr>
      <w:r>
        <w:rPr/>
        <w:t>事故的性质、原因、损失程度等难以确定的，本公司对无法确定的部分，不承担给</w:t>
      </w:r>
    </w:p>
    <w:p>
      <w:pPr>
        <w:spacing w:after="0"/>
        <w:sectPr>
          <w:type w:val="continuous"/>
          <w:pgSz w:w="11910" w:h="16840"/>
          <w:pgMar w:top="1120" w:bottom="1180" w:left="1140" w:right="900"/>
          <w:cols w:num="2" w:equalWidth="0">
            <w:col w:w="1702" w:space="67"/>
            <w:col w:w="8101"/>
          </w:cols>
        </w:sectPr>
      </w:pPr>
    </w:p>
    <w:p>
      <w:pPr>
        <w:pStyle w:val="BodyText"/>
        <w:spacing w:before="2"/>
        <w:rPr>
          <w:sz w:val="19"/>
        </w:rPr>
      </w:pPr>
    </w:p>
    <w:p>
      <w:pPr>
        <w:pStyle w:val="BodyText"/>
        <w:spacing w:line="273" w:lineRule="auto" w:before="37"/>
        <w:ind w:left="1986" w:right="115"/>
      </w:pPr>
      <w:r>
        <w:rPr>
          <w:spacing w:val="-3"/>
        </w:rPr>
        <w:t>付保险金的责任，但本公司通过其他途径已经及时知道或应当及时知道保险事故发 </w:t>
      </w:r>
      <w:r>
        <w:rPr>
          <w:spacing w:val="-5"/>
        </w:rPr>
        <w:t>生，或虽未及时通知但不影响本公司确定保险事故的性质、原因、损失程度的除外。</w:t>
      </w:r>
    </w:p>
    <w:p>
      <w:pPr>
        <w:pStyle w:val="BodyText"/>
        <w:spacing w:before="8"/>
      </w:pPr>
    </w:p>
    <w:p>
      <w:pPr>
        <w:spacing w:after="0"/>
        <w:sectPr>
          <w:pgSz w:w="11910" w:h="16840"/>
          <w:pgMar w:header="879" w:footer="999" w:top="1120" w:bottom="1180" w:left="1140" w:right="900"/>
        </w:sectPr>
      </w:pPr>
    </w:p>
    <w:p>
      <w:pPr>
        <w:pStyle w:val="ListParagraph"/>
        <w:numPr>
          <w:ilvl w:val="1"/>
          <w:numId w:val="6"/>
        </w:numPr>
        <w:tabs>
          <w:tab w:pos="856" w:val="left" w:leader="none"/>
          <w:tab w:pos="857" w:val="left" w:leader="none"/>
        </w:tabs>
        <w:spacing w:line="273" w:lineRule="auto" w:before="37" w:after="0"/>
        <w:ind w:left="856" w:right="0" w:hanging="639"/>
        <w:jc w:val="left"/>
        <w:rPr>
          <w:sz w:val="21"/>
        </w:rPr>
      </w:pPr>
      <w:r>
        <w:rPr>
          <w:sz w:val="21"/>
        </w:rPr>
        <w:t>保险金的申请</w:t>
      </w:r>
    </w:p>
    <w:p>
      <w:pPr>
        <w:pStyle w:val="BodyText"/>
        <w:spacing w:line="273" w:lineRule="auto" w:before="37"/>
        <w:ind w:left="217" w:right="311" w:firstLine="420"/>
      </w:pPr>
      <w:r>
        <w:rPr/>
        <w:br w:type="column"/>
      </w:r>
      <w:r>
        <w:rPr/>
        <w:t>1.申请保险金时，由被保险人作为申请人填写保险金给付申请书，并提供下列证明和资料：</w:t>
      </w:r>
    </w:p>
    <w:p>
      <w:pPr>
        <w:pStyle w:val="BodyText"/>
        <w:spacing w:before="7"/>
        <w:ind w:left="637"/>
      </w:pPr>
      <w:r>
        <w:rPr/>
        <w:t>（1）保险合同；</w:t>
      </w:r>
    </w:p>
    <w:p>
      <w:pPr>
        <w:pStyle w:val="BodyText"/>
        <w:ind w:left="637"/>
      </w:pPr>
      <w:r>
        <w:rPr/>
        <w:t>（2）申请人的有效身份证件；</w:t>
      </w:r>
    </w:p>
    <w:p>
      <w:pPr>
        <w:pStyle w:val="BodyText"/>
        <w:spacing w:line="273" w:lineRule="auto"/>
        <w:ind w:left="217" w:right="195" w:firstLine="420"/>
      </w:pPr>
      <w:r>
        <w:rPr/>
        <w:t>（3）由本公司认可医院出具的附有病历、必要病理检验、血液检验及其他科学方法检验报告的疾病诊断书；</w:t>
      </w:r>
    </w:p>
    <w:p>
      <w:pPr>
        <w:pStyle w:val="BodyText"/>
        <w:spacing w:line="273" w:lineRule="auto" w:before="7"/>
        <w:ind w:left="217" w:right="196" w:firstLine="420"/>
      </w:pPr>
      <w:r>
        <w:rPr/>
        <w:t>（4）所能提供的与确认保险事故的性质、原因、伤害程度等有关的其他证明和资料。</w:t>
      </w:r>
    </w:p>
    <w:p>
      <w:pPr>
        <w:pStyle w:val="BodyText"/>
        <w:spacing w:before="7"/>
        <w:ind w:left="637"/>
      </w:pPr>
      <w:r>
        <w:rPr/>
        <w:t>2.如委托他人代为申请，应提供授权委托书及受托人的有效身份证件。</w:t>
      </w:r>
    </w:p>
    <w:p>
      <w:pPr>
        <w:pStyle w:val="BodyText"/>
        <w:ind w:left="637"/>
      </w:pPr>
      <w:r>
        <w:rPr/>
        <w:t>3.本公司认为有关证明和资料不完整的，将及时一次性通知申请人补充提供。</w:t>
      </w:r>
    </w:p>
    <w:p>
      <w:pPr>
        <w:spacing w:after="0"/>
        <w:sectPr>
          <w:type w:val="continuous"/>
          <w:pgSz w:w="11910" w:h="16840"/>
          <w:pgMar w:top="1120" w:bottom="1180" w:left="1140" w:right="900"/>
          <w:cols w:num="2" w:equalWidth="0">
            <w:col w:w="1702" w:space="67"/>
            <w:col w:w="8101"/>
          </w:cols>
        </w:sectPr>
      </w:pPr>
    </w:p>
    <w:p>
      <w:pPr>
        <w:pStyle w:val="BodyText"/>
        <w:spacing w:before="11"/>
        <w:rPr>
          <w:sz w:val="23"/>
        </w:rPr>
      </w:pPr>
    </w:p>
    <w:p>
      <w:pPr>
        <w:spacing w:after="0"/>
        <w:rPr>
          <w:sz w:val="23"/>
        </w:rPr>
        <w:sectPr>
          <w:type w:val="continuous"/>
          <w:pgSz w:w="11910" w:h="16840"/>
          <w:pgMar w:top="1120" w:bottom="1180" w:left="1140" w:right="900"/>
        </w:sectPr>
      </w:pPr>
    </w:p>
    <w:p>
      <w:pPr>
        <w:pStyle w:val="ListParagraph"/>
        <w:numPr>
          <w:ilvl w:val="1"/>
          <w:numId w:val="6"/>
        </w:numPr>
        <w:tabs>
          <w:tab w:pos="856" w:val="left" w:leader="none"/>
          <w:tab w:pos="857" w:val="left" w:leader="none"/>
        </w:tabs>
        <w:spacing w:line="273" w:lineRule="auto" w:before="36" w:after="0"/>
        <w:ind w:left="856" w:right="0" w:hanging="639"/>
        <w:jc w:val="left"/>
        <w:rPr>
          <w:sz w:val="21"/>
        </w:rPr>
      </w:pPr>
      <w:r>
        <w:rPr>
          <w:sz w:val="21"/>
        </w:rPr>
        <w:t>保险金的给付</w:t>
      </w:r>
    </w:p>
    <w:p>
      <w:pPr>
        <w:pStyle w:val="BodyText"/>
        <w:spacing w:line="273" w:lineRule="auto"/>
        <w:ind w:left="217" w:right="309" w:firstLine="420"/>
      </w:pPr>
      <w:r>
        <w:rPr/>
        <w:br w:type="column"/>
      </w:r>
      <w:r>
        <w:rPr>
          <w:spacing w:val="-3"/>
        </w:rPr>
        <w:t>本公司在收到保险金给付申请书及上述有关证明和资料后，将在5日内作出核定；情形复杂的，在</w:t>
      </w:r>
      <w:r>
        <w:rPr/>
        <w:t>30</w:t>
      </w:r>
      <w:r>
        <w:rPr>
          <w:spacing w:val="-3"/>
        </w:rPr>
        <w:t>日内作出核定。对属于保险责任的，本公司在与被保险人达成有关给付保险金数额的协议后</w:t>
      </w:r>
      <w:r>
        <w:rPr/>
        <w:t>10</w:t>
      </w:r>
      <w:r>
        <w:rPr>
          <w:spacing w:val="-3"/>
        </w:rPr>
        <w:t>日内，履行给付保险金义务。</w:t>
      </w:r>
    </w:p>
    <w:p>
      <w:pPr>
        <w:pStyle w:val="BodyText"/>
        <w:spacing w:before="7"/>
        <w:ind w:left="637"/>
      </w:pPr>
      <w:r>
        <w:rPr/>
        <w:t>本公司未及时履行前款规定义务的，将赔偿被保险人因此受到的损失。</w:t>
      </w:r>
    </w:p>
    <w:p>
      <w:pPr>
        <w:pStyle w:val="BodyText"/>
        <w:spacing w:line="273" w:lineRule="auto" w:before="37"/>
        <w:ind w:left="217" w:right="311" w:firstLine="420"/>
      </w:pPr>
      <w:r>
        <w:rPr>
          <w:spacing w:val="-5"/>
        </w:rPr>
        <w:t>对不属于保险责任的，本公司自作出核定之日起 </w:t>
      </w:r>
      <w:r>
        <w:rPr/>
        <w:t>3</w:t>
      </w:r>
      <w:r>
        <w:rPr>
          <w:spacing w:val="-8"/>
        </w:rPr>
        <w:t> 日内向申请人发出拒绝给付</w:t>
      </w:r>
      <w:r>
        <w:rPr>
          <w:spacing w:val="-3"/>
        </w:rPr>
        <w:t>保险金通知书，并说明理由。</w:t>
      </w:r>
    </w:p>
    <w:p>
      <w:pPr>
        <w:pStyle w:val="BodyText"/>
        <w:spacing w:line="273" w:lineRule="auto" w:before="7"/>
        <w:ind w:left="217" w:right="220" w:firstLine="420"/>
      </w:pPr>
      <w:r>
        <w:rPr>
          <w:spacing w:val="-5"/>
        </w:rPr>
        <w:t>本公司在收到保险金给付申请书及有关证明和资料之日起 </w:t>
      </w:r>
      <w:r>
        <w:rPr/>
        <w:t>60</w:t>
      </w:r>
      <w:r>
        <w:rPr>
          <w:spacing w:val="-8"/>
        </w:rPr>
        <w:t> 日内，对给付保险</w:t>
      </w:r>
      <w:r>
        <w:rPr>
          <w:spacing w:val="-5"/>
        </w:rPr>
        <w:t>金的数额不能确定的，根据已有证明和资料可以确定的数额先予支付；本公司最终</w:t>
      </w:r>
      <w:r>
        <w:rPr>
          <w:spacing w:val="-4"/>
        </w:rPr>
        <w:t>确定给付保险金的数额后，将支付相应的差额。</w:t>
      </w:r>
    </w:p>
    <w:p>
      <w:pPr>
        <w:spacing w:after="0" w:line="273" w:lineRule="auto"/>
        <w:sectPr>
          <w:type w:val="continuous"/>
          <w:pgSz w:w="11910" w:h="16840"/>
          <w:pgMar w:top="1120" w:bottom="1180" w:left="1140" w:right="900"/>
          <w:cols w:num="2" w:equalWidth="0">
            <w:col w:w="1702" w:space="67"/>
            <w:col w:w="8101"/>
          </w:cols>
        </w:sectPr>
      </w:pPr>
    </w:p>
    <w:p>
      <w:pPr>
        <w:pStyle w:val="BodyText"/>
        <w:spacing w:before="5"/>
        <w:rPr>
          <w:sz w:val="25"/>
        </w:rPr>
      </w:pPr>
    </w:p>
    <w:p>
      <w:pPr>
        <w:tabs>
          <w:tab w:pos="856" w:val="left" w:leader="none"/>
        </w:tabs>
        <w:spacing w:before="62"/>
        <w:ind w:left="217" w:right="0" w:firstLine="0"/>
        <w:jc w:val="left"/>
        <w:rPr>
          <w:sz w:val="24"/>
        </w:rPr>
      </w:pPr>
      <w:r>
        <w:rPr/>
        <w:pict>
          <v:group style="position:absolute;margin-left:62.378262pt;margin-top:31.171864pt;width:482.05pt;height:1pt;mso-position-horizontal-relative:page;mso-position-vertical-relative:paragraph;z-index:1168;mso-wrap-distance-left:0;mso-wrap-distance-right:0" coordorigin="1248,623" coordsize="9641,20">
            <v:line style="position:absolute" from="1248,633" to="1888,633" stroked="true" strokeweight=".96pt" strokecolor="#000000">
              <v:stroke dashstyle="solid"/>
            </v:line>
            <v:rect style="position:absolute;left:1888;top:623;width:20;height:20" filled="true" fillcolor="#000000" stroked="false">
              <v:fill type="solid"/>
            </v:rect>
            <v:line style="position:absolute" from="1908,633" to="3019,633" stroked="true" strokeweight=".96pt" strokecolor="#000000">
              <v:stroke dashstyle="solid"/>
            </v:line>
            <v:rect style="position:absolute;left:3018;top:623;width:20;height:20" filled="true" fillcolor="#000000" stroked="false">
              <v:fill type="solid"/>
            </v:rect>
            <v:line style="position:absolute" from="3038,633" to="10888,633" stroked="true" strokeweight=".96pt" strokecolor="#000000">
              <v:stroke dashstyle="solid"/>
            </v:line>
            <w10:wrap type="topAndBottom"/>
          </v:group>
        </w:pict>
      </w:r>
      <w:r>
        <w:rPr>
          <w:rFonts w:ascii="Times New Roman" w:eastAsia="Times New Roman"/>
          <w:w w:val="160"/>
          <w:position w:val="-3"/>
          <w:sz w:val="40"/>
        </w:rPr>
        <w:t>y</w:t>
        <w:tab/>
      </w:r>
      <w:r>
        <w:rPr>
          <w:sz w:val="24"/>
        </w:rPr>
        <w:t>基本条款</w:t>
      </w:r>
    </w:p>
    <w:p>
      <w:pPr>
        <w:pStyle w:val="BodyText"/>
        <w:spacing w:before="11"/>
        <w:rPr>
          <w:sz w:val="17"/>
        </w:rPr>
      </w:pPr>
    </w:p>
    <w:p>
      <w:pPr>
        <w:spacing w:after="0"/>
        <w:rPr>
          <w:sz w:val="17"/>
        </w:rPr>
        <w:sectPr>
          <w:type w:val="continuous"/>
          <w:pgSz w:w="11910" w:h="16840"/>
          <w:pgMar w:top="1120" w:bottom="1180" w:left="1140" w:right="900"/>
        </w:sectPr>
      </w:pPr>
    </w:p>
    <w:p>
      <w:pPr>
        <w:pStyle w:val="ListParagraph"/>
        <w:numPr>
          <w:ilvl w:val="1"/>
          <w:numId w:val="7"/>
        </w:numPr>
        <w:tabs>
          <w:tab w:pos="857" w:val="left" w:leader="none"/>
        </w:tabs>
        <w:spacing w:line="273" w:lineRule="auto" w:before="36" w:after="0"/>
        <w:ind w:left="856" w:right="0" w:hanging="639"/>
        <w:jc w:val="both"/>
        <w:rPr>
          <w:sz w:val="21"/>
        </w:rPr>
      </w:pPr>
      <w:r>
        <w:rPr>
          <w:sz w:val="21"/>
        </w:rPr>
        <w:t>明确说明与如实告知</w:t>
      </w:r>
    </w:p>
    <w:p>
      <w:pPr>
        <w:pStyle w:val="BodyText"/>
        <w:spacing w:line="273" w:lineRule="auto"/>
        <w:ind w:left="217" w:right="309" w:firstLine="420"/>
        <w:jc w:val="both"/>
      </w:pPr>
      <w:r>
        <w:rPr/>
        <w:br w:type="column"/>
      </w:r>
      <w:r>
        <w:rPr/>
        <w:t>订立本合同时，本公司会向投保人明确说明本合同的条款内容。对本合同中免除本公司责任的条款，本公司在订立合同时将在投保单、保险单或其他保险凭证上作出足以引起投保人注意的提示，并对该条款的内容以书面或者口头形式向投保人作出明确说明，未作提示或者明确说明的，该免除本公司责任条款不产生效力。订立本合同和申请增加被保险人时，本公司会就投保人和被保险人的有关情况提出书面询问，投保人应当如实告知。</w:t>
      </w:r>
    </w:p>
    <w:p>
      <w:pPr>
        <w:pStyle w:val="BodyText"/>
        <w:spacing w:line="273" w:lineRule="auto" w:before="7"/>
        <w:ind w:left="217" w:right="311" w:firstLine="420"/>
        <w:jc w:val="both"/>
      </w:pPr>
      <w:r>
        <w:rPr/>
        <w:t>投保人故意或因重大过失未履行如实告知义务，足以影响本公司决定是否同意承保或提高保险费率的，本公司有权解除本合同或被保险人的资格。</w:t>
      </w:r>
    </w:p>
    <w:p>
      <w:pPr>
        <w:pStyle w:val="BodyText"/>
        <w:spacing w:line="273" w:lineRule="auto" w:before="7"/>
        <w:ind w:left="217" w:right="309" w:firstLine="420"/>
        <w:jc w:val="both"/>
      </w:pPr>
      <w:r>
        <w:rPr>
          <w:spacing w:val="-3"/>
        </w:rPr>
        <w:t>投保人故意不履行如实告知义务，对于本合同解除前发生的保险事故，本公司不承担保险责任，并不退还本保险实际交纳的保险费</w:t>
      </w:r>
      <w:r>
        <w:rPr/>
        <w:t>（</w:t>
      </w:r>
      <w:r>
        <w:rPr>
          <w:spacing w:val="-3"/>
        </w:rPr>
        <w:t>对于解除被保险人的资格前发生的保险事故，本公司对该被保险人不承担保险责任，并不退还该被保险人对应的实际交纳的保险费</w:t>
      </w:r>
      <w:r>
        <w:rPr>
          <w:spacing w:val="-106"/>
        </w:rPr>
        <w:t>）</w:t>
      </w:r>
      <w:r>
        <w:rPr/>
        <w:t>。</w:t>
      </w:r>
    </w:p>
    <w:p>
      <w:pPr>
        <w:pStyle w:val="BodyText"/>
        <w:spacing w:line="273" w:lineRule="auto" w:before="7"/>
        <w:ind w:left="217" w:right="309" w:firstLine="420"/>
        <w:jc w:val="both"/>
      </w:pPr>
      <w:r>
        <w:rPr>
          <w:spacing w:val="-3"/>
        </w:rPr>
        <w:t>投保人因重大过失未履行如实告知义务，对保险事故的发生有严重影响的，对于本合同解除前发生的保险事故，本公司不承担保险责任，但将退还本保险实际交纳的保险费</w:t>
      </w:r>
      <w:r>
        <w:rPr/>
        <w:t>（</w:t>
      </w:r>
      <w:r>
        <w:rPr>
          <w:spacing w:val="-3"/>
        </w:rPr>
        <w:t>对于解除被保险人的资格前发生的保险事故，本公司对该被保险人不承担保险责任，但将退还该被保险人对应的实际交纳的保险费</w:t>
      </w:r>
      <w:r>
        <w:rPr>
          <w:spacing w:val="-106"/>
        </w:rPr>
        <w:t>）</w:t>
      </w:r>
      <w:r>
        <w:rPr/>
        <w:t>。</w:t>
      </w:r>
    </w:p>
    <w:p>
      <w:pPr>
        <w:pStyle w:val="BodyText"/>
        <w:spacing w:before="7"/>
        <w:ind w:left="637"/>
      </w:pPr>
      <w:r>
        <w:rPr/>
        <w:t>本公司在合同订立或投保人申请增加被保险人时已经知道投保人未如实告知情</w:t>
      </w:r>
    </w:p>
    <w:p>
      <w:pPr>
        <w:spacing w:after="0"/>
        <w:sectPr>
          <w:type w:val="continuous"/>
          <w:pgSz w:w="11910" w:h="16840"/>
          <w:pgMar w:top="1120" w:bottom="1180" w:left="1140" w:right="900"/>
          <w:cols w:num="2" w:equalWidth="0">
            <w:col w:w="1702" w:space="67"/>
            <w:col w:w="8101"/>
          </w:cols>
        </w:sectPr>
      </w:pPr>
    </w:p>
    <w:p>
      <w:pPr>
        <w:pStyle w:val="BodyText"/>
        <w:spacing w:before="2"/>
        <w:rPr>
          <w:sz w:val="19"/>
        </w:rPr>
      </w:pPr>
    </w:p>
    <w:p>
      <w:pPr>
        <w:pStyle w:val="BodyText"/>
        <w:spacing w:line="273" w:lineRule="auto" w:before="37"/>
        <w:ind w:left="1966" w:right="309"/>
      </w:pPr>
      <w:r>
        <w:rPr/>
        <w:t>况的，本公司不得解除合同或被保险人的资格；发生保险事故的，本公司承担给付保险金的责任。</w:t>
      </w:r>
    </w:p>
    <w:p>
      <w:pPr>
        <w:pStyle w:val="BodyText"/>
        <w:spacing w:before="1"/>
        <w:rPr>
          <w:sz w:val="29"/>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
        <w:gridCol w:w="1154"/>
        <w:gridCol w:w="7763"/>
      </w:tblGrid>
      <w:tr>
        <w:trPr>
          <w:trHeight w:val="1666" w:hRule="atLeast"/>
        </w:trPr>
        <w:tc>
          <w:tcPr>
            <w:tcW w:w="528" w:type="dxa"/>
          </w:tcPr>
          <w:p>
            <w:pPr>
              <w:pStyle w:val="TableParagraph"/>
              <w:spacing w:line="213" w:lineRule="exact"/>
              <w:ind w:left="50"/>
              <w:rPr>
                <w:sz w:val="21"/>
              </w:rPr>
            </w:pPr>
            <w:r>
              <w:rPr>
                <w:sz w:val="21"/>
              </w:rPr>
              <w:t>5.2</w:t>
            </w:r>
          </w:p>
        </w:tc>
        <w:tc>
          <w:tcPr>
            <w:tcW w:w="1154" w:type="dxa"/>
          </w:tcPr>
          <w:p>
            <w:pPr>
              <w:pStyle w:val="TableParagraph"/>
              <w:spacing w:line="213" w:lineRule="exact"/>
              <w:ind w:left="160"/>
              <w:rPr>
                <w:sz w:val="21"/>
              </w:rPr>
            </w:pPr>
            <w:r>
              <w:rPr>
                <w:sz w:val="21"/>
              </w:rPr>
              <w:t>本公司合</w:t>
            </w:r>
          </w:p>
          <w:p>
            <w:pPr>
              <w:pStyle w:val="TableParagraph"/>
              <w:spacing w:line="273" w:lineRule="auto" w:before="37"/>
              <w:ind w:left="160" w:right="146"/>
              <w:jc w:val="both"/>
              <w:rPr>
                <w:sz w:val="21"/>
              </w:rPr>
            </w:pPr>
            <w:r>
              <w:rPr>
                <w:sz w:val="21"/>
              </w:rPr>
              <w:t>同解除权及解除被保险人资格的限制</w:t>
            </w:r>
          </w:p>
        </w:tc>
        <w:tc>
          <w:tcPr>
            <w:tcW w:w="7763" w:type="dxa"/>
          </w:tcPr>
          <w:p>
            <w:pPr>
              <w:pStyle w:val="TableParagraph"/>
              <w:spacing w:line="211" w:lineRule="exact"/>
              <w:ind w:left="566"/>
              <w:rPr>
                <w:sz w:val="21"/>
              </w:rPr>
            </w:pPr>
            <w:r>
              <w:rPr>
                <w:sz w:val="21"/>
              </w:rPr>
              <w:t>前条规定的合同解除权和解除被保险人资格的权利，自本公司知道有该事由之</w:t>
            </w:r>
          </w:p>
          <w:p>
            <w:pPr>
              <w:pStyle w:val="TableParagraph"/>
              <w:spacing w:before="37"/>
              <w:ind w:left="146"/>
              <w:rPr>
                <w:sz w:val="21"/>
              </w:rPr>
            </w:pPr>
            <w:r>
              <w:rPr>
                <w:sz w:val="21"/>
              </w:rPr>
              <w:t>日起，超过30日不行使而消灭。</w:t>
            </w:r>
          </w:p>
        </w:tc>
      </w:tr>
      <w:tr>
        <w:trPr>
          <w:trHeight w:val="467" w:hRule="atLeast"/>
        </w:trPr>
        <w:tc>
          <w:tcPr>
            <w:tcW w:w="528" w:type="dxa"/>
          </w:tcPr>
          <w:p>
            <w:pPr>
              <w:pStyle w:val="TableParagraph"/>
              <w:spacing w:before="144"/>
              <w:ind w:left="50"/>
              <w:rPr>
                <w:sz w:val="21"/>
              </w:rPr>
            </w:pPr>
            <w:r>
              <w:rPr>
                <w:sz w:val="21"/>
              </w:rPr>
              <w:t>5.3</w:t>
            </w:r>
          </w:p>
        </w:tc>
        <w:tc>
          <w:tcPr>
            <w:tcW w:w="1154" w:type="dxa"/>
          </w:tcPr>
          <w:p>
            <w:pPr>
              <w:pStyle w:val="TableParagraph"/>
              <w:spacing w:before="144"/>
              <w:ind w:left="160"/>
              <w:rPr>
                <w:sz w:val="21"/>
              </w:rPr>
            </w:pPr>
            <w:r>
              <w:rPr>
                <w:sz w:val="21"/>
              </w:rPr>
              <w:t>年龄确定</w:t>
            </w:r>
          </w:p>
        </w:tc>
        <w:tc>
          <w:tcPr>
            <w:tcW w:w="7763" w:type="dxa"/>
          </w:tcPr>
          <w:p>
            <w:pPr>
              <w:pStyle w:val="TableParagraph"/>
              <w:spacing w:before="141"/>
              <w:ind w:left="566"/>
              <w:rPr>
                <w:sz w:val="21"/>
              </w:rPr>
            </w:pPr>
            <w:r>
              <w:rPr>
                <w:sz w:val="21"/>
              </w:rPr>
              <w:t>1.被保险人的年龄以周岁计算。</w:t>
            </w:r>
          </w:p>
        </w:tc>
      </w:tr>
      <w:tr>
        <w:trPr>
          <w:trHeight w:val="312" w:hRule="atLeast"/>
        </w:trPr>
        <w:tc>
          <w:tcPr>
            <w:tcW w:w="528" w:type="dxa"/>
          </w:tcPr>
          <w:p>
            <w:pPr>
              <w:pStyle w:val="TableParagraph"/>
              <w:rPr>
                <w:rFonts w:ascii="Times New Roman"/>
                <w:sz w:val="20"/>
              </w:rPr>
            </w:pPr>
          </w:p>
        </w:tc>
        <w:tc>
          <w:tcPr>
            <w:tcW w:w="1154" w:type="dxa"/>
          </w:tcPr>
          <w:p>
            <w:pPr>
              <w:pStyle w:val="TableParagraph"/>
              <w:spacing w:line="263" w:lineRule="exact"/>
              <w:ind w:left="160"/>
              <w:rPr>
                <w:sz w:val="21"/>
              </w:rPr>
            </w:pPr>
            <w:r>
              <w:rPr>
                <w:sz w:val="21"/>
              </w:rPr>
              <w:t>与错误处</w:t>
            </w:r>
          </w:p>
        </w:tc>
        <w:tc>
          <w:tcPr>
            <w:tcW w:w="7763" w:type="dxa"/>
          </w:tcPr>
          <w:p>
            <w:pPr>
              <w:pStyle w:val="TableParagraph"/>
              <w:spacing w:line="260" w:lineRule="exact"/>
              <w:ind w:left="566"/>
              <w:rPr>
                <w:sz w:val="21"/>
              </w:rPr>
            </w:pPr>
            <w:r>
              <w:rPr>
                <w:sz w:val="21"/>
              </w:rPr>
              <w:t>2.投保人在申请投保时，应将与有效身份证件相符的被保险人的出生日期在被</w:t>
            </w:r>
          </w:p>
        </w:tc>
      </w:tr>
      <w:tr>
        <w:trPr>
          <w:trHeight w:val="262" w:hRule="atLeast"/>
        </w:trPr>
        <w:tc>
          <w:tcPr>
            <w:tcW w:w="528" w:type="dxa"/>
          </w:tcPr>
          <w:p>
            <w:pPr>
              <w:pStyle w:val="TableParagraph"/>
              <w:rPr>
                <w:rFonts w:ascii="Times New Roman"/>
                <w:sz w:val="18"/>
              </w:rPr>
            </w:pPr>
          </w:p>
        </w:tc>
        <w:tc>
          <w:tcPr>
            <w:tcW w:w="1154" w:type="dxa"/>
          </w:tcPr>
          <w:p>
            <w:pPr>
              <w:pStyle w:val="TableParagraph"/>
              <w:spacing w:line="243" w:lineRule="exact"/>
              <w:ind w:left="160"/>
              <w:rPr>
                <w:sz w:val="21"/>
              </w:rPr>
            </w:pPr>
            <w:r>
              <w:rPr>
                <w:w w:val="100"/>
                <w:sz w:val="21"/>
              </w:rPr>
              <w:t>理</w:t>
            </w:r>
          </w:p>
        </w:tc>
        <w:tc>
          <w:tcPr>
            <w:tcW w:w="7763" w:type="dxa"/>
          </w:tcPr>
          <w:p>
            <w:pPr>
              <w:pStyle w:val="TableParagraph"/>
              <w:spacing w:line="243" w:lineRule="exact"/>
              <w:ind w:left="146"/>
              <w:rPr>
                <w:sz w:val="21"/>
              </w:rPr>
            </w:pPr>
            <w:r>
              <w:rPr>
                <w:sz w:val="21"/>
              </w:rPr>
              <w:t>保险人人名清单上填明，如发生错误按下列方式办理：</w:t>
            </w:r>
          </w:p>
        </w:tc>
      </w:tr>
    </w:tbl>
    <w:p>
      <w:pPr>
        <w:pStyle w:val="BodyText"/>
        <w:spacing w:line="273" w:lineRule="auto" w:before="34"/>
        <w:ind w:left="1976" w:right="115" w:firstLine="420"/>
      </w:pPr>
      <w:r>
        <w:rPr>
          <w:spacing w:val="-5"/>
        </w:rPr>
        <w:t>（1）</w:t>
      </w:r>
      <w:r>
        <w:rPr>
          <w:spacing w:val="-4"/>
        </w:rPr>
        <w:t>投保人申报的被保险人年龄不真实，并且其真实年龄不符合本合同约定的</w:t>
      </w:r>
      <w:r>
        <w:rPr>
          <w:spacing w:val="-6"/>
        </w:rPr>
        <w:t>投保年龄限制的，本公司有权解除本合同或解除被保险人资格。对于解除本合同的， </w:t>
      </w:r>
      <w:r>
        <w:rPr>
          <w:spacing w:val="-4"/>
        </w:rPr>
        <w:t>本公司退还保险单的现金价值；对于解除被保险人资格的，本公司退还该被保险人 </w:t>
      </w:r>
      <w:r>
        <w:rPr>
          <w:spacing w:val="-3"/>
        </w:rPr>
        <w:t>对应的现金价值。本公司行使合同解除权和解除被保险人资格的权利适用本合同第</w:t>
      </w:r>
    </w:p>
    <w:p>
      <w:pPr>
        <w:pStyle w:val="ListParagraph"/>
        <w:numPr>
          <w:ilvl w:val="1"/>
          <w:numId w:val="7"/>
        </w:numPr>
        <w:tabs>
          <w:tab w:pos="2346" w:val="left" w:leader="none"/>
        </w:tabs>
        <w:spacing w:line="240" w:lineRule="auto" w:before="7" w:after="0"/>
        <w:ind w:left="2345" w:right="0" w:hanging="369"/>
        <w:jc w:val="left"/>
        <w:rPr>
          <w:sz w:val="21"/>
        </w:rPr>
      </w:pPr>
      <w:r>
        <w:rPr>
          <w:spacing w:val="-3"/>
          <w:sz w:val="21"/>
        </w:rPr>
        <w:t>条的规定。</w:t>
      </w:r>
    </w:p>
    <w:p>
      <w:pPr>
        <w:pStyle w:val="BodyText"/>
        <w:spacing w:line="273" w:lineRule="auto" w:before="37"/>
        <w:ind w:left="1976" w:right="220" w:firstLine="420"/>
      </w:pPr>
      <w:r>
        <w:rPr>
          <w:spacing w:val="-5"/>
        </w:rPr>
        <w:t>（2）</w:t>
      </w:r>
      <w:r>
        <w:rPr>
          <w:spacing w:val="-4"/>
        </w:rPr>
        <w:t>投保人申报的被保险人年龄不真实，致使投保人实付保险费少于应付保险</w:t>
      </w:r>
      <w:r>
        <w:rPr>
          <w:spacing w:val="-3"/>
        </w:rPr>
        <w:t>费的，本公司有权更正并要求投保人补交保险费。如已发生保险事故，本公司按该被保险人对应的实付保险费与应付保险费的比例给付保险金。</w:t>
      </w:r>
    </w:p>
    <w:p>
      <w:pPr>
        <w:pStyle w:val="BodyText"/>
        <w:spacing w:line="273" w:lineRule="auto" w:before="7"/>
        <w:ind w:left="1976" w:right="176" w:firstLine="420"/>
      </w:pPr>
      <w:r>
        <w:rPr/>
        <w:t>（3）投保人申报的被保险人年龄不真实，致使投保人实付保险费多于应付保险费的，本公司会将多收的保险费退还给投保人。</w:t>
      </w:r>
    </w:p>
    <w:p>
      <w:pPr>
        <w:pStyle w:val="BodyText"/>
        <w:spacing w:before="10"/>
      </w:pPr>
    </w:p>
    <w:p>
      <w:pPr>
        <w:spacing w:after="0"/>
        <w:sectPr>
          <w:pgSz w:w="11910" w:h="16840"/>
          <w:pgMar w:header="879" w:footer="999" w:top="1120" w:bottom="1180" w:left="1160" w:right="900"/>
        </w:sectPr>
      </w:pPr>
    </w:p>
    <w:p>
      <w:pPr>
        <w:pStyle w:val="ListParagraph"/>
        <w:numPr>
          <w:ilvl w:val="1"/>
          <w:numId w:val="8"/>
        </w:numPr>
        <w:tabs>
          <w:tab w:pos="836" w:val="left" w:leader="none"/>
          <w:tab w:pos="837" w:val="left" w:leader="none"/>
        </w:tabs>
        <w:spacing w:line="273" w:lineRule="auto" w:before="36" w:after="0"/>
        <w:ind w:left="836" w:right="0" w:hanging="639"/>
        <w:jc w:val="left"/>
        <w:rPr>
          <w:sz w:val="21"/>
        </w:rPr>
      </w:pPr>
      <w:r>
        <w:rPr>
          <w:sz w:val="21"/>
        </w:rPr>
        <w:t>被保险人的变动</w:t>
      </w:r>
    </w:p>
    <w:p>
      <w:pPr>
        <w:pStyle w:val="BodyText"/>
        <w:ind w:left="615"/>
      </w:pPr>
      <w:r>
        <w:rPr/>
        <w:br w:type="column"/>
      </w:r>
      <w:r>
        <w:rPr/>
        <w:t>如发生被保险人变动，投保人应书面通知本公司，本公司按下列规定办理：</w:t>
      </w:r>
    </w:p>
    <w:p>
      <w:pPr>
        <w:pStyle w:val="BodyText"/>
        <w:spacing w:line="273" w:lineRule="auto"/>
        <w:ind w:left="197" w:right="311" w:firstLine="420"/>
      </w:pPr>
      <w:r>
        <w:rPr/>
        <w:t>1.投保人因人员变动需要增加被保险人的，本公司审核同意并收取相应的保险费后，本合同对该被保险人开始生效，本公司对该被保险人承担下列保险责任：</w:t>
      </w:r>
    </w:p>
    <w:p>
      <w:pPr>
        <w:pStyle w:val="BodyText"/>
        <w:spacing w:line="273" w:lineRule="auto" w:before="5"/>
        <w:ind w:left="207" w:right="220" w:firstLine="420"/>
      </w:pPr>
      <w:r>
        <w:rPr>
          <w:spacing w:val="-5"/>
        </w:rPr>
        <w:t>（1）</w:t>
      </w:r>
      <w:r>
        <w:rPr>
          <w:spacing w:val="-3"/>
        </w:rPr>
        <w:t>本公司审核同意并收取相应的保险费之日起</w:t>
      </w:r>
      <w:r>
        <w:rPr/>
        <w:t>30</w:t>
      </w:r>
      <w:r>
        <w:rPr>
          <w:spacing w:val="-4"/>
        </w:rPr>
        <w:t>日内，被保险人由本公司认</w:t>
      </w:r>
      <w:r>
        <w:rPr>
          <w:spacing w:val="-3"/>
        </w:rPr>
        <w:t>可医院的专科医生确诊初次发生本合同所指的重大疾病，本公司按该被保险人的保</w:t>
      </w:r>
      <w:r>
        <w:rPr>
          <w:spacing w:val="-2"/>
        </w:rPr>
        <w:t>险金额的</w:t>
      </w:r>
      <w:r>
        <w:rPr>
          <w:spacing w:val="-1"/>
        </w:rPr>
        <w:t>10</w:t>
      </w:r>
      <w:r>
        <w:rPr>
          <w:spacing w:val="-3"/>
        </w:rPr>
        <w:t>％给付重大疾病保险金，本公司对该被保险人的保险责任终止；</w:t>
      </w:r>
    </w:p>
    <w:p>
      <w:pPr>
        <w:pStyle w:val="BodyText"/>
        <w:spacing w:line="273" w:lineRule="auto" w:before="8"/>
        <w:ind w:left="207" w:right="220" w:firstLine="420"/>
      </w:pPr>
      <w:r>
        <w:rPr>
          <w:spacing w:val="-5"/>
        </w:rPr>
        <w:t>（2）</w:t>
      </w:r>
      <w:r>
        <w:rPr>
          <w:spacing w:val="-3"/>
        </w:rPr>
        <w:t>本公司审核同意并收取相应的保险费之日起</w:t>
      </w:r>
      <w:r>
        <w:rPr/>
        <w:t>30</w:t>
      </w:r>
      <w:r>
        <w:rPr>
          <w:spacing w:val="-4"/>
        </w:rPr>
        <w:t>日后，被保险人由本公司认</w:t>
      </w:r>
      <w:r>
        <w:rPr>
          <w:spacing w:val="-3"/>
        </w:rPr>
        <w:t>可医院的专科医生确诊初次发生本合同所指的重大疾病，本公司按该被保险人的保险金额给付重大疾病保险金，本公司对该被保险人的保险责任终止。</w:t>
      </w:r>
    </w:p>
    <w:p>
      <w:pPr>
        <w:pStyle w:val="BodyText"/>
        <w:spacing w:line="273" w:lineRule="auto" w:before="8"/>
        <w:ind w:left="207" w:right="299" w:firstLine="420"/>
        <w:jc w:val="both"/>
      </w:pPr>
      <w:r>
        <w:rPr/>
        <w:t>2.投保人因被保险人离职或其他原因需要减少被保险人的，本公司自收到通知及相关证明和资料之日起对该被保险人的保险责任终止，并退还该被保险人对应的现金价值。如被保险人已发生保险金给付，本公司不退还该被保险人对应的现金价值。</w:t>
      </w:r>
    </w:p>
    <w:p>
      <w:pPr>
        <w:spacing w:after="0" w:line="273" w:lineRule="auto"/>
        <w:jc w:val="both"/>
        <w:sectPr>
          <w:type w:val="continuous"/>
          <w:pgSz w:w="11910" w:h="16840"/>
          <w:pgMar w:top="1120" w:bottom="1180" w:left="1160" w:right="900"/>
          <w:cols w:num="2" w:equalWidth="0">
            <w:col w:w="1682" w:space="87"/>
            <w:col w:w="8081"/>
          </w:cols>
        </w:sectPr>
      </w:pPr>
    </w:p>
    <w:p>
      <w:pPr>
        <w:pStyle w:val="BodyText"/>
        <w:spacing w:before="11"/>
      </w:pPr>
    </w:p>
    <w:p>
      <w:pPr>
        <w:pStyle w:val="ListParagraph"/>
        <w:numPr>
          <w:ilvl w:val="1"/>
          <w:numId w:val="8"/>
        </w:numPr>
        <w:tabs>
          <w:tab w:pos="837" w:val="left" w:leader="none"/>
        </w:tabs>
        <w:spacing w:line="273" w:lineRule="auto" w:before="36" w:after="0"/>
        <w:ind w:left="1966" w:right="309" w:hanging="1769"/>
        <w:jc w:val="both"/>
        <w:rPr>
          <w:sz w:val="21"/>
        </w:rPr>
      </w:pPr>
      <w:r>
        <w:rPr>
          <w:spacing w:val="-3"/>
          <w:sz w:val="21"/>
        </w:rPr>
        <w:t>地址变更      为了保障投保人的合法权益，投保人的住所或通讯地址变更时，应及时通知本公司。如投保人未通知本公司，本公司按本合同载明的最后住所或通讯地址发送的有关通知，均视为已送达给投保人。</w:t>
      </w:r>
    </w:p>
    <w:p>
      <w:pPr>
        <w:pStyle w:val="BodyText"/>
        <w:spacing w:before="5"/>
        <w:rPr>
          <w:sz w:val="24"/>
        </w:rPr>
      </w:pPr>
    </w:p>
    <w:p>
      <w:pPr>
        <w:pStyle w:val="ListParagraph"/>
        <w:numPr>
          <w:ilvl w:val="1"/>
          <w:numId w:val="8"/>
        </w:numPr>
        <w:tabs>
          <w:tab w:pos="836" w:val="left" w:leader="none"/>
          <w:tab w:pos="837" w:val="left" w:leader="none"/>
          <w:tab w:pos="2386" w:val="left" w:leader="none"/>
        </w:tabs>
        <w:spacing w:line="240" w:lineRule="auto" w:before="0" w:after="0"/>
        <w:ind w:left="836" w:right="0" w:hanging="639"/>
        <w:jc w:val="left"/>
        <w:rPr>
          <w:sz w:val="21"/>
        </w:rPr>
      </w:pPr>
      <w:r>
        <w:rPr>
          <w:sz w:val="21"/>
        </w:rPr>
        <w:t>争议处理</w:t>
        <w:tab/>
        <w:t>本合</w:t>
      </w:r>
      <w:r>
        <w:rPr>
          <w:spacing w:val="-3"/>
          <w:sz w:val="21"/>
        </w:rPr>
        <w:t>同</w:t>
      </w:r>
      <w:r>
        <w:rPr>
          <w:sz w:val="21"/>
        </w:rPr>
        <w:t>争</w:t>
      </w:r>
      <w:r>
        <w:rPr>
          <w:spacing w:val="-3"/>
          <w:sz w:val="21"/>
        </w:rPr>
        <w:t>议</w:t>
      </w:r>
      <w:r>
        <w:rPr>
          <w:sz w:val="21"/>
        </w:rPr>
        <w:t>解</w:t>
      </w:r>
      <w:r>
        <w:rPr>
          <w:spacing w:val="-3"/>
          <w:sz w:val="21"/>
        </w:rPr>
        <w:t>决</w:t>
      </w:r>
      <w:r>
        <w:rPr>
          <w:sz w:val="21"/>
        </w:rPr>
        <w:t>方</w:t>
      </w:r>
      <w:r>
        <w:rPr>
          <w:spacing w:val="-3"/>
          <w:sz w:val="21"/>
        </w:rPr>
        <w:t>式</w:t>
      </w:r>
      <w:r>
        <w:rPr>
          <w:sz w:val="21"/>
        </w:rPr>
        <w:t>由</w:t>
      </w:r>
      <w:r>
        <w:rPr>
          <w:spacing w:val="-3"/>
          <w:sz w:val="21"/>
        </w:rPr>
        <w:t>当</w:t>
      </w:r>
      <w:r>
        <w:rPr>
          <w:sz w:val="21"/>
        </w:rPr>
        <w:t>事人</w:t>
      </w:r>
      <w:r>
        <w:rPr>
          <w:spacing w:val="-3"/>
          <w:sz w:val="21"/>
        </w:rPr>
        <w:t>约</w:t>
      </w:r>
      <w:r>
        <w:rPr>
          <w:sz w:val="21"/>
        </w:rPr>
        <w:t>定</w:t>
      </w:r>
      <w:r>
        <w:rPr>
          <w:spacing w:val="-3"/>
          <w:sz w:val="21"/>
        </w:rPr>
        <w:t>从</w:t>
      </w:r>
      <w:r>
        <w:rPr>
          <w:sz w:val="21"/>
        </w:rPr>
        <w:t>下</w:t>
      </w:r>
      <w:r>
        <w:rPr>
          <w:spacing w:val="-3"/>
          <w:sz w:val="21"/>
        </w:rPr>
        <w:t>列</w:t>
      </w:r>
      <w:r>
        <w:rPr>
          <w:sz w:val="21"/>
        </w:rPr>
        <w:t>两</w:t>
      </w:r>
      <w:r>
        <w:rPr>
          <w:spacing w:val="-3"/>
          <w:sz w:val="21"/>
        </w:rPr>
        <w:t>种</w:t>
      </w:r>
      <w:r>
        <w:rPr>
          <w:sz w:val="21"/>
        </w:rPr>
        <w:t>方</w:t>
      </w:r>
      <w:r>
        <w:rPr>
          <w:spacing w:val="-3"/>
          <w:sz w:val="21"/>
        </w:rPr>
        <w:t>式</w:t>
      </w:r>
      <w:r>
        <w:rPr>
          <w:sz w:val="21"/>
        </w:rPr>
        <w:t>中选</w:t>
      </w:r>
      <w:r>
        <w:rPr>
          <w:spacing w:val="-3"/>
          <w:sz w:val="21"/>
        </w:rPr>
        <w:t>择</w:t>
      </w:r>
      <w:r>
        <w:rPr>
          <w:sz w:val="21"/>
        </w:rPr>
        <w:t>一</w:t>
      </w:r>
      <w:r>
        <w:rPr>
          <w:spacing w:val="-3"/>
          <w:sz w:val="21"/>
        </w:rPr>
        <w:t>种</w:t>
      </w:r>
      <w:r>
        <w:rPr>
          <w:sz w:val="21"/>
        </w:rPr>
        <w:t>：</w:t>
      </w:r>
    </w:p>
    <w:p>
      <w:pPr>
        <w:pStyle w:val="BodyText"/>
        <w:spacing w:line="273" w:lineRule="auto" w:before="37"/>
        <w:ind w:left="1966" w:right="311" w:firstLine="420"/>
      </w:pPr>
      <w:r>
        <w:rPr/>
        <w:t>1.因履行本合同发生的争议，由当事人协商解决，协商不成的，提交双方共同选定的仲裁委员会仲裁；</w:t>
      </w:r>
    </w:p>
    <w:p>
      <w:pPr>
        <w:spacing w:after="0" w:line="273" w:lineRule="auto"/>
        <w:sectPr>
          <w:type w:val="continuous"/>
          <w:pgSz w:w="11910" w:h="16840"/>
          <w:pgMar w:top="1120" w:bottom="1180" w:left="1160" w:right="900"/>
        </w:sectPr>
      </w:pPr>
    </w:p>
    <w:p>
      <w:pPr>
        <w:pStyle w:val="BodyText"/>
        <w:spacing w:before="2"/>
        <w:rPr>
          <w:sz w:val="19"/>
        </w:rPr>
      </w:pPr>
    </w:p>
    <w:p>
      <w:pPr>
        <w:pStyle w:val="BodyText"/>
        <w:spacing w:before="37"/>
        <w:ind w:left="2406"/>
      </w:pPr>
      <w:r>
        <w:rPr/>
        <w:t>2.因履行本合同发生的争议，由当事人协商解决，协商不成的，依法向人民法</w:t>
      </w:r>
    </w:p>
    <w:p>
      <w:pPr>
        <w:pStyle w:val="BodyText"/>
        <w:spacing w:before="9"/>
        <w:rPr>
          <w:sz w:val="7"/>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8"/>
        <w:gridCol w:w="1128"/>
        <w:gridCol w:w="7904"/>
      </w:tblGrid>
      <w:tr>
        <w:trPr>
          <w:trHeight w:val="1196" w:hRule="atLeast"/>
        </w:trPr>
        <w:tc>
          <w:tcPr>
            <w:tcW w:w="608" w:type="dxa"/>
            <w:tcBorders>
              <w:bottom w:val="single" w:sz="8" w:space="0" w:color="000000"/>
            </w:tcBorders>
          </w:tcPr>
          <w:p>
            <w:pPr>
              <w:pStyle w:val="TableParagraph"/>
              <w:spacing w:before="10"/>
              <w:rPr>
                <w:sz w:val="48"/>
              </w:rPr>
            </w:pPr>
          </w:p>
          <w:p>
            <w:pPr>
              <w:pStyle w:val="TableParagraph"/>
              <w:ind w:left="110"/>
              <w:rPr>
                <w:rFonts w:ascii="Times New Roman"/>
                <w:sz w:val="40"/>
              </w:rPr>
            </w:pPr>
            <w:r>
              <w:rPr>
                <w:rFonts w:ascii="Times New Roman"/>
                <w:w w:val="201"/>
                <w:sz w:val="40"/>
              </w:rPr>
              <w:t>z</w:t>
            </w:r>
          </w:p>
        </w:tc>
        <w:tc>
          <w:tcPr>
            <w:tcW w:w="1128" w:type="dxa"/>
            <w:tcBorders>
              <w:bottom w:val="single" w:sz="8" w:space="0" w:color="000000"/>
            </w:tcBorders>
          </w:tcPr>
          <w:p>
            <w:pPr>
              <w:pStyle w:val="TableParagraph"/>
              <w:rPr>
                <w:sz w:val="24"/>
              </w:rPr>
            </w:pPr>
          </w:p>
          <w:p>
            <w:pPr>
              <w:pStyle w:val="TableParagraph"/>
              <w:spacing w:before="7"/>
              <w:rPr>
                <w:sz w:val="28"/>
              </w:rPr>
            </w:pPr>
          </w:p>
          <w:p>
            <w:pPr>
              <w:pStyle w:val="TableParagraph"/>
              <w:spacing w:before="1"/>
              <w:ind w:left="140"/>
              <w:rPr>
                <w:sz w:val="24"/>
              </w:rPr>
            </w:pPr>
            <w:r>
              <w:rPr>
                <w:sz w:val="24"/>
              </w:rPr>
              <w:t>释义</w:t>
            </w:r>
          </w:p>
        </w:tc>
        <w:tc>
          <w:tcPr>
            <w:tcW w:w="7904" w:type="dxa"/>
            <w:tcBorders>
              <w:bottom w:val="single" w:sz="8" w:space="0" w:color="000000"/>
            </w:tcBorders>
          </w:tcPr>
          <w:p>
            <w:pPr>
              <w:pStyle w:val="TableParagraph"/>
              <w:spacing w:line="211" w:lineRule="exact"/>
              <w:ind w:left="143"/>
              <w:rPr>
                <w:sz w:val="21"/>
              </w:rPr>
            </w:pPr>
            <w:r>
              <w:rPr>
                <w:sz w:val="21"/>
              </w:rPr>
              <w:t>院起诉。</w:t>
            </w:r>
          </w:p>
        </w:tc>
      </w:tr>
      <w:tr>
        <w:trPr>
          <w:trHeight w:val="1404" w:hRule="atLeast"/>
        </w:trPr>
        <w:tc>
          <w:tcPr>
            <w:tcW w:w="608" w:type="dxa"/>
            <w:tcBorders>
              <w:top w:val="single" w:sz="8" w:space="0" w:color="000000"/>
            </w:tcBorders>
          </w:tcPr>
          <w:p>
            <w:pPr>
              <w:pStyle w:val="TableParagraph"/>
              <w:spacing w:before="11"/>
              <w:rPr>
                <w:sz w:val="22"/>
              </w:rPr>
            </w:pPr>
          </w:p>
          <w:p>
            <w:pPr>
              <w:pStyle w:val="TableParagraph"/>
              <w:ind w:left="110"/>
              <w:rPr>
                <w:sz w:val="21"/>
              </w:rPr>
            </w:pPr>
            <w:r>
              <w:rPr>
                <w:sz w:val="21"/>
              </w:rPr>
              <w:t>6.1</w:t>
            </w:r>
          </w:p>
        </w:tc>
        <w:tc>
          <w:tcPr>
            <w:tcW w:w="1128" w:type="dxa"/>
            <w:tcBorders>
              <w:top w:val="single" w:sz="8" w:space="0" w:color="000000"/>
            </w:tcBorders>
          </w:tcPr>
          <w:p>
            <w:pPr>
              <w:pStyle w:val="TableParagraph"/>
              <w:spacing w:before="11"/>
              <w:rPr>
                <w:sz w:val="22"/>
              </w:rPr>
            </w:pPr>
          </w:p>
          <w:p>
            <w:pPr>
              <w:pStyle w:val="TableParagraph"/>
              <w:spacing w:line="273" w:lineRule="auto"/>
              <w:ind w:left="140" w:right="140"/>
              <w:rPr>
                <w:sz w:val="21"/>
              </w:rPr>
            </w:pPr>
            <w:r>
              <w:rPr>
                <w:sz w:val="21"/>
              </w:rPr>
              <w:t>本公司公章</w:t>
            </w:r>
          </w:p>
        </w:tc>
        <w:tc>
          <w:tcPr>
            <w:tcW w:w="7904" w:type="dxa"/>
            <w:tcBorders>
              <w:top w:val="single" w:sz="8" w:space="0" w:color="000000"/>
            </w:tcBorders>
          </w:tcPr>
          <w:p>
            <w:pPr>
              <w:pStyle w:val="TableParagraph"/>
              <w:spacing w:before="11"/>
              <w:rPr>
                <w:sz w:val="22"/>
              </w:rPr>
            </w:pPr>
          </w:p>
          <w:p>
            <w:pPr>
              <w:pStyle w:val="TableParagraph"/>
              <w:ind w:left="563"/>
              <w:rPr>
                <w:sz w:val="21"/>
              </w:rPr>
            </w:pPr>
            <w:r>
              <w:rPr>
                <w:sz w:val="21"/>
              </w:rPr>
              <w:t>本公司公章仅指以下两项中的任何一项：</w:t>
            </w:r>
          </w:p>
          <w:p>
            <w:pPr>
              <w:pStyle w:val="TableParagraph"/>
              <w:spacing w:before="37"/>
              <w:ind w:left="563"/>
              <w:rPr>
                <w:sz w:val="21"/>
              </w:rPr>
            </w:pPr>
            <w:r>
              <w:rPr>
                <w:sz w:val="21"/>
              </w:rPr>
              <w:t>1.“新华人寿保险股份有限公司”公章或合同专用章；</w:t>
            </w:r>
          </w:p>
          <w:p>
            <w:pPr>
              <w:pStyle w:val="TableParagraph"/>
              <w:spacing w:before="37"/>
              <w:ind w:left="563"/>
              <w:rPr>
                <w:sz w:val="21"/>
              </w:rPr>
            </w:pPr>
            <w:r>
              <w:rPr>
                <w:sz w:val="21"/>
              </w:rPr>
              <w:t>2.“新华人寿保险股份有限公司××分公司”公章或合同专用章。</w:t>
            </w:r>
          </w:p>
        </w:tc>
      </w:tr>
      <w:tr>
        <w:trPr>
          <w:trHeight w:val="624" w:hRule="atLeast"/>
        </w:trPr>
        <w:tc>
          <w:tcPr>
            <w:tcW w:w="608" w:type="dxa"/>
          </w:tcPr>
          <w:p>
            <w:pPr>
              <w:pStyle w:val="TableParagraph"/>
              <w:spacing w:before="142"/>
              <w:ind w:left="110"/>
              <w:rPr>
                <w:sz w:val="21"/>
              </w:rPr>
            </w:pPr>
            <w:r>
              <w:rPr>
                <w:sz w:val="21"/>
              </w:rPr>
              <w:t>6.2</w:t>
            </w:r>
          </w:p>
        </w:tc>
        <w:tc>
          <w:tcPr>
            <w:tcW w:w="1128" w:type="dxa"/>
          </w:tcPr>
          <w:p>
            <w:pPr>
              <w:pStyle w:val="TableParagraph"/>
              <w:spacing w:before="142"/>
              <w:ind w:left="140"/>
              <w:rPr>
                <w:sz w:val="21"/>
              </w:rPr>
            </w:pPr>
            <w:r>
              <w:rPr>
                <w:sz w:val="21"/>
              </w:rPr>
              <w:t>周岁</w:t>
            </w:r>
          </w:p>
        </w:tc>
        <w:tc>
          <w:tcPr>
            <w:tcW w:w="7904" w:type="dxa"/>
          </w:tcPr>
          <w:p>
            <w:pPr>
              <w:pStyle w:val="TableParagraph"/>
              <w:spacing w:before="142"/>
              <w:ind w:left="563"/>
              <w:rPr>
                <w:sz w:val="21"/>
              </w:rPr>
            </w:pPr>
            <w:r>
              <w:rPr>
                <w:sz w:val="21"/>
              </w:rPr>
              <w:t>以法定有效身份证明文件中记载的出生日期为计算基础。</w:t>
            </w:r>
          </w:p>
        </w:tc>
      </w:tr>
      <w:tr>
        <w:trPr>
          <w:trHeight w:val="417" w:hRule="atLeast"/>
        </w:trPr>
        <w:tc>
          <w:tcPr>
            <w:tcW w:w="608" w:type="dxa"/>
          </w:tcPr>
          <w:p>
            <w:pPr>
              <w:pStyle w:val="TableParagraph"/>
              <w:spacing w:line="255" w:lineRule="exact" w:before="142"/>
              <w:ind w:left="110"/>
              <w:rPr>
                <w:sz w:val="21"/>
              </w:rPr>
            </w:pPr>
            <w:r>
              <w:rPr>
                <w:sz w:val="21"/>
              </w:rPr>
              <w:t>6.3</w:t>
            </w:r>
          </w:p>
        </w:tc>
        <w:tc>
          <w:tcPr>
            <w:tcW w:w="1128" w:type="dxa"/>
          </w:tcPr>
          <w:p>
            <w:pPr>
              <w:pStyle w:val="TableParagraph"/>
              <w:spacing w:line="255" w:lineRule="exact" w:before="142"/>
              <w:ind w:left="140"/>
              <w:rPr>
                <w:sz w:val="21"/>
              </w:rPr>
            </w:pPr>
            <w:r>
              <w:rPr>
                <w:sz w:val="21"/>
              </w:rPr>
              <w:t>现金价值</w:t>
            </w:r>
          </w:p>
        </w:tc>
        <w:tc>
          <w:tcPr>
            <w:tcW w:w="7904" w:type="dxa"/>
          </w:tcPr>
          <w:p>
            <w:pPr>
              <w:pStyle w:val="TableParagraph"/>
              <w:spacing w:line="255" w:lineRule="exact" w:before="142"/>
              <w:ind w:left="563"/>
              <w:rPr>
                <w:sz w:val="21"/>
              </w:rPr>
            </w:pPr>
            <w:r>
              <w:rPr>
                <w:sz w:val="21"/>
              </w:rPr>
              <w:t>现金价值＝保险费×（保险期间月数－本合同已经过月数）×0.75÷保险期间</w:t>
            </w:r>
          </w:p>
        </w:tc>
      </w:tr>
    </w:tbl>
    <w:p>
      <w:pPr>
        <w:pStyle w:val="BodyText"/>
        <w:spacing w:before="37"/>
        <w:ind w:left="1986"/>
      </w:pPr>
      <w:r>
        <w:rPr/>
        <w:t>月数，不足月的按一个月计算。</w:t>
      </w:r>
    </w:p>
    <w:p>
      <w:pPr>
        <w:pStyle w:val="BodyText"/>
        <w:spacing w:before="8"/>
        <w:rPr>
          <w:sz w:val="26"/>
        </w:rPr>
      </w:pPr>
    </w:p>
    <w:p>
      <w:pPr>
        <w:pStyle w:val="ListParagraph"/>
        <w:numPr>
          <w:ilvl w:val="1"/>
          <w:numId w:val="9"/>
        </w:numPr>
        <w:tabs>
          <w:tab w:pos="857" w:val="left" w:leader="none"/>
        </w:tabs>
        <w:spacing w:line="273" w:lineRule="auto" w:before="1" w:after="0"/>
        <w:ind w:left="1986" w:right="311" w:hanging="1769"/>
        <w:jc w:val="both"/>
        <w:rPr>
          <w:sz w:val="21"/>
        </w:rPr>
      </w:pPr>
      <w:r>
        <w:rPr>
          <w:spacing w:val="-3"/>
          <w:sz w:val="21"/>
        </w:rPr>
        <w:t>认可医院      指二级及以上非盈利性医院、二级及以上社保定点医院或本公司认可的其他医院，具体可登陆本公司主页</w:t>
      </w:r>
      <w:hyperlink r:id="rId9">
        <w:r>
          <w:rPr>
            <w:sz w:val="21"/>
          </w:rPr>
          <w:t>（www.newchinalife.com</w:t>
        </w:r>
      </w:hyperlink>
      <w:r>
        <w:rPr>
          <w:sz w:val="21"/>
        </w:rPr>
        <w:t>）</w:t>
      </w:r>
      <w:r>
        <w:rPr>
          <w:spacing w:val="-3"/>
          <w:sz w:val="21"/>
        </w:rPr>
        <w:t>查询或咨询本公司全国客户</w:t>
      </w:r>
      <w:r>
        <w:rPr>
          <w:spacing w:val="-13"/>
          <w:sz w:val="21"/>
        </w:rPr>
        <w:t>服务电话 </w:t>
      </w:r>
      <w:r>
        <w:rPr>
          <w:sz w:val="21"/>
        </w:rPr>
        <w:t>95567。</w:t>
      </w:r>
    </w:p>
    <w:p>
      <w:pPr>
        <w:pStyle w:val="BodyText"/>
        <w:spacing w:before="5"/>
        <w:rPr>
          <w:sz w:val="24"/>
        </w:rPr>
      </w:pPr>
    </w:p>
    <w:p>
      <w:pPr>
        <w:pStyle w:val="ListParagraph"/>
        <w:numPr>
          <w:ilvl w:val="1"/>
          <w:numId w:val="9"/>
        </w:numPr>
        <w:tabs>
          <w:tab w:pos="856" w:val="left" w:leader="none"/>
          <w:tab w:pos="857" w:val="left" w:leader="none"/>
          <w:tab w:pos="2406" w:val="left" w:leader="none"/>
        </w:tabs>
        <w:spacing w:line="273" w:lineRule="auto" w:before="0" w:after="0"/>
        <w:ind w:left="1986" w:right="220" w:hanging="1769"/>
        <w:jc w:val="left"/>
        <w:rPr>
          <w:sz w:val="21"/>
        </w:rPr>
      </w:pPr>
      <w:r>
        <w:rPr>
          <w:w w:val="100"/>
          <w:sz w:val="21"/>
        </w:rPr>
        <w:t>专科医生</w:t>
      </w:r>
      <w:r>
        <w:rPr>
          <w:sz w:val="21"/>
        </w:rPr>
        <w:tab/>
        <w:tab/>
      </w:r>
      <w:r>
        <w:rPr>
          <w:w w:val="100"/>
          <w:sz w:val="21"/>
        </w:rPr>
        <w:t>专科</w:t>
      </w:r>
      <w:r>
        <w:rPr>
          <w:spacing w:val="-3"/>
          <w:w w:val="100"/>
          <w:sz w:val="21"/>
        </w:rPr>
        <w:t>医</w:t>
      </w:r>
      <w:r>
        <w:rPr>
          <w:w w:val="100"/>
          <w:sz w:val="21"/>
        </w:rPr>
        <w:t>生</w:t>
      </w:r>
      <w:r>
        <w:rPr>
          <w:spacing w:val="-3"/>
          <w:w w:val="100"/>
          <w:sz w:val="21"/>
        </w:rPr>
        <w:t>应</w:t>
      </w:r>
      <w:r>
        <w:rPr>
          <w:w w:val="100"/>
          <w:sz w:val="21"/>
        </w:rPr>
        <w:t>当</w:t>
      </w:r>
      <w:r>
        <w:rPr>
          <w:spacing w:val="-3"/>
          <w:w w:val="100"/>
          <w:sz w:val="21"/>
        </w:rPr>
        <w:t>同</w:t>
      </w:r>
      <w:r>
        <w:rPr>
          <w:w w:val="100"/>
          <w:sz w:val="21"/>
        </w:rPr>
        <w:t>时</w:t>
      </w:r>
      <w:r>
        <w:rPr>
          <w:spacing w:val="-3"/>
          <w:w w:val="100"/>
          <w:sz w:val="21"/>
        </w:rPr>
        <w:t>满</w:t>
      </w:r>
      <w:r>
        <w:rPr>
          <w:w w:val="100"/>
          <w:sz w:val="21"/>
        </w:rPr>
        <w:t>足</w:t>
      </w:r>
      <w:r>
        <w:rPr>
          <w:spacing w:val="-3"/>
          <w:w w:val="100"/>
          <w:sz w:val="21"/>
        </w:rPr>
        <w:t>以</w:t>
      </w:r>
      <w:r>
        <w:rPr>
          <w:w w:val="100"/>
          <w:sz w:val="21"/>
        </w:rPr>
        <w:t>下四</w:t>
      </w:r>
      <w:r>
        <w:rPr>
          <w:spacing w:val="-3"/>
          <w:w w:val="100"/>
          <w:sz w:val="21"/>
        </w:rPr>
        <w:t>项</w:t>
      </w:r>
      <w:r>
        <w:rPr>
          <w:w w:val="100"/>
          <w:sz w:val="21"/>
        </w:rPr>
        <w:t>资</w:t>
      </w:r>
      <w:r>
        <w:rPr>
          <w:spacing w:val="-3"/>
          <w:w w:val="100"/>
          <w:sz w:val="21"/>
        </w:rPr>
        <w:t>格</w:t>
      </w:r>
      <w:r>
        <w:rPr>
          <w:w w:val="100"/>
          <w:sz w:val="21"/>
        </w:rPr>
        <w:t>条</w:t>
      </w:r>
      <w:r>
        <w:rPr>
          <w:spacing w:val="-3"/>
          <w:w w:val="100"/>
          <w:sz w:val="21"/>
        </w:rPr>
        <w:t>件</w:t>
      </w:r>
      <w:r>
        <w:rPr>
          <w:spacing w:val="-144"/>
          <w:w w:val="100"/>
          <w:sz w:val="21"/>
        </w:rPr>
        <w:t>：</w:t>
      </w:r>
      <w:r>
        <w:rPr>
          <w:spacing w:val="-3"/>
          <w:w w:val="100"/>
          <w:sz w:val="21"/>
        </w:rPr>
        <w:t>（</w:t>
      </w:r>
      <w:r>
        <w:rPr>
          <w:w w:val="100"/>
          <w:sz w:val="21"/>
        </w:rPr>
        <w:t>1</w:t>
      </w:r>
      <w:r>
        <w:rPr>
          <w:spacing w:val="-41"/>
          <w:w w:val="100"/>
          <w:sz w:val="21"/>
        </w:rPr>
        <w:t>）</w:t>
      </w:r>
      <w:r>
        <w:rPr>
          <w:w w:val="100"/>
          <w:sz w:val="21"/>
        </w:rPr>
        <w:t>具</w:t>
      </w:r>
      <w:r>
        <w:rPr>
          <w:spacing w:val="-3"/>
          <w:w w:val="100"/>
          <w:sz w:val="21"/>
        </w:rPr>
        <w:t>有</w:t>
      </w:r>
      <w:r>
        <w:rPr>
          <w:w w:val="100"/>
          <w:sz w:val="21"/>
        </w:rPr>
        <w:t>有效</w:t>
      </w:r>
      <w:r>
        <w:rPr>
          <w:spacing w:val="-3"/>
          <w:w w:val="100"/>
          <w:sz w:val="21"/>
        </w:rPr>
        <w:t>的</w:t>
      </w:r>
      <w:r>
        <w:rPr>
          <w:w w:val="100"/>
          <w:sz w:val="21"/>
        </w:rPr>
        <w:t>中</w:t>
      </w:r>
      <w:r>
        <w:rPr>
          <w:spacing w:val="-3"/>
          <w:w w:val="100"/>
          <w:sz w:val="21"/>
        </w:rPr>
        <w:t>华</w:t>
      </w:r>
      <w:r>
        <w:rPr>
          <w:w w:val="100"/>
          <w:sz w:val="21"/>
        </w:rPr>
        <w:t>人</w:t>
      </w:r>
      <w:r>
        <w:rPr>
          <w:spacing w:val="-3"/>
          <w:w w:val="100"/>
          <w:sz w:val="21"/>
        </w:rPr>
        <w:t>民</w:t>
      </w:r>
      <w:r>
        <w:rPr>
          <w:w w:val="100"/>
          <w:sz w:val="21"/>
        </w:rPr>
        <w:t>共</w:t>
      </w:r>
      <w:r>
        <w:rPr>
          <w:spacing w:val="-3"/>
          <w:w w:val="100"/>
          <w:sz w:val="21"/>
        </w:rPr>
        <w:t>和</w:t>
      </w:r>
      <w:r>
        <w:rPr>
          <w:spacing w:val="-41"/>
          <w:w w:val="100"/>
          <w:sz w:val="21"/>
        </w:rPr>
        <w:t>国</w:t>
      </w:r>
      <w:r>
        <w:rPr>
          <w:spacing w:val="-3"/>
          <w:w w:val="100"/>
          <w:sz w:val="21"/>
        </w:rPr>
        <w:t>《</w:t>
      </w:r>
      <w:r>
        <w:rPr>
          <w:w w:val="100"/>
          <w:sz w:val="21"/>
        </w:rPr>
        <w:t>医师资</w:t>
      </w:r>
      <w:r>
        <w:rPr>
          <w:spacing w:val="-3"/>
          <w:w w:val="100"/>
          <w:sz w:val="21"/>
        </w:rPr>
        <w:t>格</w:t>
      </w:r>
      <w:r>
        <w:rPr>
          <w:w w:val="100"/>
          <w:sz w:val="21"/>
        </w:rPr>
        <w:t>证</w:t>
      </w:r>
      <w:r>
        <w:rPr>
          <w:spacing w:val="-3"/>
          <w:w w:val="100"/>
          <w:sz w:val="21"/>
        </w:rPr>
        <w:t>书</w:t>
      </w:r>
      <w:r>
        <w:rPr>
          <w:spacing w:val="-106"/>
          <w:w w:val="100"/>
          <w:sz w:val="21"/>
        </w:rPr>
        <w:t>》；</w:t>
      </w:r>
      <w:r>
        <w:rPr>
          <w:spacing w:val="-3"/>
          <w:w w:val="100"/>
          <w:sz w:val="21"/>
        </w:rPr>
        <w:t>（</w:t>
      </w:r>
      <w:r>
        <w:rPr>
          <w:w w:val="100"/>
          <w:sz w:val="21"/>
        </w:rPr>
        <w:t>2</w:t>
      </w:r>
      <w:r>
        <w:rPr>
          <w:spacing w:val="-3"/>
          <w:w w:val="100"/>
          <w:sz w:val="21"/>
        </w:rPr>
        <w:t>）</w:t>
      </w:r>
      <w:r>
        <w:rPr>
          <w:w w:val="100"/>
          <w:sz w:val="21"/>
        </w:rPr>
        <w:t>具</w:t>
      </w:r>
      <w:r>
        <w:rPr>
          <w:spacing w:val="-3"/>
          <w:w w:val="100"/>
          <w:sz w:val="21"/>
        </w:rPr>
        <w:t>有有</w:t>
      </w:r>
      <w:r>
        <w:rPr>
          <w:w w:val="100"/>
          <w:sz w:val="21"/>
        </w:rPr>
        <w:t>效的</w:t>
      </w:r>
      <w:r>
        <w:rPr>
          <w:spacing w:val="-3"/>
          <w:w w:val="100"/>
          <w:sz w:val="21"/>
        </w:rPr>
        <w:t>中</w:t>
      </w:r>
      <w:r>
        <w:rPr>
          <w:w w:val="100"/>
          <w:sz w:val="21"/>
        </w:rPr>
        <w:t>华</w:t>
      </w:r>
      <w:r>
        <w:rPr>
          <w:spacing w:val="-3"/>
          <w:w w:val="100"/>
          <w:sz w:val="21"/>
        </w:rPr>
        <w:t>人</w:t>
      </w:r>
      <w:r>
        <w:rPr>
          <w:w w:val="100"/>
          <w:sz w:val="21"/>
        </w:rPr>
        <w:t>民</w:t>
      </w:r>
      <w:r>
        <w:rPr>
          <w:spacing w:val="-3"/>
          <w:w w:val="100"/>
          <w:sz w:val="21"/>
        </w:rPr>
        <w:t>共</w:t>
      </w:r>
      <w:r>
        <w:rPr>
          <w:w w:val="100"/>
          <w:sz w:val="21"/>
        </w:rPr>
        <w:t>和</w:t>
      </w:r>
      <w:r>
        <w:rPr>
          <w:spacing w:val="-3"/>
          <w:w w:val="100"/>
          <w:sz w:val="21"/>
        </w:rPr>
        <w:t>国</w:t>
      </w:r>
      <w:r>
        <w:rPr>
          <w:w w:val="100"/>
          <w:sz w:val="21"/>
        </w:rPr>
        <w:t>《</w:t>
      </w:r>
      <w:r>
        <w:rPr>
          <w:spacing w:val="-3"/>
          <w:w w:val="100"/>
          <w:sz w:val="21"/>
        </w:rPr>
        <w:t>医</w:t>
      </w:r>
      <w:r>
        <w:rPr>
          <w:w w:val="100"/>
          <w:sz w:val="21"/>
        </w:rPr>
        <w:t>师执</w:t>
      </w:r>
      <w:r>
        <w:rPr>
          <w:spacing w:val="-3"/>
          <w:w w:val="100"/>
          <w:sz w:val="21"/>
        </w:rPr>
        <w:t>业</w:t>
      </w:r>
      <w:r>
        <w:rPr>
          <w:w w:val="100"/>
          <w:sz w:val="21"/>
        </w:rPr>
        <w:t>证</w:t>
      </w:r>
      <w:r>
        <w:rPr>
          <w:spacing w:val="-3"/>
          <w:w w:val="100"/>
          <w:sz w:val="21"/>
        </w:rPr>
        <w:t>书</w:t>
      </w:r>
      <w:r>
        <w:rPr>
          <w:spacing w:val="-106"/>
          <w:w w:val="100"/>
          <w:sz w:val="21"/>
        </w:rPr>
        <w:t>》</w:t>
      </w:r>
      <w:r>
        <w:rPr>
          <w:spacing w:val="-3"/>
          <w:w w:val="100"/>
          <w:sz w:val="21"/>
        </w:rPr>
        <w:t>，</w:t>
      </w:r>
      <w:r>
        <w:rPr>
          <w:w w:val="100"/>
          <w:sz w:val="21"/>
        </w:rPr>
        <w:t>并</w:t>
      </w:r>
      <w:r>
        <w:rPr>
          <w:spacing w:val="-3"/>
          <w:w w:val="100"/>
          <w:sz w:val="21"/>
        </w:rPr>
        <w:t>按</w:t>
      </w:r>
      <w:r>
        <w:rPr>
          <w:w w:val="100"/>
          <w:sz w:val="21"/>
        </w:rPr>
        <w:t>期</w:t>
      </w:r>
      <w:r>
        <w:rPr>
          <w:spacing w:val="-3"/>
          <w:w w:val="100"/>
          <w:sz w:val="21"/>
        </w:rPr>
        <w:t>到相</w:t>
      </w:r>
      <w:r>
        <w:rPr>
          <w:w w:val="100"/>
          <w:sz w:val="21"/>
        </w:rPr>
        <w:t>关部门登</w:t>
      </w:r>
      <w:r>
        <w:rPr>
          <w:spacing w:val="-3"/>
          <w:w w:val="100"/>
          <w:sz w:val="21"/>
        </w:rPr>
        <w:t>记</w:t>
      </w:r>
      <w:r>
        <w:rPr>
          <w:w w:val="100"/>
          <w:sz w:val="21"/>
        </w:rPr>
        <w:t>注</w:t>
      </w:r>
      <w:r>
        <w:rPr>
          <w:spacing w:val="-3"/>
          <w:w w:val="100"/>
          <w:sz w:val="21"/>
        </w:rPr>
        <w:t>册</w:t>
      </w:r>
      <w:r>
        <w:rPr>
          <w:spacing w:val="-106"/>
          <w:w w:val="100"/>
          <w:sz w:val="21"/>
        </w:rPr>
        <w:t>；</w:t>
      </w:r>
      <w:r>
        <w:rPr>
          <w:w w:val="100"/>
          <w:sz w:val="21"/>
        </w:rPr>
        <w:t>（</w:t>
      </w:r>
      <w:r>
        <w:rPr>
          <w:spacing w:val="-3"/>
          <w:w w:val="100"/>
          <w:sz w:val="21"/>
        </w:rPr>
        <w:t>3</w:t>
      </w:r>
      <w:r>
        <w:rPr>
          <w:w w:val="100"/>
          <w:sz w:val="21"/>
        </w:rPr>
        <w:t>）</w:t>
      </w:r>
      <w:r>
        <w:rPr>
          <w:spacing w:val="-3"/>
          <w:w w:val="100"/>
          <w:sz w:val="21"/>
        </w:rPr>
        <w:t>具</w:t>
      </w:r>
      <w:r>
        <w:rPr>
          <w:w w:val="100"/>
          <w:sz w:val="21"/>
        </w:rPr>
        <w:t>有</w:t>
      </w:r>
      <w:r>
        <w:rPr>
          <w:spacing w:val="-3"/>
          <w:w w:val="100"/>
          <w:sz w:val="21"/>
        </w:rPr>
        <w:t>有</w:t>
      </w:r>
      <w:r>
        <w:rPr>
          <w:w w:val="100"/>
          <w:sz w:val="21"/>
        </w:rPr>
        <w:t>效的</w:t>
      </w:r>
      <w:r>
        <w:rPr>
          <w:spacing w:val="-3"/>
          <w:w w:val="100"/>
          <w:sz w:val="21"/>
        </w:rPr>
        <w:t>中</w:t>
      </w:r>
      <w:r>
        <w:rPr>
          <w:w w:val="100"/>
          <w:sz w:val="21"/>
        </w:rPr>
        <w:t>华</w:t>
      </w:r>
      <w:r>
        <w:rPr>
          <w:spacing w:val="-3"/>
          <w:w w:val="100"/>
          <w:sz w:val="21"/>
        </w:rPr>
        <w:t>人</w:t>
      </w:r>
      <w:r>
        <w:rPr>
          <w:w w:val="100"/>
          <w:sz w:val="21"/>
        </w:rPr>
        <w:t>民</w:t>
      </w:r>
      <w:r>
        <w:rPr>
          <w:spacing w:val="-3"/>
          <w:w w:val="100"/>
          <w:sz w:val="21"/>
        </w:rPr>
        <w:t>共</w:t>
      </w:r>
      <w:r>
        <w:rPr>
          <w:w w:val="100"/>
          <w:sz w:val="21"/>
        </w:rPr>
        <w:t>和</w:t>
      </w:r>
      <w:r>
        <w:rPr>
          <w:spacing w:val="-3"/>
          <w:w w:val="100"/>
          <w:sz w:val="21"/>
        </w:rPr>
        <w:t>国</w:t>
      </w:r>
      <w:r>
        <w:rPr>
          <w:w w:val="100"/>
          <w:sz w:val="21"/>
        </w:rPr>
        <w:t>主</w:t>
      </w:r>
      <w:r>
        <w:rPr>
          <w:spacing w:val="-3"/>
          <w:w w:val="100"/>
          <w:sz w:val="21"/>
        </w:rPr>
        <w:t>治</w:t>
      </w:r>
      <w:r>
        <w:rPr>
          <w:w w:val="100"/>
          <w:sz w:val="21"/>
        </w:rPr>
        <w:t>医师</w:t>
      </w:r>
      <w:r>
        <w:rPr>
          <w:spacing w:val="-3"/>
          <w:w w:val="100"/>
          <w:sz w:val="21"/>
        </w:rPr>
        <w:t>或</w:t>
      </w:r>
      <w:r>
        <w:rPr>
          <w:w w:val="100"/>
          <w:sz w:val="21"/>
        </w:rPr>
        <w:t>主</w:t>
      </w:r>
      <w:r>
        <w:rPr>
          <w:spacing w:val="-3"/>
          <w:w w:val="100"/>
          <w:sz w:val="21"/>
        </w:rPr>
        <w:t>治</w:t>
      </w:r>
      <w:r>
        <w:rPr>
          <w:w w:val="100"/>
          <w:sz w:val="21"/>
        </w:rPr>
        <w:t>医</w:t>
      </w:r>
      <w:r>
        <w:rPr>
          <w:spacing w:val="-3"/>
          <w:w w:val="100"/>
          <w:sz w:val="21"/>
        </w:rPr>
        <w:t>师</w:t>
      </w:r>
      <w:r>
        <w:rPr>
          <w:w w:val="100"/>
          <w:sz w:val="21"/>
        </w:rPr>
        <w:t>以</w:t>
      </w:r>
      <w:r>
        <w:rPr>
          <w:spacing w:val="-3"/>
          <w:w w:val="100"/>
          <w:sz w:val="21"/>
        </w:rPr>
        <w:t>上</w:t>
      </w:r>
      <w:r>
        <w:rPr>
          <w:w w:val="100"/>
          <w:sz w:val="21"/>
        </w:rPr>
        <w:t>职</w:t>
      </w:r>
      <w:r>
        <w:rPr>
          <w:spacing w:val="-3"/>
          <w:w w:val="100"/>
          <w:sz w:val="21"/>
        </w:rPr>
        <w:t>称</w:t>
      </w:r>
      <w:r>
        <w:rPr>
          <w:spacing w:val="-1"/>
          <w:w w:val="100"/>
          <w:sz w:val="21"/>
        </w:rPr>
        <w:t>的</w:t>
      </w:r>
      <w:r>
        <w:rPr>
          <w:w w:val="100"/>
          <w:sz w:val="21"/>
        </w:rPr>
        <w:t>《医师职</w:t>
      </w:r>
      <w:r>
        <w:rPr>
          <w:spacing w:val="-3"/>
          <w:w w:val="100"/>
          <w:sz w:val="21"/>
        </w:rPr>
        <w:t>称</w:t>
      </w:r>
      <w:r>
        <w:rPr>
          <w:w w:val="100"/>
          <w:sz w:val="21"/>
        </w:rPr>
        <w:t>证</w:t>
      </w:r>
      <w:r>
        <w:rPr>
          <w:spacing w:val="-3"/>
          <w:w w:val="100"/>
          <w:sz w:val="21"/>
        </w:rPr>
        <w:t>书</w:t>
      </w:r>
      <w:r>
        <w:rPr>
          <w:spacing w:val="-106"/>
          <w:w w:val="100"/>
          <w:sz w:val="21"/>
        </w:rPr>
        <w:t>》；</w:t>
      </w:r>
      <w:r>
        <w:rPr>
          <w:spacing w:val="-3"/>
          <w:w w:val="100"/>
          <w:sz w:val="21"/>
        </w:rPr>
        <w:t>（</w:t>
      </w:r>
      <w:r>
        <w:rPr>
          <w:w w:val="100"/>
          <w:sz w:val="21"/>
        </w:rPr>
        <w:t>4</w:t>
      </w:r>
      <w:r>
        <w:rPr>
          <w:spacing w:val="-3"/>
          <w:w w:val="100"/>
          <w:sz w:val="21"/>
        </w:rPr>
        <w:t>）</w:t>
      </w:r>
      <w:r>
        <w:rPr>
          <w:w w:val="100"/>
          <w:sz w:val="21"/>
        </w:rPr>
        <w:t>在</w:t>
      </w:r>
      <w:r>
        <w:rPr>
          <w:spacing w:val="-3"/>
          <w:w w:val="100"/>
          <w:sz w:val="21"/>
        </w:rPr>
        <w:t>二级</w:t>
      </w:r>
      <w:r>
        <w:rPr>
          <w:w w:val="100"/>
          <w:sz w:val="21"/>
        </w:rPr>
        <w:t>或二</w:t>
      </w:r>
      <w:r>
        <w:rPr>
          <w:spacing w:val="-3"/>
          <w:w w:val="100"/>
          <w:sz w:val="21"/>
        </w:rPr>
        <w:t>级</w:t>
      </w:r>
      <w:r>
        <w:rPr>
          <w:w w:val="100"/>
          <w:sz w:val="21"/>
        </w:rPr>
        <w:t>以</w:t>
      </w:r>
      <w:r>
        <w:rPr>
          <w:spacing w:val="-3"/>
          <w:w w:val="100"/>
          <w:sz w:val="21"/>
        </w:rPr>
        <w:t>上</w:t>
      </w:r>
      <w:r>
        <w:rPr>
          <w:w w:val="100"/>
          <w:sz w:val="21"/>
        </w:rPr>
        <w:t>医</w:t>
      </w:r>
      <w:r>
        <w:rPr>
          <w:spacing w:val="-3"/>
          <w:w w:val="100"/>
          <w:sz w:val="21"/>
        </w:rPr>
        <w:t>院</w:t>
      </w:r>
      <w:r>
        <w:rPr>
          <w:w w:val="100"/>
          <w:sz w:val="21"/>
        </w:rPr>
        <w:t>的</w:t>
      </w:r>
      <w:r>
        <w:rPr>
          <w:spacing w:val="-3"/>
          <w:w w:val="100"/>
          <w:sz w:val="21"/>
        </w:rPr>
        <w:t>相</w:t>
      </w:r>
      <w:r>
        <w:rPr>
          <w:w w:val="100"/>
          <w:sz w:val="21"/>
        </w:rPr>
        <w:t>应</w:t>
      </w:r>
      <w:r>
        <w:rPr>
          <w:spacing w:val="-3"/>
          <w:w w:val="100"/>
          <w:sz w:val="21"/>
        </w:rPr>
        <w:t>科</w:t>
      </w:r>
      <w:r>
        <w:rPr>
          <w:w w:val="100"/>
          <w:sz w:val="21"/>
        </w:rPr>
        <w:t>室从</w:t>
      </w:r>
      <w:r>
        <w:rPr>
          <w:spacing w:val="-3"/>
          <w:w w:val="100"/>
          <w:sz w:val="21"/>
        </w:rPr>
        <w:t>事</w:t>
      </w:r>
      <w:r>
        <w:rPr>
          <w:w w:val="100"/>
          <w:sz w:val="21"/>
        </w:rPr>
        <w:t>临</w:t>
      </w:r>
      <w:r>
        <w:rPr>
          <w:spacing w:val="-3"/>
          <w:w w:val="100"/>
          <w:sz w:val="21"/>
        </w:rPr>
        <w:t>床</w:t>
      </w:r>
      <w:r>
        <w:rPr>
          <w:w w:val="100"/>
          <w:sz w:val="21"/>
        </w:rPr>
        <w:t>工</w:t>
      </w:r>
      <w:r>
        <w:rPr>
          <w:spacing w:val="-3"/>
          <w:w w:val="100"/>
          <w:sz w:val="21"/>
        </w:rPr>
        <w:t>作</w:t>
      </w:r>
      <w:r>
        <w:rPr>
          <w:w w:val="100"/>
          <w:sz w:val="21"/>
        </w:rPr>
        <w:t>三</w:t>
      </w:r>
      <w:r>
        <w:rPr>
          <w:spacing w:val="-3"/>
          <w:w w:val="100"/>
          <w:sz w:val="21"/>
        </w:rPr>
        <w:t>年</w:t>
      </w:r>
      <w:r>
        <w:rPr>
          <w:w w:val="100"/>
          <w:sz w:val="21"/>
        </w:rPr>
        <w:t>以</w:t>
      </w:r>
      <w:r>
        <w:rPr>
          <w:spacing w:val="-3"/>
          <w:w w:val="100"/>
          <w:sz w:val="21"/>
        </w:rPr>
        <w:t>上</w:t>
      </w:r>
      <w:r>
        <w:rPr>
          <w:w w:val="100"/>
          <w:sz w:val="21"/>
        </w:rPr>
        <w:t>。</w:t>
      </w:r>
    </w:p>
    <w:p>
      <w:pPr>
        <w:pStyle w:val="BodyText"/>
        <w:spacing w:before="7"/>
      </w:pPr>
    </w:p>
    <w:p>
      <w:pPr>
        <w:spacing w:after="0"/>
        <w:sectPr>
          <w:pgSz w:w="11910" w:h="16840"/>
          <w:pgMar w:header="879" w:footer="999" w:top="1120" w:bottom="1180" w:left="1140" w:right="900"/>
        </w:sectPr>
      </w:pPr>
    </w:p>
    <w:p>
      <w:pPr>
        <w:pStyle w:val="ListParagraph"/>
        <w:numPr>
          <w:ilvl w:val="1"/>
          <w:numId w:val="9"/>
        </w:numPr>
        <w:tabs>
          <w:tab w:pos="857" w:val="left" w:leader="none"/>
        </w:tabs>
        <w:spacing w:line="273" w:lineRule="auto" w:before="37" w:after="0"/>
        <w:ind w:left="856" w:right="0" w:hanging="639"/>
        <w:jc w:val="both"/>
        <w:rPr>
          <w:sz w:val="21"/>
        </w:rPr>
      </w:pPr>
      <w:r>
        <w:rPr>
          <w:sz w:val="21"/>
        </w:rPr>
        <w:t>本合同所指的重大疾病</w:t>
      </w:r>
    </w:p>
    <w:p>
      <w:pPr>
        <w:pStyle w:val="BodyText"/>
        <w:spacing w:before="37"/>
        <w:ind w:left="217"/>
      </w:pPr>
      <w:r>
        <w:rPr/>
        <w:br w:type="column"/>
      </w:r>
      <w:r>
        <w:rPr/>
        <w:t>指下列疾病、疾病状态或手术：</w:t>
      </w:r>
    </w:p>
    <w:p>
      <w:pPr>
        <w:spacing w:after="0"/>
        <w:sectPr>
          <w:type w:val="continuous"/>
          <w:pgSz w:w="11910" w:h="16840"/>
          <w:pgMar w:top="1120" w:bottom="1180" w:left="1140" w:right="900"/>
          <w:cols w:num="2" w:equalWidth="0">
            <w:col w:w="1702" w:space="487"/>
            <w:col w:w="7681"/>
          </w:cols>
        </w:sectPr>
      </w:pPr>
    </w:p>
    <w:p>
      <w:pPr>
        <w:pStyle w:val="BodyText"/>
        <w:spacing w:before="8"/>
      </w:pPr>
    </w:p>
    <w:p>
      <w:pPr>
        <w:spacing w:after="0"/>
        <w:sectPr>
          <w:type w:val="continuous"/>
          <w:pgSz w:w="11910" w:h="16840"/>
          <w:pgMar w:top="1120" w:bottom="1180" w:left="1140" w:right="900"/>
        </w:sectPr>
      </w:pPr>
    </w:p>
    <w:p>
      <w:pPr>
        <w:pStyle w:val="BodyText"/>
        <w:spacing w:line="273" w:lineRule="auto"/>
        <w:ind w:left="856"/>
      </w:pPr>
      <w:r>
        <w:rPr/>
        <w:t>6.6.1 恶性肿瘤</w:t>
      </w:r>
    </w:p>
    <w:p>
      <w:pPr>
        <w:pStyle w:val="BodyText"/>
        <w:spacing w:line="273" w:lineRule="auto"/>
        <w:ind w:left="245" w:right="115" w:firstLine="420"/>
      </w:pPr>
      <w:r>
        <w:rPr/>
        <w:br w:type="column"/>
      </w:r>
      <w:r>
        <w:rPr>
          <w:spacing w:val="-3"/>
        </w:rPr>
        <w:t>指恶性细胞不受控制的进行性增长和扩散，浸润和破坏周围正常组织，可以经血</w:t>
      </w:r>
      <w:r>
        <w:rPr>
          <w:spacing w:val="-5"/>
        </w:rPr>
        <w:t>管、淋巴管和体腔扩散转移到身体其他部位的疾病。经病理学检查结果明确诊断，临</w:t>
      </w:r>
      <w:r>
        <w:rPr>
          <w:spacing w:val="-8"/>
        </w:rPr>
        <w:t>床诊断属于世界卫生组织《疾病和有关健康问题的国际统计分类》</w:t>
      </w:r>
      <w:r>
        <w:rPr/>
        <w:t>（ICD-10）的恶性</w:t>
      </w:r>
      <w:r>
        <w:rPr>
          <w:spacing w:val="-3"/>
        </w:rPr>
        <w:t>肿瘤范畴。</w:t>
      </w:r>
    </w:p>
    <w:p>
      <w:pPr>
        <w:pStyle w:val="BodyText"/>
        <w:spacing w:before="7"/>
        <w:ind w:left="667"/>
      </w:pPr>
      <w:r>
        <w:rPr/>
        <w:t>下列疾病不在保障范围内：</w:t>
      </w:r>
    </w:p>
    <w:p>
      <w:pPr>
        <w:pStyle w:val="BodyText"/>
        <w:spacing w:before="37"/>
        <w:ind w:left="667"/>
      </w:pPr>
      <w:r>
        <w:rPr/>
        <w:t>（1）原位癌；</w:t>
      </w:r>
    </w:p>
    <w:p>
      <w:pPr>
        <w:pStyle w:val="BodyText"/>
        <w:spacing w:before="37"/>
        <w:ind w:left="667"/>
      </w:pPr>
      <w:r>
        <w:rPr/>
        <w:t>（2）相当于 Binet 分期方案 A 期程度的慢性淋巴细胞白血病；</w:t>
      </w:r>
    </w:p>
    <w:p>
      <w:pPr>
        <w:pStyle w:val="BodyText"/>
        <w:spacing w:before="37"/>
        <w:ind w:left="667"/>
      </w:pPr>
      <w:r>
        <w:rPr/>
        <w:t>（3）相当于 Ann Arbor 分期方案 I 期程度的何杰金氏病；</w:t>
      </w:r>
    </w:p>
    <w:p>
      <w:pPr>
        <w:pStyle w:val="BodyText"/>
        <w:spacing w:before="37"/>
        <w:ind w:left="667"/>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ind w:left="245" w:right="302" w:firstLine="422"/>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r>
        <w:rPr>
          <w:spacing w:val="-2"/>
          <w:position w:val="1"/>
        </w:rPr>
        <w:t>如被保险人为女性，则不包</w:t>
      </w:r>
      <w:r>
        <w:rPr>
          <w:spacing w:val="-2"/>
          <w:w w:val="100"/>
        </w:rPr>
        <w:t>括该项</w:t>
      </w:r>
      <w:r>
        <w:rPr>
          <w:spacing w:val="-106"/>
          <w:w w:val="100"/>
        </w:rPr>
        <w:t>）</w:t>
      </w:r>
      <w:r>
        <w:rPr>
          <w:w w:val="100"/>
        </w:rPr>
        <w:t>；</w:t>
      </w:r>
    </w:p>
    <w:p>
      <w:pPr>
        <w:pStyle w:val="BodyText"/>
        <w:spacing w:before="7"/>
        <w:ind w:left="667"/>
      </w:pPr>
      <w:r>
        <w:rPr/>
        <w:t>（6）感染艾滋病病毒或患艾滋病期间所患恶性肿瘤。</w:t>
      </w:r>
    </w:p>
    <w:p>
      <w:pPr>
        <w:spacing w:after="0"/>
        <w:sectPr>
          <w:type w:val="continuous"/>
          <w:pgSz w:w="11910" w:h="16840"/>
          <w:pgMar w:top="1120" w:bottom="1180" w:left="1140" w:right="900"/>
          <w:cols w:num="2" w:equalWidth="0">
            <w:col w:w="1702" w:space="40"/>
            <w:col w:w="8128"/>
          </w:cols>
        </w:sectPr>
      </w:pPr>
    </w:p>
    <w:p>
      <w:pPr>
        <w:pStyle w:val="BodyText"/>
        <w:spacing w:before="11"/>
        <w:rPr>
          <w:sz w:val="23"/>
        </w:rPr>
      </w:pPr>
    </w:p>
    <w:p>
      <w:pPr>
        <w:spacing w:after="0"/>
        <w:rPr>
          <w:sz w:val="23"/>
        </w:rPr>
        <w:sectPr>
          <w:type w:val="continuous"/>
          <w:pgSz w:w="11910" w:h="16840"/>
          <w:pgMar w:top="1120" w:bottom="1180" w:left="1140" w:right="900"/>
        </w:sectPr>
      </w:pPr>
    </w:p>
    <w:p>
      <w:pPr>
        <w:pStyle w:val="ListParagraph"/>
        <w:numPr>
          <w:ilvl w:val="2"/>
          <w:numId w:val="9"/>
        </w:numPr>
        <w:tabs>
          <w:tab w:pos="1490" w:val="left" w:leader="none"/>
        </w:tabs>
        <w:spacing w:line="273" w:lineRule="auto" w:before="37" w:after="0"/>
        <w:ind w:left="856" w:right="0" w:firstLine="0"/>
        <w:jc w:val="both"/>
        <w:rPr>
          <w:sz w:val="21"/>
        </w:rPr>
      </w:pPr>
      <w:r>
        <w:rPr>
          <w:sz w:val="21"/>
        </w:rPr>
        <w:t>急性心肌梗塞</w:t>
      </w:r>
    </w:p>
    <w:p>
      <w:pPr>
        <w:pStyle w:val="BodyText"/>
        <w:spacing w:line="273" w:lineRule="auto" w:before="37"/>
        <w:ind w:left="245" w:right="96" w:firstLine="420"/>
      </w:pPr>
      <w:r>
        <w:rPr/>
        <w:br w:type="column"/>
      </w:r>
      <w:r>
        <w:rPr/>
        <w:t>指因冠状动脉阻塞导致的相应区域供血不足造成部分心肌坏死。须满足下列至少三项条件：</w:t>
      </w:r>
    </w:p>
    <w:p>
      <w:pPr>
        <w:pStyle w:val="BodyText"/>
        <w:spacing w:before="7"/>
        <w:ind w:left="665"/>
      </w:pPr>
      <w:r>
        <w:rPr/>
        <w:t>（1）典型临床表现，例如急性胸痛等；</w:t>
      </w:r>
    </w:p>
    <w:p>
      <w:pPr>
        <w:spacing w:after="0"/>
        <w:sectPr>
          <w:type w:val="continuous"/>
          <w:pgSz w:w="11910" w:h="16840"/>
          <w:pgMar w:top="1120" w:bottom="1180" w:left="1140" w:right="900"/>
          <w:cols w:num="2" w:equalWidth="0">
            <w:col w:w="1702" w:space="40"/>
            <w:col w:w="8128"/>
          </w:cols>
        </w:sectPr>
      </w:pPr>
    </w:p>
    <w:p>
      <w:pPr>
        <w:pStyle w:val="BodyText"/>
        <w:spacing w:before="2"/>
        <w:rPr>
          <w:sz w:val="19"/>
        </w:rPr>
      </w:pPr>
    </w:p>
    <w:p>
      <w:pPr>
        <w:pStyle w:val="BodyText"/>
        <w:spacing w:before="37"/>
        <w:ind w:left="2386"/>
      </w:pPr>
      <w:r>
        <w:rPr/>
        <w:t>（2）新近的心电图改变提示急性心肌梗塞；</w:t>
      </w:r>
    </w:p>
    <w:p>
      <w:pPr>
        <w:pStyle w:val="BodyText"/>
        <w:spacing w:line="273" w:lineRule="auto" w:before="37"/>
        <w:ind w:left="1966" w:right="194" w:firstLine="420"/>
      </w:pPr>
      <w:r>
        <w:rPr/>
        <w:t>（3）心肌酶或肌钙蛋白有诊断意义的升高，或呈符合急性心肌梗塞的动态性变化；</w:t>
      </w:r>
    </w:p>
    <w:p>
      <w:pPr>
        <w:pStyle w:val="BodyText"/>
        <w:spacing w:before="7"/>
        <w:ind w:left="2386"/>
      </w:pPr>
      <w:r>
        <w:rPr/>
        <w:t>（4）</w:t>
      </w:r>
      <w:r>
        <w:rPr>
          <w:spacing w:val="-16"/>
        </w:rPr>
        <w:t>发病 </w:t>
      </w:r>
      <w:r>
        <w:rPr/>
        <w:t>90</w:t>
      </w:r>
      <w:r>
        <w:rPr>
          <w:spacing w:val="-10"/>
        </w:rPr>
        <w:t> 天后，经检查证实左心室功能降低，如左心室射血分数低于 </w:t>
      </w:r>
      <w:r>
        <w:rPr/>
        <w:t>50％。</w:t>
      </w:r>
    </w:p>
    <w:p>
      <w:pPr>
        <w:pStyle w:val="BodyText"/>
        <w:spacing w:before="11"/>
        <w:rPr>
          <w:sz w:val="23"/>
        </w:rPr>
      </w:pPr>
    </w:p>
    <w:p>
      <w:pPr>
        <w:spacing w:after="0"/>
        <w:rPr>
          <w:sz w:val="23"/>
        </w:rPr>
        <w:sectPr>
          <w:pgSz w:w="11910" w:h="16840"/>
          <w:pgMar w:header="879" w:footer="999" w:top="1120" w:bottom="1180" w:left="1160" w:right="840"/>
        </w:sectPr>
      </w:pPr>
    </w:p>
    <w:p>
      <w:pPr>
        <w:pStyle w:val="ListParagraph"/>
        <w:numPr>
          <w:ilvl w:val="2"/>
          <w:numId w:val="9"/>
        </w:numPr>
        <w:tabs>
          <w:tab w:pos="1470" w:val="left" w:leader="none"/>
        </w:tabs>
        <w:spacing w:line="273" w:lineRule="auto" w:before="36" w:after="0"/>
        <w:ind w:left="836" w:right="0" w:firstLine="0"/>
        <w:jc w:val="both"/>
        <w:rPr>
          <w:sz w:val="21"/>
        </w:rPr>
      </w:pPr>
      <w:r>
        <w:rPr>
          <w:sz w:val="21"/>
        </w:rPr>
        <w:t>脑中风后遗症</w:t>
      </w:r>
    </w:p>
    <w:p>
      <w:pPr>
        <w:pStyle w:val="BodyText"/>
        <w:spacing w:line="273" w:lineRule="auto"/>
        <w:ind w:left="245" w:right="285" w:firstLine="420"/>
      </w:pPr>
      <w:r>
        <w:rPr/>
        <w:br w:type="column"/>
      </w:r>
      <w:r>
        <w:rPr/>
        <w:t>指因脑血管的突发病变引起脑血管出血、栓塞或梗塞，并导致神经系统永久性的功能障碍。</w:t>
      </w:r>
    </w:p>
    <w:p>
      <w:pPr>
        <w:pStyle w:val="BodyText"/>
        <w:spacing w:line="273" w:lineRule="auto" w:before="7"/>
        <w:ind w:left="245" w:right="237" w:firstLine="422"/>
      </w:pPr>
      <w:r>
        <w:rPr/>
        <w:t>神经系统永久性的功能障碍，指疾病确诊 180 天后，仍遗留下列一种或一种以上障碍：</w:t>
      </w:r>
    </w:p>
    <w:p>
      <w:pPr>
        <w:pStyle w:val="BodyText"/>
        <w:spacing w:before="7"/>
        <w:ind w:left="665"/>
      </w:pPr>
      <w:r>
        <w:rPr/>
        <w:t>（1）一肢或一肢以上肢体机能完全丧失；</w:t>
      </w:r>
    </w:p>
    <w:p>
      <w:pPr>
        <w:pStyle w:val="BodyText"/>
        <w:ind w:left="665"/>
      </w:pPr>
      <w:r>
        <w:rPr/>
        <w:t>（2）语言能力或咀嚼吞咽能力完全丧失；</w:t>
      </w:r>
    </w:p>
    <w:p>
      <w:pPr>
        <w:pStyle w:val="BodyText"/>
        <w:spacing w:line="273" w:lineRule="auto"/>
        <w:ind w:left="245" w:right="241" w:firstLine="420"/>
      </w:pPr>
      <w:r>
        <w:rPr/>
        <w:t>（3）自主生活能力完全丧失，无法独立完成六项基本日常生活活动中的三项或三项以上。</w:t>
      </w:r>
    </w:p>
    <w:p>
      <w:pPr>
        <w:spacing w:after="0" w:line="273" w:lineRule="auto"/>
        <w:sectPr>
          <w:type w:val="continuous"/>
          <w:pgSz w:w="11910" w:h="16840"/>
          <w:pgMar w:top="1120" w:bottom="1180" w:left="1160" w:right="840"/>
          <w:cols w:num="2" w:equalWidth="0">
            <w:col w:w="1682" w:space="40"/>
            <w:col w:w="8188"/>
          </w:cols>
        </w:sectPr>
      </w:pPr>
    </w:p>
    <w:p>
      <w:pPr>
        <w:pStyle w:val="BodyText"/>
        <w:spacing w:before="8"/>
      </w:pPr>
    </w:p>
    <w:p>
      <w:pPr>
        <w:spacing w:after="0"/>
        <w:sectPr>
          <w:type w:val="continuous"/>
          <w:pgSz w:w="11910" w:h="16840"/>
          <w:pgMar w:top="1120" w:bottom="1180" w:left="1160" w:right="840"/>
        </w:sectPr>
      </w:pPr>
    </w:p>
    <w:p>
      <w:pPr>
        <w:pStyle w:val="ListParagraph"/>
        <w:numPr>
          <w:ilvl w:val="2"/>
          <w:numId w:val="9"/>
        </w:numPr>
        <w:tabs>
          <w:tab w:pos="1470" w:val="left" w:leader="none"/>
        </w:tabs>
        <w:spacing w:line="273" w:lineRule="auto" w:before="36" w:after="0"/>
        <w:ind w:left="836" w:right="0" w:firstLine="0"/>
        <w:jc w:val="both"/>
        <w:rPr>
          <w:sz w:val="21"/>
        </w:rPr>
      </w:pPr>
      <w:r>
        <w:rPr>
          <w:sz w:val="21"/>
        </w:rPr>
        <w:t>重大器官移植术或造血干细胞移植术</w:t>
      </w:r>
    </w:p>
    <w:p>
      <w:pPr>
        <w:pStyle w:val="BodyText"/>
        <w:spacing w:line="273" w:lineRule="auto"/>
        <w:ind w:left="245" w:right="371" w:firstLine="420"/>
        <w:jc w:val="both"/>
      </w:pPr>
      <w:r>
        <w:rPr/>
        <w:br w:type="column"/>
      </w:r>
      <w:r>
        <w:rPr/>
        <w:t>重大器官移植术，指因相应器官功能衰竭，已经实施了肾脏、肝脏、心脏或肺脏的异体移植手术。</w:t>
      </w:r>
    </w:p>
    <w:p>
      <w:pPr>
        <w:pStyle w:val="BodyText"/>
        <w:spacing w:line="273" w:lineRule="auto" w:before="7"/>
        <w:ind w:left="245" w:right="369" w:firstLine="420"/>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1120" w:bottom="1180" w:left="1160" w:right="840"/>
          <w:cols w:num="2" w:equalWidth="0">
            <w:col w:w="1682" w:space="40"/>
            <w:col w:w="8188"/>
          </w:cols>
        </w:sectPr>
      </w:pPr>
    </w:p>
    <w:p>
      <w:pPr>
        <w:pStyle w:val="BodyText"/>
        <w:spacing w:before="8"/>
      </w:pPr>
    </w:p>
    <w:p>
      <w:pPr>
        <w:spacing w:after="0"/>
        <w:sectPr>
          <w:type w:val="continuous"/>
          <w:pgSz w:w="11910" w:h="16840"/>
          <w:pgMar w:top="1120" w:bottom="1180" w:left="1160" w:right="840"/>
        </w:sectPr>
      </w:pPr>
    </w:p>
    <w:p>
      <w:pPr>
        <w:pStyle w:val="ListParagraph"/>
        <w:numPr>
          <w:ilvl w:val="2"/>
          <w:numId w:val="9"/>
        </w:numPr>
        <w:tabs>
          <w:tab w:pos="1470" w:val="left" w:leader="none"/>
        </w:tabs>
        <w:spacing w:line="273" w:lineRule="auto" w:before="36" w:after="0"/>
        <w:ind w:left="836" w:right="0" w:firstLine="0"/>
        <w:jc w:val="both"/>
        <w:rPr>
          <w:sz w:val="21"/>
        </w:rPr>
      </w:pPr>
      <w:r>
        <w:rPr>
          <w:sz w:val="21"/>
        </w:rPr>
        <w:t>冠状动脉搭桥术（或称冠状动脉旁路移植术）</w:t>
      </w:r>
    </w:p>
    <w:p>
      <w:pPr>
        <w:pStyle w:val="BodyText"/>
        <w:spacing w:line="273" w:lineRule="auto"/>
        <w:ind w:left="667" w:right="157" w:hanging="3"/>
      </w:pPr>
      <w:r>
        <w:rPr/>
        <w:br w:type="column"/>
      </w:r>
      <w:r>
        <w:rPr/>
        <w:t>指为治疗严重的冠心病，实际实施了开胸进行的冠状动脉血管旁路移植的手术。冠状动脉支架植入术、心导管球囊扩张术、激光射频技术及其他非开胸的介入</w:t>
      </w:r>
    </w:p>
    <w:p>
      <w:pPr>
        <w:pStyle w:val="BodyText"/>
        <w:spacing w:before="7"/>
        <w:ind w:left="245"/>
      </w:pPr>
      <w:r>
        <w:rPr/>
        <w:t>手术、腔镜手术不在保障范围内。</w:t>
      </w:r>
    </w:p>
    <w:p>
      <w:pPr>
        <w:spacing w:after="0"/>
        <w:sectPr>
          <w:type w:val="continuous"/>
          <w:pgSz w:w="11910" w:h="16840"/>
          <w:pgMar w:top="1120" w:bottom="1180" w:left="1160" w:right="840"/>
          <w:cols w:num="2" w:equalWidth="0">
            <w:col w:w="1682" w:space="40"/>
            <w:col w:w="8188"/>
          </w:cols>
        </w:sectPr>
      </w:pPr>
    </w:p>
    <w:p>
      <w:pPr>
        <w:pStyle w:val="BodyText"/>
        <w:spacing w:before="8"/>
      </w:pPr>
    </w:p>
    <w:p>
      <w:pPr>
        <w:spacing w:after="0"/>
        <w:sectPr>
          <w:type w:val="continuous"/>
          <w:pgSz w:w="11910" w:h="16840"/>
          <w:pgMar w:top="1120" w:bottom="1180" w:left="1160" w:right="840"/>
        </w:sectPr>
      </w:pPr>
    </w:p>
    <w:p>
      <w:pPr>
        <w:pStyle w:val="ListParagraph"/>
        <w:numPr>
          <w:ilvl w:val="2"/>
          <w:numId w:val="9"/>
        </w:numPr>
        <w:tabs>
          <w:tab w:pos="1470" w:val="left" w:leader="none"/>
        </w:tabs>
        <w:spacing w:line="273" w:lineRule="auto" w:before="36" w:after="0"/>
        <w:ind w:left="836" w:right="0" w:firstLine="0"/>
        <w:jc w:val="both"/>
        <w:rPr>
          <w:sz w:val="21"/>
        </w:rPr>
      </w:pPr>
      <w:r>
        <w:rPr>
          <w:sz w:val="21"/>
        </w:rPr>
        <w:t>终末期肾病</w:t>
      </w:r>
    </w:p>
    <w:p>
      <w:pPr>
        <w:pStyle w:val="BodyText"/>
        <w:spacing w:line="273" w:lineRule="auto" w:before="7"/>
        <w:ind w:left="836"/>
        <w:jc w:val="both"/>
      </w:pPr>
      <w:r>
        <w:rPr/>
        <w:t>（或称慢性肾功能衰竭尿毒症期）</w:t>
      </w:r>
    </w:p>
    <w:p>
      <w:pPr>
        <w:pStyle w:val="BodyText"/>
        <w:spacing w:line="273" w:lineRule="auto"/>
        <w:ind w:left="245" w:right="280" w:firstLine="420"/>
      </w:pPr>
      <w:r>
        <w:rPr/>
        <w:br w:type="column"/>
      </w:r>
      <w:r>
        <w:rPr>
          <w:spacing w:val="-6"/>
        </w:rPr>
        <w:t>指双肾功能慢性不可逆性衰竭，达到尿毒症期，经诊断后已经进行了至少 </w:t>
      </w:r>
      <w:r>
        <w:rPr/>
        <w:t>90</w:t>
      </w:r>
      <w:r>
        <w:rPr>
          <w:spacing w:val="-21"/>
        </w:rPr>
        <w:t> 天</w:t>
      </w:r>
      <w:r>
        <w:rPr>
          <w:spacing w:val="-8"/>
        </w:rPr>
        <w:t>的规律性透析治疗或实施了肾脏移植手术。</w:t>
      </w:r>
    </w:p>
    <w:p>
      <w:pPr>
        <w:spacing w:after="0" w:line="273" w:lineRule="auto"/>
        <w:sectPr>
          <w:type w:val="continuous"/>
          <w:pgSz w:w="11910" w:h="16840"/>
          <w:pgMar w:top="1120" w:bottom="1180" w:left="1160" w:right="840"/>
          <w:cols w:num="2" w:equalWidth="0">
            <w:col w:w="1682" w:space="40"/>
            <w:col w:w="8188"/>
          </w:cols>
        </w:sectPr>
      </w:pPr>
    </w:p>
    <w:p>
      <w:pPr>
        <w:pStyle w:val="BodyText"/>
        <w:spacing w:before="8"/>
      </w:pPr>
    </w:p>
    <w:p>
      <w:pPr>
        <w:spacing w:after="0"/>
        <w:sectPr>
          <w:type w:val="continuous"/>
          <w:pgSz w:w="11910" w:h="16840"/>
          <w:pgMar w:top="1120" w:bottom="1180" w:left="1160" w:right="840"/>
        </w:sectPr>
      </w:pPr>
    </w:p>
    <w:p>
      <w:pPr>
        <w:pStyle w:val="ListParagraph"/>
        <w:numPr>
          <w:ilvl w:val="2"/>
          <w:numId w:val="9"/>
        </w:numPr>
        <w:tabs>
          <w:tab w:pos="1470" w:val="left" w:leader="none"/>
        </w:tabs>
        <w:spacing w:line="273" w:lineRule="auto" w:before="36" w:after="0"/>
        <w:ind w:left="836" w:right="0" w:firstLine="0"/>
        <w:jc w:val="both"/>
        <w:rPr>
          <w:sz w:val="21"/>
        </w:rPr>
      </w:pPr>
      <w:r>
        <w:rPr>
          <w:sz w:val="21"/>
        </w:rPr>
        <w:t>多个肢体缺失</w:t>
      </w:r>
    </w:p>
    <w:p>
      <w:pPr>
        <w:pStyle w:val="BodyText"/>
        <w:spacing w:line="273" w:lineRule="auto"/>
        <w:ind w:left="245" w:right="371" w:firstLine="420"/>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120" w:bottom="1180" w:left="1160" w:right="840"/>
          <w:cols w:num="2" w:equalWidth="0">
            <w:col w:w="1682" w:space="40"/>
            <w:col w:w="8188"/>
          </w:cols>
        </w:sectPr>
      </w:pPr>
    </w:p>
    <w:p>
      <w:pPr>
        <w:pStyle w:val="BodyText"/>
        <w:spacing w:before="8"/>
      </w:pPr>
    </w:p>
    <w:p>
      <w:pPr>
        <w:spacing w:after="0"/>
        <w:sectPr>
          <w:type w:val="continuous"/>
          <w:pgSz w:w="11910" w:h="16840"/>
          <w:pgMar w:top="1120" w:bottom="1180" w:left="1160" w:right="840"/>
        </w:sectPr>
      </w:pPr>
    </w:p>
    <w:p>
      <w:pPr>
        <w:pStyle w:val="ListParagraph"/>
        <w:numPr>
          <w:ilvl w:val="2"/>
          <w:numId w:val="9"/>
        </w:numPr>
        <w:tabs>
          <w:tab w:pos="1470" w:val="left" w:leader="none"/>
        </w:tabs>
        <w:spacing w:line="273" w:lineRule="auto" w:before="36" w:after="0"/>
        <w:ind w:left="836" w:right="0" w:firstLine="0"/>
        <w:jc w:val="both"/>
        <w:rPr>
          <w:sz w:val="21"/>
        </w:rPr>
      </w:pPr>
      <w:r>
        <w:rPr>
          <w:sz w:val="21"/>
        </w:rPr>
        <w:t>急性或亚急性重症肝炎</w:t>
      </w:r>
    </w:p>
    <w:p>
      <w:pPr>
        <w:pStyle w:val="BodyText"/>
        <w:spacing w:line="273" w:lineRule="auto"/>
        <w:ind w:left="245" w:right="371" w:firstLine="420"/>
      </w:pPr>
      <w:r>
        <w:rPr/>
        <w:br w:type="column"/>
      </w:r>
      <w:r>
        <w:rPr/>
        <w:t>指因肝炎病毒感染引起肝脏组织弥漫性坏死，导致急性肝功能衰竭，且经血清学或病毒学检查证实，并须满足下列全部条件：</w:t>
      </w:r>
    </w:p>
    <w:p>
      <w:pPr>
        <w:pStyle w:val="BodyText"/>
        <w:spacing w:before="7"/>
        <w:ind w:left="665"/>
      </w:pPr>
      <w:r>
        <w:rPr/>
        <w:t>（1）重度黄疸或黄疸迅速加重；</w:t>
      </w:r>
    </w:p>
    <w:p>
      <w:pPr>
        <w:pStyle w:val="BodyText"/>
        <w:ind w:left="665"/>
      </w:pPr>
      <w:r>
        <w:rPr/>
        <w:t>（2）肝性脑病；</w:t>
      </w:r>
    </w:p>
    <w:p>
      <w:pPr>
        <w:pStyle w:val="BodyText"/>
        <w:ind w:left="665"/>
      </w:pPr>
      <w:r>
        <w:rPr/>
        <w:t>（3）B 超或其他影像学检查显示肝脏体积急速萎缩；</w:t>
      </w:r>
    </w:p>
    <w:p>
      <w:pPr>
        <w:pStyle w:val="BodyText"/>
        <w:ind w:left="665"/>
      </w:pPr>
      <w:r>
        <w:rPr/>
        <w:t>（4）肝功能指标进行性恶化。</w:t>
      </w:r>
    </w:p>
    <w:p>
      <w:pPr>
        <w:spacing w:after="0"/>
        <w:sectPr>
          <w:type w:val="continuous"/>
          <w:pgSz w:w="11910" w:h="16840"/>
          <w:pgMar w:top="1120" w:bottom="1180" w:left="1160" w:right="840"/>
          <w:cols w:num="2" w:equalWidth="0">
            <w:col w:w="1682" w:space="40"/>
            <w:col w:w="8188"/>
          </w:cols>
        </w:sectPr>
      </w:pPr>
    </w:p>
    <w:p>
      <w:pPr>
        <w:pStyle w:val="BodyText"/>
        <w:spacing w:before="0"/>
        <w:rPr>
          <w:sz w:val="20"/>
        </w:rPr>
      </w:pPr>
    </w:p>
    <w:p>
      <w:pPr>
        <w:pStyle w:val="BodyText"/>
        <w:spacing w:before="0"/>
        <w:rPr>
          <w:sz w:val="23"/>
        </w:rPr>
      </w:pPr>
    </w:p>
    <w:p>
      <w:pPr>
        <w:spacing w:after="0"/>
        <w:rPr>
          <w:sz w:val="23"/>
        </w:rPr>
        <w:sectPr>
          <w:pgSz w:w="11910" w:h="16840"/>
          <w:pgMar w:header="879" w:footer="999" w:top="1120" w:bottom="1180" w:left="1160" w:right="900"/>
        </w:sectPr>
      </w:pPr>
    </w:p>
    <w:p>
      <w:pPr>
        <w:pStyle w:val="ListParagraph"/>
        <w:numPr>
          <w:ilvl w:val="2"/>
          <w:numId w:val="9"/>
        </w:numPr>
        <w:tabs>
          <w:tab w:pos="1470" w:val="left" w:leader="none"/>
        </w:tabs>
        <w:spacing w:line="273" w:lineRule="auto" w:before="37" w:after="0"/>
        <w:ind w:left="836" w:right="0" w:firstLine="0"/>
        <w:jc w:val="left"/>
        <w:rPr>
          <w:sz w:val="21"/>
        </w:rPr>
      </w:pPr>
      <w:r>
        <w:rPr>
          <w:sz w:val="21"/>
        </w:rPr>
        <w:t>良性脑肿瘤</w:t>
      </w:r>
    </w:p>
    <w:p>
      <w:pPr>
        <w:pStyle w:val="BodyText"/>
        <w:spacing w:line="273" w:lineRule="auto" w:before="37"/>
        <w:ind w:left="245" w:right="218" w:firstLine="420"/>
      </w:pPr>
      <w:r>
        <w:rPr/>
        <w:br w:type="column"/>
      </w:r>
      <w:r>
        <w:rPr>
          <w:spacing w:val="-3"/>
        </w:rPr>
        <w:t>指脑的良性肿瘤，已经引起颅内压增高，临床表现为视神经乳头水肿、精神症</w:t>
      </w:r>
      <w:r>
        <w:rPr>
          <w:spacing w:val="-4"/>
          <w:w w:val="100"/>
        </w:rPr>
        <w:t>状、癫痫及运动感觉障碍等，并危及生命。须由头颅断层扫描</w:t>
      </w:r>
      <w:r>
        <w:rPr>
          <w:w w:val="100"/>
        </w:rPr>
        <w:t>（C</w:t>
      </w:r>
      <w:r>
        <w:rPr>
          <w:spacing w:val="-3"/>
          <w:w w:val="100"/>
        </w:rPr>
        <w:t>T</w:t>
      </w:r>
      <w:r>
        <w:rPr>
          <w:spacing w:val="-106"/>
          <w:w w:val="100"/>
        </w:rPr>
        <w:t>）</w:t>
      </w:r>
      <w:r>
        <w:rPr>
          <w:spacing w:val="-3"/>
          <w:w w:val="100"/>
        </w:rPr>
        <w:t>、核磁共振检查</w:t>
      </w:r>
    </w:p>
    <w:p>
      <w:pPr>
        <w:pStyle w:val="BodyText"/>
        <w:spacing w:line="273" w:lineRule="auto" w:before="8"/>
        <w:ind w:left="245" w:right="314"/>
      </w:pPr>
      <w:r>
        <w:rPr/>
        <w:t>（MRI）或正电子发射断层扫描（PET）等影像学检查证实，并须满足下列至少一项条件：</w:t>
      </w:r>
    </w:p>
    <w:p>
      <w:pPr>
        <w:pStyle w:val="BodyText"/>
        <w:spacing w:before="8"/>
        <w:ind w:left="665"/>
      </w:pPr>
      <w:r>
        <w:rPr/>
        <w:t>（1）实际实施了开颅进行的脑肿瘤完全切除或部分切除的手术；</w:t>
      </w:r>
    </w:p>
    <w:p>
      <w:pPr>
        <w:pStyle w:val="BodyText"/>
        <w:spacing w:before="37"/>
        <w:ind w:left="665"/>
      </w:pPr>
      <w:r>
        <w:rPr/>
        <w:t>（2）实际实施了对脑肿瘤进行的放射治疗。</w:t>
      </w:r>
    </w:p>
    <w:p>
      <w:pPr>
        <w:pStyle w:val="BodyText"/>
        <w:spacing w:before="37"/>
        <w:ind w:left="667"/>
      </w:pPr>
      <w:r>
        <w:rPr/>
        <w:t>脑垂体瘤、脑囊肿、脑血管性疾病不在保障范围内。</w:t>
      </w:r>
    </w:p>
    <w:p>
      <w:pPr>
        <w:spacing w:after="0"/>
        <w:sectPr>
          <w:type w:val="continuous"/>
          <w:pgSz w:w="11910" w:h="16840"/>
          <w:pgMar w:top="1120" w:bottom="1180" w:left="1160" w:right="900"/>
          <w:cols w:num="2" w:equalWidth="0">
            <w:col w:w="1682" w:space="40"/>
            <w:col w:w="8128"/>
          </w:cols>
        </w:sectPr>
      </w:pPr>
    </w:p>
    <w:p>
      <w:pPr>
        <w:pStyle w:val="BodyText"/>
        <w:spacing w:before="12"/>
        <w:rPr>
          <w:sz w:val="23"/>
        </w:rPr>
      </w:pPr>
    </w:p>
    <w:p>
      <w:pPr>
        <w:spacing w:after="0"/>
        <w:rPr>
          <w:sz w:val="23"/>
        </w:rPr>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before="37"/>
        <w:ind w:left="836"/>
        <w:jc w:val="both"/>
      </w:pPr>
      <w:r>
        <w:rPr/>
        <w:t>慢性肝功能衰竭失代偿期</w:t>
      </w:r>
    </w:p>
    <w:p>
      <w:pPr>
        <w:pStyle w:val="BodyText"/>
        <w:ind w:left="665"/>
      </w:pPr>
      <w:r>
        <w:rPr/>
        <w:br w:type="column"/>
      </w:r>
      <w:r>
        <w:rPr/>
        <w:t>指因慢性肝脏疾病导致肝功能衰竭。须满足下列全部条件：</w:t>
      </w:r>
    </w:p>
    <w:p>
      <w:pPr>
        <w:pStyle w:val="BodyText"/>
        <w:spacing w:before="37"/>
        <w:ind w:left="665"/>
      </w:pPr>
      <w:r>
        <w:rPr/>
        <w:t>（1）持续性黄疸；</w:t>
      </w:r>
    </w:p>
    <w:p>
      <w:pPr>
        <w:pStyle w:val="BodyText"/>
        <w:spacing w:before="37"/>
        <w:ind w:left="665"/>
      </w:pPr>
      <w:r>
        <w:rPr/>
        <w:t>（2）腹水；</w:t>
      </w:r>
    </w:p>
    <w:p>
      <w:pPr>
        <w:pStyle w:val="BodyText"/>
        <w:spacing w:before="37"/>
        <w:ind w:left="665"/>
      </w:pPr>
      <w:r>
        <w:rPr/>
        <w:t>（3）肝性脑病；</w:t>
      </w:r>
    </w:p>
    <w:p>
      <w:pPr>
        <w:pStyle w:val="BodyText"/>
        <w:spacing w:line="273" w:lineRule="auto" w:before="37"/>
        <w:ind w:left="667" w:right="2308" w:hanging="3"/>
      </w:pPr>
      <w:r>
        <w:rPr/>
        <w:t>（4）充血性脾肿大伴脾功能亢进或食管胃底静脉曲张。因酗酒或药物滥用导致的肝功能衰竭不在保障范围内。</w:t>
      </w:r>
    </w:p>
    <w:p>
      <w:pPr>
        <w:spacing w:after="0" w:line="273" w:lineRule="auto"/>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ind w:left="836"/>
        <w:jc w:val="both"/>
      </w:pPr>
      <w:r>
        <w:rPr/>
        <w:t>脑炎后遗症或脑膜炎后遗症</w:t>
      </w:r>
    </w:p>
    <w:p>
      <w:pPr>
        <w:pStyle w:val="BodyText"/>
        <w:spacing w:line="273" w:lineRule="auto"/>
        <w:ind w:left="245" w:right="225" w:firstLine="420"/>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665"/>
      </w:pPr>
      <w:r>
        <w:rPr/>
        <w:t>（1）一肢或一肢以上肢体机能完全丧失；</w:t>
      </w:r>
    </w:p>
    <w:p>
      <w:pPr>
        <w:pStyle w:val="BodyText"/>
        <w:spacing w:before="37"/>
        <w:ind w:left="665"/>
      </w:pPr>
      <w:r>
        <w:rPr/>
        <w:t>（2）语言能力或咀嚼吞咽能力完全丧失；</w:t>
      </w:r>
    </w:p>
    <w:p>
      <w:pPr>
        <w:pStyle w:val="BodyText"/>
        <w:spacing w:line="273" w:lineRule="auto" w:before="37"/>
        <w:ind w:left="245" w:right="181" w:firstLine="420"/>
      </w:pPr>
      <w:r>
        <w:rPr/>
        <w:t>（3）自主生活能力完全丧失，无法独立完成六项基本日常生活活动中的三项或三项以上。</w:t>
      </w:r>
    </w:p>
    <w:p>
      <w:pPr>
        <w:spacing w:after="0" w:line="273" w:lineRule="auto"/>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ind w:left="836"/>
      </w:pPr>
      <w:r>
        <w:rPr/>
        <w:t>深度昏迷</w:t>
      </w:r>
    </w:p>
    <w:p>
      <w:pPr>
        <w:pStyle w:val="BodyText"/>
        <w:spacing w:line="273" w:lineRule="auto"/>
        <w:ind w:left="245" w:right="220" w:firstLine="420"/>
        <w:jc w:val="both"/>
      </w:pPr>
      <w:r>
        <w:rPr/>
        <w:br w:type="column"/>
      </w:r>
      <w:r>
        <w:rPr/>
        <w:t>指因疾病或意外伤害导致意识丧失,对外界刺激和体内需求均无反应,昏迷程度</w:t>
      </w:r>
      <w:r>
        <w:rPr>
          <w:spacing w:val="-3"/>
        </w:rPr>
        <w:t>按照格拉斯哥昏迷分级</w:t>
      </w:r>
      <w:r>
        <w:rPr/>
        <w:t>（Glasgow coma</w:t>
      </w:r>
      <w:r>
        <w:rPr>
          <w:spacing w:val="0"/>
        </w:rPr>
        <w:t>  </w:t>
      </w:r>
      <w:r>
        <w:rPr/>
        <w:t>scale）</w:t>
      </w:r>
      <w:r>
        <w:rPr>
          <w:spacing w:val="-9"/>
        </w:rPr>
        <w:t>结果为 </w:t>
      </w:r>
      <w:r>
        <w:rPr/>
        <w:t>5</w:t>
      </w:r>
      <w:r>
        <w:rPr>
          <w:spacing w:val="-15"/>
        </w:rPr>
        <w:t> 分或 </w:t>
      </w:r>
      <w:r>
        <w:rPr/>
        <w:t>5</w:t>
      </w:r>
      <w:r>
        <w:rPr>
          <w:spacing w:val="-7"/>
        </w:rPr>
        <w:t> 分以下，且已经</w:t>
      </w:r>
      <w:r>
        <w:rPr>
          <w:spacing w:val="-8"/>
        </w:rPr>
        <w:t>持续使用呼吸机及其他生命维持系统 </w:t>
      </w:r>
      <w:r>
        <w:rPr/>
        <w:t>96</w:t>
      </w:r>
      <w:r>
        <w:rPr>
          <w:spacing w:val="-10"/>
        </w:rPr>
        <w:t> 小时以上。</w:t>
      </w:r>
    </w:p>
    <w:p>
      <w:pPr>
        <w:pStyle w:val="BodyText"/>
        <w:spacing w:before="7"/>
        <w:ind w:left="667"/>
      </w:pPr>
      <w:r>
        <w:rPr/>
        <w:t>因酗酒或药物滥用导致的深度昏迷不在保障范围内。</w:t>
      </w:r>
    </w:p>
    <w:p>
      <w:pPr>
        <w:spacing w:after="0"/>
        <w:sectPr>
          <w:type w:val="continuous"/>
          <w:pgSz w:w="11910" w:h="16840"/>
          <w:pgMar w:top="1120" w:bottom="1180" w:left="1160" w:right="900"/>
          <w:cols w:num="2" w:equalWidth="0">
            <w:col w:w="1682" w:space="40"/>
            <w:col w:w="8128"/>
          </w:cols>
        </w:sectPr>
      </w:pPr>
    </w:p>
    <w:p>
      <w:pPr>
        <w:pStyle w:val="BodyText"/>
        <w:spacing w:before="11"/>
        <w:rPr>
          <w:sz w:val="23"/>
        </w:rPr>
      </w:pPr>
    </w:p>
    <w:p>
      <w:pPr>
        <w:spacing w:after="0"/>
        <w:rPr>
          <w:sz w:val="23"/>
        </w:rPr>
        <w:sectPr>
          <w:type w:val="continuous"/>
          <w:pgSz w:w="11910" w:h="16840"/>
          <w:pgMar w:top="1120" w:bottom="1180" w:left="1160" w:right="900"/>
        </w:sectPr>
      </w:pPr>
    </w:p>
    <w:p>
      <w:pPr>
        <w:pStyle w:val="ListParagraph"/>
        <w:numPr>
          <w:ilvl w:val="2"/>
          <w:numId w:val="9"/>
        </w:numPr>
        <w:tabs>
          <w:tab w:pos="1474" w:val="left" w:leader="none"/>
        </w:tabs>
        <w:spacing w:line="240" w:lineRule="auto" w:before="37" w:after="0"/>
        <w:ind w:left="1473" w:right="0" w:hanging="637"/>
        <w:jc w:val="left"/>
        <w:rPr>
          <w:sz w:val="21"/>
        </w:rPr>
      </w:pPr>
    </w:p>
    <w:p>
      <w:pPr>
        <w:pStyle w:val="BodyText"/>
        <w:spacing w:before="37"/>
        <w:ind w:left="836"/>
      </w:pPr>
      <w:r>
        <w:rPr/>
        <w:t>双耳失聪</w:t>
      </w:r>
    </w:p>
    <w:p>
      <w:pPr>
        <w:pStyle w:val="BodyText"/>
        <w:spacing w:line="273" w:lineRule="auto" w:before="37"/>
        <w:ind w:left="245" w:right="218" w:firstLine="420"/>
        <w:jc w:val="both"/>
      </w:pPr>
      <w:r>
        <w:rPr/>
        <w:br w:type="column"/>
      </w:r>
      <w:r>
        <w:rPr>
          <w:spacing w:val="-4"/>
        </w:rPr>
        <w:t>指因疾病或意外伤害导致双耳听力永久不可逆性丧失，在 </w:t>
      </w:r>
      <w:r>
        <w:rPr/>
        <w:t>500</w:t>
      </w:r>
      <w:r>
        <w:rPr>
          <w:spacing w:val="-9"/>
        </w:rPr>
        <w:t> 赫兹、</w:t>
      </w:r>
      <w:r>
        <w:rPr/>
        <w:t>1000</w:t>
      </w:r>
      <w:r>
        <w:rPr>
          <w:spacing w:val="-12"/>
        </w:rPr>
        <w:t> 赫兹</w:t>
      </w:r>
      <w:r>
        <w:rPr>
          <w:spacing w:val="-1"/>
        </w:rPr>
        <w:t>和 </w:t>
      </w:r>
      <w:r>
        <w:rPr/>
        <w:t>2000</w:t>
      </w:r>
      <w:r>
        <w:rPr>
          <w:spacing w:val="-6"/>
        </w:rPr>
        <w:t> 赫兹语音频率下，平均听阈大于 </w:t>
      </w:r>
      <w:r>
        <w:rPr/>
        <w:t>90</w:t>
      </w:r>
      <w:r>
        <w:rPr>
          <w:spacing w:val="-9"/>
        </w:rPr>
        <w:t> 分贝，且经纯音听力测试、声导抗检测</w:t>
      </w:r>
      <w:r>
        <w:rPr>
          <w:spacing w:val="-3"/>
        </w:rPr>
        <w:t>或听觉诱发电位检测等证实。</w:t>
      </w:r>
    </w:p>
    <w:p>
      <w:pPr>
        <w:spacing w:after="0" w:line="273" w:lineRule="auto"/>
        <w:jc w:val="both"/>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ind w:left="836"/>
      </w:pPr>
      <w:r>
        <w:rPr/>
        <w:t>双目失明</w:t>
      </w:r>
    </w:p>
    <w:p>
      <w:pPr>
        <w:pStyle w:val="BodyText"/>
        <w:spacing w:line="273" w:lineRule="auto"/>
        <w:ind w:left="245" w:right="225" w:firstLine="420"/>
      </w:pPr>
      <w:r>
        <w:rPr/>
        <w:br w:type="column"/>
      </w:r>
      <w:r>
        <w:rPr/>
        <w:t>指因疾病或意外伤害导致双眼视力永久不可逆性丧失，双眼中较好眼须满足下列至少一项条件：</w:t>
      </w:r>
    </w:p>
    <w:p>
      <w:pPr>
        <w:pStyle w:val="BodyText"/>
        <w:spacing w:before="7"/>
        <w:ind w:left="665"/>
      </w:pPr>
      <w:r>
        <w:rPr/>
        <w:t>（1）眼球缺失或摘除；</w:t>
      </w:r>
    </w:p>
    <w:p>
      <w:pPr>
        <w:pStyle w:val="BodyText"/>
        <w:spacing w:before="37"/>
        <w:ind w:left="665"/>
      </w:pPr>
      <w:r>
        <w:rPr>
          <w:w w:val="100"/>
        </w:rPr>
        <w:t>（2</w:t>
      </w:r>
      <w:r>
        <w:rPr>
          <w:spacing w:val="-94"/>
          <w:w w:val="100"/>
        </w:rPr>
        <w:t>）</w:t>
      </w:r>
      <w:r>
        <w:rPr>
          <w:spacing w:val="-3"/>
          <w:w w:val="100"/>
        </w:rPr>
        <w:t>矫正视力低于</w:t>
      </w:r>
      <w:r>
        <w:rPr>
          <w:spacing w:val="-55"/>
        </w:rPr>
        <w:t> </w:t>
      </w:r>
      <w:r>
        <w:rPr>
          <w:w w:val="100"/>
        </w:rPr>
        <w:t>0.0</w:t>
      </w:r>
      <w:r>
        <w:rPr>
          <w:spacing w:val="-94"/>
          <w:w w:val="100"/>
        </w:rPr>
        <w:t>2</w:t>
      </w:r>
      <w:r>
        <w:rPr>
          <w:spacing w:val="-3"/>
          <w:w w:val="100"/>
        </w:rPr>
        <w:t>（</w:t>
      </w:r>
      <w:r>
        <w:rPr>
          <w:spacing w:val="-12"/>
          <w:w w:val="100"/>
        </w:rPr>
        <w:t>采用国际标准视力表，如使用其他视力表应进行换算</w:t>
      </w:r>
      <w:r>
        <w:rPr>
          <w:spacing w:val="-108"/>
          <w:w w:val="100"/>
        </w:rPr>
        <w:t>）</w:t>
      </w:r>
      <w:r>
        <w:rPr>
          <w:w w:val="100"/>
        </w:rPr>
        <w:t>；</w:t>
      </w:r>
    </w:p>
    <w:p>
      <w:pPr>
        <w:pStyle w:val="BodyText"/>
        <w:spacing w:before="37"/>
        <w:ind w:left="665"/>
      </w:pPr>
      <w:r>
        <w:rPr/>
        <w:t>（3）视野半径小于 5 度。</w:t>
      </w:r>
    </w:p>
    <w:p>
      <w:pPr>
        <w:spacing w:after="0"/>
        <w:sectPr>
          <w:type w:val="continuous"/>
          <w:pgSz w:w="11910" w:h="16840"/>
          <w:pgMar w:top="1120" w:bottom="1180" w:left="1160" w:right="900"/>
          <w:cols w:num="2" w:equalWidth="0">
            <w:col w:w="1682" w:space="40"/>
            <w:col w:w="8128"/>
          </w:cols>
        </w:sectPr>
      </w:pPr>
    </w:p>
    <w:p>
      <w:pPr>
        <w:pStyle w:val="BodyText"/>
        <w:spacing w:before="11"/>
        <w:rPr>
          <w:sz w:val="23"/>
        </w:rPr>
      </w:pPr>
    </w:p>
    <w:p>
      <w:pPr>
        <w:spacing w:after="0"/>
        <w:rPr>
          <w:sz w:val="23"/>
        </w:rPr>
        <w:sectPr>
          <w:type w:val="continuous"/>
          <w:pgSz w:w="11910" w:h="16840"/>
          <w:pgMar w:top="1120" w:bottom="1180" w:left="1160" w:right="900"/>
        </w:sectPr>
      </w:pPr>
    </w:p>
    <w:p>
      <w:pPr>
        <w:pStyle w:val="ListParagraph"/>
        <w:numPr>
          <w:ilvl w:val="2"/>
          <w:numId w:val="9"/>
        </w:numPr>
        <w:tabs>
          <w:tab w:pos="1474" w:val="left" w:leader="none"/>
        </w:tabs>
        <w:spacing w:line="240" w:lineRule="auto" w:before="37" w:after="0"/>
        <w:ind w:left="1473" w:right="0" w:hanging="637"/>
        <w:jc w:val="left"/>
        <w:rPr>
          <w:sz w:val="21"/>
        </w:rPr>
      </w:pPr>
    </w:p>
    <w:p>
      <w:pPr>
        <w:pStyle w:val="BodyText"/>
        <w:spacing w:before="37"/>
        <w:ind w:left="836"/>
      </w:pPr>
      <w:r>
        <w:rPr/>
        <w:t>瘫痪</w:t>
      </w:r>
    </w:p>
    <w:p>
      <w:pPr>
        <w:pStyle w:val="BodyText"/>
        <w:spacing w:before="37"/>
        <w:ind w:left="896"/>
      </w:pPr>
      <w:r>
        <w:rPr/>
        <w:br w:type="column"/>
      </w:r>
      <w:r>
        <w:rPr/>
        <w:t>指因疾病或意外伤害导致两肢或两肢以上肢体机能永久完全丧失。</w:t>
      </w:r>
    </w:p>
    <w:p>
      <w:pPr>
        <w:pStyle w:val="BodyText"/>
        <w:spacing w:line="273" w:lineRule="auto" w:before="37"/>
        <w:ind w:left="454" w:right="311" w:firstLine="420"/>
      </w:pPr>
      <w:r>
        <w:rPr>
          <w:spacing w:val="-6"/>
        </w:rPr>
        <w:t>肢体机能永久完全丧失，指疾病确诊 </w:t>
      </w:r>
      <w:r>
        <w:rPr/>
        <w:t>180</w:t>
      </w:r>
      <w:r>
        <w:rPr>
          <w:spacing w:val="-13"/>
        </w:rPr>
        <w:t> 天后或意外伤害发生 </w:t>
      </w:r>
      <w:r>
        <w:rPr/>
        <w:t>180</w:t>
      </w:r>
      <w:r>
        <w:rPr>
          <w:spacing w:val="-10"/>
        </w:rPr>
        <w:t> 天后，每肢</w:t>
      </w:r>
      <w:r>
        <w:rPr>
          <w:spacing w:val="-5"/>
        </w:rPr>
        <w:t>三大关节中的两大关节仍然完全僵硬，或不能随意识活动。</w:t>
      </w:r>
    </w:p>
    <w:p>
      <w:pPr>
        <w:spacing w:after="0" w:line="273" w:lineRule="auto"/>
        <w:sectPr>
          <w:type w:val="continuous"/>
          <w:pgSz w:w="11910" w:h="16840"/>
          <w:pgMar w:top="1120" w:bottom="1180" w:left="1160" w:right="900"/>
          <w:cols w:num="2" w:equalWidth="0">
            <w:col w:w="1473" w:space="40"/>
            <w:col w:w="8337"/>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4" w:val="left" w:leader="none"/>
        </w:tabs>
        <w:spacing w:line="240" w:lineRule="auto" w:before="37" w:after="0"/>
        <w:ind w:left="1473" w:right="0" w:hanging="637"/>
        <w:jc w:val="left"/>
        <w:rPr>
          <w:sz w:val="21"/>
        </w:rPr>
      </w:pPr>
    </w:p>
    <w:p>
      <w:pPr>
        <w:pStyle w:val="BodyText"/>
        <w:spacing w:before="37"/>
        <w:ind w:left="836"/>
      </w:pPr>
      <w:r>
        <w:rPr/>
        <w:t>心脏瓣膜</w:t>
      </w:r>
    </w:p>
    <w:p>
      <w:pPr>
        <w:pStyle w:val="BodyText"/>
        <w:spacing w:before="37"/>
        <w:ind w:left="665"/>
      </w:pPr>
      <w:r>
        <w:rPr/>
        <w:br w:type="column"/>
      </w:r>
      <w:r>
        <w:rPr/>
        <w:t>指为治疗心脏瓣膜疾病，实际实施了开胸进行的心脏瓣膜置换或修复的手术。</w:t>
      </w:r>
    </w:p>
    <w:p>
      <w:pPr>
        <w:spacing w:after="0"/>
        <w:sectPr>
          <w:type w:val="continuous"/>
          <w:pgSz w:w="11910" w:h="16840"/>
          <w:pgMar w:top="1120" w:bottom="1180" w:left="1160" w:right="900"/>
          <w:cols w:num="2" w:equalWidth="0">
            <w:col w:w="1682" w:space="40"/>
            <w:col w:w="8128"/>
          </w:cols>
        </w:sectPr>
      </w:pPr>
    </w:p>
    <w:p>
      <w:pPr>
        <w:pStyle w:val="BodyText"/>
        <w:spacing w:before="2"/>
        <w:rPr>
          <w:sz w:val="19"/>
        </w:rPr>
      </w:pPr>
    </w:p>
    <w:p>
      <w:pPr>
        <w:pStyle w:val="BodyText"/>
        <w:spacing w:before="37"/>
        <w:ind w:left="836"/>
      </w:pPr>
      <w:r>
        <w:rPr/>
        <w:t>手术</w:t>
      </w:r>
    </w:p>
    <w:p>
      <w:pPr>
        <w:pStyle w:val="BodyText"/>
        <w:spacing w:before="12"/>
        <w:rPr>
          <w:sz w:val="23"/>
        </w:rPr>
      </w:pPr>
    </w:p>
    <w:p>
      <w:pPr>
        <w:spacing w:after="0"/>
        <w:rPr>
          <w:sz w:val="23"/>
        </w:rPr>
        <w:sectPr>
          <w:pgSz w:w="11910" w:h="16840"/>
          <w:pgMar w:header="879" w:footer="999"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before="37"/>
        <w:ind w:left="836"/>
      </w:pPr>
      <w:r>
        <w:rPr/>
        <w:t>严重阿尔茨海默病</w:t>
      </w:r>
    </w:p>
    <w:p>
      <w:pPr>
        <w:pStyle w:val="BodyText"/>
        <w:spacing w:line="273" w:lineRule="auto"/>
        <w:ind w:left="245" w:right="218" w:firstLine="420"/>
        <w:jc w:val="both"/>
      </w:pPr>
      <w:r>
        <w:rPr/>
        <w:br w:type="column"/>
      </w:r>
      <w:r>
        <w:rPr/>
        <w:t>指因大脑进行性、不可逆性改变导致智能严重衰退或丧失，临床表现为明显的认知能力障碍、行为异常和社交能力减退，其日常生活必须持续受到他人监护。须</w:t>
      </w:r>
      <w:r>
        <w:rPr>
          <w:w w:val="100"/>
        </w:rPr>
        <w:t>由头颅断层扫描</w:t>
      </w:r>
      <w:r>
        <w:rPr>
          <w:spacing w:val="1"/>
          <w:w w:val="100"/>
        </w:rPr>
        <w:t>（</w:t>
      </w:r>
      <w:r>
        <w:rPr>
          <w:w w:val="100"/>
        </w:rPr>
        <w:t>CT</w:t>
      </w:r>
      <w:r>
        <w:rPr>
          <w:spacing w:val="-104"/>
          <w:w w:val="100"/>
        </w:rPr>
        <w:t>）</w:t>
      </w:r>
      <w:r>
        <w:rPr>
          <w:w w:val="100"/>
        </w:rPr>
        <w:t>、核磁共振检查（MR</w:t>
      </w:r>
      <w:r>
        <w:rPr>
          <w:spacing w:val="1"/>
          <w:w w:val="100"/>
        </w:rPr>
        <w:t>I</w:t>
      </w:r>
      <w:r>
        <w:rPr>
          <w:w w:val="100"/>
        </w:rPr>
        <w:t>）</w:t>
      </w:r>
      <w:r>
        <w:rPr/>
        <w:t> </w:t>
      </w:r>
      <w:r>
        <w:rPr>
          <w:w w:val="100"/>
        </w:rPr>
        <w:t>或正电子发射断层扫描（PE</w:t>
      </w:r>
      <w:r>
        <w:rPr>
          <w:spacing w:val="1"/>
          <w:w w:val="100"/>
        </w:rPr>
        <w:t>T</w:t>
      </w:r>
      <w:r>
        <w:rPr>
          <w:w w:val="100"/>
        </w:rPr>
        <w:t>）等影</w:t>
      </w:r>
      <w:r>
        <w:rPr/>
        <w:t>像学检查证实，且自主生活能力完全丧失，无法独立完成六项基本日常生活活动中</w:t>
      </w:r>
      <w:r>
        <w:rPr>
          <w:spacing w:val="-3"/>
        </w:rPr>
        <w:t>的三项或三项以上。</w:t>
      </w:r>
    </w:p>
    <w:p>
      <w:pPr>
        <w:pStyle w:val="BodyText"/>
        <w:spacing w:before="7"/>
        <w:ind w:left="667"/>
      </w:pPr>
      <w:r>
        <w:rPr/>
        <w:t>神经官能症和精神疾病不在保障范围内。</w:t>
      </w:r>
    </w:p>
    <w:p>
      <w:pPr>
        <w:spacing w:after="0"/>
        <w:sectPr>
          <w:type w:val="continuous"/>
          <w:pgSz w:w="11910" w:h="16840"/>
          <w:pgMar w:top="1120" w:bottom="1180" w:left="1160" w:right="900"/>
          <w:cols w:num="2" w:equalWidth="0">
            <w:col w:w="1682" w:space="40"/>
            <w:col w:w="8128"/>
          </w:cols>
        </w:sectPr>
      </w:pPr>
    </w:p>
    <w:p>
      <w:pPr>
        <w:pStyle w:val="BodyText"/>
        <w:spacing w:before="11"/>
        <w:rPr>
          <w:sz w:val="23"/>
        </w:rPr>
      </w:pPr>
    </w:p>
    <w:p>
      <w:pPr>
        <w:spacing w:after="0"/>
        <w:rPr>
          <w:sz w:val="23"/>
        </w:rPr>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ind w:left="836"/>
      </w:pPr>
      <w:r>
        <w:rPr/>
        <w:t>严重脑损伤</w:t>
      </w:r>
    </w:p>
    <w:p>
      <w:pPr>
        <w:pStyle w:val="BodyText"/>
        <w:spacing w:line="273" w:lineRule="auto"/>
        <w:ind w:left="245" w:right="115" w:firstLine="420"/>
      </w:pPr>
      <w:r>
        <w:rPr/>
        <w:br w:type="column"/>
      </w:r>
      <w:r>
        <w:rPr/>
        <w:t>指因头部遭受机械性外力，引起脑重要部位损伤，导致神经系统永久性的功能</w:t>
      </w:r>
      <w:r>
        <w:rPr>
          <w:spacing w:val="-11"/>
          <w:w w:val="100"/>
        </w:rPr>
        <w:t>障碍。须由头颅断层扫描</w:t>
      </w:r>
      <w:r>
        <w:rPr>
          <w:spacing w:val="-3"/>
          <w:w w:val="100"/>
        </w:rPr>
        <w:t>（</w:t>
      </w:r>
      <w:r>
        <w:rPr>
          <w:w w:val="100"/>
        </w:rPr>
        <w:t>CT</w:t>
      </w:r>
      <w:r>
        <w:rPr>
          <w:spacing w:val="-108"/>
          <w:w w:val="100"/>
        </w:rPr>
        <w:t>）</w:t>
      </w:r>
      <w:r>
        <w:rPr>
          <w:spacing w:val="-14"/>
          <w:w w:val="100"/>
        </w:rPr>
        <w:t>、核磁共振检查</w:t>
      </w:r>
      <w:r>
        <w:rPr>
          <w:w w:val="100"/>
        </w:rPr>
        <w:t>（MR</w:t>
      </w:r>
      <w:r>
        <w:rPr>
          <w:spacing w:val="-3"/>
          <w:w w:val="100"/>
        </w:rPr>
        <w:t>I</w:t>
      </w:r>
      <w:r>
        <w:rPr>
          <w:w w:val="100"/>
        </w:rPr>
        <w:t>）</w:t>
      </w:r>
      <w:r>
        <w:rPr/>
        <w:t> </w:t>
      </w:r>
      <w:r>
        <w:rPr>
          <w:spacing w:val="-7"/>
          <w:w w:val="100"/>
        </w:rPr>
        <w:t>或正电子发射断层扫描</w:t>
      </w:r>
      <w:r>
        <w:rPr>
          <w:spacing w:val="-3"/>
          <w:w w:val="100"/>
        </w:rPr>
        <w:t>（</w:t>
      </w:r>
      <w:r>
        <w:rPr>
          <w:w w:val="100"/>
        </w:rPr>
        <w:t>PET）</w:t>
      </w:r>
      <w:r>
        <w:rPr>
          <w:spacing w:val="-3"/>
        </w:rPr>
        <w:t>等影像学检查证实。神经系统永久性的功能障碍，指脑损伤 </w:t>
      </w:r>
      <w:r>
        <w:rPr/>
        <w:t>180</w:t>
      </w:r>
      <w:r>
        <w:rPr>
          <w:spacing w:val="-3"/>
        </w:rPr>
        <w:t> 天后，仍遗留下列一种或一种以上障碍：</w:t>
      </w:r>
    </w:p>
    <w:p>
      <w:pPr>
        <w:pStyle w:val="BodyText"/>
        <w:spacing w:before="7"/>
        <w:ind w:left="665"/>
      </w:pPr>
      <w:r>
        <w:rPr/>
        <w:t>（1）一肢或一肢以上肢体机能完全丧失；</w:t>
      </w:r>
    </w:p>
    <w:p>
      <w:pPr>
        <w:pStyle w:val="BodyText"/>
        <w:spacing w:before="37"/>
        <w:ind w:left="665"/>
      </w:pPr>
      <w:r>
        <w:rPr/>
        <w:t>（2）语言能力或咀嚼吞咽能力完全丧失；</w:t>
      </w:r>
    </w:p>
    <w:p>
      <w:pPr>
        <w:pStyle w:val="BodyText"/>
        <w:spacing w:line="273" w:lineRule="auto" w:before="37"/>
        <w:ind w:left="245" w:right="181" w:firstLine="420"/>
      </w:pPr>
      <w:r>
        <w:rPr/>
        <w:t>（3）自主生活能力完全丧失，无法独立完成六项基本日常生活活动中的三项或三项以上。</w:t>
      </w:r>
    </w:p>
    <w:p>
      <w:pPr>
        <w:spacing w:after="0" w:line="273" w:lineRule="auto"/>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4" w:val="left" w:leader="none"/>
        </w:tabs>
        <w:spacing w:line="240" w:lineRule="auto" w:before="37" w:after="0"/>
        <w:ind w:left="1473" w:right="0" w:hanging="637"/>
        <w:jc w:val="left"/>
        <w:rPr>
          <w:sz w:val="21"/>
        </w:rPr>
      </w:pPr>
    </w:p>
    <w:p>
      <w:pPr>
        <w:pStyle w:val="BodyText"/>
        <w:spacing w:line="273" w:lineRule="auto" w:before="37"/>
        <w:ind w:left="836"/>
      </w:pPr>
      <w:r>
        <w:rPr/>
        <w:t>严重帕金森病</w:t>
      </w:r>
    </w:p>
    <w:p>
      <w:pPr>
        <w:pStyle w:val="BodyText"/>
        <w:spacing w:line="273" w:lineRule="auto" w:before="37"/>
        <w:ind w:left="245" w:right="225" w:firstLine="420"/>
      </w:pPr>
      <w:r>
        <w:rPr/>
        <w:br w:type="column"/>
      </w:r>
      <w:r>
        <w:rPr/>
        <w:t>是一种中枢神经系统的退行性疾病，临床表现为震颤麻痹、共济失调等。须满足下列全部条件：</w:t>
      </w:r>
    </w:p>
    <w:p>
      <w:pPr>
        <w:pStyle w:val="BodyText"/>
        <w:spacing w:before="8"/>
        <w:ind w:left="665"/>
      </w:pPr>
      <w:r>
        <w:rPr/>
        <w:t>（1）药物治疗无法控制病情；</w:t>
      </w:r>
    </w:p>
    <w:p>
      <w:pPr>
        <w:pStyle w:val="BodyText"/>
        <w:spacing w:line="273" w:lineRule="auto" w:before="37"/>
        <w:ind w:left="245" w:right="181" w:firstLine="420"/>
      </w:pPr>
      <w:r>
        <w:rPr/>
        <w:t>（2）自主生活能力完全丧失，无法独立完成六项基本日常生活活动中的三项或三项以上。</w:t>
      </w:r>
    </w:p>
    <w:p>
      <w:pPr>
        <w:pStyle w:val="BodyText"/>
        <w:spacing w:before="7"/>
        <w:ind w:left="667"/>
      </w:pPr>
      <w:r>
        <w:rPr/>
        <w:t>继发性帕金森综合征不在保障范围内。</w:t>
      </w:r>
    </w:p>
    <w:p>
      <w:pPr>
        <w:spacing w:after="0"/>
        <w:sectPr>
          <w:type w:val="continuous"/>
          <w:pgSz w:w="11910" w:h="16840"/>
          <w:pgMar w:top="1120" w:bottom="1180" w:left="1160" w:right="900"/>
          <w:cols w:num="2" w:equalWidth="0">
            <w:col w:w="1682" w:space="40"/>
            <w:col w:w="8128"/>
          </w:cols>
        </w:sectPr>
      </w:pPr>
    </w:p>
    <w:p>
      <w:pPr>
        <w:pStyle w:val="BodyText"/>
        <w:spacing w:before="11"/>
        <w:rPr>
          <w:sz w:val="23"/>
        </w:rPr>
      </w:pPr>
    </w:p>
    <w:p>
      <w:pPr>
        <w:spacing w:after="0"/>
        <w:rPr>
          <w:sz w:val="23"/>
        </w:rPr>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ind w:left="836"/>
      </w:pPr>
      <w:r>
        <w:rPr/>
        <w:t>严重Ⅲ度烧伤</w:t>
      </w:r>
    </w:p>
    <w:p>
      <w:pPr>
        <w:pStyle w:val="BodyText"/>
        <w:spacing w:line="273" w:lineRule="auto"/>
        <w:ind w:left="245" w:right="208" w:firstLine="420"/>
      </w:pPr>
      <w:r>
        <w:rPr/>
        <w:br w:type="column"/>
      </w:r>
      <w:r>
        <w:rPr>
          <w:spacing w:val="-5"/>
        </w:rPr>
        <w:t>指烧伤程度为Ⅲ度，且Ⅲ度烧伤的面积达到全身体表面积的 </w:t>
      </w:r>
      <w:r>
        <w:rPr>
          <w:spacing w:val="-3"/>
        </w:rPr>
        <w:t>20</w:t>
      </w:r>
      <w:r>
        <w:rPr>
          <w:spacing w:val="-14"/>
        </w:rPr>
        <w:t>％或 </w:t>
      </w:r>
      <w:r>
        <w:rPr/>
        <w:t>20</w:t>
      </w:r>
      <w:r>
        <w:rPr>
          <w:spacing w:val="-3"/>
        </w:rPr>
        <w:t>％以上。体表面积根据《中国新九分法》计算。</w:t>
      </w:r>
    </w:p>
    <w:p>
      <w:pPr>
        <w:spacing w:after="0" w:line="273" w:lineRule="auto"/>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ind w:left="836"/>
        <w:jc w:val="both"/>
      </w:pPr>
      <w:r>
        <w:rPr/>
        <w:t>严重原发性肺动脉高压</w:t>
      </w:r>
    </w:p>
    <w:p>
      <w:pPr>
        <w:pStyle w:val="BodyText"/>
        <w:spacing w:line="273" w:lineRule="auto"/>
        <w:ind w:left="245" w:right="220" w:firstLine="420"/>
        <w:jc w:val="both"/>
      </w:pPr>
      <w:r>
        <w:rPr/>
        <w:br w:type="column"/>
      </w:r>
      <w:r>
        <w:rPr/>
        <w:t>指不明原因的肺动脉压力持续性增高，进行性发展而导致的慢性疾病，已经造</w:t>
      </w:r>
      <w:r>
        <w:rPr>
          <w:spacing w:val="-3"/>
        </w:rPr>
        <w:t>成永久不可逆性的体力活动能力受限，达到美国纽约心脏病学会心功能状态分级 </w:t>
      </w:r>
      <w:r>
        <w:rPr/>
        <w:t>IV </w:t>
      </w:r>
      <w:r>
        <w:rPr>
          <w:spacing w:val="-5"/>
        </w:rPr>
        <w:t>级，且静息状态下肺动脉平均压超过 </w:t>
      </w:r>
      <w:r>
        <w:rPr/>
        <w:t>30mmHg。</w:t>
      </w:r>
    </w:p>
    <w:p>
      <w:pPr>
        <w:spacing w:after="0" w:line="273" w:lineRule="auto"/>
        <w:jc w:val="both"/>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before="37"/>
        <w:ind w:left="836"/>
      </w:pPr>
      <w:r>
        <w:rPr/>
        <w:t>严重运动神经元病</w:t>
      </w:r>
    </w:p>
    <w:p>
      <w:pPr>
        <w:pStyle w:val="BodyText"/>
        <w:spacing w:line="273" w:lineRule="auto"/>
        <w:ind w:left="245" w:right="218" w:firstLine="42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ind w:left="836"/>
      </w:pPr>
      <w:r>
        <w:rPr/>
        <w:t>语言能力丧失</w:t>
      </w:r>
    </w:p>
    <w:p>
      <w:pPr>
        <w:pStyle w:val="BodyText"/>
        <w:spacing w:line="273" w:lineRule="auto"/>
        <w:ind w:left="245" w:right="220" w:firstLine="420"/>
      </w:pPr>
      <w:r>
        <w:rPr/>
        <w:br w:type="column"/>
      </w:r>
      <w:r>
        <w:rPr>
          <w:spacing w:val="-7"/>
        </w:rPr>
        <w:t>指因疾病或意外伤害导致完全丧失语言能力，经过积极治疗至少 </w:t>
      </w:r>
      <w:r>
        <w:rPr/>
        <w:t>12</w:t>
      </w:r>
      <w:r>
        <w:rPr>
          <w:spacing w:val="-6"/>
        </w:rPr>
        <w:t> 个月</w:t>
      </w:r>
      <w:r>
        <w:rPr/>
        <w:t>（</w:t>
      </w:r>
      <w:r>
        <w:rPr>
          <w:spacing w:val="-2"/>
        </w:rPr>
        <w:t>声带</w:t>
      </w:r>
      <w:r>
        <w:rPr>
          <w:spacing w:val="-3"/>
          <w:w w:val="100"/>
        </w:rPr>
        <w:t>完全切除不受此时间限制</w:t>
      </w:r>
      <w:r>
        <w:rPr>
          <w:spacing w:val="-108"/>
          <w:w w:val="100"/>
        </w:rPr>
        <w:t>）</w:t>
      </w:r>
      <w:r>
        <w:rPr>
          <w:spacing w:val="-3"/>
          <w:w w:val="100"/>
        </w:rPr>
        <w:t>，仍无法通过现有医疗手段恢复。</w:t>
      </w:r>
    </w:p>
    <w:p>
      <w:pPr>
        <w:pStyle w:val="BodyText"/>
        <w:spacing w:before="7"/>
        <w:ind w:left="667"/>
      </w:pPr>
      <w:r>
        <w:rPr/>
        <w:t>精神心理因素所致的语言能力丧失不在保障范围内。</w:t>
      </w:r>
    </w:p>
    <w:p>
      <w:pPr>
        <w:spacing w:after="0"/>
        <w:sectPr>
          <w:type w:val="continuous"/>
          <w:pgSz w:w="11910" w:h="16840"/>
          <w:pgMar w:top="1120" w:bottom="1180" w:left="1160" w:right="900"/>
          <w:cols w:num="2" w:equalWidth="0">
            <w:col w:w="1682" w:space="40"/>
            <w:col w:w="8128"/>
          </w:cols>
        </w:sectPr>
      </w:pPr>
    </w:p>
    <w:p>
      <w:pPr>
        <w:pStyle w:val="BodyText"/>
        <w:spacing w:before="8"/>
      </w:pPr>
    </w:p>
    <w:p>
      <w:pPr>
        <w:spacing w:after="0"/>
        <w:sectPr>
          <w:type w:val="continuous"/>
          <w:pgSz w:w="11910" w:h="16840"/>
          <w:pgMar w:top="1120" w:bottom="1180" w:left="1160" w:right="90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ind w:left="836"/>
      </w:pPr>
      <w:r>
        <w:rPr/>
        <w:t>重型再生</w:t>
      </w:r>
    </w:p>
    <w:p>
      <w:pPr>
        <w:pStyle w:val="BodyText"/>
        <w:spacing w:line="273" w:lineRule="auto"/>
        <w:ind w:left="245" w:right="112" w:firstLine="420"/>
      </w:pPr>
      <w:r>
        <w:rPr/>
        <w:br w:type="column"/>
      </w:r>
      <w:r>
        <w:rPr/>
        <w:t>指因骨髓造血功能慢性持续性衰竭导致的贫血、中性粒细胞减少及血小板减少。须满足下列全部条件：</w:t>
      </w:r>
    </w:p>
    <w:p>
      <w:pPr>
        <w:spacing w:after="0" w:line="273" w:lineRule="auto"/>
        <w:sectPr>
          <w:type w:val="continuous"/>
          <w:pgSz w:w="11910" w:h="16840"/>
          <w:pgMar w:top="1120" w:bottom="1180" w:left="1160" w:right="900"/>
          <w:cols w:num="2" w:equalWidth="0">
            <w:col w:w="1682" w:space="40"/>
            <w:col w:w="8128"/>
          </w:cols>
        </w:sectPr>
      </w:pPr>
    </w:p>
    <w:p>
      <w:pPr>
        <w:pStyle w:val="BodyText"/>
        <w:spacing w:before="2"/>
        <w:rPr>
          <w:sz w:val="19"/>
        </w:rPr>
      </w:pPr>
    </w:p>
    <w:p>
      <w:pPr>
        <w:spacing w:after="0"/>
        <w:rPr>
          <w:sz w:val="19"/>
        </w:rPr>
        <w:sectPr>
          <w:pgSz w:w="11910" w:h="16840"/>
          <w:pgMar w:header="879" w:footer="999" w:top="1120" w:bottom="1180" w:left="1160" w:right="920"/>
        </w:sectPr>
      </w:pPr>
    </w:p>
    <w:p>
      <w:pPr>
        <w:pStyle w:val="BodyText"/>
        <w:spacing w:line="273" w:lineRule="auto" w:before="37"/>
        <w:ind w:left="836"/>
      </w:pPr>
      <w:r>
        <w:rPr/>
        <w:t>障碍性贫血</w:t>
      </w:r>
    </w:p>
    <w:p>
      <w:pPr>
        <w:pStyle w:val="BodyText"/>
        <w:spacing w:before="37"/>
        <w:ind w:left="665"/>
      </w:pPr>
      <w:r>
        <w:rPr/>
        <w:br w:type="column"/>
      </w:r>
      <w:r>
        <w:rPr/>
        <w:t>（1）骨髓穿刺检查或骨髓活检结果支持诊断；</w:t>
      </w:r>
    </w:p>
    <w:p>
      <w:pPr>
        <w:pStyle w:val="BodyText"/>
        <w:spacing w:before="37"/>
        <w:ind w:left="665"/>
      </w:pPr>
      <w:r>
        <w:rPr/>
        <w:t>（2）外周血象须具备以下三项条件：</w:t>
      </w:r>
    </w:p>
    <w:p>
      <w:pPr>
        <w:pStyle w:val="BodyText"/>
        <w:tabs>
          <w:tab w:pos="4080" w:val="left" w:leader="none"/>
        </w:tabs>
        <w:spacing w:before="37"/>
        <w:ind w:left="665"/>
      </w:pPr>
      <w:r>
        <w:rPr/>
        <w:t>①</w:t>
      </w:r>
      <w:r>
        <w:rPr>
          <w:spacing w:val="2"/>
        </w:rPr>
        <w:t> </w:t>
      </w:r>
      <w:r>
        <w:rPr>
          <w:spacing w:val="-3"/>
        </w:rPr>
        <w:t>中</w:t>
      </w:r>
      <w:r>
        <w:rPr/>
        <w:t>性</w:t>
      </w:r>
      <w:r>
        <w:rPr>
          <w:spacing w:val="-3"/>
        </w:rPr>
        <w:t>粒</w:t>
      </w:r>
      <w:r>
        <w:rPr/>
        <w:t>细</w:t>
      </w:r>
      <w:r>
        <w:rPr>
          <w:spacing w:val="-3"/>
        </w:rPr>
        <w:t>胞</w:t>
      </w:r>
      <w:r>
        <w:rPr/>
        <w:t>绝</w:t>
      </w:r>
      <w:r>
        <w:rPr>
          <w:spacing w:val="-3"/>
        </w:rPr>
        <w:t>对</w:t>
      </w:r>
      <w:r>
        <w:rPr/>
        <w:t>值≤0.5×10</w:t>
      </w:r>
      <w:r>
        <w:rPr>
          <w:position w:val="11"/>
          <w:sz w:val="11"/>
        </w:rPr>
        <w:t>9</w:t>
      </w:r>
      <w:r>
        <w:rPr/>
        <w:t>/L</w:t>
        <w:tab/>
        <w:t>；</w:t>
      </w:r>
    </w:p>
    <w:p>
      <w:pPr>
        <w:pStyle w:val="BodyText"/>
        <w:spacing w:before="37"/>
        <w:ind w:left="665"/>
      </w:pPr>
      <w:r>
        <w:rPr/>
        <w:t>② 网织红细胞＜1％；</w:t>
      </w:r>
    </w:p>
    <w:p>
      <w:pPr>
        <w:pStyle w:val="BodyText"/>
        <w:spacing w:before="37"/>
        <w:ind w:left="665"/>
      </w:pPr>
      <w:r>
        <w:rPr/>
        <w:t>③ 血小板绝对值≤20×10</w:t>
      </w:r>
      <w:r>
        <w:rPr>
          <w:position w:val="11"/>
          <w:sz w:val="11"/>
        </w:rPr>
        <w:t>9</w:t>
      </w:r>
      <w:r>
        <w:rPr/>
        <w:t>/L。</w:t>
      </w:r>
    </w:p>
    <w:p>
      <w:pPr>
        <w:spacing w:after="0"/>
        <w:sectPr>
          <w:type w:val="continuous"/>
          <w:pgSz w:w="11910" w:h="16840"/>
          <w:pgMar w:top="1120" w:bottom="1180" w:left="1160" w:right="920"/>
          <w:cols w:num="2" w:equalWidth="0">
            <w:col w:w="1682" w:space="40"/>
            <w:col w:w="8108"/>
          </w:cols>
        </w:sectPr>
      </w:pPr>
    </w:p>
    <w:p>
      <w:pPr>
        <w:pStyle w:val="BodyText"/>
        <w:spacing w:before="12"/>
        <w:rPr>
          <w:sz w:val="23"/>
        </w:rPr>
      </w:pPr>
    </w:p>
    <w:p>
      <w:pPr>
        <w:spacing w:after="0"/>
        <w:rPr>
          <w:sz w:val="23"/>
        </w:rPr>
        <w:sectPr>
          <w:type w:val="continuous"/>
          <w:pgSz w:w="11910" w:h="16840"/>
          <w:pgMar w:top="1120" w:bottom="1180" w:left="1160" w:right="92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before="37"/>
        <w:ind w:left="836"/>
      </w:pPr>
      <w:r>
        <w:rPr/>
        <w:t>主动脉手术</w:t>
      </w:r>
    </w:p>
    <w:p>
      <w:pPr>
        <w:pStyle w:val="BodyText"/>
        <w:spacing w:line="273" w:lineRule="auto"/>
        <w:ind w:left="245" w:right="198" w:firstLine="420"/>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667"/>
      </w:pPr>
      <w:r>
        <w:rPr/>
        <w:t>动脉内血管成形术不在保障范围内。</w:t>
      </w:r>
    </w:p>
    <w:p>
      <w:pPr>
        <w:spacing w:after="0"/>
        <w:sectPr>
          <w:type w:val="continuous"/>
          <w:pgSz w:w="11910" w:h="16840"/>
          <w:pgMar w:top="1120" w:bottom="1180" w:left="1160" w:right="920"/>
          <w:cols w:num="2" w:equalWidth="0">
            <w:col w:w="1682" w:space="40"/>
            <w:col w:w="8108"/>
          </w:cols>
        </w:sectPr>
      </w:pPr>
    </w:p>
    <w:p>
      <w:pPr>
        <w:pStyle w:val="BodyText"/>
        <w:spacing w:before="11"/>
        <w:rPr>
          <w:sz w:val="23"/>
        </w:rPr>
      </w:pPr>
    </w:p>
    <w:p>
      <w:pPr>
        <w:spacing w:after="0"/>
        <w:rPr>
          <w:sz w:val="23"/>
        </w:rPr>
        <w:sectPr>
          <w:type w:val="continuous"/>
          <w:pgSz w:w="11910" w:h="16840"/>
          <w:pgMar w:top="1120" w:bottom="1180" w:left="1160" w:right="92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ind w:left="836"/>
      </w:pPr>
      <w:r>
        <w:rPr/>
        <w:t>严重多发性硬化</w:t>
      </w:r>
    </w:p>
    <w:p>
      <w:pPr>
        <w:pStyle w:val="BodyText"/>
        <w:spacing w:line="273" w:lineRule="auto"/>
        <w:ind w:left="245" w:right="186" w:firstLine="420"/>
        <w:jc w:val="both"/>
      </w:pPr>
      <w:r>
        <w:rPr/>
        <w:br w:type="column"/>
      </w:r>
      <w:r>
        <w:rPr/>
        <w:t>指因中枢神经系统白质炎性脱髓鞘而导致的不可逆的身体部位的功能障碍，需由本公司认可医院提供明确诊断，并有头颅断层扫描（CT）或核磁共振检查（MRI） 诊断报告。所谓不可逆的身体部位功能障碍指初次诊断为功能障碍后需持续 180 天以上。</w:t>
      </w:r>
    </w:p>
    <w:p>
      <w:pPr>
        <w:pStyle w:val="BodyText"/>
        <w:spacing w:before="7"/>
        <w:ind w:left="665"/>
      </w:pPr>
      <w:r>
        <w:rPr/>
        <w:t>由本公司认可医院提供的明确诊断必须包含下列全部三项条件：</w:t>
      </w:r>
    </w:p>
    <w:p>
      <w:pPr>
        <w:pStyle w:val="BodyText"/>
        <w:spacing w:before="37"/>
        <w:ind w:left="665"/>
      </w:pPr>
      <w:r>
        <w:rPr/>
        <w:t>（1）明确出现因视神经、脑干或脊髓损伤而导致的临床表现；</w:t>
      </w:r>
    </w:p>
    <w:p>
      <w:pPr>
        <w:pStyle w:val="BodyText"/>
        <w:spacing w:before="37"/>
        <w:ind w:left="665"/>
      </w:pPr>
      <w:r>
        <w:rPr/>
        <w:t>（2）散在的身体损害的多样性；</w:t>
      </w:r>
    </w:p>
    <w:p>
      <w:pPr>
        <w:pStyle w:val="BodyText"/>
        <w:spacing w:before="37"/>
        <w:ind w:left="665"/>
      </w:pPr>
      <w:r>
        <w:rPr/>
        <w:t>（3）有明确的上述症状及神经损伤反复恶化、减轻的病史纪录。</w:t>
      </w:r>
    </w:p>
    <w:p>
      <w:pPr>
        <w:spacing w:after="0"/>
        <w:sectPr>
          <w:type w:val="continuous"/>
          <w:pgSz w:w="11910" w:h="16840"/>
          <w:pgMar w:top="1120" w:bottom="1180" w:left="1160" w:right="920"/>
          <w:cols w:num="2" w:equalWidth="0">
            <w:col w:w="1682" w:space="40"/>
            <w:col w:w="8108"/>
          </w:cols>
        </w:sectPr>
      </w:pPr>
    </w:p>
    <w:p>
      <w:pPr>
        <w:pStyle w:val="BodyText"/>
        <w:spacing w:before="11"/>
        <w:rPr>
          <w:sz w:val="23"/>
        </w:rPr>
      </w:pPr>
    </w:p>
    <w:p>
      <w:pPr>
        <w:spacing w:after="0"/>
        <w:rPr>
          <w:sz w:val="23"/>
        </w:rPr>
        <w:sectPr>
          <w:type w:val="continuous"/>
          <w:pgSz w:w="11910" w:h="16840"/>
          <w:pgMar w:top="1120" w:bottom="1180" w:left="1160" w:right="920"/>
        </w:sectPr>
      </w:pPr>
    </w:p>
    <w:p>
      <w:pPr>
        <w:pStyle w:val="ListParagraph"/>
        <w:numPr>
          <w:ilvl w:val="2"/>
          <w:numId w:val="9"/>
        </w:numPr>
        <w:tabs>
          <w:tab w:pos="1474" w:val="left" w:leader="none"/>
        </w:tabs>
        <w:spacing w:line="240" w:lineRule="auto" w:before="37" w:after="0"/>
        <w:ind w:left="1473" w:right="0" w:hanging="637"/>
        <w:jc w:val="left"/>
        <w:rPr>
          <w:sz w:val="21"/>
        </w:rPr>
      </w:pPr>
    </w:p>
    <w:p>
      <w:pPr>
        <w:pStyle w:val="BodyText"/>
        <w:spacing w:line="273" w:lineRule="auto" w:before="37"/>
        <w:ind w:left="836"/>
      </w:pPr>
      <w:r>
        <w:rPr/>
        <w:t>急性坏死型胰腺炎</w:t>
      </w:r>
    </w:p>
    <w:p>
      <w:pPr>
        <w:pStyle w:val="BodyText"/>
        <w:spacing w:line="273" w:lineRule="auto" w:before="37"/>
        <w:ind w:left="245" w:right="205" w:firstLine="420"/>
      </w:pPr>
      <w:r>
        <w:rPr/>
        <w:br w:type="column"/>
      </w:r>
      <w:r>
        <w:rPr/>
        <w:t>由本公司认可医院的专科医生确诊为急性坏死型胰腺炎。但因酗酒所致的急性坏死型胰腺炎不属本保险责任范围。</w:t>
      </w:r>
    </w:p>
    <w:p>
      <w:pPr>
        <w:pStyle w:val="BodyText"/>
        <w:spacing w:before="7"/>
        <w:ind w:left="665"/>
      </w:pPr>
      <w:r>
        <w:rPr/>
        <w:t>由本公司认可医院提供的明确诊断必须满足下列全部条件：</w:t>
      </w:r>
    </w:p>
    <w:p>
      <w:pPr>
        <w:pStyle w:val="BodyText"/>
        <w:ind w:left="665"/>
      </w:pPr>
      <w:r>
        <w:rPr/>
        <w:t>（1）弥漫性腹膜炎；</w:t>
      </w:r>
    </w:p>
    <w:p>
      <w:pPr>
        <w:pStyle w:val="BodyText"/>
        <w:ind w:left="665"/>
      </w:pPr>
      <w:r>
        <w:rPr/>
        <w:t>（2）空腹血糖持续高于 10mmol/L。</w:t>
      </w:r>
    </w:p>
    <w:p>
      <w:pPr>
        <w:pStyle w:val="BodyText"/>
        <w:spacing w:line="273" w:lineRule="auto"/>
        <w:ind w:left="245" w:right="205" w:firstLine="420"/>
      </w:pPr>
      <w:r>
        <w:rPr/>
        <w:t>对于因急性发病导致身故而无法同时具备以上条件者，须以法医鉴定机构出具的尸检报告为明确诊断的依据。</w:t>
      </w:r>
    </w:p>
    <w:p>
      <w:pPr>
        <w:spacing w:after="0" w:line="273" w:lineRule="auto"/>
        <w:sectPr>
          <w:type w:val="continuous"/>
          <w:pgSz w:w="11910" w:h="16840"/>
          <w:pgMar w:top="1120" w:bottom="1180" w:left="1160" w:right="920"/>
          <w:cols w:num="2" w:equalWidth="0">
            <w:col w:w="1682" w:space="40"/>
            <w:col w:w="8108"/>
          </w:cols>
        </w:sectPr>
      </w:pPr>
    </w:p>
    <w:p>
      <w:pPr>
        <w:pStyle w:val="BodyText"/>
        <w:spacing w:before="8"/>
      </w:pPr>
    </w:p>
    <w:p>
      <w:pPr>
        <w:spacing w:after="0"/>
        <w:sectPr>
          <w:type w:val="continuous"/>
          <w:pgSz w:w="11910" w:h="16840"/>
          <w:pgMar w:top="1120" w:bottom="1180" w:left="1160" w:right="92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ind w:left="836"/>
      </w:pPr>
      <w:r>
        <w:rPr/>
        <w:t>肌营养不良症</w:t>
      </w:r>
    </w:p>
    <w:p>
      <w:pPr>
        <w:pStyle w:val="BodyText"/>
        <w:ind w:left="665"/>
      </w:pPr>
      <w:r>
        <w:rPr/>
        <w:br w:type="column"/>
      </w:r>
      <w:r>
        <w:rPr/>
        <w:t>须满足下列全部条件：</w:t>
      </w:r>
    </w:p>
    <w:p>
      <w:pPr>
        <w:pStyle w:val="BodyText"/>
        <w:ind w:left="665"/>
      </w:pPr>
      <w:r>
        <w:rPr/>
        <w:t>（1）临床症状包含无感觉障碍、脑脊髓液正常、轻度的腱反射减少；</w:t>
      </w:r>
    </w:p>
    <w:p>
      <w:pPr>
        <w:pStyle w:val="BodyText"/>
        <w:ind w:left="665"/>
      </w:pPr>
      <w:r>
        <w:rPr/>
        <w:t>（2）肌电图显示肌营养不良症的特征性改变；</w:t>
      </w:r>
    </w:p>
    <w:p>
      <w:pPr>
        <w:pStyle w:val="BodyText"/>
        <w:spacing w:line="273" w:lineRule="auto"/>
        <w:ind w:left="245" w:right="162" w:firstLine="420"/>
      </w:pPr>
      <w:r>
        <w:rPr/>
        <w:t>（3）肌肉活体组织检查的病理学诊断符合肌营养不良症的肌肉细胞变性、坏死等阳性改变。</w:t>
      </w:r>
    </w:p>
    <w:p>
      <w:pPr>
        <w:spacing w:after="0" w:line="273" w:lineRule="auto"/>
        <w:sectPr>
          <w:type w:val="continuous"/>
          <w:pgSz w:w="11910" w:h="16840"/>
          <w:pgMar w:top="1120" w:bottom="1180" w:left="1160" w:right="920"/>
          <w:cols w:num="2" w:equalWidth="0">
            <w:col w:w="1682" w:space="40"/>
            <w:col w:w="8108"/>
          </w:cols>
        </w:sectPr>
      </w:pPr>
    </w:p>
    <w:p>
      <w:pPr>
        <w:pStyle w:val="BodyText"/>
        <w:spacing w:before="8"/>
      </w:pPr>
    </w:p>
    <w:p>
      <w:pPr>
        <w:spacing w:after="0"/>
        <w:sectPr>
          <w:type w:val="continuous"/>
          <w:pgSz w:w="11910" w:h="16840"/>
          <w:pgMar w:top="1120" w:bottom="1180" w:left="1160" w:right="920"/>
        </w:sectPr>
      </w:pPr>
    </w:p>
    <w:p>
      <w:pPr>
        <w:pStyle w:val="ListParagraph"/>
        <w:numPr>
          <w:ilvl w:val="2"/>
          <w:numId w:val="9"/>
        </w:numPr>
        <w:tabs>
          <w:tab w:pos="1474" w:val="left" w:leader="none"/>
        </w:tabs>
        <w:spacing w:line="240" w:lineRule="auto" w:before="36" w:after="0"/>
        <w:ind w:left="1473" w:right="0" w:hanging="637"/>
        <w:jc w:val="left"/>
        <w:rPr>
          <w:sz w:val="21"/>
        </w:rPr>
      </w:pPr>
    </w:p>
    <w:p>
      <w:pPr>
        <w:pStyle w:val="BodyText"/>
        <w:spacing w:line="273" w:lineRule="auto" w:before="37"/>
        <w:ind w:left="836"/>
      </w:pPr>
      <w:r>
        <w:rPr/>
        <w:t>植物人状态</w:t>
      </w:r>
    </w:p>
    <w:p>
      <w:pPr>
        <w:pStyle w:val="BodyText"/>
        <w:ind w:left="665"/>
      </w:pPr>
      <w:r>
        <w:rPr/>
        <w:br w:type="column"/>
      </w:r>
      <w:r>
        <w:rPr/>
        <w:t>指大脑皮质的全面坏死伴意识完全丧失至少持续一个月，但脑干仍保持完好。</w:t>
      </w:r>
    </w:p>
    <w:p>
      <w:pPr>
        <w:spacing w:after="0"/>
        <w:sectPr>
          <w:type w:val="continuous"/>
          <w:pgSz w:w="11910" w:h="16840"/>
          <w:pgMar w:top="1120" w:bottom="1180" w:left="1160" w:right="920"/>
          <w:cols w:num="2" w:equalWidth="0">
            <w:col w:w="1682" w:space="40"/>
            <w:col w:w="8108"/>
          </w:cols>
        </w:sectPr>
      </w:pPr>
    </w:p>
    <w:p>
      <w:pPr>
        <w:pStyle w:val="BodyText"/>
        <w:spacing w:before="8"/>
      </w:pPr>
    </w:p>
    <w:p>
      <w:pPr>
        <w:spacing w:after="0"/>
        <w:sectPr>
          <w:type w:val="continuous"/>
          <w:pgSz w:w="11910" w:h="16840"/>
          <w:pgMar w:top="1120" w:bottom="1180" w:left="1160" w:right="920"/>
        </w:sectPr>
      </w:pPr>
    </w:p>
    <w:p>
      <w:pPr>
        <w:pStyle w:val="ListParagraph"/>
        <w:numPr>
          <w:ilvl w:val="2"/>
          <w:numId w:val="9"/>
        </w:numPr>
        <w:tabs>
          <w:tab w:pos="1474" w:val="left" w:leader="none"/>
        </w:tabs>
        <w:spacing w:line="240" w:lineRule="auto" w:before="37" w:after="0"/>
        <w:ind w:left="1473" w:right="0" w:hanging="637"/>
        <w:jc w:val="left"/>
        <w:rPr>
          <w:sz w:val="21"/>
        </w:rPr>
      </w:pPr>
    </w:p>
    <w:p>
      <w:pPr>
        <w:pStyle w:val="BodyText"/>
        <w:spacing w:line="273" w:lineRule="auto" w:before="37"/>
        <w:ind w:left="836"/>
      </w:pPr>
      <w:r>
        <w:rPr/>
        <w:t>终末期肺病</w:t>
      </w:r>
    </w:p>
    <w:p>
      <w:pPr>
        <w:pStyle w:val="BodyText"/>
        <w:spacing w:before="37"/>
        <w:ind w:left="665"/>
      </w:pPr>
      <w:r>
        <w:rPr/>
        <w:br w:type="column"/>
      </w:r>
      <w:r>
        <w:rPr/>
        <w:t>因终末期肺病而出现的慢性呼吸功能衰竭，须满足下列全部条件：</w:t>
      </w:r>
    </w:p>
    <w:p>
      <w:pPr>
        <w:pStyle w:val="BodyText"/>
        <w:spacing w:before="37"/>
        <w:ind w:left="665"/>
      </w:pPr>
      <w:r>
        <w:rPr/>
        <w:t>（1）肺功能测试其FEV1 持续低于 0.75 升；</w:t>
      </w:r>
    </w:p>
    <w:p>
      <w:pPr>
        <w:pStyle w:val="BodyText"/>
        <w:spacing w:before="37"/>
        <w:ind w:left="665"/>
      </w:pPr>
      <w:r>
        <w:rPr/>
        <w:t>（2）病人缺氧必须广泛而持续地进行输氧治疗；</w:t>
      </w:r>
    </w:p>
    <w:p>
      <w:pPr>
        <w:pStyle w:val="BodyText"/>
        <w:spacing w:before="37"/>
        <w:ind w:left="665"/>
      </w:pPr>
      <w:r>
        <w:rPr/>
        <w:t>（3）动脉血气分析氧分压低于 55mmHg。</w:t>
      </w:r>
    </w:p>
    <w:p>
      <w:pPr>
        <w:spacing w:after="0"/>
        <w:sectPr>
          <w:type w:val="continuous"/>
          <w:pgSz w:w="11910" w:h="16840"/>
          <w:pgMar w:top="1120" w:bottom="1180" w:left="1160" w:right="920"/>
          <w:cols w:num="2" w:equalWidth="0">
            <w:col w:w="1682" w:space="40"/>
            <w:col w:w="8108"/>
          </w:cols>
        </w:sectPr>
      </w:pPr>
    </w:p>
    <w:p>
      <w:pPr>
        <w:pStyle w:val="BodyText"/>
        <w:spacing w:before="11"/>
        <w:rPr>
          <w:sz w:val="23"/>
        </w:rPr>
      </w:pPr>
    </w:p>
    <w:p>
      <w:pPr>
        <w:pStyle w:val="ListParagraph"/>
        <w:numPr>
          <w:ilvl w:val="2"/>
          <w:numId w:val="9"/>
        </w:numPr>
        <w:tabs>
          <w:tab w:pos="2386" w:val="left" w:leader="none"/>
          <w:tab w:pos="2387" w:val="left" w:leader="none"/>
        </w:tabs>
        <w:spacing w:line="240" w:lineRule="auto" w:before="37" w:after="0"/>
        <w:ind w:left="2386" w:right="0" w:hanging="1550"/>
        <w:jc w:val="left"/>
        <w:rPr>
          <w:sz w:val="21"/>
        </w:rPr>
      </w:pPr>
      <w:r>
        <w:rPr>
          <w:sz w:val="21"/>
        </w:rPr>
        <w:t>指系统性红斑狼疮患者并发狼疮性肾炎而影响和损害肾脏功能，且肌酐清除率</w:t>
      </w:r>
    </w:p>
    <w:p>
      <w:pPr>
        <w:spacing w:after="0" w:line="240" w:lineRule="auto"/>
        <w:jc w:val="left"/>
        <w:rPr>
          <w:sz w:val="21"/>
        </w:rPr>
        <w:sectPr>
          <w:type w:val="continuous"/>
          <w:pgSz w:w="11910" w:h="16840"/>
          <w:pgMar w:top="1120" w:bottom="1180" w:left="1160" w:right="920"/>
        </w:sectPr>
      </w:pPr>
    </w:p>
    <w:p>
      <w:pPr>
        <w:pStyle w:val="BodyText"/>
        <w:spacing w:before="2"/>
        <w:rPr>
          <w:sz w:val="19"/>
        </w:rPr>
      </w:pPr>
    </w:p>
    <w:p>
      <w:pPr>
        <w:spacing w:after="0"/>
        <w:rPr>
          <w:sz w:val="19"/>
        </w:rPr>
        <w:sectPr>
          <w:pgSz w:w="11910" w:h="16840"/>
          <w:pgMar w:header="879" w:footer="999" w:top="1120" w:bottom="1180" w:left="1160" w:right="900"/>
        </w:sectPr>
      </w:pPr>
    </w:p>
    <w:p>
      <w:pPr>
        <w:pStyle w:val="BodyText"/>
        <w:spacing w:line="273" w:lineRule="auto" w:before="37"/>
        <w:ind w:left="836"/>
        <w:jc w:val="both"/>
      </w:pPr>
      <w:r>
        <w:rPr/>
        <w:t>系统性红斑狼疮性肾炎</w:t>
      </w:r>
    </w:p>
    <w:p>
      <w:pPr>
        <w:pStyle w:val="BodyText"/>
        <w:spacing w:line="273" w:lineRule="auto" w:before="37"/>
        <w:ind w:left="245" w:right="218"/>
      </w:pPr>
      <w:r>
        <w:rPr/>
        <w:br w:type="column"/>
      </w:r>
      <w:r>
        <w:rPr>
          <w:spacing w:val="-6"/>
        </w:rPr>
        <w:t>持续低于 </w:t>
      </w:r>
      <w:r>
        <w:rPr/>
        <w:t>30ml/</w:t>
      </w:r>
      <w:r>
        <w:rPr>
          <w:spacing w:val="-8"/>
        </w:rPr>
        <w:t>分。系统性红斑狼疮性肾炎的诊断必须经本公司认可医院确诊，并满</w:t>
      </w:r>
      <w:r>
        <w:rPr>
          <w:spacing w:val="-5"/>
        </w:rPr>
        <w:t>足下列条件：</w:t>
      </w:r>
    </w:p>
    <w:p>
      <w:pPr>
        <w:pStyle w:val="BodyText"/>
        <w:spacing w:before="8"/>
        <w:ind w:left="665"/>
      </w:pPr>
      <w:r>
        <w:rPr/>
        <w:t>（1）临床表现至少具备下列条件的四个：</w:t>
      </w:r>
    </w:p>
    <w:p>
      <w:pPr>
        <w:pStyle w:val="BodyText"/>
        <w:spacing w:before="37"/>
        <w:ind w:left="665"/>
      </w:pPr>
      <w:r>
        <w:rPr/>
        <w:t>① 蝶形红斑或盘形红斑；</w:t>
      </w:r>
    </w:p>
    <w:p>
      <w:pPr>
        <w:pStyle w:val="BodyText"/>
        <w:spacing w:before="37"/>
        <w:ind w:left="665"/>
      </w:pPr>
      <w:r>
        <w:rPr/>
        <w:t>② 光敏感；</w:t>
      </w:r>
    </w:p>
    <w:p>
      <w:pPr>
        <w:pStyle w:val="BodyText"/>
        <w:spacing w:before="37"/>
        <w:ind w:left="665"/>
      </w:pPr>
      <w:r>
        <w:rPr/>
        <w:t>③ 口鼻腔黏膜溃疡；</w:t>
      </w:r>
    </w:p>
    <w:p>
      <w:pPr>
        <w:pStyle w:val="BodyText"/>
        <w:spacing w:before="37"/>
        <w:ind w:left="665"/>
      </w:pPr>
      <w:r>
        <w:rPr/>
        <w:t>④ 非畸形性关节炎或多关节痛；</w:t>
      </w:r>
    </w:p>
    <w:p>
      <w:pPr>
        <w:pStyle w:val="BodyText"/>
        <w:spacing w:before="37"/>
        <w:ind w:left="665"/>
      </w:pPr>
      <w:r>
        <w:rPr/>
        <w:t>⑤ 胸膜炎或心包炎；</w:t>
      </w:r>
    </w:p>
    <w:p>
      <w:pPr>
        <w:pStyle w:val="BodyText"/>
        <w:spacing w:before="37"/>
        <w:ind w:left="665"/>
      </w:pPr>
      <w:r>
        <w:rPr>
          <w:w w:val="100"/>
        </w:rPr>
        <w:t>⑥</w:t>
      </w:r>
      <w:r>
        <w:rPr/>
        <w:t> </w:t>
      </w:r>
      <w:r>
        <w:rPr>
          <w:spacing w:val="-3"/>
          <w:w w:val="100"/>
        </w:rPr>
        <w:t>神经系统损伤（癫痫或精神症状</w:t>
      </w:r>
      <w:r>
        <w:rPr>
          <w:spacing w:val="-108"/>
          <w:w w:val="100"/>
        </w:rPr>
        <w:t>）</w:t>
      </w:r>
      <w:r>
        <w:rPr>
          <w:w w:val="100"/>
        </w:rPr>
        <w:t>；</w:t>
      </w:r>
    </w:p>
    <w:p>
      <w:pPr>
        <w:pStyle w:val="BodyText"/>
        <w:spacing w:before="37"/>
        <w:ind w:left="665"/>
      </w:pPr>
      <w:r>
        <w:rPr>
          <w:spacing w:val="-2"/>
        </w:rPr>
        <w:t>⑦ 血象异常</w:t>
      </w:r>
      <w:r>
        <w:rPr/>
        <w:t>（</w:t>
      </w:r>
      <w:r>
        <w:rPr>
          <w:spacing w:val="-11"/>
        </w:rPr>
        <w:t>白细胞小于 </w:t>
      </w:r>
      <w:r>
        <w:rPr/>
        <w:t>4×10</w:t>
      </w:r>
      <w:r>
        <w:rPr>
          <w:position w:val="11"/>
          <w:sz w:val="11"/>
        </w:rPr>
        <w:t>9</w:t>
      </w:r>
      <w:r>
        <w:rPr/>
        <w:t>/L</w:t>
      </w:r>
      <w:r>
        <w:rPr>
          <w:spacing w:val="-16"/>
        </w:rPr>
        <w:t> 或血小板小于 </w:t>
      </w:r>
      <w:r>
        <w:rPr/>
        <w:t>100×10</w:t>
      </w:r>
      <w:r>
        <w:rPr>
          <w:position w:val="11"/>
          <w:sz w:val="11"/>
        </w:rPr>
        <w:t>9</w:t>
      </w:r>
      <w:r>
        <w:rPr/>
        <w:t>/L</w:t>
      </w:r>
      <w:r>
        <w:rPr>
          <w:spacing w:val="-10"/>
        </w:rPr>
        <w:t> 或溶血性贫血）</w:t>
      </w:r>
      <w:r>
        <w:rPr/>
        <w:t>。</w:t>
      </w:r>
    </w:p>
    <w:p>
      <w:pPr>
        <w:pStyle w:val="BodyText"/>
        <w:spacing w:before="37"/>
        <w:ind w:left="665"/>
      </w:pPr>
      <w:r>
        <w:rPr/>
        <w:t>（2）检测结果至少具备下列条件的两个：</w:t>
      </w:r>
    </w:p>
    <w:p>
      <w:pPr>
        <w:pStyle w:val="BodyText"/>
        <w:spacing w:before="37"/>
        <w:ind w:left="665"/>
      </w:pPr>
      <w:r>
        <w:rPr/>
        <w:t>① 抗dsDNA 抗体阳性；</w:t>
      </w:r>
    </w:p>
    <w:p>
      <w:pPr>
        <w:pStyle w:val="BodyText"/>
        <w:spacing w:before="37"/>
        <w:ind w:left="665"/>
      </w:pPr>
      <w:r>
        <w:rPr/>
        <w:t>② 抗Sm 抗体阳性；</w:t>
      </w:r>
    </w:p>
    <w:p>
      <w:pPr>
        <w:pStyle w:val="BodyText"/>
        <w:spacing w:before="37"/>
        <w:ind w:left="665"/>
      </w:pPr>
      <w:r>
        <w:rPr/>
        <w:t>③ 抗核抗体阳性；</w:t>
      </w:r>
    </w:p>
    <w:p>
      <w:pPr>
        <w:pStyle w:val="BodyText"/>
        <w:spacing w:before="37"/>
        <w:ind w:left="665"/>
      </w:pPr>
      <w:r>
        <w:rPr/>
        <w:t>④ 皮肤狼疮带试验（非病损部位）或肾活检阳性；</w:t>
      </w:r>
    </w:p>
    <w:p>
      <w:pPr>
        <w:pStyle w:val="BodyText"/>
        <w:spacing w:before="37"/>
        <w:ind w:left="665"/>
      </w:pPr>
      <w:r>
        <w:rPr/>
        <w:t>⑤ C3 降低。</w:t>
      </w:r>
    </w:p>
    <w:p>
      <w:pPr>
        <w:pStyle w:val="BodyText"/>
        <w:spacing w:before="8"/>
        <w:rPr>
          <w:sz w:val="26"/>
        </w:rPr>
      </w:pPr>
    </w:p>
    <w:p>
      <w:pPr>
        <w:pStyle w:val="BodyText"/>
        <w:spacing w:before="0"/>
        <w:ind w:left="667"/>
      </w:pPr>
      <w:r>
        <w:rPr/>
        <w:t>以上第 1 至 25 种疾病的名称和释义为中国保险行业协会制定的《重大疾病保险</w:t>
      </w:r>
    </w:p>
    <w:p>
      <w:pPr>
        <w:pStyle w:val="BodyText"/>
        <w:spacing w:line="273" w:lineRule="auto"/>
        <w:ind w:left="245" w:right="225"/>
      </w:pPr>
      <w:r>
        <w:rPr>
          <w:spacing w:val="-4"/>
        </w:rPr>
        <w:t>的疾病定义使用规范》中的疾病名称和释义。第 </w:t>
      </w:r>
      <w:r>
        <w:rPr/>
        <w:t>26</w:t>
      </w:r>
      <w:r>
        <w:rPr>
          <w:spacing w:val="-16"/>
        </w:rPr>
        <w:t> 种至 </w:t>
      </w:r>
      <w:r>
        <w:rPr/>
        <w:t>31</w:t>
      </w:r>
      <w:r>
        <w:rPr>
          <w:spacing w:val="-6"/>
        </w:rPr>
        <w:t> 种疾病为本公司增加的疾病类型。</w:t>
      </w:r>
    </w:p>
    <w:p>
      <w:pPr>
        <w:pStyle w:val="BodyText"/>
        <w:spacing w:line="273" w:lineRule="auto" w:before="7"/>
        <w:ind w:left="245" w:right="76" w:firstLine="422"/>
      </w:pPr>
      <w:r>
        <w:rPr/>
        <w:t>肢体机能完全丧失，指肢体的三大关节中的两大关节僵硬，或不能随意识活动。肢体是指包括肩关节的整个上肢或包括髋关节的整个下肢。</w:t>
      </w:r>
    </w:p>
    <w:p>
      <w:pPr>
        <w:pStyle w:val="BodyText"/>
        <w:spacing w:line="273" w:lineRule="auto" w:before="7"/>
        <w:ind w:left="245" w:right="223" w:firstLine="422"/>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245" w:right="223" w:firstLine="422"/>
      </w:pPr>
      <w:r>
        <w:rPr/>
        <w:t>咀嚼吞咽能力完全丧失，指因牙齿以外的原因导致器质障碍或机能障碍，以致不能作咀嚼吞咽运动，除流质食物外不能摄取或吞咽的状态。</w:t>
      </w:r>
    </w:p>
    <w:p>
      <w:pPr>
        <w:pStyle w:val="BodyText"/>
        <w:spacing w:before="7"/>
        <w:ind w:left="667"/>
      </w:pPr>
      <w:r>
        <w:rPr/>
        <w:t>六项基本日常生活活动指：</w:t>
      </w:r>
    </w:p>
    <w:p>
      <w:pPr>
        <w:pStyle w:val="BodyText"/>
        <w:ind w:left="684"/>
      </w:pPr>
      <w:r>
        <w:rPr/>
        <w:t>（1）穿衣：自己能够穿衣及脱衣；</w:t>
      </w:r>
    </w:p>
    <w:p>
      <w:pPr>
        <w:pStyle w:val="BodyText"/>
        <w:ind w:left="684"/>
      </w:pPr>
      <w:r>
        <w:rPr/>
        <w:t>（2）移动：自己从一个房间到另一个房间；</w:t>
      </w:r>
    </w:p>
    <w:p>
      <w:pPr>
        <w:pStyle w:val="BodyText"/>
        <w:ind w:left="665"/>
      </w:pPr>
      <w:r>
        <w:rPr/>
        <w:t>（3）行动：自己上下床或上下轮椅；</w:t>
      </w:r>
    </w:p>
    <w:p>
      <w:pPr>
        <w:pStyle w:val="BodyText"/>
        <w:ind w:left="665"/>
      </w:pPr>
      <w:r>
        <w:rPr/>
        <w:t>（4）如厕：自己控制进行大小便；</w:t>
      </w:r>
    </w:p>
    <w:p>
      <w:pPr>
        <w:pStyle w:val="BodyText"/>
        <w:ind w:left="665"/>
      </w:pPr>
      <w:r>
        <w:rPr/>
        <w:t>（5）进食：自己从已准备好的碗或碟中取食物放入口中；</w:t>
      </w:r>
    </w:p>
    <w:p>
      <w:pPr>
        <w:pStyle w:val="BodyText"/>
        <w:ind w:left="665"/>
      </w:pPr>
      <w:r>
        <w:rPr/>
        <w:t>（6）洗澡：自己进行淋浴或盆浴。</w:t>
      </w:r>
    </w:p>
    <w:p>
      <w:pPr>
        <w:pStyle w:val="BodyText"/>
        <w:spacing w:line="273" w:lineRule="auto"/>
        <w:ind w:left="245" w:right="175" w:firstLine="422"/>
      </w:pPr>
      <w:r>
        <w:rPr/>
        <w:t>永久不可逆，指自疾病确诊或意外伤害发生之日起，经过积极治疗 180 天后， 仍无法通过现有医疗手段恢复。</w:t>
      </w:r>
    </w:p>
    <w:p>
      <w:pPr>
        <w:spacing w:after="0" w:line="273" w:lineRule="auto"/>
        <w:sectPr>
          <w:type w:val="continuous"/>
          <w:pgSz w:w="11910" w:h="16840"/>
          <w:pgMar w:top="1120" w:bottom="1180" w:left="1160" w:right="900"/>
          <w:cols w:num="2" w:equalWidth="0">
            <w:col w:w="1682" w:space="40"/>
            <w:col w:w="8128"/>
          </w:cols>
        </w:sectPr>
      </w:pPr>
    </w:p>
    <w:p>
      <w:pPr>
        <w:pStyle w:val="BodyText"/>
        <w:spacing w:before="8"/>
      </w:pPr>
    </w:p>
    <w:p>
      <w:pPr>
        <w:pStyle w:val="ListParagraph"/>
        <w:numPr>
          <w:ilvl w:val="1"/>
          <w:numId w:val="9"/>
        </w:numPr>
        <w:tabs>
          <w:tab w:pos="836" w:val="left" w:leader="none"/>
          <w:tab w:pos="837" w:val="left" w:leader="none"/>
          <w:tab w:pos="2386" w:val="left" w:leader="none"/>
        </w:tabs>
        <w:spacing w:line="273" w:lineRule="auto" w:before="36" w:after="0"/>
        <w:ind w:left="1966" w:right="115" w:hanging="1769"/>
        <w:jc w:val="left"/>
        <w:rPr>
          <w:sz w:val="21"/>
        </w:rPr>
      </w:pPr>
      <w:r>
        <w:rPr>
          <w:sz w:val="21"/>
        </w:rPr>
        <w:t>毒品</w:t>
        <w:tab/>
        <w:tab/>
      </w:r>
      <w:r>
        <w:rPr>
          <w:spacing w:val="-1"/>
          <w:sz w:val="21"/>
        </w:rPr>
        <w:t>指中</w:t>
      </w:r>
      <w:r>
        <w:rPr>
          <w:spacing w:val="-3"/>
          <w:sz w:val="21"/>
        </w:rPr>
        <w:t>华</w:t>
      </w:r>
      <w:r>
        <w:rPr>
          <w:spacing w:val="-1"/>
          <w:sz w:val="21"/>
        </w:rPr>
        <w:t>人</w:t>
      </w:r>
      <w:r>
        <w:rPr>
          <w:spacing w:val="-3"/>
          <w:sz w:val="21"/>
        </w:rPr>
        <w:t>民</w:t>
      </w:r>
      <w:r>
        <w:rPr>
          <w:spacing w:val="-1"/>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w:t>
      </w:r>
      <w:r>
        <w:rPr>
          <w:sz w:val="21"/>
        </w:rPr>
        <w:t>片</w:t>
      </w:r>
      <w:r>
        <w:rPr>
          <w:spacing w:val="-27"/>
          <w:sz w:val="21"/>
        </w:rPr>
        <w:t>、</w:t>
      </w:r>
      <w:r>
        <w:rPr>
          <w:sz w:val="21"/>
        </w:rPr>
        <w:t>海</w:t>
      </w:r>
      <w:r>
        <w:rPr>
          <w:spacing w:val="-3"/>
          <w:sz w:val="21"/>
        </w:rPr>
        <w:t>洛</w:t>
      </w:r>
      <w:r>
        <w:rPr>
          <w:sz w:val="21"/>
        </w:rPr>
        <w:t>因</w:t>
      </w:r>
      <w:r>
        <w:rPr>
          <w:spacing w:val="-24"/>
          <w:sz w:val="21"/>
        </w:rPr>
        <w:t>、</w:t>
      </w:r>
      <w:r>
        <w:rPr>
          <w:spacing w:val="-3"/>
          <w:sz w:val="21"/>
        </w:rPr>
        <w:t>甲基</w:t>
      </w:r>
      <w:r>
        <w:rPr>
          <w:sz w:val="21"/>
        </w:rPr>
        <w:t>苯丙</w:t>
      </w:r>
      <w:r>
        <w:rPr>
          <w:spacing w:val="-27"/>
          <w:sz w:val="21"/>
        </w:rPr>
        <w:t>胺</w:t>
      </w:r>
      <w:r>
        <w:rPr>
          <w:sz w:val="21"/>
        </w:rPr>
        <w:t>（</w:t>
      </w:r>
      <w:r>
        <w:rPr>
          <w:spacing w:val="-3"/>
          <w:sz w:val="21"/>
        </w:rPr>
        <w:t>冰</w:t>
      </w:r>
      <w:r>
        <w:rPr>
          <w:sz w:val="21"/>
        </w:rPr>
        <w:t>毒</w:t>
      </w:r>
      <w:r>
        <w:rPr>
          <w:spacing w:val="-106"/>
          <w:sz w:val="21"/>
        </w:rPr>
        <w:t>）</w:t>
      </w:r>
      <w:r>
        <w:rPr>
          <w:spacing w:val="-27"/>
          <w:sz w:val="21"/>
        </w:rPr>
        <w:t>、</w:t>
      </w:r>
      <w:r>
        <w:rPr>
          <w:sz w:val="21"/>
        </w:rPr>
        <w:t>吗啡</w:t>
      </w:r>
      <w:r>
        <w:rPr>
          <w:spacing w:val="-27"/>
          <w:sz w:val="21"/>
        </w:rPr>
        <w:t>、</w:t>
      </w:r>
      <w:r>
        <w:rPr>
          <w:spacing w:val="-3"/>
          <w:sz w:val="21"/>
        </w:rPr>
        <w:t>大</w:t>
      </w:r>
      <w:r>
        <w:rPr>
          <w:sz w:val="21"/>
        </w:rPr>
        <w:t>麻、 可卡因以及国家规定管制的其他能够使人形成瘾癖的麻醉药品和精神药品，但不包括由</w:t>
      </w:r>
      <w:r>
        <w:rPr>
          <w:spacing w:val="-3"/>
          <w:sz w:val="21"/>
        </w:rPr>
        <w:t>医</w:t>
      </w:r>
      <w:r>
        <w:rPr>
          <w:sz w:val="21"/>
        </w:rPr>
        <w:t>生</w:t>
      </w:r>
      <w:r>
        <w:rPr>
          <w:spacing w:val="-3"/>
          <w:sz w:val="21"/>
        </w:rPr>
        <w:t>开</w:t>
      </w:r>
      <w:r>
        <w:rPr>
          <w:sz w:val="21"/>
        </w:rPr>
        <w:t>具</w:t>
      </w:r>
      <w:r>
        <w:rPr>
          <w:spacing w:val="-3"/>
          <w:sz w:val="21"/>
        </w:rPr>
        <w:t>并</w:t>
      </w:r>
      <w:r>
        <w:rPr>
          <w:sz w:val="21"/>
        </w:rPr>
        <w:t>遵</w:t>
      </w:r>
      <w:r>
        <w:rPr>
          <w:spacing w:val="-3"/>
          <w:sz w:val="21"/>
        </w:rPr>
        <w:t>医</w:t>
      </w:r>
      <w:r>
        <w:rPr>
          <w:sz w:val="21"/>
        </w:rPr>
        <w:t>嘱</w:t>
      </w:r>
      <w:r>
        <w:rPr>
          <w:spacing w:val="-3"/>
          <w:sz w:val="21"/>
        </w:rPr>
        <w:t>使</w:t>
      </w:r>
      <w:r>
        <w:rPr>
          <w:sz w:val="21"/>
        </w:rPr>
        <w:t>用的</w:t>
      </w:r>
      <w:r>
        <w:rPr>
          <w:spacing w:val="-3"/>
          <w:sz w:val="21"/>
        </w:rPr>
        <w:t>用</w:t>
      </w:r>
      <w:r>
        <w:rPr>
          <w:sz w:val="21"/>
        </w:rPr>
        <w:t>于</w:t>
      </w:r>
      <w:r>
        <w:rPr>
          <w:spacing w:val="-3"/>
          <w:sz w:val="21"/>
        </w:rPr>
        <w:t>治</w:t>
      </w:r>
      <w:r>
        <w:rPr>
          <w:sz w:val="21"/>
        </w:rPr>
        <w:t>疗</w:t>
      </w:r>
      <w:r>
        <w:rPr>
          <w:spacing w:val="-3"/>
          <w:sz w:val="21"/>
        </w:rPr>
        <w:t>疾</w:t>
      </w:r>
      <w:r>
        <w:rPr>
          <w:sz w:val="21"/>
        </w:rPr>
        <w:t>病</w:t>
      </w:r>
      <w:r>
        <w:rPr>
          <w:spacing w:val="-3"/>
          <w:sz w:val="21"/>
        </w:rPr>
        <w:t>但</w:t>
      </w:r>
      <w:r>
        <w:rPr>
          <w:sz w:val="21"/>
        </w:rPr>
        <w:t>含</w:t>
      </w:r>
      <w:r>
        <w:rPr>
          <w:spacing w:val="-3"/>
          <w:sz w:val="21"/>
        </w:rPr>
        <w:t>有</w:t>
      </w:r>
      <w:r>
        <w:rPr>
          <w:sz w:val="21"/>
        </w:rPr>
        <w:t>毒品</w:t>
      </w:r>
      <w:r>
        <w:rPr>
          <w:spacing w:val="-3"/>
          <w:sz w:val="21"/>
        </w:rPr>
        <w:t>成</w:t>
      </w:r>
      <w:r>
        <w:rPr>
          <w:sz w:val="21"/>
        </w:rPr>
        <w:t>分</w:t>
      </w:r>
      <w:r>
        <w:rPr>
          <w:spacing w:val="-3"/>
          <w:sz w:val="21"/>
        </w:rPr>
        <w:t>的</w:t>
      </w:r>
      <w:r>
        <w:rPr>
          <w:sz w:val="21"/>
        </w:rPr>
        <w:t>处</w:t>
      </w:r>
      <w:r>
        <w:rPr>
          <w:spacing w:val="-3"/>
          <w:sz w:val="21"/>
        </w:rPr>
        <w:t>方</w:t>
      </w:r>
      <w:r>
        <w:rPr>
          <w:sz w:val="21"/>
        </w:rPr>
        <w:t>药</w:t>
      </w:r>
      <w:r>
        <w:rPr>
          <w:spacing w:val="-3"/>
          <w:sz w:val="21"/>
        </w:rPr>
        <w:t>品</w:t>
      </w:r>
      <w:r>
        <w:rPr>
          <w:sz w:val="21"/>
        </w:rPr>
        <w:t>。</w:t>
      </w:r>
    </w:p>
    <w:p>
      <w:pPr>
        <w:pStyle w:val="BodyText"/>
        <w:spacing w:before="5"/>
        <w:rPr>
          <w:sz w:val="24"/>
        </w:rPr>
      </w:pPr>
    </w:p>
    <w:p>
      <w:pPr>
        <w:pStyle w:val="ListParagraph"/>
        <w:numPr>
          <w:ilvl w:val="1"/>
          <w:numId w:val="9"/>
        </w:numPr>
        <w:tabs>
          <w:tab w:pos="837" w:val="left" w:leader="none"/>
        </w:tabs>
        <w:spacing w:line="273" w:lineRule="auto" w:before="0" w:after="0"/>
        <w:ind w:left="1966" w:right="218" w:hanging="1769"/>
        <w:jc w:val="both"/>
        <w:rPr>
          <w:sz w:val="21"/>
        </w:rPr>
      </w:pPr>
      <w:r>
        <w:rPr>
          <w:sz w:val="21"/>
        </w:rPr>
        <w:t>酒后驾驶      指经检测或鉴定，发生事故时车辆驾驶人员每百毫升血液中的酒精含量达到或超过道路交通法规规定的标准，或公安机关交通管理部门依据《道路交通安全法》</w:t>
      </w:r>
      <w:r>
        <w:rPr>
          <w:spacing w:val="-3"/>
          <w:sz w:val="21"/>
        </w:rPr>
        <w:t>的规定认定为饮酒后驾驶或醉酒后驾驶。</w:t>
      </w:r>
    </w:p>
    <w:p>
      <w:pPr>
        <w:spacing w:after="0" w:line="273" w:lineRule="auto"/>
        <w:jc w:val="both"/>
        <w:rPr>
          <w:sz w:val="21"/>
        </w:rPr>
        <w:sectPr>
          <w:type w:val="continuous"/>
          <w:pgSz w:w="11910" w:h="16840"/>
          <w:pgMar w:top="1120" w:bottom="1180" w:left="1160" w:right="900"/>
        </w:sectPr>
      </w:pPr>
    </w:p>
    <w:p>
      <w:pPr>
        <w:pStyle w:val="BodyText"/>
        <w:spacing w:before="11"/>
        <w:rPr>
          <w:sz w:val="2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
        <w:gridCol w:w="1305"/>
        <w:gridCol w:w="7633"/>
      </w:tblGrid>
      <w:tr>
        <w:trPr>
          <w:trHeight w:val="1459" w:hRule="atLeast"/>
        </w:trPr>
        <w:tc>
          <w:tcPr>
            <w:tcW w:w="580" w:type="dxa"/>
          </w:tcPr>
          <w:p>
            <w:pPr>
              <w:pStyle w:val="TableParagraph"/>
              <w:spacing w:line="211" w:lineRule="exact"/>
              <w:ind w:left="50"/>
              <w:rPr>
                <w:sz w:val="21"/>
              </w:rPr>
            </w:pPr>
            <w:r>
              <w:rPr>
                <w:sz w:val="21"/>
              </w:rPr>
              <w:t>6.9</w:t>
            </w:r>
          </w:p>
        </w:tc>
        <w:tc>
          <w:tcPr>
            <w:tcW w:w="1305" w:type="dxa"/>
          </w:tcPr>
          <w:p>
            <w:pPr>
              <w:pStyle w:val="TableParagraph"/>
              <w:spacing w:line="211" w:lineRule="exact"/>
              <w:ind w:left="108"/>
              <w:rPr>
                <w:sz w:val="21"/>
              </w:rPr>
            </w:pPr>
            <w:r>
              <w:rPr>
                <w:sz w:val="21"/>
              </w:rPr>
              <w:t>无合法有</w:t>
            </w:r>
          </w:p>
          <w:p>
            <w:pPr>
              <w:pStyle w:val="TableParagraph"/>
              <w:spacing w:line="273" w:lineRule="auto" w:before="37"/>
              <w:ind w:left="108" w:right="349"/>
              <w:rPr>
                <w:sz w:val="21"/>
              </w:rPr>
            </w:pPr>
            <w:r>
              <w:rPr>
                <w:sz w:val="21"/>
              </w:rPr>
              <w:t>效驾驶证驾驶</w:t>
            </w:r>
          </w:p>
        </w:tc>
        <w:tc>
          <w:tcPr>
            <w:tcW w:w="7633" w:type="dxa"/>
          </w:tcPr>
          <w:p>
            <w:pPr>
              <w:pStyle w:val="TableParagraph"/>
              <w:spacing w:line="211" w:lineRule="exact"/>
              <w:ind w:left="353"/>
              <w:rPr>
                <w:sz w:val="21"/>
              </w:rPr>
            </w:pPr>
            <w:r>
              <w:rPr>
                <w:sz w:val="21"/>
              </w:rPr>
              <w:t>指下列情形之一：</w:t>
            </w:r>
          </w:p>
          <w:p>
            <w:pPr>
              <w:pStyle w:val="TableParagraph"/>
              <w:spacing w:before="37"/>
              <w:ind w:left="353"/>
              <w:rPr>
                <w:sz w:val="21"/>
              </w:rPr>
            </w:pPr>
            <w:r>
              <w:rPr>
                <w:sz w:val="21"/>
              </w:rPr>
              <w:t>1.没有取得驾驶资格；</w:t>
            </w:r>
          </w:p>
          <w:p>
            <w:pPr>
              <w:pStyle w:val="TableParagraph"/>
              <w:spacing w:before="37"/>
              <w:ind w:left="353"/>
              <w:rPr>
                <w:sz w:val="21"/>
              </w:rPr>
            </w:pPr>
            <w:r>
              <w:rPr>
                <w:sz w:val="21"/>
              </w:rPr>
              <w:t>2.驾驶与驾驶证准驾车型不相符合的车辆；</w:t>
            </w:r>
          </w:p>
          <w:p>
            <w:pPr>
              <w:pStyle w:val="TableParagraph"/>
              <w:spacing w:before="37"/>
              <w:ind w:left="353"/>
              <w:rPr>
                <w:sz w:val="21"/>
              </w:rPr>
            </w:pPr>
            <w:r>
              <w:rPr>
                <w:sz w:val="21"/>
              </w:rPr>
              <w:t>3.持审验不合格的驾驶证驾驶；</w:t>
            </w:r>
          </w:p>
          <w:p>
            <w:pPr>
              <w:pStyle w:val="TableParagraph"/>
              <w:spacing w:line="255" w:lineRule="exact" w:before="37"/>
              <w:ind w:left="353"/>
              <w:rPr>
                <w:sz w:val="21"/>
              </w:rPr>
            </w:pPr>
            <w:r>
              <w:rPr>
                <w:sz w:val="21"/>
              </w:rPr>
              <w:t>4.持学习驾驶证学习驾车时，无教练员随车指导，或不按指定时间、路线学习</w:t>
            </w:r>
          </w:p>
        </w:tc>
      </w:tr>
      <w:tr>
        <w:trPr>
          <w:trHeight w:val="518" w:hRule="atLeast"/>
        </w:trPr>
        <w:tc>
          <w:tcPr>
            <w:tcW w:w="9518" w:type="dxa"/>
            <w:gridSpan w:val="3"/>
          </w:tcPr>
          <w:p>
            <w:pPr>
              <w:pStyle w:val="TableParagraph"/>
              <w:spacing w:before="37"/>
              <w:ind w:left="1818"/>
              <w:rPr>
                <w:sz w:val="21"/>
              </w:rPr>
            </w:pPr>
            <w:r>
              <w:rPr>
                <w:sz w:val="21"/>
              </w:rPr>
              <w:t>驾车。</w:t>
            </w:r>
          </w:p>
        </w:tc>
      </w:tr>
      <w:tr>
        <w:trPr>
          <w:trHeight w:val="1247" w:hRule="atLeast"/>
        </w:trPr>
        <w:tc>
          <w:tcPr>
            <w:tcW w:w="580" w:type="dxa"/>
          </w:tcPr>
          <w:p>
            <w:pPr>
              <w:pStyle w:val="TableParagraph"/>
              <w:spacing w:before="142"/>
              <w:ind w:left="50"/>
              <w:rPr>
                <w:sz w:val="21"/>
              </w:rPr>
            </w:pPr>
            <w:r>
              <w:rPr>
                <w:sz w:val="21"/>
              </w:rPr>
              <w:t>6.10</w:t>
            </w:r>
          </w:p>
        </w:tc>
        <w:tc>
          <w:tcPr>
            <w:tcW w:w="1305" w:type="dxa"/>
          </w:tcPr>
          <w:p>
            <w:pPr>
              <w:pStyle w:val="TableParagraph"/>
              <w:spacing w:line="273" w:lineRule="auto" w:before="142"/>
              <w:ind w:left="108" w:right="349"/>
              <w:rPr>
                <w:sz w:val="21"/>
              </w:rPr>
            </w:pPr>
            <w:r>
              <w:rPr>
                <w:sz w:val="21"/>
              </w:rPr>
              <w:t>无有效行驶证</w:t>
            </w:r>
          </w:p>
        </w:tc>
        <w:tc>
          <w:tcPr>
            <w:tcW w:w="7633" w:type="dxa"/>
          </w:tcPr>
          <w:p>
            <w:pPr>
              <w:pStyle w:val="TableParagraph"/>
              <w:spacing w:before="142"/>
              <w:ind w:left="353"/>
              <w:rPr>
                <w:sz w:val="21"/>
              </w:rPr>
            </w:pPr>
            <w:r>
              <w:rPr>
                <w:sz w:val="21"/>
              </w:rPr>
              <w:t>指下列情形之一：</w:t>
            </w:r>
          </w:p>
          <w:p>
            <w:pPr>
              <w:pStyle w:val="TableParagraph"/>
              <w:spacing w:before="36"/>
              <w:ind w:left="353"/>
              <w:rPr>
                <w:sz w:val="21"/>
              </w:rPr>
            </w:pPr>
            <w:r>
              <w:rPr>
                <w:sz w:val="21"/>
              </w:rPr>
              <w:t>1.机动车被依法注销登记的；</w:t>
            </w:r>
          </w:p>
          <w:p>
            <w:pPr>
              <w:pStyle w:val="TableParagraph"/>
              <w:spacing w:before="36"/>
              <w:ind w:left="353"/>
              <w:rPr>
                <w:sz w:val="21"/>
              </w:rPr>
            </w:pPr>
            <w:r>
              <w:rPr>
                <w:sz w:val="21"/>
              </w:rPr>
              <w:t>2.未依法按时进行或通过机动车安全技术检验。</w:t>
            </w:r>
          </w:p>
        </w:tc>
      </w:tr>
      <w:tr>
        <w:trPr>
          <w:trHeight w:val="417" w:hRule="atLeast"/>
        </w:trPr>
        <w:tc>
          <w:tcPr>
            <w:tcW w:w="580" w:type="dxa"/>
          </w:tcPr>
          <w:p>
            <w:pPr>
              <w:pStyle w:val="TableParagraph"/>
              <w:spacing w:line="255" w:lineRule="exact" w:before="142"/>
              <w:ind w:left="50"/>
              <w:rPr>
                <w:sz w:val="21"/>
              </w:rPr>
            </w:pPr>
            <w:r>
              <w:rPr>
                <w:sz w:val="21"/>
              </w:rPr>
              <w:t>6.11</w:t>
            </w:r>
          </w:p>
        </w:tc>
        <w:tc>
          <w:tcPr>
            <w:tcW w:w="1305" w:type="dxa"/>
          </w:tcPr>
          <w:p>
            <w:pPr>
              <w:pStyle w:val="TableParagraph"/>
              <w:spacing w:line="255" w:lineRule="exact" w:before="142"/>
              <w:ind w:left="108"/>
              <w:rPr>
                <w:sz w:val="21"/>
              </w:rPr>
            </w:pPr>
            <w:r>
              <w:rPr>
                <w:sz w:val="21"/>
              </w:rPr>
              <w:t>机动车</w:t>
            </w:r>
          </w:p>
        </w:tc>
        <w:tc>
          <w:tcPr>
            <w:tcW w:w="7633" w:type="dxa"/>
          </w:tcPr>
          <w:p>
            <w:pPr>
              <w:pStyle w:val="TableParagraph"/>
              <w:spacing w:line="255" w:lineRule="exact" w:before="142"/>
              <w:ind w:left="353"/>
              <w:rPr>
                <w:sz w:val="21"/>
              </w:rPr>
            </w:pPr>
            <w:r>
              <w:rPr>
                <w:sz w:val="21"/>
              </w:rPr>
              <w:t>指以动力装置驱动或牵引，供人员乘用或用于运送物品以及进行工程专项作业</w:t>
            </w:r>
          </w:p>
        </w:tc>
      </w:tr>
    </w:tbl>
    <w:p>
      <w:pPr>
        <w:pStyle w:val="BodyText"/>
        <w:spacing w:before="37"/>
        <w:ind w:left="1966"/>
      </w:pPr>
      <w:r>
        <w:rPr/>
        <w:t>的轮式车辆。</w:t>
      </w:r>
    </w:p>
    <w:p>
      <w:pPr>
        <w:pStyle w:val="BodyText"/>
        <w:spacing w:before="11"/>
        <w:rPr>
          <w:sz w:val="23"/>
        </w:rPr>
      </w:pPr>
    </w:p>
    <w:p>
      <w:pPr>
        <w:spacing w:after="0"/>
        <w:rPr>
          <w:sz w:val="23"/>
        </w:rPr>
        <w:sectPr>
          <w:pgSz w:w="11910" w:h="16840"/>
          <w:pgMar w:header="879" w:footer="999" w:top="1120" w:bottom="1180" w:left="1160" w:right="900"/>
        </w:sectPr>
      </w:pPr>
    </w:p>
    <w:p>
      <w:pPr>
        <w:pStyle w:val="ListParagraph"/>
        <w:numPr>
          <w:ilvl w:val="1"/>
          <w:numId w:val="10"/>
        </w:numPr>
        <w:tabs>
          <w:tab w:pos="836" w:val="left" w:leader="none"/>
          <w:tab w:pos="837" w:val="left" w:leader="none"/>
        </w:tabs>
        <w:spacing w:line="273" w:lineRule="auto" w:before="37" w:after="0"/>
        <w:ind w:left="836" w:right="0" w:hanging="639"/>
        <w:jc w:val="left"/>
        <w:rPr>
          <w:sz w:val="21"/>
        </w:rPr>
      </w:pPr>
      <w:r>
        <w:rPr>
          <w:sz w:val="21"/>
        </w:rPr>
        <w:t>遗传性疾病</w:t>
      </w:r>
    </w:p>
    <w:p>
      <w:pPr>
        <w:pStyle w:val="BodyText"/>
        <w:spacing w:line="273" w:lineRule="auto" w:before="37"/>
        <w:ind w:left="197" w:right="311" w:firstLine="420"/>
      </w:pPr>
      <w:r>
        <w:rPr/>
        <w:br w:type="column"/>
      </w:r>
      <w:r>
        <w:rPr/>
        <w:t>指生殖细胞或受精卵的遗传物质（染色体和基因）发生突变或畸变所引起的疾病，通常具有由亲代传至后代的垂直传递的特征。</w:t>
      </w:r>
    </w:p>
    <w:p>
      <w:pPr>
        <w:spacing w:after="0" w:line="273" w:lineRule="auto"/>
        <w:sectPr>
          <w:type w:val="continuous"/>
          <w:pgSz w:w="11910" w:h="16840"/>
          <w:pgMar w:top="1120" w:bottom="1180" w:left="1160" w:right="900"/>
          <w:cols w:num="2" w:equalWidth="0">
            <w:col w:w="1682" w:space="87"/>
            <w:col w:w="8081"/>
          </w:cols>
        </w:sectPr>
      </w:pPr>
    </w:p>
    <w:p>
      <w:pPr>
        <w:pStyle w:val="BodyText"/>
        <w:spacing w:before="8"/>
      </w:pPr>
    </w:p>
    <w:p>
      <w:pPr>
        <w:spacing w:after="0"/>
        <w:sectPr>
          <w:type w:val="continuous"/>
          <w:pgSz w:w="11910" w:h="16840"/>
          <w:pgMar w:top="1120" w:bottom="1180" w:left="1160" w:right="900"/>
        </w:sectPr>
      </w:pPr>
    </w:p>
    <w:p>
      <w:pPr>
        <w:pStyle w:val="ListParagraph"/>
        <w:numPr>
          <w:ilvl w:val="1"/>
          <w:numId w:val="10"/>
        </w:numPr>
        <w:tabs>
          <w:tab w:pos="836" w:val="left" w:leader="none"/>
          <w:tab w:pos="837" w:val="left" w:leader="none"/>
        </w:tabs>
        <w:spacing w:line="240" w:lineRule="auto" w:before="36" w:after="0"/>
        <w:ind w:left="836" w:right="0" w:hanging="639"/>
        <w:jc w:val="left"/>
        <w:rPr>
          <w:sz w:val="21"/>
        </w:rPr>
      </w:pPr>
      <w:r>
        <w:rPr>
          <w:sz w:val="21"/>
        </w:rPr>
        <w:t>先天性畸</w:t>
      </w:r>
    </w:p>
    <w:p>
      <w:pPr>
        <w:pStyle w:val="BodyText"/>
        <w:spacing w:line="273" w:lineRule="auto"/>
        <w:ind w:left="836"/>
        <w:jc w:val="both"/>
      </w:pPr>
      <w:r>
        <w:rPr/>
        <w:t>形、变形或染色体异常</w:t>
      </w:r>
    </w:p>
    <w:p>
      <w:pPr>
        <w:pStyle w:val="BodyText"/>
        <w:spacing w:line="273" w:lineRule="auto"/>
        <w:ind w:left="197" w:right="115" w:firstLine="420"/>
      </w:pPr>
      <w:r>
        <w:rPr/>
        <w:br w:type="column"/>
      </w:r>
      <w:r>
        <w:rPr>
          <w:spacing w:val="-3"/>
        </w:rPr>
        <w:t>指被保险人出生时就具有的畸形、变形或染色体异常。先天性畸形、变形和染色</w:t>
      </w:r>
      <w:r>
        <w:rPr>
          <w:spacing w:val="-7"/>
        </w:rPr>
        <w:t>体异常依照世界卫生组织《疾病和有关健康问题的国际统计分类</w:t>
      </w:r>
      <w:r>
        <w:rPr>
          <w:spacing w:val="-144"/>
        </w:rPr>
        <w:t>》</w:t>
      </w:r>
      <w:r>
        <w:rPr>
          <w:spacing w:val="-6"/>
        </w:rPr>
        <w:t>（ICD-10）</w:t>
      </w:r>
      <w:r>
        <w:rPr>
          <w:spacing w:val="-2"/>
        </w:rPr>
        <w:t>确定。</w:t>
      </w:r>
    </w:p>
    <w:p>
      <w:pPr>
        <w:spacing w:after="0" w:line="273" w:lineRule="auto"/>
        <w:sectPr>
          <w:type w:val="continuous"/>
          <w:pgSz w:w="11910" w:h="16840"/>
          <w:pgMar w:top="1120" w:bottom="1180" w:left="1160" w:right="900"/>
          <w:cols w:num="2" w:equalWidth="0">
            <w:col w:w="1682" w:space="87"/>
            <w:col w:w="8081"/>
          </w:cols>
        </w:sectPr>
      </w:pPr>
    </w:p>
    <w:p>
      <w:pPr>
        <w:pStyle w:val="BodyText"/>
        <w:spacing w:before="8"/>
      </w:pPr>
    </w:p>
    <w:p>
      <w:pPr>
        <w:spacing w:after="0"/>
        <w:sectPr>
          <w:type w:val="continuous"/>
          <w:pgSz w:w="11910" w:h="16840"/>
          <w:pgMar w:top="1120" w:bottom="1180" w:left="1160" w:right="900"/>
        </w:sectPr>
      </w:pPr>
    </w:p>
    <w:p>
      <w:pPr>
        <w:pStyle w:val="ListParagraph"/>
        <w:numPr>
          <w:ilvl w:val="1"/>
          <w:numId w:val="10"/>
        </w:numPr>
        <w:tabs>
          <w:tab w:pos="836" w:val="left" w:leader="none"/>
          <w:tab w:pos="837" w:val="left" w:leader="none"/>
        </w:tabs>
        <w:spacing w:line="240" w:lineRule="auto" w:before="36" w:after="0"/>
        <w:ind w:left="836" w:right="0" w:hanging="639"/>
        <w:jc w:val="left"/>
        <w:rPr>
          <w:sz w:val="21"/>
        </w:rPr>
      </w:pPr>
      <w:r>
        <w:rPr>
          <w:sz w:val="21"/>
        </w:rPr>
        <w:t>感染艾滋</w:t>
      </w:r>
    </w:p>
    <w:p>
      <w:pPr>
        <w:pStyle w:val="BodyText"/>
        <w:spacing w:line="273" w:lineRule="auto"/>
        <w:ind w:left="836"/>
      </w:pPr>
      <w:r>
        <w:rPr/>
        <w:t>病病毒或患艾滋病</w:t>
      </w:r>
    </w:p>
    <w:p>
      <w:pPr>
        <w:pStyle w:val="BodyText"/>
        <w:spacing w:line="273" w:lineRule="auto"/>
        <w:ind w:left="197" w:right="220" w:firstLine="420"/>
        <w:jc w:val="both"/>
      </w:pPr>
      <w:r>
        <w:rPr/>
        <w:br w:type="column"/>
      </w:r>
      <w:r>
        <w:rPr>
          <w:spacing w:val="-7"/>
        </w:rPr>
        <w:t>艾滋病病毒指人类免疫缺陷病毒，英文缩写为 </w:t>
      </w:r>
      <w:r>
        <w:rPr/>
        <w:t>HIV</w:t>
      </w:r>
      <w:r>
        <w:rPr>
          <w:spacing w:val="-7"/>
        </w:rPr>
        <w:t>。艾滋病指人类免疫缺陷病毒引起的获得性免疫缺陷综合征，英文缩写为 </w:t>
      </w:r>
      <w:r>
        <w:rPr/>
        <w:t>AIDS。</w:t>
      </w:r>
    </w:p>
    <w:p>
      <w:pPr>
        <w:pStyle w:val="BodyText"/>
        <w:spacing w:line="273" w:lineRule="auto" w:before="7"/>
        <w:ind w:left="197" w:right="309" w:firstLine="420"/>
        <w:jc w:val="both"/>
      </w:pPr>
      <w:r>
        <w:rPr/>
        <w:t>在人体血液或其他样本中检测到艾滋病病毒或其抗体呈阳性，没有出现临床症状或体征的，为感染艾滋病病毒；如果同时出现了明显临床症状或体征的，为患艾滋病。</w:t>
      </w:r>
    </w:p>
    <w:sectPr>
      <w:type w:val="continuous"/>
      <w:pgSz w:w="11910" w:h="16840"/>
      <w:pgMar w:top="1120" w:bottom="1180" w:left="1160" w:right="900"/>
      <w:cols w:num="2" w:equalWidth="0">
        <w:col w:w="1682" w:space="87"/>
        <w:col w:w="808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258263pt;margin-top:780.964172pt;width:38.1pt;height:11pt;mso-position-horizontal-relative:page;mso-position-vertical-relative:page;z-index:-26848" type="#_x0000_t202" filled="false" stroked="false">
          <v:textbox inset="0,0,0,0">
            <w:txbxContent>
              <w:p>
                <w:pPr>
                  <w:spacing w:line="200" w:lineRule="exact" w:before="0"/>
                  <w:ind w:left="20" w:right="0" w:firstLine="0"/>
                  <w:jc w:val="left"/>
                  <w:rPr>
                    <w:sz w:val="18"/>
                  </w:rPr>
                </w:pPr>
                <w:r>
                  <w:rPr>
                    <w:sz w:val="18"/>
                  </w:rPr>
                  <w:t>28720091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6920" from="63.698261pt,55.658524pt" to="543.698261pt,55.65852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13826pt;margin-top:42.964149pt;width:92pt;height:11pt;mso-position-horizontal-relative:page;mso-position-vertical-relative:page;z-index:-26896" type="#_x0000_t202" filled="false" stroked="false">
          <v:textbox inset="0,0,0,0">
            <w:txbxContent>
              <w:p>
                <w:pPr>
                  <w:spacing w:line="200" w:lineRule="exact" w:before="0"/>
                  <w:ind w:left="20" w:right="0" w:firstLine="0"/>
                  <w:jc w:val="left"/>
                  <w:rPr>
                    <w:sz w:val="18"/>
                  </w:rPr>
                </w:pPr>
                <w:r>
                  <w:rPr>
                    <w:sz w:val="18"/>
                  </w:rPr>
                  <w:t>团体重大疾病保险条款</w:t>
                </w:r>
              </w:p>
            </w:txbxContent>
          </v:textbox>
          <w10:wrap type="none"/>
        </v:shape>
      </w:pict>
    </w:r>
    <w:r>
      <w:rPr/>
      <w:pict>
        <v:shape style="position:absolute;margin-left:433.378265pt;margin-top:42.964149pt;width:110pt;height:11pt;mso-position-horizontal-relative:page;mso-position-vertical-relative:page;z-index:-26872"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6"/>
      <w:numFmt w:val="decimal"/>
      <w:lvlText w:val="%1"/>
      <w:lvlJc w:val="left"/>
      <w:pPr>
        <w:ind w:left="836" w:hanging="639"/>
        <w:jc w:val="left"/>
      </w:pPr>
      <w:rPr>
        <w:rFonts w:hint="default"/>
      </w:rPr>
    </w:lvl>
    <w:lvl w:ilvl="1">
      <w:start w:val="12"/>
      <w:numFmt w:val="decimal"/>
      <w:lvlText w:val="%1.%2"/>
      <w:lvlJc w:val="left"/>
      <w:pPr>
        <w:ind w:left="836" w:hanging="639"/>
        <w:jc w:val="left"/>
      </w:pPr>
      <w:rPr>
        <w:rFonts w:hint="default" w:ascii="宋体" w:hAnsi="宋体" w:eastAsia="宋体" w:cs="宋体"/>
        <w:w w:val="100"/>
        <w:sz w:val="21"/>
        <w:szCs w:val="21"/>
      </w:rPr>
    </w:lvl>
    <w:lvl w:ilvl="2">
      <w:start w:val="0"/>
      <w:numFmt w:val="bullet"/>
      <w:lvlText w:val="•"/>
      <w:lvlJc w:val="left"/>
      <w:pPr>
        <w:ind w:left="1008" w:hanging="639"/>
      </w:pPr>
      <w:rPr>
        <w:rFonts w:hint="default"/>
      </w:rPr>
    </w:lvl>
    <w:lvl w:ilvl="3">
      <w:start w:val="0"/>
      <w:numFmt w:val="bullet"/>
      <w:lvlText w:val="•"/>
      <w:lvlJc w:val="left"/>
      <w:pPr>
        <w:ind w:left="1092" w:hanging="639"/>
      </w:pPr>
      <w:rPr>
        <w:rFonts w:hint="default"/>
      </w:rPr>
    </w:lvl>
    <w:lvl w:ilvl="4">
      <w:start w:val="0"/>
      <w:numFmt w:val="bullet"/>
      <w:lvlText w:val="•"/>
      <w:lvlJc w:val="left"/>
      <w:pPr>
        <w:ind w:left="1176" w:hanging="639"/>
      </w:pPr>
      <w:rPr>
        <w:rFonts w:hint="default"/>
      </w:rPr>
    </w:lvl>
    <w:lvl w:ilvl="5">
      <w:start w:val="0"/>
      <w:numFmt w:val="bullet"/>
      <w:lvlText w:val="•"/>
      <w:lvlJc w:val="left"/>
      <w:pPr>
        <w:ind w:left="1260" w:hanging="639"/>
      </w:pPr>
      <w:rPr>
        <w:rFonts w:hint="default"/>
      </w:rPr>
    </w:lvl>
    <w:lvl w:ilvl="6">
      <w:start w:val="0"/>
      <w:numFmt w:val="bullet"/>
      <w:lvlText w:val="•"/>
      <w:lvlJc w:val="left"/>
      <w:pPr>
        <w:ind w:left="1344" w:hanging="639"/>
      </w:pPr>
      <w:rPr>
        <w:rFonts w:hint="default"/>
      </w:rPr>
    </w:lvl>
    <w:lvl w:ilvl="7">
      <w:start w:val="0"/>
      <w:numFmt w:val="bullet"/>
      <w:lvlText w:val="•"/>
      <w:lvlJc w:val="left"/>
      <w:pPr>
        <w:ind w:left="1428" w:hanging="639"/>
      </w:pPr>
      <w:rPr>
        <w:rFonts w:hint="default"/>
      </w:rPr>
    </w:lvl>
    <w:lvl w:ilvl="8">
      <w:start w:val="0"/>
      <w:numFmt w:val="bullet"/>
      <w:lvlText w:val="•"/>
      <w:lvlJc w:val="left"/>
      <w:pPr>
        <w:ind w:left="1512" w:hanging="639"/>
      </w:pPr>
      <w:rPr>
        <w:rFonts w:hint="default"/>
      </w:rPr>
    </w:lvl>
  </w:abstractNum>
  <w:abstractNum w:abstractNumId="8">
    <w:multiLevelType w:val="hybridMultilevel"/>
    <w:lvl w:ilvl="0">
      <w:start w:val="6"/>
      <w:numFmt w:val="decimal"/>
      <w:lvlText w:val="%1"/>
      <w:lvlJc w:val="left"/>
      <w:pPr>
        <w:ind w:left="1986" w:hanging="639"/>
        <w:jc w:val="left"/>
      </w:pPr>
      <w:rPr>
        <w:rFonts w:hint="default"/>
      </w:rPr>
    </w:lvl>
    <w:lvl w:ilvl="1">
      <w:start w:val="4"/>
      <w:numFmt w:val="decimal"/>
      <w:lvlText w:val="%1.%2"/>
      <w:lvlJc w:val="left"/>
      <w:pPr>
        <w:ind w:left="1986" w:hanging="639"/>
        <w:jc w:val="left"/>
      </w:pPr>
      <w:rPr>
        <w:rFonts w:hint="default" w:ascii="宋体" w:hAnsi="宋体" w:eastAsia="宋体" w:cs="宋体"/>
        <w:w w:val="100"/>
        <w:sz w:val="21"/>
        <w:szCs w:val="21"/>
      </w:rPr>
    </w:lvl>
    <w:lvl w:ilvl="2">
      <w:start w:val="2"/>
      <w:numFmt w:val="decimal"/>
      <w:lvlText w:val="%1.%2.%3"/>
      <w:lvlJc w:val="left"/>
      <w:pPr>
        <w:ind w:left="856" w:hanging="634"/>
        <w:jc w:val="left"/>
      </w:pPr>
      <w:rPr>
        <w:rFonts w:hint="default" w:ascii="宋体" w:hAnsi="宋体" w:eastAsia="宋体" w:cs="宋体"/>
        <w:w w:val="100"/>
        <w:sz w:val="21"/>
        <w:szCs w:val="21"/>
      </w:rPr>
    </w:lvl>
    <w:lvl w:ilvl="3">
      <w:start w:val="0"/>
      <w:numFmt w:val="bullet"/>
      <w:lvlText w:val="•"/>
      <w:lvlJc w:val="left"/>
      <w:pPr>
        <w:ind w:left="1727" w:hanging="634"/>
      </w:pPr>
      <w:rPr>
        <w:rFonts w:hint="default"/>
      </w:rPr>
    </w:lvl>
    <w:lvl w:ilvl="4">
      <w:start w:val="0"/>
      <w:numFmt w:val="bullet"/>
      <w:lvlText w:val="•"/>
      <w:lvlJc w:val="left"/>
      <w:pPr>
        <w:ind w:left="1475" w:hanging="634"/>
      </w:pPr>
      <w:rPr>
        <w:rFonts w:hint="default"/>
      </w:rPr>
    </w:lvl>
    <w:lvl w:ilvl="5">
      <w:start w:val="0"/>
      <w:numFmt w:val="bullet"/>
      <w:lvlText w:val="•"/>
      <w:lvlJc w:val="left"/>
      <w:pPr>
        <w:ind w:left="1222" w:hanging="634"/>
      </w:pPr>
      <w:rPr>
        <w:rFonts w:hint="default"/>
      </w:rPr>
    </w:lvl>
    <w:lvl w:ilvl="6">
      <w:start w:val="0"/>
      <w:numFmt w:val="bullet"/>
      <w:lvlText w:val="•"/>
      <w:lvlJc w:val="left"/>
      <w:pPr>
        <w:ind w:left="970" w:hanging="634"/>
      </w:pPr>
      <w:rPr>
        <w:rFonts w:hint="default"/>
      </w:rPr>
    </w:lvl>
    <w:lvl w:ilvl="7">
      <w:start w:val="0"/>
      <w:numFmt w:val="bullet"/>
      <w:lvlText w:val="•"/>
      <w:lvlJc w:val="left"/>
      <w:pPr>
        <w:ind w:left="717" w:hanging="634"/>
      </w:pPr>
      <w:rPr>
        <w:rFonts w:hint="default"/>
      </w:rPr>
    </w:lvl>
    <w:lvl w:ilvl="8">
      <w:start w:val="0"/>
      <w:numFmt w:val="bullet"/>
      <w:lvlText w:val="•"/>
      <w:lvlJc w:val="left"/>
      <w:pPr>
        <w:ind w:left="465" w:hanging="634"/>
      </w:pPr>
      <w:rPr>
        <w:rFonts w:hint="default"/>
      </w:rPr>
    </w:lvl>
  </w:abstractNum>
  <w:abstractNum w:abstractNumId="7">
    <w:multiLevelType w:val="hybridMultilevel"/>
    <w:lvl w:ilvl="0">
      <w:start w:val="5"/>
      <w:numFmt w:val="decimal"/>
      <w:lvlText w:val="%1"/>
      <w:lvlJc w:val="left"/>
      <w:pPr>
        <w:ind w:left="836" w:hanging="639"/>
        <w:jc w:val="left"/>
      </w:pPr>
      <w:rPr>
        <w:rFonts w:hint="default"/>
      </w:rPr>
    </w:lvl>
    <w:lvl w:ilvl="1">
      <w:start w:val="4"/>
      <w:numFmt w:val="decimal"/>
      <w:lvlText w:val="%1.%2"/>
      <w:lvlJc w:val="left"/>
      <w:pPr>
        <w:ind w:left="836" w:hanging="639"/>
        <w:jc w:val="left"/>
      </w:pPr>
      <w:rPr>
        <w:rFonts w:hint="default" w:ascii="宋体" w:hAnsi="宋体" w:eastAsia="宋体" w:cs="宋体"/>
        <w:w w:val="100"/>
        <w:sz w:val="21"/>
        <w:szCs w:val="21"/>
      </w:rPr>
    </w:lvl>
    <w:lvl w:ilvl="2">
      <w:start w:val="0"/>
      <w:numFmt w:val="bullet"/>
      <w:lvlText w:val="•"/>
      <w:lvlJc w:val="left"/>
      <w:pPr>
        <w:ind w:left="1008" w:hanging="639"/>
      </w:pPr>
      <w:rPr>
        <w:rFonts w:hint="default"/>
      </w:rPr>
    </w:lvl>
    <w:lvl w:ilvl="3">
      <w:start w:val="0"/>
      <w:numFmt w:val="bullet"/>
      <w:lvlText w:val="•"/>
      <w:lvlJc w:val="left"/>
      <w:pPr>
        <w:ind w:left="1092" w:hanging="639"/>
      </w:pPr>
      <w:rPr>
        <w:rFonts w:hint="default"/>
      </w:rPr>
    </w:lvl>
    <w:lvl w:ilvl="4">
      <w:start w:val="0"/>
      <w:numFmt w:val="bullet"/>
      <w:lvlText w:val="•"/>
      <w:lvlJc w:val="left"/>
      <w:pPr>
        <w:ind w:left="1176" w:hanging="639"/>
      </w:pPr>
      <w:rPr>
        <w:rFonts w:hint="default"/>
      </w:rPr>
    </w:lvl>
    <w:lvl w:ilvl="5">
      <w:start w:val="0"/>
      <w:numFmt w:val="bullet"/>
      <w:lvlText w:val="•"/>
      <w:lvlJc w:val="left"/>
      <w:pPr>
        <w:ind w:left="1260" w:hanging="639"/>
      </w:pPr>
      <w:rPr>
        <w:rFonts w:hint="default"/>
      </w:rPr>
    </w:lvl>
    <w:lvl w:ilvl="6">
      <w:start w:val="0"/>
      <w:numFmt w:val="bullet"/>
      <w:lvlText w:val="•"/>
      <w:lvlJc w:val="left"/>
      <w:pPr>
        <w:ind w:left="1344" w:hanging="639"/>
      </w:pPr>
      <w:rPr>
        <w:rFonts w:hint="default"/>
      </w:rPr>
    </w:lvl>
    <w:lvl w:ilvl="7">
      <w:start w:val="0"/>
      <w:numFmt w:val="bullet"/>
      <w:lvlText w:val="•"/>
      <w:lvlJc w:val="left"/>
      <w:pPr>
        <w:ind w:left="1428" w:hanging="639"/>
      </w:pPr>
      <w:rPr>
        <w:rFonts w:hint="default"/>
      </w:rPr>
    </w:lvl>
    <w:lvl w:ilvl="8">
      <w:start w:val="0"/>
      <w:numFmt w:val="bullet"/>
      <w:lvlText w:val="•"/>
      <w:lvlJc w:val="left"/>
      <w:pPr>
        <w:ind w:left="1512" w:hanging="639"/>
      </w:pPr>
      <w:rPr>
        <w:rFonts w:hint="default"/>
      </w:rPr>
    </w:lvl>
  </w:abstractNum>
  <w:abstractNum w:abstractNumId="6">
    <w:multiLevelType w:val="hybridMultilevel"/>
    <w:lvl w:ilvl="0">
      <w:start w:val="5"/>
      <w:numFmt w:val="decimal"/>
      <w:lvlText w:val="%1"/>
      <w:lvlJc w:val="left"/>
      <w:pPr>
        <w:ind w:left="856" w:hanging="639"/>
        <w:jc w:val="left"/>
      </w:pPr>
      <w:rPr>
        <w:rFonts w:hint="default"/>
      </w:rPr>
    </w:lvl>
    <w:lvl w:ilvl="1">
      <w:start w:val="1"/>
      <w:numFmt w:val="decimal"/>
      <w:lvlText w:val="%1.%2"/>
      <w:lvlJc w:val="left"/>
      <w:pPr>
        <w:ind w:left="856" w:hanging="639"/>
        <w:jc w:val="right"/>
      </w:pPr>
      <w:rPr>
        <w:rFonts w:hint="default" w:ascii="宋体" w:hAnsi="宋体" w:eastAsia="宋体" w:cs="宋体"/>
        <w:w w:val="100"/>
        <w:sz w:val="21"/>
        <w:szCs w:val="21"/>
      </w:rPr>
    </w:lvl>
    <w:lvl w:ilvl="2">
      <w:start w:val="0"/>
      <w:numFmt w:val="bullet"/>
      <w:lvlText w:val="•"/>
      <w:lvlJc w:val="left"/>
      <w:pPr>
        <w:ind w:left="1028" w:hanging="639"/>
      </w:pPr>
      <w:rPr>
        <w:rFonts w:hint="default"/>
      </w:rPr>
    </w:lvl>
    <w:lvl w:ilvl="3">
      <w:start w:val="0"/>
      <w:numFmt w:val="bullet"/>
      <w:lvlText w:val="•"/>
      <w:lvlJc w:val="left"/>
      <w:pPr>
        <w:ind w:left="1112" w:hanging="639"/>
      </w:pPr>
      <w:rPr>
        <w:rFonts w:hint="default"/>
      </w:rPr>
    </w:lvl>
    <w:lvl w:ilvl="4">
      <w:start w:val="0"/>
      <w:numFmt w:val="bullet"/>
      <w:lvlText w:val="•"/>
      <w:lvlJc w:val="left"/>
      <w:pPr>
        <w:ind w:left="1196" w:hanging="639"/>
      </w:pPr>
      <w:rPr>
        <w:rFonts w:hint="default"/>
      </w:rPr>
    </w:lvl>
    <w:lvl w:ilvl="5">
      <w:start w:val="0"/>
      <w:numFmt w:val="bullet"/>
      <w:lvlText w:val="•"/>
      <w:lvlJc w:val="left"/>
      <w:pPr>
        <w:ind w:left="1280" w:hanging="639"/>
      </w:pPr>
      <w:rPr>
        <w:rFonts w:hint="default"/>
      </w:rPr>
    </w:lvl>
    <w:lvl w:ilvl="6">
      <w:start w:val="0"/>
      <w:numFmt w:val="bullet"/>
      <w:lvlText w:val="•"/>
      <w:lvlJc w:val="left"/>
      <w:pPr>
        <w:ind w:left="1364" w:hanging="639"/>
      </w:pPr>
      <w:rPr>
        <w:rFonts w:hint="default"/>
      </w:rPr>
    </w:lvl>
    <w:lvl w:ilvl="7">
      <w:start w:val="0"/>
      <w:numFmt w:val="bullet"/>
      <w:lvlText w:val="•"/>
      <w:lvlJc w:val="left"/>
      <w:pPr>
        <w:ind w:left="1448" w:hanging="639"/>
      </w:pPr>
      <w:rPr>
        <w:rFonts w:hint="default"/>
      </w:rPr>
    </w:lvl>
    <w:lvl w:ilvl="8">
      <w:start w:val="0"/>
      <w:numFmt w:val="bullet"/>
      <w:lvlText w:val="•"/>
      <w:lvlJc w:val="left"/>
      <w:pPr>
        <w:ind w:left="1532" w:hanging="639"/>
      </w:pPr>
      <w:rPr>
        <w:rFonts w:hint="default"/>
      </w:rPr>
    </w:lvl>
  </w:abstractNum>
  <w:abstractNum w:abstractNumId="5">
    <w:multiLevelType w:val="hybridMultilevel"/>
    <w:lvl w:ilvl="0">
      <w:start w:val="4"/>
      <w:numFmt w:val="decimal"/>
      <w:lvlText w:val="%1"/>
      <w:lvlJc w:val="left"/>
      <w:pPr>
        <w:ind w:left="856" w:hanging="639"/>
        <w:jc w:val="left"/>
      </w:pPr>
      <w:rPr>
        <w:rFonts w:hint="default"/>
      </w:rPr>
    </w:lvl>
    <w:lvl w:ilvl="1">
      <w:start w:val="1"/>
      <w:numFmt w:val="decimal"/>
      <w:lvlText w:val="%1.%2"/>
      <w:lvlJc w:val="left"/>
      <w:pPr>
        <w:ind w:left="856" w:hanging="639"/>
        <w:jc w:val="left"/>
      </w:pPr>
      <w:rPr>
        <w:rFonts w:hint="default" w:ascii="宋体" w:hAnsi="宋体" w:eastAsia="宋体" w:cs="宋体"/>
        <w:w w:val="100"/>
        <w:sz w:val="21"/>
        <w:szCs w:val="21"/>
      </w:rPr>
    </w:lvl>
    <w:lvl w:ilvl="2">
      <w:start w:val="0"/>
      <w:numFmt w:val="bullet"/>
      <w:lvlText w:val="•"/>
      <w:lvlJc w:val="left"/>
      <w:pPr>
        <w:ind w:left="1028" w:hanging="639"/>
      </w:pPr>
      <w:rPr>
        <w:rFonts w:hint="default"/>
      </w:rPr>
    </w:lvl>
    <w:lvl w:ilvl="3">
      <w:start w:val="0"/>
      <w:numFmt w:val="bullet"/>
      <w:lvlText w:val="•"/>
      <w:lvlJc w:val="left"/>
      <w:pPr>
        <w:ind w:left="1112" w:hanging="639"/>
      </w:pPr>
      <w:rPr>
        <w:rFonts w:hint="default"/>
      </w:rPr>
    </w:lvl>
    <w:lvl w:ilvl="4">
      <w:start w:val="0"/>
      <w:numFmt w:val="bullet"/>
      <w:lvlText w:val="•"/>
      <w:lvlJc w:val="left"/>
      <w:pPr>
        <w:ind w:left="1196" w:hanging="639"/>
      </w:pPr>
      <w:rPr>
        <w:rFonts w:hint="default"/>
      </w:rPr>
    </w:lvl>
    <w:lvl w:ilvl="5">
      <w:start w:val="0"/>
      <w:numFmt w:val="bullet"/>
      <w:lvlText w:val="•"/>
      <w:lvlJc w:val="left"/>
      <w:pPr>
        <w:ind w:left="1280" w:hanging="639"/>
      </w:pPr>
      <w:rPr>
        <w:rFonts w:hint="default"/>
      </w:rPr>
    </w:lvl>
    <w:lvl w:ilvl="6">
      <w:start w:val="0"/>
      <w:numFmt w:val="bullet"/>
      <w:lvlText w:val="•"/>
      <w:lvlJc w:val="left"/>
      <w:pPr>
        <w:ind w:left="1364" w:hanging="639"/>
      </w:pPr>
      <w:rPr>
        <w:rFonts w:hint="default"/>
      </w:rPr>
    </w:lvl>
    <w:lvl w:ilvl="7">
      <w:start w:val="0"/>
      <w:numFmt w:val="bullet"/>
      <w:lvlText w:val="•"/>
      <w:lvlJc w:val="left"/>
      <w:pPr>
        <w:ind w:left="1448" w:hanging="639"/>
      </w:pPr>
      <w:rPr>
        <w:rFonts w:hint="default"/>
      </w:rPr>
    </w:lvl>
    <w:lvl w:ilvl="8">
      <w:start w:val="0"/>
      <w:numFmt w:val="bullet"/>
      <w:lvlText w:val="•"/>
      <w:lvlJc w:val="left"/>
      <w:pPr>
        <w:ind w:left="1532" w:hanging="639"/>
      </w:pPr>
      <w:rPr>
        <w:rFonts w:hint="default"/>
      </w:rPr>
    </w:lvl>
  </w:abstractNum>
  <w:abstractNum w:abstractNumId="4">
    <w:multiLevelType w:val="hybridMultilevel"/>
    <w:lvl w:ilvl="0">
      <w:start w:val="23"/>
      <w:numFmt w:val="lowerLetter"/>
      <w:lvlText w:val="%1"/>
      <w:lvlJc w:val="left"/>
      <w:pPr>
        <w:ind w:left="856" w:hanging="639"/>
        <w:jc w:val="left"/>
      </w:pPr>
      <w:rPr>
        <w:rFonts w:hint="default" w:ascii="Times New Roman" w:hAnsi="Times New Roman" w:eastAsia="Times New Roman" w:cs="Times New Roman"/>
        <w:w w:val="123"/>
        <w:position w:val="-3"/>
        <w:sz w:val="40"/>
        <w:szCs w:val="40"/>
      </w:rPr>
    </w:lvl>
    <w:lvl w:ilvl="1">
      <w:start w:val="0"/>
      <w:numFmt w:val="bullet"/>
      <w:lvlText w:val="•"/>
      <w:lvlJc w:val="left"/>
      <w:pPr>
        <w:ind w:left="1760" w:hanging="639"/>
      </w:pPr>
      <w:rPr>
        <w:rFonts w:hint="default"/>
      </w:rPr>
    </w:lvl>
    <w:lvl w:ilvl="2">
      <w:start w:val="0"/>
      <w:numFmt w:val="bullet"/>
      <w:lvlText w:val="•"/>
      <w:lvlJc w:val="left"/>
      <w:pPr>
        <w:ind w:left="2661" w:hanging="639"/>
      </w:pPr>
      <w:rPr>
        <w:rFonts w:hint="default"/>
      </w:rPr>
    </w:lvl>
    <w:lvl w:ilvl="3">
      <w:start w:val="0"/>
      <w:numFmt w:val="bullet"/>
      <w:lvlText w:val="•"/>
      <w:lvlJc w:val="left"/>
      <w:pPr>
        <w:ind w:left="3561" w:hanging="639"/>
      </w:pPr>
      <w:rPr>
        <w:rFonts w:hint="default"/>
      </w:rPr>
    </w:lvl>
    <w:lvl w:ilvl="4">
      <w:start w:val="0"/>
      <w:numFmt w:val="bullet"/>
      <w:lvlText w:val="•"/>
      <w:lvlJc w:val="left"/>
      <w:pPr>
        <w:ind w:left="4462" w:hanging="639"/>
      </w:pPr>
      <w:rPr>
        <w:rFonts w:hint="default"/>
      </w:rPr>
    </w:lvl>
    <w:lvl w:ilvl="5">
      <w:start w:val="0"/>
      <w:numFmt w:val="bullet"/>
      <w:lvlText w:val="•"/>
      <w:lvlJc w:val="left"/>
      <w:pPr>
        <w:ind w:left="5362" w:hanging="639"/>
      </w:pPr>
      <w:rPr>
        <w:rFonts w:hint="default"/>
      </w:rPr>
    </w:lvl>
    <w:lvl w:ilvl="6">
      <w:start w:val="0"/>
      <w:numFmt w:val="bullet"/>
      <w:lvlText w:val="•"/>
      <w:lvlJc w:val="left"/>
      <w:pPr>
        <w:ind w:left="6263" w:hanging="639"/>
      </w:pPr>
      <w:rPr>
        <w:rFonts w:hint="default"/>
      </w:rPr>
    </w:lvl>
    <w:lvl w:ilvl="7">
      <w:start w:val="0"/>
      <w:numFmt w:val="bullet"/>
      <w:lvlText w:val="•"/>
      <w:lvlJc w:val="left"/>
      <w:pPr>
        <w:ind w:left="7163" w:hanging="639"/>
      </w:pPr>
      <w:rPr>
        <w:rFonts w:hint="default"/>
      </w:rPr>
    </w:lvl>
    <w:lvl w:ilvl="8">
      <w:start w:val="0"/>
      <w:numFmt w:val="bullet"/>
      <w:lvlText w:val="•"/>
      <w:lvlJc w:val="left"/>
      <w:pPr>
        <w:ind w:left="8064" w:hanging="639"/>
      </w:pPr>
      <w:rPr>
        <w:rFonts w:hint="default"/>
      </w:rPr>
    </w:lvl>
  </w:abstractNum>
  <w:abstractNum w:abstractNumId="3">
    <w:multiLevelType w:val="hybridMultilevel"/>
    <w:lvl w:ilvl="0">
      <w:start w:val="2"/>
      <w:numFmt w:val="decimal"/>
      <w:lvlText w:val="%1"/>
      <w:lvlJc w:val="left"/>
      <w:pPr>
        <w:ind w:left="856" w:hanging="639"/>
        <w:jc w:val="left"/>
      </w:pPr>
      <w:rPr>
        <w:rFonts w:hint="default"/>
      </w:rPr>
    </w:lvl>
    <w:lvl w:ilvl="1">
      <w:start w:val="1"/>
      <w:numFmt w:val="decimal"/>
      <w:lvlText w:val="%1.%2"/>
      <w:lvlJc w:val="left"/>
      <w:pPr>
        <w:ind w:left="1986" w:hanging="639"/>
        <w:jc w:val="left"/>
      </w:pPr>
      <w:rPr>
        <w:rFonts w:hint="default" w:ascii="宋体" w:hAnsi="宋体" w:eastAsia="宋体" w:cs="宋体"/>
        <w:w w:val="100"/>
        <w:sz w:val="21"/>
        <w:szCs w:val="21"/>
      </w:rPr>
    </w:lvl>
    <w:lvl w:ilvl="2">
      <w:start w:val="0"/>
      <w:numFmt w:val="bullet"/>
      <w:lvlText w:val="•"/>
      <w:lvlJc w:val="left"/>
      <w:pPr>
        <w:ind w:left="2856" w:hanging="639"/>
      </w:pPr>
      <w:rPr>
        <w:rFonts w:hint="default"/>
      </w:rPr>
    </w:lvl>
    <w:lvl w:ilvl="3">
      <w:start w:val="0"/>
      <w:numFmt w:val="bullet"/>
      <w:lvlText w:val="•"/>
      <w:lvlJc w:val="left"/>
      <w:pPr>
        <w:ind w:left="3732" w:hanging="639"/>
      </w:pPr>
      <w:rPr>
        <w:rFonts w:hint="default"/>
      </w:rPr>
    </w:lvl>
    <w:lvl w:ilvl="4">
      <w:start w:val="0"/>
      <w:numFmt w:val="bullet"/>
      <w:lvlText w:val="•"/>
      <w:lvlJc w:val="left"/>
      <w:pPr>
        <w:ind w:left="4608" w:hanging="639"/>
      </w:pPr>
      <w:rPr>
        <w:rFonts w:hint="default"/>
      </w:rPr>
    </w:lvl>
    <w:lvl w:ilvl="5">
      <w:start w:val="0"/>
      <w:numFmt w:val="bullet"/>
      <w:lvlText w:val="•"/>
      <w:lvlJc w:val="left"/>
      <w:pPr>
        <w:ind w:left="5484" w:hanging="639"/>
      </w:pPr>
      <w:rPr>
        <w:rFonts w:hint="default"/>
      </w:rPr>
    </w:lvl>
    <w:lvl w:ilvl="6">
      <w:start w:val="0"/>
      <w:numFmt w:val="bullet"/>
      <w:lvlText w:val="•"/>
      <w:lvlJc w:val="left"/>
      <w:pPr>
        <w:ind w:left="6360" w:hanging="639"/>
      </w:pPr>
      <w:rPr>
        <w:rFonts w:hint="default"/>
      </w:rPr>
    </w:lvl>
    <w:lvl w:ilvl="7">
      <w:start w:val="0"/>
      <w:numFmt w:val="bullet"/>
      <w:lvlText w:val="•"/>
      <w:lvlJc w:val="left"/>
      <w:pPr>
        <w:ind w:left="7237" w:hanging="639"/>
      </w:pPr>
      <w:rPr>
        <w:rFonts w:hint="default"/>
      </w:rPr>
    </w:lvl>
    <w:lvl w:ilvl="8">
      <w:start w:val="0"/>
      <w:numFmt w:val="bullet"/>
      <w:lvlText w:val="•"/>
      <w:lvlJc w:val="left"/>
      <w:pPr>
        <w:ind w:left="8113" w:hanging="639"/>
      </w:pPr>
      <w:rPr>
        <w:rFonts w:hint="default"/>
      </w:rPr>
    </w:lvl>
  </w:abstractNum>
  <w:abstractNum w:abstractNumId="2">
    <w:multiLevelType w:val="hybridMultilevel"/>
    <w:lvl w:ilvl="0">
      <w:start w:val="1"/>
      <w:numFmt w:val="decimal"/>
      <w:lvlText w:val="%1"/>
      <w:lvlJc w:val="left"/>
      <w:pPr>
        <w:ind w:left="1986" w:hanging="639"/>
        <w:jc w:val="left"/>
      </w:pPr>
      <w:rPr>
        <w:rFonts w:hint="default"/>
      </w:rPr>
    </w:lvl>
    <w:lvl w:ilvl="1">
      <w:start w:val="1"/>
      <w:numFmt w:val="decimal"/>
      <w:lvlText w:val="%1.%2"/>
      <w:lvlJc w:val="left"/>
      <w:pPr>
        <w:ind w:left="1986" w:hanging="639"/>
        <w:jc w:val="left"/>
      </w:pPr>
      <w:rPr>
        <w:rFonts w:hint="default" w:ascii="宋体" w:hAnsi="宋体" w:eastAsia="宋体" w:cs="宋体"/>
        <w:w w:val="100"/>
        <w:sz w:val="21"/>
        <w:szCs w:val="21"/>
      </w:rPr>
    </w:lvl>
    <w:lvl w:ilvl="2">
      <w:start w:val="0"/>
      <w:numFmt w:val="bullet"/>
      <w:lvlText w:val="•"/>
      <w:lvlJc w:val="left"/>
      <w:pPr>
        <w:ind w:left="3557" w:hanging="639"/>
      </w:pPr>
      <w:rPr>
        <w:rFonts w:hint="default"/>
      </w:rPr>
    </w:lvl>
    <w:lvl w:ilvl="3">
      <w:start w:val="0"/>
      <w:numFmt w:val="bullet"/>
      <w:lvlText w:val="•"/>
      <w:lvlJc w:val="left"/>
      <w:pPr>
        <w:ind w:left="4345" w:hanging="639"/>
      </w:pPr>
      <w:rPr>
        <w:rFonts w:hint="default"/>
      </w:rPr>
    </w:lvl>
    <w:lvl w:ilvl="4">
      <w:start w:val="0"/>
      <w:numFmt w:val="bullet"/>
      <w:lvlText w:val="•"/>
      <w:lvlJc w:val="left"/>
      <w:pPr>
        <w:ind w:left="5134" w:hanging="639"/>
      </w:pPr>
      <w:rPr>
        <w:rFonts w:hint="default"/>
      </w:rPr>
    </w:lvl>
    <w:lvl w:ilvl="5">
      <w:start w:val="0"/>
      <w:numFmt w:val="bullet"/>
      <w:lvlText w:val="•"/>
      <w:lvlJc w:val="left"/>
      <w:pPr>
        <w:ind w:left="5922" w:hanging="639"/>
      </w:pPr>
      <w:rPr>
        <w:rFonts w:hint="default"/>
      </w:rPr>
    </w:lvl>
    <w:lvl w:ilvl="6">
      <w:start w:val="0"/>
      <w:numFmt w:val="bullet"/>
      <w:lvlText w:val="•"/>
      <w:lvlJc w:val="left"/>
      <w:pPr>
        <w:ind w:left="6711" w:hanging="639"/>
      </w:pPr>
      <w:rPr>
        <w:rFonts w:hint="default"/>
      </w:rPr>
    </w:lvl>
    <w:lvl w:ilvl="7">
      <w:start w:val="0"/>
      <w:numFmt w:val="bullet"/>
      <w:lvlText w:val="•"/>
      <w:lvlJc w:val="left"/>
      <w:pPr>
        <w:ind w:left="7499" w:hanging="639"/>
      </w:pPr>
      <w:rPr>
        <w:rFonts w:hint="default"/>
      </w:rPr>
    </w:lvl>
    <w:lvl w:ilvl="8">
      <w:start w:val="0"/>
      <w:numFmt w:val="bullet"/>
      <w:lvlText w:val="•"/>
      <w:lvlJc w:val="left"/>
      <w:pPr>
        <w:ind w:left="8288" w:hanging="639"/>
      </w:pPr>
      <w:rPr>
        <w:rFonts w:hint="default"/>
      </w:rPr>
    </w:lvl>
  </w:abstractNum>
  <w:abstractNum w:abstractNumId="1">
    <w:multiLevelType w:val="hybridMultilevel"/>
    <w:lvl w:ilvl="0">
      <w:start w:val="6"/>
      <w:numFmt w:val="decimal"/>
      <w:lvlText w:val="%1"/>
      <w:lvlJc w:val="left"/>
      <w:pPr>
        <w:ind w:left="1390" w:hanging="423"/>
        <w:jc w:val="left"/>
      </w:pPr>
      <w:rPr>
        <w:rFonts w:hint="default"/>
      </w:rPr>
    </w:lvl>
    <w:lvl w:ilvl="1">
      <w:start w:val="5"/>
      <w:numFmt w:val="decimal"/>
      <w:lvlText w:val="%1.%2"/>
      <w:lvlJc w:val="left"/>
      <w:pPr>
        <w:ind w:left="1390" w:hanging="423"/>
        <w:jc w:val="left"/>
      </w:pPr>
      <w:rPr>
        <w:rFonts w:hint="default" w:ascii="宋体" w:hAnsi="宋体" w:eastAsia="宋体" w:cs="宋体"/>
        <w:w w:val="100"/>
        <w:sz w:val="21"/>
        <w:szCs w:val="21"/>
      </w:rPr>
    </w:lvl>
    <w:lvl w:ilvl="2">
      <w:start w:val="0"/>
      <w:numFmt w:val="bullet"/>
      <w:lvlText w:val="•"/>
      <w:lvlJc w:val="left"/>
      <w:pPr>
        <w:ind w:left="1999" w:hanging="423"/>
      </w:pPr>
      <w:rPr>
        <w:rFonts w:hint="default"/>
      </w:rPr>
    </w:lvl>
    <w:lvl w:ilvl="3">
      <w:start w:val="0"/>
      <w:numFmt w:val="bullet"/>
      <w:lvlText w:val="•"/>
      <w:lvlJc w:val="left"/>
      <w:pPr>
        <w:ind w:left="2299" w:hanging="423"/>
      </w:pPr>
      <w:rPr>
        <w:rFonts w:hint="default"/>
      </w:rPr>
    </w:lvl>
    <w:lvl w:ilvl="4">
      <w:start w:val="0"/>
      <w:numFmt w:val="bullet"/>
      <w:lvlText w:val="•"/>
      <w:lvlJc w:val="left"/>
      <w:pPr>
        <w:ind w:left="2599" w:hanging="423"/>
      </w:pPr>
      <w:rPr>
        <w:rFonts w:hint="default"/>
      </w:rPr>
    </w:lvl>
    <w:lvl w:ilvl="5">
      <w:start w:val="0"/>
      <w:numFmt w:val="bullet"/>
      <w:lvlText w:val="•"/>
      <w:lvlJc w:val="left"/>
      <w:pPr>
        <w:ind w:left="2899" w:hanging="423"/>
      </w:pPr>
      <w:rPr>
        <w:rFonts w:hint="default"/>
      </w:rPr>
    </w:lvl>
    <w:lvl w:ilvl="6">
      <w:start w:val="0"/>
      <w:numFmt w:val="bullet"/>
      <w:lvlText w:val="•"/>
      <w:lvlJc w:val="left"/>
      <w:pPr>
        <w:ind w:left="3198" w:hanging="423"/>
      </w:pPr>
      <w:rPr>
        <w:rFonts w:hint="default"/>
      </w:rPr>
    </w:lvl>
    <w:lvl w:ilvl="7">
      <w:start w:val="0"/>
      <w:numFmt w:val="bullet"/>
      <w:lvlText w:val="•"/>
      <w:lvlJc w:val="left"/>
      <w:pPr>
        <w:ind w:left="3498" w:hanging="423"/>
      </w:pPr>
      <w:rPr>
        <w:rFonts w:hint="default"/>
      </w:rPr>
    </w:lvl>
    <w:lvl w:ilvl="8">
      <w:start w:val="0"/>
      <w:numFmt w:val="bullet"/>
      <w:lvlText w:val="•"/>
      <w:lvlJc w:val="left"/>
      <w:pPr>
        <w:ind w:left="3798" w:hanging="423"/>
      </w:pPr>
      <w:rPr>
        <w:rFonts w:hint="default"/>
      </w:rPr>
    </w:lvl>
  </w:abstractNum>
  <w:abstractNum w:abstractNumId="0">
    <w:multiLevelType w:val="hybridMultilevel"/>
    <w:lvl w:ilvl="0">
      <w:start w:val="1"/>
      <w:numFmt w:val="decimal"/>
      <w:lvlText w:val="%1"/>
      <w:lvlJc w:val="left"/>
      <w:pPr>
        <w:ind w:left="1390" w:hanging="423"/>
        <w:jc w:val="left"/>
      </w:pPr>
      <w:rPr>
        <w:rFonts w:hint="default"/>
      </w:rPr>
    </w:lvl>
    <w:lvl w:ilvl="1">
      <w:start w:val="5"/>
      <w:numFmt w:val="decimal"/>
      <w:lvlText w:val="%1.%2"/>
      <w:lvlJc w:val="left"/>
      <w:pPr>
        <w:ind w:left="1390" w:hanging="423"/>
        <w:jc w:val="left"/>
      </w:pPr>
      <w:rPr>
        <w:rFonts w:hint="default" w:ascii="宋体" w:hAnsi="宋体" w:eastAsia="宋体" w:cs="宋体"/>
        <w:w w:val="100"/>
        <w:sz w:val="21"/>
        <w:szCs w:val="21"/>
      </w:rPr>
    </w:lvl>
    <w:lvl w:ilvl="2">
      <w:start w:val="0"/>
      <w:numFmt w:val="bullet"/>
      <w:lvlText w:val="•"/>
      <w:lvlJc w:val="left"/>
      <w:pPr>
        <w:ind w:left="1692" w:hanging="423"/>
      </w:pPr>
      <w:rPr>
        <w:rFonts w:hint="default"/>
      </w:rPr>
    </w:lvl>
    <w:lvl w:ilvl="3">
      <w:start w:val="0"/>
      <w:numFmt w:val="bullet"/>
      <w:lvlText w:val="•"/>
      <w:lvlJc w:val="left"/>
      <w:pPr>
        <w:ind w:left="1839" w:hanging="423"/>
      </w:pPr>
      <w:rPr>
        <w:rFonts w:hint="default"/>
      </w:rPr>
    </w:lvl>
    <w:lvl w:ilvl="4">
      <w:start w:val="0"/>
      <w:numFmt w:val="bullet"/>
      <w:lvlText w:val="•"/>
      <w:lvlJc w:val="left"/>
      <w:pPr>
        <w:ind w:left="1985" w:hanging="423"/>
      </w:pPr>
      <w:rPr>
        <w:rFonts w:hint="default"/>
      </w:rPr>
    </w:lvl>
    <w:lvl w:ilvl="5">
      <w:start w:val="0"/>
      <w:numFmt w:val="bullet"/>
      <w:lvlText w:val="•"/>
      <w:lvlJc w:val="left"/>
      <w:pPr>
        <w:ind w:left="2132" w:hanging="423"/>
      </w:pPr>
      <w:rPr>
        <w:rFonts w:hint="default"/>
      </w:rPr>
    </w:lvl>
    <w:lvl w:ilvl="6">
      <w:start w:val="0"/>
      <w:numFmt w:val="bullet"/>
      <w:lvlText w:val="•"/>
      <w:lvlJc w:val="left"/>
      <w:pPr>
        <w:ind w:left="2278" w:hanging="423"/>
      </w:pPr>
      <w:rPr>
        <w:rFonts w:hint="default"/>
      </w:rPr>
    </w:lvl>
    <w:lvl w:ilvl="7">
      <w:start w:val="0"/>
      <w:numFmt w:val="bullet"/>
      <w:lvlText w:val="•"/>
      <w:lvlJc w:val="left"/>
      <w:pPr>
        <w:ind w:left="2425" w:hanging="423"/>
      </w:pPr>
      <w:rPr>
        <w:rFonts w:hint="default"/>
      </w:rPr>
    </w:lvl>
    <w:lvl w:ilvl="8">
      <w:start w:val="0"/>
      <w:numFmt w:val="bullet"/>
      <w:lvlText w:val="•"/>
      <w:lvlJc w:val="left"/>
      <w:pPr>
        <w:ind w:left="2571" w:hanging="423"/>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spacing w:before="61"/>
      <w:ind w:left="856" w:hanging="639"/>
      <w:outlineLvl w:val="1"/>
    </w:pPr>
    <w:rPr>
      <w:rFonts w:ascii="宋体" w:hAnsi="宋体" w:eastAsia="宋体" w:cs="宋体"/>
      <w:sz w:val="24"/>
      <w:szCs w:val="24"/>
    </w:rPr>
  </w:style>
  <w:style w:styleId="ListParagraph" w:type="paragraph">
    <w:name w:val="List Paragraph"/>
    <w:basedOn w:val="Normal"/>
    <w:uiPriority w:val="1"/>
    <w:qFormat/>
    <w:pPr>
      <w:spacing w:before="36"/>
      <w:ind w:left="1473" w:hanging="63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newchinalife.com/"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shizl</dc:creator>
  <dc:title>Microsoft Word - 2009081-团体重大疾病保险条款</dc:title>
  <dcterms:created xsi:type="dcterms:W3CDTF">2018-10-20T04:07:44Z</dcterms:created>
  <dcterms:modified xsi:type="dcterms:W3CDTF">2018-10-20T04:07:44Z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2014-04-24T00:00:00Z</vt:filetime>
  </property>
  <property fmtid="{D5CDD505-2E9C-101B-9397-08002B2CF9AE}" pid="3" name="Creator">
    <vt:lpwstr>正在打开 - Microsoft Word(产品激活失败)</vt:lpwstr>
  </property>
  <property fmtid="{D5CDD505-2E9C-101B-9397-08002B2CF9AE}" pid="4" name="LastSaved">
    <vt:filetime>2018-10-19T00:00:00Z</vt:filetime>
  </property>
</Properties>
</file>