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40"/>
        <w:ind w:left="1243" w:right="631" w:firstLine="0"/>
        <w:jc w:val="center"/>
        <w:rPr>
          <w:sz w:val="16"/>
        </w:rPr>
      </w:pPr>
      <w:r>
        <w:rPr/>
        <w:br w:type="column"/>
      </w:r>
      <w:r>
        <w:rPr>
          <w:sz w:val="16"/>
        </w:rPr>
        <w:t>平安人寿[2009]疾病保险 003 号</w:t>
      </w:r>
    </w:p>
    <w:p>
      <w:pPr>
        <w:pStyle w:val="BodyText"/>
        <w:spacing w:before="12"/>
        <w:rPr>
          <w:sz w:val="2"/>
        </w:rPr>
      </w:pPr>
    </w:p>
    <w:p>
      <w:pPr>
        <w:pStyle w:val="BodyText"/>
        <w:ind w:left="2089"/>
        <w:rPr>
          <w:sz w:val="20"/>
        </w:rPr>
      </w:pPr>
      <w:r>
        <w:rPr>
          <w:sz w:val="20"/>
        </w:rPr>
        <w:drawing>
          <wp:inline distT="0" distB="0" distL="0" distR="0">
            <wp:extent cx="434331"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1" cy="434340"/>
                    </a:xfrm>
                    <a:prstGeom prst="rect">
                      <a:avLst/>
                    </a:prstGeom>
                  </pic:spPr>
                </pic:pic>
              </a:graphicData>
            </a:graphic>
          </wp:inline>
        </w:drawing>
      </w:r>
      <w:r>
        <w:rPr>
          <w:sz w:val="20"/>
        </w:rPr>
      </w:r>
    </w:p>
    <w:p>
      <w:pPr>
        <w:spacing w:before="61"/>
        <w:ind w:left="1235" w:right="631" w:firstLine="0"/>
        <w:jc w:val="center"/>
        <w:rPr>
          <w:sz w:val="16"/>
        </w:rPr>
      </w:pPr>
      <w:r>
        <w:rPr>
          <w:w w:val="95"/>
          <w:sz w:val="16"/>
        </w:rPr>
        <w:t>请扫描以查询验证条款</w:t>
      </w:r>
    </w:p>
    <w:p>
      <w:pPr>
        <w:spacing w:after="0"/>
        <w:jc w:val="center"/>
        <w:rPr>
          <w:sz w:val="16"/>
        </w:rPr>
        <w:sectPr>
          <w:type w:val="continuous"/>
          <w:pgSz w:w="11910" w:h="16840"/>
          <w:pgMar w:top="560" w:bottom="280" w:left="840" w:right="800"/>
          <w:cols w:num="2" w:equalWidth="0">
            <w:col w:w="5995" w:space="40"/>
            <w:col w:w="4235"/>
          </w:cols>
        </w:sectPr>
      </w:pPr>
    </w:p>
    <w:p>
      <w:pPr>
        <w:spacing w:before="13"/>
        <w:ind w:left="275"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w:t>
      </w:r>
      <w:r>
        <w:rPr>
          <w:spacing w:val="-63"/>
          <w:position w:val="-7"/>
          <w:sz w:val="21"/>
        </w:rPr>
        <w:t>．</w:t>
      </w:r>
      <w:r>
        <w:rPr>
          <w:spacing w:val="-148"/>
          <w:sz w:val="21"/>
        </w:rPr>
        <w:t>对</w:t>
      </w:r>
      <w:r>
        <w:rPr>
          <w:spacing w:val="-63"/>
          <w:position w:val="-7"/>
          <w:sz w:val="21"/>
        </w:rPr>
        <w:t>．</w:t>
      </w:r>
      <w:r>
        <w:rPr>
          <w:b/>
          <w:spacing w:val="-147"/>
          <w:w w:val="99"/>
          <w:sz w:val="21"/>
        </w:rPr>
        <w:t>“</w:t>
      </w:r>
      <w:r>
        <w:rPr>
          <w:spacing w:val="-63"/>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8"/>
          <w:w w:val="99"/>
          <w:sz w:val="21"/>
        </w:rPr>
        <w:t>附</w:t>
      </w:r>
      <w:r>
        <w:rPr>
          <w:spacing w:val="-63"/>
          <w:position w:val="-7"/>
          <w:sz w:val="21"/>
        </w:rPr>
        <w:t>．</w:t>
      </w:r>
      <w:r>
        <w:rPr>
          <w:b/>
          <w:spacing w:val="-148"/>
          <w:w w:val="99"/>
          <w:sz w:val="21"/>
        </w:rPr>
        <w:t>加</w:t>
      </w:r>
      <w:r>
        <w:rPr>
          <w:spacing w:val="-63"/>
          <w:position w:val="-7"/>
          <w:sz w:val="21"/>
        </w:rPr>
        <w:t>．</w:t>
      </w:r>
      <w:r>
        <w:rPr>
          <w:b/>
          <w:spacing w:val="-147"/>
          <w:w w:val="99"/>
          <w:sz w:val="21"/>
        </w:rPr>
        <w:t>鑫</w:t>
      </w:r>
      <w:r>
        <w:rPr>
          <w:spacing w:val="-63"/>
          <w:position w:val="-7"/>
          <w:sz w:val="21"/>
        </w:rPr>
        <w:t>．</w:t>
      </w:r>
      <w:r>
        <w:rPr>
          <w:b/>
          <w:spacing w:val="-147"/>
          <w:w w:val="99"/>
          <w:sz w:val="21"/>
        </w:rPr>
        <w:t>利</w:t>
      </w:r>
      <w:r>
        <w:rPr>
          <w:spacing w:val="-63"/>
          <w:position w:val="-7"/>
          <w:sz w:val="21"/>
        </w:rPr>
        <w:t>．</w:t>
      </w:r>
      <w:r>
        <w:rPr>
          <w:b/>
          <w:spacing w:val="-147"/>
          <w:w w:val="99"/>
          <w:sz w:val="21"/>
        </w:rPr>
        <w:t>提</w:t>
      </w:r>
      <w:r>
        <w:rPr>
          <w:spacing w:val="-63"/>
          <w:position w:val="-7"/>
          <w:sz w:val="21"/>
        </w:rPr>
        <w:t>．</w:t>
      </w:r>
      <w:r>
        <w:rPr>
          <w:b/>
          <w:spacing w:val="-148"/>
          <w:w w:val="99"/>
          <w:sz w:val="21"/>
        </w:rPr>
        <w:t>前</w:t>
      </w:r>
      <w:r>
        <w:rPr>
          <w:spacing w:val="-63"/>
          <w:position w:val="-7"/>
          <w:sz w:val="21"/>
        </w:rPr>
        <w:t>．</w:t>
      </w:r>
      <w:r>
        <w:rPr>
          <w:b/>
          <w:spacing w:val="-148"/>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7"/>
          <w:w w:val="99"/>
          <w:sz w:val="21"/>
        </w:rPr>
        <w:t>大</w:t>
      </w:r>
      <w:r>
        <w:rPr>
          <w:spacing w:val="-63"/>
          <w:position w:val="-7"/>
          <w:sz w:val="21"/>
        </w:rPr>
        <w:t>．</w:t>
      </w:r>
      <w:r>
        <w:rPr>
          <w:b/>
          <w:spacing w:val="-148"/>
          <w:w w:val="99"/>
          <w:sz w:val="21"/>
        </w:rPr>
        <w:t>疾</w:t>
      </w:r>
      <w:r>
        <w:rPr>
          <w:spacing w:val="-63"/>
          <w:position w:val="-7"/>
          <w:sz w:val="21"/>
        </w:rPr>
        <w:t>．</w:t>
      </w:r>
      <w:r>
        <w:rPr>
          <w:b/>
          <w:spacing w:val="-148"/>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7"/>
          <w:w w:val="99"/>
          <w:sz w:val="21"/>
        </w:rPr>
        <w:t>合</w:t>
      </w:r>
      <w:r>
        <w:rPr>
          <w:spacing w:val="-63"/>
          <w:position w:val="-7"/>
          <w:sz w:val="21"/>
        </w:rPr>
        <w:t>．</w:t>
      </w:r>
      <w:r>
        <w:rPr>
          <w:b/>
          <w:spacing w:val="-148"/>
          <w:w w:val="99"/>
          <w:sz w:val="21"/>
        </w:rPr>
        <w:t>同</w:t>
      </w:r>
      <w:r>
        <w:rPr>
          <w:spacing w:val="-63"/>
          <w:position w:val="-7"/>
          <w:sz w:val="21"/>
        </w:rPr>
        <w:t>．</w:t>
      </w:r>
      <w:r>
        <w:rPr>
          <w:b/>
          <w:spacing w:val="-148"/>
          <w:w w:val="99"/>
          <w:sz w:val="21"/>
        </w:rPr>
        <w:t>”</w:t>
      </w:r>
      <w:r>
        <w:rPr>
          <w:spacing w:val="-63"/>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3"/>
          <w:position w:val="-7"/>
          <w:sz w:val="21"/>
        </w:rPr>
        <w:t>．</w:t>
      </w:r>
      <w:r>
        <w:rPr>
          <w:spacing w:val="-148"/>
          <w:sz w:val="21"/>
        </w:rPr>
        <w:t>。</w:t>
      </w:r>
      <w:r>
        <w:rPr>
          <w:position w:val="-7"/>
          <w:sz w:val="21"/>
        </w:rPr>
        <w:t>．</w:t>
      </w:r>
    </w:p>
    <w:p>
      <w:pPr>
        <w:pStyle w:val="BodyText"/>
        <w:spacing w:before="8"/>
        <w:rPr>
          <w:sz w:val="39"/>
        </w:rPr>
      </w:pPr>
    </w:p>
    <w:p>
      <w:pPr>
        <w:tabs>
          <w:tab w:pos="1355" w:val="left" w:leader="none"/>
        </w:tabs>
        <w:spacing w:before="0"/>
        <w:ind w:left="345" w:right="0" w:firstLine="0"/>
        <w:jc w:val="left"/>
        <w:rPr>
          <w:b/>
          <w:sz w:val="21"/>
        </w:rPr>
      </w:pPr>
      <w:r>
        <w:rPr/>
        <w:drawing>
          <wp:anchor distT="0" distB="0" distL="0" distR="0" allowOverlap="1" layoutInCell="1" locked="0" behindDoc="1" simplePos="0" relativeHeight="268407239">
            <wp:simplePos x="0" y="0"/>
            <wp:positionH relativeFrom="page">
              <wp:posOffset>601980</wp:posOffset>
            </wp:positionH>
            <wp:positionV relativeFrom="paragraph">
              <wp:posOffset>-94135</wp:posOffset>
            </wp:positionV>
            <wp:extent cx="6375654" cy="79956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4" cy="7995665"/>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投保后10日内您可以要求全额退还保险费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2.2</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您有退保的权利</w:t>
        <w:tab/>
        <w:t>6.1</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z w:val="21"/>
        </w:rPr>
        <w:t>在某些情况下，我们不承担保险责任，详见条款正文中背景突出显示的内容</w:t>
      </w:r>
    </w:p>
    <w:p>
      <w:pPr>
        <w:pStyle w:val="BodyText"/>
        <w:spacing w:before="22"/>
        <w:ind w:left="1737"/>
      </w:pPr>
      <w:r>
        <w:rPr/>
        <w:t>…………………………………………………………………………………2.2、2.3、8.3</w:t>
      </w:r>
    </w:p>
    <w:p>
      <w:pPr>
        <w:pStyle w:val="ListParagraph"/>
        <w:numPr>
          <w:ilvl w:val="0"/>
          <w:numId w:val="1"/>
        </w:numPr>
        <w:tabs>
          <w:tab w:pos="1737" w:val="left" w:leader="none"/>
          <w:tab w:pos="1738" w:val="left" w:leader="none"/>
          <w:tab w:pos="9611" w:val="right" w:leader="dot"/>
        </w:tabs>
        <w:spacing w:line="240" w:lineRule="auto" w:before="36" w:after="0"/>
        <w:ind w:left="1737" w:right="0" w:hanging="420"/>
        <w:jc w:val="left"/>
        <w:rPr>
          <w:sz w:val="21"/>
        </w:rPr>
      </w:pPr>
      <w:r>
        <w:rPr>
          <w:sz w:val="21"/>
        </w:rPr>
        <w:t>退保会给您造成一定的损失，请您慎重决策</w:t>
        <w:tab/>
        <w:t>6.1</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402" w:val="right" w:leader="dot"/>
        </w:tabs>
        <w:spacing w:line="240" w:lineRule="auto" w:before="21" w:after="0"/>
        <w:ind w:left="1737" w:right="0" w:hanging="420"/>
        <w:jc w:val="left"/>
        <w:rPr>
          <w:sz w:val="21"/>
        </w:rPr>
      </w:pPr>
      <w:r>
        <w:rPr>
          <w:sz w:val="21"/>
        </w:rPr>
        <w:t>我们对一些重要术语进行了解释，并作了显著标识，请您注意</w:t>
        <w:tab/>
        <w:t>8</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保险条款有关于重大疾病的释义，请您留意</w:t>
        <w:tab/>
        <w:t>8.3</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主险合同的某些变动会导致本附加险合同效力终止</w:t>
        <w:tab/>
        <w:t>7.2</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before="26"/>
        <w:ind w:left="345" w:right="0" w:firstLine="0"/>
        <w:jc w:val="left"/>
        <w:rPr>
          <w:b/>
          <w:sz w:val="21"/>
        </w:rPr>
      </w:pPr>
      <w:r>
        <w:rPr/>
        <w:pict>
          <v:shapetype id="_x0000_t202" o:spt="202" coordsize="21600,21600" path="m,l,21600r21600,l21600,xe">
            <v:stroke joinstyle="miter"/>
            <v:path gradientshapeok="t" o:connecttype="rect"/>
          </v:shapetype>
          <v:shape style="position:absolute;margin-left:109.324997pt;margin-top:27.467701pt;width:401.55pt;height:325.0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6"/>
                    <w:gridCol w:w="861"/>
                    <w:gridCol w:w="3549"/>
                  </w:tblGrid>
                  <w:tr>
                    <w:trPr>
                      <w:trHeight w:val="408" w:hRule="atLeast"/>
                    </w:trPr>
                    <w:tc>
                      <w:tcPr>
                        <w:tcW w:w="3606" w:type="dxa"/>
                        <w:tcBorders>
                          <w:top w:val="dotted" w:sz="6" w:space="0" w:color="000000"/>
                          <w:left w:val="dotted" w:sz="6" w:space="0" w:color="000000"/>
                        </w:tcBorders>
                      </w:tcPr>
                      <w:p>
                        <w:pPr>
                          <w:pStyle w:val="TableParagraph"/>
                          <w:spacing w:before="19"/>
                          <w:ind w:left="435"/>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861" w:type="dxa"/>
                        <w:tcBorders>
                          <w:top w:val="dotted" w:sz="6" w:space="0" w:color="000000"/>
                        </w:tcBorders>
                      </w:tcPr>
                      <w:p>
                        <w:pPr>
                          <w:pStyle w:val="TableParagraph"/>
                          <w:spacing w:line="257" w:lineRule="exact" w:before="131"/>
                          <w:ind w:left="0" w:right="95"/>
                          <w:jc w:val="right"/>
                          <w:rPr>
                            <w:sz w:val="21"/>
                          </w:rPr>
                        </w:pPr>
                        <w:r>
                          <w:rPr>
                            <w:sz w:val="21"/>
                          </w:rPr>
                          <w:t>7.1</w:t>
                        </w:r>
                      </w:p>
                    </w:tc>
                    <w:tc>
                      <w:tcPr>
                        <w:tcW w:w="3549" w:type="dxa"/>
                        <w:tcBorders>
                          <w:top w:val="dotted" w:sz="6" w:space="0" w:color="000000"/>
                          <w:right w:val="dotted" w:sz="6" w:space="0" w:color="000000"/>
                        </w:tcBorders>
                      </w:tcPr>
                      <w:p>
                        <w:pPr>
                          <w:pStyle w:val="TableParagraph"/>
                          <w:spacing w:line="257" w:lineRule="exact" w:before="131"/>
                          <w:ind w:left="7"/>
                          <w:rPr>
                            <w:sz w:val="21"/>
                          </w:rPr>
                        </w:pPr>
                        <w:r>
                          <w:rPr>
                            <w:sz w:val="21"/>
                          </w:rPr>
                          <w:t>年龄错误</w:t>
                        </w:r>
                      </w:p>
                    </w:tc>
                  </w:tr>
                  <w:tr>
                    <w:trPr>
                      <w:trHeight w:val="260" w:hRule="atLeast"/>
                    </w:trPr>
                    <w:tc>
                      <w:tcPr>
                        <w:tcW w:w="3606" w:type="dxa"/>
                        <w:tcBorders>
                          <w:left w:val="dotted" w:sz="6" w:space="0" w:color="000000"/>
                        </w:tcBorders>
                      </w:tcPr>
                      <w:p>
                        <w:pPr>
                          <w:pStyle w:val="TableParagraph"/>
                          <w:spacing w:line="212" w:lineRule="exact"/>
                          <w:ind w:left="645"/>
                          <w:rPr>
                            <w:sz w:val="21"/>
                          </w:rPr>
                        </w:pPr>
                        <w:r>
                          <w:rPr>
                            <w:sz w:val="21"/>
                          </w:rPr>
                          <w:t>1.1 合同订立</w:t>
                        </w:r>
                      </w:p>
                    </w:tc>
                    <w:tc>
                      <w:tcPr>
                        <w:tcW w:w="861" w:type="dxa"/>
                      </w:tcPr>
                      <w:p>
                        <w:pPr>
                          <w:pStyle w:val="TableParagraph"/>
                          <w:spacing w:line="240" w:lineRule="exact"/>
                          <w:ind w:left="0" w:right="95"/>
                          <w:jc w:val="right"/>
                          <w:rPr>
                            <w:sz w:val="21"/>
                          </w:rPr>
                        </w:pPr>
                        <w:r>
                          <w:rPr>
                            <w:sz w:val="21"/>
                          </w:rPr>
                          <w:t>7.2</w:t>
                        </w:r>
                      </w:p>
                    </w:tc>
                    <w:tc>
                      <w:tcPr>
                        <w:tcW w:w="3549" w:type="dxa"/>
                        <w:tcBorders>
                          <w:right w:val="dotted" w:sz="6" w:space="0" w:color="000000"/>
                        </w:tcBorders>
                      </w:tcPr>
                      <w:p>
                        <w:pPr>
                          <w:pStyle w:val="TableParagraph"/>
                          <w:spacing w:line="240" w:lineRule="exact"/>
                          <w:ind w:left="7"/>
                          <w:rPr>
                            <w:sz w:val="21"/>
                          </w:rPr>
                        </w:pPr>
                        <w:r>
                          <w:rPr>
                            <w:sz w:val="21"/>
                          </w:rPr>
                          <w:t>效力终止</w:t>
                        </w:r>
                      </w:p>
                    </w:tc>
                  </w:tr>
                  <w:tr>
                    <w:trPr>
                      <w:trHeight w:val="779" w:hRule="atLeast"/>
                    </w:trPr>
                    <w:tc>
                      <w:tcPr>
                        <w:tcW w:w="3606" w:type="dxa"/>
                        <w:tcBorders>
                          <w:left w:val="dotted" w:sz="6" w:space="0" w:color="000000"/>
                        </w:tcBorders>
                      </w:tcPr>
                      <w:p>
                        <w:pPr>
                          <w:pStyle w:val="TableParagraph"/>
                          <w:numPr>
                            <w:ilvl w:val="1"/>
                            <w:numId w:val="2"/>
                          </w:numPr>
                          <w:tabs>
                            <w:tab w:pos="1066" w:val="left" w:leader="none"/>
                          </w:tabs>
                          <w:spacing w:line="205" w:lineRule="exact" w:before="0" w:after="0"/>
                          <w:ind w:left="1065" w:right="0" w:hanging="420"/>
                          <w:jc w:val="left"/>
                          <w:rPr>
                            <w:sz w:val="21"/>
                          </w:rPr>
                        </w:pPr>
                        <w:r>
                          <w:rPr>
                            <w:sz w:val="21"/>
                          </w:rPr>
                          <w:t>合同生效</w:t>
                        </w:r>
                      </w:p>
                      <w:p>
                        <w:pPr>
                          <w:pStyle w:val="TableParagraph"/>
                          <w:numPr>
                            <w:ilvl w:val="1"/>
                            <w:numId w:val="2"/>
                          </w:numPr>
                          <w:tabs>
                            <w:tab w:pos="1066" w:val="left" w:leader="none"/>
                          </w:tabs>
                          <w:spacing w:line="260" w:lineRule="exact" w:before="0" w:after="0"/>
                          <w:ind w:left="1065" w:right="0" w:hanging="420"/>
                          <w:jc w:val="left"/>
                          <w:rPr>
                            <w:sz w:val="21"/>
                          </w:rPr>
                        </w:pPr>
                        <w:r>
                          <w:rPr>
                            <w:sz w:val="21"/>
                          </w:rPr>
                          <w:t>投保年龄</w:t>
                        </w:r>
                      </w:p>
                      <w:p>
                        <w:pPr>
                          <w:pStyle w:val="TableParagraph"/>
                          <w:numPr>
                            <w:ilvl w:val="1"/>
                            <w:numId w:val="2"/>
                          </w:numPr>
                          <w:tabs>
                            <w:tab w:pos="1066" w:val="left" w:leader="none"/>
                          </w:tabs>
                          <w:spacing w:line="267" w:lineRule="exact" w:before="0" w:after="0"/>
                          <w:ind w:left="1065" w:right="0" w:hanging="420"/>
                          <w:jc w:val="left"/>
                          <w:rPr>
                            <w:sz w:val="21"/>
                          </w:rPr>
                        </w:pPr>
                        <w:r>
                          <w:rPr>
                            <w:sz w:val="21"/>
                          </w:rPr>
                          <w:t>犹豫期</w:t>
                        </w:r>
                      </w:p>
                    </w:tc>
                    <w:tc>
                      <w:tcPr>
                        <w:tcW w:w="861" w:type="dxa"/>
                      </w:tcPr>
                      <w:p>
                        <w:pPr>
                          <w:pStyle w:val="TableParagraph"/>
                          <w:spacing w:line="217" w:lineRule="exact"/>
                          <w:ind w:left="428" w:right="77"/>
                          <w:jc w:val="center"/>
                          <w:rPr>
                            <w:sz w:val="21"/>
                          </w:rPr>
                        </w:pPr>
                        <w:r>
                          <w:rPr>
                            <w:sz w:val="21"/>
                          </w:rPr>
                          <w:t>7.3</w:t>
                        </w:r>
                      </w:p>
                      <w:p>
                        <w:pPr>
                          <w:pStyle w:val="TableParagraph"/>
                          <w:spacing w:line="306" w:lineRule="exact"/>
                          <w:ind w:left="238" w:right="-15"/>
                          <w:jc w:val="center"/>
                          <w:rPr>
                            <w:rFonts w:ascii="Microsoft JhengHei" w:eastAsia="Microsoft JhengHei" w:hint="eastAsia"/>
                            <w:b/>
                            <w:sz w:val="21"/>
                          </w:rPr>
                        </w:pPr>
                        <w:r>
                          <w:rPr>
                            <w:b/>
                            <w:sz w:val="21"/>
                          </w:rPr>
                          <w:t>8.</w:t>
                        </w:r>
                        <w:r>
                          <w:rPr>
                            <w:rFonts w:ascii="Microsoft JhengHei" w:eastAsia="Microsoft JhengHei" w:hint="eastAsia"/>
                            <w:b/>
                            <w:sz w:val="21"/>
                          </w:rPr>
                          <w:t>释义</w:t>
                        </w:r>
                      </w:p>
                      <w:p>
                        <w:pPr>
                          <w:pStyle w:val="TableParagraph"/>
                          <w:spacing w:line="237" w:lineRule="exact"/>
                          <w:ind w:left="428" w:right="77"/>
                          <w:jc w:val="center"/>
                          <w:rPr>
                            <w:sz w:val="21"/>
                          </w:rPr>
                        </w:pPr>
                        <w:r>
                          <w:rPr>
                            <w:sz w:val="21"/>
                          </w:rPr>
                          <w:t>8.1</w:t>
                        </w:r>
                      </w:p>
                    </w:tc>
                    <w:tc>
                      <w:tcPr>
                        <w:tcW w:w="3549" w:type="dxa"/>
                        <w:tcBorders>
                          <w:right w:val="dotted" w:sz="6" w:space="0" w:color="000000"/>
                        </w:tcBorders>
                      </w:tcPr>
                      <w:p>
                        <w:pPr>
                          <w:pStyle w:val="TableParagraph"/>
                          <w:spacing w:line="257" w:lineRule="exact"/>
                          <w:ind w:left="7"/>
                          <w:rPr>
                            <w:sz w:val="21"/>
                          </w:rPr>
                        </w:pPr>
                        <w:r>
                          <w:rPr>
                            <w:sz w:val="21"/>
                          </w:rPr>
                          <w:t>适用主险合同条款</w:t>
                        </w:r>
                      </w:p>
                      <w:p>
                        <w:pPr>
                          <w:pStyle w:val="TableParagraph"/>
                          <w:spacing w:before="10"/>
                          <w:ind w:left="0"/>
                          <w:rPr>
                            <w:sz w:val="18"/>
                          </w:rPr>
                        </w:pPr>
                      </w:p>
                      <w:p>
                        <w:pPr>
                          <w:pStyle w:val="TableParagraph"/>
                          <w:spacing w:line="257" w:lineRule="exact"/>
                          <w:ind w:left="7"/>
                          <w:rPr>
                            <w:sz w:val="21"/>
                          </w:rPr>
                        </w:pPr>
                        <w:r>
                          <w:rPr>
                            <w:sz w:val="21"/>
                          </w:rPr>
                          <w:t>周岁</w:t>
                        </w:r>
                      </w:p>
                    </w:tc>
                  </w:tr>
                  <w:tr>
                    <w:trPr>
                      <w:trHeight w:val="259" w:hRule="atLeast"/>
                    </w:trPr>
                    <w:tc>
                      <w:tcPr>
                        <w:tcW w:w="3606" w:type="dxa"/>
                        <w:tcBorders>
                          <w:left w:val="dotted" w:sz="6" w:space="0" w:color="000000"/>
                        </w:tcBorders>
                      </w:tcPr>
                      <w:p>
                        <w:pPr>
                          <w:pStyle w:val="TableParagraph"/>
                          <w:spacing w:line="212" w:lineRule="exact"/>
                          <w:ind w:left="645"/>
                          <w:rPr>
                            <w:sz w:val="21"/>
                          </w:rPr>
                        </w:pPr>
                        <w:r>
                          <w:rPr>
                            <w:sz w:val="21"/>
                          </w:rPr>
                          <w:t>1.5 保险期间</w:t>
                        </w:r>
                      </w:p>
                    </w:tc>
                    <w:tc>
                      <w:tcPr>
                        <w:tcW w:w="861" w:type="dxa"/>
                      </w:tcPr>
                      <w:p>
                        <w:pPr>
                          <w:pStyle w:val="TableParagraph"/>
                          <w:spacing w:line="240" w:lineRule="exact"/>
                          <w:ind w:left="0" w:right="95"/>
                          <w:jc w:val="right"/>
                          <w:rPr>
                            <w:sz w:val="21"/>
                          </w:rPr>
                        </w:pPr>
                        <w:r>
                          <w:rPr>
                            <w:sz w:val="21"/>
                          </w:rPr>
                          <w:t>8.2</w:t>
                        </w:r>
                      </w:p>
                    </w:tc>
                    <w:tc>
                      <w:tcPr>
                        <w:tcW w:w="3549" w:type="dxa"/>
                        <w:tcBorders>
                          <w:right w:val="dotted" w:sz="6" w:space="0" w:color="000000"/>
                        </w:tcBorders>
                      </w:tcPr>
                      <w:p>
                        <w:pPr>
                          <w:pStyle w:val="TableParagraph"/>
                          <w:spacing w:line="240" w:lineRule="exact"/>
                          <w:ind w:left="7"/>
                          <w:rPr>
                            <w:sz w:val="21"/>
                          </w:rPr>
                        </w:pPr>
                        <w:r>
                          <w:rPr>
                            <w:sz w:val="21"/>
                          </w:rPr>
                          <w:t>有效身份证件</w:t>
                        </w:r>
                      </w:p>
                    </w:tc>
                  </w:tr>
                  <w:tr>
                    <w:trPr>
                      <w:trHeight w:val="259" w:hRule="atLeast"/>
                    </w:trPr>
                    <w:tc>
                      <w:tcPr>
                        <w:tcW w:w="3606" w:type="dxa"/>
                        <w:tcBorders>
                          <w:left w:val="dotted" w:sz="6" w:space="0" w:color="000000"/>
                        </w:tcBorders>
                      </w:tcPr>
                      <w:p>
                        <w:pPr>
                          <w:pStyle w:val="TableParagraph"/>
                          <w:spacing w:line="236" w:lineRule="exact"/>
                          <w:ind w:left="435"/>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61" w:type="dxa"/>
                      </w:tcPr>
                      <w:p>
                        <w:pPr>
                          <w:pStyle w:val="TableParagraph"/>
                          <w:spacing w:line="240" w:lineRule="exact"/>
                          <w:ind w:left="0" w:right="95"/>
                          <w:jc w:val="right"/>
                          <w:rPr>
                            <w:sz w:val="21"/>
                          </w:rPr>
                        </w:pPr>
                        <w:r>
                          <w:rPr>
                            <w:sz w:val="21"/>
                          </w:rPr>
                          <w:t>8.3</w:t>
                        </w:r>
                      </w:p>
                    </w:tc>
                    <w:tc>
                      <w:tcPr>
                        <w:tcW w:w="3549" w:type="dxa"/>
                        <w:tcBorders>
                          <w:right w:val="dotted" w:sz="6" w:space="0" w:color="000000"/>
                        </w:tcBorders>
                      </w:tcPr>
                      <w:p>
                        <w:pPr>
                          <w:pStyle w:val="TableParagraph"/>
                          <w:spacing w:line="240" w:lineRule="exact"/>
                          <w:ind w:left="7"/>
                          <w:rPr>
                            <w:sz w:val="21"/>
                          </w:rPr>
                        </w:pPr>
                        <w:r>
                          <w:rPr>
                            <w:sz w:val="21"/>
                          </w:rPr>
                          <w:t>重大疾病</w:t>
                        </w:r>
                      </w:p>
                    </w:tc>
                  </w:tr>
                  <w:tr>
                    <w:trPr>
                      <w:trHeight w:val="260" w:hRule="atLeast"/>
                    </w:trPr>
                    <w:tc>
                      <w:tcPr>
                        <w:tcW w:w="3606" w:type="dxa"/>
                        <w:tcBorders>
                          <w:left w:val="dotted" w:sz="6" w:space="0" w:color="000000"/>
                        </w:tcBorders>
                      </w:tcPr>
                      <w:p>
                        <w:pPr>
                          <w:pStyle w:val="TableParagraph"/>
                          <w:spacing w:line="212" w:lineRule="exact"/>
                          <w:ind w:left="645"/>
                          <w:rPr>
                            <w:sz w:val="21"/>
                          </w:rPr>
                        </w:pPr>
                        <w:r>
                          <w:rPr>
                            <w:sz w:val="21"/>
                          </w:rPr>
                          <w:t>2.1 保险金额</w:t>
                        </w:r>
                      </w:p>
                    </w:tc>
                    <w:tc>
                      <w:tcPr>
                        <w:tcW w:w="861" w:type="dxa"/>
                      </w:tcPr>
                      <w:p>
                        <w:pPr>
                          <w:pStyle w:val="TableParagraph"/>
                          <w:spacing w:line="240" w:lineRule="exact"/>
                          <w:ind w:left="0" w:right="95"/>
                          <w:jc w:val="right"/>
                          <w:rPr>
                            <w:sz w:val="21"/>
                          </w:rPr>
                        </w:pPr>
                        <w:r>
                          <w:rPr>
                            <w:sz w:val="21"/>
                          </w:rPr>
                          <w:t>8.4</w:t>
                        </w:r>
                      </w:p>
                    </w:tc>
                    <w:tc>
                      <w:tcPr>
                        <w:tcW w:w="3549" w:type="dxa"/>
                        <w:tcBorders>
                          <w:right w:val="dotted" w:sz="6" w:space="0" w:color="000000"/>
                        </w:tcBorders>
                      </w:tcPr>
                      <w:p>
                        <w:pPr>
                          <w:pStyle w:val="TableParagraph"/>
                          <w:spacing w:line="240" w:lineRule="exact"/>
                          <w:ind w:left="7"/>
                          <w:rPr>
                            <w:sz w:val="21"/>
                          </w:rPr>
                        </w:pPr>
                        <w:r>
                          <w:rPr>
                            <w:sz w:val="21"/>
                          </w:rPr>
                          <w:t>专科医生</w:t>
                        </w:r>
                      </w:p>
                    </w:tc>
                  </w:tr>
                  <w:tr>
                    <w:trPr>
                      <w:trHeight w:val="259" w:hRule="atLeast"/>
                    </w:trPr>
                    <w:tc>
                      <w:tcPr>
                        <w:tcW w:w="3606" w:type="dxa"/>
                        <w:tcBorders>
                          <w:left w:val="dotted" w:sz="6" w:space="0" w:color="000000"/>
                        </w:tcBorders>
                      </w:tcPr>
                      <w:p>
                        <w:pPr>
                          <w:pStyle w:val="TableParagraph"/>
                          <w:spacing w:line="212" w:lineRule="exact"/>
                          <w:ind w:left="645"/>
                          <w:rPr>
                            <w:sz w:val="21"/>
                          </w:rPr>
                        </w:pPr>
                        <w:r>
                          <w:rPr>
                            <w:sz w:val="21"/>
                          </w:rPr>
                          <w:t>2.2 保险责任</w:t>
                        </w:r>
                      </w:p>
                    </w:tc>
                    <w:tc>
                      <w:tcPr>
                        <w:tcW w:w="861" w:type="dxa"/>
                      </w:tcPr>
                      <w:p>
                        <w:pPr>
                          <w:pStyle w:val="TableParagraph"/>
                          <w:spacing w:line="240" w:lineRule="exact"/>
                          <w:ind w:left="0" w:right="95"/>
                          <w:jc w:val="right"/>
                          <w:rPr>
                            <w:sz w:val="21"/>
                          </w:rPr>
                        </w:pPr>
                        <w:r>
                          <w:rPr>
                            <w:sz w:val="21"/>
                          </w:rPr>
                          <w:t>8.5</w:t>
                        </w:r>
                      </w:p>
                    </w:tc>
                    <w:tc>
                      <w:tcPr>
                        <w:tcW w:w="3549" w:type="dxa"/>
                        <w:tcBorders>
                          <w:right w:val="dotted" w:sz="6" w:space="0" w:color="000000"/>
                        </w:tcBorders>
                      </w:tcPr>
                      <w:p>
                        <w:pPr>
                          <w:pStyle w:val="TableParagraph"/>
                          <w:spacing w:line="240" w:lineRule="exact"/>
                          <w:ind w:left="7"/>
                          <w:rPr>
                            <w:sz w:val="21"/>
                          </w:rPr>
                        </w:pPr>
                        <w:r>
                          <w:rPr>
                            <w:sz w:val="21"/>
                          </w:rPr>
                          <w:t>肢体机能完全丧失</w:t>
                        </w:r>
                      </w:p>
                    </w:tc>
                  </w:tr>
                  <w:tr>
                    <w:trPr>
                      <w:trHeight w:val="259" w:hRule="atLeast"/>
                    </w:trPr>
                    <w:tc>
                      <w:tcPr>
                        <w:tcW w:w="3606" w:type="dxa"/>
                        <w:tcBorders>
                          <w:left w:val="dotted" w:sz="6" w:space="0" w:color="000000"/>
                        </w:tcBorders>
                      </w:tcPr>
                      <w:p>
                        <w:pPr>
                          <w:pStyle w:val="TableParagraph"/>
                          <w:spacing w:line="212" w:lineRule="exact"/>
                          <w:ind w:left="645"/>
                          <w:rPr>
                            <w:sz w:val="21"/>
                          </w:rPr>
                        </w:pPr>
                        <w:r>
                          <w:rPr>
                            <w:sz w:val="21"/>
                          </w:rPr>
                          <w:t>2.3 责任免除</w:t>
                        </w:r>
                      </w:p>
                    </w:tc>
                    <w:tc>
                      <w:tcPr>
                        <w:tcW w:w="861" w:type="dxa"/>
                      </w:tcPr>
                      <w:p>
                        <w:pPr>
                          <w:pStyle w:val="TableParagraph"/>
                          <w:spacing w:line="240" w:lineRule="exact"/>
                          <w:ind w:left="0" w:right="95"/>
                          <w:jc w:val="right"/>
                          <w:rPr>
                            <w:sz w:val="21"/>
                          </w:rPr>
                        </w:pPr>
                        <w:r>
                          <w:rPr>
                            <w:sz w:val="21"/>
                          </w:rPr>
                          <w:t>8.6</w:t>
                        </w:r>
                      </w:p>
                    </w:tc>
                    <w:tc>
                      <w:tcPr>
                        <w:tcW w:w="3549" w:type="dxa"/>
                        <w:tcBorders>
                          <w:right w:val="dotted" w:sz="6" w:space="0" w:color="000000"/>
                        </w:tcBorders>
                      </w:tcPr>
                      <w:p>
                        <w:pPr>
                          <w:pStyle w:val="TableParagraph"/>
                          <w:spacing w:line="240" w:lineRule="exact"/>
                          <w:ind w:left="7"/>
                          <w:rPr>
                            <w:sz w:val="21"/>
                          </w:rPr>
                        </w:pPr>
                        <w:r>
                          <w:rPr>
                            <w:sz w:val="21"/>
                          </w:rPr>
                          <w:t>语言能力或咀嚼吞咽能力完全丧失</w:t>
                        </w:r>
                      </w:p>
                    </w:tc>
                  </w:tr>
                  <w:tr>
                    <w:trPr>
                      <w:trHeight w:val="260" w:hRule="atLeast"/>
                    </w:trPr>
                    <w:tc>
                      <w:tcPr>
                        <w:tcW w:w="3606" w:type="dxa"/>
                        <w:tcBorders>
                          <w:left w:val="dotted" w:sz="6" w:space="0" w:color="000000"/>
                        </w:tcBorders>
                      </w:tcPr>
                      <w:p>
                        <w:pPr>
                          <w:pStyle w:val="TableParagraph"/>
                          <w:spacing w:line="236" w:lineRule="exact"/>
                          <w:ind w:left="435"/>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61" w:type="dxa"/>
                      </w:tcPr>
                      <w:p>
                        <w:pPr>
                          <w:pStyle w:val="TableParagraph"/>
                          <w:spacing w:line="240" w:lineRule="exact"/>
                          <w:ind w:left="0" w:right="95"/>
                          <w:jc w:val="right"/>
                          <w:rPr>
                            <w:sz w:val="21"/>
                          </w:rPr>
                        </w:pPr>
                        <w:r>
                          <w:rPr>
                            <w:sz w:val="21"/>
                          </w:rPr>
                          <w:t>8.7</w:t>
                        </w:r>
                      </w:p>
                    </w:tc>
                    <w:tc>
                      <w:tcPr>
                        <w:tcW w:w="3549" w:type="dxa"/>
                        <w:tcBorders>
                          <w:right w:val="dotted" w:sz="6" w:space="0" w:color="000000"/>
                        </w:tcBorders>
                      </w:tcPr>
                      <w:p>
                        <w:pPr>
                          <w:pStyle w:val="TableParagraph"/>
                          <w:spacing w:line="240" w:lineRule="exact"/>
                          <w:ind w:left="7"/>
                          <w:rPr>
                            <w:sz w:val="21"/>
                          </w:rPr>
                        </w:pPr>
                        <w:r>
                          <w:rPr>
                            <w:sz w:val="21"/>
                          </w:rPr>
                          <w:t>六项基本日常生活活动</w:t>
                        </w:r>
                      </w:p>
                    </w:tc>
                  </w:tr>
                  <w:tr>
                    <w:trPr>
                      <w:trHeight w:val="259" w:hRule="atLeast"/>
                    </w:trPr>
                    <w:tc>
                      <w:tcPr>
                        <w:tcW w:w="3606" w:type="dxa"/>
                        <w:tcBorders>
                          <w:left w:val="dotted" w:sz="6" w:space="0" w:color="000000"/>
                        </w:tcBorders>
                      </w:tcPr>
                      <w:p>
                        <w:pPr>
                          <w:pStyle w:val="TableParagraph"/>
                          <w:spacing w:line="212" w:lineRule="exact"/>
                          <w:ind w:left="645"/>
                          <w:rPr>
                            <w:sz w:val="21"/>
                          </w:rPr>
                        </w:pPr>
                        <w:r>
                          <w:rPr>
                            <w:sz w:val="21"/>
                          </w:rPr>
                          <w:t>3.1 受益人</w:t>
                        </w:r>
                      </w:p>
                    </w:tc>
                    <w:tc>
                      <w:tcPr>
                        <w:tcW w:w="861" w:type="dxa"/>
                      </w:tcPr>
                      <w:p>
                        <w:pPr>
                          <w:pStyle w:val="TableParagraph"/>
                          <w:spacing w:line="240" w:lineRule="exact"/>
                          <w:ind w:left="0" w:right="95"/>
                          <w:jc w:val="right"/>
                          <w:rPr>
                            <w:sz w:val="21"/>
                          </w:rPr>
                        </w:pPr>
                        <w:r>
                          <w:rPr>
                            <w:sz w:val="21"/>
                          </w:rPr>
                          <w:t>8.8</w:t>
                        </w:r>
                      </w:p>
                    </w:tc>
                    <w:tc>
                      <w:tcPr>
                        <w:tcW w:w="3549" w:type="dxa"/>
                        <w:tcBorders>
                          <w:right w:val="dotted" w:sz="6" w:space="0" w:color="000000"/>
                        </w:tcBorders>
                      </w:tcPr>
                      <w:p>
                        <w:pPr>
                          <w:pStyle w:val="TableParagraph"/>
                          <w:spacing w:line="240" w:lineRule="exact"/>
                          <w:ind w:left="7"/>
                          <w:rPr>
                            <w:sz w:val="21"/>
                          </w:rPr>
                        </w:pPr>
                        <w:r>
                          <w:rPr>
                            <w:sz w:val="21"/>
                          </w:rPr>
                          <w:t>永久不可逆</w:t>
                        </w:r>
                      </w:p>
                    </w:tc>
                  </w:tr>
                  <w:tr>
                    <w:trPr>
                      <w:trHeight w:val="259" w:hRule="atLeast"/>
                    </w:trPr>
                    <w:tc>
                      <w:tcPr>
                        <w:tcW w:w="3606" w:type="dxa"/>
                        <w:tcBorders>
                          <w:left w:val="dotted" w:sz="6" w:space="0" w:color="000000"/>
                        </w:tcBorders>
                      </w:tcPr>
                      <w:p>
                        <w:pPr>
                          <w:pStyle w:val="TableParagraph"/>
                          <w:spacing w:line="212" w:lineRule="exact"/>
                          <w:ind w:left="645"/>
                          <w:rPr>
                            <w:sz w:val="21"/>
                          </w:rPr>
                        </w:pPr>
                        <w:r>
                          <w:rPr>
                            <w:sz w:val="21"/>
                          </w:rPr>
                          <w:t>3.2 保险金申请</w:t>
                        </w:r>
                      </w:p>
                    </w:tc>
                    <w:tc>
                      <w:tcPr>
                        <w:tcW w:w="861" w:type="dxa"/>
                      </w:tcPr>
                      <w:p>
                        <w:pPr>
                          <w:pStyle w:val="TableParagraph"/>
                          <w:spacing w:line="240" w:lineRule="exact"/>
                          <w:ind w:left="0" w:right="95"/>
                          <w:jc w:val="right"/>
                          <w:rPr>
                            <w:sz w:val="21"/>
                          </w:rPr>
                        </w:pPr>
                        <w:r>
                          <w:rPr>
                            <w:sz w:val="21"/>
                          </w:rPr>
                          <w:t>8.9</w:t>
                        </w:r>
                      </w:p>
                    </w:tc>
                    <w:tc>
                      <w:tcPr>
                        <w:tcW w:w="3549" w:type="dxa"/>
                        <w:tcBorders>
                          <w:right w:val="dotted" w:sz="6" w:space="0" w:color="000000"/>
                        </w:tcBorders>
                      </w:tcPr>
                      <w:p>
                        <w:pPr>
                          <w:pStyle w:val="TableParagraph"/>
                          <w:spacing w:line="240" w:lineRule="exact"/>
                          <w:ind w:left="7"/>
                          <w:rPr>
                            <w:sz w:val="21"/>
                          </w:rPr>
                        </w:pPr>
                        <w:r>
                          <w:rPr>
                            <w:sz w:val="21"/>
                          </w:rPr>
                          <w:t>意外伤害</w:t>
                        </w:r>
                      </w:p>
                    </w:tc>
                  </w:tr>
                  <w:tr>
                    <w:trPr>
                      <w:trHeight w:val="260" w:hRule="atLeast"/>
                    </w:trPr>
                    <w:tc>
                      <w:tcPr>
                        <w:tcW w:w="3606" w:type="dxa"/>
                        <w:tcBorders>
                          <w:left w:val="dotted" w:sz="6" w:space="0" w:color="000000"/>
                        </w:tcBorders>
                      </w:tcPr>
                      <w:p>
                        <w:pPr>
                          <w:pStyle w:val="TableParagraph"/>
                          <w:spacing w:line="212" w:lineRule="exact"/>
                          <w:ind w:left="645"/>
                          <w:rPr>
                            <w:sz w:val="21"/>
                          </w:rPr>
                        </w:pPr>
                        <w:r>
                          <w:rPr>
                            <w:sz w:val="21"/>
                          </w:rPr>
                          <w:t>3.3 保险金的给付</w:t>
                        </w:r>
                      </w:p>
                    </w:tc>
                    <w:tc>
                      <w:tcPr>
                        <w:tcW w:w="861" w:type="dxa"/>
                      </w:tcPr>
                      <w:p>
                        <w:pPr>
                          <w:pStyle w:val="TableParagraph"/>
                          <w:spacing w:line="240" w:lineRule="exact"/>
                          <w:ind w:left="0" w:right="-15"/>
                          <w:jc w:val="right"/>
                          <w:rPr>
                            <w:sz w:val="21"/>
                          </w:rPr>
                        </w:pPr>
                        <w:r>
                          <w:rPr>
                            <w:sz w:val="21"/>
                          </w:rPr>
                          <w:t>8.10</w:t>
                        </w:r>
                      </w:p>
                    </w:tc>
                    <w:tc>
                      <w:tcPr>
                        <w:tcW w:w="3549" w:type="dxa"/>
                        <w:tcBorders>
                          <w:right w:val="dotted" w:sz="6" w:space="0" w:color="000000"/>
                        </w:tcBorders>
                      </w:tcPr>
                      <w:p>
                        <w:pPr>
                          <w:pStyle w:val="TableParagraph"/>
                          <w:spacing w:line="240" w:lineRule="exact"/>
                          <w:ind w:left="112"/>
                          <w:rPr>
                            <w:sz w:val="21"/>
                          </w:rPr>
                        </w:pPr>
                        <w:r>
                          <w:rPr>
                            <w:sz w:val="21"/>
                          </w:rPr>
                          <w:t>医院</w:t>
                        </w:r>
                      </w:p>
                    </w:tc>
                  </w:tr>
                  <w:tr>
                    <w:trPr>
                      <w:trHeight w:val="259" w:hRule="atLeast"/>
                    </w:trPr>
                    <w:tc>
                      <w:tcPr>
                        <w:tcW w:w="3606" w:type="dxa"/>
                        <w:tcBorders>
                          <w:left w:val="dotted" w:sz="6" w:space="0" w:color="000000"/>
                        </w:tcBorders>
                      </w:tcPr>
                      <w:p>
                        <w:pPr>
                          <w:pStyle w:val="TableParagraph"/>
                          <w:spacing w:line="212" w:lineRule="exact"/>
                          <w:ind w:left="645"/>
                          <w:rPr>
                            <w:sz w:val="21"/>
                          </w:rPr>
                        </w:pPr>
                        <w:r>
                          <w:rPr>
                            <w:sz w:val="21"/>
                          </w:rPr>
                          <w:t>3.4 诉讼时效</w:t>
                        </w:r>
                      </w:p>
                    </w:tc>
                    <w:tc>
                      <w:tcPr>
                        <w:tcW w:w="861" w:type="dxa"/>
                      </w:tcPr>
                      <w:p>
                        <w:pPr>
                          <w:pStyle w:val="TableParagraph"/>
                          <w:spacing w:line="240" w:lineRule="exact"/>
                          <w:ind w:left="0" w:right="-15"/>
                          <w:jc w:val="right"/>
                          <w:rPr>
                            <w:sz w:val="21"/>
                          </w:rPr>
                        </w:pPr>
                        <w:r>
                          <w:rPr>
                            <w:sz w:val="21"/>
                          </w:rPr>
                          <w:t>8.11</w:t>
                        </w:r>
                      </w:p>
                    </w:tc>
                    <w:tc>
                      <w:tcPr>
                        <w:tcW w:w="3549" w:type="dxa"/>
                        <w:tcBorders>
                          <w:right w:val="dotted" w:sz="6" w:space="0" w:color="000000"/>
                        </w:tcBorders>
                      </w:tcPr>
                      <w:p>
                        <w:pPr>
                          <w:pStyle w:val="TableParagraph"/>
                          <w:spacing w:line="240" w:lineRule="exact"/>
                          <w:ind w:left="112"/>
                          <w:rPr>
                            <w:sz w:val="21"/>
                          </w:rPr>
                        </w:pPr>
                        <w:r>
                          <w:rPr>
                            <w:sz w:val="21"/>
                          </w:rPr>
                          <w:t>毒品</w:t>
                        </w:r>
                      </w:p>
                    </w:tc>
                  </w:tr>
                  <w:tr>
                    <w:trPr>
                      <w:trHeight w:val="259" w:hRule="atLeast"/>
                    </w:trPr>
                    <w:tc>
                      <w:tcPr>
                        <w:tcW w:w="3606" w:type="dxa"/>
                        <w:tcBorders>
                          <w:left w:val="dotted" w:sz="6" w:space="0" w:color="000000"/>
                        </w:tcBorders>
                      </w:tcPr>
                      <w:p>
                        <w:pPr>
                          <w:pStyle w:val="TableParagraph"/>
                          <w:spacing w:line="236" w:lineRule="exact"/>
                          <w:ind w:left="435"/>
                          <w:rPr>
                            <w:rFonts w:ascii="Microsoft JhengHei" w:eastAsia="Microsoft JhengHei" w:hint="eastAsia"/>
                            <w:b/>
                            <w:sz w:val="21"/>
                          </w:rPr>
                        </w:pPr>
                        <w:r>
                          <w:rPr>
                            <w:b/>
                            <w:sz w:val="21"/>
                          </w:rPr>
                          <w:t>4. </w:t>
                        </w:r>
                        <w:r>
                          <w:rPr>
                            <w:rFonts w:ascii="Microsoft JhengHei" w:eastAsia="Microsoft JhengHei" w:hint="eastAsia"/>
                            <w:b/>
                            <w:sz w:val="21"/>
                          </w:rPr>
                          <w:t>如何支付保险费</w:t>
                        </w:r>
                      </w:p>
                    </w:tc>
                    <w:tc>
                      <w:tcPr>
                        <w:tcW w:w="861" w:type="dxa"/>
                      </w:tcPr>
                      <w:p>
                        <w:pPr>
                          <w:pStyle w:val="TableParagraph"/>
                          <w:spacing w:line="240" w:lineRule="exact"/>
                          <w:ind w:left="0" w:right="-15"/>
                          <w:jc w:val="right"/>
                          <w:rPr>
                            <w:sz w:val="21"/>
                          </w:rPr>
                        </w:pPr>
                        <w:r>
                          <w:rPr>
                            <w:sz w:val="21"/>
                          </w:rPr>
                          <w:t>8.12</w:t>
                        </w:r>
                      </w:p>
                    </w:tc>
                    <w:tc>
                      <w:tcPr>
                        <w:tcW w:w="3549" w:type="dxa"/>
                        <w:tcBorders>
                          <w:right w:val="dotted" w:sz="6" w:space="0" w:color="000000"/>
                        </w:tcBorders>
                      </w:tcPr>
                      <w:p>
                        <w:pPr>
                          <w:pStyle w:val="TableParagraph"/>
                          <w:spacing w:line="240" w:lineRule="exact"/>
                          <w:ind w:left="112"/>
                          <w:rPr>
                            <w:sz w:val="21"/>
                          </w:rPr>
                        </w:pPr>
                        <w:r>
                          <w:rPr>
                            <w:sz w:val="21"/>
                          </w:rPr>
                          <w:t>酒后驾驶</w:t>
                        </w:r>
                      </w:p>
                    </w:tc>
                  </w:tr>
                  <w:tr>
                    <w:trPr>
                      <w:trHeight w:val="260" w:hRule="atLeast"/>
                    </w:trPr>
                    <w:tc>
                      <w:tcPr>
                        <w:tcW w:w="3606" w:type="dxa"/>
                        <w:tcBorders>
                          <w:left w:val="dotted" w:sz="6" w:space="0" w:color="000000"/>
                        </w:tcBorders>
                      </w:tcPr>
                      <w:p>
                        <w:pPr>
                          <w:pStyle w:val="TableParagraph"/>
                          <w:spacing w:line="212" w:lineRule="exact"/>
                          <w:ind w:left="645"/>
                          <w:rPr>
                            <w:sz w:val="21"/>
                          </w:rPr>
                        </w:pPr>
                        <w:r>
                          <w:rPr>
                            <w:sz w:val="21"/>
                          </w:rPr>
                          <w:t>4.1 保险费的支付</w:t>
                        </w:r>
                      </w:p>
                    </w:tc>
                    <w:tc>
                      <w:tcPr>
                        <w:tcW w:w="861" w:type="dxa"/>
                      </w:tcPr>
                      <w:p>
                        <w:pPr>
                          <w:pStyle w:val="TableParagraph"/>
                          <w:spacing w:line="240" w:lineRule="exact"/>
                          <w:ind w:left="0" w:right="-15"/>
                          <w:jc w:val="right"/>
                          <w:rPr>
                            <w:sz w:val="21"/>
                          </w:rPr>
                        </w:pPr>
                        <w:r>
                          <w:rPr>
                            <w:sz w:val="21"/>
                          </w:rPr>
                          <w:t>8.13</w:t>
                        </w:r>
                      </w:p>
                    </w:tc>
                    <w:tc>
                      <w:tcPr>
                        <w:tcW w:w="3549" w:type="dxa"/>
                        <w:tcBorders>
                          <w:right w:val="dotted" w:sz="6" w:space="0" w:color="000000"/>
                        </w:tcBorders>
                      </w:tcPr>
                      <w:p>
                        <w:pPr>
                          <w:pStyle w:val="TableParagraph"/>
                          <w:spacing w:line="240" w:lineRule="exact"/>
                          <w:ind w:left="112"/>
                          <w:rPr>
                            <w:sz w:val="21"/>
                          </w:rPr>
                        </w:pPr>
                        <w:r>
                          <w:rPr>
                            <w:sz w:val="21"/>
                          </w:rPr>
                          <w:t>无合法有效驾驶证驾驶</w:t>
                        </w:r>
                      </w:p>
                    </w:tc>
                  </w:tr>
                  <w:tr>
                    <w:trPr>
                      <w:trHeight w:val="259" w:hRule="atLeast"/>
                    </w:trPr>
                    <w:tc>
                      <w:tcPr>
                        <w:tcW w:w="3606" w:type="dxa"/>
                        <w:tcBorders>
                          <w:left w:val="dotted" w:sz="6" w:space="0" w:color="000000"/>
                        </w:tcBorders>
                      </w:tcPr>
                      <w:p>
                        <w:pPr>
                          <w:pStyle w:val="TableParagraph"/>
                          <w:spacing w:line="212" w:lineRule="exact"/>
                          <w:ind w:left="645"/>
                          <w:rPr>
                            <w:sz w:val="21"/>
                          </w:rPr>
                        </w:pPr>
                        <w:r>
                          <w:rPr>
                            <w:sz w:val="21"/>
                          </w:rPr>
                          <w:t>4.2 保险费率调整</w:t>
                        </w:r>
                      </w:p>
                    </w:tc>
                    <w:tc>
                      <w:tcPr>
                        <w:tcW w:w="861" w:type="dxa"/>
                      </w:tcPr>
                      <w:p>
                        <w:pPr>
                          <w:pStyle w:val="TableParagraph"/>
                          <w:spacing w:line="240" w:lineRule="exact"/>
                          <w:ind w:left="0" w:right="-15"/>
                          <w:jc w:val="right"/>
                          <w:rPr>
                            <w:sz w:val="21"/>
                          </w:rPr>
                        </w:pPr>
                        <w:r>
                          <w:rPr>
                            <w:sz w:val="21"/>
                          </w:rPr>
                          <w:t>8.14</w:t>
                        </w:r>
                      </w:p>
                    </w:tc>
                    <w:tc>
                      <w:tcPr>
                        <w:tcW w:w="3549" w:type="dxa"/>
                        <w:tcBorders>
                          <w:right w:val="dotted" w:sz="6" w:space="0" w:color="000000"/>
                        </w:tcBorders>
                      </w:tcPr>
                      <w:p>
                        <w:pPr>
                          <w:pStyle w:val="TableParagraph"/>
                          <w:spacing w:line="240" w:lineRule="exact"/>
                          <w:ind w:left="112"/>
                          <w:rPr>
                            <w:sz w:val="21"/>
                          </w:rPr>
                        </w:pPr>
                        <w:r>
                          <w:rPr>
                            <w:sz w:val="21"/>
                          </w:rPr>
                          <w:t>无有效行驶证</w:t>
                        </w:r>
                      </w:p>
                    </w:tc>
                  </w:tr>
                  <w:tr>
                    <w:trPr>
                      <w:trHeight w:val="259" w:hRule="atLeast"/>
                    </w:trPr>
                    <w:tc>
                      <w:tcPr>
                        <w:tcW w:w="3606" w:type="dxa"/>
                        <w:tcBorders>
                          <w:left w:val="dotted" w:sz="6" w:space="0" w:color="000000"/>
                        </w:tcBorders>
                      </w:tcPr>
                      <w:p>
                        <w:pPr>
                          <w:pStyle w:val="TableParagraph"/>
                          <w:spacing w:line="236" w:lineRule="exact"/>
                          <w:ind w:left="435"/>
                          <w:rPr>
                            <w:rFonts w:ascii="Microsoft JhengHei" w:eastAsia="Microsoft JhengHei" w:hint="eastAsia"/>
                            <w:b/>
                            <w:sz w:val="21"/>
                          </w:rPr>
                        </w:pPr>
                        <w:r>
                          <w:rPr>
                            <w:b/>
                            <w:sz w:val="21"/>
                          </w:rPr>
                          <w:t>5. </w:t>
                        </w:r>
                        <w:r>
                          <w:rPr>
                            <w:rFonts w:ascii="Microsoft JhengHei" w:eastAsia="Microsoft JhengHei" w:hint="eastAsia"/>
                            <w:b/>
                            <w:sz w:val="21"/>
                          </w:rPr>
                          <w:t>合同效力的恢复</w:t>
                        </w:r>
                      </w:p>
                    </w:tc>
                    <w:tc>
                      <w:tcPr>
                        <w:tcW w:w="861" w:type="dxa"/>
                      </w:tcPr>
                      <w:p>
                        <w:pPr>
                          <w:pStyle w:val="TableParagraph"/>
                          <w:spacing w:line="240" w:lineRule="exact"/>
                          <w:ind w:left="0" w:right="-15"/>
                          <w:jc w:val="right"/>
                          <w:rPr>
                            <w:sz w:val="21"/>
                          </w:rPr>
                        </w:pPr>
                        <w:r>
                          <w:rPr>
                            <w:sz w:val="21"/>
                          </w:rPr>
                          <w:t>8.15</w:t>
                        </w:r>
                      </w:p>
                    </w:tc>
                    <w:tc>
                      <w:tcPr>
                        <w:tcW w:w="3549" w:type="dxa"/>
                        <w:tcBorders>
                          <w:right w:val="dotted" w:sz="6" w:space="0" w:color="000000"/>
                        </w:tcBorders>
                      </w:tcPr>
                      <w:p>
                        <w:pPr>
                          <w:pStyle w:val="TableParagraph"/>
                          <w:spacing w:line="240" w:lineRule="exact"/>
                          <w:ind w:left="112"/>
                          <w:rPr>
                            <w:sz w:val="21"/>
                          </w:rPr>
                        </w:pPr>
                        <w:r>
                          <w:rPr>
                            <w:sz w:val="21"/>
                          </w:rPr>
                          <w:t>机动车</w:t>
                        </w:r>
                      </w:p>
                    </w:tc>
                  </w:tr>
                  <w:tr>
                    <w:trPr>
                      <w:trHeight w:val="260" w:hRule="atLeast"/>
                    </w:trPr>
                    <w:tc>
                      <w:tcPr>
                        <w:tcW w:w="3606" w:type="dxa"/>
                        <w:tcBorders>
                          <w:left w:val="dotted" w:sz="6" w:space="0" w:color="000000"/>
                        </w:tcBorders>
                      </w:tcPr>
                      <w:p>
                        <w:pPr>
                          <w:pStyle w:val="TableParagraph"/>
                          <w:spacing w:line="212" w:lineRule="exact"/>
                          <w:ind w:left="645"/>
                          <w:rPr>
                            <w:sz w:val="21"/>
                          </w:rPr>
                        </w:pPr>
                        <w:r>
                          <w:rPr>
                            <w:sz w:val="21"/>
                          </w:rPr>
                          <w:t>5.1 效力恢复</w:t>
                        </w:r>
                      </w:p>
                    </w:tc>
                    <w:tc>
                      <w:tcPr>
                        <w:tcW w:w="861" w:type="dxa"/>
                      </w:tcPr>
                      <w:p>
                        <w:pPr>
                          <w:pStyle w:val="TableParagraph"/>
                          <w:spacing w:line="240" w:lineRule="exact"/>
                          <w:ind w:left="0" w:right="-15"/>
                          <w:jc w:val="right"/>
                          <w:rPr>
                            <w:sz w:val="21"/>
                          </w:rPr>
                        </w:pPr>
                        <w:r>
                          <w:rPr>
                            <w:sz w:val="21"/>
                          </w:rPr>
                          <w:t>8.16</w:t>
                        </w:r>
                      </w:p>
                    </w:tc>
                    <w:tc>
                      <w:tcPr>
                        <w:tcW w:w="3549" w:type="dxa"/>
                        <w:tcBorders>
                          <w:right w:val="dotted" w:sz="6" w:space="0" w:color="000000"/>
                        </w:tcBorders>
                      </w:tcPr>
                      <w:p>
                        <w:pPr>
                          <w:pStyle w:val="TableParagraph"/>
                          <w:spacing w:line="240" w:lineRule="exact"/>
                          <w:ind w:left="112"/>
                          <w:rPr>
                            <w:sz w:val="21"/>
                          </w:rPr>
                        </w:pPr>
                        <w:r>
                          <w:rPr>
                            <w:sz w:val="21"/>
                          </w:rPr>
                          <w:t>感染艾滋病病毒或患艾滋病</w:t>
                        </w:r>
                      </w:p>
                    </w:tc>
                  </w:tr>
                  <w:tr>
                    <w:trPr>
                      <w:trHeight w:val="259" w:hRule="atLeast"/>
                    </w:trPr>
                    <w:tc>
                      <w:tcPr>
                        <w:tcW w:w="3606" w:type="dxa"/>
                        <w:tcBorders>
                          <w:left w:val="dotted" w:sz="6" w:space="0" w:color="000000"/>
                        </w:tcBorders>
                      </w:tcPr>
                      <w:p>
                        <w:pPr>
                          <w:pStyle w:val="TableParagraph"/>
                          <w:spacing w:line="236" w:lineRule="exact"/>
                          <w:ind w:left="435"/>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861" w:type="dxa"/>
                      </w:tcPr>
                      <w:p>
                        <w:pPr>
                          <w:pStyle w:val="TableParagraph"/>
                          <w:spacing w:line="240" w:lineRule="exact"/>
                          <w:ind w:left="0" w:right="-15"/>
                          <w:jc w:val="right"/>
                          <w:rPr>
                            <w:sz w:val="21"/>
                          </w:rPr>
                        </w:pPr>
                        <w:r>
                          <w:rPr>
                            <w:sz w:val="21"/>
                          </w:rPr>
                          <w:t>8.17</w:t>
                        </w:r>
                      </w:p>
                    </w:tc>
                    <w:tc>
                      <w:tcPr>
                        <w:tcW w:w="3549" w:type="dxa"/>
                        <w:tcBorders>
                          <w:right w:val="dotted" w:sz="6" w:space="0" w:color="000000"/>
                        </w:tcBorders>
                      </w:tcPr>
                      <w:p>
                        <w:pPr>
                          <w:pStyle w:val="TableParagraph"/>
                          <w:spacing w:line="240" w:lineRule="exact"/>
                          <w:ind w:left="112"/>
                          <w:rPr>
                            <w:sz w:val="21"/>
                          </w:rPr>
                        </w:pPr>
                        <w:r>
                          <w:rPr>
                            <w:sz w:val="21"/>
                          </w:rPr>
                          <w:t>遗传性疾病</w:t>
                        </w:r>
                      </w:p>
                    </w:tc>
                  </w:tr>
                  <w:tr>
                    <w:trPr>
                      <w:trHeight w:val="259" w:hRule="atLeast"/>
                    </w:trPr>
                    <w:tc>
                      <w:tcPr>
                        <w:tcW w:w="3606" w:type="dxa"/>
                        <w:tcBorders>
                          <w:left w:val="dotted" w:sz="6" w:space="0" w:color="000000"/>
                        </w:tcBorders>
                      </w:tcPr>
                      <w:p>
                        <w:pPr>
                          <w:pStyle w:val="TableParagraph"/>
                          <w:spacing w:line="213" w:lineRule="exact"/>
                          <w:ind w:left="645"/>
                          <w:rPr>
                            <w:sz w:val="21"/>
                          </w:rPr>
                        </w:pPr>
                        <w:r>
                          <w:rPr>
                            <w:sz w:val="21"/>
                          </w:rPr>
                          <w:t>6.1 您解除合同的手续及风险</w:t>
                        </w:r>
                      </w:p>
                    </w:tc>
                    <w:tc>
                      <w:tcPr>
                        <w:tcW w:w="861" w:type="dxa"/>
                      </w:tcPr>
                      <w:p>
                        <w:pPr>
                          <w:pStyle w:val="TableParagraph"/>
                          <w:spacing w:line="240" w:lineRule="exact"/>
                          <w:ind w:left="0" w:right="-15"/>
                          <w:jc w:val="right"/>
                          <w:rPr>
                            <w:sz w:val="21"/>
                          </w:rPr>
                        </w:pPr>
                        <w:r>
                          <w:rPr>
                            <w:sz w:val="21"/>
                          </w:rPr>
                          <w:t>8.18</w:t>
                        </w:r>
                      </w:p>
                    </w:tc>
                    <w:tc>
                      <w:tcPr>
                        <w:tcW w:w="3549" w:type="dxa"/>
                        <w:tcBorders>
                          <w:right w:val="dotted" w:sz="6" w:space="0" w:color="000000"/>
                        </w:tcBorders>
                      </w:tcPr>
                      <w:p>
                        <w:pPr>
                          <w:pStyle w:val="TableParagraph"/>
                          <w:spacing w:line="240" w:lineRule="exact"/>
                          <w:ind w:left="112"/>
                          <w:rPr>
                            <w:sz w:val="21"/>
                          </w:rPr>
                        </w:pPr>
                        <w:r>
                          <w:rPr>
                            <w:sz w:val="21"/>
                          </w:rPr>
                          <w:t>先天性畸形、变形或染色体异常</w:t>
                        </w:r>
                      </w:p>
                    </w:tc>
                  </w:tr>
                  <w:tr>
                    <w:trPr>
                      <w:trHeight w:val="602" w:hRule="atLeast"/>
                    </w:trPr>
                    <w:tc>
                      <w:tcPr>
                        <w:tcW w:w="3606" w:type="dxa"/>
                        <w:tcBorders>
                          <w:left w:val="dotted" w:sz="6" w:space="0" w:color="000000"/>
                          <w:bottom w:val="dotted" w:sz="6" w:space="0" w:color="000000"/>
                        </w:tcBorders>
                      </w:tcPr>
                      <w:p>
                        <w:pPr>
                          <w:pStyle w:val="TableParagraph"/>
                          <w:spacing w:line="236" w:lineRule="exact"/>
                          <w:ind w:left="435"/>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861" w:type="dxa"/>
                        <w:tcBorders>
                          <w:bottom w:val="dotted" w:sz="6" w:space="0" w:color="000000"/>
                        </w:tcBorders>
                      </w:tcPr>
                      <w:p>
                        <w:pPr>
                          <w:pStyle w:val="TableParagraph"/>
                          <w:spacing w:line="258" w:lineRule="exact"/>
                          <w:ind w:left="0" w:right="-15"/>
                          <w:jc w:val="right"/>
                          <w:rPr>
                            <w:sz w:val="21"/>
                          </w:rPr>
                        </w:pPr>
                        <w:r>
                          <w:rPr>
                            <w:sz w:val="21"/>
                          </w:rPr>
                          <w:t>8.19</w:t>
                        </w:r>
                      </w:p>
                    </w:tc>
                    <w:tc>
                      <w:tcPr>
                        <w:tcW w:w="3549" w:type="dxa"/>
                        <w:tcBorders>
                          <w:bottom w:val="dotted" w:sz="6" w:space="0" w:color="000000"/>
                          <w:right w:val="dotted" w:sz="6" w:space="0" w:color="000000"/>
                        </w:tcBorders>
                      </w:tcPr>
                      <w:p>
                        <w:pPr>
                          <w:pStyle w:val="TableParagraph"/>
                          <w:spacing w:line="258" w:lineRule="exact"/>
                          <w:ind w:left="112"/>
                          <w:rPr>
                            <w:sz w:val="21"/>
                          </w:rPr>
                        </w:pPr>
                        <w:r>
                          <w:rPr>
                            <w:sz w:val="21"/>
                          </w:rPr>
                          <w:t>保险费约定支付日</w:t>
                        </w: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spacing w:before="6"/>
        <w:rPr>
          <w:b/>
          <w:sz w:val="47"/>
        </w:rPr>
      </w:pPr>
    </w:p>
    <w:p>
      <w:pPr>
        <w:spacing w:line="314" w:lineRule="auto" w:before="0"/>
        <w:ind w:left="8515" w:right="100" w:firstLine="0"/>
        <w:jc w:val="left"/>
        <w:rPr>
          <w:sz w:val="18"/>
        </w:rPr>
      </w:pPr>
      <w:r>
        <w:rPr>
          <w:sz w:val="18"/>
        </w:rPr>
        <w:t>险种简称：鑫利重疾险种代码：939</w:t>
      </w:r>
    </w:p>
    <w:p>
      <w:pPr>
        <w:spacing w:after="0" w:line="314" w:lineRule="auto"/>
        <w:jc w:val="left"/>
        <w:rPr>
          <w:sz w:val="18"/>
        </w:rPr>
        <w:sectPr>
          <w:type w:val="continuous"/>
          <w:pgSz w:w="11910" w:h="16840"/>
          <w:pgMar w:top="560" w:bottom="280" w:left="840" w:right="800"/>
        </w:sectPr>
      </w:pPr>
    </w:p>
    <w:p>
      <w:pPr>
        <w:pStyle w:val="BodyText"/>
        <w:ind w:left="223"/>
        <w:rPr>
          <w:sz w:val="20"/>
        </w:rPr>
      </w:pPr>
      <w:r>
        <w:rPr/>
        <w:pict>
          <v:shape style="position:absolute;margin-left:182.400009pt;margin-top:738.959961pt;width:355.8pt;height:44.85pt;mso-position-horizontal-relative:page;mso-position-vertical-relative:page;z-index:-28144" coordorigin="3648,14779" coordsize="7116,897" path="m10764,15403l3648,15403,3648,15676,10764,15676,10764,15403m10764,15091l3648,15091,3648,15364,10764,15364,10764,15091m10764,14779l3648,14779,3648,15052,10764,15052,10764,14779e" filled="true" fillcolor="#dadada" stroked="false">
            <v:path arrowok="t"/>
            <v:fill type="solid"/>
            <w10:wrap type="none"/>
          </v:shape>
        </w:pict>
      </w:r>
      <w:r>
        <w:rPr>
          <w:sz w:val="20"/>
        </w:rPr>
        <w:drawing>
          <wp:inline distT="0" distB="0" distL="0" distR="0">
            <wp:extent cx="2052278"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8" cy="342042"/>
                    </a:xfrm>
                    <a:prstGeom prst="rect">
                      <a:avLst/>
                    </a:prstGeom>
                  </pic:spPr>
                </pic:pic>
              </a:graphicData>
            </a:graphic>
          </wp:inline>
        </w:drawing>
      </w:r>
      <w:r>
        <w:rPr>
          <w:sz w:val="20"/>
        </w:rPr>
      </w:r>
    </w:p>
    <w:p>
      <w:pPr>
        <w:pStyle w:val="BodyText"/>
        <w:rPr>
          <w:sz w:val="20"/>
        </w:rPr>
      </w:pPr>
    </w:p>
    <w:p>
      <w:pPr>
        <w:pStyle w:val="BodyText"/>
        <w:spacing w:before="6"/>
        <w:rPr>
          <w:sz w:val="28"/>
        </w:rPr>
      </w:pPr>
      <w:r>
        <w:rPr/>
        <w:drawing>
          <wp:anchor distT="0" distB="0" distL="0" distR="0" allowOverlap="1" layoutInCell="1" locked="0" behindDoc="0" simplePos="0" relativeHeight="1072">
            <wp:simplePos x="0" y="0"/>
            <wp:positionH relativeFrom="page">
              <wp:posOffset>1444244</wp:posOffset>
            </wp:positionH>
            <wp:positionV relativeFrom="paragraph">
              <wp:posOffset>261823</wp:posOffset>
            </wp:positionV>
            <wp:extent cx="4614505"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505" cy="225551"/>
                    </a:xfrm>
                    <a:prstGeom prst="rect">
                      <a:avLst/>
                    </a:prstGeom>
                  </pic:spPr>
                </pic:pic>
              </a:graphicData>
            </a:graphic>
          </wp:anchor>
        </w:drawing>
      </w:r>
    </w:p>
    <w:p>
      <w:pPr>
        <w:pStyle w:val="BodyText"/>
        <w:spacing w:before="8"/>
        <w:rPr>
          <w:sz w:val="9"/>
        </w:rPr>
      </w:pPr>
    </w:p>
    <w:p>
      <w:pPr>
        <w:pStyle w:val="Heading1"/>
        <w:spacing w:line="507" w:lineRule="exact"/>
        <w:ind w:left="2269"/>
      </w:pPr>
      <w:r>
        <w:rPr/>
        <w:t>平安附加鑫利提前给付重大疾病保险条款</w:t>
      </w:r>
    </w:p>
    <w:p>
      <w:pPr>
        <w:pStyle w:val="BodyText"/>
        <w:spacing w:before="103"/>
        <w:ind w:left="2213"/>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129"/>
        <w:gridCol w:w="7224"/>
      </w:tblGrid>
      <w:tr>
        <w:trPr>
          <w:trHeight w:val="522" w:hRule="atLeast"/>
        </w:trPr>
        <w:tc>
          <w:tcPr>
            <w:tcW w:w="606" w:type="dxa"/>
            <w:tcBorders>
              <w:bottom w:val="single" w:sz="8" w:space="0" w:color="000000"/>
            </w:tcBorders>
          </w:tcPr>
          <w:p>
            <w:pPr>
              <w:pStyle w:val="TableParagraph"/>
              <w:spacing w:line="422" w:lineRule="exact"/>
              <w:ind w:left="0"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017" w:hRule="atLeast"/>
        </w:trPr>
        <w:tc>
          <w:tcPr>
            <w:tcW w:w="606" w:type="dxa"/>
            <w:tcBorders>
              <w:top w:val="single" w:sz="8" w:space="0" w:color="000000"/>
            </w:tcBorders>
          </w:tcPr>
          <w:p>
            <w:pPr>
              <w:pStyle w:val="TableParagraph"/>
              <w:ind w:left="0"/>
              <w:rPr>
                <w:sz w:val="19"/>
              </w:rPr>
            </w:pPr>
          </w:p>
          <w:p>
            <w:pPr>
              <w:pStyle w:val="TableParagraph"/>
              <w:ind w:left="89" w:right="159"/>
              <w:jc w:val="center"/>
              <w:rPr>
                <w:b/>
                <w:sz w:val="21"/>
              </w:rPr>
            </w:pPr>
            <w:r>
              <w:rPr>
                <w:b/>
                <w:sz w:val="21"/>
              </w:rPr>
              <w:t>1.1</w:t>
            </w:r>
          </w:p>
        </w:tc>
        <w:tc>
          <w:tcPr>
            <w:tcW w:w="2129" w:type="dxa"/>
            <w:tcBorders>
              <w:top w:val="single" w:sz="8" w:space="0" w:color="000000"/>
            </w:tcBorders>
          </w:tcPr>
          <w:p>
            <w:pPr>
              <w:pStyle w:val="TableParagraph"/>
              <w:ind w:left="0"/>
              <w:rPr>
                <w:sz w:val="19"/>
              </w:rPr>
            </w:pPr>
          </w:p>
          <w:p>
            <w:pPr>
              <w:pStyle w:val="TableParagraph"/>
              <w:ind w:left="141"/>
              <w:rPr>
                <w:b/>
                <w:sz w:val="21"/>
              </w:rPr>
            </w:pPr>
            <w:r>
              <w:rPr>
                <w:b/>
                <w:sz w:val="21"/>
              </w:rPr>
              <w:t>合同订立</w:t>
            </w:r>
          </w:p>
        </w:tc>
        <w:tc>
          <w:tcPr>
            <w:tcW w:w="7224" w:type="dxa"/>
            <w:tcBorders>
              <w:top w:val="single" w:sz="8" w:space="0" w:color="000000"/>
            </w:tcBorders>
          </w:tcPr>
          <w:p>
            <w:pPr>
              <w:pStyle w:val="TableParagraph"/>
              <w:ind w:left="0"/>
              <w:rPr>
                <w:sz w:val="19"/>
              </w:rPr>
            </w:pPr>
          </w:p>
          <w:p>
            <w:pPr>
              <w:pStyle w:val="TableParagraph"/>
              <w:spacing w:line="273" w:lineRule="auto"/>
              <w:ind w:left="-1" w:right="106"/>
              <w:rPr>
                <w:sz w:val="21"/>
              </w:rPr>
            </w:pPr>
            <w:r>
              <w:rPr>
                <w:sz w:val="21"/>
              </w:rPr>
              <w:t>“平安附加鑫利提前给付重大疾病保险合同</w:t>
            </w:r>
            <w:r>
              <w:rPr>
                <w:spacing w:val="-113"/>
                <w:sz w:val="21"/>
              </w:rPr>
              <w:t>”</w:t>
            </w:r>
            <w:r>
              <w:rPr>
                <w:sz w:val="21"/>
              </w:rPr>
              <w:t>（</w:t>
            </w:r>
            <w:r>
              <w:rPr>
                <w:spacing w:val="-12"/>
                <w:sz w:val="21"/>
              </w:rPr>
              <w:t>以下简称“本附加险合同”</w:t>
            </w:r>
            <w:r>
              <w:rPr>
                <w:spacing w:val="-9"/>
                <w:sz w:val="21"/>
              </w:rPr>
              <w:t>）</w:t>
            </w:r>
            <w:r>
              <w:rPr>
                <w:sz w:val="21"/>
              </w:rPr>
              <w:t>由主保险合同（</w:t>
            </w:r>
            <w:r>
              <w:rPr>
                <w:spacing w:val="-11"/>
                <w:sz w:val="21"/>
              </w:rPr>
              <w:t>以下简称“主险合同”</w:t>
            </w:r>
            <w:r>
              <w:rPr>
                <w:sz w:val="21"/>
              </w:rPr>
              <w:t>）投保人提出申请，经我们同意而订立。</w:t>
            </w:r>
          </w:p>
        </w:tc>
      </w:tr>
      <w:tr>
        <w:trPr>
          <w:trHeight w:val="1149" w:hRule="atLeast"/>
        </w:trPr>
        <w:tc>
          <w:tcPr>
            <w:tcW w:w="606" w:type="dxa"/>
          </w:tcPr>
          <w:p>
            <w:pPr>
              <w:pStyle w:val="TableParagraph"/>
              <w:spacing w:before="137"/>
              <w:ind w:left="89" w:right="159"/>
              <w:jc w:val="center"/>
              <w:rPr>
                <w:b/>
                <w:sz w:val="21"/>
              </w:rPr>
            </w:pPr>
            <w:r>
              <w:rPr>
                <w:b/>
                <w:sz w:val="21"/>
              </w:rPr>
              <w:t>1.2</w:t>
            </w:r>
          </w:p>
        </w:tc>
        <w:tc>
          <w:tcPr>
            <w:tcW w:w="2129" w:type="dxa"/>
          </w:tcPr>
          <w:p>
            <w:pPr>
              <w:pStyle w:val="TableParagraph"/>
              <w:spacing w:before="137"/>
              <w:ind w:left="141"/>
              <w:rPr>
                <w:b/>
                <w:sz w:val="21"/>
              </w:rPr>
            </w:pPr>
            <w:r>
              <w:rPr>
                <w:b/>
                <w:sz w:val="21"/>
              </w:rPr>
              <w:t>合同生效</w:t>
            </w:r>
          </w:p>
        </w:tc>
        <w:tc>
          <w:tcPr>
            <w:tcW w:w="7224" w:type="dxa"/>
          </w:tcPr>
          <w:p>
            <w:pPr>
              <w:pStyle w:val="TableParagraph"/>
              <w:spacing w:line="237" w:lineRule="auto" w:before="119"/>
              <w:ind w:left="-1" w:right="3442"/>
              <w:rPr>
                <w:sz w:val="21"/>
              </w:rPr>
            </w:pPr>
            <w:r>
              <w:rPr>
                <w:sz w:val="21"/>
              </w:rPr>
              <w:t>本附加险合同须与主险合同同时投保。 本附加险合同的生效日与主险合同相同。</w:t>
            </w:r>
          </w:p>
          <w:p>
            <w:pPr>
              <w:pStyle w:val="TableParagraph"/>
              <w:spacing w:before="17"/>
              <w:ind w:left="-1"/>
              <w:rPr>
                <w:sz w:val="21"/>
              </w:rPr>
            </w:pPr>
            <w:r>
              <w:rPr>
                <w:sz w:val="21"/>
              </w:rPr>
              <w:t>本附加险合同的保单周年日同主险合同的保单周年日。</w:t>
            </w:r>
          </w:p>
        </w:tc>
      </w:tr>
      <w:tr>
        <w:trPr>
          <w:trHeight w:val="885" w:hRule="atLeast"/>
        </w:trPr>
        <w:tc>
          <w:tcPr>
            <w:tcW w:w="606" w:type="dxa"/>
          </w:tcPr>
          <w:p>
            <w:pPr>
              <w:pStyle w:val="TableParagraph"/>
              <w:spacing w:before="128"/>
              <w:ind w:left="89" w:right="159"/>
              <w:jc w:val="center"/>
              <w:rPr>
                <w:b/>
                <w:sz w:val="21"/>
              </w:rPr>
            </w:pPr>
            <w:r>
              <w:rPr>
                <w:b/>
                <w:sz w:val="21"/>
              </w:rPr>
              <w:t>1.3</w:t>
            </w:r>
          </w:p>
        </w:tc>
        <w:tc>
          <w:tcPr>
            <w:tcW w:w="2129" w:type="dxa"/>
          </w:tcPr>
          <w:p>
            <w:pPr>
              <w:pStyle w:val="TableParagraph"/>
              <w:spacing w:before="128"/>
              <w:ind w:left="141"/>
              <w:rPr>
                <w:b/>
                <w:sz w:val="21"/>
              </w:rPr>
            </w:pPr>
            <w:r>
              <w:rPr>
                <w:b/>
                <w:sz w:val="21"/>
              </w:rPr>
              <w:t>投保年龄</w:t>
            </w:r>
          </w:p>
        </w:tc>
        <w:tc>
          <w:tcPr>
            <w:tcW w:w="7224" w:type="dxa"/>
          </w:tcPr>
          <w:p>
            <w:pPr>
              <w:pStyle w:val="TableParagraph"/>
              <w:spacing w:line="273" w:lineRule="auto" w:before="128"/>
              <w:ind w:left="-1" w:right="106"/>
              <w:rPr>
                <w:sz w:val="21"/>
              </w:rPr>
            </w:pPr>
            <w:r>
              <w:rPr>
                <w:sz w:val="21"/>
              </w:rPr>
              <w:t>指投保时被保险人的年龄，投保年龄以</w:t>
            </w:r>
            <w:r>
              <w:rPr>
                <w:rFonts w:ascii="黑体" w:eastAsia="黑体" w:hint="eastAsia"/>
                <w:b/>
                <w:sz w:val="21"/>
              </w:rPr>
              <w:t>周岁</w:t>
            </w:r>
            <w:r>
              <w:rPr>
                <w:sz w:val="21"/>
              </w:rPr>
              <w:t>（</w:t>
            </w:r>
            <w:r>
              <w:rPr>
                <w:spacing w:val="-15"/>
                <w:sz w:val="21"/>
              </w:rPr>
              <w:t>见 </w:t>
            </w:r>
            <w:r>
              <w:rPr>
                <w:sz w:val="21"/>
              </w:rPr>
              <w:t>8.1）计算，本附加险合同接</w:t>
            </w:r>
            <w:r>
              <w:rPr>
                <w:spacing w:val="-7"/>
                <w:sz w:val="21"/>
              </w:rPr>
              <w:t>受的投保年龄为 </w:t>
            </w:r>
            <w:r>
              <w:rPr>
                <w:sz w:val="21"/>
              </w:rPr>
              <w:t>0</w:t>
            </w:r>
            <w:r>
              <w:rPr>
                <w:spacing w:val="-18"/>
                <w:sz w:val="21"/>
              </w:rPr>
              <w:t> 周岁</w:t>
            </w:r>
            <w:r>
              <w:rPr>
                <w:sz w:val="21"/>
              </w:rPr>
              <w:t>（</w:t>
            </w:r>
            <w:r>
              <w:rPr>
                <w:spacing w:val="-11"/>
                <w:sz w:val="21"/>
              </w:rPr>
              <w:t>指出生满 </w:t>
            </w:r>
            <w:r>
              <w:rPr>
                <w:sz w:val="21"/>
              </w:rPr>
              <w:t>28</w:t>
            </w:r>
            <w:r>
              <w:rPr>
                <w:spacing w:val="-8"/>
                <w:sz w:val="21"/>
              </w:rPr>
              <w:t> 日且已健康出院的婴儿</w:t>
            </w:r>
            <w:r>
              <w:rPr>
                <w:sz w:val="21"/>
              </w:rPr>
              <w:t>）</w:t>
            </w:r>
            <w:r>
              <w:rPr>
                <w:spacing w:val="-28"/>
                <w:sz w:val="21"/>
              </w:rPr>
              <w:t>至 </w:t>
            </w:r>
            <w:r>
              <w:rPr>
                <w:sz w:val="21"/>
              </w:rPr>
              <w:t>55</w:t>
            </w:r>
            <w:r>
              <w:rPr>
                <w:spacing w:val="-14"/>
                <w:sz w:val="21"/>
              </w:rPr>
              <w:t> 周岁。</w:t>
            </w:r>
          </w:p>
        </w:tc>
      </w:tr>
      <w:tr>
        <w:trPr>
          <w:trHeight w:val="2132" w:hRule="atLeast"/>
        </w:trPr>
        <w:tc>
          <w:tcPr>
            <w:tcW w:w="606" w:type="dxa"/>
          </w:tcPr>
          <w:p>
            <w:pPr>
              <w:pStyle w:val="TableParagraph"/>
              <w:spacing w:before="105"/>
              <w:ind w:left="89" w:right="159"/>
              <w:jc w:val="center"/>
              <w:rPr>
                <w:b/>
                <w:sz w:val="21"/>
              </w:rPr>
            </w:pPr>
            <w:r>
              <w:rPr>
                <w:b/>
                <w:sz w:val="21"/>
              </w:rPr>
              <w:t>1.4</w:t>
            </w:r>
          </w:p>
        </w:tc>
        <w:tc>
          <w:tcPr>
            <w:tcW w:w="2129" w:type="dxa"/>
          </w:tcPr>
          <w:p>
            <w:pPr>
              <w:pStyle w:val="TableParagraph"/>
              <w:spacing w:before="105"/>
              <w:ind w:left="141"/>
              <w:rPr>
                <w:b/>
                <w:sz w:val="21"/>
              </w:rPr>
            </w:pPr>
            <w:r>
              <w:rPr>
                <w:b/>
                <w:sz w:val="21"/>
              </w:rPr>
              <w:t>犹豫期</w:t>
            </w:r>
          </w:p>
        </w:tc>
        <w:tc>
          <w:tcPr>
            <w:tcW w:w="7224" w:type="dxa"/>
          </w:tcPr>
          <w:p>
            <w:pPr>
              <w:pStyle w:val="TableParagraph"/>
              <w:spacing w:line="273" w:lineRule="auto" w:before="105"/>
              <w:ind w:left="-1" w:right="106"/>
              <w:rPr>
                <w:sz w:val="21"/>
              </w:rPr>
            </w:pPr>
            <w:r>
              <w:rPr>
                <w:spacing w:val="-4"/>
                <w:sz w:val="21"/>
              </w:rPr>
              <w:t>自您签收本附加险合同次日起，有 </w:t>
            </w:r>
            <w:r>
              <w:rPr>
                <w:sz w:val="21"/>
              </w:rPr>
              <w:t>10</w:t>
            </w:r>
            <w:r>
              <w:rPr>
                <w:spacing w:val="-8"/>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1" w:right="1"/>
              <w:rPr>
                <w:sz w:val="21"/>
              </w:rPr>
            </w:pPr>
            <w:r>
              <w:rPr>
                <w:spacing w:val="-3"/>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60"/>
                <w:w w:val="99"/>
                <w:sz w:val="21"/>
              </w:rPr>
              <w:t>件</w:t>
            </w:r>
            <w:r>
              <w:rPr>
                <w:sz w:val="21"/>
              </w:rPr>
              <w:t>（</w:t>
            </w:r>
            <w:r>
              <w:rPr>
                <w:spacing w:val="-27"/>
                <w:sz w:val="21"/>
              </w:rPr>
              <w:t>见 </w:t>
            </w:r>
            <w:r>
              <w:rPr>
                <w:sz w:val="21"/>
              </w:rPr>
              <w:t>8</w:t>
            </w:r>
            <w:r>
              <w:rPr>
                <w:spacing w:val="-1"/>
                <w:sz w:val="21"/>
              </w:rPr>
              <w:t>.</w:t>
            </w:r>
            <w:r>
              <w:rPr>
                <w:sz w:val="21"/>
              </w:rPr>
              <w:t>2</w:t>
            </w:r>
            <w:r>
              <w:rPr>
                <w:spacing w:val="-105"/>
                <w:sz w:val="21"/>
              </w:rPr>
              <w:t>）</w:t>
            </w:r>
            <w:r>
              <w:rPr>
                <w:spacing w:val="-12"/>
                <w:sz w:val="21"/>
              </w:rPr>
              <w:t>。自我们收到您解除合同的书面申请时起，本附加险合同即被解除，合同解除前发生的保险事故我们不承担保险责任。</w:t>
            </w:r>
          </w:p>
        </w:tc>
      </w:tr>
      <w:tr>
        <w:trPr>
          <w:trHeight w:val="932" w:hRule="atLeast"/>
        </w:trPr>
        <w:tc>
          <w:tcPr>
            <w:tcW w:w="606" w:type="dxa"/>
          </w:tcPr>
          <w:p>
            <w:pPr>
              <w:pStyle w:val="TableParagraph"/>
              <w:spacing w:before="127"/>
              <w:ind w:left="89" w:right="159"/>
              <w:jc w:val="center"/>
              <w:rPr>
                <w:b/>
                <w:sz w:val="21"/>
              </w:rPr>
            </w:pPr>
            <w:r>
              <w:rPr>
                <w:b/>
                <w:sz w:val="21"/>
              </w:rPr>
              <w:t>1.5</w:t>
            </w:r>
          </w:p>
        </w:tc>
        <w:tc>
          <w:tcPr>
            <w:tcW w:w="2129" w:type="dxa"/>
          </w:tcPr>
          <w:p>
            <w:pPr>
              <w:pStyle w:val="TableParagraph"/>
              <w:spacing w:before="127"/>
              <w:ind w:left="141"/>
              <w:rPr>
                <w:b/>
                <w:sz w:val="21"/>
              </w:rPr>
            </w:pPr>
            <w:r>
              <w:rPr>
                <w:b/>
                <w:sz w:val="21"/>
              </w:rPr>
              <w:t>保险期间</w:t>
            </w:r>
          </w:p>
        </w:tc>
        <w:tc>
          <w:tcPr>
            <w:tcW w:w="7224" w:type="dxa"/>
          </w:tcPr>
          <w:p>
            <w:pPr>
              <w:pStyle w:val="TableParagraph"/>
              <w:spacing w:line="273" w:lineRule="auto" w:before="127"/>
              <w:ind w:left="-1" w:right="55"/>
              <w:rPr>
                <w:sz w:val="21"/>
              </w:rPr>
            </w:pPr>
            <w:r>
              <w:rPr>
                <w:sz w:val="21"/>
              </w:rPr>
              <w:t>本附加险合同的保险期间自本附加险合同生效日起至被保险人年满 80 周岁的保单周年日零时止。</w:t>
            </w:r>
          </w:p>
        </w:tc>
      </w:tr>
      <w:tr>
        <w:trPr>
          <w:trHeight w:val="740" w:hRule="atLeast"/>
        </w:trPr>
        <w:tc>
          <w:tcPr>
            <w:tcW w:w="606" w:type="dxa"/>
            <w:tcBorders>
              <w:bottom w:val="single" w:sz="8" w:space="0" w:color="000000"/>
            </w:tcBorders>
          </w:tcPr>
          <w:p>
            <w:pPr>
              <w:pStyle w:val="TableParagraph"/>
              <w:spacing w:before="180"/>
              <w:ind w:left="0"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1"/>
              <w:ind w:left="0"/>
              <w:rPr>
                <w:sz w:val="17"/>
              </w:rPr>
            </w:pPr>
          </w:p>
          <w:p>
            <w:pPr>
              <w:pStyle w:val="TableParagraph"/>
              <w:ind w:left="141"/>
              <w:rPr>
                <w:b/>
                <w:sz w:val="24"/>
              </w:rPr>
            </w:pPr>
            <w:r>
              <w:rPr>
                <w:b/>
                <w:w w:val="95"/>
                <w:sz w:val="24"/>
              </w:rPr>
              <w:t>我们提供的保障</w:t>
            </w:r>
          </w:p>
        </w:tc>
      </w:tr>
      <w:tr>
        <w:trPr>
          <w:trHeight w:val="1964" w:hRule="atLeast"/>
        </w:trPr>
        <w:tc>
          <w:tcPr>
            <w:tcW w:w="606" w:type="dxa"/>
            <w:tcBorders>
              <w:top w:val="single" w:sz="8" w:space="0" w:color="000000"/>
            </w:tcBorders>
          </w:tcPr>
          <w:p>
            <w:pPr>
              <w:pStyle w:val="TableParagraph"/>
              <w:ind w:left="0"/>
              <w:rPr>
                <w:sz w:val="19"/>
              </w:rPr>
            </w:pPr>
          </w:p>
          <w:p>
            <w:pPr>
              <w:pStyle w:val="TableParagraph"/>
              <w:ind w:left="89" w:right="159"/>
              <w:jc w:val="center"/>
              <w:rPr>
                <w:b/>
                <w:sz w:val="21"/>
              </w:rPr>
            </w:pPr>
            <w:r>
              <w:rPr>
                <w:b/>
                <w:sz w:val="21"/>
              </w:rPr>
              <w:t>2.1</w:t>
            </w:r>
          </w:p>
        </w:tc>
        <w:tc>
          <w:tcPr>
            <w:tcW w:w="2129" w:type="dxa"/>
            <w:tcBorders>
              <w:top w:val="single" w:sz="8" w:space="0" w:color="000000"/>
            </w:tcBorders>
          </w:tcPr>
          <w:p>
            <w:pPr>
              <w:pStyle w:val="TableParagraph"/>
              <w:ind w:left="0"/>
              <w:rPr>
                <w:sz w:val="19"/>
              </w:rPr>
            </w:pPr>
          </w:p>
          <w:p>
            <w:pPr>
              <w:pStyle w:val="TableParagraph"/>
              <w:ind w:left="141"/>
              <w:rPr>
                <w:b/>
                <w:sz w:val="21"/>
              </w:rPr>
            </w:pPr>
            <w:r>
              <w:rPr>
                <w:b/>
                <w:sz w:val="21"/>
              </w:rPr>
              <w:t>保险金额</w:t>
            </w:r>
          </w:p>
        </w:tc>
        <w:tc>
          <w:tcPr>
            <w:tcW w:w="7224" w:type="dxa"/>
            <w:tcBorders>
              <w:top w:val="single" w:sz="8" w:space="0" w:color="000000"/>
            </w:tcBorders>
          </w:tcPr>
          <w:p>
            <w:pPr>
              <w:pStyle w:val="TableParagraph"/>
              <w:ind w:left="0"/>
              <w:rPr>
                <w:sz w:val="19"/>
              </w:rPr>
            </w:pPr>
          </w:p>
          <w:p>
            <w:pPr>
              <w:pStyle w:val="TableParagraph"/>
              <w:ind w:left="-1"/>
              <w:rPr>
                <w:sz w:val="21"/>
              </w:rPr>
            </w:pPr>
            <w:r>
              <w:rPr>
                <w:sz w:val="21"/>
              </w:rPr>
              <w:t>（1）基本保险金额</w:t>
            </w:r>
          </w:p>
          <w:p>
            <w:pPr>
              <w:pStyle w:val="TableParagraph"/>
              <w:spacing w:line="273" w:lineRule="auto" w:before="37"/>
              <w:ind w:left="-1" w:right="55"/>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1"/>
              <w:rPr>
                <w:sz w:val="21"/>
              </w:rPr>
            </w:pPr>
            <w:r>
              <w:rPr>
                <w:sz w:val="21"/>
              </w:rPr>
              <w:t>（2）保险金额</w:t>
            </w:r>
          </w:p>
          <w:p>
            <w:pPr>
              <w:pStyle w:val="TableParagraph"/>
              <w:spacing w:before="36"/>
              <w:ind w:left="-1"/>
              <w:rPr>
                <w:sz w:val="21"/>
              </w:rPr>
            </w:pPr>
            <w:r>
              <w:rPr>
                <w:sz w:val="21"/>
              </w:rPr>
              <w:t>本附加险合同的保险金额等于 2 倍基本保险金额。</w:t>
            </w:r>
          </w:p>
        </w:tc>
      </w:tr>
      <w:tr>
        <w:trPr>
          <w:trHeight w:val="756" w:hRule="atLeast"/>
        </w:trPr>
        <w:tc>
          <w:tcPr>
            <w:tcW w:w="606" w:type="dxa"/>
          </w:tcPr>
          <w:p>
            <w:pPr>
              <w:pStyle w:val="TableParagraph"/>
              <w:spacing w:before="127"/>
              <w:ind w:left="89" w:right="159"/>
              <w:jc w:val="center"/>
              <w:rPr>
                <w:b/>
                <w:sz w:val="21"/>
              </w:rPr>
            </w:pPr>
            <w:r>
              <w:rPr>
                <w:b/>
                <w:sz w:val="21"/>
              </w:rPr>
              <w:t>2.2</w:t>
            </w:r>
          </w:p>
        </w:tc>
        <w:tc>
          <w:tcPr>
            <w:tcW w:w="2129" w:type="dxa"/>
          </w:tcPr>
          <w:p>
            <w:pPr>
              <w:pStyle w:val="TableParagraph"/>
              <w:spacing w:before="127"/>
              <w:ind w:left="141"/>
              <w:rPr>
                <w:b/>
                <w:sz w:val="21"/>
              </w:rPr>
            </w:pPr>
            <w:r>
              <w:rPr>
                <w:b/>
                <w:sz w:val="21"/>
              </w:rPr>
              <w:t>保险责任</w:t>
            </w:r>
          </w:p>
        </w:tc>
        <w:tc>
          <w:tcPr>
            <w:tcW w:w="7224" w:type="dxa"/>
          </w:tcPr>
          <w:p>
            <w:pPr>
              <w:pStyle w:val="TableParagraph"/>
              <w:spacing w:before="127"/>
              <w:ind w:left="-1"/>
              <w:rPr>
                <w:sz w:val="21"/>
              </w:rPr>
            </w:pPr>
            <w:r>
              <w:rPr>
                <w:sz w:val="21"/>
              </w:rPr>
              <w:t>在本附加险合同有效期内，我们承担如下保险责任：</w:t>
            </w:r>
          </w:p>
        </w:tc>
      </w:tr>
      <w:tr>
        <w:trPr>
          <w:trHeight w:val="896" w:hRule="atLeast"/>
        </w:trPr>
        <w:tc>
          <w:tcPr>
            <w:tcW w:w="606" w:type="dxa"/>
          </w:tcPr>
          <w:p>
            <w:pPr>
              <w:pStyle w:val="TableParagraph"/>
              <w:ind w:left="0"/>
              <w:rPr>
                <w:rFonts w:ascii="Times New Roman"/>
                <w:sz w:val="20"/>
              </w:rPr>
            </w:pPr>
          </w:p>
        </w:tc>
        <w:tc>
          <w:tcPr>
            <w:tcW w:w="2129" w:type="dxa"/>
          </w:tcPr>
          <w:p>
            <w:pPr>
              <w:pStyle w:val="TableParagraph"/>
              <w:spacing w:line="292" w:lineRule="exact"/>
              <w:ind w:left="141"/>
              <w:rPr>
                <w:rFonts w:ascii="等线" w:eastAsia="等线" w:hint="eastAsia"/>
                <w:b/>
                <w:sz w:val="24"/>
              </w:rPr>
            </w:pPr>
            <w:r>
              <w:rPr>
                <w:rFonts w:ascii="等线" w:eastAsia="等线" w:hint="eastAsia"/>
                <w:b/>
                <w:sz w:val="24"/>
              </w:rPr>
              <w:t>等待期</w:t>
            </w:r>
          </w:p>
        </w:tc>
        <w:tc>
          <w:tcPr>
            <w:tcW w:w="7224" w:type="dxa"/>
            <w:shd w:val="clear" w:color="auto" w:fill="DADADA"/>
          </w:tcPr>
          <w:p>
            <w:pPr>
              <w:pStyle w:val="TableParagraph"/>
              <w:spacing w:line="241" w:lineRule="exact"/>
              <w:ind w:left="-1"/>
              <w:rPr>
                <w:sz w:val="21"/>
              </w:rPr>
            </w:pPr>
            <w:r>
              <w:rPr>
                <w:sz w:val="21"/>
              </w:rPr>
              <w:t>从本附加险合同生效（或最后复效）之日起 90 日内，被保险人因疾病发生下</w:t>
            </w:r>
          </w:p>
          <w:p>
            <w:pPr>
              <w:pStyle w:val="TableParagraph"/>
              <w:spacing w:line="310" w:lineRule="atLeast" w:before="2"/>
              <w:ind w:left="-1" w:right="106"/>
              <w:rPr>
                <w:sz w:val="21"/>
              </w:rPr>
            </w:pPr>
            <w:r>
              <w:rPr>
                <w:spacing w:val="-17"/>
                <w:sz w:val="21"/>
              </w:rPr>
              <w:t>列情形之一的：</w:t>
            </w:r>
            <w:r>
              <w:rPr>
                <w:sz w:val="21"/>
              </w:rPr>
              <w:t>（一</w:t>
            </w:r>
            <w:r>
              <w:rPr>
                <w:spacing w:val="-117"/>
                <w:sz w:val="21"/>
              </w:rPr>
              <w:t>）</w:t>
            </w:r>
            <w:r>
              <w:rPr>
                <w:rFonts w:ascii="黑体" w:hAnsi="黑体" w:eastAsia="黑体" w:hint="eastAsia"/>
                <w:b/>
                <w:spacing w:val="-20"/>
                <w:w w:val="99"/>
                <w:sz w:val="21"/>
              </w:rPr>
              <w:t>“重大疾病”</w:t>
            </w:r>
            <w:r>
              <w:rPr>
                <w:spacing w:val="-2"/>
                <w:sz w:val="21"/>
              </w:rPr>
              <w:t>（</w:t>
            </w:r>
            <w:r>
              <w:rPr>
                <w:spacing w:val="-27"/>
                <w:sz w:val="21"/>
              </w:rPr>
              <w:t>见 </w:t>
            </w:r>
            <w:r>
              <w:rPr>
                <w:sz w:val="21"/>
              </w:rPr>
              <w:t>8</w:t>
            </w:r>
            <w:r>
              <w:rPr>
                <w:spacing w:val="-1"/>
                <w:sz w:val="21"/>
              </w:rPr>
              <w:t>.</w:t>
            </w:r>
            <w:r>
              <w:rPr>
                <w:sz w:val="21"/>
              </w:rPr>
              <w:t>3</w:t>
            </w:r>
            <w:r>
              <w:rPr>
                <w:spacing w:val="-106"/>
                <w:sz w:val="21"/>
              </w:rPr>
              <w:t>）</w:t>
            </w:r>
            <w:r>
              <w:rPr>
                <w:spacing w:val="-117"/>
                <w:sz w:val="21"/>
              </w:rPr>
              <w:t>，</w:t>
            </w:r>
            <w:r>
              <w:rPr>
                <w:sz w:val="21"/>
              </w:rPr>
              <w:t>（二</w:t>
            </w:r>
            <w:r>
              <w:rPr>
                <w:spacing w:val="-12"/>
                <w:sz w:val="21"/>
              </w:rPr>
              <w:t>）</w:t>
            </w:r>
            <w:r>
              <w:rPr>
                <w:spacing w:val="-5"/>
                <w:sz w:val="21"/>
              </w:rPr>
              <w:t>因导致“重大疾病”的相关</w:t>
            </w:r>
            <w:r>
              <w:rPr>
                <w:spacing w:val="-7"/>
                <w:sz w:val="21"/>
              </w:rPr>
              <w:t>疾病就诊，我们不承担保险责任，退还本附加险合同的未满期净保险费，本附</w:t>
            </w:r>
          </w:p>
        </w:tc>
      </w:tr>
    </w:tbl>
    <w:p>
      <w:pPr>
        <w:spacing w:after="0" w:line="310" w:lineRule="atLeast"/>
        <w:rPr>
          <w:sz w:val="21"/>
        </w:rPr>
        <w:sectPr>
          <w:pgSz w:w="11910" w:h="16840"/>
          <w:pgMar w:top="640" w:bottom="280" w:left="800" w:right="920"/>
        </w:sectPr>
      </w:pPr>
    </w:p>
    <w:p>
      <w:pPr>
        <w:pStyle w:val="BodyText"/>
        <w:spacing w:line="273" w:lineRule="auto" w:before="20"/>
        <w:ind w:left="2847" w:right="239"/>
      </w:pPr>
      <w:r>
        <w:rPr>
          <w:spacing w:val="-9"/>
          <w:shd w:fill="DADADA" w:color="auto" w:val="clear"/>
        </w:rPr>
        <w:t>加险合同终止。这 </w:t>
      </w:r>
      <w:r>
        <w:rPr>
          <w:shd w:fill="DADADA" w:color="auto" w:val="clear"/>
        </w:rPr>
        <w:t>90</w:t>
      </w:r>
      <w:r>
        <w:rPr>
          <w:spacing w:val="-8"/>
          <w:shd w:fill="DADADA" w:color="auto" w:val="clear"/>
        </w:rPr>
        <w:t> 日的时间称为等待期</w:t>
      </w:r>
      <w:r>
        <w:rPr>
          <w:spacing w:val="-5"/>
        </w:rPr>
        <w:t>；被保险人因</w:t>
      </w:r>
      <w:r>
        <w:rPr>
          <w:rFonts w:ascii="黑体" w:eastAsia="黑体" w:hint="eastAsia"/>
          <w:b/>
          <w:spacing w:val="-5"/>
        </w:rPr>
        <w:t>意外伤害</w:t>
      </w:r>
      <w:r>
        <w:rPr/>
        <w:t>（</w:t>
      </w:r>
      <w:r>
        <w:rPr>
          <w:spacing w:val="-27"/>
        </w:rPr>
        <w:t>见 </w:t>
      </w:r>
      <w:r>
        <w:rPr>
          <w:spacing w:val="-6"/>
        </w:rPr>
        <w:t>8.9）</w:t>
      </w:r>
      <w:r>
        <w:rPr>
          <w:spacing w:val="-21"/>
        </w:rPr>
        <w:t>发</w:t>
      </w:r>
      <w:r>
        <w:rPr/>
        <w:t>生上述两项情形之一的，无等待期。</w:t>
      </w:r>
    </w:p>
    <w:p>
      <w:pPr>
        <w:pStyle w:val="BodyText"/>
        <w:spacing w:line="273" w:lineRule="auto" w:before="7"/>
        <w:ind w:left="2847" w:right="171"/>
      </w:pPr>
      <w:r>
        <w:rPr/>
        <w:t>如果在等待期后发生保险事故，我们按照下列方式提前给付主险合同部分或全部保险金并相应调整主险合同各项保险利益：</w:t>
      </w:r>
    </w:p>
    <w:p>
      <w:pPr>
        <w:pStyle w:val="BodyText"/>
        <w:spacing w:before="7"/>
        <w:rPr>
          <w:sz w:val="23"/>
        </w:rPr>
      </w:pPr>
    </w:p>
    <w:p>
      <w:pPr>
        <w:pStyle w:val="BodyText"/>
        <w:tabs>
          <w:tab w:pos="2847" w:val="left" w:leader="none"/>
        </w:tabs>
        <w:spacing w:line="225" w:lineRule="auto"/>
        <w:ind w:left="2847" w:right="221" w:hanging="1988"/>
      </w:pPr>
      <w:r>
        <w:rPr>
          <w:rFonts w:ascii="等线" w:hAnsi="等线" w:eastAsia="等线" w:hint="eastAsia"/>
          <w:b/>
          <w:position w:val="-2"/>
          <w:sz w:val="24"/>
        </w:rPr>
        <w:t>重</w:t>
      </w:r>
      <w:r>
        <w:rPr>
          <w:rFonts w:ascii="等线" w:hAnsi="等线" w:eastAsia="等线" w:hint="eastAsia"/>
          <w:b/>
          <w:spacing w:val="0"/>
          <w:position w:val="-2"/>
          <w:sz w:val="24"/>
        </w:rPr>
        <w:t>大</w:t>
      </w:r>
      <w:r>
        <w:rPr>
          <w:rFonts w:ascii="等线" w:hAnsi="等线" w:eastAsia="等线" w:hint="eastAsia"/>
          <w:b/>
          <w:position w:val="-2"/>
          <w:sz w:val="24"/>
        </w:rPr>
        <w:t>疾病保险金</w:t>
        <w:tab/>
      </w:r>
      <w:r>
        <w:rPr/>
        <w:t>被保险人经</w:t>
      </w:r>
      <w:r>
        <w:rPr>
          <w:rFonts w:ascii="黑体" w:hAnsi="黑体" w:eastAsia="黑体" w:hint="eastAsia"/>
          <w:b/>
          <w:spacing w:val="0"/>
          <w:w w:val="99"/>
        </w:rPr>
        <w:t>医院</w:t>
      </w:r>
      <w:r>
        <w:rPr/>
        <w:t>（见</w:t>
      </w:r>
      <w:r>
        <w:rPr>
          <w:spacing w:val="-44"/>
        </w:rPr>
        <w:t> </w:t>
      </w:r>
      <w:r>
        <w:rPr/>
        <w:t>8</w:t>
      </w:r>
      <w:r>
        <w:rPr>
          <w:spacing w:val="-1"/>
        </w:rPr>
        <w:t>.1</w:t>
      </w:r>
      <w:r>
        <w:rPr/>
        <w:t>0）诊断初</w:t>
      </w:r>
      <w:r>
        <w:rPr>
          <w:spacing w:val="-2"/>
        </w:rPr>
        <w:t>次</w:t>
      </w:r>
      <w:r>
        <w:rPr/>
        <w:t>发生“重大疾病</w:t>
      </w:r>
      <w:r>
        <w:rPr>
          <w:spacing w:val="-105"/>
        </w:rPr>
        <w:t>”</w:t>
      </w:r>
      <w:r>
        <w:rPr/>
        <w:t>，我</w:t>
      </w:r>
      <w:r>
        <w:rPr>
          <w:spacing w:val="-2"/>
        </w:rPr>
        <w:t>们</w:t>
      </w:r>
      <w:r>
        <w:rPr/>
        <w:t>按照</w:t>
      </w:r>
      <w:r>
        <w:rPr>
          <w:spacing w:val="-44"/>
        </w:rPr>
        <w:t> </w:t>
      </w:r>
      <w:r>
        <w:rPr/>
        <w:t>2</w:t>
      </w:r>
      <w:r>
        <w:rPr>
          <w:spacing w:val="-44"/>
        </w:rPr>
        <w:t> </w:t>
      </w:r>
      <w:r>
        <w:rPr/>
        <w:t>倍基本保险金额给付“重大疾病保险金</w:t>
      </w:r>
      <w:r>
        <w:rPr>
          <w:spacing w:val="-105"/>
        </w:rPr>
        <w:t>”</w:t>
      </w:r>
      <w:r>
        <w:rPr/>
        <w:t>。</w:t>
      </w:r>
    </w:p>
    <w:p>
      <w:pPr>
        <w:pStyle w:val="BodyText"/>
        <w:spacing w:line="271" w:lineRule="auto" w:before="36"/>
        <w:ind w:left="2848" w:right="221" w:hanging="1"/>
      </w:pPr>
      <w:r>
        <w:rPr>
          <w:spacing w:val="-2"/>
        </w:rPr>
        <w:t>如被保险人在年满 </w:t>
      </w:r>
      <w:r>
        <w:rPr/>
        <w:t>3</w:t>
      </w:r>
      <w:r>
        <w:rPr>
          <w:spacing w:val="-11"/>
        </w:rPr>
        <w:t> 周岁前初次发生“重大疾病”，上述“重大疾病保险金”将乘以下表所对应的比例给付：</w:t>
      </w:r>
    </w:p>
    <w:p>
      <w:pPr>
        <w:pStyle w:val="BodyText"/>
        <w:spacing w:before="8"/>
        <w:rPr>
          <w:sz w:val="5"/>
        </w:rPr>
      </w:pPr>
    </w:p>
    <w:tbl>
      <w:tblPr>
        <w:tblW w:w="0" w:type="auto"/>
        <w:jc w:val="left"/>
        <w:tblInd w:w="2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3"/>
        <w:gridCol w:w="1572"/>
      </w:tblGrid>
      <w:tr>
        <w:trPr>
          <w:trHeight w:val="261" w:hRule="atLeast"/>
        </w:trPr>
        <w:tc>
          <w:tcPr>
            <w:tcW w:w="4303" w:type="dxa"/>
          </w:tcPr>
          <w:p>
            <w:pPr>
              <w:pStyle w:val="TableParagraph"/>
              <w:spacing w:line="210" w:lineRule="exact"/>
              <w:ind w:left="50"/>
              <w:rPr>
                <w:sz w:val="21"/>
              </w:rPr>
            </w:pPr>
            <w:r>
              <w:rPr>
                <w:sz w:val="21"/>
              </w:rPr>
              <w:t>被保险人初次发生“重大疾病”的年龄</w:t>
            </w:r>
          </w:p>
        </w:tc>
        <w:tc>
          <w:tcPr>
            <w:tcW w:w="1572" w:type="dxa"/>
          </w:tcPr>
          <w:p>
            <w:pPr>
              <w:pStyle w:val="TableParagraph"/>
              <w:spacing w:line="210" w:lineRule="exact"/>
              <w:ind w:left="662" w:right="30"/>
              <w:jc w:val="center"/>
              <w:rPr>
                <w:sz w:val="21"/>
              </w:rPr>
            </w:pPr>
            <w:r>
              <w:rPr>
                <w:sz w:val="21"/>
              </w:rPr>
              <w:t>给付比例</w:t>
            </w:r>
          </w:p>
        </w:tc>
      </w:tr>
      <w:tr>
        <w:trPr>
          <w:trHeight w:val="312" w:hRule="atLeast"/>
        </w:trPr>
        <w:tc>
          <w:tcPr>
            <w:tcW w:w="4303" w:type="dxa"/>
          </w:tcPr>
          <w:p>
            <w:pPr>
              <w:pStyle w:val="TableParagraph"/>
              <w:spacing w:line="261" w:lineRule="exact"/>
              <w:ind w:left="50"/>
              <w:rPr>
                <w:sz w:val="21"/>
              </w:rPr>
            </w:pPr>
            <w:r>
              <w:rPr>
                <w:sz w:val="21"/>
              </w:rPr>
              <w:t>0 至 1 周岁</w:t>
            </w:r>
          </w:p>
        </w:tc>
        <w:tc>
          <w:tcPr>
            <w:tcW w:w="1572" w:type="dxa"/>
          </w:tcPr>
          <w:p>
            <w:pPr>
              <w:pStyle w:val="TableParagraph"/>
              <w:spacing w:line="261" w:lineRule="exact"/>
              <w:ind w:left="659" w:right="30"/>
              <w:jc w:val="center"/>
              <w:rPr>
                <w:sz w:val="21"/>
              </w:rPr>
            </w:pPr>
            <w:r>
              <w:rPr>
                <w:sz w:val="21"/>
              </w:rPr>
              <w:t>25%</w:t>
            </w:r>
          </w:p>
        </w:tc>
      </w:tr>
      <w:tr>
        <w:trPr>
          <w:trHeight w:val="312" w:hRule="atLeast"/>
        </w:trPr>
        <w:tc>
          <w:tcPr>
            <w:tcW w:w="4303" w:type="dxa"/>
          </w:tcPr>
          <w:p>
            <w:pPr>
              <w:pStyle w:val="TableParagraph"/>
              <w:spacing w:line="261" w:lineRule="exact"/>
              <w:ind w:left="50"/>
              <w:rPr>
                <w:sz w:val="21"/>
              </w:rPr>
            </w:pPr>
            <w:r>
              <w:rPr>
                <w:sz w:val="21"/>
              </w:rPr>
              <w:t>1 至 2 周岁（含 1 周岁）</w:t>
            </w:r>
          </w:p>
        </w:tc>
        <w:tc>
          <w:tcPr>
            <w:tcW w:w="1572" w:type="dxa"/>
          </w:tcPr>
          <w:p>
            <w:pPr>
              <w:pStyle w:val="TableParagraph"/>
              <w:spacing w:line="261" w:lineRule="exact"/>
              <w:ind w:left="659" w:right="30"/>
              <w:jc w:val="center"/>
              <w:rPr>
                <w:sz w:val="21"/>
              </w:rPr>
            </w:pPr>
            <w:r>
              <w:rPr>
                <w:sz w:val="21"/>
              </w:rPr>
              <w:t>50%</w:t>
            </w:r>
          </w:p>
        </w:tc>
      </w:tr>
      <w:tr>
        <w:trPr>
          <w:trHeight w:val="261" w:hRule="atLeast"/>
        </w:trPr>
        <w:tc>
          <w:tcPr>
            <w:tcW w:w="4303" w:type="dxa"/>
          </w:tcPr>
          <w:p>
            <w:pPr>
              <w:pStyle w:val="TableParagraph"/>
              <w:spacing w:line="241" w:lineRule="exact"/>
              <w:ind w:left="50"/>
              <w:rPr>
                <w:sz w:val="21"/>
              </w:rPr>
            </w:pPr>
            <w:r>
              <w:rPr>
                <w:sz w:val="21"/>
              </w:rPr>
              <w:t>2 至 3 周岁（含 2 周岁）</w:t>
            </w:r>
          </w:p>
        </w:tc>
        <w:tc>
          <w:tcPr>
            <w:tcW w:w="1572" w:type="dxa"/>
          </w:tcPr>
          <w:p>
            <w:pPr>
              <w:pStyle w:val="TableParagraph"/>
              <w:spacing w:line="241" w:lineRule="exact"/>
              <w:ind w:left="658" w:right="30"/>
              <w:jc w:val="center"/>
              <w:rPr>
                <w:sz w:val="21"/>
              </w:rPr>
            </w:pPr>
            <w:r>
              <w:rPr>
                <w:sz w:val="21"/>
              </w:rPr>
              <w:t>75%</w:t>
            </w:r>
          </w:p>
        </w:tc>
      </w:tr>
    </w:tbl>
    <w:p>
      <w:pPr>
        <w:pStyle w:val="BodyText"/>
        <w:spacing w:before="6"/>
        <w:rPr>
          <w:sz w:val="24"/>
        </w:rPr>
      </w:pPr>
    </w:p>
    <w:p>
      <w:pPr>
        <w:pStyle w:val="BodyText"/>
        <w:spacing w:line="273" w:lineRule="auto"/>
        <w:ind w:left="2848" w:right="184"/>
      </w:pPr>
      <w:r>
        <w:rPr/>
        <w:t>我们给付“重大疾病保险金”后，本附加险合同终止，主险合同的基本保险金额不变，其身故保险金按如下方式重新确定：</w:t>
      </w:r>
    </w:p>
    <w:p>
      <w:pPr>
        <w:pStyle w:val="BodyText"/>
        <w:spacing w:line="273" w:lineRule="auto" w:before="7"/>
        <w:ind w:left="3351" w:right="222" w:hanging="504"/>
      </w:pPr>
      <w:r>
        <w:rPr/>
        <w:t>（1）主险合同基本保险金额与本附加险合同基本保险金额相等部分所对应的身故保险金按被保险人身故当时下列两者的较大值确定：</w:t>
      </w:r>
    </w:p>
    <w:p>
      <w:pPr>
        <w:pStyle w:val="BodyText"/>
        <w:spacing w:line="273" w:lineRule="auto" w:before="7"/>
        <w:ind w:left="3351" w:right="221" w:hanging="294"/>
      </w:pPr>
      <w:r>
        <w:rPr/>
        <w:t>① 主险合同与本附加险合同基本保险金额相等部分的身故保险金扣除已给付的重大疾病保险金后的余额；</w:t>
      </w:r>
    </w:p>
    <w:p>
      <w:pPr>
        <w:pStyle w:val="BodyText"/>
        <w:spacing w:line="273" w:lineRule="auto" w:before="7"/>
        <w:ind w:left="3351" w:right="221" w:hanging="294"/>
      </w:pPr>
      <w:r>
        <w:rPr/>
        <w:t>② 主险合同与本附加险合同基本保险金额相等部分的现金价值（不包括因红利分配产生的相关利益</w:t>
      </w:r>
      <w:r>
        <w:rPr>
          <w:spacing w:val="-105"/>
        </w:rPr>
        <w:t>）</w:t>
      </w:r>
      <w:r>
        <w:rPr/>
        <w:t>。</w:t>
      </w:r>
    </w:p>
    <w:p>
      <w:pPr>
        <w:pStyle w:val="BodyText"/>
        <w:spacing w:line="273" w:lineRule="auto" w:before="7"/>
        <w:ind w:left="3351" w:right="222" w:hanging="504"/>
      </w:pPr>
      <w:r>
        <w:rPr/>
        <w:t>（2）主险合同基本保险金额超过本附加险合同基本保险金额部分的身故保险金不变。</w:t>
      </w:r>
    </w:p>
    <w:p>
      <w:pPr>
        <w:pStyle w:val="BodyText"/>
        <w:rPr>
          <w:sz w:val="22"/>
        </w:rPr>
      </w:pPr>
    </w:p>
    <w:p>
      <w:pPr>
        <w:pStyle w:val="BodyText"/>
        <w:tabs>
          <w:tab w:pos="860" w:val="left" w:leader="none"/>
          <w:tab w:pos="2847" w:val="left" w:leader="none"/>
        </w:tabs>
        <w:spacing w:line="273" w:lineRule="auto"/>
        <w:ind w:left="2848" w:right="220" w:hanging="2627"/>
      </w:pPr>
      <w:r>
        <w:rPr>
          <w:b/>
        </w:rPr>
        <w:t>2.3</w:t>
        <w:tab/>
        <w:t>责任免除</w:t>
        <w:tab/>
      </w:r>
      <w:r>
        <w:rPr>
          <w:shd w:fill="DADADA" w:color="auto" w:val="clear"/>
        </w:rPr>
        <w:t>因下列情形之一导致被保险人初次发</w:t>
      </w:r>
      <w:r>
        <w:rPr>
          <w:spacing w:val="-9"/>
          <w:shd w:fill="DADADA" w:color="auto" w:val="clear"/>
        </w:rPr>
        <w:t>生</w:t>
      </w:r>
      <w:r>
        <w:rPr>
          <w:shd w:fill="DADADA" w:color="auto" w:val="clear"/>
        </w:rPr>
        <w:t>“重大疾病</w:t>
      </w:r>
      <w:r>
        <w:rPr>
          <w:spacing w:val="-9"/>
          <w:shd w:fill="DADADA" w:color="auto" w:val="clear"/>
        </w:rPr>
        <w:t>”</w:t>
      </w:r>
      <w:r>
        <w:rPr>
          <w:shd w:fill="DADADA" w:color="auto" w:val="clear"/>
        </w:rPr>
        <w:t>的</w:t>
      </w:r>
      <w:r>
        <w:rPr>
          <w:spacing w:val="-8"/>
          <w:shd w:fill="DADADA" w:color="auto" w:val="clear"/>
        </w:rPr>
        <w:t>，</w:t>
      </w:r>
      <w:r>
        <w:rPr>
          <w:shd w:fill="DADADA" w:color="auto" w:val="clear"/>
        </w:rPr>
        <w:t>我们不承担给付保险金的责任：</w:t>
      </w:r>
    </w:p>
    <w:p>
      <w:pPr>
        <w:pStyle w:val="BodyText"/>
        <w:spacing w:before="7"/>
        <w:ind w:left="2848"/>
      </w:pPr>
      <w:r>
        <w:rPr>
          <w:shd w:fill="DADADA" w:color="auto" w:val="clear"/>
        </w:rPr>
        <w:t>（1）投保人对被保险人的故意杀害、故意伤害；</w:t>
      </w:r>
    </w:p>
    <w:p>
      <w:pPr>
        <w:pStyle w:val="BodyText"/>
        <w:spacing w:before="37"/>
        <w:ind w:left="2848"/>
      </w:pPr>
      <w:r>
        <w:rPr>
          <w:shd w:fill="DADADA" w:color="auto" w:val="clear"/>
        </w:rPr>
        <w:t>（2）被保险人故意自伤、故意犯罪或者抗拒依法采取的刑事强制措施；</w:t>
      </w:r>
    </w:p>
    <w:p>
      <w:pPr>
        <w:pStyle w:val="BodyText"/>
        <w:spacing w:before="37"/>
        <w:ind w:left="284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7"/>
        <w:ind w:left="3352" w:right="221" w:hanging="504"/>
        <w:jc w:val="left"/>
        <w:rPr>
          <w:sz w:val="21"/>
        </w:rPr>
      </w:pPr>
      <w:r>
        <w:rPr>
          <w:sz w:val="21"/>
          <w:shd w:fill="DADADA" w:color="auto" w:val="clear"/>
        </w:rPr>
        <w:t>（4</w:t>
      </w:r>
      <w:r>
        <w:rPr>
          <w:spacing w:val="-8"/>
          <w:sz w:val="21"/>
          <w:shd w:fill="DADADA" w:color="auto" w:val="clear"/>
        </w:rPr>
        <w:t>）</w:t>
      </w:r>
      <w:r>
        <w:rPr>
          <w:sz w:val="21"/>
          <w:shd w:fill="DADADA" w:color="auto" w:val="clear"/>
        </w:rPr>
        <w:t>被保险人</w:t>
      </w:r>
      <w:r>
        <w:rPr>
          <w:rFonts w:ascii="黑体" w:eastAsia="黑体" w:hint="eastAsia"/>
          <w:b/>
          <w:spacing w:val="-2"/>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9"/>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4"/>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84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6"/>
        <w:ind w:left="2848"/>
      </w:pPr>
      <w:r>
        <w:rPr>
          <w:shd w:fill="DADADA" w:color="auto" w:val="clear"/>
        </w:rPr>
        <w:t>（6）战争、军事冲突、暴乱或武装叛乱；</w:t>
      </w:r>
    </w:p>
    <w:p>
      <w:pPr>
        <w:pStyle w:val="BodyText"/>
        <w:spacing w:before="36"/>
        <w:ind w:left="2848"/>
      </w:pPr>
      <w:r>
        <w:rPr>
          <w:shd w:fill="DADADA" w:color="auto" w:val="clear"/>
        </w:rPr>
        <w:t>（7）核爆炸、核辐射或核污染；</w:t>
      </w:r>
    </w:p>
    <w:p>
      <w:pPr>
        <w:pStyle w:val="BodyText"/>
        <w:spacing w:line="273" w:lineRule="auto" w:before="36"/>
        <w:ind w:left="2848" w:right="221"/>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4"/>
          <w:shd w:fill="DADADA" w:color="auto" w:val="clear"/>
        </w:rPr>
        <w:t>发生上述第１项情形导致被保险人初次发生“重大疾病”的，本附加险合同终止，我们向被保险人退还本附加险合同的未满期净保险费。</w:t>
      </w:r>
    </w:p>
    <w:p>
      <w:pPr>
        <w:pStyle w:val="BodyText"/>
        <w:spacing w:line="273" w:lineRule="auto" w:before="7"/>
        <w:ind w:left="2848" w:right="115"/>
      </w:pPr>
      <w:r>
        <w:rPr>
          <w:spacing w:val="-7"/>
          <w:shd w:fill="DADADA" w:color="auto" w:val="clear"/>
        </w:rPr>
        <w:t>发生上述其他情形导致被保险人初次发生“重大疾病”的，本附加险合同终止， 我们向您退还本附加险合同的未满期净保险费。</w:t>
      </w:r>
    </w:p>
    <w:p>
      <w:pPr>
        <w:pStyle w:val="BodyText"/>
        <w:rPr>
          <w:sz w:val="20"/>
        </w:rPr>
      </w:pPr>
    </w:p>
    <w:p>
      <w:pPr>
        <w:pStyle w:val="Heading2"/>
        <w:tabs>
          <w:tab w:pos="860" w:val="left" w:leader="none"/>
        </w:tabs>
        <w:spacing w:before="134"/>
        <w:ind w:left="221"/>
        <w:rPr>
          <w:rFonts w:ascii="宋体" w:hAnsi="宋体" w:eastAsia="宋体" w:hint="eastAsia"/>
        </w:rPr>
      </w:pPr>
      <w:r>
        <w:rPr/>
        <w:pict>
          <v:group style="position:absolute;margin-left:45.66pt;margin-top:34.799767pt;width:497.95pt;height:1pt;mso-position-horizontal-relative:page;mso-position-vertical-relative:paragraph;z-index:1120;mso-wrap-distance-left:0;mso-wrap-distance-right:0" coordorigin="913,696" coordsize="9959,20">
            <v:line style="position:absolute" from="913,706" to="1553,706" stroked="true" strokeweight=".96pt" strokecolor="#000000">
              <v:stroke dashstyle="solid"/>
            </v:line>
            <v:rect style="position:absolute;left:1552;top:695;width:20;height:20" filled="true" fillcolor="#000000" stroked="false">
              <v:fill type="solid"/>
            </v:rect>
            <v:line style="position:absolute" from="1572,706" to="3540,706" stroked="true" strokeweight=".96pt" strokecolor="#000000">
              <v:stroke dashstyle="solid"/>
            </v:line>
            <v:rect style="position:absolute;left:3540;top:695;width:20;height:20" filled="true" fillcolor="#000000" stroked="false">
              <v:fill type="solid"/>
            </v:rect>
            <v:line style="position:absolute" from="3559,706" to="10872,706"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
        <w:rPr>
          <w:b/>
          <w:sz w:val="14"/>
        </w:rPr>
      </w:pPr>
    </w:p>
    <w:p>
      <w:pPr>
        <w:pStyle w:val="ListParagraph"/>
        <w:numPr>
          <w:ilvl w:val="1"/>
          <w:numId w:val="3"/>
        </w:numPr>
        <w:tabs>
          <w:tab w:pos="860" w:val="left" w:leader="none"/>
          <w:tab w:pos="861" w:val="left" w:leader="none"/>
          <w:tab w:pos="2847" w:val="left" w:leader="none"/>
        </w:tabs>
        <w:spacing w:line="240" w:lineRule="auto" w:before="35" w:after="0"/>
        <w:ind w:left="860" w:right="0" w:hanging="639"/>
        <w:jc w:val="left"/>
        <w:rPr>
          <w:sz w:val="21"/>
        </w:rPr>
      </w:pPr>
      <w:r>
        <w:rPr>
          <w:b/>
          <w:sz w:val="21"/>
        </w:rPr>
        <w:t>受益人</w:t>
        <w:tab/>
      </w:r>
      <w:r>
        <w:rPr>
          <w:sz w:val="21"/>
        </w:rPr>
        <w:t>除另有约定外，重大疾病保险金受益人为被保险人本人。</w:t>
      </w:r>
    </w:p>
    <w:p>
      <w:pPr>
        <w:pStyle w:val="BodyText"/>
        <w:spacing w:before="5"/>
        <w:rPr>
          <w:sz w:val="24"/>
        </w:rPr>
      </w:pPr>
    </w:p>
    <w:p>
      <w:pPr>
        <w:pStyle w:val="ListParagraph"/>
        <w:numPr>
          <w:ilvl w:val="1"/>
          <w:numId w:val="3"/>
        </w:numPr>
        <w:tabs>
          <w:tab w:pos="860" w:val="left" w:leader="none"/>
          <w:tab w:pos="861" w:val="left" w:leader="none"/>
          <w:tab w:pos="2847" w:val="left" w:leader="none"/>
        </w:tabs>
        <w:spacing w:line="240" w:lineRule="auto" w:before="1" w:after="0"/>
        <w:ind w:left="860" w:right="0" w:hanging="639"/>
        <w:jc w:val="left"/>
        <w:rPr>
          <w:sz w:val="21"/>
        </w:rPr>
      </w:pPr>
      <w:r>
        <w:rPr>
          <w:b/>
          <w:sz w:val="21"/>
        </w:rPr>
        <w:t>保险金申请</w:t>
        <w:tab/>
      </w:r>
      <w:r>
        <w:rPr>
          <w:sz w:val="21"/>
        </w:rPr>
        <w:t>在申请保险金时，请按照下列方式办理：</w:t>
      </w:r>
    </w:p>
    <w:p>
      <w:pPr>
        <w:spacing w:after="0" w:line="240" w:lineRule="auto"/>
        <w:jc w:val="left"/>
        <w:rPr>
          <w:sz w:val="21"/>
        </w:rPr>
        <w:sectPr>
          <w:pgSz w:w="11910" w:h="16840"/>
          <w:pgMar w:top="108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27"/>
        <w:gridCol w:w="7325"/>
      </w:tblGrid>
      <w:tr>
        <w:trPr>
          <w:trHeight w:val="2628" w:hRule="atLeast"/>
        </w:trPr>
        <w:tc>
          <w:tcPr>
            <w:tcW w:w="606" w:type="dxa"/>
          </w:tcPr>
          <w:p>
            <w:pPr>
              <w:pStyle w:val="TableParagraph"/>
              <w:ind w:left="0"/>
              <w:rPr>
                <w:rFonts w:ascii="Times New Roman"/>
                <w:sz w:val="20"/>
              </w:rPr>
            </w:pPr>
          </w:p>
        </w:tc>
        <w:tc>
          <w:tcPr>
            <w:tcW w:w="2027" w:type="dxa"/>
          </w:tcPr>
          <w:p>
            <w:pPr>
              <w:pStyle w:val="TableParagraph"/>
              <w:spacing w:line="257" w:lineRule="exact"/>
              <w:ind w:left="141"/>
              <w:rPr>
                <w:rFonts w:ascii="等线" w:eastAsia="等线" w:hint="eastAsia"/>
                <w:b/>
                <w:sz w:val="24"/>
              </w:rPr>
            </w:pPr>
            <w:r>
              <w:rPr>
                <w:rFonts w:ascii="等线" w:eastAsia="等线" w:hint="eastAsia"/>
                <w:b/>
                <w:sz w:val="24"/>
              </w:rPr>
              <w:t>重大疾病保险金</w:t>
            </w:r>
          </w:p>
          <w:p>
            <w:pPr>
              <w:pStyle w:val="TableParagraph"/>
              <w:spacing w:line="323" w:lineRule="exact"/>
              <w:ind w:left="141"/>
              <w:rPr>
                <w:rFonts w:ascii="等线" w:eastAsia="等线" w:hint="eastAsia"/>
                <w:b/>
                <w:sz w:val="24"/>
              </w:rPr>
            </w:pPr>
            <w:r>
              <w:rPr>
                <w:rFonts w:ascii="等线" w:eastAsia="等线" w:hint="eastAsia"/>
                <w:b/>
                <w:sz w:val="24"/>
              </w:rPr>
              <w:t>申请</w:t>
            </w:r>
          </w:p>
        </w:tc>
        <w:tc>
          <w:tcPr>
            <w:tcW w:w="7325" w:type="dxa"/>
          </w:tcPr>
          <w:p>
            <w:pPr>
              <w:pStyle w:val="TableParagraph"/>
              <w:spacing w:line="210" w:lineRule="exact"/>
              <w:rPr>
                <w:sz w:val="21"/>
              </w:rPr>
            </w:pPr>
            <w:r>
              <w:rPr>
                <w:sz w:val="21"/>
              </w:rPr>
              <w:t>由受益人填写保险金给付申请书，并提供下列证明和资料：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（2）受益人的有效身份证件；</w:t>
            </w:r>
          </w:p>
          <w:p>
            <w:pPr>
              <w:pStyle w:val="TableParagraph"/>
              <w:spacing w:line="273" w:lineRule="auto" w:before="37"/>
              <w:ind w:left="641" w:right="104" w:hanging="524"/>
              <w:rPr>
                <w:sz w:val="21"/>
              </w:rPr>
            </w:pPr>
            <w:r>
              <w:rPr>
                <w:sz w:val="21"/>
              </w:rPr>
              <w:t>（3）医院出具的附有病理显微镜检查、血液检验及其他科学方法检验报告的疾病诊断证明书；</w:t>
            </w:r>
          </w:p>
          <w:p>
            <w:pPr>
              <w:pStyle w:val="TableParagraph"/>
              <w:spacing w:line="273" w:lineRule="auto" w:before="7"/>
              <w:ind w:right="98"/>
              <w:rPr>
                <w:sz w:val="21"/>
              </w:rPr>
            </w:pPr>
            <w:r>
              <w:rPr>
                <w:sz w:val="21"/>
              </w:rPr>
              <w:t>（4）所能提供的与确认保险事故的性质、原因等有关的其他证明和资料。 </w:t>
            </w:r>
            <w:r>
              <w:rPr>
                <w:spacing w:val="2"/>
                <w:sz w:val="21"/>
              </w:rPr>
              <w:t>以上证明和资料不完整的，我们将一次性通知受益人补充提供有关证明和资</w:t>
            </w:r>
            <w:r>
              <w:rPr>
                <w:sz w:val="21"/>
              </w:rPr>
              <w:t>料。</w:t>
            </w:r>
          </w:p>
        </w:tc>
      </w:tr>
      <w:tr>
        <w:trPr>
          <w:trHeight w:val="3132" w:hRule="atLeast"/>
        </w:trPr>
        <w:tc>
          <w:tcPr>
            <w:tcW w:w="606" w:type="dxa"/>
          </w:tcPr>
          <w:p>
            <w:pPr>
              <w:pStyle w:val="TableParagraph"/>
              <w:spacing w:before="169"/>
              <w:ind w:left="89" w:right="159"/>
              <w:jc w:val="center"/>
              <w:rPr>
                <w:b/>
                <w:sz w:val="21"/>
              </w:rPr>
            </w:pPr>
            <w:r>
              <w:rPr>
                <w:b/>
                <w:sz w:val="21"/>
              </w:rPr>
              <w:t>3.3</w:t>
            </w:r>
          </w:p>
        </w:tc>
        <w:tc>
          <w:tcPr>
            <w:tcW w:w="2027" w:type="dxa"/>
          </w:tcPr>
          <w:p>
            <w:pPr>
              <w:pStyle w:val="TableParagraph"/>
              <w:spacing w:before="169"/>
              <w:ind w:left="141"/>
              <w:rPr>
                <w:b/>
                <w:sz w:val="21"/>
              </w:rPr>
            </w:pPr>
            <w:r>
              <w:rPr>
                <w:b/>
                <w:w w:val="95"/>
                <w:sz w:val="21"/>
              </w:rPr>
              <w:t>保险金的给付</w:t>
            </w:r>
          </w:p>
        </w:tc>
        <w:tc>
          <w:tcPr>
            <w:tcW w:w="7325" w:type="dxa"/>
          </w:tcPr>
          <w:p>
            <w:pPr>
              <w:pStyle w:val="TableParagraph"/>
              <w:spacing w:before="169"/>
              <w:jc w:val="both"/>
              <w:rPr>
                <w:sz w:val="21"/>
              </w:rPr>
            </w:pPr>
            <w:r>
              <w:rPr>
                <w:spacing w:val="-8"/>
                <w:sz w:val="21"/>
              </w:rPr>
              <w:t>我们在收到保险金给付申请书及上述有关证明和资料后，将在 </w:t>
            </w:r>
            <w:r>
              <w:rPr>
                <w:sz w:val="21"/>
              </w:rPr>
              <w:t>5</w:t>
            </w:r>
            <w:r>
              <w:rPr>
                <w:spacing w:val="-10"/>
                <w:sz w:val="21"/>
              </w:rPr>
              <w:t> 日内作出核定；</w:t>
            </w:r>
          </w:p>
          <w:p>
            <w:pPr>
              <w:pStyle w:val="TableParagraph"/>
              <w:spacing w:before="36"/>
              <w:jc w:val="both"/>
              <w:rPr>
                <w:sz w:val="21"/>
              </w:rPr>
            </w:pPr>
            <w:r>
              <w:rPr>
                <w:sz w:val="21"/>
              </w:rPr>
              <w:t>情形复杂的，在 30 日内作出核定。</w:t>
            </w:r>
          </w:p>
          <w:p>
            <w:pPr>
              <w:pStyle w:val="TableParagraph"/>
              <w:spacing w:before="36"/>
              <w:jc w:val="both"/>
              <w:rPr>
                <w:sz w:val="21"/>
              </w:rPr>
            </w:pPr>
            <w:r>
              <w:rPr>
                <w:sz w:val="21"/>
              </w:rPr>
              <w:t>对属于保险责任的，我们在与受益人达成给付保险金的协议后 10 日内，履行</w:t>
            </w:r>
          </w:p>
          <w:p>
            <w:pPr>
              <w:pStyle w:val="TableParagraph"/>
              <w:spacing w:before="36"/>
              <w:jc w:val="both"/>
              <w:rPr>
                <w:sz w:val="21"/>
              </w:rPr>
            </w:pPr>
            <w:r>
              <w:rPr>
                <w:sz w:val="21"/>
              </w:rPr>
              <w:t>给付保险金义务；若我们在收齐相关证明和资料后第 30 日仍未作出核定，除</w:t>
            </w:r>
          </w:p>
          <w:p>
            <w:pPr>
              <w:pStyle w:val="TableParagraph"/>
              <w:spacing w:line="273" w:lineRule="auto" w:before="36"/>
              <w:ind w:right="105"/>
              <w:jc w:val="both"/>
              <w:rPr>
                <w:sz w:val="21"/>
              </w:rPr>
            </w:pPr>
            <w:r>
              <w:rPr>
                <w:spacing w:val="-1"/>
                <w:sz w:val="21"/>
              </w:rPr>
              <w:t>支付保险金外，我们将从第 </w:t>
            </w:r>
            <w:r>
              <w:rPr>
                <w:sz w:val="21"/>
              </w:rPr>
              <w:t>31</w:t>
            </w:r>
            <w:r>
              <w:rPr>
                <w:spacing w:val="-3"/>
                <w:sz w:val="21"/>
              </w:rPr>
              <w:t> 日起按超过天数赔偿受益人因此受到的利息损</w:t>
            </w:r>
            <w:r>
              <w:rPr>
                <w:spacing w:val="-5"/>
                <w:sz w:val="21"/>
              </w:rPr>
              <w:t>失。利息按照我们公示的利率按单利计算，且保证该利率不低于中国人民银行公布的同期金融机构人民币活期存款基准利率。</w:t>
            </w:r>
          </w:p>
          <w:p>
            <w:pPr>
              <w:pStyle w:val="TableParagraph"/>
              <w:spacing w:line="273" w:lineRule="auto" w:before="7"/>
              <w:ind w:right="105"/>
              <w:jc w:val="both"/>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932" w:hRule="atLeast"/>
        </w:trPr>
        <w:tc>
          <w:tcPr>
            <w:tcW w:w="606" w:type="dxa"/>
          </w:tcPr>
          <w:p>
            <w:pPr>
              <w:pStyle w:val="TableParagraph"/>
              <w:spacing w:before="127"/>
              <w:ind w:left="89" w:right="159"/>
              <w:jc w:val="center"/>
              <w:rPr>
                <w:b/>
                <w:sz w:val="21"/>
              </w:rPr>
            </w:pPr>
            <w:r>
              <w:rPr>
                <w:b/>
                <w:sz w:val="21"/>
              </w:rPr>
              <w:t>3.4</w:t>
            </w:r>
          </w:p>
        </w:tc>
        <w:tc>
          <w:tcPr>
            <w:tcW w:w="2027" w:type="dxa"/>
          </w:tcPr>
          <w:p>
            <w:pPr>
              <w:pStyle w:val="TableParagraph"/>
              <w:spacing w:before="127"/>
              <w:ind w:left="141"/>
              <w:rPr>
                <w:b/>
                <w:sz w:val="21"/>
              </w:rPr>
            </w:pPr>
            <w:r>
              <w:rPr>
                <w:b/>
                <w:sz w:val="21"/>
              </w:rPr>
              <w:t>诉讼时效</w:t>
            </w:r>
          </w:p>
        </w:tc>
        <w:tc>
          <w:tcPr>
            <w:tcW w:w="7325" w:type="dxa"/>
          </w:tcPr>
          <w:p>
            <w:pPr>
              <w:pStyle w:val="TableParagraph"/>
              <w:spacing w:line="273" w:lineRule="auto" w:before="127"/>
              <w:ind w:right="105"/>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40" w:hRule="atLeast"/>
        </w:trPr>
        <w:tc>
          <w:tcPr>
            <w:tcW w:w="606" w:type="dxa"/>
            <w:tcBorders>
              <w:bottom w:val="single" w:sz="8" w:space="0" w:color="000000"/>
            </w:tcBorders>
          </w:tcPr>
          <w:p>
            <w:pPr>
              <w:pStyle w:val="TableParagraph"/>
              <w:spacing w:before="180"/>
              <w:ind w:left="0"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1"/>
              <w:ind w:left="0"/>
              <w:rPr>
                <w:sz w:val="17"/>
              </w:rPr>
            </w:pPr>
          </w:p>
          <w:p>
            <w:pPr>
              <w:pStyle w:val="TableParagraph"/>
              <w:ind w:left="141"/>
              <w:rPr>
                <w:b/>
                <w:sz w:val="24"/>
              </w:rPr>
            </w:pPr>
            <w:r>
              <w:rPr>
                <w:b/>
                <w:w w:val="95"/>
                <w:sz w:val="24"/>
              </w:rPr>
              <w:t>如何支付保险费</w:t>
            </w:r>
          </w:p>
        </w:tc>
        <w:tc>
          <w:tcPr>
            <w:tcW w:w="7325" w:type="dxa"/>
            <w:tcBorders>
              <w:bottom w:val="single" w:sz="8" w:space="0" w:color="000000"/>
            </w:tcBorders>
          </w:tcPr>
          <w:p>
            <w:pPr>
              <w:pStyle w:val="TableParagraph"/>
              <w:ind w:left="0"/>
              <w:rPr>
                <w:rFonts w:ascii="Times New Roman"/>
                <w:sz w:val="20"/>
              </w:rPr>
            </w:pPr>
          </w:p>
        </w:tc>
      </w:tr>
      <w:tr>
        <w:trPr>
          <w:trHeight w:val="1652" w:hRule="atLeast"/>
        </w:trPr>
        <w:tc>
          <w:tcPr>
            <w:tcW w:w="606" w:type="dxa"/>
            <w:tcBorders>
              <w:top w:val="single" w:sz="8" w:space="0" w:color="000000"/>
            </w:tcBorders>
          </w:tcPr>
          <w:p>
            <w:pPr>
              <w:pStyle w:val="TableParagraph"/>
              <w:ind w:left="0"/>
              <w:rPr>
                <w:sz w:val="19"/>
              </w:rPr>
            </w:pPr>
          </w:p>
          <w:p>
            <w:pPr>
              <w:pStyle w:val="TableParagraph"/>
              <w:ind w:left="89" w:right="159"/>
              <w:jc w:val="center"/>
              <w:rPr>
                <w:b/>
                <w:sz w:val="21"/>
              </w:rPr>
            </w:pPr>
            <w:r>
              <w:rPr>
                <w:b/>
                <w:sz w:val="21"/>
              </w:rPr>
              <w:t>4.1</w:t>
            </w:r>
          </w:p>
        </w:tc>
        <w:tc>
          <w:tcPr>
            <w:tcW w:w="2027" w:type="dxa"/>
            <w:tcBorders>
              <w:top w:val="single" w:sz="8" w:space="0" w:color="000000"/>
            </w:tcBorders>
          </w:tcPr>
          <w:p>
            <w:pPr>
              <w:pStyle w:val="TableParagraph"/>
              <w:ind w:left="0"/>
              <w:rPr>
                <w:sz w:val="19"/>
              </w:rPr>
            </w:pPr>
          </w:p>
          <w:p>
            <w:pPr>
              <w:pStyle w:val="TableParagraph"/>
              <w:ind w:left="141"/>
              <w:rPr>
                <w:b/>
                <w:sz w:val="21"/>
              </w:rPr>
            </w:pPr>
            <w:r>
              <w:rPr>
                <w:b/>
                <w:w w:val="95"/>
                <w:sz w:val="21"/>
              </w:rPr>
              <w:t>保险费的支付</w:t>
            </w:r>
          </w:p>
        </w:tc>
        <w:tc>
          <w:tcPr>
            <w:tcW w:w="7325" w:type="dxa"/>
            <w:tcBorders>
              <w:top w:val="single" w:sz="8" w:space="0" w:color="000000"/>
            </w:tcBorders>
          </w:tcPr>
          <w:p>
            <w:pPr>
              <w:pStyle w:val="TableParagraph"/>
              <w:ind w:left="0"/>
              <w:rPr>
                <w:sz w:val="19"/>
              </w:rPr>
            </w:pPr>
          </w:p>
          <w:p>
            <w:pPr>
              <w:pStyle w:val="TableParagraph"/>
              <w:rPr>
                <w:sz w:val="21"/>
              </w:rPr>
            </w:pPr>
            <w:r>
              <w:rPr>
                <w:sz w:val="21"/>
              </w:rPr>
              <w:t>本附加险合同的交费方式和交费期间由您和我们约定并在保险单上载明。</w:t>
            </w:r>
          </w:p>
          <w:p>
            <w:pPr>
              <w:pStyle w:val="TableParagraph"/>
              <w:spacing w:before="37"/>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7"/>
              <w:rPr>
                <w:sz w:val="21"/>
              </w:rPr>
            </w:pPr>
            <w:r>
              <w:rPr>
                <w:sz w:val="21"/>
              </w:rPr>
              <w:t>8.19）支付其余各期的保险费。</w:t>
            </w:r>
          </w:p>
          <w:p>
            <w:pPr>
              <w:pStyle w:val="TableParagraph"/>
              <w:spacing w:before="37"/>
              <w:rPr>
                <w:sz w:val="21"/>
              </w:rPr>
            </w:pPr>
            <w:r>
              <w:rPr>
                <w:sz w:val="21"/>
              </w:rPr>
              <w:t>本附加险合同的保险费必须随主险合同保险费一同支付，不能单独支付。</w:t>
            </w:r>
          </w:p>
        </w:tc>
      </w:tr>
      <w:tr>
        <w:trPr>
          <w:trHeight w:val="2180" w:hRule="atLeast"/>
        </w:trPr>
        <w:tc>
          <w:tcPr>
            <w:tcW w:w="606" w:type="dxa"/>
          </w:tcPr>
          <w:p>
            <w:pPr>
              <w:pStyle w:val="TableParagraph"/>
              <w:spacing w:before="127"/>
              <w:ind w:left="89" w:right="159"/>
              <w:jc w:val="center"/>
              <w:rPr>
                <w:b/>
                <w:sz w:val="21"/>
              </w:rPr>
            </w:pPr>
            <w:r>
              <w:rPr>
                <w:b/>
                <w:sz w:val="21"/>
              </w:rPr>
              <w:t>4.2</w:t>
            </w:r>
          </w:p>
        </w:tc>
        <w:tc>
          <w:tcPr>
            <w:tcW w:w="2027" w:type="dxa"/>
          </w:tcPr>
          <w:p>
            <w:pPr>
              <w:pStyle w:val="TableParagraph"/>
              <w:spacing w:before="127"/>
              <w:ind w:left="141"/>
              <w:rPr>
                <w:b/>
                <w:sz w:val="21"/>
              </w:rPr>
            </w:pPr>
            <w:r>
              <w:rPr>
                <w:b/>
                <w:w w:val="95"/>
                <w:sz w:val="21"/>
              </w:rPr>
              <w:t>保险费率调整</w:t>
            </w:r>
          </w:p>
        </w:tc>
        <w:tc>
          <w:tcPr>
            <w:tcW w:w="7325" w:type="dxa"/>
          </w:tcPr>
          <w:p>
            <w:pPr>
              <w:pStyle w:val="TableParagraph"/>
              <w:spacing w:before="127"/>
              <w:rPr>
                <w:sz w:val="21"/>
              </w:rPr>
            </w:pPr>
            <w:r>
              <w:rPr>
                <w:sz w:val="21"/>
              </w:rPr>
              <w:t>我们保留提高或降低保险费率的权利。</w:t>
            </w:r>
          </w:p>
          <w:p>
            <w:pPr>
              <w:pStyle w:val="TableParagraph"/>
              <w:spacing w:line="273" w:lineRule="auto" w:before="36"/>
              <w:ind w:right="98"/>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7"/>
              <w:ind w:right="105"/>
              <w:jc w:val="both"/>
              <w:rPr>
                <w:sz w:val="21"/>
              </w:rPr>
            </w:pPr>
            <w:r>
              <w:rPr>
                <w:spacing w:val="-1"/>
                <w:sz w:val="21"/>
              </w:rPr>
              <w:t>我们进行保险费率调整并向国务院保险监督管理机构备案后，您须按调整后的保险费率支付续期保险费。</w:t>
            </w:r>
          </w:p>
        </w:tc>
      </w:tr>
      <w:tr>
        <w:trPr>
          <w:trHeight w:val="740" w:hRule="atLeast"/>
        </w:trPr>
        <w:tc>
          <w:tcPr>
            <w:tcW w:w="606" w:type="dxa"/>
            <w:tcBorders>
              <w:bottom w:val="single" w:sz="8" w:space="0" w:color="000000"/>
            </w:tcBorders>
          </w:tcPr>
          <w:p>
            <w:pPr>
              <w:pStyle w:val="TableParagraph"/>
              <w:spacing w:before="179"/>
              <w:ind w:left="0"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1"/>
              <w:ind w:left="0"/>
              <w:rPr>
                <w:sz w:val="17"/>
              </w:rPr>
            </w:pPr>
          </w:p>
          <w:p>
            <w:pPr>
              <w:pStyle w:val="TableParagraph"/>
              <w:ind w:left="141"/>
              <w:rPr>
                <w:b/>
                <w:sz w:val="24"/>
              </w:rPr>
            </w:pPr>
            <w:r>
              <w:rPr>
                <w:b/>
                <w:w w:val="95"/>
                <w:sz w:val="24"/>
              </w:rPr>
              <w:t>合同效力的恢复</w:t>
            </w:r>
          </w:p>
        </w:tc>
        <w:tc>
          <w:tcPr>
            <w:tcW w:w="7325" w:type="dxa"/>
            <w:tcBorders>
              <w:bottom w:val="single" w:sz="8" w:space="0" w:color="000000"/>
            </w:tcBorders>
          </w:tcPr>
          <w:p>
            <w:pPr>
              <w:pStyle w:val="TableParagraph"/>
              <w:ind w:left="0"/>
              <w:rPr>
                <w:rFonts w:ascii="Times New Roman"/>
                <w:sz w:val="20"/>
              </w:rPr>
            </w:pPr>
          </w:p>
        </w:tc>
      </w:tr>
      <w:tr>
        <w:trPr>
          <w:trHeight w:val="1771" w:hRule="atLeast"/>
        </w:trPr>
        <w:tc>
          <w:tcPr>
            <w:tcW w:w="606" w:type="dxa"/>
            <w:tcBorders>
              <w:top w:val="single" w:sz="8" w:space="0" w:color="000000"/>
            </w:tcBorders>
          </w:tcPr>
          <w:p>
            <w:pPr>
              <w:pStyle w:val="TableParagraph"/>
              <w:ind w:left="0"/>
              <w:rPr>
                <w:sz w:val="19"/>
              </w:rPr>
            </w:pPr>
          </w:p>
          <w:p>
            <w:pPr>
              <w:pStyle w:val="TableParagraph"/>
              <w:ind w:left="89" w:right="159"/>
              <w:jc w:val="center"/>
              <w:rPr>
                <w:b/>
                <w:sz w:val="21"/>
              </w:rPr>
            </w:pPr>
            <w:r>
              <w:rPr>
                <w:b/>
                <w:sz w:val="21"/>
              </w:rPr>
              <w:t>5.1</w:t>
            </w:r>
          </w:p>
        </w:tc>
        <w:tc>
          <w:tcPr>
            <w:tcW w:w="2027" w:type="dxa"/>
            <w:tcBorders>
              <w:top w:val="single" w:sz="8" w:space="0" w:color="000000"/>
            </w:tcBorders>
          </w:tcPr>
          <w:p>
            <w:pPr>
              <w:pStyle w:val="TableParagraph"/>
              <w:ind w:left="0"/>
              <w:rPr>
                <w:sz w:val="19"/>
              </w:rPr>
            </w:pPr>
          </w:p>
          <w:p>
            <w:pPr>
              <w:pStyle w:val="TableParagraph"/>
              <w:ind w:left="141"/>
              <w:rPr>
                <w:b/>
                <w:sz w:val="21"/>
              </w:rPr>
            </w:pPr>
            <w:r>
              <w:rPr>
                <w:b/>
                <w:sz w:val="21"/>
              </w:rPr>
              <w:t>效力恢复</w:t>
            </w:r>
          </w:p>
        </w:tc>
        <w:tc>
          <w:tcPr>
            <w:tcW w:w="7325" w:type="dxa"/>
            <w:tcBorders>
              <w:top w:val="single" w:sz="8" w:space="0" w:color="000000"/>
            </w:tcBorders>
          </w:tcPr>
          <w:p>
            <w:pPr>
              <w:pStyle w:val="TableParagraph"/>
              <w:ind w:left="0"/>
              <w:rPr>
                <w:sz w:val="19"/>
              </w:rPr>
            </w:pPr>
          </w:p>
          <w:p>
            <w:pPr>
              <w:pStyle w:val="TableParagraph"/>
              <w:spacing w:line="273" w:lineRule="auto"/>
              <w:ind w:right="105"/>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年内，您可以申请恢复合同效力。经您与我们协商并达成协议，在您补交保险费及其他未还款项之日起，合同效力恢复。</w:t>
            </w:r>
          </w:p>
          <w:p>
            <w:pPr>
              <w:pStyle w:val="TableParagraph"/>
              <w:spacing w:line="273" w:lineRule="auto" w:before="7"/>
              <w:ind w:right="105"/>
              <w:rPr>
                <w:sz w:val="21"/>
              </w:rPr>
            </w:pPr>
            <w:r>
              <w:rPr>
                <w:spacing w:val="-4"/>
                <w:sz w:val="21"/>
              </w:rPr>
              <w:t>自本附加险合同效力中止之日起满 </w:t>
            </w:r>
            <w:r>
              <w:rPr>
                <w:sz w:val="21"/>
              </w:rPr>
              <w:t>2</w:t>
            </w:r>
            <w:r>
              <w:rPr>
                <w:spacing w:val="-10"/>
                <w:sz w:val="21"/>
              </w:rPr>
              <w:t> 年您和我们未达成协议的，本附加险合同终止。</w:t>
            </w:r>
          </w:p>
          <w:p>
            <w:pPr>
              <w:pStyle w:val="TableParagraph"/>
              <w:spacing w:line="255" w:lineRule="exact" w:before="7"/>
              <w:rPr>
                <w:sz w:val="21"/>
              </w:rPr>
            </w:pPr>
            <w:r>
              <w:rPr>
                <w:sz w:val="21"/>
              </w:rPr>
              <w:t>主险合同效力中止期间，本附加险合同不得单独申请复效。</w:t>
            </w:r>
          </w:p>
        </w:tc>
      </w:tr>
    </w:tbl>
    <w:p>
      <w:pPr>
        <w:spacing w:after="0" w:line="255" w:lineRule="exact"/>
        <w:rPr>
          <w:sz w:val="21"/>
        </w:rPr>
        <w:sectPr>
          <w:pgSz w:w="11910" w:h="16840"/>
          <w:pgMar w:top="144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27"/>
        <w:gridCol w:w="7325"/>
      </w:tblGrid>
      <w:tr>
        <w:trPr>
          <w:trHeight w:val="522" w:hRule="atLeast"/>
        </w:trPr>
        <w:tc>
          <w:tcPr>
            <w:tcW w:w="606" w:type="dxa"/>
            <w:tcBorders>
              <w:bottom w:val="single" w:sz="8" w:space="0" w:color="000000"/>
            </w:tcBorders>
          </w:tcPr>
          <w:p>
            <w:pPr>
              <w:pStyle w:val="TableParagraph"/>
              <w:spacing w:line="418" w:lineRule="exact"/>
              <w:ind w:left="0"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2"/>
              <w:ind w:left="141" w:right="-44"/>
              <w:rPr>
                <w:b/>
                <w:sz w:val="24"/>
              </w:rPr>
            </w:pPr>
            <w:r>
              <w:rPr>
                <w:b/>
                <w:w w:val="95"/>
                <w:sz w:val="24"/>
              </w:rPr>
              <w:t>如何解除保险合同</w:t>
            </w:r>
          </w:p>
        </w:tc>
        <w:tc>
          <w:tcPr>
            <w:tcW w:w="7325" w:type="dxa"/>
            <w:tcBorders>
              <w:bottom w:val="single" w:sz="8" w:space="0" w:color="000000"/>
            </w:tcBorders>
          </w:tcPr>
          <w:p>
            <w:pPr>
              <w:pStyle w:val="TableParagraph"/>
              <w:ind w:left="0"/>
              <w:rPr>
                <w:rFonts w:ascii="Times New Roman"/>
                <w:sz w:val="20"/>
              </w:rPr>
            </w:pPr>
          </w:p>
        </w:tc>
      </w:tr>
      <w:tr>
        <w:trPr>
          <w:trHeight w:val="2613" w:hRule="atLeast"/>
        </w:trPr>
        <w:tc>
          <w:tcPr>
            <w:tcW w:w="606" w:type="dxa"/>
            <w:tcBorders>
              <w:top w:val="single" w:sz="8" w:space="0" w:color="000000"/>
            </w:tcBorders>
          </w:tcPr>
          <w:p>
            <w:pPr>
              <w:pStyle w:val="TableParagraph"/>
              <w:spacing w:before="9"/>
              <w:ind w:left="0"/>
              <w:rPr>
                <w:sz w:val="18"/>
              </w:rPr>
            </w:pPr>
          </w:p>
          <w:p>
            <w:pPr>
              <w:pStyle w:val="TableParagraph"/>
              <w:spacing w:before="1"/>
              <w:ind w:left="89" w:right="159"/>
              <w:jc w:val="center"/>
              <w:rPr>
                <w:b/>
                <w:sz w:val="21"/>
              </w:rPr>
            </w:pPr>
            <w:r>
              <w:rPr>
                <w:b/>
                <w:sz w:val="21"/>
              </w:rPr>
              <w:t>6.1</w:t>
            </w:r>
          </w:p>
        </w:tc>
        <w:tc>
          <w:tcPr>
            <w:tcW w:w="2027" w:type="dxa"/>
            <w:tcBorders>
              <w:top w:val="single" w:sz="8" w:space="0" w:color="000000"/>
            </w:tcBorders>
          </w:tcPr>
          <w:p>
            <w:pPr>
              <w:pStyle w:val="TableParagraph"/>
              <w:spacing w:before="9"/>
              <w:ind w:left="0"/>
              <w:rPr>
                <w:sz w:val="18"/>
              </w:rPr>
            </w:pPr>
          </w:p>
          <w:p>
            <w:pPr>
              <w:pStyle w:val="TableParagraph"/>
              <w:spacing w:line="273" w:lineRule="auto" w:before="1"/>
              <w:ind w:left="141" w:right="98"/>
              <w:rPr>
                <w:b/>
                <w:sz w:val="21"/>
              </w:rPr>
            </w:pPr>
            <w:r>
              <w:rPr>
                <w:b/>
                <w:sz w:val="21"/>
              </w:rPr>
              <w:t>您解除合同的手续及风险</w:t>
            </w:r>
          </w:p>
        </w:tc>
        <w:tc>
          <w:tcPr>
            <w:tcW w:w="7325" w:type="dxa"/>
            <w:tcBorders>
              <w:top w:val="single" w:sz="8" w:space="0" w:color="000000"/>
            </w:tcBorders>
          </w:tcPr>
          <w:p>
            <w:pPr>
              <w:pStyle w:val="TableParagraph"/>
              <w:spacing w:before="9"/>
              <w:ind w:left="0"/>
              <w:rPr>
                <w:sz w:val="18"/>
              </w:rPr>
            </w:pPr>
          </w:p>
          <w:p>
            <w:pPr>
              <w:pStyle w:val="TableParagraph"/>
              <w:spacing w:line="273" w:lineRule="auto" w:before="1"/>
              <w:ind w:right="54"/>
              <w:rPr>
                <w:sz w:val="21"/>
              </w:rPr>
            </w:pPr>
            <w:r>
              <w:rPr>
                <w:sz w:val="21"/>
              </w:rPr>
              <w:t>您在犹豫期后可以申请解除本附加险合同，请填写解除合同申请书并向我们提供下列资料：</w:t>
            </w:r>
          </w:p>
          <w:p>
            <w:pPr>
              <w:pStyle w:val="TableParagraph"/>
              <w:spacing w:before="8"/>
              <w:rPr>
                <w:sz w:val="21"/>
              </w:rPr>
            </w:pPr>
            <w:r>
              <w:rPr>
                <w:sz w:val="21"/>
              </w:rPr>
              <w:t>（1）保险合同；</w:t>
            </w:r>
          </w:p>
          <w:p>
            <w:pPr>
              <w:pStyle w:val="TableParagraph"/>
              <w:spacing w:before="37"/>
              <w:rPr>
                <w:sz w:val="21"/>
              </w:rPr>
            </w:pPr>
            <w:r>
              <w:rPr>
                <w:sz w:val="21"/>
              </w:rPr>
              <w:t>（2）您的有效身份证件。</w:t>
            </w:r>
          </w:p>
          <w:p>
            <w:pPr>
              <w:pStyle w:val="TableParagraph"/>
              <w:spacing w:line="273" w:lineRule="auto" w:before="37"/>
              <w:ind w:right="54"/>
              <w:rPr>
                <w:sz w:val="21"/>
              </w:rPr>
            </w:pPr>
            <w:r>
              <w:rPr>
                <w:sz w:val="21"/>
              </w:rPr>
              <w:t>自我们收到解除合同申请书时起，本附加险合同终止。我们自收到解除合同申请书之日起 30 日内向您退还本附加险合同的未满期净保险费。</w:t>
            </w:r>
          </w:p>
          <w:p>
            <w:pPr>
              <w:pStyle w:val="TableParagraph"/>
              <w:spacing w:before="8"/>
              <w:rPr>
                <w:sz w:val="21"/>
              </w:rPr>
            </w:pPr>
            <w:r>
              <w:rPr>
                <w:sz w:val="21"/>
              </w:rPr>
              <w:t>您在犹豫期后解除合同会遭受一定损失。</w:t>
            </w:r>
          </w:p>
        </w:tc>
      </w:tr>
      <w:tr>
        <w:trPr>
          <w:trHeight w:val="740" w:hRule="atLeast"/>
        </w:trPr>
        <w:tc>
          <w:tcPr>
            <w:tcW w:w="606" w:type="dxa"/>
            <w:tcBorders>
              <w:bottom w:val="single" w:sz="8" w:space="0" w:color="000000"/>
            </w:tcBorders>
          </w:tcPr>
          <w:p>
            <w:pPr>
              <w:pStyle w:val="TableParagraph"/>
              <w:spacing w:before="176"/>
              <w:ind w:left="0" w:right="31"/>
              <w:jc w:val="center"/>
              <w:rPr>
                <w:rFonts w:ascii="Arial" w:hAnsi="Arial"/>
                <w:b/>
                <w:sz w:val="40"/>
              </w:rPr>
            </w:pPr>
            <w:r>
              <w:rPr>
                <w:rFonts w:ascii="Arial" w:hAnsi="Arial"/>
                <w:b/>
                <w:w w:val="118"/>
                <w:sz w:val="40"/>
              </w:rPr>
              <w:t></w:t>
            </w:r>
          </w:p>
        </w:tc>
        <w:tc>
          <w:tcPr>
            <w:tcW w:w="9352" w:type="dxa"/>
            <w:gridSpan w:val="2"/>
            <w:tcBorders>
              <w:bottom w:val="single" w:sz="8" w:space="0" w:color="000000"/>
            </w:tcBorders>
          </w:tcPr>
          <w:p>
            <w:pPr>
              <w:pStyle w:val="TableParagraph"/>
              <w:spacing w:before="7"/>
              <w:ind w:left="0"/>
              <w:rPr>
                <w:sz w:val="17"/>
              </w:rPr>
            </w:pPr>
          </w:p>
          <w:p>
            <w:pPr>
              <w:pStyle w:val="TableParagraph"/>
              <w:spacing w:before="1"/>
              <w:ind w:left="141"/>
              <w:rPr>
                <w:b/>
                <w:sz w:val="24"/>
              </w:rPr>
            </w:pPr>
            <w:r>
              <w:rPr>
                <w:b/>
                <w:w w:val="95"/>
                <w:sz w:val="24"/>
              </w:rPr>
              <w:t>其他需要关注的事项</w:t>
            </w:r>
          </w:p>
        </w:tc>
      </w:tr>
      <w:tr>
        <w:trPr>
          <w:trHeight w:val="3835" w:hRule="atLeast"/>
        </w:trPr>
        <w:tc>
          <w:tcPr>
            <w:tcW w:w="606" w:type="dxa"/>
            <w:tcBorders>
              <w:top w:val="single" w:sz="8" w:space="0" w:color="000000"/>
            </w:tcBorders>
          </w:tcPr>
          <w:p>
            <w:pPr>
              <w:pStyle w:val="TableParagraph"/>
              <w:spacing w:before="8"/>
              <w:ind w:left="0"/>
              <w:rPr>
                <w:sz w:val="18"/>
              </w:rPr>
            </w:pPr>
          </w:p>
          <w:p>
            <w:pPr>
              <w:pStyle w:val="TableParagraph"/>
              <w:ind w:left="89" w:right="159"/>
              <w:jc w:val="center"/>
              <w:rPr>
                <w:b/>
                <w:sz w:val="21"/>
              </w:rPr>
            </w:pPr>
            <w:r>
              <w:rPr>
                <w:b/>
                <w:sz w:val="21"/>
              </w:rPr>
              <w:t>7.1</w:t>
            </w:r>
          </w:p>
        </w:tc>
        <w:tc>
          <w:tcPr>
            <w:tcW w:w="2027" w:type="dxa"/>
            <w:tcBorders>
              <w:top w:val="single" w:sz="8" w:space="0" w:color="000000"/>
            </w:tcBorders>
          </w:tcPr>
          <w:p>
            <w:pPr>
              <w:pStyle w:val="TableParagraph"/>
              <w:spacing w:before="8"/>
              <w:ind w:left="0"/>
              <w:rPr>
                <w:sz w:val="18"/>
              </w:rPr>
            </w:pPr>
          </w:p>
          <w:p>
            <w:pPr>
              <w:pStyle w:val="TableParagraph"/>
              <w:ind w:left="141"/>
              <w:rPr>
                <w:b/>
                <w:sz w:val="21"/>
              </w:rPr>
            </w:pPr>
            <w:r>
              <w:rPr>
                <w:b/>
                <w:sz w:val="21"/>
              </w:rPr>
              <w:t>年龄错误</w:t>
            </w:r>
          </w:p>
        </w:tc>
        <w:tc>
          <w:tcPr>
            <w:tcW w:w="7325" w:type="dxa"/>
            <w:tcBorders>
              <w:top w:val="single" w:sz="8" w:space="0" w:color="000000"/>
            </w:tcBorders>
          </w:tcPr>
          <w:p>
            <w:pPr>
              <w:pStyle w:val="TableParagraph"/>
              <w:spacing w:before="8"/>
              <w:ind w:left="0"/>
              <w:rPr>
                <w:sz w:val="18"/>
              </w:rPr>
            </w:pPr>
          </w:p>
          <w:p>
            <w:pPr>
              <w:pStyle w:val="TableParagraph"/>
              <w:spacing w:line="273" w:lineRule="auto"/>
              <w:ind w:right="5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5" w:right="101" w:hanging="504"/>
              <w:jc w:val="both"/>
              <w:rPr>
                <w:sz w:val="21"/>
              </w:rPr>
            </w:pPr>
            <w:r>
              <w:rPr>
                <w:sz w:val="21"/>
              </w:rPr>
              <w:t>（1）您申报的被保险人年龄不真实，并且其真实年龄不符合本附加险合同约定投保年龄限制的，我们有权解除合同，并向您退还本附加险合同的未满期净保险费。我们行使合同解除权适用“7.3（5）本公司合同解除权的限制”的规定。</w:t>
            </w:r>
          </w:p>
          <w:p>
            <w:pPr>
              <w:pStyle w:val="TableParagraph"/>
              <w:spacing w:line="273" w:lineRule="auto" w:before="7"/>
              <w:ind w:left="605" w:right="107" w:hanging="504"/>
              <w:jc w:val="both"/>
              <w:rPr>
                <w:sz w:val="21"/>
              </w:rPr>
            </w:pPr>
            <w:r>
              <w:rPr>
                <w:sz w:val="21"/>
              </w:rPr>
              <w:t>（2）您申报的被保险人年龄不真实，致使您实付保险费少于应付保险费的， 我们有权更正并要求您补交保险费或在给付保险金时扣除您欠交的保险费。</w:t>
            </w:r>
          </w:p>
          <w:p>
            <w:pPr>
              <w:pStyle w:val="TableParagraph"/>
              <w:spacing w:line="273" w:lineRule="auto" w:before="7"/>
              <w:ind w:left="626" w:right="107" w:hanging="526"/>
              <w:jc w:val="both"/>
              <w:rPr>
                <w:sz w:val="21"/>
              </w:rPr>
            </w:pPr>
            <w:r>
              <w:rPr>
                <w:sz w:val="21"/>
              </w:rPr>
              <w:t>（3）您申报的被保险人年龄不真实，致使您实付保险费多于应付保险费的， 我们会将多收的保险费退还给您。</w:t>
            </w:r>
          </w:p>
        </w:tc>
      </w:tr>
      <w:tr>
        <w:trPr>
          <w:trHeight w:val="1530" w:hRule="atLeast"/>
        </w:trPr>
        <w:tc>
          <w:tcPr>
            <w:tcW w:w="606" w:type="dxa"/>
          </w:tcPr>
          <w:p>
            <w:pPr>
              <w:pStyle w:val="TableParagraph"/>
              <w:spacing w:before="124"/>
              <w:ind w:left="89" w:right="159"/>
              <w:jc w:val="center"/>
              <w:rPr>
                <w:b/>
                <w:sz w:val="21"/>
              </w:rPr>
            </w:pPr>
            <w:r>
              <w:rPr>
                <w:b/>
                <w:sz w:val="21"/>
              </w:rPr>
              <w:t>7.2</w:t>
            </w:r>
          </w:p>
        </w:tc>
        <w:tc>
          <w:tcPr>
            <w:tcW w:w="2027" w:type="dxa"/>
          </w:tcPr>
          <w:p>
            <w:pPr>
              <w:pStyle w:val="TableParagraph"/>
              <w:spacing w:before="124"/>
              <w:ind w:left="141"/>
              <w:rPr>
                <w:b/>
                <w:sz w:val="21"/>
              </w:rPr>
            </w:pPr>
            <w:r>
              <w:rPr>
                <w:b/>
                <w:sz w:val="21"/>
              </w:rPr>
              <w:t>效力终止</w:t>
            </w:r>
          </w:p>
        </w:tc>
        <w:tc>
          <w:tcPr>
            <w:tcW w:w="7325" w:type="dxa"/>
          </w:tcPr>
          <w:p>
            <w:pPr>
              <w:pStyle w:val="TableParagraph"/>
              <w:spacing w:before="124"/>
              <w:rPr>
                <w:sz w:val="21"/>
              </w:rPr>
            </w:pPr>
            <w:r>
              <w:rPr>
                <w:sz w:val="21"/>
              </w:rPr>
              <w:t>当发生下列情形之一时，本附加险合同效力终止：</w:t>
            </w:r>
          </w:p>
          <w:p>
            <w:pPr>
              <w:pStyle w:val="TableParagraph"/>
              <w:spacing w:before="37"/>
              <w:rPr>
                <w:sz w:val="21"/>
              </w:rPr>
            </w:pPr>
            <w:r>
              <w:rPr>
                <w:sz w:val="21"/>
              </w:rPr>
              <w:t>（1）主险合同效力终止；</w:t>
            </w:r>
          </w:p>
          <w:p>
            <w:pPr>
              <w:pStyle w:val="TableParagraph"/>
              <w:spacing w:before="37"/>
              <w:rPr>
                <w:sz w:val="21"/>
              </w:rPr>
            </w:pPr>
            <w:r>
              <w:rPr>
                <w:sz w:val="21"/>
              </w:rPr>
              <w:t>（2）主险合同办理减额交清；</w:t>
            </w:r>
          </w:p>
          <w:p>
            <w:pPr>
              <w:pStyle w:val="TableParagraph"/>
              <w:spacing w:before="37"/>
              <w:rPr>
                <w:sz w:val="21"/>
              </w:rPr>
            </w:pPr>
            <w:r>
              <w:rPr>
                <w:sz w:val="21"/>
              </w:rPr>
              <w:t>（3）您申请解除本附加险合同。</w:t>
            </w:r>
          </w:p>
        </w:tc>
      </w:tr>
      <w:tr>
        <w:trPr>
          <w:trHeight w:val="3428" w:hRule="atLeast"/>
        </w:trPr>
        <w:tc>
          <w:tcPr>
            <w:tcW w:w="606" w:type="dxa"/>
          </w:tcPr>
          <w:p>
            <w:pPr>
              <w:pStyle w:val="TableParagraph"/>
              <w:spacing w:before="124"/>
              <w:ind w:left="89" w:right="159"/>
              <w:jc w:val="center"/>
              <w:rPr>
                <w:b/>
                <w:sz w:val="21"/>
              </w:rPr>
            </w:pPr>
            <w:r>
              <w:rPr>
                <w:b/>
                <w:sz w:val="21"/>
              </w:rPr>
              <w:t>7.3</w:t>
            </w:r>
          </w:p>
        </w:tc>
        <w:tc>
          <w:tcPr>
            <w:tcW w:w="2027" w:type="dxa"/>
          </w:tcPr>
          <w:p>
            <w:pPr>
              <w:pStyle w:val="TableParagraph"/>
              <w:spacing w:before="124"/>
              <w:ind w:left="141"/>
              <w:rPr>
                <w:b/>
                <w:sz w:val="21"/>
              </w:rPr>
            </w:pPr>
            <w:r>
              <w:rPr>
                <w:b/>
                <w:w w:val="95"/>
                <w:sz w:val="21"/>
              </w:rPr>
              <w:t>适用主险合同条款</w:t>
            </w:r>
          </w:p>
        </w:tc>
        <w:tc>
          <w:tcPr>
            <w:tcW w:w="7325" w:type="dxa"/>
          </w:tcPr>
          <w:p>
            <w:pPr>
              <w:pStyle w:val="TableParagraph"/>
              <w:spacing w:before="124"/>
              <w:rPr>
                <w:sz w:val="21"/>
              </w:rPr>
            </w:pPr>
            <w:r>
              <w:rPr>
                <w:sz w:val="21"/>
              </w:rPr>
              <w:t>下列各项条款，适用主险合同条款：</w:t>
            </w:r>
          </w:p>
          <w:p>
            <w:pPr>
              <w:pStyle w:val="TableParagraph"/>
              <w:spacing w:before="37"/>
              <w:rPr>
                <w:sz w:val="21"/>
              </w:rPr>
            </w:pPr>
            <w:r>
              <w:rPr>
                <w:sz w:val="21"/>
              </w:rPr>
              <w:t>（1）保险事故通知；</w:t>
            </w:r>
          </w:p>
          <w:p>
            <w:pPr>
              <w:pStyle w:val="TableParagraph"/>
              <w:spacing w:before="37"/>
              <w:rPr>
                <w:sz w:val="21"/>
              </w:rPr>
            </w:pPr>
            <w:r>
              <w:rPr>
                <w:sz w:val="21"/>
              </w:rPr>
              <w:t>（2）宽限期；</w:t>
            </w:r>
          </w:p>
          <w:p>
            <w:pPr>
              <w:pStyle w:val="TableParagraph"/>
              <w:spacing w:before="37"/>
              <w:rPr>
                <w:sz w:val="21"/>
              </w:rPr>
            </w:pPr>
            <w:r>
              <w:rPr>
                <w:sz w:val="21"/>
              </w:rPr>
              <w:t>（3）效力中止；</w:t>
            </w:r>
          </w:p>
          <w:p>
            <w:pPr>
              <w:pStyle w:val="TableParagraph"/>
              <w:spacing w:before="37"/>
              <w:rPr>
                <w:sz w:val="21"/>
              </w:rPr>
            </w:pPr>
            <w:r>
              <w:rPr>
                <w:sz w:val="21"/>
              </w:rPr>
              <w:t>（4）明确说明与如实告知；</w:t>
            </w:r>
          </w:p>
          <w:p>
            <w:pPr>
              <w:pStyle w:val="TableParagraph"/>
              <w:spacing w:before="37"/>
              <w:rPr>
                <w:sz w:val="21"/>
              </w:rPr>
            </w:pPr>
            <w:r>
              <w:rPr>
                <w:sz w:val="21"/>
              </w:rPr>
              <w:t>（5）本公司合同解除权的限制；</w:t>
            </w:r>
          </w:p>
          <w:p>
            <w:pPr>
              <w:pStyle w:val="TableParagraph"/>
              <w:spacing w:before="37"/>
              <w:rPr>
                <w:sz w:val="21"/>
              </w:rPr>
            </w:pPr>
            <w:r>
              <w:rPr>
                <w:sz w:val="21"/>
              </w:rPr>
              <w:t>（6）未还款项；</w:t>
            </w:r>
          </w:p>
          <w:p>
            <w:pPr>
              <w:pStyle w:val="TableParagraph"/>
              <w:spacing w:before="37"/>
              <w:rPr>
                <w:sz w:val="21"/>
              </w:rPr>
            </w:pPr>
            <w:r>
              <w:rPr>
                <w:sz w:val="21"/>
              </w:rPr>
              <w:t>（7）合同内容变更；</w:t>
            </w:r>
          </w:p>
          <w:p>
            <w:pPr>
              <w:pStyle w:val="TableParagraph"/>
              <w:spacing w:before="37"/>
              <w:rPr>
                <w:sz w:val="21"/>
              </w:rPr>
            </w:pPr>
            <w:r>
              <w:rPr>
                <w:sz w:val="21"/>
              </w:rPr>
              <w:t>（8）联系方式变更；</w:t>
            </w:r>
          </w:p>
          <w:p>
            <w:pPr>
              <w:pStyle w:val="TableParagraph"/>
              <w:spacing w:before="37"/>
              <w:rPr>
                <w:sz w:val="21"/>
              </w:rPr>
            </w:pPr>
            <w:r>
              <w:rPr>
                <w:sz w:val="21"/>
              </w:rPr>
              <w:t>（9）争议处理。</w:t>
            </w:r>
          </w:p>
        </w:tc>
      </w:tr>
      <w:tr>
        <w:trPr>
          <w:trHeight w:val="740" w:hRule="atLeast"/>
        </w:trPr>
        <w:tc>
          <w:tcPr>
            <w:tcW w:w="606" w:type="dxa"/>
            <w:tcBorders>
              <w:bottom w:val="single" w:sz="8" w:space="0" w:color="000000"/>
            </w:tcBorders>
          </w:tcPr>
          <w:p>
            <w:pPr>
              <w:pStyle w:val="TableParagraph"/>
              <w:spacing w:before="176"/>
              <w:ind w:left="0"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7"/>
              <w:ind w:left="0"/>
              <w:rPr>
                <w:sz w:val="17"/>
              </w:rPr>
            </w:pPr>
          </w:p>
          <w:p>
            <w:pPr>
              <w:pStyle w:val="TableParagraph"/>
              <w:spacing w:before="1"/>
              <w:ind w:left="141"/>
              <w:rPr>
                <w:b/>
                <w:sz w:val="24"/>
              </w:rPr>
            </w:pPr>
            <w:r>
              <w:rPr>
                <w:b/>
                <w:sz w:val="24"/>
              </w:rPr>
              <w:t>释义</w:t>
            </w:r>
          </w:p>
        </w:tc>
        <w:tc>
          <w:tcPr>
            <w:tcW w:w="7325" w:type="dxa"/>
            <w:tcBorders>
              <w:bottom w:val="single" w:sz="8" w:space="0" w:color="000000"/>
            </w:tcBorders>
          </w:tcPr>
          <w:p>
            <w:pPr>
              <w:pStyle w:val="TableParagraph"/>
              <w:ind w:left="0"/>
              <w:rPr>
                <w:rFonts w:ascii="Times New Roman"/>
                <w:sz w:val="20"/>
              </w:rPr>
            </w:pPr>
          </w:p>
        </w:tc>
      </w:tr>
      <w:tr>
        <w:trPr>
          <w:trHeight w:val="835" w:hRule="atLeast"/>
        </w:trPr>
        <w:tc>
          <w:tcPr>
            <w:tcW w:w="606" w:type="dxa"/>
            <w:tcBorders>
              <w:top w:val="single" w:sz="8" w:space="0" w:color="000000"/>
            </w:tcBorders>
          </w:tcPr>
          <w:p>
            <w:pPr>
              <w:pStyle w:val="TableParagraph"/>
              <w:spacing w:before="9"/>
              <w:ind w:left="0"/>
              <w:rPr>
                <w:sz w:val="18"/>
              </w:rPr>
            </w:pPr>
          </w:p>
          <w:p>
            <w:pPr>
              <w:pStyle w:val="TableParagraph"/>
              <w:spacing w:before="1"/>
              <w:ind w:left="89" w:right="159"/>
              <w:jc w:val="center"/>
              <w:rPr>
                <w:b/>
                <w:sz w:val="21"/>
              </w:rPr>
            </w:pPr>
            <w:r>
              <w:rPr>
                <w:b/>
                <w:sz w:val="21"/>
              </w:rPr>
              <w:t>8.1</w:t>
            </w:r>
          </w:p>
        </w:tc>
        <w:tc>
          <w:tcPr>
            <w:tcW w:w="2027" w:type="dxa"/>
            <w:tcBorders>
              <w:top w:val="single" w:sz="8" w:space="0" w:color="000000"/>
            </w:tcBorders>
          </w:tcPr>
          <w:p>
            <w:pPr>
              <w:pStyle w:val="TableParagraph"/>
              <w:spacing w:before="8"/>
              <w:ind w:left="0"/>
              <w:rPr>
                <w:sz w:val="20"/>
              </w:rPr>
            </w:pPr>
          </w:p>
          <w:p>
            <w:pPr>
              <w:pStyle w:val="TableParagraph"/>
              <w:spacing w:before="1"/>
              <w:ind w:left="141"/>
              <w:rPr>
                <w:b/>
                <w:sz w:val="21"/>
              </w:rPr>
            </w:pPr>
            <w:r>
              <w:rPr>
                <w:b/>
                <w:sz w:val="21"/>
              </w:rPr>
              <w:t>周岁</w:t>
            </w:r>
          </w:p>
        </w:tc>
        <w:tc>
          <w:tcPr>
            <w:tcW w:w="7325" w:type="dxa"/>
            <w:tcBorders>
              <w:top w:val="single" w:sz="8" w:space="0" w:color="000000"/>
            </w:tcBorders>
          </w:tcPr>
          <w:p>
            <w:pPr>
              <w:pStyle w:val="TableParagraph"/>
              <w:ind w:left="0"/>
              <w:rPr>
                <w:sz w:val="16"/>
              </w:rPr>
            </w:pPr>
          </w:p>
          <w:p>
            <w:pPr>
              <w:pStyle w:val="TableParagraph"/>
              <w:spacing w:line="310" w:lineRule="atLeast"/>
              <w:ind w:right="54"/>
              <w:rPr>
                <w:sz w:val="21"/>
              </w:rPr>
            </w:pPr>
            <w:r>
              <w:rPr>
                <w:sz w:val="21"/>
              </w:rPr>
              <w:t>指按有效身份证件中记载的出生日期计算的年龄，自出生之日起为零周岁，每经过一年增加一岁，不足一年的不计。</w:t>
            </w:r>
          </w:p>
        </w:tc>
      </w:tr>
    </w:tbl>
    <w:p>
      <w:pPr>
        <w:spacing w:after="0" w:line="310" w:lineRule="atLeast"/>
        <w:rPr>
          <w:sz w:val="21"/>
        </w:rPr>
        <w:sectPr>
          <w:pgSz w:w="11910" w:h="16840"/>
          <w:pgMar w:top="1220" w:bottom="280" w:left="800" w:right="920"/>
        </w:sectPr>
      </w:pPr>
    </w:p>
    <w:p>
      <w:pPr>
        <w:pStyle w:val="ListParagraph"/>
        <w:numPr>
          <w:ilvl w:val="1"/>
          <w:numId w:val="4"/>
        </w:numPr>
        <w:tabs>
          <w:tab w:pos="740" w:val="left" w:leader="none"/>
          <w:tab w:pos="741" w:val="left" w:leader="none"/>
          <w:tab w:pos="2727" w:val="left" w:leader="none"/>
        </w:tabs>
        <w:spacing w:line="247" w:lineRule="auto" w:before="24" w:after="0"/>
        <w:ind w:left="2728" w:right="220" w:hanging="2627"/>
        <w:jc w:val="left"/>
        <w:rPr>
          <w:sz w:val="21"/>
        </w:rPr>
      </w:pPr>
      <w:r>
        <w:rPr>
          <w:b/>
          <w:position w:val="-2"/>
          <w:sz w:val="21"/>
        </w:rPr>
        <w:t>有效身份证件</w:t>
        <w:tab/>
      </w:r>
      <w:r>
        <w:rPr>
          <w:sz w:val="21"/>
        </w:rPr>
        <w:t>指由政府主管部门规定的证明个人身份的证件</w:t>
      </w:r>
      <w:r>
        <w:rPr>
          <w:spacing w:val="-9"/>
          <w:sz w:val="21"/>
        </w:rPr>
        <w:t>，</w:t>
      </w:r>
      <w:r>
        <w:rPr>
          <w:sz w:val="21"/>
        </w:rPr>
        <w:t>如</w:t>
      </w:r>
      <w:r>
        <w:rPr>
          <w:spacing w:val="-9"/>
          <w:sz w:val="21"/>
        </w:rPr>
        <w:t>：</w:t>
      </w:r>
      <w:r>
        <w:rPr>
          <w:sz w:val="21"/>
        </w:rPr>
        <w:t>居民身份证</w:t>
      </w:r>
      <w:r>
        <w:rPr>
          <w:spacing w:val="-9"/>
          <w:sz w:val="21"/>
        </w:rPr>
        <w:t>、</w:t>
      </w:r>
      <w:r>
        <w:rPr>
          <w:sz w:val="21"/>
        </w:rPr>
        <w:t>按规定可使用的有效护照、军官证、警官证、士兵证等证件。</w:t>
      </w:r>
    </w:p>
    <w:p>
      <w:pPr>
        <w:pStyle w:val="BodyText"/>
        <w:rPr>
          <w:sz w:val="24"/>
        </w:rPr>
      </w:pPr>
    </w:p>
    <w:p>
      <w:pPr>
        <w:pStyle w:val="ListParagraph"/>
        <w:numPr>
          <w:ilvl w:val="1"/>
          <w:numId w:val="4"/>
        </w:numPr>
        <w:tabs>
          <w:tab w:pos="740" w:val="left" w:leader="none"/>
          <w:tab w:pos="741" w:val="left" w:leader="none"/>
          <w:tab w:pos="2727" w:val="left" w:leader="none"/>
        </w:tabs>
        <w:spacing w:line="247" w:lineRule="auto" w:before="0" w:after="0"/>
        <w:ind w:left="2728" w:right="220" w:hanging="2627"/>
        <w:jc w:val="left"/>
        <w:rPr>
          <w:sz w:val="21"/>
        </w:rPr>
      </w:pPr>
      <w:r>
        <w:rPr>
          <w:b/>
          <w:position w:val="-2"/>
          <w:sz w:val="21"/>
        </w:rPr>
        <w:t>重大疾病</w:t>
        <w:tab/>
      </w:r>
      <w:r>
        <w:rPr>
          <w:sz w:val="21"/>
        </w:rPr>
        <w:t>重大疾病是指被保险人初次发生符合下列定义的疾病</w:t>
      </w:r>
      <w:r>
        <w:rPr>
          <w:spacing w:val="-25"/>
          <w:sz w:val="21"/>
        </w:rPr>
        <w:t>，</w:t>
      </w:r>
      <w:r>
        <w:rPr>
          <w:sz w:val="21"/>
        </w:rPr>
        <w:t>或初次接受符合下列定义的手术。该疾病或手术应当由</w:t>
      </w:r>
      <w:r>
        <w:rPr>
          <w:rFonts w:ascii="黑体" w:eastAsia="黑体" w:hint="eastAsia"/>
          <w:b/>
          <w:sz w:val="21"/>
        </w:rPr>
        <w:t>专科医Th</w:t>
      </w:r>
      <w:r>
        <w:rPr>
          <w:sz w:val="21"/>
        </w:rPr>
        <w:t>（见</w:t>
      </w:r>
      <w:r>
        <w:rPr>
          <w:spacing w:val="-57"/>
          <w:sz w:val="21"/>
        </w:rPr>
        <w:t> </w:t>
      </w:r>
      <w:r>
        <w:rPr>
          <w:sz w:val="21"/>
        </w:rPr>
        <w:t>8.4）明确诊断。</w:t>
      </w:r>
    </w:p>
    <w:p>
      <w:pPr>
        <w:pStyle w:val="BodyText"/>
        <w:spacing w:before="11"/>
        <w:rPr>
          <w:sz w:val="23"/>
        </w:rPr>
      </w:pPr>
    </w:p>
    <w:p>
      <w:pPr>
        <w:pStyle w:val="BodyText"/>
        <w:spacing w:before="1"/>
        <w:ind w:left="2728"/>
      </w:pPr>
      <w:r>
        <w:rPr/>
        <w:t>以下重大疾病是中国保险行业协会与中国医师协会制定了规范定义的疾病。</w:t>
      </w:r>
    </w:p>
    <w:p>
      <w:pPr>
        <w:pStyle w:val="BodyText"/>
        <w:spacing w:before="10"/>
        <w:rPr>
          <w:sz w:val="24"/>
        </w:rPr>
      </w:pPr>
    </w:p>
    <w:p>
      <w:pPr>
        <w:pStyle w:val="BodyText"/>
        <w:tabs>
          <w:tab w:pos="2727" w:val="left" w:leader="none"/>
        </w:tabs>
        <w:spacing w:line="312" w:lineRule="exact"/>
        <w:ind w:left="2728" w:right="102" w:hanging="1988"/>
        <w:jc w:val="both"/>
      </w:pPr>
      <w:r>
        <w:rPr>
          <w:rFonts w:ascii="等线" w:eastAsia="等线" w:hint="eastAsia"/>
          <w:b/>
          <w:position w:val="-2"/>
          <w:sz w:val="24"/>
        </w:rPr>
        <w:t>恶性肿瘤</w:t>
        <w:tab/>
      </w:r>
      <w:r>
        <w:rPr/>
        <w:t>指恶性细胞不受控制的进行性增长和扩散</w:t>
      </w:r>
      <w:r>
        <w:rPr>
          <w:spacing w:val="-12"/>
        </w:rPr>
        <w:t>，</w:t>
      </w:r>
      <w:r>
        <w:rPr/>
        <w:t>浸润和破坏周围正常组织</w:t>
      </w:r>
      <w:r>
        <w:rPr>
          <w:spacing w:val="-13"/>
        </w:rPr>
        <w:t>，</w:t>
      </w:r>
      <w:r>
        <w:rPr/>
        <w:t>可以经血管</w:t>
      </w:r>
      <w:r>
        <w:rPr>
          <w:spacing w:val="-12"/>
        </w:rPr>
        <w:t>、</w:t>
      </w:r>
      <w:r>
        <w:rPr/>
        <w:t>淋巴管和体腔扩散转移到身体其它部位的疾病</w:t>
      </w:r>
      <w:r>
        <w:rPr>
          <w:spacing w:val="-13"/>
        </w:rPr>
        <w:t>。</w:t>
      </w:r>
      <w:r>
        <w:rPr/>
        <w:t>经病理学检查结果明确</w:t>
      </w:r>
      <w:r>
        <w:rPr>
          <w:spacing w:val="7"/>
        </w:rPr>
        <w:t>诊断</w:t>
      </w:r>
      <w:r>
        <w:rPr>
          <w:spacing w:val="6"/>
        </w:rPr>
        <w:t>，</w:t>
      </w:r>
      <w:r>
        <w:rPr>
          <w:spacing w:val="7"/>
        </w:rPr>
        <w:t>临</w:t>
      </w:r>
      <w:r>
        <w:rPr>
          <w:spacing w:val="6"/>
        </w:rPr>
        <w:t>床</w:t>
      </w:r>
      <w:r>
        <w:rPr>
          <w:spacing w:val="7"/>
        </w:rPr>
        <w:t>诊断</w:t>
      </w:r>
      <w:r>
        <w:rPr>
          <w:spacing w:val="6"/>
        </w:rPr>
        <w:t>属</w:t>
      </w:r>
      <w:r>
        <w:rPr>
          <w:spacing w:val="7"/>
        </w:rPr>
        <w:t>于</w:t>
      </w:r>
      <w:r>
        <w:rPr>
          <w:spacing w:val="6"/>
        </w:rPr>
        <w:t>世</w:t>
      </w:r>
      <w:r>
        <w:rPr>
          <w:spacing w:val="7"/>
        </w:rPr>
        <w:t>界卫</w:t>
      </w:r>
      <w:r>
        <w:rPr>
          <w:spacing w:val="6"/>
        </w:rPr>
        <w:t>生</w:t>
      </w:r>
      <w:r>
        <w:rPr>
          <w:spacing w:val="7"/>
        </w:rPr>
        <w:t>组</w:t>
      </w:r>
      <w:r>
        <w:rPr>
          <w:spacing w:val="6"/>
        </w:rPr>
        <w:t>织</w:t>
      </w:r>
      <w:r>
        <w:rPr>
          <w:spacing w:val="7"/>
        </w:rPr>
        <w:t>《疾</w:t>
      </w:r>
      <w:r>
        <w:rPr>
          <w:spacing w:val="6"/>
        </w:rPr>
        <w:t>病</w:t>
      </w:r>
      <w:r>
        <w:rPr>
          <w:spacing w:val="7"/>
        </w:rPr>
        <w:t>和</w:t>
      </w:r>
      <w:r>
        <w:rPr>
          <w:spacing w:val="6"/>
        </w:rPr>
        <w:t>有</w:t>
      </w:r>
      <w:r>
        <w:rPr>
          <w:spacing w:val="7"/>
        </w:rPr>
        <w:t>关健</w:t>
      </w:r>
      <w:r>
        <w:rPr>
          <w:spacing w:val="6"/>
        </w:rPr>
        <w:t>康</w:t>
      </w:r>
      <w:r>
        <w:rPr>
          <w:spacing w:val="7"/>
        </w:rPr>
        <w:t>问</w:t>
      </w:r>
      <w:r>
        <w:rPr>
          <w:spacing w:val="6"/>
        </w:rPr>
        <w:t>题</w:t>
      </w:r>
      <w:r>
        <w:rPr>
          <w:spacing w:val="7"/>
        </w:rPr>
        <w:t>的国</w:t>
      </w:r>
      <w:r>
        <w:rPr>
          <w:spacing w:val="6"/>
        </w:rPr>
        <w:t>际</w:t>
      </w:r>
      <w:r>
        <w:rPr>
          <w:spacing w:val="7"/>
        </w:rPr>
        <w:t>统</w:t>
      </w:r>
      <w:r>
        <w:rPr>
          <w:spacing w:val="6"/>
        </w:rPr>
        <w:t>计</w:t>
      </w:r>
      <w:r>
        <w:rPr>
          <w:spacing w:val="7"/>
        </w:rPr>
        <w:t>分类》</w:t>
      </w:r>
    </w:p>
    <w:p>
      <w:pPr>
        <w:pStyle w:val="BodyText"/>
        <w:spacing w:before="3"/>
        <w:ind w:left="2728"/>
      </w:pPr>
      <w:r>
        <w:rPr/>
        <w:t>（ICD-10）的恶性肿瘤范畴。</w:t>
      </w:r>
      <w:r>
        <w:rPr>
          <w:shd w:fill="DADADA" w:color="auto" w:val="clear"/>
        </w:rPr>
        <w:t>下列疾病不在保障范围内：</w:t>
      </w:r>
    </w:p>
    <w:p>
      <w:pPr>
        <w:pStyle w:val="BodyText"/>
        <w:spacing w:before="36"/>
        <w:ind w:left="2728"/>
      </w:pPr>
      <w:r>
        <w:rPr>
          <w:shd w:fill="DADADA" w:color="auto" w:val="clear"/>
        </w:rPr>
        <w:t>（1）原位癌；</w:t>
      </w:r>
    </w:p>
    <w:p>
      <w:pPr>
        <w:pStyle w:val="BodyText"/>
        <w:spacing w:before="36"/>
        <w:ind w:left="2728"/>
      </w:pPr>
      <w:r>
        <w:rPr>
          <w:shd w:fill="DADADA" w:color="auto" w:val="clear"/>
        </w:rPr>
        <w:t>（2）相当于Binet 分期方案 A 期程度的慢性淋巴细胞白血病；</w:t>
      </w:r>
    </w:p>
    <w:p>
      <w:pPr>
        <w:pStyle w:val="BodyText"/>
        <w:spacing w:before="36"/>
        <w:ind w:left="2728"/>
      </w:pPr>
      <w:r>
        <w:rPr>
          <w:shd w:fill="DADADA" w:color="auto" w:val="clear"/>
        </w:rPr>
        <w:t>（3）相当于Ann Arbor 分期方案 I 期程度的何杰金氏病；</w:t>
      </w:r>
    </w:p>
    <w:p>
      <w:pPr>
        <w:pStyle w:val="BodyText"/>
        <w:spacing w:before="36"/>
        <w:ind w:left="2728"/>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6"/>
        <w:ind w:left="272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728"/>
      </w:pPr>
      <w:r>
        <w:rPr>
          <w:shd w:fill="DADADA" w:color="auto" w:val="clear"/>
        </w:rPr>
        <w:t>（6）感染艾滋病病毒或患艾滋病期间所患恶性肿瘤。</w:t>
      </w:r>
    </w:p>
    <w:p>
      <w:pPr>
        <w:pStyle w:val="BodyText"/>
        <w:spacing w:before="10"/>
        <w:rPr>
          <w:sz w:val="25"/>
        </w:rPr>
      </w:pPr>
    </w:p>
    <w:p>
      <w:pPr>
        <w:spacing w:line="225" w:lineRule="auto" w:before="0"/>
        <w:ind w:left="2728" w:right="220" w:hanging="1988"/>
        <w:jc w:val="both"/>
        <w:rPr>
          <w:sz w:val="21"/>
        </w:rPr>
      </w:pPr>
      <w:r>
        <w:rPr>
          <w:rFonts w:ascii="等线" w:eastAsia="等线" w:hint="eastAsia"/>
          <w:b/>
          <w:position w:val="-2"/>
          <w:sz w:val="24"/>
        </w:rPr>
        <w:t>急性心ft</w:t>
      </w:r>
      <w:r>
        <w:rPr>
          <w:rFonts w:ascii="等线" w:eastAsia="等线" w:hint="eastAsia"/>
          <w:b/>
          <w:spacing w:val="1"/>
          <w:position w:val="-2"/>
          <w:sz w:val="24"/>
        </w:rPr>
        <w:t>梗塞      </w:t>
      </w:r>
      <w:r>
        <w:rPr>
          <w:spacing w:val="-1"/>
          <w:sz w:val="21"/>
        </w:rPr>
        <w:t>指因冠状动脉阻塞导致的相应区域供血不足造成部分心肌坏死。须满足下列至少三项条件：</w:t>
      </w:r>
    </w:p>
    <w:p>
      <w:pPr>
        <w:pStyle w:val="BodyText"/>
        <w:spacing w:before="36"/>
        <w:ind w:left="2728"/>
      </w:pPr>
      <w:r>
        <w:rPr/>
        <w:t>（1）典型临床表现，例如急性胸痛等；</w:t>
      </w:r>
    </w:p>
    <w:p>
      <w:pPr>
        <w:pStyle w:val="BodyText"/>
        <w:spacing w:before="36"/>
        <w:ind w:left="2727"/>
      </w:pPr>
      <w:r>
        <w:rPr/>
        <w:t>（2）新近的心电图改变提示急性心肌梗塞；</w:t>
      </w:r>
    </w:p>
    <w:p>
      <w:pPr>
        <w:pStyle w:val="BodyText"/>
        <w:spacing w:line="273" w:lineRule="auto" w:before="36"/>
        <w:ind w:left="3253" w:right="222" w:hanging="526"/>
      </w:pPr>
      <w:r>
        <w:rPr/>
        <w:t>（3）心肌酶或肌钙蛋白有诊断意义的升高，或呈符合急性心肌梗塞的动态性变化；</w:t>
      </w:r>
    </w:p>
    <w:p>
      <w:pPr>
        <w:pStyle w:val="BodyText"/>
        <w:spacing w:before="7"/>
        <w:ind w:left="2727"/>
      </w:pPr>
      <w:r>
        <w:rPr>
          <w:spacing w:val="-9"/>
        </w:rPr>
        <w:t>（4）</w:t>
      </w:r>
      <w:r>
        <w:rPr>
          <w:spacing w:val="-19"/>
        </w:rPr>
        <w:t>发病 </w:t>
      </w:r>
      <w:r>
        <w:rPr/>
        <w:t>90</w:t>
      </w:r>
      <w:r>
        <w:rPr>
          <w:spacing w:val="-12"/>
        </w:rPr>
        <w:t> 日后，经检查证实左心室功能降低，如左心室射血分数低于 </w:t>
      </w:r>
      <w:r>
        <w:rPr/>
        <w:t>50%。</w:t>
      </w:r>
    </w:p>
    <w:p>
      <w:pPr>
        <w:pStyle w:val="BodyText"/>
        <w:spacing w:before="1"/>
        <w:rPr>
          <w:sz w:val="24"/>
        </w:rPr>
      </w:pPr>
    </w:p>
    <w:p>
      <w:pPr>
        <w:pStyle w:val="BodyText"/>
        <w:spacing w:line="312" w:lineRule="exact"/>
        <w:ind w:left="2727" w:right="220" w:hanging="1987"/>
        <w:jc w:val="both"/>
      </w:pPr>
      <w:r>
        <w:rPr>
          <w:rFonts w:ascii="等线" w:eastAsia="等线" w:hint="eastAsia"/>
          <w:b/>
          <w:spacing w:val="0"/>
          <w:position w:val="-2"/>
          <w:sz w:val="24"/>
        </w:rPr>
        <w:t>脑中风后遗症     </w:t>
      </w:r>
      <w:r>
        <w:rPr>
          <w:spacing w:val="-2"/>
        </w:rPr>
        <w:t>指因脑血管的突发病变引起脑血管出血、栓塞或梗塞，并导致神经系统永久性</w:t>
      </w:r>
      <w:r>
        <w:rPr>
          <w:spacing w:val="-7"/>
        </w:rPr>
        <w:t>的功能障碍。神经系统永久性的功能障碍，指疾病确诊 </w:t>
      </w:r>
      <w:r>
        <w:rPr/>
        <w:t>180</w:t>
      </w:r>
      <w:r>
        <w:rPr>
          <w:spacing w:val="-8"/>
        </w:rPr>
        <w:t> 日后，仍遗留下列一种或一种以上障碍：</w:t>
      </w:r>
    </w:p>
    <w:p>
      <w:pPr>
        <w:spacing w:before="4"/>
        <w:ind w:left="2727"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7"/>
        <w:ind w:left="2727"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7"/>
        <w:ind w:left="3253" w:right="71"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spacing w:before="5"/>
        <w:rPr>
          <w:sz w:val="19"/>
        </w:rPr>
      </w:pPr>
    </w:p>
    <w:p>
      <w:pPr>
        <w:spacing w:after="0"/>
        <w:rPr>
          <w:sz w:val="19"/>
        </w:rPr>
        <w:sectPr>
          <w:pgSz w:w="11910" w:h="16840"/>
          <w:pgMar w:top="1360" w:bottom="280" w:left="920" w:right="920"/>
        </w:sectPr>
      </w:pPr>
    </w:p>
    <w:p>
      <w:pPr>
        <w:pStyle w:val="Heading2"/>
        <w:spacing w:line="235" w:lineRule="auto" w:before="41"/>
        <w:jc w:val="both"/>
      </w:pPr>
      <w:r>
        <w:rPr/>
        <w:t>重大器官移植术或造血干细胞移植术</w:t>
      </w:r>
    </w:p>
    <w:p>
      <w:pPr>
        <w:pStyle w:val="BodyText"/>
        <w:spacing w:line="273" w:lineRule="auto" w:before="36"/>
        <w:ind w:left="162" w:right="220"/>
        <w:jc w:val="both"/>
      </w:pPr>
      <w:r>
        <w:rPr/>
        <w:br w:type="column"/>
      </w:r>
      <w:r>
        <w:rPr>
          <w:spacing w:val="-4"/>
        </w:rPr>
        <w:t>重大器官移植术，指因相应器官功能衰竭，已经实施了肾脏、肝脏、心脏或肺脏的异体移植手术。</w:t>
      </w:r>
    </w:p>
    <w:p>
      <w:pPr>
        <w:pStyle w:val="BodyText"/>
        <w:spacing w:line="273" w:lineRule="auto" w:before="7"/>
        <w:ind w:left="162" w:right="220"/>
        <w:jc w:val="both"/>
      </w:pPr>
      <w:r>
        <w:rPr>
          <w:spacing w:val="-3"/>
        </w:rPr>
        <w:t>造血干细胞移植术，指因造血功能损害或造血系统恶性肿瘤，已经实施了造血</w:t>
      </w:r>
      <w:r>
        <w:rPr>
          <w:spacing w:val="-5"/>
        </w:rPr>
        <w:t>干细胞</w:t>
      </w:r>
      <w:r>
        <w:rPr/>
        <w:t>（</w:t>
      </w:r>
      <w:r>
        <w:rPr>
          <w:spacing w:val="-1"/>
        </w:rPr>
        <w:t>包括骨髓造血干细胞、外周血造血干细胞和脐血造血干细胞</w:t>
      </w:r>
      <w:r>
        <w:rPr>
          <w:spacing w:val="-9"/>
        </w:rPr>
        <w:t>）</w:t>
      </w:r>
      <w:r>
        <w:rPr/>
        <w:t>的异体移植手术。</w:t>
      </w:r>
    </w:p>
    <w:p>
      <w:pPr>
        <w:spacing w:after="0" w:line="273" w:lineRule="auto"/>
        <w:jc w:val="both"/>
        <w:sectPr>
          <w:type w:val="continuous"/>
          <w:pgSz w:w="11910" w:h="16840"/>
          <w:pgMar w:top="560" w:bottom="280" w:left="920" w:right="920"/>
          <w:cols w:num="2" w:equalWidth="0">
            <w:col w:w="2526" w:space="40"/>
            <w:col w:w="7504"/>
          </w:cols>
        </w:sectPr>
      </w:pPr>
    </w:p>
    <w:p>
      <w:pPr>
        <w:pStyle w:val="BodyText"/>
        <w:spacing w:before="6"/>
        <w:rPr>
          <w:sz w:val="19"/>
        </w:rPr>
      </w:pPr>
    </w:p>
    <w:p>
      <w:pPr>
        <w:spacing w:after="0"/>
        <w:rPr>
          <w:sz w:val="19"/>
        </w:rPr>
        <w:sectPr>
          <w:type w:val="continuous"/>
          <w:pgSz w:w="11910" w:h="16840"/>
          <w:pgMar w:top="560" w:bottom="280" w:left="920" w:right="920"/>
        </w:sectPr>
      </w:pPr>
    </w:p>
    <w:p>
      <w:pPr>
        <w:pStyle w:val="Heading2"/>
        <w:spacing w:line="324" w:lineRule="exact" w:before="34"/>
      </w:pPr>
      <w:r>
        <w:rPr/>
        <w:t>冠状动脉搭桥术</w:t>
      </w:r>
    </w:p>
    <w:p>
      <w:pPr>
        <w:spacing w:line="235" w:lineRule="auto" w:before="3"/>
        <w:ind w:left="740"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5"/>
        <w:ind w:left="162" w:right="213"/>
      </w:pPr>
      <w:r>
        <w:rPr/>
        <w:br w:type="column"/>
      </w:r>
      <w:r>
        <w:rPr/>
        <w:t>指为治疗严重的冠心病，实际实施了开胸进行的冠状动脉血管旁路移植的手术。</w:t>
      </w:r>
    </w:p>
    <w:p>
      <w:pPr>
        <w:pStyle w:val="BodyText"/>
        <w:spacing w:line="273" w:lineRule="auto" w:before="7"/>
        <w:ind w:left="162" w:right="17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920" w:right="920"/>
          <w:cols w:num="2" w:equalWidth="0">
            <w:col w:w="2526" w:space="40"/>
            <w:col w:w="750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444"/>
      </w:tblGrid>
      <w:tr>
        <w:trPr>
          <w:trHeight w:val="1072" w:hRule="atLeast"/>
        </w:trPr>
        <w:tc>
          <w:tcPr>
            <w:tcW w:w="2086" w:type="dxa"/>
          </w:tcPr>
          <w:p>
            <w:pPr>
              <w:pStyle w:val="TableParagraph"/>
              <w:spacing w:line="258" w:lineRule="exact"/>
              <w:ind w:left="200"/>
              <w:rPr>
                <w:rFonts w:ascii="等线" w:eastAsia="等线" w:hint="eastAsia"/>
                <w:b/>
                <w:sz w:val="24"/>
              </w:rPr>
            </w:pPr>
            <w:r>
              <w:rPr>
                <w:rFonts w:ascii="等线" w:eastAsia="等线" w:hint="eastAsia"/>
                <w:b/>
                <w:sz w:val="24"/>
              </w:rPr>
              <w:t>终末期肾病（或</w:t>
            </w:r>
          </w:p>
          <w:p>
            <w:pPr>
              <w:pStyle w:val="TableParagraph"/>
              <w:spacing w:line="235" w:lineRule="auto" w:before="3"/>
              <w:ind w:left="200" w:right="99"/>
              <w:rPr>
                <w:rFonts w:ascii="等线" w:eastAsia="等线" w:hint="eastAsia"/>
                <w:b/>
                <w:sz w:val="24"/>
              </w:rPr>
            </w:pPr>
            <w:r>
              <w:rPr>
                <w:rFonts w:ascii="等线" w:eastAsia="等线" w:hint="eastAsia"/>
                <w:b/>
                <w:sz w:val="24"/>
              </w:rPr>
              <w:t>称慢性肾功能衰竭尿毒症期）</w:t>
            </w:r>
          </w:p>
        </w:tc>
        <w:tc>
          <w:tcPr>
            <w:tcW w:w="7444" w:type="dxa"/>
          </w:tcPr>
          <w:p>
            <w:pPr>
              <w:pStyle w:val="TableParagraph"/>
              <w:spacing w:line="210" w:lineRule="exact"/>
              <w:rPr>
                <w:sz w:val="21"/>
              </w:rPr>
            </w:pPr>
            <w:r>
              <w:rPr>
                <w:sz w:val="21"/>
              </w:rPr>
              <w:t>指双肾功能慢性不可逆性衰竭，达到尿毒症期，经诊断后已经进行了至少 90</w:t>
            </w:r>
          </w:p>
          <w:p>
            <w:pPr>
              <w:pStyle w:val="TableParagraph"/>
              <w:spacing w:before="37"/>
              <w:rPr>
                <w:sz w:val="21"/>
              </w:rPr>
            </w:pPr>
            <w:r>
              <w:rPr>
                <w:sz w:val="21"/>
              </w:rPr>
              <w:t>日的规律性透析治疗或实施了肾脏移植手术。</w:t>
            </w:r>
          </w:p>
        </w:tc>
      </w:tr>
      <w:tr>
        <w:trPr>
          <w:trHeight w:val="885" w:hRule="atLeast"/>
        </w:trPr>
        <w:tc>
          <w:tcPr>
            <w:tcW w:w="208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44" w:type="dxa"/>
          </w:tcPr>
          <w:p>
            <w:pPr>
              <w:pStyle w:val="TableParagraph"/>
              <w:spacing w:line="273" w:lineRule="auto" w:before="106"/>
              <w:ind w:right="173"/>
              <w:rPr>
                <w:sz w:val="21"/>
              </w:rPr>
            </w:pPr>
            <w:r>
              <w:rPr>
                <w:sz w:val="21"/>
              </w:rPr>
              <w:t>指因疾病或意外伤害导致两个或两个以上肢体自腕关节或踝关节近端（靠近躯干端）以上完全性断离。</w:t>
            </w:r>
          </w:p>
        </w:tc>
      </w:tr>
      <w:tr>
        <w:trPr>
          <w:trHeight w:val="2154"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急性或亚急性重症肝炎</w:t>
            </w:r>
          </w:p>
        </w:tc>
        <w:tc>
          <w:tcPr>
            <w:tcW w:w="7444" w:type="dxa"/>
          </w:tcPr>
          <w:p>
            <w:pPr>
              <w:pStyle w:val="TableParagraph"/>
              <w:spacing w:line="273" w:lineRule="auto" w:before="127"/>
              <w:ind w:right="173"/>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ind w:left="100"/>
              <w:rPr>
                <w:sz w:val="21"/>
              </w:rPr>
            </w:pPr>
            <w:r>
              <w:rPr>
                <w:sz w:val="21"/>
              </w:rPr>
              <w:t>（4）肝功能指标进行性恶化。</w:t>
            </w:r>
          </w:p>
        </w:tc>
      </w:tr>
      <w:tr>
        <w:trPr>
          <w:trHeight w:val="2466"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44" w:type="dxa"/>
          </w:tcPr>
          <w:p>
            <w:pPr>
              <w:pStyle w:val="TableParagraph"/>
              <w:spacing w:line="273" w:lineRule="auto" w:before="127"/>
              <w:ind w:right="223"/>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8"/>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6"/>
              <w:jc w:val="both"/>
              <w:rPr>
                <w:sz w:val="21"/>
              </w:rPr>
            </w:pPr>
            <w:r>
              <w:rPr>
                <w:sz w:val="21"/>
                <w:shd w:fill="DADADA" w:color="auto" w:val="clear"/>
              </w:rPr>
              <w:t>脑垂体瘤、脑囊肿、脑血管性疾病不在保障范围内。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慢性肝功能衰竭失代偿期</w:t>
            </w:r>
          </w:p>
        </w:tc>
        <w:tc>
          <w:tcPr>
            <w:tcW w:w="7444" w:type="dxa"/>
          </w:tcPr>
          <w:p>
            <w:pPr>
              <w:pStyle w:val="TableParagraph"/>
              <w:spacing w:before="127"/>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219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脑炎后遗症或脑膜炎后遗症</w:t>
            </w:r>
          </w:p>
        </w:tc>
        <w:tc>
          <w:tcPr>
            <w:tcW w:w="7444" w:type="dxa"/>
          </w:tcPr>
          <w:p>
            <w:pPr>
              <w:pStyle w:val="TableParagraph"/>
              <w:spacing w:line="273" w:lineRule="auto" w:before="127"/>
              <w:ind w:right="17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273" w:lineRule="auto" w:before="37"/>
              <w:ind w:left="626" w:right="226" w:hanging="526"/>
              <w:rPr>
                <w:sz w:val="21"/>
              </w:rPr>
            </w:pPr>
            <w:r>
              <w:rPr>
                <w:sz w:val="21"/>
              </w:rPr>
              <w:t>（3）自主生活能力完全丧失，无法独立完成六项基本日常生活活动中的三项或三项以上。</w:t>
            </w:r>
          </w:p>
        </w:tc>
      </w:tr>
      <w:tr>
        <w:trPr>
          <w:trHeight w:val="1531"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44" w:type="dxa"/>
          </w:tcPr>
          <w:p>
            <w:pPr>
              <w:pStyle w:val="TableParagraph"/>
              <w:spacing w:line="273" w:lineRule="auto" w:before="127"/>
              <w:ind w:left="100" w:right="224"/>
              <w:jc w:val="both"/>
              <w:rPr>
                <w:sz w:val="21"/>
              </w:rPr>
            </w:pPr>
            <w:r>
              <w:rPr>
                <w:spacing w:val="-2"/>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1338"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444" w:type="dxa"/>
          </w:tcPr>
          <w:p>
            <w:pPr>
              <w:pStyle w:val="TableParagraph"/>
              <w:spacing w:before="127"/>
              <w:rPr>
                <w:sz w:val="21"/>
              </w:rPr>
            </w:pPr>
            <w:r>
              <w:rPr>
                <w:w w:val="95"/>
                <w:sz w:val="21"/>
              </w:rPr>
              <w:t>指因疾病或意外伤害导致双耳听力</w:t>
            </w:r>
            <w:r>
              <w:rPr>
                <w:rFonts w:ascii="黑体" w:eastAsia="黑体" w:hint="eastAsia"/>
                <w:b/>
                <w:w w:val="95"/>
                <w:sz w:val="21"/>
              </w:rPr>
              <w:t>永久不可逆</w:t>
            </w:r>
            <w:r>
              <w:rPr>
                <w:w w:val="95"/>
                <w:sz w:val="21"/>
              </w:rPr>
              <w:t>（见8.8）性丧失，在500赫兹、</w:t>
            </w:r>
          </w:p>
          <w:p>
            <w:pPr>
              <w:pStyle w:val="TableParagraph"/>
              <w:spacing w:line="273" w:lineRule="auto" w:before="36"/>
              <w:ind w:right="202"/>
              <w:rPr>
                <w:sz w:val="21"/>
              </w:rPr>
            </w:pPr>
            <w:r>
              <w:rPr>
                <w:sz w:val="21"/>
              </w:rPr>
              <w:t>1000赫兹和2000赫兹语音频率下，平均听阈大于90分贝，且经纯音听力测试、声导抗检测或听觉诱发电位检测等证实。</w:t>
            </w:r>
          </w:p>
          <w:p>
            <w:pPr>
              <w:pStyle w:val="TableParagraph"/>
              <w:spacing w:line="255" w:lineRule="exact" w:before="7"/>
              <w:rPr>
                <w:sz w:val="21"/>
              </w:rPr>
            </w:pPr>
            <w:r>
              <w:rPr>
                <w:sz w:val="21"/>
                <w:shd w:fill="DADADA" w:color="auto" w:val="clear"/>
              </w:rPr>
              <w:t>在0至3周岁保单周年日期间，被保险人双耳失聪不在保障范围内。</w:t>
            </w:r>
          </w:p>
        </w:tc>
      </w:tr>
    </w:tbl>
    <w:p>
      <w:pPr>
        <w:spacing w:after="0" w:line="255" w:lineRule="exact"/>
        <w:rPr>
          <w:sz w:val="21"/>
        </w:rPr>
        <w:sectPr>
          <w:pgSz w:w="11910" w:h="16840"/>
          <w:pgMar w:top="1160" w:bottom="280" w:left="136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523"/>
      </w:tblGrid>
      <w:tr>
        <w:trPr>
          <w:trHeight w:val="1962" w:hRule="atLeast"/>
        </w:trPr>
        <w:tc>
          <w:tcPr>
            <w:tcW w:w="2086" w:type="dxa"/>
          </w:tcPr>
          <w:p>
            <w:pPr>
              <w:pStyle w:val="TableParagraph"/>
              <w:spacing w:line="261" w:lineRule="exact"/>
              <w:ind w:left="200"/>
              <w:rPr>
                <w:rFonts w:ascii="等线" w:eastAsia="等线" w:hint="eastAsia"/>
                <w:b/>
                <w:sz w:val="24"/>
              </w:rPr>
            </w:pPr>
            <w:r>
              <w:rPr>
                <w:rFonts w:ascii="等线" w:eastAsia="等线" w:hint="eastAsia"/>
                <w:b/>
                <w:sz w:val="24"/>
              </w:rPr>
              <w:t>双目失明</w:t>
            </w:r>
          </w:p>
        </w:tc>
        <w:tc>
          <w:tcPr>
            <w:tcW w:w="7523" w:type="dxa"/>
          </w:tcPr>
          <w:p>
            <w:pPr>
              <w:pStyle w:val="TableParagraph"/>
              <w:spacing w:line="210" w:lineRule="exact"/>
              <w:rPr>
                <w:sz w:val="21"/>
              </w:rPr>
            </w:pPr>
            <w:r>
              <w:rPr>
                <w:sz w:val="21"/>
              </w:rPr>
              <w:t>指因疾病或意外伤害导致双眼视力永久不可逆性丧失，双眼中较好眼须满足下</w:t>
            </w:r>
          </w:p>
          <w:p>
            <w:pPr>
              <w:pStyle w:val="TableParagraph"/>
              <w:spacing w:before="37"/>
              <w:rPr>
                <w:sz w:val="21"/>
              </w:rPr>
            </w:pPr>
            <w:r>
              <w:rPr>
                <w:sz w:val="21"/>
              </w:rPr>
              <w:t>列至少一项条件：</w:t>
            </w:r>
          </w:p>
          <w:p>
            <w:pPr>
              <w:pStyle w:val="TableParagraph"/>
              <w:spacing w:before="37"/>
              <w:rPr>
                <w:sz w:val="21"/>
              </w:rPr>
            </w:pPr>
            <w:r>
              <w:rPr>
                <w:sz w:val="21"/>
              </w:rPr>
              <w:t>（1）眼球缺失或摘除；</w:t>
            </w:r>
          </w:p>
          <w:p>
            <w:pPr>
              <w:pStyle w:val="TableParagraph"/>
              <w:spacing w:line="273" w:lineRule="auto" w:before="37"/>
              <w:ind w:left="626" w:right="306"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121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523" w:type="dxa"/>
          </w:tcPr>
          <w:p>
            <w:pPr>
              <w:pStyle w:val="TableParagraph"/>
              <w:spacing w:line="273" w:lineRule="auto" w:before="127"/>
              <w:ind w:left="100" w:right="303"/>
              <w:jc w:val="both"/>
              <w:rPr>
                <w:sz w:val="21"/>
              </w:rPr>
            </w:pPr>
            <w:r>
              <w:rPr>
                <w:spacing w:val="-1"/>
                <w:sz w:val="21"/>
              </w:rPr>
              <w:t>指因疾病或意外伤害导致两肢或两肢以上肢体机能永久完全丧失。肢体机能永</w:t>
            </w:r>
            <w:r>
              <w:rPr>
                <w:spacing w:val="-8"/>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62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523" w:type="dxa"/>
          </w:tcPr>
          <w:p>
            <w:pPr>
              <w:pStyle w:val="TableParagraph"/>
              <w:spacing w:before="127"/>
              <w:rPr>
                <w:sz w:val="21"/>
              </w:rPr>
            </w:pPr>
            <w:r>
              <w:rPr>
                <w:sz w:val="21"/>
              </w:rPr>
              <w:t>指为治疗心脏瓣膜疾病，实际实施了开胸进行的心脏瓣膜置换或修复的手术。</w:t>
            </w:r>
          </w:p>
        </w:tc>
      </w:tr>
      <w:tr>
        <w:trPr>
          <w:trHeight w:val="2132" w:hRule="atLeast"/>
        </w:trPr>
        <w:tc>
          <w:tcPr>
            <w:tcW w:w="2086" w:type="dxa"/>
          </w:tcPr>
          <w:p>
            <w:pPr>
              <w:pStyle w:val="TableParagraph"/>
              <w:spacing w:line="235" w:lineRule="auto" w:before="110"/>
              <w:ind w:left="200" w:right="99"/>
              <w:rPr>
                <w:rFonts w:ascii="等线" w:eastAsia="等线" w:hint="eastAsia"/>
                <w:b/>
                <w:sz w:val="24"/>
              </w:rPr>
            </w:pPr>
            <w:r>
              <w:rPr>
                <w:rFonts w:ascii="等线" w:eastAsia="等线" w:hint="eastAsia"/>
                <w:b/>
                <w:sz w:val="24"/>
              </w:rPr>
              <w:t>严重阿尔茨海默病</w:t>
            </w:r>
          </w:p>
        </w:tc>
        <w:tc>
          <w:tcPr>
            <w:tcW w:w="7523" w:type="dxa"/>
          </w:tcPr>
          <w:p>
            <w:pPr>
              <w:pStyle w:val="TableParagraph"/>
              <w:spacing w:line="273" w:lineRule="auto" w:before="105"/>
              <w:ind w:right="199"/>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7"/>
              <w:rPr>
                <w:sz w:val="21"/>
              </w:rPr>
            </w:pPr>
            <w:r>
              <w:rPr>
                <w:sz w:val="21"/>
                <w:shd w:fill="DADADA" w:color="auto" w:val="clear"/>
              </w:rPr>
              <w:t>神经官能症和精神疾病不在保障范围内。</w:t>
            </w:r>
          </w:p>
        </w:tc>
      </w:tr>
      <w:tr>
        <w:trPr>
          <w:trHeight w:val="277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523" w:type="dxa"/>
          </w:tcPr>
          <w:p>
            <w:pPr>
              <w:pStyle w:val="TableParagraph"/>
              <w:spacing w:line="273" w:lineRule="auto" w:before="127"/>
              <w:ind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71" w:lineRule="auto" w:before="7"/>
              <w:ind w:right="198" w:hanging="1"/>
              <w:rPr>
                <w:sz w:val="21"/>
              </w:rPr>
            </w:pPr>
            <w:r>
              <w:rPr>
                <w:sz w:val="21"/>
              </w:rPr>
              <w:t>（PET）</w:t>
            </w:r>
            <w:r>
              <w:rPr>
                <w:spacing w:val="-5"/>
                <w:sz w:val="21"/>
              </w:rPr>
              <w:t>等影像学检查证实。神经系统永久性的功能障碍，指脑损伤 </w:t>
            </w:r>
            <w:r>
              <w:rPr>
                <w:sz w:val="21"/>
              </w:rPr>
              <w:t>180</w:t>
            </w:r>
            <w:r>
              <w:rPr>
                <w:spacing w:val="-15"/>
                <w:sz w:val="21"/>
              </w:rPr>
              <w:t> 日后， 仍遗留下列一种或一种以上障碍：</w:t>
            </w:r>
          </w:p>
          <w:p>
            <w:pPr>
              <w:pStyle w:val="TableParagraph"/>
              <w:spacing w:before="1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1" w:lineRule="auto" w:before="37"/>
              <w:ind w:left="626" w:right="305" w:hanging="526"/>
              <w:rPr>
                <w:sz w:val="21"/>
              </w:rPr>
            </w:pPr>
            <w:r>
              <w:rPr>
                <w:sz w:val="21"/>
              </w:rPr>
              <w:t>（3）自主生活能力完全丧失，无法独立完成六项基本日常生活活动中的三项或三项以上。</w:t>
            </w:r>
          </w:p>
        </w:tc>
      </w:tr>
      <w:tr>
        <w:trPr>
          <w:trHeight w:val="2155"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523" w:type="dxa"/>
          </w:tcPr>
          <w:p>
            <w:pPr>
              <w:pStyle w:val="TableParagraph"/>
              <w:spacing w:line="273" w:lineRule="auto" w:before="127"/>
              <w:ind w:right="253"/>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left="626" w:right="305"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06" w:hRule="atLeast"/>
        </w:trPr>
        <w:tc>
          <w:tcPr>
            <w:tcW w:w="2086"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523" w:type="dxa"/>
          </w:tcPr>
          <w:p>
            <w:pPr>
              <w:pStyle w:val="TableParagraph"/>
              <w:spacing w:line="273" w:lineRule="auto" w:before="127"/>
              <w:ind w:right="252"/>
              <w:rPr>
                <w:sz w:val="21"/>
              </w:rPr>
            </w:pPr>
            <w:r>
              <w:rPr>
                <w:sz w:val="21"/>
              </w:rPr>
              <w:t>指烧伤程度为Ⅲ度，且Ⅲ度烧伤的面积达到全身体表面积的 20%或 20%以上。体表面积根据《中国新九分法》计算。</w:t>
            </w:r>
          </w:p>
        </w:tc>
      </w:tr>
      <w:tr>
        <w:trPr>
          <w:trHeight w:val="1218" w:hRule="atLeast"/>
        </w:trPr>
        <w:tc>
          <w:tcPr>
            <w:tcW w:w="2086" w:type="dxa"/>
          </w:tcPr>
          <w:p>
            <w:pPr>
              <w:pStyle w:val="TableParagraph"/>
              <w:spacing w:line="235" w:lineRule="auto" w:before="132"/>
              <w:ind w:left="200" w:right="99"/>
              <w:rPr>
                <w:rFonts w:ascii="等线" w:eastAsia="等线" w:hint="eastAsia"/>
                <w:b/>
                <w:sz w:val="24"/>
              </w:rPr>
            </w:pPr>
            <w:r>
              <w:rPr>
                <w:rFonts w:ascii="等线" w:eastAsia="等线" w:hint="eastAsia"/>
                <w:b/>
                <w:sz w:val="24"/>
              </w:rPr>
              <w:t>严重原发性肺动脉高压</w:t>
            </w:r>
          </w:p>
        </w:tc>
        <w:tc>
          <w:tcPr>
            <w:tcW w:w="7523" w:type="dxa"/>
          </w:tcPr>
          <w:p>
            <w:pPr>
              <w:pStyle w:val="TableParagraph"/>
              <w:spacing w:line="273" w:lineRule="auto" w:before="127"/>
              <w:ind w:right="303"/>
              <w:jc w:val="both"/>
              <w:rPr>
                <w:sz w:val="21"/>
              </w:rPr>
            </w:pPr>
            <w:r>
              <w:rPr>
                <w:spacing w:val="-2"/>
                <w:sz w:val="21"/>
              </w:rPr>
              <w:t>指不明原因的肺动脉压力持续性增高，进行性发展而导致的慢性疾病，已经造</w:t>
            </w:r>
            <w:r>
              <w:rPr>
                <w:spacing w:val="-4"/>
                <w:sz w:val="21"/>
              </w:rPr>
              <w:t>成永久不可逆性的体力活动能力受限，达到美国纽约心脏病学会心功能状态分</w:t>
            </w:r>
            <w:r>
              <w:rPr>
                <w:spacing w:val="-30"/>
                <w:sz w:val="21"/>
              </w:rPr>
              <w:t>级 </w:t>
            </w:r>
            <w:r>
              <w:rPr>
                <w:sz w:val="21"/>
              </w:rPr>
              <w:t>IV</w:t>
            </w:r>
            <w:r>
              <w:rPr>
                <w:spacing w:val="-11"/>
                <w:sz w:val="21"/>
              </w:rPr>
              <w:t> 级，且静息状态下肺动脉平均压超过 </w:t>
            </w:r>
            <w:r>
              <w:rPr>
                <w:sz w:val="21"/>
              </w:rPr>
              <w:t>30mmHg。</w:t>
            </w:r>
          </w:p>
        </w:tc>
      </w:tr>
      <w:tr>
        <w:trPr>
          <w:trHeight w:val="1338"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严重运动神经元病</w:t>
            </w:r>
          </w:p>
        </w:tc>
        <w:tc>
          <w:tcPr>
            <w:tcW w:w="7523" w:type="dxa"/>
          </w:tcPr>
          <w:p>
            <w:pPr>
              <w:pStyle w:val="TableParagraph"/>
              <w:spacing w:line="310" w:lineRule="atLeast" w:before="92"/>
              <w:ind w:right="279"/>
              <w:jc w:val="both"/>
              <w:rPr>
                <w:sz w:val="21"/>
              </w:rPr>
            </w:pPr>
            <w:r>
              <w:rPr>
                <w:sz w:val="21"/>
              </w:rPr>
              <w:t>是一组中枢神经系统运动神经元的进行性变性疾病，包括进行性脊肌萎缩症、</w:t>
            </w: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bl>
    <w:p>
      <w:pPr>
        <w:spacing w:after="0" w:line="310" w:lineRule="atLeast"/>
        <w:jc w:val="both"/>
        <w:rPr>
          <w:sz w:val="21"/>
        </w:rPr>
        <w:sectPr>
          <w:pgSz w:w="11910" w:h="16840"/>
          <w:pgMar w:top="116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7416"/>
      </w:tblGrid>
      <w:tr>
        <w:trPr>
          <w:trHeight w:val="1398" w:hRule="atLeast"/>
        </w:trPr>
        <w:tc>
          <w:tcPr>
            <w:tcW w:w="2111" w:type="dxa"/>
          </w:tcPr>
          <w:p>
            <w:pPr>
              <w:pStyle w:val="TableParagraph"/>
              <w:spacing w:line="261" w:lineRule="exact"/>
              <w:ind w:left="200"/>
              <w:rPr>
                <w:rFonts w:ascii="等线" w:eastAsia="等线" w:hint="eastAsia"/>
                <w:b/>
                <w:sz w:val="24"/>
              </w:rPr>
            </w:pPr>
            <w:r>
              <w:rPr>
                <w:rFonts w:ascii="等线" w:eastAsia="等线" w:hint="eastAsia"/>
                <w:b/>
                <w:sz w:val="24"/>
              </w:rPr>
              <w:t>语言能力丧失</w:t>
            </w:r>
          </w:p>
        </w:tc>
        <w:tc>
          <w:tcPr>
            <w:tcW w:w="7416" w:type="dxa"/>
          </w:tcPr>
          <w:p>
            <w:pPr>
              <w:pStyle w:val="TableParagraph"/>
              <w:spacing w:line="210" w:lineRule="exact"/>
              <w:ind w:left="76"/>
              <w:rPr>
                <w:sz w:val="21"/>
              </w:rPr>
            </w:pPr>
            <w:r>
              <w:rPr>
                <w:sz w:val="21"/>
              </w:rPr>
              <w:t>指因疾病或意外伤害导致完全丧失语言能力，经过积极治疗至少 12 个月（声</w:t>
            </w:r>
          </w:p>
          <w:p>
            <w:pPr>
              <w:pStyle w:val="TableParagraph"/>
              <w:spacing w:line="273" w:lineRule="auto" w:before="37"/>
              <w:ind w:left="76" w:right="1563"/>
              <w:rPr>
                <w:sz w:val="21"/>
              </w:rPr>
            </w:pPr>
            <w:r>
              <w:rPr>
                <w:sz w:val="21"/>
              </w:rPr>
              <w:t>带完全切除不受此时间限制</w:t>
            </w:r>
            <w:r>
              <w:rPr>
                <w:spacing w:val="-105"/>
                <w:sz w:val="21"/>
              </w:rPr>
              <w:t>）</w:t>
            </w:r>
            <w:r>
              <w:rPr>
                <w:spacing w:val="-1"/>
                <w:sz w:val="21"/>
              </w:rPr>
              <w:t>，仍无法通过现有医疗手段恢复。</w:t>
            </w:r>
            <w:r>
              <w:rPr>
                <w:spacing w:val="-1"/>
                <w:sz w:val="21"/>
                <w:shd w:fill="DADADA" w:color="auto" w:val="clear"/>
              </w:rPr>
              <w:t>精神心理因素所致的语言能力丧失不在保障范围内。</w:t>
            </w:r>
          </w:p>
          <w:p>
            <w:pPr>
              <w:pStyle w:val="TableParagraph"/>
              <w:spacing w:before="7"/>
              <w:ind w:left="76"/>
              <w:rPr>
                <w:sz w:val="21"/>
              </w:rPr>
            </w:pPr>
            <w:r>
              <w:rPr>
                <w:sz w:val="21"/>
                <w:shd w:fill="DADADA" w:color="auto" w:val="clear"/>
              </w:rPr>
              <w:t>在 0 至 3 周岁保单周年日期间，被保险人语言能力丧失不在保障范围内。</w:t>
            </w:r>
          </w:p>
        </w:tc>
      </w:tr>
      <w:tr>
        <w:trPr>
          <w:trHeight w:val="2526" w:hRule="atLeast"/>
        </w:trPr>
        <w:tc>
          <w:tcPr>
            <w:tcW w:w="2111" w:type="dxa"/>
          </w:tcPr>
          <w:p>
            <w:pPr>
              <w:pStyle w:val="TableParagraph"/>
              <w:spacing w:line="235" w:lineRule="auto" w:before="193"/>
              <w:ind w:left="200" w:right="124"/>
              <w:rPr>
                <w:rFonts w:ascii="等线" w:eastAsia="等线" w:hint="eastAsia"/>
                <w:b/>
                <w:sz w:val="24"/>
              </w:rPr>
            </w:pPr>
            <w:r>
              <w:rPr>
                <w:rFonts w:ascii="等线" w:eastAsia="等线" w:hint="eastAsia"/>
                <w:b/>
                <w:sz w:val="24"/>
              </w:rPr>
              <w:t>重型再生障碍性贫血</w:t>
            </w:r>
          </w:p>
        </w:tc>
        <w:tc>
          <w:tcPr>
            <w:tcW w:w="7416" w:type="dxa"/>
          </w:tcPr>
          <w:p>
            <w:pPr>
              <w:pStyle w:val="TableParagraph"/>
              <w:spacing w:before="4"/>
              <w:ind w:left="0"/>
              <w:rPr>
                <w:sz w:val="14"/>
              </w:rPr>
            </w:pPr>
          </w:p>
          <w:p>
            <w:pPr>
              <w:pStyle w:val="TableParagraph"/>
              <w:spacing w:line="273" w:lineRule="auto"/>
              <w:ind w:left="76" w:right="215"/>
              <w:rPr>
                <w:sz w:val="21"/>
              </w:rPr>
            </w:pPr>
            <w:r>
              <w:rPr>
                <w:sz w:val="21"/>
              </w:rPr>
              <w:t>指因骨髓造血功能慢性持续性衰竭导致的贫血、中性粒细胞减少及血小板减少。须满足下列全部条件：</w:t>
            </w:r>
          </w:p>
          <w:p>
            <w:pPr>
              <w:pStyle w:val="TableParagraph"/>
              <w:spacing w:before="7"/>
              <w:ind w:left="76"/>
              <w:rPr>
                <w:sz w:val="21"/>
              </w:rPr>
            </w:pPr>
            <w:r>
              <w:rPr>
                <w:sz w:val="21"/>
              </w:rPr>
              <w:t>（1）骨髓穿刺检查或骨髓活检结果支持诊断；</w:t>
            </w:r>
          </w:p>
          <w:p>
            <w:pPr>
              <w:pStyle w:val="TableParagraph"/>
              <w:spacing w:before="37"/>
              <w:ind w:left="76"/>
              <w:rPr>
                <w:sz w:val="21"/>
              </w:rPr>
            </w:pPr>
            <w:r>
              <w:rPr>
                <w:sz w:val="21"/>
              </w:rPr>
              <w:t>（2）外周血象须具备以下三项条件：</w:t>
            </w:r>
          </w:p>
          <w:p>
            <w:pPr>
              <w:pStyle w:val="TableParagraph"/>
              <w:tabs>
                <w:tab w:pos="600" w:val="left" w:leader="none"/>
              </w:tabs>
              <w:spacing w:before="37"/>
              <w:ind w:left="179"/>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00" w:val="left" w:leader="none"/>
              </w:tabs>
              <w:spacing w:before="36"/>
              <w:ind w:left="179"/>
              <w:rPr>
                <w:sz w:val="21"/>
              </w:rPr>
            </w:pPr>
            <w:r>
              <w:rPr>
                <w:sz w:val="21"/>
              </w:rPr>
              <w:t>②</w:t>
              <w:tab/>
            </w:r>
            <w:r>
              <w:rPr>
                <w:spacing w:val="-1"/>
                <w:sz w:val="21"/>
              </w:rPr>
              <w:t>网织红细胞</w:t>
            </w:r>
            <w:r>
              <w:rPr>
                <w:sz w:val="21"/>
              </w:rPr>
              <w:t>＜1%；</w:t>
            </w:r>
          </w:p>
          <w:p>
            <w:pPr>
              <w:pStyle w:val="TableParagraph"/>
              <w:tabs>
                <w:tab w:pos="600" w:val="left" w:leader="none"/>
              </w:tabs>
              <w:spacing w:before="36"/>
              <w:ind w:left="179"/>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530" w:hRule="atLeast"/>
        </w:trPr>
        <w:tc>
          <w:tcPr>
            <w:tcW w:w="2111"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16" w:type="dxa"/>
          </w:tcPr>
          <w:p>
            <w:pPr>
              <w:pStyle w:val="TableParagraph"/>
              <w:spacing w:line="273" w:lineRule="auto" w:before="127"/>
              <w:ind w:left="76" w:right="221"/>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76"/>
              <w:jc w:val="both"/>
              <w:rPr>
                <w:sz w:val="21"/>
              </w:rPr>
            </w:pPr>
            <w:r>
              <w:rPr>
                <w:sz w:val="21"/>
                <w:shd w:fill="DADADA" w:color="auto" w:val="clear"/>
              </w:rPr>
              <w:t>动脉内血管成形术不在保障范围内。</w:t>
            </w:r>
          </w:p>
        </w:tc>
      </w:tr>
      <w:tr>
        <w:trPr>
          <w:trHeight w:val="907" w:hRule="atLeast"/>
        </w:trPr>
        <w:tc>
          <w:tcPr>
            <w:tcW w:w="2111" w:type="dxa"/>
          </w:tcPr>
          <w:p>
            <w:pPr>
              <w:pStyle w:val="TableParagraph"/>
              <w:ind w:left="0"/>
              <w:rPr>
                <w:rFonts w:ascii="Times New Roman"/>
                <w:sz w:val="20"/>
              </w:rPr>
            </w:pPr>
          </w:p>
        </w:tc>
        <w:tc>
          <w:tcPr>
            <w:tcW w:w="7416" w:type="dxa"/>
          </w:tcPr>
          <w:p>
            <w:pPr>
              <w:pStyle w:val="TableParagraph"/>
              <w:spacing w:line="273" w:lineRule="auto" w:before="128"/>
              <w:ind w:left="76" w:right="215"/>
              <w:rPr>
                <w:sz w:val="21"/>
              </w:rPr>
            </w:pPr>
            <w:r>
              <w:rPr>
                <w:sz w:val="21"/>
              </w:rPr>
              <w:t>以下重大疾病是本公司在中国保险行业协会与中国医师协会制定了规范定义的疾病范围之外增加的疾病。</w:t>
            </w:r>
          </w:p>
        </w:tc>
      </w:tr>
      <w:tr>
        <w:trPr>
          <w:trHeight w:val="2467" w:hRule="atLeast"/>
        </w:trPr>
        <w:tc>
          <w:tcPr>
            <w:tcW w:w="2111" w:type="dxa"/>
          </w:tcPr>
          <w:p>
            <w:pPr>
              <w:pStyle w:val="TableParagraph"/>
              <w:spacing w:line="235" w:lineRule="auto" w:before="133"/>
              <w:ind w:left="200" w:right="124"/>
              <w:rPr>
                <w:rFonts w:ascii="等线" w:eastAsia="等线" w:hint="eastAsia"/>
                <w:b/>
                <w:sz w:val="24"/>
              </w:rPr>
            </w:pPr>
            <w:r>
              <w:rPr>
                <w:rFonts w:ascii="等线" w:eastAsia="等线" w:hint="eastAsia"/>
                <w:b/>
                <w:sz w:val="24"/>
              </w:rPr>
              <w:t>严重的多发性硬化</w:t>
            </w:r>
          </w:p>
        </w:tc>
        <w:tc>
          <w:tcPr>
            <w:tcW w:w="7416" w:type="dxa"/>
          </w:tcPr>
          <w:p>
            <w:pPr>
              <w:pStyle w:val="TableParagraph"/>
              <w:spacing w:line="273" w:lineRule="auto" w:before="127"/>
              <w:ind w:left="76" w:right="221"/>
              <w:jc w:val="both"/>
              <w:rPr>
                <w:sz w:val="21"/>
              </w:rPr>
            </w:pPr>
            <w:r>
              <w:rPr>
                <w:spacing w:val="-1"/>
                <w:sz w:val="21"/>
              </w:rPr>
              <w:t>指因中枢神经系统脱髓鞘而导致的不可逆的身体部位的功能障碍，需由神经科</w:t>
            </w:r>
            <w:r>
              <w:rPr>
                <w:spacing w:val="-2"/>
                <w:sz w:val="21"/>
              </w:rPr>
              <w:t>专科医生提供明确诊断，并有 </w:t>
            </w:r>
            <w:r>
              <w:rPr>
                <w:sz w:val="21"/>
              </w:rPr>
              <w:t>CT</w:t>
            </w:r>
            <w:r>
              <w:rPr>
                <w:spacing w:val="-3"/>
                <w:sz w:val="21"/>
              </w:rPr>
              <w:t> 或核磁共振检查结果诊断报告。不可逆的身</w:t>
            </w:r>
            <w:r>
              <w:rPr>
                <w:spacing w:val="-6"/>
                <w:sz w:val="21"/>
              </w:rPr>
              <w:t>体部位功能障碍指诊断为功能障碍后需已经持续 </w:t>
            </w:r>
            <w:r>
              <w:rPr>
                <w:sz w:val="21"/>
              </w:rPr>
              <w:t>180</w:t>
            </w:r>
            <w:r>
              <w:rPr>
                <w:spacing w:val="-12"/>
                <w:sz w:val="21"/>
              </w:rPr>
              <w:t> 日以上。</w:t>
            </w:r>
          </w:p>
          <w:p>
            <w:pPr>
              <w:pStyle w:val="TableParagraph"/>
              <w:spacing w:before="7"/>
              <w:ind w:left="75"/>
              <w:jc w:val="both"/>
              <w:rPr>
                <w:sz w:val="21"/>
              </w:rPr>
            </w:pPr>
            <w:r>
              <w:rPr>
                <w:sz w:val="21"/>
              </w:rPr>
              <w:t>由神经科专科医生提供的明确诊断必须同时包含下列内容：</w:t>
            </w:r>
          </w:p>
          <w:p>
            <w:pPr>
              <w:pStyle w:val="TableParagraph"/>
              <w:spacing w:before="37"/>
              <w:ind w:left="75"/>
              <w:jc w:val="both"/>
              <w:rPr>
                <w:sz w:val="21"/>
              </w:rPr>
            </w:pPr>
            <w:r>
              <w:rPr>
                <w:sz w:val="21"/>
              </w:rPr>
              <w:t>（1）明确出现因视神经、脑干和脊髓损伤而导致的临床表现；</w:t>
            </w:r>
          </w:p>
          <w:p>
            <w:pPr>
              <w:pStyle w:val="TableParagraph"/>
              <w:spacing w:before="37"/>
              <w:ind w:left="75"/>
              <w:jc w:val="both"/>
              <w:rPr>
                <w:sz w:val="21"/>
              </w:rPr>
            </w:pPr>
            <w:r>
              <w:rPr>
                <w:sz w:val="21"/>
              </w:rPr>
              <w:t>（2）神经系统散在的多部位病变；</w:t>
            </w:r>
          </w:p>
          <w:p>
            <w:pPr>
              <w:pStyle w:val="TableParagraph"/>
              <w:spacing w:before="37"/>
              <w:ind w:left="75"/>
              <w:jc w:val="both"/>
              <w:rPr>
                <w:sz w:val="21"/>
              </w:rPr>
            </w:pPr>
            <w:r>
              <w:rPr>
                <w:sz w:val="21"/>
              </w:rPr>
              <w:t>（3）有明确的上述症状及神经损伤反复恶化、减轻的病史纪录。</w:t>
            </w:r>
          </w:p>
        </w:tc>
      </w:tr>
      <w:tr>
        <w:trPr>
          <w:trHeight w:val="2467" w:hRule="atLeast"/>
        </w:trPr>
        <w:tc>
          <w:tcPr>
            <w:tcW w:w="2111" w:type="dxa"/>
          </w:tcPr>
          <w:p>
            <w:pPr>
              <w:pStyle w:val="TableParagraph"/>
              <w:spacing w:line="235" w:lineRule="auto" w:before="133"/>
              <w:ind w:left="200" w:right="137"/>
              <w:rPr>
                <w:rFonts w:ascii="等线" w:eastAsia="等线" w:hint="eastAsia"/>
                <w:b/>
                <w:sz w:val="24"/>
              </w:rPr>
            </w:pPr>
            <w:r>
              <w:rPr>
                <w:rFonts w:ascii="等线" w:eastAsia="等线" w:hint="eastAsia"/>
                <w:b/>
                <w:sz w:val="24"/>
              </w:rPr>
              <w:t>严重的 1 型糖尿病</w:t>
            </w:r>
          </w:p>
        </w:tc>
        <w:tc>
          <w:tcPr>
            <w:tcW w:w="7416" w:type="dxa"/>
          </w:tcPr>
          <w:p>
            <w:pPr>
              <w:pStyle w:val="TableParagraph"/>
              <w:spacing w:line="273" w:lineRule="auto" w:before="127"/>
              <w:ind w:left="75" w:right="221"/>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r>
              <w:rPr>
                <w:spacing w:val="-13"/>
                <w:sz w:val="21"/>
              </w:rPr>
              <w:t>同有效期内，满足下述至少 </w:t>
            </w:r>
            <w:r>
              <w:rPr>
                <w:sz w:val="21"/>
              </w:rPr>
              <w:t>1</w:t>
            </w:r>
            <w:r>
              <w:rPr>
                <w:spacing w:val="-12"/>
                <w:sz w:val="21"/>
              </w:rPr>
              <w:t> 个条件：</w:t>
            </w:r>
          </w:p>
          <w:p>
            <w:pPr>
              <w:pStyle w:val="TableParagraph"/>
              <w:spacing w:before="7"/>
              <w:ind w:left="75"/>
              <w:jc w:val="both"/>
              <w:rPr>
                <w:sz w:val="21"/>
              </w:rPr>
            </w:pPr>
            <w:r>
              <w:rPr>
                <w:sz w:val="21"/>
              </w:rPr>
              <w:t>（1）已出现增殖性视网膜病变；</w:t>
            </w:r>
          </w:p>
          <w:p>
            <w:pPr>
              <w:pStyle w:val="TableParagraph"/>
              <w:spacing w:before="37"/>
              <w:ind w:left="75"/>
              <w:jc w:val="both"/>
              <w:rPr>
                <w:sz w:val="21"/>
              </w:rPr>
            </w:pPr>
            <w:r>
              <w:rPr>
                <w:sz w:val="21"/>
              </w:rPr>
              <w:t>（2）须植入心脏起搏器治疗心脏病；</w:t>
            </w:r>
          </w:p>
          <w:p>
            <w:pPr>
              <w:pStyle w:val="TableParagraph"/>
              <w:spacing w:before="37"/>
              <w:ind w:left="75"/>
              <w:jc w:val="both"/>
              <w:rPr>
                <w:sz w:val="21"/>
              </w:rPr>
            </w:pPr>
            <w:r>
              <w:rPr>
                <w:sz w:val="21"/>
              </w:rPr>
              <w:t>（3）因坏疽需切除至少一个脚趾。</w:t>
            </w:r>
          </w:p>
        </w:tc>
      </w:tr>
      <w:tr>
        <w:trPr>
          <w:trHeight w:val="1264" w:hRule="atLeast"/>
        </w:trPr>
        <w:tc>
          <w:tcPr>
            <w:tcW w:w="2111" w:type="dxa"/>
          </w:tcPr>
          <w:p>
            <w:pPr>
              <w:pStyle w:val="TableParagraph"/>
              <w:spacing w:line="323" w:lineRule="exact" w:before="126"/>
              <w:ind w:left="200"/>
              <w:rPr>
                <w:rFonts w:ascii="等线" w:eastAsia="等线" w:hint="eastAsia"/>
                <w:b/>
                <w:sz w:val="24"/>
              </w:rPr>
            </w:pPr>
            <w:r>
              <w:rPr>
                <w:rFonts w:ascii="等线" w:eastAsia="等线" w:hint="eastAsia"/>
                <w:b/>
                <w:sz w:val="24"/>
              </w:rPr>
              <w:t>侵 蚀 性 葡 萄 胎 </w:t>
            </w:r>
          </w:p>
          <w:p>
            <w:pPr>
              <w:pStyle w:val="TableParagraph"/>
              <w:spacing w:line="235" w:lineRule="auto" w:before="2"/>
              <w:ind w:left="200" w:right="124"/>
              <w:rPr>
                <w:rFonts w:ascii="等线" w:eastAsia="等线" w:hint="eastAsia"/>
                <w:b/>
                <w:sz w:val="24"/>
              </w:rPr>
            </w:pPr>
            <w:r>
              <w:rPr>
                <w:rFonts w:ascii="等线" w:eastAsia="等线" w:hint="eastAsia"/>
                <w:b/>
                <w:sz w:val="24"/>
              </w:rPr>
              <w:t>（或称恶性葡萄胎）</w:t>
            </w:r>
          </w:p>
        </w:tc>
        <w:tc>
          <w:tcPr>
            <w:tcW w:w="7416" w:type="dxa"/>
          </w:tcPr>
          <w:p>
            <w:pPr>
              <w:pStyle w:val="TableParagraph"/>
              <w:spacing w:line="273" w:lineRule="auto" w:before="127"/>
              <w:ind w:left="76" w:right="215"/>
              <w:rPr>
                <w:sz w:val="21"/>
              </w:rPr>
            </w:pPr>
            <w:r>
              <w:rPr>
                <w:sz w:val="21"/>
              </w:rPr>
              <w:t>该类疾病是指异常增生的绒毛组织浸润性生长浸入子宫肌层或转移至其他器官或组织的葡萄胎，并已经进行化疗或手术治疗的。</w:t>
            </w:r>
          </w:p>
        </w:tc>
      </w:tr>
      <w:tr>
        <w:trPr>
          <w:trHeight w:val="1316" w:hRule="atLeast"/>
        </w:trPr>
        <w:tc>
          <w:tcPr>
            <w:tcW w:w="2111" w:type="dxa"/>
          </w:tcPr>
          <w:p>
            <w:pPr>
              <w:pStyle w:val="TableParagraph"/>
              <w:spacing w:line="235" w:lineRule="auto" w:before="111"/>
              <w:ind w:left="200" w:right="124"/>
              <w:jc w:val="both"/>
              <w:rPr>
                <w:rFonts w:ascii="等线" w:eastAsia="等线" w:hint="eastAsia"/>
                <w:b/>
                <w:sz w:val="24"/>
              </w:rPr>
            </w:pPr>
            <w:r>
              <w:rPr>
                <w:rFonts w:ascii="等线" w:eastAsia="等线" w:hint="eastAsia"/>
                <w:b/>
                <w:sz w:val="24"/>
              </w:rPr>
              <w:t>系统性红斑狼疮并发重度的肾功能损害</w:t>
            </w:r>
          </w:p>
        </w:tc>
        <w:tc>
          <w:tcPr>
            <w:tcW w:w="7416" w:type="dxa"/>
          </w:tcPr>
          <w:p>
            <w:pPr>
              <w:pStyle w:val="TableParagraph"/>
              <w:spacing w:before="106"/>
              <w:ind w:left="76"/>
              <w:rPr>
                <w:sz w:val="21"/>
              </w:rPr>
            </w:pPr>
            <w:r>
              <w:rPr>
                <w:sz w:val="21"/>
              </w:rPr>
              <w:t>该类疾病保障仅限于女性。</w:t>
            </w:r>
          </w:p>
          <w:p>
            <w:pPr>
              <w:pStyle w:val="TableParagraph"/>
              <w:spacing w:line="310" w:lineRule="atLeast" w:before="2"/>
              <w:ind w:left="76" w:right="197"/>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tc>
      </w:tr>
    </w:tbl>
    <w:p>
      <w:pPr>
        <w:spacing w:after="0" w:line="310" w:lineRule="atLeast"/>
        <w:jc w:val="both"/>
        <w:rPr>
          <w:sz w:val="21"/>
        </w:rPr>
        <w:sectPr>
          <w:pgSz w:w="11910" w:h="16840"/>
          <w:pgMar w:top="1440" w:bottom="280" w:left="136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47"/>
        <w:gridCol w:w="7522"/>
      </w:tblGrid>
      <w:tr>
        <w:trPr>
          <w:trHeight w:val="5083" w:hRule="atLeast"/>
        </w:trPr>
        <w:tc>
          <w:tcPr>
            <w:tcW w:w="679"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7522" w:type="dxa"/>
          </w:tcPr>
          <w:p>
            <w:pPr>
              <w:pStyle w:val="TableParagraph"/>
              <w:spacing w:line="210" w:lineRule="exact"/>
              <w:ind w:left="100"/>
              <w:rPr>
                <w:sz w:val="21"/>
              </w:rPr>
            </w:pPr>
            <w:r>
              <w:rPr>
                <w:sz w:val="21"/>
              </w:rPr>
              <w:t>（1）临床表现至少具备下列条件中的 4 个：</w:t>
            </w:r>
          </w:p>
          <w:p>
            <w:pPr>
              <w:pStyle w:val="TableParagraph"/>
              <w:spacing w:before="37"/>
              <w:ind w:left="289"/>
              <w:rPr>
                <w:sz w:val="21"/>
              </w:rPr>
            </w:pPr>
            <w:r>
              <w:rPr>
                <w:sz w:val="21"/>
              </w:rPr>
              <w:t>① 蝶形红斑或盘形红斑；</w:t>
            </w:r>
          </w:p>
          <w:p>
            <w:pPr>
              <w:pStyle w:val="TableParagraph"/>
              <w:spacing w:before="37"/>
              <w:ind w:left="289"/>
              <w:rPr>
                <w:sz w:val="21"/>
              </w:rPr>
            </w:pPr>
            <w:r>
              <w:rPr>
                <w:sz w:val="21"/>
              </w:rPr>
              <w:t>② 光敏感；</w:t>
            </w:r>
          </w:p>
          <w:p>
            <w:pPr>
              <w:pStyle w:val="TableParagraph"/>
              <w:spacing w:before="37"/>
              <w:ind w:left="289"/>
              <w:rPr>
                <w:sz w:val="21"/>
              </w:rPr>
            </w:pPr>
            <w:r>
              <w:rPr>
                <w:sz w:val="21"/>
              </w:rPr>
              <w:t>③ 口鼻腔黏膜溃疡；</w:t>
            </w:r>
          </w:p>
          <w:p>
            <w:pPr>
              <w:pStyle w:val="TableParagraph"/>
              <w:spacing w:before="37"/>
              <w:ind w:left="289"/>
              <w:rPr>
                <w:sz w:val="21"/>
              </w:rPr>
            </w:pPr>
            <w:r>
              <w:rPr>
                <w:sz w:val="21"/>
              </w:rPr>
              <w:t>④ 非畸形性关节炎或多关节痛；</w:t>
            </w:r>
          </w:p>
          <w:p>
            <w:pPr>
              <w:pStyle w:val="TableParagraph"/>
              <w:spacing w:before="37"/>
              <w:ind w:left="289"/>
              <w:rPr>
                <w:sz w:val="21"/>
              </w:rPr>
            </w:pPr>
            <w:r>
              <w:rPr>
                <w:sz w:val="21"/>
              </w:rPr>
              <w:t>⑤ 胸膜炎或心包炎；</w:t>
            </w:r>
          </w:p>
          <w:p>
            <w:pPr>
              <w:pStyle w:val="TableParagraph"/>
              <w:spacing w:before="37"/>
              <w:ind w:left="289"/>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604" w:right="304" w:hanging="316"/>
              <w:rPr>
                <w:sz w:val="21"/>
              </w:rPr>
            </w:pPr>
            <w:r>
              <w:rPr>
                <w:spacing w:val="-2"/>
                <w:sz w:val="21"/>
              </w:rPr>
              <w:t>⑦ 血象异常</w:t>
            </w:r>
            <w:r>
              <w:rPr>
                <w:sz w:val="21"/>
              </w:rPr>
              <w:t>（</w:t>
            </w:r>
            <w:r>
              <w:rPr>
                <w:spacing w:val="-5"/>
                <w:sz w:val="21"/>
              </w:rPr>
              <w:t>白细胞小于 </w:t>
            </w:r>
            <w:r>
              <w:rPr>
                <w:sz w:val="21"/>
              </w:rPr>
              <w:t>4000/μl</w:t>
            </w:r>
            <w:r>
              <w:rPr>
                <w:spacing w:val="-9"/>
                <w:sz w:val="21"/>
              </w:rPr>
              <w:t> 或血小板小于 </w:t>
            </w:r>
            <w:r>
              <w:rPr>
                <w:sz w:val="21"/>
              </w:rPr>
              <w:t>100000/μl</w:t>
            </w:r>
            <w:r>
              <w:rPr>
                <w:spacing w:val="-6"/>
                <w:sz w:val="21"/>
              </w:rPr>
              <w:t> 或溶血性贫血</w:t>
            </w:r>
            <w:r>
              <w:rPr>
                <w:spacing w:val="-105"/>
                <w:sz w:val="21"/>
              </w:rPr>
              <w:t>）。</w:t>
            </w:r>
          </w:p>
          <w:p>
            <w:pPr>
              <w:pStyle w:val="TableParagraph"/>
              <w:spacing w:before="7"/>
              <w:ind w:left="100"/>
              <w:rPr>
                <w:sz w:val="21"/>
              </w:rPr>
            </w:pPr>
            <w:r>
              <w:rPr>
                <w:sz w:val="21"/>
              </w:rPr>
              <w:t>（2）检测结果至少具备下列条件中的 2 个：</w:t>
            </w:r>
          </w:p>
          <w:p>
            <w:pPr>
              <w:pStyle w:val="TableParagraph"/>
              <w:spacing w:before="36"/>
              <w:ind w:left="289"/>
              <w:rPr>
                <w:sz w:val="21"/>
              </w:rPr>
            </w:pPr>
            <w:r>
              <w:rPr>
                <w:sz w:val="21"/>
              </w:rPr>
              <w:t>① 抗 dsDNA 抗体阳性；</w:t>
            </w:r>
          </w:p>
          <w:p>
            <w:pPr>
              <w:pStyle w:val="TableParagraph"/>
              <w:spacing w:before="36"/>
              <w:ind w:left="289"/>
              <w:rPr>
                <w:sz w:val="21"/>
              </w:rPr>
            </w:pPr>
            <w:r>
              <w:rPr>
                <w:sz w:val="21"/>
              </w:rPr>
              <w:t>② 抗 Sm 抗体阳性；</w:t>
            </w:r>
          </w:p>
          <w:p>
            <w:pPr>
              <w:pStyle w:val="TableParagraph"/>
              <w:spacing w:before="36"/>
              <w:ind w:left="288"/>
              <w:rPr>
                <w:sz w:val="21"/>
              </w:rPr>
            </w:pPr>
            <w:r>
              <w:rPr>
                <w:sz w:val="21"/>
              </w:rPr>
              <w:t>③ 抗核抗体阳性；</w:t>
            </w:r>
          </w:p>
          <w:p>
            <w:pPr>
              <w:pStyle w:val="TableParagraph"/>
              <w:spacing w:before="36"/>
              <w:ind w:left="288"/>
              <w:rPr>
                <w:sz w:val="21"/>
              </w:rPr>
            </w:pPr>
            <w:r>
              <w:rPr>
                <w:sz w:val="21"/>
              </w:rPr>
              <w:t>④ 皮肤狼疮带试验（非病损部位）或肾活检阳性；</w:t>
            </w:r>
          </w:p>
          <w:p>
            <w:pPr>
              <w:pStyle w:val="TableParagraph"/>
              <w:spacing w:before="36"/>
              <w:ind w:left="288"/>
              <w:rPr>
                <w:sz w:val="21"/>
              </w:rPr>
            </w:pPr>
            <w:r>
              <w:rPr>
                <w:sz w:val="21"/>
              </w:rPr>
              <w:t>⑤ C3 低于正常值。</w:t>
            </w:r>
          </w:p>
          <w:p>
            <w:pPr>
              <w:pStyle w:val="TableParagraph"/>
              <w:spacing w:before="36"/>
              <w:ind w:left="100"/>
              <w:rPr>
                <w:sz w:val="21"/>
              </w:rPr>
            </w:pPr>
            <w:r>
              <w:rPr>
                <w:sz w:val="21"/>
              </w:rPr>
              <w:t>（3）狼疮肾炎致使肾功能减弱，内生肌酐清除率低于每分钟 30ml。</w:t>
            </w:r>
          </w:p>
        </w:tc>
      </w:tr>
      <w:tr>
        <w:trPr>
          <w:trHeight w:val="2778" w:hRule="atLeast"/>
        </w:trPr>
        <w:tc>
          <w:tcPr>
            <w:tcW w:w="679" w:type="dxa"/>
          </w:tcPr>
          <w:p>
            <w:pPr>
              <w:pStyle w:val="TableParagraph"/>
              <w:ind w:left="0"/>
              <w:rPr>
                <w:rFonts w:ascii="Times New Roman"/>
                <w:sz w:val="20"/>
              </w:rPr>
            </w:pPr>
          </w:p>
        </w:tc>
        <w:tc>
          <w:tcPr>
            <w:tcW w:w="2047" w:type="dxa"/>
          </w:tcPr>
          <w:p>
            <w:pPr>
              <w:pStyle w:val="TableParagraph"/>
              <w:spacing w:line="235" w:lineRule="auto" w:before="132"/>
              <w:ind w:left="160" w:right="101"/>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522" w:type="dxa"/>
          </w:tcPr>
          <w:p>
            <w:pPr>
              <w:pStyle w:val="TableParagraph"/>
              <w:spacing w:line="273" w:lineRule="auto" w:before="127"/>
              <w:ind w:left="100" w:right="303"/>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3"/>
                <w:sz w:val="21"/>
              </w:rPr>
              <w:t>明显的心功能衰竭</w:t>
            </w:r>
            <w:r>
              <w:rPr>
                <w:spacing w:val="5"/>
                <w:sz w:val="21"/>
              </w:rPr>
              <w:t>（</w:t>
            </w:r>
            <w:r>
              <w:rPr>
                <w:spacing w:val="1"/>
                <w:sz w:val="21"/>
              </w:rPr>
              <w:t>指按照美国纽约心脏协会心功能分类标准心功能达四级</w:t>
            </w:r>
          </w:p>
          <w:p>
            <w:pPr>
              <w:pStyle w:val="TableParagraph"/>
              <w:spacing w:before="7"/>
              <w:ind w:left="100"/>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73" w:lineRule="auto" w:before="36"/>
              <w:ind w:left="100" w:right="303"/>
              <w:jc w:val="both"/>
              <w:rPr>
                <w:sz w:val="21"/>
              </w:rPr>
            </w:pPr>
            <w:r>
              <w:rPr>
                <w:spacing w:val="-2"/>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100" w:right="305"/>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6" w:hRule="atLeast"/>
        </w:trPr>
        <w:tc>
          <w:tcPr>
            <w:tcW w:w="679" w:type="dxa"/>
          </w:tcPr>
          <w:p>
            <w:pPr>
              <w:pStyle w:val="TableParagraph"/>
              <w:spacing w:before="127"/>
              <w:ind w:left="0" w:right="159"/>
              <w:jc w:val="right"/>
              <w:rPr>
                <w:b/>
                <w:sz w:val="21"/>
              </w:rPr>
            </w:pPr>
            <w:r>
              <w:rPr>
                <w:b/>
                <w:w w:val="95"/>
                <w:sz w:val="21"/>
              </w:rPr>
              <w:t>8.4</w:t>
            </w:r>
          </w:p>
        </w:tc>
        <w:tc>
          <w:tcPr>
            <w:tcW w:w="2047" w:type="dxa"/>
          </w:tcPr>
          <w:p>
            <w:pPr>
              <w:pStyle w:val="TableParagraph"/>
              <w:spacing w:before="127"/>
              <w:ind w:left="160"/>
              <w:rPr>
                <w:b/>
                <w:sz w:val="21"/>
              </w:rPr>
            </w:pPr>
            <w:r>
              <w:rPr>
                <w:b/>
                <w:sz w:val="21"/>
              </w:rPr>
              <w:t>专科医生</w:t>
            </w:r>
          </w:p>
        </w:tc>
        <w:tc>
          <w:tcPr>
            <w:tcW w:w="7522" w:type="dxa"/>
          </w:tcPr>
          <w:p>
            <w:pPr>
              <w:pStyle w:val="TableParagraph"/>
              <w:spacing w:before="127"/>
              <w:ind w:left="100"/>
              <w:rPr>
                <w:sz w:val="21"/>
              </w:rPr>
            </w:pPr>
            <w:r>
              <w:rPr>
                <w:sz w:val="21"/>
              </w:rPr>
              <w:t>专科医生应当同时满足以下四项资格条件：</w:t>
            </w:r>
          </w:p>
          <w:p>
            <w:pPr>
              <w:pStyle w:val="TableParagraph"/>
              <w:spacing w:before="36"/>
              <w:ind w:left="100"/>
              <w:rPr>
                <w:sz w:val="21"/>
              </w:rPr>
            </w:pPr>
            <w:r>
              <w:rPr>
                <w:sz w:val="21"/>
              </w:rPr>
              <w:t>（1）具有有效的中华人民共和国《医师资格证书》；</w:t>
            </w:r>
          </w:p>
          <w:p>
            <w:pPr>
              <w:pStyle w:val="TableParagraph"/>
              <w:spacing w:line="271" w:lineRule="auto" w:before="36"/>
              <w:ind w:left="626" w:right="303" w:hanging="526"/>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9"/>
              <w:ind w:left="626" w:right="307" w:hanging="526"/>
              <w:rPr>
                <w:sz w:val="21"/>
              </w:rPr>
            </w:pPr>
            <w:r>
              <w:rPr>
                <w:sz w:val="21"/>
              </w:rPr>
              <w:t>（3）具有有效的中华人民共和国主治医师或主治医师以上职称的《医师职称证书》；</w:t>
            </w:r>
          </w:p>
          <w:p>
            <w:pPr>
              <w:pStyle w:val="TableParagraph"/>
              <w:spacing w:before="7"/>
              <w:ind w:left="100"/>
              <w:rPr>
                <w:sz w:val="21"/>
              </w:rPr>
            </w:pPr>
            <w:r>
              <w:rPr>
                <w:sz w:val="21"/>
              </w:rPr>
              <w:t>（4）在二级或二级以上医院的相应科室从事临床工作三年以上。</w:t>
            </w:r>
          </w:p>
        </w:tc>
      </w:tr>
      <w:tr>
        <w:trPr>
          <w:trHeight w:val="906" w:hRule="atLeast"/>
        </w:trPr>
        <w:tc>
          <w:tcPr>
            <w:tcW w:w="679" w:type="dxa"/>
          </w:tcPr>
          <w:p>
            <w:pPr>
              <w:pStyle w:val="TableParagraph"/>
              <w:spacing w:before="127"/>
              <w:ind w:left="0" w:right="159"/>
              <w:jc w:val="right"/>
              <w:rPr>
                <w:b/>
                <w:sz w:val="21"/>
              </w:rPr>
            </w:pPr>
            <w:r>
              <w:rPr>
                <w:b/>
                <w:w w:val="95"/>
                <w:sz w:val="21"/>
              </w:rPr>
              <w:t>8.5</w:t>
            </w:r>
          </w:p>
        </w:tc>
        <w:tc>
          <w:tcPr>
            <w:tcW w:w="2047" w:type="dxa"/>
          </w:tcPr>
          <w:p>
            <w:pPr>
              <w:pStyle w:val="TableParagraph"/>
              <w:spacing w:before="127"/>
              <w:ind w:left="160"/>
              <w:rPr>
                <w:b/>
                <w:sz w:val="21"/>
              </w:rPr>
            </w:pPr>
            <w:r>
              <w:rPr>
                <w:b/>
                <w:w w:val="95"/>
                <w:sz w:val="21"/>
              </w:rPr>
              <w:t>肢体机能完全丧失</w:t>
            </w:r>
          </w:p>
        </w:tc>
        <w:tc>
          <w:tcPr>
            <w:tcW w:w="7522" w:type="dxa"/>
          </w:tcPr>
          <w:p>
            <w:pPr>
              <w:pStyle w:val="TableParagraph"/>
              <w:spacing w:line="273" w:lineRule="auto" w:before="127"/>
              <w:ind w:left="100" w:right="252"/>
              <w:rPr>
                <w:sz w:val="21"/>
              </w:rPr>
            </w:pPr>
            <w:r>
              <w:rPr>
                <w:sz w:val="21"/>
              </w:rPr>
              <w:t>指肢体的三大关节中的两大关节僵硬，或不能随意识活动。肢体是指包括肩关节的整个上肢或包括髋关节的整个下肢。</w:t>
            </w:r>
          </w:p>
        </w:tc>
      </w:tr>
      <w:tr>
        <w:trPr>
          <w:trHeight w:val="1531" w:hRule="atLeast"/>
        </w:trPr>
        <w:tc>
          <w:tcPr>
            <w:tcW w:w="679" w:type="dxa"/>
          </w:tcPr>
          <w:p>
            <w:pPr>
              <w:pStyle w:val="TableParagraph"/>
              <w:spacing w:before="127"/>
              <w:ind w:left="0" w:right="159"/>
              <w:jc w:val="right"/>
              <w:rPr>
                <w:b/>
                <w:sz w:val="21"/>
              </w:rPr>
            </w:pPr>
            <w:r>
              <w:rPr>
                <w:b/>
                <w:w w:val="95"/>
                <w:sz w:val="21"/>
              </w:rPr>
              <w:t>8.6</w:t>
            </w:r>
          </w:p>
        </w:tc>
        <w:tc>
          <w:tcPr>
            <w:tcW w:w="2047" w:type="dxa"/>
          </w:tcPr>
          <w:p>
            <w:pPr>
              <w:pStyle w:val="TableParagraph"/>
              <w:spacing w:line="273" w:lineRule="auto" w:before="127"/>
              <w:ind w:left="160" w:right="99"/>
              <w:rPr>
                <w:b/>
                <w:sz w:val="21"/>
              </w:rPr>
            </w:pPr>
            <w:r>
              <w:rPr>
                <w:b/>
                <w:sz w:val="21"/>
              </w:rPr>
              <w:t>语言能力或咀嚼吞</w:t>
            </w:r>
            <w:r>
              <w:rPr>
                <w:b/>
                <w:w w:val="95"/>
                <w:sz w:val="21"/>
              </w:rPr>
              <w:t>咽能力完全丧失</w:t>
            </w:r>
          </w:p>
        </w:tc>
        <w:tc>
          <w:tcPr>
            <w:tcW w:w="7522" w:type="dxa"/>
          </w:tcPr>
          <w:p>
            <w:pPr>
              <w:pStyle w:val="TableParagraph"/>
              <w:spacing w:line="273" w:lineRule="auto" w:before="127"/>
              <w:ind w:left="100" w:right="198"/>
              <w:rPr>
                <w:sz w:val="21"/>
              </w:rPr>
            </w:pPr>
            <w:r>
              <w:rPr>
                <w:spacing w:val="-2"/>
                <w:sz w:val="21"/>
              </w:rPr>
              <w:t>语言能力完全丧失，指无法发出四种语音</w:t>
            </w:r>
            <w:r>
              <w:rPr>
                <w:sz w:val="21"/>
              </w:rPr>
              <w:t>（</w:t>
            </w:r>
            <w:r>
              <w:rPr>
                <w:spacing w:val="-3"/>
                <w:sz w:val="21"/>
              </w:rPr>
              <w:t>包括口唇音、齿舌音、口盖音和喉头音</w:t>
            </w:r>
            <w:r>
              <w:rPr>
                <w:spacing w:val="-44"/>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r>
        <w:trPr>
          <w:trHeight w:val="1650" w:hRule="atLeast"/>
        </w:trPr>
        <w:tc>
          <w:tcPr>
            <w:tcW w:w="679" w:type="dxa"/>
          </w:tcPr>
          <w:p>
            <w:pPr>
              <w:pStyle w:val="TableParagraph"/>
              <w:spacing w:before="127"/>
              <w:ind w:left="0" w:right="159"/>
              <w:jc w:val="right"/>
              <w:rPr>
                <w:b/>
                <w:sz w:val="21"/>
              </w:rPr>
            </w:pPr>
            <w:r>
              <w:rPr>
                <w:b/>
                <w:w w:val="95"/>
                <w:sz w:val="21"/>
              </w:rPr>
              <w:t>8.7</w:t>
            </w:r>
          </w:p>
        </w:tc>
        <w:tc>
          <w:tcPr>
            <w:tcW w:w="2047" w:type="dxa"/>
          </w:tcPr>
          <w:p>
            <w:pPr>
              <w:pStyle w:val="TableParagraph"/>
              <w:spacing w:line="273" w:lineRule="auto" w:before="127"/>
              <w:ind w:left="160" w:right="99"/>
              <w:rPr>
                <w:b/>
                <w:sz w:val="21"/>
              </w:rPr>
            </w:pPr>
            <w:r>
              <w:rPr>
                <w:b/>
                <w:sz w:val="21"/>
              </w:rPr>
              <w:t>六项基本日常生活活动</w:t>
            </w:r>
          </w:p>
        </w:tc>
        <w:tc>
          <w:tcPr>
            <w:tcW w:w="7522" w:type="dxa"/>
          </w:tcPr>
          <w:p>
            <w:pPr>
              <w:pStyle w:val="TableParagraph"/>
              <w:spacing w:before="127"/>
              <w:ind w:left="100"/>
              <w:rPr>
                <w:sz w:val="21"/>
              </w:rPr>
            </w:pPr>
            <w:r>
              <w:rPr>
                <w:sz w:val="21"/>
              </w:rPr>
              <w:t>六项基本日常生活活动是指：</w:t>
            </w:r>
          </w:p>
          <w:p>
            <w:pPr>
              <w:pStyle w:val="TableParagraph"/>
              <w:spacing w:before="36"/>
              <w:ind w:left="100"/>
              <w:rPr>
                <w:sz w:val="21"/>
              </w:rPr>
            </w:pPr>
            <w:r>
              <w:rPr>
                <w:sz w:val="21"/>
              </w:rPr>
              <w:t>（1）穿衣：自己能够穿衣及脱衣；</w:t>
            </w:r>
          </w:p>
          <w:p>
            <w:pPr>
              <w:pStyle w:val="TableParagraph"/>
              <w:spacing w:before="36"/>
              <w:ind w:left="100"/>
              <w:rPr>
                <w:sz w:val="21"/>
              </w:rPr>
            </w:pPr>
            <w:r>
              <w:rPr>
                <w:sz w:val="21"/>
              </w:rPr>
              <w:t>（2）移动：自己从一个房间到另一个房间；</w:t>
            </w:r>
          </w:p>
          <w:p>
            <w:pPr>
              <w:pStyle w:val="TableParagraph"/>
              <w:spacing w:before="36"/>
              <w:ind w:left="100"/>
              <w:rPr>
                <w:sz w:val="21"/>
              </w:rPr>
            </w:pPr>
            <w:r>
              <w:rPr>
                <w:sz w:val="21"/>
              </w:rPr>
              <w:t>（3）行动：自己上下床或上下轮椅；</w:t>
            </w:r>
          </w:p>
          <w:p>
            <w:pPr>
              <w:pStyle w:val="TableParagraph"/>
              <w:spacing w:line="255" w:lineRule="exact" w:before="36"/>
              <w:ind w:left="100"/>
              <w:rPr>
                <w:sz w:val="21"/>
              </w:rPr>
            </w:pPr>
            <w:r>
              <w:rPr>
                <w:sz w:val="21"/>
              </w:rPr>
              <w:t>（4）如厕：自己控制进行大小便；</w:t>
            </w:r>
          </w:p>
        </w:tc>
      </w:tr>
    </w:tbl>
    <w:p>
      <w:pPr>
        <w:spacing w:after="0" w:line="255" w:lineRule="exac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424"/>
      </w:tblGrid>
      <w:tr>
        <w:trPr>
          <w:trHeight w:val="714" w:hRule="atLeast"/>
        </w:trPr>
        <w:tc>
          <w:tcPr>
            <w:tcW w:w="732" w:type="dxa"/>
          </w:tcPr>
          <w:p>
            <w:pPr>
              <w:pStyle w:val="TableParagraph"/>
              <w:ind w:left="0"/>
              <w:rPr>
                <w:rFonts w:ascii="Times New Roman"/>
                <w:sz w:val="20"/>
              </w:rPr>
            </w:pPr>
          </w:p>
        </w:tc>
        <w:tc>
          <w:tcPr>
            <w:tcW w:w="1994" w:type="dxa"/>
          </w:tcPr>
          <w:p>
            <w:pPr>
              <w:pStyle w:val="TableParagraph"/>
              <w:ind w:left="0"/>
              <w:rPr>
                <w:rFonts w:ascii="Times New Roman"/>
                <w:sz w:val="20"/>
              </w:rPr>
            </w:pPr>
          </w:p>
        </w:tc>
        <w:tc>
          <w:tcPr>
            <w:tcW w:w="7424" w:type="dxa"/>
          </w:tcPr>
          <w:p>
            <w:pPr>
              <w:pStyle w:val="TableParagraph"/>
              <w:spacing w:line="210" w:lineRule="exact"/>
              <w:ind w:left="100"/>
              <w:rPr>
                <w:sz w:val="21"/>
              </w:rPr>
            </w:pPr>
            <w:r>
              <w:rPr>
                <w:sz w:val="21"/>
              </w:rPr>
              <w:t>（5）进食：自己从已准备好的碗或碟中取食物放入口中；</w:t>
            </w:r>
          </w:p>
          <w:p>
            <w:pPr>
              <w:pStyle w:val="TableParagraph"/>
              <w:spacing w:before="37"/>
              <w:ind w:left="100"/>
              <w:rPr>
                <w:sz w:val="21"/>
              </w:rPr>
            </w:pPr>
            <w:r>
              <w:rPr>
                <w:sz w:val="21"/>
              </w:rPr>
              <w:t>（6）洗澡：自己进行淋浴或盆浴。</w:t>
            </w:r>
          </w:p>
        </w:tc>
      </w:tr>
      <w:tr>
        <w:trPr>
          <w:trHeight w:val="907" w:hRule="atLeast"/>
        </w:trPr>
        <w:tc>
          <w:tcPr>
            <w:tcW w:w="732" w:type="dxa"/>
          </w:tcPr>
          <w:p>
            <w:pPr>
              <w:pStyle w:val="TableParagraph"/>
              <w:spacing w:before="127"/>
              <w:ind w:left="200"/>
              <w:rPr>
                <w:b/>
                <w:sz w:val="21"/>
              </w:rPr>
            </w:pPr>
            <w:r>
              <w:rPr>
                <w:b/>
                <w:sz w:val="21"/>
              </w:rPr>
              <w:t>8.8</w:t>
            </w:r>
          </w:p>
        </w:tc>
        <w:tc>
          <w:tcPr>
            <w:tcW w:w="1994" w:type="dxa"/>
          </w:tcPr>
          <w:p>
            <w:pPr>
              <w:pStyle w:val="TableParagraph"/>
              <w:spacing w:before="127"/>
              <w:ind w:left="107"/>
              <w:rPr>
                <w:b/>
                <w:sz w:val="21"/>
              </w:rPr>
            </w:pPr>
            <w:r>
              <w:rPr>
                <w:b/>
                <w:w w:val="95"/>
                <w:sz w:val="21"/>
              </w:rPr>
              <w:t>永久不可逆</w:t>
            </w:r>
          </w:p>
        </w:tc>
        <w:tc>
          <w:tcPr>
            <w:tcW w:w="7424" w:type="dxa"/>
          </w:tcPr>
          <w:p>
            <w:pPr>
              <w:pStyle w:val="TableParagraph"/>
              <w:spacing w:line="273" w:lineRule="auto" w:before="127"/>
              <w:ind w:left="100" w:right="205"/>
              <w:rPr>
                <w:sz w:val="21"/>
              </w:rPr>
            </w:pPr>
            <w:r>
              <w:rPr>
                <w:spacing w:val="-4"/>
                <w:sz w:val="21"/>
              </w:rPr>
              <w:t>指自疾病确诊或意外伤害发生之日起，经过积极治疗 </w:t>
            </w:r>
            <w:r>
              <w:rPr>
                <w:sz w:val="21"/>
              </w:rPr>
              <w:t>180</w:t>
            </w:r>
            <w:r>
              <w:rPr>
                <w:spacing w:val="-9"/>
                <w:sz w:val="21"/>
              </w:rPr>
              <w:t> 日后，仍无法通过现有医疗手段恢复。</w:t>
            </w:r>
          </w:p>
        </w:tc>
      </w:tr>
      <w:tr>
        <w:trPr>
          <w:trHeight w:val="594" w:hRule="atLeast"/>
        </w:trPr>
        <w:tc>
          <w:tcPr>
            <w:tcW w:w="732" w:type="dxa"/>
          </w:tcPr>
          <w:p>
            <w:pPr>
              <w:pStyle w:val="TableParagraph"/>
              <w:spacing w:before="127"/>
              <w:ind w:left="200"/>
              <w:rPr>
                <w:b/>
                <w:sz w:val="21"/>
              </w:rPr>
            </w:pPr>
            <w:r>
              <w:rPr>
                <w:b/>
                <w:sz w:val="21"/>
              </w:rPr>
              <w:t>8.9</w:t>
            </w:r>
          </w:p>
        </w:tc>
        <w:tc>
          <w:tcPr>
            <w:tcW w:w="1994" w:type="dxa"/>
          </w:tcPr>
          <w:p>
            <w:pPr>
              <w:pStyle w:val="TableParagraph"/>
              <w:spacing w:before="127"/>
              <w:ind w:left="107"/>
              <w:rPr>
                <w:b/>
                <w:sz w:val="21"/>
              </w:rPr>
            </w:pPr>
            <w:r>
              <w:rPr>
                <w:b/>
                <w:sz w:val="21"/>
              </w:rPr>
              <w:t>意外伤害</w:t>
            </w:r>
          </w:p>
        </w:tc>
        <w:tc>
          <w:tcPr>
            <w:tcW w:w="7424" w:type="dxa"/>
          </w:tcPr>
          <w:p>
            <w:pPr>
              <w:pStyle w:val="TableParagraph"/>
              <w:spacing w:before="127"/>
              <w:ind w:left="100"/>
              <w:rPr>
                <w:sz w:val="21"/>
              </w:rPr>
            </w:pPr>
            <w:r>
              <w:rPr>
                <w:sz w:val="21"/>
              </w:rPr>
              <w:t>指遭受外来的、突发的、非本意的、非疾病的使身体受到伤害的客观事件。</w:t>
            </w:r>
          </w:p>
        </w:tc>
      </w:tr>
      <w:tr>
        <w:trPr>
          <w:trHeight w:val="1530" w:hRule="atLeast"/>
        </w:trPr>
        <w:tc>
          <w:tcPr>
            <w:tcW w:w="732" w:type="dxa"/>
          </w:tcPr>
          <w:p>
            <w:pPr>
              <w:pStyle w:val="TableParagraph"/>
              <w:spacing w:before="127"/>
              <w:ind w:left="200"/>
              <w:rPr>
                <w:b/>
                <w:sz w:val="21"/>
              </w:rPr>
            </w:pPr>
            <w:r>
              <w:rPr>
                <w:b/>
                <w:sz w:val="21"/>
              </w:rPr>
              <w:t>8.10</w:t>
            </w:r>
          </w:p>
        </w:tc>
        <w:tc>
          <w:tcPr>
            <w:tcW w:w="1994" w:type="dxa"/>
          </w:tcPr>
          <w:p>
            <w:pPr>
              <w:pStyle w:val="TableParagraph"/>
              <w:spacing w:before="127"/>
              <w:ind w:left="107"/>
              <w:rPr>
                <w:b/>
                <w:sz w:val="21"/>
              </w:rPr>
            </w:pPr>
            <w:r>
              <w:rPr>
                <w:b/>
                <w:sz w:val="21"/>
              </w:rPr>
              <w:t>医院</w:t>
            </w:r>
          </w:p>
        </w:tc>
        <w:tc>
          <w:tcPr>
            <w:tcW w:w="7424" w:type="dxa"/>
          </w:tcPr>
          <w:p>
            <w:pPr>
              <w:pStyle w:val="TableParagraph"/>
              <w:spacing w:line="273" w:lineRule="auto" w:before="127"/>
              <w:ind w:left="100" w:right="205"/>
              <w:jc w:val="both"/>
              <w:rPr>
                <w:sz w:val="21"/>
              </w:rPr>
            </w:pPr>
            <w:r>
              <w:rPr>
                <w:spacing w:val="-1"/>
                <w:sz w:val="21"/>
              </w:rPr>
              <w:t>指经中华人民共和国卫生部门评审确定的二级或二级以上的公立医院，但不包</w:t>
            </w:r>
            <w:r>
              <w:rPr>
                <w:spacing w:val="-5"/>
                <w:sz w:val="21"/>
              </w:rPr>
              <w:t>括精神病院及专供康复、休养、戒毒、戒酒、护理、养老等非以直接诊治病人</w:t>
            </w:r>
            <w:r>
              <w:rPr>
                <w:spacing w:val="-8"/>
                <w:sz w:val="21"/>
              </w:rPr>
              <w:t>为目的的医疗机构。该医院必须具有符合国家有关医院管理规则设置标准的医疗设备，且全天二十四小时有合格医师及护士驻院提供医疗及护理服务。</w:t>
            </w:r>
          </w:p>
        </w:tc>
      </w:tr>
      <w:tr>
        <w:trPr>
          <w:trHeight w:val="1531" w:hRule="atLeast"/>
        </w:trPr>
        <w:tc>
          <w:tcPr>
            <w:tcW w:w="732" w:type="dxa"/>
          </w:tcPr>
          <w:p>
            <w:pPr>
              <w:pStyle w:val="TableParagraph"/>
              <w:spacing w:before="127"/>
              <w:ind w:left="200"/>
              <w:rPr>
                <w:b/>
                <w:sz w:val="21"/>
              </w:rPr>
            </w:pPr>
            <w:r>
              <w:rPr>
                <w:b/>
                <w:sz w:val="21"/>
              </w:rPr>
              <w:t>8.11</w:t>
            </w:r>
          </w:p>
        </w:tc>
        <w:tc>
          <w:tcPr>
            <w:tcW w:w="1994" w:type="dxa"/>
          </w:tcPr>
          <w:p>
            <w:pPr>
              <w:pStyle w:val="TableParagraph"/>
              <w:spacing w:before="127"/>
              <w:ind w:left="107"/>
              <w:rPr>
                <w:b/>
                <w:sz w:val="21"/>
              </w:rPr>
            </w:pPr>
            <w:r>
              <w:rPr>
                <w:b/>
                <w:sz w:val="21"/>
              </w:rPr>
              <w:t>毒品</w:t>
            </w:r>
          </w:p>
        </w:tc>
        <w:tc>
          <w:tcPr>
            <w:tcW w:w="7424" w:type="dxa"/>
          </w:tcPr>
          <w:p>
            <w:pPr>
              <w:pStyle w:val="TableParagraph"/>
              <w:spacing w:line="273" w:lineRule="auto" w:before="127"/>
              <w:ind w:left="100" w:right="198"/>
              <w:jc w:val="both"/>
              <w:rPr>
                <w:sz w:val="21"/>
              </w:rPr>
            </w:pPr>
            <w:r>
              <w:rPr>
                <w:sz w:val="21"/>
              </w:rPr>
              <w:t>指中华人民共和国刑法规定的鸦片、海洛因、甲基苯丙胺（冰毒</w:t>
            </w:r>
            <w:r>
              <w:rPr>
                <w:spacing w:val="-103"/>
                <w:sz w:val="21"/>
              </w:rPr>
              <w:t>）</w:t>
            </w:r>
            <w:r>
              <w:rPr>
                <w:sz w:val="21"/>
              </w:rPr>
              <w:t>、吗啡、大</w:t>
            </w:r>
            <w:r>
              <w:rPr>
                <w:spacing w:val="2"/>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47" w:hRule="atLeast"/>
        </w:trPr>
        <w:tc>
          <w:tcPr>
            <w:tcW w:w="732" w:type="dxa"/>
          </w:tcPr>
          <w:p>
            <w:pPr>
              <w:pStyle w:val="TableParagraph"/>
              <w:spacing w:before="127"/>
              <w:ind w:left="200"/>
              <w:rPr>
                <w:b/>
                <w:sz w:val="21"/>
              </w:rPr>
            </w:pPr>
            <w:r>
              <w:rPr>
                <w:b/>
                <w:sz w:val="21"/>
              </w:rPr>
              <w:t>8.12</w:t>
            </w:r>
          </w:p>
        </w:tc>
        <w:tc>
          <w:tcPr>
            <w:tcW w:w="1994" w:type="dxa"/>
          </w:tcPr>
          <w:p>
            <w:pPr>
              <w:pStyle w:val="TableParagraph"/>
              <w:spacing w:before="127"/>
              <w:ind w:left="107"/>
              <w:rPr>
                <w:b/>
                <w:sz w:val="21"/>
              </w:rPr>
            </w:pPr>
            <w:r>
              <w:rPr>
                <w:b/>
                <w:sz w:val="21"/>
              </w:rPr>
              <w:t>酒后驾驶</w:t>
            </w:r>
          </w:p>
        </w:tc>
        <w:tc>
          <w:tcPr>
            <w:tcW w:w="7424" w:type="dxa"/>
          </w:tcPr>
          <w:p>
            <w:pPr>
              <w:pStyle w:val="TableParagraph"/>
              <w:spacing w:line="273" w:lineRule="auto" w:before="127"/>
              <w:ind w:left="100" w:right="205"/>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2212" w:hRule="atLeast"/>
        </w:trPr>
        <w:tc>
          <w:tcPr>
            <w:tcW w:w="732" w:type="dxa"/>
          </w:tcPr>
          <w:p>
            <w:pPr>
              <w:pStyle w:val="TableParagraph"/>
              <w:spacing w:before="156"/>
              <w:ind w:left="200"/>
              <w:rPr>
                <w:b/>
                <w:sz w:val="21"/>
              </w:rPr>
            </w:pPr>
            <w:r>
              <w:rPr>
                <w:b/>
                <w:sz w:val="21"/>
              </w:rPr>
              <w:t>8.13</w:t>
            </w:r>
          </w:p>
        </w:tc>
        <w:tc>
          <w:tcPr>
            <w:tcW w:w="1994" w:type="dxa"/>
          </w:tcPr>
          <w:p>
            <w:pPr>
              <w:pStyle w:val="TableParagraph"/>
              <w:spacing w:line="273" w:lineRule="auto" w:before="156"/>
              <w:ind w:left="107" w:right="99"/>
              <w:rPr>
                <w:b/>
                <w:sz w:val="21"/>
              </w:rPr>
            </w:pPr>
            <w:r>
              <w:rPr>
                <w:b/>
                <w:sz w:val="21"/>
              </w:rPr>
              <w:t>无合法有效驾驶证驾驶</w:t>
            </w:r>
          </w:p>
        </w:tc>
        <w:tc>
          <w:tcPr>
            <w:tcW w:w="7424" w:type="dxa"/>
          </w:tcPr>
          <w:p>
            <w:pPr>
              <w:pStyle w:val="TableParagraph"/>
              <w:spacing w:before="156"/>
              <w:ind w:left="100"/>
              <w:rPr>
                <w:sz w:val="21"/>
              </w:rPr>
            </w:pPr>
            <w:r>
              <w:rPr>
                <w:sz w:val="21"/>
              </w:rPr>
              <w:t>指下列情形之一：</w:t>
            </w:r>
          </w:p>
          <w:p>
            <w:pPr>
              <w:pStyle w:val="TableParagraph"/>
              <w:spacing w:before="37"/>
              <w:ind w:left="100"/>
              <w:rPr>
                <w:sz w:val="21"/>
              </w:rPr>
            </w:pPr>
            <w:r>
              <w:rPr>
                <w:sz w:val="21"/>
              </w:rPr>
              <w:t>（1）没有取得驾驶资格；</w:t>
            </w:r>
          </w:p>
          <w:p>
            <w:pPr>
              <w:pStyle w:val="TableParagraph"/>
              <w:spacing w:before="37"/>
              <w:ind w:left="100"/>
              <w:rPr>
                <w:sz w:val="21"/>
              </w:rPr>
            </w:pPr>
            <w:r>
              <w:rPr>
                <w:sz w:val="21"/>
              </w:rPr>
              <w:t>（2）驾驶与驾驶证准驾车型不相符合的车辆；</w:t>
            </w:r>
          </w:p>
          <w:p>
            <w:pPr>
              <w:pStyle w:val="TableParagraph"/>
              <w:spacing w:before="37"/>
              <w:ind w:left="100"/>
              <w:rPr>
                <w:sz w:val="21"/>
              </w:rPr>
            </w:pPr>
            <w:r>
              <w:rPr>
                <w:sz w:val="21"/>
              </w:rPr>
              <w:t>（3）持审验不合格的驾驶证驾驶；</w:t>
            </w:r>
          </w:p>
          <w:p>
            <w:pPr>
              <w:pStyle w:val="TableParagraph"/>
              <w:spacing w:line="273" w:lineRule="auto" w:before="37"/>
              <w:ind w:left="626" w:right="207" w:hanging="526"/>
              <w:rPr>
                <w:sz w:val="21"/>
              </w:rPr>
            </w:pPr>
            <w:r>
              <w:rPr>
                <w:sz w:val="21"/>
              </w:rPr>
              <w:t>（4）持学习驾驶证学习驾车时，无教练员随车指导，或不按指定时间、路线学习驾车。</w:t>
            </w:r>
          </w:p>
        </w:tc>
      </w:tr>
      <w:tr>
        <w:trPr>
          <w:trHeight w:val="1588" w:hRule="atLeast"/>
        </w:trPr>
        <w:tc>
          <w:tcPr>
            <w:tcW w:w="732" w:type="dxa"/>
          </w:tcPr>
          <w:p>
            <w:pPr>
              <w:pStyle w:val="TableParagraph"/>
              <w:spacing w:before="156"/>
              <w:ind w:left="200"/>
              <w:rPr>
                <w:b/>
                <w:sz w:val="21"/>
              </w:rPr>
            </w:pPr>
            <w:r>
              <w:rPr>
                <w:b/>
                <w:sz w:val="21"/>
              </w:rPr>
              <w:t>8.14</w:t>
            </w:r>
          </w:p>
        </w:tc>
        <w:tc>
          <w:tcPr>
            <w:tcW w:w="1994" w:type="dxa"/>
          </w:tcPr>
          <w:p>
            <w:pPr>
              <w:pStyle w:val="TableParagraph"/>
              <w:spacing w:before="156"/>
              <w:ind w:left="107"/>
              <w:rPr>
                <w:b/>
                <w:sz w:val="21"/>
              </w:rPr>
            </w:pPr>
            <w:r>
              <w:rPr>
                <w:b/>
                <w:w w:val="95"/>
                <w:sz w:val="21"/>
              </w:rPr>
              <w:t>无有效行驶证</w:t>
            </w:r>
          </w:p>
        </w:tc>
        <w:tc>
          <w:tcPr>
            <w:tcW w:w="7424" w:type="dxa"/>
          </w:tcPr>
          <w:p>
            <w:pPr>
              <w:pStyle w:val="TableParagraph"/>
              <w:spacing w:before="156"/>
              <w:ind w:left="100"/>
              <w:rPr>
                <w:sz w:val="21"/>
              </w:rPr>
            </w:pPr>
            <w:r>
              <w:rPr>
                <w:sz w:val="21"/>
              </w:rPr>
              <w:t>指下列情形之一：</w:t>
            </w:r>
          </w:p>
          <w:p>
            <w:pPr>
              <w:pStyle w:val="TableParagraph"/>
              <w:spacing w:before="37"/>
              <w:ind w:left="100"/>
              <w:rPr>
                <w:sz w:val="21"/>
              </w:rPr>
            </w:pPr>
            <w:r>
              <w:rPr>
                <w:sz w:val="21"/>
              </w:rPr>
              <w:t>（1）未取得行驶证；</w:t>
            </w:r>
          </w:p>
          <w:p>
            <w:pPr>
              <w:pStyle w:val="TableParagraph"/>
              <w:spacing w:before="37"/>
              <w:ind w:left="100"/>
              <w:rPr>
                <w:sz w:val="21"/>
              </w:rPr>
            </w:pPr>
            <w:r>
              <w:rPr>
                <w:sz w:val="21"/>
              </w:rPr>
              <w:t>（2）机动车被依法注销登记的；</w:t>
            </w:r>
          </w:p>
          <w:p>
            <w:pPr>
              <w:pStyle w:val="TableParagraph"/>
              <w:spacing w:before="37"/>
              <w:ind w:left="100"/>
              <w:rPr>
                <w:sz w:val="21"/>
              </w:rPr>
            </w:pPr>
            <w:r>
              <w:rPr>
                <w:sz w:val="21"/>
              </w:rPr>
              <w:t>（3）未依法按时进行或通过机动车安全技术检验。</w:t>
            </w:r>
          </w:p>
        </w:tc>
      </w:tr>
      <w:tr>
        <w:trPr>
          <w:trHeight w:val="963" w:hRule="atLeast"/>
        </w:trPr>
        <w:tc>
          <w:tcPr>
            <w:tcW w:w="732" w:type="dxa"/>
          </w:tcPr>
          <w:p>
            <w:pPr>
              <w:pStyle w:val="TableParagraph"/>
              <w:spacing w:before="156"/>
              <w:ind w:left="200"/>
              <w:rPr>
                <w:b/>
                <w:sz w:val="21"/>
              </w:rPr>
            </w:pPr>
            <w:r>
              <w:rPr>
                <w:b/>
                <w:sz w:val="21"/>
              </w:rPr>
              <w:t>8.15</w:t>
            </w:r>
          </w:p>
        </w:tc>
        <w:tc>
          <w:tcPr>
            <w:tcW w:w="1994" w:type="dxa"/>
          </w:tcPr>
          <w:p>
            <w:pPr>
              <w:pStyle w:val="TableParagraph"/>
              <w:spacing w:before="156"/>
              <w:ind w:left="107"/>
              <w:rPr>
                <w:b/>
                <w:sz w:val="21"/>
              </w:rPr>
            </w:pPr>
            <w:r>
              <w:rPr>
                <w:b/>
                <w:sz w:val="21"/>
              </w:rPr>
              <w:t>机动车</w:t>
            </w:r>
          </w:p>
        </w:tc>
        <w:tc>
          <w:tcPr>
            <w:tcW w:w="7424" w:type="dxa"/>
          </w:tcPr>
          <w:p>
            <w:pPr>
              <w:pStyle w:val="TableParagraph"/>
              <w:spacing w:line="273" w:lineRule="auto" w:before="156"/>
              <w:ind w:left="100" w:right="154"/>
              <w:rPr>
                <w:sz w:val="21"/>
              </w:rPr>
            </w:pPr>
            <w:r>
              <w:rPr>
                <w:sz w:val="21"/>
              </w:rPr>
              <w:t>指以动力装置驱动或者牵引，上道路行驶的供人员乘用或者用于运送物品以及进行工程专项作业的轮式车辆。</w:t>
            </w:r>
          </w:p>
        </w:tc>
      </w:tr>
      <w:tr>
        <w:trPr>
          <w:trHeight w:val="1900" w:hRule="atLeast"/>
        </w:trPr>
        <w:tc>
          <w:tcPr>
            <w:tcW w:w="732" w:type="dxa"/>
          </w:tcPr>
          <w:p>
            <w:pPr>
              <w:pStyle w:val="TableParagraph"/>
              <w:spacing w:before="156"/>
              <w:ind w:left="200"/>
              <w:rPr>
                <w:b/>
                <w:sz w:val="21"/>
              </w:rPr>
            </w:pPr>
            <w:r>
              <w:rPr>
                <w:b/>
                <w:sz w:val="21"/>
              </w:rPr>
              <w:t>8.16</w:t>
            </w:r>
          </w:p>
        </w:tc>
        <w:tc>
          <w:tcPr>
            <w:tcW w:w="1994" w:type="dxa"/>
          </w:tcPr>
          <w:p>
            <w:pPr>
              <w:pStyle w:val="TableParagraph"/>
              <w:spacing w:line="273" w:lineRule="auto" w:before="156"/>
              <w:ind w:left="107" w:right="99"/>
              <w:rPr>
                <w:b/>
                <w:sz w:val="21"/>
              </w:rPr>
            </w:pPr>
            <w:r>
              <w:rPr>
                <w:b/>
                <w:sz w:val="21"/>
              </w:rPr>
              <w:t>感染艾滋病病毒或患艾滋病</w:t>
            </w:r>
          </w:p>
        </w:tc>
        <w:tc>
          <w:tcPr>
            <w:tcW w:w="7424" w:type="dxa"/>
          </w:tcPr>
          <w:p>
            <w:pPr>
              <w:pStyle w:val="TableParagraph"/>
              <w:spacing w:line="273" w:lineRule="auto" w:before="156"/>
              <w:ind w:left="100" w:right="206"/>
              <w:jc w:val="both"/>
              <w:rPr>
                <w:sz w:val="21"/>
              </w:rPr>
            </w:pPr>
            <w:r>
              <w:rPr>
                <w:spacing w:val="-2"/>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73" w:lineRule="auto" w:before="8"/>
              <w:ind w:left="100" w:right="205"/>
              <w:jc w:val="both"/>
              <w:rPr>
                <w:sz w:val="21"/>
              </w:rPr>
            </w:pPr>
            <w:r>
              <w:rPr>
                <w:spacing w:val="-1"/>
                <w:sz w:val="21"/>
              </w:rPr>
              <w:t>在人体血液或其它样本中检测到艾滋病病毒或其抗体呈阳性，没有出现临床症</w:t>
            </w:r>
            <w:r>
              <w:rPr>
                <w:spacing w:val="-5"/>
                <w:sz w:val="21"/>
              </w:rPr>
              <w:t>状或体征的，为感染艾滋病病毒；如果同时出现了明显临床症状或体征的，为患艾滋病。</w:t>
            </w:r>
          </w:p>
        </w:tc>
      </w:tr>
      <w:tr>
        <w:trPr>
          <w:trHeight w:val="743" w:hRule="atLeast"/>
        </w:trPr>
        <w:tc>
          <w:tcPr>
            <w:tcW w:w="732" w:type="dxa"/>
          </w:tcPr>
          <w:p>
            <w:pPr>
              <w:pStyle w:val="TableParagraph"/>
              <w:spacing w:before="156"/>
              <w:ind w:left="200"/>
              <w:rPr>
                <w:b/>
                <w:sz w:val="21"/>
              </w:rPr>
            </w:pPr>
            <w:r>
              <w:rPr>
                <w:b/>
                <w:sz w:val="21"/>
              </w:rPr>
              <w:t>8.17</w:t>
            </w:r>
          </w:p>
        </w:tc>
        <w:tc>
          <w:tcPr>
            <w:tcW w:w="1994" w:type="dxa"/>
          </w:tcPr>
          <w:p>
            <w:pPr>
              <w:pStyle w:val="TableParagraph"/>
              <w:spacing w:before="156"/>
              <w:ind w:left="107"/>
              <w:rPr>
                <w:b/>
                <w:sz w:val="21"/>
              </w:rPr>
            </w:pPr>
            <w:r>
              <w:rPr>
                <w:b/>
                <w:w w:val="95"/>
                <w:sz w:val="21"/>
              </w:rPr>
              <w:t>遗传性疾病</w:t>
            </w:r>
          </w:p>
        </w:tc>
        <w:tc>
          <w:tcPr>
            <w:tcW w:w="7424" w:type="dxa"/>
          </w:tcPr>
          <w:p>
            <w:pPr>
              <w:pStyle w:val="TableParagraph"/>
              <w:spacing w:line="310" w:lineRule="atLeast" w:before="121"/>
              <w:ind w:left="100" w:right="154"/>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top="1160" w:bottom="280" w:left="720" w:right="8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522"/>
      </w:tblGrid>
      <w:tr>
        <w:trPr>
          <w:trHeight w:val="1083" w:hRule="atLeast"/>
        </w:trPr>
        <w:tc>
          <w:tcPr>
            <w:tcW w:w="732" w:type="dxa"/>
          </w:tcPr>
          <w:p>
            <w:pPr>
              <w:pStyle w:val="TableParagraph"/>
              <w:spacing w:line="210" w:lineRule="exact"/>
              <w:ind w:left="0" w:right="106"/>
              <w:jc w:val="right"/>
              <w:rPr>
                <w:b/>
                <w:sz w:val="21"/>
              </w:rPr>
            </w:pPr>
            <w:r>
              <w:rPr>
                <w:b/>
                <w:w w:val="95"/>
                <w:sz w:val="21"/>
              </w:rPr>
              <w:t>8.18</w:t>
            </w:r>
          </w:p>
        </w:tc>
        <w:tc>
          <w:tcPr>
            <w:tcW w:w="1994" w:type="dxa"/>
          </w:tcPr>
          <w:p>
            <w:pPr>
              <w:pStyle w:val="TableParagraph"/>
              <w:spacing w:line="210" w:lineRule="exact"/>
              <w:ind w:left="107"/>
              <w:rPr>
                <w:b/>
                <w:sz w:val="21"/>
              </w:rPr>
            </w:pPr>
            <w:r>
              <w:rPr>
                <w:b/>
                <w:sz w:val="21"/>
              </w:rPr>
              <w:t>先天性畸形、变形</w:t>
            </w:r>
          </w:p>
          <w:p>
            <w:pPr>
              <w:pStyle w:val="TableParagraph"/>
              <w:spacing w:before="37"/>
              <w:ind w:left="107"/>
              <w:rPr>
                <w:b/>
                <w:sz w:val="21"/>
              </w:rPr>
            </w:pPr>
            <w:r>
              <w:rPr>
                <w:b/>
                <w:w w:val="95"/>
                <w:sz w:val="21"/>
              </w:rPr>
              <w:t>或染色体异常</w:t>
            </w:r>
          </w:p>
        </w:tc>
        <w:tc>
          <w:tcPr>
            <w:tcW w:w="7522" w:type="dxa"/>
          </w:tcPr>
          <w:p>
            <w:pPr>
              <w:pStyle w:val="TableParagraph"/>
              <w:spacing w:line="210" w:lineRule="exact"/>
              <w:ind w:left="100"/>
              <w:rPr>
                <w:sz w:val="21"/>
              </w:rPr>
            </w:pPr>
            <w:r>
              <w:rPr>
                <w:sz w:val="21"/>
              </w:rPr>
              <w:t>指被保险人出生时就具有的畸形、变形或染色体异常。先天性畸形、变形和染</w:t>
            </w:r>
          </w:p>
          <w:p>
            <w:pPr>
              <w:pStyle w:val="TableParagraph"/>
              <w:spacing w:line="273" w:lineRule="auto" w:before="37"/>
              <w:ind w:left="100" w:right="198"/>
              <w:rPr>
                <w:sz w:val="21"/>
              </w:rPr>
            </w:pPr>
            <w:r>
              <w:rPr>
                <w:spacing w:val="-1"/>
                <w:sz w:val="21"/>
              </w:rPr>
              <w:t>色体异常依照世界卫生组织《疾病和有关健康问题的国际统计分类</w:t>
            </w:r>
            <w:r>
              <w:rPr>
                <w:spacing w:val="-117"/>
                <w:sz w:val="21"/>
              </w:rPr>
              <w:t>》</w:t>
            </w:r>
            <w:r>
              <w:rPr>
                <w:sz w:val="21"/>
              </w:rPr>
              <w:t>（ICD-10） 确定。</w:t>
            </w:r>
          </w:p>
        </w:tc>
      </w:tr>
      <w:tr>
        <w:trPr>
          <w:trHeight w:val="771" w:hRule="atLeast"/>
        </w:trPr>
        <w:tc>
          <w:tcPr>
            <w:tcW w:w="732" w:type="dxa"/>
          </w:tcPr>
          <w:p>
            <w:pPr>
              <w:pStyle w:val="TableParagraph"/>
              <w:spacing w:before="1"/>
              <w:ind w:left="0"/>
              <w:rPr>
                <w:sz w:val="14"/>
              </w:rPr>
            </w:pPr>
          </w:p>
          <w:p>
            <w:pPr>
              <w:pStyle w:val="TableParagraph"/>
              <w:ind w:left="0" w:right="106"/>
              <w:jc w:val="right"/>
              <w:rPr>
                <w:b/>
                <w:sz w:val="21"/>
              </w:rPr>
            </w:pPr>
            <w:r>
              <w:rPr>
                <w:b/>
                <w:w w:val="95"/>
                <w:sz w:val="21"/>
              </w:rPr>
              <w:t>8.19</w:t>
            </w:r>
          </w:p>
        </w:tc>
        <w:tc>
          <w:tcPr>
            <w:tcW w:w="1994" w:type="dxa"/>
          </w:tcPr>
          <w:p>
            <w:pPr>
              <w:pStyle w:val="TableParagraph"/>
              <w:spacing w:before="1"/>
              <w:ind w:left="0"/>
              <w:rPr>
                <w:sz w:val="14"/>
              </w:rPr>
            </w:pPr>
          </w:p>
          <w:p>
            <w:pPr>
              <w:pStyle w:val="TableParagraph"/>
              <w:ind w:left="107"/>
              <w:rPr>
                <w:b/>
                <w:sz w:val="21"/>
              </w:rPr>
            </w:pPr>
            <w:r>
              <w:rPr>
                <w:b/>
                <w:w w:val="95"/>
                <w:sz w:val="21"/>
              </w:rPr>
              <w:t>保险费约定支付日</w:t>
            </w:r>
          </w:p>
        </w:tc>
        <w:tc>
          <w:tcPr>
            <w:tcW w:w="7522" w:type="dxa"/>
          </w:tcPr>
          <w:p>
            <w:pPr>
              <w:pStyle w:val="TableParagraph"/>
              <w:spacing w:line="310" w:lineRule="atLeast" w:before="149"/>
              <w:ind w:left="100" w:right="252"/>
              <w:rPr>
                <w:sz w:val="21"/>
              </w:rPr>
            </w:pPr>
            <w:r>
              <w:rPr>
                <w:sz w:val="21"/>
              </w:rPr>
              <w:t>指保险合同生效日在每月、每季、每半年或每年（根据交费方式确定）的对应日。如果当月无对应的同一日，则以该月最后一日为对应日。</w:t>
            </w:r>
          </w:p>
        </w:tc>
      </w:tr>
    </w:tbl>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2728" w:hanging="640"/>
        <w:jc w:val="left"/>
      </w:pPr>
      <w:rPr>
        <w:rFonts w:hint="default"/>
      </w:rPr>
    </w:lvl>
    <w:lvl w:ilvl="1">
      <w:start w:val="2"/>
      <w:numFmt w:val="decimal"/>
      <w:lvlText w:val="%1.%2"/>
      <w:lvlJc w:val="left"/>
      <w:pPr>
        <w:ind w:left="2728" w:hanging="640"/>
        <w:jc w:val="left"/>
      </w:pPr>
      <w:rPr>
        <w:rFonts w:hint="default" w:ascii="宋体" w:hAnsi="宋体" w:eastAsia="宋体" w:cs="宋体"/>
        <w:b/>
        <w:bCs/>
        <w:w w:val="99"/>
        <w:sz w:val="21"/>
        <w:szCs w:val="21"/>
      </w:rPr>
    </w:lvl>
    <w:lvl w:ilvl="2">
      <w:start w:val="0"/>
      <w:numFmt w:val="bullet"/>
      <w:lvlText w:val="•"/>
      <w:lvlJc w:val="left"/>
      <w:pPr>
        <w:ind w:left="4016" w:hanging="640"/>
      </w:pPr>
      <w:rPr>
        <w:rFonts w:hint="default"/>
      </w:rPr>
    </w:lvl>
    <w:lvl w:ilvl="3">
      <w:start w:val="0"/>
      <w:numFmt w:val="bullet"/>
      <w:lvlText w:val="•"/>
      <w:lvlJc w:val="left"/>
      <w:pPr>
        <w:ind w:left="4772" w:hanging="640"/>
      </w:pPr>
      <w:rPr>
        <w:rFonts w:hint="default"/>
      </w:rPr>
    </w:lvl>
    <w:lvl w:ilvl="4">
      <w:start w:val="0"/>
      <w:numFmt w:val="bullet"/>
      <w:lvlText w:val="•"/>
      <w:lvlJc w:val="left"/>
      <w:pPr>
        <w:ind w:left="5528" w:hanging="640"/>
      </w:pPr>
      <w:rPr>
        <w:rFonts w:hint="default"/>
      </w:rPr>
    </w:lvl>
    <w:lvl w:ilvl="5">
      <w:start w:val="0"/>
      <w:numFmt w:val="bullet"/>
      <w:lvlText w:val="•"/>
      <w:lvlJc w:val="left"/>
      <w:pPr>
        <w:ind w:left="6285" w:hanging="640"/>
      </w:pPr>
      <w:rPr>
        <w:rFonts w:hint="default"/>
      </w:rPr>
    </w:lvl>
    <w:lvl w:ilvl="6">
      <w:start w:val="0"/>
      <w:numFmt w:val="bullet"/>
      <w:lvlText w:val="•"/>
      <w:lvlJc w:val="left"/>
      <w:pPr>
        <w:ind w:left="7041" w:hanging="640"/>
      </w:pPr>
      <w:rPr>
        <w:rFonts w:hint="default"/>
      </w:rPr>
    </w:lvl>
    <w:lvl w:ilvl="7">
      <w:start w:val="0"/>
      <w:numFmt w:val="bullet"/>
      <w:lvlText w:val="•"/>
      <w:lvlJc w:val="left"/>
      <w:pPr>
        <w:ind w:left="7797" w:hanging="640"/>
      </w:pPr>
      <w:rPr>
        <w:rFonts w:hint="default"/>
      </w:rPr>
    </w:lvl>
    <w:lvl w:ilvl="8">
      <w:start w:val="0"/>
      <w:numFmt w:val="bullet"/>
      <w:lvlText w:val="•"/>
      <w:lvlJc w:val="left"/>
      <w:pPr>
        <w:ind w:left="8553" w:hanging="640"/>
      </w:pPr>
      <w:rPr>
        <w:rFonts w:hint="default"/>
      </w:rPr>
    </w:lvl>
  </w:abstractNum>
  <w:abstractNum w:abstractNumId="2">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2725"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90" w:hanging="640"/>
      </w:pPr>
      <w:rPr>
        <w:rFonts w:hint="default"/>
      </w:rPr>
    </w:lvl>
    <w:lvl w:ilvl="5">
      <w:start w:val="0"/>
      <w:numFmt w:val="bullet"/>
      <w:lvlText w:val="•"/>
      <w:lvlJc w:val="left"/>
      <w:pPr>
        <w:ind w:left="5523" w:hanging="640"/>
      </w:pPr>
      <w:rPr>
        <w:rFonts w:hint="default"/>
      </w:rPr>
    </w:lvl>
    <w:lvl w:ilvl="6">
      <w:start w:val="0"/>
      <w:numFmt w:val="bullet"/>
      <w:lvlText w:val="•"/>
      <w:lvlJc w:val="left"/>
      <w:pPr>
        <w:ind w:left="6455" w:hanging="640"/>
      </w:pPr>
      <w:rPr>
        <w:rFonts w:hint="default"/>
      </w:rPr>
    </w:lvl>
    <w:lvl w:ilvl="7">
      <w:start w:val="0"/>
      <w:numFmt w:val="bullet"/>
      <w:lvlText w:val="•"/>
      <w:lvlJc w:val="left"/>
      <w:pPr>
        <w:ind w:left="7388" w:hanging="640"/>
      </w:pPr>
      <w:rPr>
        <w:rFonts w:hint="default"/>
      </w:rPr>
    </w:lvl>
    <w:lvl w:ilvl="8">
      <w:start w:val="0"/>
      <w:numFmt w:val="bullet"/>
      <w:lvlText w:val="•"/>
      <w:lvlJc w:val="left"/>
      <w:pPr>
        <w:ind w:left="8321" w:hanging="640"/>
      </w:pPr>
      <w:rPr>
        <w:rFonts w:hint="default"/>
      </w:rPr>
    </w:lvl>
  </w:abstractNum>
  <w:abstractNum w:abstractNumId="1">
    <w:multiLevelType w:val="hybridMultilevel"/>
    <w:lvl w:ilvl="0">
      <w:start w:val="1"/>
      <w:numFmt w:val="decimal"/>
      <w:lvlText w:val="%1"/>
      <w:lvlJc w:val="left"/>
      <w:pPr>
        <w:ind w:left="1065" w:hanging="420"/>
        <w:jc w:val="left"/>
      </w:pPr>
      <w:rPr>
        <w:rFonts w:hint="default"/>
      </w:rPr>
    </w:lvl>
    <w:lvl w:ilvl="1">
      <w:start w:val="2"/>
      <w:numFmt w:val="decimal"/>
      <w:lvlText w:val="%1.%2"/>
      <w:lvlJc w:val="left"/>
      <w:pPr>
        <w:ind w:left="1065" w:hanging="420"/>
        <w:jc w:val="left"/>
      </w:pPr>
      <w:rPr>
        <w:rFonts w:hint="default" w:ascii="宋体" w:hAnsi="宋体" w:eastAsia="宋体" w:cs="宋体"/>
        <w:spacing w:val="-1"/>
        <w:w w:val="100"/>
        <w:sz w:val="21"/>
        <w:szCs w:val="21"/>
      </w:rPr>
    </w:lvl>
    <w:lvl w:ilvl="2">
      <w:start w:val="0"/>
      <w:numFmt w:val="bullet"/>
      <w:lvlText w:val="•"/>
      <w:lvlJc w:val="left"/>
      <w:pPr>
        <w:ind w:left="1567" w:hanging="420"/>
      </w:pPr>
      <w:rPr>
        <w:rFonts w:hint="default"/>
      </w:rPr>
    </w:lvl>
    <w:lvl w:ilvl="3">
      <w:start w:val="0"/>
      <w:numFmt w:val="bullet"/>
      <w:lvlText w:val="•"/>
      <w:lvlJc w:val="left"/>
      <w:pPr>
        <w:ind w:left="1821" w:hanging="420"/>
      </w:pPr>
      <w:rPr>
        <w:rFonts w:hint="default"/>
      </w:rPr>
    </w:lvl>
    <w:lvl w:ilvl="4">
      <w:start w:val="0"/>
      <w:numFmt w:val="bullet"/>
      <w:lvlText w:val="•"/>
      <w:lvlJc w:val="left"/>
      <w:pPr>
        <w:ind w:left="2075" w:hanging="420"/>
      </w:pPr>
      <w:rPr>
        <w:rFonts w:hint="default"/>
      </w:rPr>
    </w:lvl>
    <w:lvl w:ilvl="5">
      <w:start w:val="0"/>
      <w:numFmt w:val="bullet"/>
      <w:lvlText w:val="•"/>
      <w:lvlJc w:val="left"/>
      <w:pPr>
        <w:ind w:left="2329" w:hanging="420"/>
      </w:pPr>
      <w:rPr>
        <w:rFonts w:hint="default"/>
      </w:rPr>
    </w:lvl>
    <w:lvl w:ilvl="6">
      <w:start w:val="0"/>
      <w:numFmt w:val="bullet"/>
      <w:lvlText w:val="•"/>
      <w:lvlJc w:val="left"/>
      <w:pPr>
        <w:ind w:left="2583" w:hanging="420"/>
      </w:pPr>
      <w:rPr>
        <w:rFonts w:hint="default"/>
      </w:rPr>
    </w:lvl>
    <w:lvl w:ilvl="7">
      <w:start w:val="0"/>
      <w:numFmt w:val="bullet"/>
      <w:lvlText w:val="•"/>
      <w:lvlJc w:val="left"/>
      <w:pPr>
        <w:ind w:left="2836" w:hanging="420"/>
      </w:pPr>
      <w:rPr>
        <w:rFonts w:hint="default"/>
      </w:rPr>
    </w:lvl>
    <w:lvl w:ilvl="8">
      <w:start w:val="0"/>
      <w:numFmt w:val="bullet"/>
      <w:lvlText w:val="•"/>
      <w:lvlJc w:val="left"/>
      <w:pPr>
        <w:ind w:left="3090" w:hanging="42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
      <w:ind w:left="740"/>
      <w:outlineLvl w:val="2"/>
    </w:pPr>
    <w:rPr>
      <w:rFonts w:ascii="等线" w:hAnsi="等线" w:eastAsia="等线" w:cs="等线"/>
      <w:b/>
      <w:bCs/>
      <w:sz w:val="24"/>
      <w:szCs w:val="24"/>
    </w:rPr>
  </w:style>
  <w:style w:styleId="ListParagraph" w:type="paragraph">
    <w:name w:val="List Paragraph"/>
    <w:basedOn w:val="Normal"/>
    <w:uiPriority w:val="1"/>
    <w:qFormat/>
    <w:pPr>
      <w:spacing w:before="21"/>
      <w:ind w:left="1737" w:hanging="420"/>
    </w:pPr>
    <w:rPr>
      <w:rFonts w:ascii="宋体" w:hAnsi="宋体" w:eastAsia="宋体" w:cs="宋体"/>
    </w:rPr>
  </w:style>
  <w:style w:styleId="TableParagraph" w:type="paragraph">
    <w:name w:val="Table Paragraph"/>
    <w:basedOn w:val="Normal"/>
    <w:uiPriority w:val="1"/>
    <w:qFormat/>
    <w:pPr>
      <w:ind w:left="10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2018-10-20T04:14:38Z</dcterms:created>
  <dcterms:modified xsi:type="dcterms:W3CDTF">2018-10-20T04:14:38Z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