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7" w:firstLine="0"/>
        <w:jc w:val="right"/>
        <w:rPr>
          <w:sz w:val="16"/>
        </w:rPr>
      </w:pPr>
      <w:r>
        <w:rPr/>
        <w:pict>
          <v:shapetype id="_x0000_t202" o:spt="202" coordsize="21600,21600" path="m,l,21600r21600,l21600,xe">
            <v:stroke joinstyle="miter"/>
            <v:path gradientshapeok="t" o:connecttype="rect"/>
          </v:shapetype>
          <v:shape style="position:absolute;margin-left:120.960037pt;margin-top:5.416421pt;width:353.35pt;height:112.1pt;mso-position-horizontal-relative:page;mso-position-vertical-relative:paragraph;z-index:-98080" type="#_x0000_t202" filled="false" stroked="false">
            <v:textbox inset="0,0,0,0">
              <w:txbxContent>
                <w:p>
                  <w:pPr>
                    <w:spacing w:before="917"/>
                    <w:ind w:left="0" w:right="0" w:firstLine="0"/>
                    <w:jc w:val="left"/>
                    <w:rPr>
                      <w:rFonts w:ascii="Microsoft JhengHei" w:eastAsia="Microsoft JhengHei" w:hint="eastAsia"/>
                      <w:b/>
                      <w:sz w:val="44"/>
                    </w:rPr>
                  </w:pPr>
                  <w:r>
                    <w:rPr>
                      <w:rFonts w:ascii="Microsoft JhengHei" w:eastAsia="Microsoft JhengHei" w:hint="eastAsia"/>
                      <w:b/>
                      <w:sz w:val="44"/>
                    </w:rPr>
                    <w:t>弘康</w:t>
                  </w:r>
                  <w:r>
                    <w:rPr>
                      <w:spacing w:val="-443"/>
                      <w:position w:val="63"/>
                      <w:sz w:val="44"/>
                    </w:rPr>
                    <w:t>弘</w:t>
                  </w:r>
                  <w:r>
                    <w:rPr>
                      <w:spacing w:val="-438"/>
                      <w:sz w:val="44"/>
                    </w:rPr>
                    <w:t>附</w:t>
                  </w:r>
                  <w:r>
                    <w:rPr>
                      <w:spacing w:val="-443"/>
                      <w:position w:val="62"/>
                      <w:sz w:val="44"/>
                    </w:rPr>
                    <w:t>弘</w:t>
                  </w:r>
                  <w:r>
                    <w:rPr>
                      <w:spacing w:val="-6"/>
                      <w:sz w:val="44"/>
                    </w:rPr>
                    <w:t>附</w:t>
                  </w:r>
                  <w:r>
                    <w:rPr>
                      <w:spacing w:val="-443"/>
                      <w:position w:val="63"/>
                      <w:sz w:val="44"/>
                    </w:rPr>
                    <w:t>康</w:t>
                  </w:r>
                  <w:r>
                    <w:rPr>
                      <w:spacing w:val="-438"/>
                      <w:sz w:val="44"/>
                    </w:rPr>
                    <w:t>加</w:t>
                  </w:r>
                  <w:r>
                    <w:rPr>
                      <w:spacing w:val="-443"/>
                      <w:position w:val="62"/>
                      <w:sz w:val="44"/>
                    </w:rPr>
                    <w:t>康</w:t>
                  </w:r>
                  <w:r>
                    <w:rPr>
                      <w:spacing w:val="-6"/>
                      <w:sz w:val="44"/>
                    </w:rPr>
                    <w:t>加</w:t>
                  </w:r>
                  <w:r>
                    <w:rPr>
                      <w:spacing w:val="-443"/>
                      <w:position w:val="63"/>
                      <w:sz w:val="44"/>
                    </w:rPr>
                    <w:t>人</w:t>
                  </w:r>
                  <w:r>
                    <w:rPr>
                      <w:spacing w:val="-438"/>
                      <w:sz w:val="44"/>
                    </w:rPr>
                    <w:t>额</w:t>
                  </w:r>
                  <w:r>
                    <w:rPr>
                      <w:spacing w:val="-443"/>
                      <w:position w:val="62"/>
                      <w:sz w:val="44"/>
                    </w:rPr>
                    <w:t>人</w:t>
                  </w:r>
                  <w:r>
                    <w:rPr>
                      <w:spacing w:val="-6"/>
                      <w:sz w:val="44"/>
                    </w:rPr>
                    <w:t>额</w:t>
                  </w:r>
                  <w:r>
                    <w:rPr>
                      <w:spacing w:val="-443"/>
                      <w:position w:val="63"/>
                      <w:sz w:val="44"/>
                    </w:rPr>
                    <w:t>寿</w:t>
                  </w:r>
                  <w:r>
                    <w:rPr>
                      <w:spacing w:val="-438"/>
                      <w:sz w:val="44"/>
                    </w:rPr>
                    <w:t>外</w:t>
                  </w:r>
                  <w:r>
                    <w:rPr>
                      <w:spacing w:val="-443"/>
                      <w:position w:val="62"/>
                      <w:sz w:val="44"/>
                    </w:rPr>
                    <w:t>寿</w:t>
                  </w:r>
                  <w:r>
                    <w:rPr>
                      <w:spacing w:val="-6"/>
                      <w:sz w:val="44"/>
                    </w:rPr>
                    <w:t>外</w:t>
                  </w:r>
                  <w:r>
                    <w:rPr>
                      <w:spacing w:val="-443"/>
                      <w:position w:val="63"/>
                      <w:sz w:val="44"/>
                    </w:rPr>
                    <w:t>保</w:t>
                  </w:r>
                  <w:r>
                    <w:rPr>
                      <w:spacing w:val="-438"/>
                      <w:sz w:val="44"/>
                    </w:rPr>
                    <w:t>给</w:t>
                  </w:r>
                  <w:r>
                    <w:rPr>
                      <w:spacing w:val="-443"/>
                      <w:position w:val="62"/>
                      <w:sz w:val="44"/>
                    </w:rPr>
                    <w:t>保</w:t>
                  </w:r>
                  <w:r>
                    <w:rPr>
                      <w:spacing w:val="-6"/>
                      <w:sz w:val="44"/>
                    </w:rPr>
                    <w:t>给</w:t>
                  </w:r>
                  <w:r>
                    <w:rPr>
                      <w:spacing w:val="-443"/>
                      <w:position w:val="63"/>
                      <w:sz w:val="44"/>
                    </w:rPr>
                    <w:t>险</w:t>
                  </w:r>
                  <w:r>
                    <w:rPr>
                      <w:spacing w:val="-438"/>
                      <w:sz w:val="44"/>
                    </w:rPr>
                    <w:t>付</w:t>
                  </w:r>
                  <w:r>
                    <w:rPr>
                      <w:spacing w:val="-443"/>
                      <w:position w:val="62"/>
                      <w:sz w:val="44"/>
                    </w:rPr>
                    <w:t>险</w:t>
                  </w:r>
                  <w:r>
                    <w:rPr>
                      <w:spacing w:val="-6"/>
                      <w:sz w:val="44"/>
                    </w:rPr>
                    <w:t>付</w:t>
                  </w:r>
                  <w:r>
                    <w:rPr>
                      <w:spacing w:val="-443"/>
                      <w:position w:val="63"/>
                      <w:sz w:val="44"/>
                    </w:rPr>
                    <w:t>股</w:t>
                  </w:r>
                  <w:r>
                    <w:rPr>
                      <w:spacing w:val="-438"/>
                      <w:sz w:val="44"/>
                    </w:rPr>
                    <w:t>重</w:t>
                  </w:r>
                  <w:r>
                    <w:rPr>
                      <w:spacing w:val="-443"/>
                      <w:position w:val="62"/>
                      <w:sz w:val="44"/>
                    </w:rPr>
                    <w:t>股</w:t>
                  </w:r>
                  <w:r>
                    <w:rPr>
                      <w:spacing w:val="-6"/>
                      <w:sz w:val="44"/>
                    </w:rPr>
                    <w:t>重</w:t>
                  </w:r>
                  <w:r>
                    <w:rPr>
                      <w:spacing w:val="-443"/>
                      <w:position w:val="63"/>
                      <w:sz w:val="44"/>
                    </w:rPr>
                    <w:t>份</w:t>
                  </w:r>
                  <w:r>
                    <w:rPr>
                      <w:spacing w:val="-438"/>
                      <w:sz w:val="44"/>
                    </w:rPr>
                    <w:t>大</w:t>
                  </w:r>
                  <w:r>
                    <w:rPr>
                      <w:spacing w:val="-443"/>
                      <w:position w:val="62"/>
                      <w:sz w:val="44"/>
                    </w:rPr>
                    <w:t>份</w:t>
                  </w:r>
                  <w:r>
                    <w:rPr>
                      <w:spacing w:val="-6"/>
                      <w:sz w:val="44"/>
                    </w:rPr>
                    <w:t>大</w:t>
                  </w:r>
                  <w:r>
                    <w:rPr>
                      <w:spacing w:val="-443"/>
                      <w:position w:val="63"/>
                      <w:sz w:val="44"/>
                    </w:rPr>
                    <w:t>有</w:t>
                  </w:r>
                  <w:r>
                    <w:rPr>
                      <w:spacing w:val="-438"/>
                      <w:sz w:val="44"/>
                    </w:rPr>
                    <w:t>疾</w:t>
                  </w:r>
                  <w:r>
                    <w:rPr>
                      <w:spacing w:val="-443"/>
                      <w:position w:val="62"/>
                      <w:sz w:val="44"/>
                    </w:rPr>
                    <w:t>有</w:t>
                  </w:r>
                  <w:r>
                    <w:rPr>
                      <w:spacing w:val="-6"/>
                      <w:sz w:val="44"/>
                    </w:rPr>
                    <w:t>疾</w:t>
                  </w:r>
                  <w:r>
                    <w:rPr>
                      <w:spacing w:val="-443"/>
                      <w:position w:val="63"/>
                      <w:sz w:val="44"/>
                    </w:rPr>
                    <w:t>限</w:t>
                  </w:r>
                  <w:r>
                    <w:rPr>
                      <w:spacing w:val="-438"/>
                      <w:sz w:val="44"/>
                    </w:rPr>
                    <w:t>病</w:t>
                  </w:r>
                  <w:r>
                    <w:rPr>
                      <w:spacing w:val="-443"/>
                      <w:position w:val="62"/>
                      <w:sz w:val="44"/>
                    </w:rPr>
                    <w:t>限</w:t>
                  </w:r>
                  <w:r>
                    <w:rPr>
                      <w:spacing w:val="-6"/>
                      <w:sz w:val="44"/>
                    </w:rPr>
                    <w:t>病</w:t>
                  </w:r>
                  <w:r>
                    <w:rPr>
                      <w:spacing w:val="-443"/>
                      <w:position w:val="63"/>
                      <w:sz w:val="44"/>
                    </w:rPr>
                    <w:t>公</w:t>
                  </w:r>
                  <w:r>
                    <w:rPr>
                      <w:spacing w:val="-438"/>
                      <w:sz w:val="44"/>
                    </w:rPr>
                    <w:t>保</w:t>
                  </w:r>
                  <w:r>
                    <w:rPr>
                      <w:spacing w:val="-443"/>
                      <w:position w:val="62"/>
                      <w:sz w:val="44"/>
                    </w:rPr>
                    <w:t>公</w:t>
                  </w:r>
                  <w:r>
                    <w:rPr>
                      <w:spacing w:val="-6"/>
                      <w:sz w:val="44"/>
                    </w:rPr>
                    <w:t>保</w:t>
                  </w:r>
                  <w:r>
                    <w:rPr>
                      <w:spacing w:val="-443"/>
                      <w:position w:val="63"/>
                      <w:sz w:val="44"/>
                    </w:rPr>
                    <w:t>司</w:t>
                  </w:r>
                  <w:r>
                    <w:rPr>
                      <w:spacing w:val="-438"/>
                      <w:sz w:val="44"/>
                    </w:rPr>
                    <w:t>险</w:t>
                  </w:r>
                  <w:r>
                    <w:rPr>
                      <w:spacing w:val="-443"/>
                      <w:position w:val="62"/>
                      <w:sz w:val="44"/>
                    </w:rPr>
                    <w:t>司</w:t>
                  </w:r>
                  <w:r>
                    <w:rPr>
                      <w:spacing w:val="-7"/>
                      <w:sz w:val="44"/>
                    </w:rPr>
                    <w:t>险</w:t>
                  </w:r>
                  <w:r>
                    <w:rPr>
                      <w:rFonts w:ascii="Microsoft JhengHei" w:eastAsia="Microsoft JhengHei" w:hint="eastAsia"/>
                      <w:b/>
                      <w:sz w:val="44"/>
                    </w:rPr>
                    <w:t>条款</w:t>
                  </w:r>
                </w:p>
              </w:txbxContent>
            </v:textbox>
            <w10:wrap type="none"/>
          </v:shape>
        </w:pict>
      </w:r>
      <w:r>
        <w:rPr>
          <w:w w:val="110"/>
          <w:sz w:val="16"/>
        </w:rPr>
        <w:t>弘康人寿[2012]疾病保险 002 号</w:t>
      </w:r>
    </w:p>
    <w:p>
      <w:pPr>
        <w:pStyle w:val="BodyText"/>
        <w:spacing w:before="6"/>
        <w:rPr>
          <w:sz w:val="9"/>
        </w:rPr>
      </w:pPr>
    </w:p>
    <w:p>
      <w:pPr>
        <w:pStyle w:val="BodyText"/>
        <w:ind w:left="9089"/>
      </w:pPr>
      <w:r>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
    </w:p>
    <w:p>
      <w:pPr>
        <w:spacing w:after="0"/>
        <w:sectPr>
          <w:type w:val="continuous"/>
          <w:pgSz w:w="11900" w:h="16840"/>
          <w:pgMar w:top="60" w:bottom="280" w:left="700" w:right="160"/>
        </w:sectPr>
      </w:pPr>
    </w:p>
    <w:p>
      <w:pPr>
        <w:spacing w:before="771"/>
        <w:ind w:left="2148" w:right="47" w:firstLine="0"/>
        <w:jc w:val="center"/>
        <w:rPr>
          <w:rFonts w:ascii="Microsoft JhengHei" w:eastAsia="Microsoft JhengHei" w:hint="eastAsia"/>
          <w:b/>
          <w:sz w:val="44"/>
        </w:rPr>
      </w:pPr>
      <w:r>
        <w:rPr>
          <w:rFonts w:ascii="Microsoft JhengHei" w:eastAsia="Microsoft JhengHei" w:hint="eastAsia"/>
          <w:b/>
          <w:sz w:val="44"/>
        </w:rPr>
        <w:t>阅读指引</w:t>
      </w:r>
    </w:p>
    <w:p>
      <w:pPr>
        <w:pStyle w:val="BodyText"/>
        <w:spacing w:before="201"/>
        <w:ind w:left="2250" w:right="47"/>
        <w:jc w:val="center"/>
      </w:pPr>
      <w:r>
        <w:rPr>
          <w:spacing w:val="-149"/>
          <w:w w:val="105"/>
        </w:rPr>
        <w:t>本</w:t>
      </w:r>
      <w:r>
        <w:rPr>
          <w:spacing w:val="-63"/>
          <w:w w:val="105"/>
          <w:position w:val="-7"/>
        </w:rPr>
        <w:t>．</w:t>
      </w:r>
      <w:r>
        <w:rPr>
          <w:spacing w:val="-149"/>
          <w:w w:val="105"/>
        </w:rPr>
        <w:t>阅</w:t>
      </w:r>
      <w:r>
        <w:rPr>
          <w:spacing w:val="-63"/>
          <w:w w:val="105"/>
          <w:position w:val="-7"/>
        </w:rPr>
        <w:t>．</w:t>
      </w:r>
      <w:r>
        <w:rPr>
          <w:spacing w:val="-152"/>
          <w:w w:val="105"/>
        </w:rPr>
        <w:t>读</w:t>
      </w:r>
      <w:r>
        <w:rPr>
          <w:spacing w:val="-63"/>
          <w:w w:val="105"/>
          <w:position w:val="-7"/>
        </w:rPr>
        <w:t>．</w:t>
      </w:r>
      <w:r>
        <w:rPr>
          <w:spacing w:val="-149"/>
          <w:w w:val="105"/>
        </w:rPr>
        <w:t>指</w:t>
      </w:r>
      <w:r>
        <w:rPr>
          <w:spacing w:val="-63"/>
          <w:w w:val="105"/>
          <w:position w:val="-7"/>
        </w:rPr>
        <w:t>．</w:t>
      </w:r>
      <w:r>
        <w:rPr>
          <w:spacing w:val="-152"/>
          <w:w w:val="105"/>
        </w:rPr>
        <w:t>引</w:t>
      </w:r>
      <w:r>
        <w:rPr>
          <w:spacing w:val="-63"/>
          <w:w w:val="105"/>
          <w:position w:val="-7"/>
        </w:rPr>
        <w:t>．</w:t>
      </w:r>
      <w:r>
        <w:rPr>
          <w:spacing w:val="-149"/>
          <w:w w:val="105"/>
        </w:rPr>
        <w:t>有</w:t>
      </w:r>
      <w:r>
        <w:rPr>
          <w:spacing w:val="-63"/>
          <w:w w:val="105"/>
          <w:position w:val="-7"/>
        </w:rPr>
        <w:t>．</w:t>
      </w:r>
      <w:r>
        <w:rPr>
          <w:spacing w:val="-152"/>
          <w:w w:val="105"/>
        </w:rPr>
        <w:t>助</w:t>
      </w:r>
      <w:r>
        <w:rPr>
          <w:spacing w:val="-63"/>
          <w:w w:val="105"/>
          <w:position w:val="-7"/>
        </w:rPr>
        <w:t>．</w:t>
      </w:r>
      <w:r>
        <w:rPr>
          <w:spacing w:val="-149"/>
          <w:w w:val="105"/>
        </w:rPr>
        <w:t>于</w:t>
      </w:r>
      <w:r>
        <w:rPr>
          <w:spacing w:val="-63"/>
          <w:w w:val="105"/>
          <w:position w:val="-7"/>
        </w:rPr>
        <w:t>．</w:t>
      </w:r>
      <w:r>
        <w:rPr>
          <w:spacing w:val="-152"/>
          <w:w w:val="105"/>
        </w:rPr>
        <w:t>您</w:t>
      </w:r>
      <w:r>
        <w:rPr>
          <w:spacing w:val="-63"/>
          <w:w w:val="105"/>
          <w:position w:val="-7"/>
        </w:rPr>
        <w:t>．</w:t>
      </w:r>
      <w:r>
        <w:rPr>
          <w:spacing w:val="-149"/>
          <w:w w:val="105"/>
        </w:rPr>
        <w:t>理</w:t>
      </w:r>
      <w:r>
        <w:rPr>
          <w:spacing w:val="-63"/>
          <w:w w:val="105"/>
          <w:position w:val="-7"/>
        </w:rPr>
        <w:t>．</w:t>
      </w:r>
      <w:r>
        <w:rPr>
          <w:spacing w:val="-152"/>
          <w:w w:val="105"/>
        </w:rPr>
        <w:t>解</w:t>
      </w:r>
      <w:r>
        <w:rPr>
          <w:spacing w:val="-63"/>
          <w:w w:val="105"/>
          <w:position w:val="-7"/>
        </w:rPr>
        <w:t>．</w:t>
      </w:r>
      <w:r>
        <w:rPr>
          <w:spacing w:val="-149"/>
          <w:w w:val="105"/>
        </w:rPr>
        <w:t>条</w:t>
      </w:r>
      <w:r>
        <w:rPr>
          <w:spacing w:val="-63"/>
          <w:w w:val="105"/>
          <w:position w:val="-7"/>
        </w:rPr>
        <w:t>．</w:t>
      </w:r>
      <w:r>
        <w:rPr>
          <w:spacing w:val="-149"/>
          <w:w w:val="105"/>
        </w:rPr>
        <w:t>款</w:t>
      </w:r>
      <w:r>
        <w:rPr>
          <w:spacing w:val="-63"/>
          <w:w w:val="105"/>
          <w:position w:val="-7"/>
        </w:rPr>
        <w:t>．</w:t>
      </w:r>
      <w:r>
        <w:rPr>
          <w:spacing w:val="-152"/>
          <w:w w:val="105"/>
        </w:rPr>
        <w:t>，</w:t>
      </w:r>
      <w:r>
        <w:rPr>
          <w:spacing w:val="-63"/>
          <w:w w:val="105"/>
          <w:position w:val="-7"/>
        </w:rPr>
        <w:t>．</w:t>
      </w:r>
      <w:r>
        <w:rPr>
          <w:spacing w:val="-149"/>
          <w:w w:val="105"/>
        </w:rPr>
        <w:t>对</w:t>
      </w:r>
      <w:r>
        <w:rPr>
          <w:spacing w:val="-63"/>
          <w:w w:val="105"/>
          <w:position w:val="-7"/>
        </w:rPr>
        <w:t>．</w:t>
      </w:r>
      <w:r>
        <w:rPr>
          <w:spacing w:val="-152"/>
          <w:w w:val="105"/>
        </w:rPr>
        <w:t>本</w:t>
      </w:r>
      <w:r>
        <w:rPr>
          <w:spacing w:val="-63"/>
          <w:w w:val="105"/>
          <w:position w:val="-7"/>
        </w:rPr>
        <w:t>．</w:t>
      </w:r>
      <w:r>
        <w:rPr>
          <w:spacing w:val="-149"/>
          <w:w w:val="105"/>
        </w:rPr>
        <w:t>合</w:t>
      </w:r>
      <w:r>
        <w:rPr>
          <w:spacing w:val="-63"/>
          <w:w w:val="105"/>
          <w:position w:val="-7"/>
        </w:rPr>
        <w:t>．</w:t>
      </w:r>
      <w:r>
        <w:rPr>
          <w:spacing w:val="-152"/>
          <w:w w:val="105"/>
        </w:rPr>
        <w:t>同</w:t>
      </w:r>
      <w:r>
        <w:rPr>
          <w:spacing w:val="-63"/>
          <w:w w:val="105"/>
          <w:position w:val="-7"/>
        </w:rPr>
        <w:t>．</w:t>
      </w:r>
      <w:r>
        <w:rPr>
          <w:spacing w:val="-149"/>
          <w:w w:val="105"/>
        </w:rPr>
        <w:t>内</w:t>
      </w:r>
      <w:r>
        <w:rPr>
          <w:spacing w:val="-63"/>
          <w:w w:val="105"/>
          <w:position w:val="-7"/>
        </w:rPr>
        <w:t>．</w:t>
      </w:r>
      <w:r>
        <w:rPr>
          <w:spacing w:val="-152"/>
          <w:w w:val="105"/>
        </w:rPr>
        <w:t>容</w:t>
      </w:r>
      <w:r>
        <w:rPr>
          <w:spacing w:val="-63"/>
          <w:w w:val="105"/>
          <w:position w:val="-7"/>
        </w:rPr>
        <w:t>．</w:t>
      </w:r>
      <w:r>
        <w:rPr>
          <w:spacing w:val="-149"/>
          <w:w w:val="105"/>
        </w:rPr>
        <w:t>的</w:t>
      </w:r>
      <w:r>
        <w:rPr>
          <w:spacing w:val="-63"/>
          <w:w w:val="105"/>
          <w:position w:val="-7"/>
        </w:rPr>
        <w:t>．</w:t>
      </w:r>
      <w:r>
        <w:rPr>
          <w:spacing w:val="-152"/>
          <w:w w:val="105"/>
        </w:rPr>
        <w:t>解</w:t>
      </w:r>
      <w:r>
        <w:rPr>
          <w:spacing w:val="-63"/>
          <w:w w:val="105"/>
          <w:position w:val="-7"/>
        </w:rPr>
        <w:t>．</w:t>
      </w:r>
      <w:r>
        <w:rPr>
          <w:spacing w:val="-149"/>
          <w:w w:val="105"/>
        </w:rPr>
        <w:t>释</w:t>
      </w:r>
      <w:r>
        <w:rPr>
          <w:spacing w:val="-63"/>
          <w:w w:val="105"/>
          <w:position w:val="-7"/>
        </w:rPr>
        <w:t>．</w:t>
      </w:r>
      <w:r>
        <w:rPr>
          <w:spacing w:val="-149"/>
          <w:w w:val="105"/>
        </w:rPr>
        <w:t>以</w:t>
      </w:r>
      <w:r>
        <w:rPr>
          <w:spacing w:val="-63"/>
          <w:w w:val="105"/>
          <w:position w:val="-7"/>
        </w:rPr>
        <w:t>．</w:t>
      </w:r>
      <w:r>
        <w:rPr>
          <w:spacing w:val="-152"/>
          <w:w w:val="105"/>
        </w:rPr>
        <w:t>条</w:t>
      </w:r>
      <w:r>
        <w:rPr>
          <w:spacing w:val="-63"/>
          <w:w w:val="105"/>
          <w:position w:val="-7"/>
        </w:rPr>
        <w:t>．</w:t>
      </w:r>
      <w:r>
        <w:rPr>
          <w:spacing w:val="-149"/>
          <w:w w:val="105"/>
        </w:rPr>
        <w:t>款</w:t>
      </w:r>
      <w:r>
        <w:rPr>
          <w:spacing w:val="-63"/>
          <w:w w:val="105"/>
          <w:position w:val="-7"/>
        </w:rPr>
        <w:t>．</w:t>
      </w:r>
      <w:r>
        <w:rPr>
          <w:spacing w:val="-152"/>
          <w:w w:val="105"/>
        </w:rPr>
        <w:t>为</w:t>
      </w:r>
      <w:r>
        <w:rPr>
          <w:spacing w:val="-63"/>
          <w:w w:val="105"/>
          <w:position w:val="-7"/>
        </w:rPr>
        <w:t>．</w:t>
      </w:r>
      <w:r>
        <w:rPr>
          <w:spacing w:val="-149"/>
          <w:w w:val="105"/>
        </w:rPr>
        <w:t>准</w:t>
      </w:r>
      <w:r>
        <w:rPr>
          <w:spacing w:val="-63"/>
          <w:w w:val="105"/>
          <w:position w:val="-7"/>
        </w:rPr>
        <w:t>．</w:t>
      </w:r>
      <w:r>
        <w:rPr>
          <w:spacing w:val="-152"/>
          <w:w w:val="105"/>
        </w:rPr>
        <w:t>。</w:t>
      </w:r>
      <w:r>
        <w:rPr>
          <w:spacing w:val="-63"/>
          <w:w w:val="105"/>
          <w:position w:val="-7"/>
        </w:rPr>
        <w:t>．</w:t>
      </w:r>
      <w:r>
        <w:rPr>
          <w:w w:val="105"/>
        </w:rPr>
        <w:t> </w:t>
      </w:r>
    </w:p>
    <w:p>
      <w:pPr>
        <w:pStyle w:val="Heading3"/>
        <w:tabs>
          <w:tab w:pos="1258" w:val="left" w:leader="none"/>
        </w:tabs>
        <w:spacing w:line="240" w:lineRule="auto" w:before="9"/>
        <w:ind w:left="247"/>
      </w:pPr>
      <w:r>
        <w:rPr/>
        <w:drawing>
          <wp:anchor distT="0" distB="0" distL="0" distR="0" allowOverlap="1" layoutInCell="1" locked="0" behindDoc="1" simplePos="0" relativeHeight="268337351">
            <wp:simplePos x="0" y="0"/>
            <wp:positionH relativeFrom="page">
              <wp:posOffset>512063</wp:posOffset>
            </wp:positionH>
            <wp:positionV relativeFrom="paragraph">
              <wp:posOffset>123338</wp:posOffset>
            </wp:positionV>
            <wp:extent cx="6533387" cy="703630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036309"/>
                    </a:xfrm>
                    <a:prstGeom prst="rect">
                      <a:avLst/>
                    </a:prstGeom>
                  </pic:spPr>
                </pic:pic>
              </a:graphicData>
            </a:graphic>
          </wp:anchor>
        </w:drawing>
      </w:r>
      <w:r>
        <w:rPr>
          <w:rFonts w:ascii="Yu Gothic" w:hAnsi="Yu Gothic" w:eastAsia="Yu Gothic" w:hint="eastAsia"/>
          <w:w w:val="150"/>
          <w:position w:val="-11"/>
          <w:sz w:val="52"/>
        </w:rPr>
        <w:t>¤</w:t>
        <w:tab/>
      </w:r>
      <w:r>
        <w:rPr>
          <w:spacing w:val="-4"/>
          <w:w w:val="105"/>
        </w:rPr>
        <w:t>您拥有的重要权益</w:t>
      </w:r>
      <w:r>
        <w:rPr>
          <w:w w:val="216"/>
        </w:rPr>
        <w:t> </w:t>
      </w:r>
    </w:p>
    <w:p>
      <w:pPr>
        <w:spacing w:before="86"/>
        <w:ind w:left="247" w:right="0" w:firstLine="0"/>
        <w:jc w:val="left"/>
        <w:rPr>
          <w:sz w:val="16"/>
        </w:rPr>
      </w:pPr>
      <w:r>
        <w:rPr/>
        <w:br w:type="column"/>
      </w:r>
      <w:r>
        <w:rPr>
          <w:w w:val="110"/>
          <w:sz w:val="16"/>
        </w:rPr>
        <w:t>请扫描以查询验证条款</w:t>
      </w:r>
    </w:p>
    <w:p>
      <w:pPr>
        <w:spacing w:after="0"/>
        <w:jc w:val="left"/>
        <w:rPr>
          <w:sz w:val="16"/>
        </w:rPr>
        <w:sectPr>
          <w:type w:val="continuous"/>
          <w:pgSz w:w="11900" w:h="16840"/>
          <w:pgMar w:top="60" w:bottom="280" w:left="700" w:right="160"/>
          <w:cols w:num="2" w:equalWidth="0">
            <w:col w:w="8404" w:space="109"/>
            <w:col w:w="2527"/>
          </w:cols>
        </w:sectPr>
      </w:pPr>
    </w:p>
    <w:p>
      <w:pPr>
        <w:pStyle w:val="ListParagraph"/>
        <w:numPr>
          <w:ilvl w:val="0"/>
          <w:numId w:val="1"/>
        </w:numPr>
        <w:tabs>
          <w:tab w:pos="1639" w:val="left" w:leader="none"/>
          <w:tab w:pos="1640" w:val="left" w:leader="none"/>
        </w:tabs>
        <w:spacing w:line="270" w:lineRule="exact" w:before="0" w:after="0"/>
        <w:ind w:left="1640" w:right="0" w:hanging="420"/>
        <w:jc w:val="left"/>
        <w:rPr>
          <w:sz w:val="20"/>
        </w:rPr>
      </w:pPr>
      <w:r>
        <w:rPr>
          <w:spacing w:val="-3"/>
          <w:w w:val="105"/>
          <w:sz w:val="20"/>
        </w:rPr>
        <w:t>签收本合同之日起</w:t>
      </w:r>
      <w:r>
        <w:rPr>
          <w:spacing w:val="-2"/>
          <w:w w:val="105"/>
          <w:sz w:val="20"/>
        </w:rPr>
        <w:t>10日内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4" w:after="0"/>
        <w:ind w:left="1640" w:right="0" w:hanging="420"/>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262" w:lineRule="exact" w:before="34" w:after="0"/>
        <w:ind w:left="1553" w:right="0" w:hanging="333"/>
        <w:jc w:val="left"/>
        <w:rPr>
          <w:sz w:val="20"/>
        </w:rPr>
      </w:pPr>
      <w:r>
        <w:rPr>
          <w:spacing w:val="-3"/>
          <w:w w:val="105"/>
          <w:sz w:val="20"/>
        </w:rPr>
        <w:t>您有解除合同的权利………………………………………………………………………</w:t>
      </w:r>
      <w:r>
        <w:rPr>
          <w:spacing w:val="-2"/>
          <w:w w:val="105"/>
          <w:sz w:val="20"/>
        </w:rPr>
        <w:t>6.1</w:t>
      </w:r>
      <w:r>
        <w:rPr>
          <w:w w:val="105"/>
          <w:sz w:val="20"/>
        </w:rPr>
        <w:t> </w:t>
      </w:r>
    </w:p>
    <w:p>
      <w:pPr>
        <w:pStyle w:val="Heading3"/>
        <w:tabs>
          <w:tab w:pos="1260" w:val="left" w:leader="none"/>
        </w:tabs>
        <w:spacing w:line="859" w:lineRule="exact"/>
        <w:ind w:left="247"/>
      </w:pPr>
      <w:r>
        <w:rPr>
          <w:rFonts w:ascii="Yu Gothic" w:hAnsi="Yu Gothic" w:eastAsia="Yu Gothic" w:hint="eastAsia"/>
          <w:w w:val="150"/>
          <w:position w:val="-11"/>
          <w:sz w:val="52"/>
        </w:rPr>
        <w:t>¤</w:t>
        <w:tab/>
      </w:r>
      <w:r>
        <w:rPr>
          <w:spacing w:val="-5"/>
          <w:w w:val="105"/>
        </w:rPr>
        <w:t>您应当特别注意的事项</w:t>
      </w:r>
      <w:r>
        <w:rPr>
          <w:w w:val="216"/>
        </w:rPr>
        <w:t> </w:t>
      </w:r>
    </w:p>
    <w:p>
      <w:pPr>
        <w:pStyle w:val="ListParagraph"/>
        <w:numPr>
          <w:ilvl w:val="0"/>
          <w:numId w:val="1"/>
        </w:numPr>
        <w:tabs>
          <w:tab w:pos="1554" w:val="left" w:leader="none"/>
        </w:tabs>
        <w:spacing w:line="240" w:lineRule="auto" w:before="127" w:after="0"/>
        <w:ind w:left="1553" w:right="0" w:hanging="333"/>
        <w:jc w:val="left"/>
        <w:rPr>
          <w:sz w:val="20"/>
        </w:rPr>
      </w:pPr>
      <w:r>
        <w:rPr>
          <w:spacing w:val="-3"/>
          <w:w w:val="105"/>
          <w:sz w:val="20"/>
        </w:rPr>
        <w:t>在某些情况下，我们不承担保险责任……………………………………</w:t>
      </w:r>
      <w:r>
        <w:rPr>
          <w:spacing w:val="-2"/>
          <w:w w:val="105"/>
          <w:sz w:val="20"/>
        </w:rPr>
        <w:t>1.4;2.2;7.2;9.4</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264" w:lineRule="exact" w:before="34" w:after="0"/>
        <w:ind w:left="1553" w:right="0" w:hanging="333"/>
        <w:jc w:val="left"/>
        <w:rPr>
          <w:sz w:val="20"/>
        </w:rPr>
      </w:pPr>
      <w:r>
        <w:rPr>
          <w:spacing w:val="-3"/>
          <w:w w:val="105"/>
          <w:sz w:val="20"/>
        </w:rPr>
        <w:t>我们对一些重要术语进行了解释，并作了显著标识，请您注意………………………</w:t>
      </w:r>
      <w:r>
        <w:rPr>
          <w:spacing w:val="-1"/>
          <w:w w:val="105"/>
          <w:sz w:val="20"/>
        </w:rPr>
        <w:t>9</w:t>
      </w:r>
      <w:r>
        <w:rPr>
          <w:w w:val="105"/>
          <w:sz w:val="20"/>
        </w:rPr>
        <w:t> </w:t>
      </w:r>
    </w:p>
    <w:p>
      <w:pPr>
        <w:pStyle w:val="Heading3"/>
        <w:tabs>
          <w:tab w:pos="1260" w:val="left" w:leader="none"/>
        </w:tabs>
        <w:spacing w:line="801" w:lineRule="exact"/>
        <w:ind w:left="247"/>
      </w:pPr>
      <w:r>
        <w:rPr>
          <w:rFonts w:ascii="Yu Gothic" w:hAnsi="Yu Gothic" w:eastAsia="Yu Gothic" w:hint="eastAsia"/>
          <w:w w:val="150"/>
          <w:position w:val="-11"/>
          <w:sz w:val="52"/>
        </w:rPr>
        <w:t>¤</w:t>
        <w:tab/>
      </w:r>
      <w:r>
        <w:rPr>
          <w:spacing w:val="-6"/>
          <w:w w:val="105"/>
        </w:rPr>
        <w:t>条款是保险合同的重要内容，为充分保障您的权益，请您仔细阅读本条款。</w:t>
      </w:r>
    </w:p>
    <w:p>
      <w:pPr>
        <w:tabs>
          <w:tab w:pos="1258" w:val="left" w:leader="none"/>
        </w:tabs>
        <w:spacing w:line="811" w:lineRule="exact" w:before="0"/>
        <w:ind w:left="247" w:right="0" w:firstLine="0"/>
        <w:jc w:val="left"/>
        <w:rPr>
          <w:rFonts w:ascii="Microsoft JhengHei" w:hAnsi="Microsoft JhengHei" w:eastAsia="Microsoft JhengHei" w:hint="eastAsia"/>
          <w:b/>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条款目录</w:t>
      </w:r>
      <w:r>
        <w:rPr>
          <w:rFonts w:ascii="Microsoft JhengHei" w:hAnsi="Microsoft JhengHei" w:eastAsia="Microsoft JhengHei" w:hint="eastAsia"/>
          <w:b/>
          <w:w w:val="216"/>
          <w:sz w:val="20"/>
        </w:rPr>
        <w:t> </w:t>
      </w:r>
    </w:p>
    <w:p>
      <w:pPr>
        <w:pStyle w:val="BodyText"/>
        <w:spacing w:line="258" w:lineRule="exact"/>
        <w:ind w:left="1299"/>
      </w:pPr>
      <w:r>
        <w:rPr>
          <w:w w:val="105"/>
        </w:rPr>
        <w:t> </w:t>
      </w:r>
    </w:p>
    <w:p>
      <w:pPr>
        <w:spacing w:after="0" w:line="258" w:lineRule="exact"/>
        <w:sectPr>
          <w:type w:val="continuous"/>
          <w:pgSz w:w="11900" w:h="16840"/>
          <w:pgMar w:top="60" w:bottom="280" w:left="700" w:right="160"/>
        </w:sectPr>
      </w:pPr>
    </w:p>
    <w:p>
      <w:pPr>
        <w:pStyle w:val="Heading3"/>
        <w:spacing w:line="335" w:lineRule="exact"/>
        <w:ind w:left="1373"/>
      </w:pPr>
      <w:r>
        <w:rPr>
          <w:spacing w:val="-3"/>
          <w:w w:val="90"/>
        </w:rPr>
        <w:t>1</w:t>
      </w:r>
      <w:r>
        <w:rPr>
          <w:spacing w:val="-3"/>
          <w:w w:val="212"/>
        </w:rPr>
        <w:t>.</w:t>
      </w:r>
      <w:r>
        <w:rPr>
          <w:spacing w:val="-4"/>
          <w:w w:val="106"/>
        </w:rPr>
        <w:t>您与我们订立的合同</w:t>
      </w:r>
      <w:r>
        <w:rPr>
          <w:w w:val="216"/>
        </w:rPr>
        <w:t> </w:t>
      </w:r>
    </w:p>
    <w:p>
      <w:pPr>
        <w:pStyle w:val="ListParagraph"/>
        <w:numPr>
          <w:ilvl w:val="1"/>
          <w:numId w:val="2"/>
        </w:numPr>
        <w:tabs>
          <w:tab w:pos="1955" w:val="left" w:leader="none"/>
        </w:tabs>
        <w:spacing w:line="240" w:lineRule="auto" w:before="27" w:after="0"/>
        <w:ind w:left="1954" w:right="0" w:hanging="370"/>
        <w:jc w:val="left"/>
        <w:rPr>
          <w:sz w:val="20"/>
        </w:rPr>
      </w:pPr>
      <w:r>
        <w:rPr>
          <w:spacing w:val="-3"/>
          <w:w w:val="105"/>
          <w:sz w:val="20"/>
        </w:rPr>
        <w:t>合同订立</w:t>
      </w:r>
      <w:r>
        <w:rPr>
          <w:w w:val="105"/>
          <w:sz w:val="20"/>
        </w:rPr>
        <w:t> </w:t>
      </w:r>
    </w:p>
    <w:p>
      <w:pPr>
        <w:pStyle w:val="ListParagraph"/>
        <w:numPr>
          <w:ilvl w:val="1"/>
          <w:numId w:val="2"/>
        </w:numPr>
        <w:tabs>
          <w:tab w:pos="1955" w:val="left" w:leader="none"/>
        </w:tabs>
        <w:spacing w:line="240" w:lineRule="auto" w:before="49" w:after="0"/>
        <w:ind w:left="1954" w:right="0" w:hanging="370"/>
        <w:jc w:val="left"/>
        <w:rPr>
          <w:sz w:val="20"/>
        </w:rPr>
      </w:pPr>
      <w:r>
        <w:rPr>
          <w:spacing w:val="-3"/>
          <w:w w:val="105"/>
          <w:sz w:val="20"/>
        </w:rPr>
        <w:t>合同生效</w:t>
      </w:r>
      <w:r>
        <w:rPr>
          <w:w w:val="105"/>
          <w:sz w:val="20"/>
        </w:rPr>
        <w:t> </w:t>
      </w:r>
    </w:p>
    <w:p>
      <w:pPr>
        <w:pStyle w:val="ListParagraph"/>
        <w:numPr>
          <w:ilvl w:val="1"/>
          <w:numId w:val="2"/>
        </w:numPr>
        <w:tabs>
          <w:tab w:pos="1955" w:val="left" w:leader="none"/>
        </w:tabs>
        <w:spacing w:line="240" w:lineRule="auto" w:before="49" w:after="0"/>
        <w:ind w:left="1954" w:right="0" w:hanging="370"/>
        <w:jc w:val="left"/>
        <w:rPr>
          <w:sz w:val="20"/>
        </w:rPr>
      </w:pPr>
      <w:r>
        <w:rPr>
          <w:spacing w:val="-3"/>
          <w:w w:val="105"/>
          <w:sz w:val="20"/>
        </w:rPr>
        <w:t>投保年龄</w:t>
      </w:r>
      <w:r>
        <w:rPr>
          <w:w w:val="105"/>
          <w:sz w:val="20"/>
        </w:rPr>
        <w:t> </w:t>
      </w:r>
    </w:p>
    <w:p>
      <w:pPr>
        <w:pStyle w:val="ListParagraph"/>
        <w:numPr>
          <w:ilvl w:val="1"/>
          <w:numId w:val="2"/>
        </w:numPr>
        <w:tabs>
          <w:tab w:pos="1955" w:val="left" w:leader="none"/>
        </w:tabs>
        <w:spacing w:line="255" w:lineRule="exact" w:before="49" w:after="0"/>
        <w:ind w:left="1954" w:right="0" w:hanging="370"/>
        <w:jc w:val="left"/>
        <w:rPr>
          <w:sz w:val="20"/>
        </w:rPr>
      </w:pPr>
      <w:r>
        <w:rPr>
          <w:spacing w:val="-3"/>
          <w:w w:val="105"/>
          <w:sz w:val="20"/>
        </w:rPr>
        <w:t>犹豫期</w:t>
      </w:r>
      <w:r>
        <w:rPr>
          <w:w w:val="105"/>
          <w:sz w:val="20"/>
        </w:rPr>
        <w:t> </w:t>
      </w:r>
    </w:p>
    <w:p>
      <w:pPr>
        <w:pStyle w:val="Heading3"/>
        <w:ind w:left="1411" w:right="463"/>
        <w:jc w:val="center"/>
        <w:rPr>
          <w:rFonts w:ascii="宋体" w:eastAsia="宋体" w:hint="eastAsia"/>
          <w:b w:val="0"/>
        </w:rPr>
      </w:pPr>
      <w:r>
        <w:rPr>
          <w:spacing w:val="-3"/>
          <w:w w:val="90"/>
        </w:rPr>
        <w:t>2</w:t>
      </w:r>
      <w:r>
        <w:rPr>
          <w:spacing w:val="-3"/>
          <w:w w:val="212"/>
        </w:rPr>
        <w:t>.</w:t>
      </w:r>
      <w:r>
        <w:rPr>
          <w:spacing w:val="-4"/>
          <w:w w:val="106"/>
        </w:rPr>
        <w:t>我们提供的保障</w:t>
      </w:r>
      <w:r>
        <w:rPr>
          <w:rFonts w:ascii="宋体" w:eastAsia="宋体" w:hint="eastAsia"/>
          <w:b w:val="0"/>
          <w:w w:val="105"/>
        </w:rPr>
        <w:t> </w:t>
      </w:r>
    </w:p>
    <w:p>
      <w:pPr>
        <w:pStyle w:val="ListParagraph"/>
        <w:numPr>
          <w:ilvl w:val="1"/>
          <w:numId w:val="3"/>
        </w:numPr>
        <w:tabs>
          <w:tab w:pos="1903" w:val="left" w:leader="none"/>
        </w:tabs>
        <w:spacing w:line="240" w:lineRule="auto" w:before="28" w:after="0"/>
        <w:ind w:left="1584" w:right="0" w:firstLine="0"/>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584" w:right="0" w:firstLine="0"/>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584" w:right="0" w:firstLine="0"/>
        <w:jc w:val="left"/>
        <w:rPr>
          <w:sz w:val="20"/>
        </w:rPr>
      </w:pPr>
      <w:r>
        <w:rPr>
          <w:spacing w:val="-3"/>
          <w:w w:val="105"/>
          <w:sz w:val="20"/>
        </w:rPr>
        <w:t>保险金额</w:t>
      </w:r>
      <w:r>
        <w:rPr>
          <w:w w:val="105"/>
          <w:sz w:val="20"/>
        </w:rPr>
        <w:t> </w:t>
      </w:r>
    </w:p>
    <w:p>
      <w:pPr>
        <w:pStyle w:val="ListParagraph"/>
        <w:numPr>
          <w:ilvl w:val="1"/>
          <w:numId w:val="3"/>
        </w:numPr>
        <w:tabs>
          <w:tab w:pos="1955" w:val="left" w:leader="none"/>
        </w:tabs>
        <w:spacing w:line="285" w:lineRule="auto" w:before="50" w:after="0"/>
        <w:ind w:left="1584" w:right="60" w:firstLine="0"/>
        <w:jc w:val="left"/>
        <w:rPr>
          <w:sz w:val="20"/>
        </w:rPr>
      </w:pPr>
      <w:r>
        <w:rPr>
          <w:spacing w:val="-3"/>
          <w:w w:val="105"/>
          <w:sz w:val="20"/>
        </w:rPr>
        <w:t>保险金额的变更</w:t>
      </w:r>
      <w:r>
        <w:rPr>
          <w:w w:val="105"/>
          <w:sz w:val="20"/>
        </w:rPr>
        <w:t>2.5</w:t>
      </w:r>
      <w:r>
        <w:rPr>
          <w:spacing w:val="-3"/>
          <w:w w:val="105"/>
          <w:sz w:val="20"/>
        </w:rPr>
        <w:t> 保险期间</w:t>
      </w:r>
      <w:r>
        <w:rPr>
          <w:w w:val="105"/>
          <w:sz w:val="20"/>
        </w:rPr>
        <w:t> </w:t>
      </w:r>
    </w:p>
    <w:p>
      <w:pPr>
        <w:pStyle w:val="BodyText"/>
        <w:spacing w:line="255" w:lineRule="exact" w:before="12"/>
        <w:ind w:left="1584"/>
      </w:pPr>
      <w:r>
        <w:rPr>
          <w:w w:val="105"/>
        </w:rPr>
        <w:t>2.6 续保 </w:t>
      </w:r>
    </w:p>
    <w:p>
      <w:pPr>
        <w:pStyle w:val="Heading3"/>
        <w:ind w:left="1373"/>
        <w:rPr>
          <w:rFonts w:ascii="宋体" w:eastAsia="宋体" w:hint="eastAsia"/>
          <w:b w:val="0"/>
        </w:rPr>
      </w:pPr>
      <w:r>
        <w:rPr>
          <w:spacing w:val="-3"/>
          <w:w w:val="90"/>
        </w:rPr>
        <w:t>3</w:t>
      </w:r>
      <w:r>
        <w:rPr>
          <w:spacing w:val="-3"/>
          <w:w w:val="212"/>
        </w:rPr>
        <w:t>.</w:t>
      </w:r>
      <w:r>
        <w:rPr>
          <w:spacing w:val="-4"/>
          <w:w w:val="106"/>
        </w:rPr>
        <w:t>保险金的申请</w:t>
      </w:r>
      <w:r>
        <w:rPr>
          <w:rFonts w:ascii="宋体" w:eastAsia="宋体" w:hint="eastAsia"/>
          <w:b w:val="0"/>
          <w:w w:val="105"/>
        </w:rPr>
        <w:t> </w:t>
      </w:r>
    </w:p>
    <w:p>
      <w:pPr>
        <w:pStyle w:val="ListParagraph"/>
        <w:numPr>
          <w:ilvl w:val="1"/>
          <w:numId w:val="4"/>
        </w:numPr>
        <w:tabs>
          <w:tab w:pos="1903" w:val="left" w:leader="none"/>
        </w:tabs>
        <w:spacing w:line="240" w:lineRule="auto" w:before="28"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保险金的给付</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诉讼时效</w:t>
      </w:r>
      <w:r>
        <w:rPr>
          <w:w w:val="105"/>
          <w:sz w:val="20"/>
        </w:rPr>
        <w:t> </w:t>
      </w:r>
    </w:p>
    <w:p>
      <w:pPr>
        <w:pStyle w:val="Heading3"/>
        <w:spacing w:line="335" w:lineRule="exact"/>
        <w:ind w:left="1373"/>
      </w:pPr>
      <w:r>
        <w:rPr>
          <w:b w:val="0"/>
        </w:rPr>
        <w:br w:type="column"/>
      </w:r>
      <w:r>
        <w:rPr>
          <w:spacing w:val="-3"/>
          <w:w w:val="90"/>
        </w:rPr>
        <w:t>4</w:t>
      </w:r>
      <w:r>
        <w:rPr>
          <w:spacing w:val="-3"/>
          <w:w w:val="212"/>
        </w:rPr>
        <w:t>.</w:t>
      </w:r>
      <w:r>
        <w:rPr>
          <w:spacing w:val="-3"/>
          <w:w w:val="216"/>
        </w:rPr>
        <w:t> </w:t>
      </w:r>
      <w:r>
        <w:rPr>
          <w:spacing w:val="-4"/>
          <w:w w:val="106"/>
        </w:rPr>
        <w:t>风险保险费的收取</w:t>
      </w:r>
      <w:r>
        <w:rPr>
          <w:w w:val="216"/>
        </w:rPr>
        <w:t> </w:t>
      </w:r>
    </w:p>
    <w:p>
      <w:pPr>
        <w:pStyle w:val="ListParagraph"/>
        <w:numPr>
          <w:ilvl w:val="1"/>
          <w:numId w:val="5"/>
        </w:numPr>
        <w:tabs>
          <w:tab w:pos="1955" w:val="left" w:leader="none"/>
        </w:tabs>
        <w:spacing w:line="240" w:lineRule="auto" w:before="27" w:after="0"/>
        <w:ind w:left="1954" w:right="0" w:hanging="370"/>
        <w:jc w:val="left"/>
        <w:rPr>
          <w:sz w:val="20"/>
        </w:rPr>
      </w:pPr>
      <w:r>
        <w:rPr>
          <w:spacing w:val="-3"/>
          <w:w w:val="105"/>
          <w:sz w:val="20"/>
        </w:rPr>
        <w:t>风险保险费的收取</w:t>
      </w:r>
      <w:r>
        <w:rPr>
          <w:w w:val="105"/>
          <w:sz w:val="20"/>
        </w:rPr>
        <w:t> </w:t>
      </w:r>
    </w:p>
    <w:p>
      <w:pPr>
        <w:pStyle w:val="ListParagraph"/>
        <w:numPr>
          <w:ilvl w:val="1"/>
          <w:numId w:val="5"/>
        </w:numPr>
        <w:tabs>
          <w:tab w:pos="1955" w:val="left" w:leader="none"/>
        </w:tabs>
        <w:spacing w:line="255" w:lineRule="exact" w:before="49" w:after="0"/>
        <w:ind w:left="1954" w:right="0" w:hanging="370"/>
        <w:jc w:val="left"/>
        <w:rPr>
          <w:sz w:val="20"/>
        </w:rPr>
      </w:pPr>
      <w:r>
        <w:rPr>
          <w:spacing w:val="-3"/>
          <w:w w:val="105"/>
          <w:sz w:val="20"/>
        </w:rPr>
        <w:t>宽限期</w:t>
      </w:r>
      <w:r>
        <w:rPr>
          <w:w w:val="105"/>
          <w:sz w:val="20"/>
        </w:rPr>
        <w:t> </w:t>
      </w:r>
    </w:p>
    <w:p>
      <w:pPr>
        <w:pStyle w:val="Heading3"/>
        <w:numPr>
          <w:ilvl w:val="0"/>
          <w:numId w:val="6"/>
        </w:numPr>
        <w:tabs>
          <w:tab w:pos="1705" w:val="left" w:leader="none"/>
        </w:tabs>
        <w:spacing w:line="341" w:lineRule="exact" w:before="0" w:after="0"/>
        <w:ind w:left="1704" w:right="0" w:hanging="331"/>
        <w:jc w:val="left"/>
      </w:pPr>
      <w:r>
        <w:rPr>
          <w:spacing w:val="-4"/>
          <w:w w:val="105"/>
        </w:rPr>
        <w:t>合同效力的中止与恢复</w:t>
      </w:r>
      <w:r>
        <w:rPr>
          <w:w w:val="216"/>
        </w:rPr>
        <w:t> </w:t>
      </w:r>
    </w:p>
    <w:p>
      <w:pPr>
        <w:pStyle w:val="ListParagraph"/>
        <w:numPr>
          <w:ilvl w:val="1"/>
          <w:numId w:val="6"/>
        </w:numPr>
        <w:tabs>
          <w:tab w:pos="1955" w:val="left" w:leader="none"/>
        </w:tabs>
        <w:spacing w:line="240" w:lineRule="auto" w:before="28" w:after="0"/>
        <w:ind w:left="1954" w:right="0" w:hanging="370"/>
        <w:jc w:val="left"/>
        <w:rPr>
          <w:sz w:val="20"/>
        </w:rPr>
      </w:pPr>
      <w:r>
        <w:rPr>
          <w:spacing w:val="-3"/>
          <w:w w:val="105"/>
          <w:sz w:val="20"/>
        </w:rPr>
        <w:t>合同效力中止</w:t>
      </w:r>
      <w:r>
        <w:rPr>
          <w:w w:val="105"/>
          <w:sz w:val="20"/>
        </w:rPr>
        <w:t> </w:t>
      </w:r>
    </w:p>
    <w:p>
      <w:pPr>
        <w:pStyle w:val="ListParagraph"/>
        <w:numPr>
          <w:ilvl w:val="1"/>
          <w:numId w:val="6"/>
        </w:numPr>
        <w:tabs>
          <w:tab w:pos="1955" w:val="left" w:leader="none"/>
        </w:tabs>
        <w:spacing w:line="255" w:lineRule="exact" w:before="50" w:after="0"/>
        <w:ind w:left="1954" w:right="0" w:hanging="370"/>
        <w:jc w:val="left"/>
        <w:rPr>
          <w:sz w:val="20"/>
        </w:rPr>
      </w:pPr>
      <w:r>
        <w:rPr>
          <w:spacing w:val="-3"/>
          <w:w w:val="105"/>
          <w:sz w:val="20"/>
        </w:rPr>
        <w:t>合同效力恢复</w:t>
      </w:r>
      <w:r>
        <w:rPr>
          <w:w w:val="105"/>
          <w:sz w:val="20"/>
        </w:rPr>
        <w:t> </w:t>
      </w:r>
    </w:p>
    <w:p>
      <w:pPr>
        <w:pStyle w:val="Heading3"/>
        <w:ind w:left="1373"/>
      </w:pPr>
      <w:r>
        <w:rPr>
          <w:spacing w:val="-3"/>
          <w:w w:val="90"/>
        </w:rPr>
        <w:t>6</w:t>
      </w:r>
      <w:r>
        <w:rPr>
          <w:spacing w:val="-3"/>
          <w:w w:val="212"/>
        </w:rPr>
        <w:t>.</w:t>
      </w:r>
      <w:r>
        <w:rPr>
          <w:spacing w:val="-3"/>
          <w:w w:val="106"/>
        </w:rPr>
        <w:t>合同解除</w:t>
      </w:r>
      <w:r>
        <w:rPr>
          <w:w w:val="216"/>
        </w:rPr>
        <w:t> </w:t>
      </w:r>
    </w:p>
    <w:p>
      <w:pPr>
        <w:pStyle w:val="BodyText"/>
        <w:spacing w:line="255" w:lineRule="exact" w:before="27"/>
        <w:ind w:left="1584"/>
      </w:pPr>
      <w:r>
        <w:rPr>
          <w:w w:val="105"/>
        </w:rPr>
        <w:t>6.1 您解除合同的手续及风险 </w:t>
      </w:r>
    </w:p>
    <w:p>
      <w:pPr>
        <w:spacing w:line="259" w:lineRule="auto" w:before="0"/>
        <w:ind w:left="1584" w:right="2920" w:hanging="106"/>
        <w:jc w:val="left"/>
        <w:rPr>
          <w:sz w:val="20"/>
        </w:rPr>
      </w:pPr>
      <w:r>
        <w:rPr>
          <w:rFonts w:ascii="Microsoft JhengHei" w:eastAsia="Microsoft JhengHei" w:hint="eastAsia"/>
          <w:b/>
          <w:w w:val="185"/>
          <w:sz w:val="20"/>
        </w:rPr>
        <w:t>.</w:t>
      </w:r>
      <w:r>
        <w:rPr>
          <w:rFonts w:ascii="Microsoft JhengHei" w:eastAsia="Microsoft JhengHei" w:hint="eastAsia"/>
          <w:b/>
          <w:w w:val="110"/>
          <w:sz w:val="20"/>
        </w:rPr>
        <w:t>明确说明与如实告知</w:t>
      </w:r>
      <w:r>
        <w:rPr>
          <w:w w:val="110"/>
          <w:sz w:val="20"/>
        </w:rPr>
        <w:t>7.1 明确说明 </w:t>
      </w:r>
    </w:p>
    <w:p>
      <w:pPr>
        <w:pStyle w:val="ListParagraph"/>
        <w:numPr>
          <w:ilvl w:val="1"/>
          <w:numId w:val="7"/>
        </w:numPr>
        <w:tabs>
          <w:tab w:pos="1903" w:val="left" w:leader="none"/>
        </w:tabs>
        <w:spacing w:line="240" w:lineRule="auto" w:before="41" w:after="0"/>
        <w:ind w:left="1902" w:right="0" w:hanging="318"/>
        <w:jc w:val="left"/>
        <w:rPr>
          <w:sz w:val="20"/>
        </w:rPr>
      </w:pPr>
      <w:r>
        <w:rPr>
          <w:spacing w:val="-3"/>
          <w:w w:val="105"/>
          <w:sz w:val="20"/>
        </w:rPr>
        <w:t>如实告知</w:t>
      </w:r>
      <w:r>
        <w:rPr>
          <w:w w:val="105"/>
          <w:sz w:val="20"/>
        </w:rPr>
        <w:t> </w:t>
      </w:r>
    </w:p>
    <w:p>
      <w:pPr>
        <w:pStyle w:val="ListParagraph"/>
        <w:numPr>
          <w:ilvl w:val="1"/>
          <w:numId w:val="7"/>
        </w:numPr>
        <w:tabs>
          <w:tab w:pos="1903" w:val="left" w:leader="none"/>
        </w:tabs>
        <w:spacing w:line="255" w:lineRule="exact" w:before="49" w:after="0"/>
        <w:ind w:left="1902" w:right="0" w:hanging="318"/>
        <w:jc w:val="left"/>
        <w:rPr>
          <w:sz w:val="20"/>
        </w:rPr>
      </w:pPr>
      <w:r>
        <w:rPr>
          <w:spacing w:val="-3"/>
          <w:w w:val="105"/>
          <w:sz w:val="20"/>
        </w:rPr>
        <w:t>本公司合同解除权的限制</w:t>
      </w:r>
      <w:r>
        <w:rPr>
          <w:w w:val="105"/>
          <w:sz w:val="20"/>
        </w:rPr>
        <w:t> </w:t>
      </w:r>
    </w:p>
    <w:p>
      <w:pPr>
        <w:pStyle w:val="Heading3"/>
        <w:ind w:left="1373"/>
      </w:pPr>
      <w:r>
        <w:rPr>
          <w:spacing w:val="-3"/>
          <w:w w:val="90"/>
        </w:rPr>
        <w:t>8</w:t>
      </w:r>
      <w:r>
        <w:rPr>
          <w:spacing w:val="-3"/>
          <w:w w:val="212"/>
        </w:rPr>
        <w:t>.</w:t>
      </w:r>
      <w:r>
        <w:rPr>
          <w:spacing w:val="-4"/>
          <w:w w:val="106"/>
        </w:rPr>
        <w:t>其他需要关注的事项</w:t>
      </w:r>
      <w:r>
        <w:rPr>
          <w:w w:val="216"/>
        </w:rPr>
        <w:t> </w:t>
      </w:r>
    </w:p>
    <w:p>
      <w:pPr>
        <w:pStyle w:val="ListParagraph"/>
        <w:numPr>
          <w:ilvl w:val="1"/>
          <w:numId w:val="8"/>
        </w:numPr>
        <w:tabs>
          <w:tab w:pos="1955" w:val="left" w:leader="none"/>
        </w:tabs>
        <w:spacing w:line="240" w:lineRule="auto" w:before="28" w:after="0"/>
        <w:ind w:left="1954" w:right="0" w:hanging="370"/>
        <w:jc w:val="left"/>
        <w:rPr>
          <w:sz w:val="20"/>
        </w:rPr>
      </w:pPr>
      <w:r>
        <w:rPr>
          <w:spacing w:val="-3"/>
          <w:w w:val="105"/>
          <w:sz w:val="20"/>
        </w:rPr>
        <w:t>年龄性别错误</w:t>
      </w:r>
      <w:r>
        <w:rPr>
          <w:w w:val="105"/>
          <w:sz w:val="20"/>
        </w:rPr>
        <w:t> </w:t>
      </w:r>
    </w:p>
    <w:p>
      <w:pPr>
        <w:pStyle w:val="ListParagraph"/>
        <w:numPr>
          <w:ilvl w:val="1"/>
          <w:numId w:val="8"/>
        </w:numPr>
        <w:tabs>
          <w:tab w:pos="1955" w:val="left" w:leader="none"/>
        </w:tabs>
        <w:spacing w:line="240" w:lineRule="auto" w:before="50" w:after="0"/>
        <w:ind w:left="1954" w:right="0" w:hanging="370"/>
        <w:jc w:val="left"/>
        <w:rPr>
          <w:sz w:val="20"/>
        </w:rPr>
      </w:pPr>
      <w:r>
        <w:rPr>
          <w:spacing w:val="-3"/>
          <w:w w:val="105"/>
          <w:sz w:val="20"/>
        </w:rPr>
        <w:t>合同效力终止</w:t>
      </w:r>
      <w:r>
        <w:rPr>
          <w:w w:val="105"/>
          <w:sz w:val="20"/>
        </w:rPr>
        <w:t> </w:t>
      </w:r>
    </w:p>
    <w:p>
      <w:pPr>
        <w:pStyle w:val="ListParagraph"/>
        <w:numPr>
          <w:ilvl w:val="1"/>
          <w:numId w:val="8"/>
        </w:numPr>
        <w:tabs>
          <w:tab w:pos="1955" w:val="left" w:leader="none"/>
        </w:tabs>
        <w:spacing w:line="255" w:lineRule="exact" w:before="50" w:after="0"/>
        <w:ind w:left="1954" w:right="0" w:hanging="370"/>
        <w:jc w:val="left"/>
        <w:rPr>
          <w:sz w:val="20"/>
        </w:rPr>
      </w:pPr>
      <w:r>
        <w:rPr>
          <w:spacing w:val="-3"/>
          <w:w w:val="105"/>
          <w:sz w:val="20"/>
        </w:rPr>
        <w:t>适用主合同条款</w:t>
      </w:r>
      <w:r>
        <w:rPr>
          <w:w w:val="105"/>
          <w:sz w:val="20"/>
        </w:rPr>
        <w:t> </w:t>
      </w:r>
    </w:p>
    <w:p>
      <w:pPr>
        <w:spacing w:line="341" w:lineRule="exact" w:before="0"/>
        <w:ind w:left="1479" w:right="0" w:firstLine="0"/>
        <w:jc w:val="left"/>
        <w:rPr>
          <w:sz w:val="20"/>
        </w:rPr>
      </w:pPr>
      <w:r>
        <w:rPr>
          <w:rFonts w:ascii="Microsoft JhengHei" w:eastAsia="Microsoft JhengHei" w:hint="eastAsia"/>
          <w:b/>
          <w:w w:val="115"/>
          <w:sz w:val="20"/>
        </w:rPr>
        <w:t>.释义</w:t>
      </w:r>
      <w:r>
        <w:rPr>
          <w:w w:val="105"/>
          <w:sz w:val="20"/>
        </w:rPr>
        <w:t> </w:t>
      </w:r>
    </w:p>
    <w:p>
      <w:pPr>
        <w:spacing w:after="0" w:line="341" w:lineRule="exact"/>
        <w:jc w:val="left"/>
        <w:rPr>
          <w:sz w:val="20"/>
        </w:rPr>
        <w:sectPr>
          <w:type w:val="continuous"/>
          <w:pgSz w:w="11900" w:h="16840"/>
          <w:pgMar w:top="60" w:bottom="280" w:left="700" w:right="160"/>
          <w:cols w:num="2" w:equalWidth="0">
            <w:col w:w="3592" w:space="937"/>
            <w:col w:w="6511"/>
          </w:cols>
        </w:sectPr>
      </w:pPr>
    </w:p>
    <w:p>
      <w:pPr>
        <w:pStyle w:val="Heading1"/>
        <w:spacing w:before="1003"/>
        <w:ind w:left="1859"/>
        <w:rPr>
          <w:rFonts w:ascii="Microsoft JhengHei" w:eastAsia="Microsoft JhengHei" w:hint="eastAsia"/>
          <w:b/>
        </w:rPr>
      </w:pPr>
      <w:r>
        <w:rPr>
          <w:rFonts w:ascii="Microsoft JhengHei" w:eastAsia="Microsoft JhengHei" w:hint="eastAsia"/>
          <w:b/>
        </w:rPr>
        <w:t>弘康</w:t>
      </w:r>
      <w:r>
        <w:rPr>
          <w:spacing w:val="-443"/>
          <w:position w:val="60"/>
        </w:rPr>
        <w:t>弘</w:t>
      </w:r>
      <w:r>
        <w:rPr>
          <w:spacing w:val="-438"/>
        </w:rPr>
        <w:t>附</w:t>
      </w:r>
      <w:r>
        <w:rPr>
          <w:spacing w:val="-443"/>
          <w:position w:val="60"/>
        </w:rPr>
        <w:t>弘</w:t>
      </w:r>
      <w:r>
        <w:rPr>
          <w:spacing w:val="-6"/>
        </w:rPr>
        <w:t>附</w:t>
      </w:r>
      <w:r>
        <w:rPr>
          <w:spacing w:val="-443"/>
          <w:position w:val="60"/>
        </w:rPr>
        <w:t>康</w:t>
      </w:r>
      <w:r>
        <w:rPr>
          <w:spacing w:val="-438"/>
        </w:rPr>
        <w:t>加</w:t>
      </w:r>
      <w:r>
        <w:rPr>
          <w:spacing w:val="-443"/>
          <w:position w:val="60"/>
        </w:rPr>
        <w:t>康</w:t>
      </w:r>
      <w:r>
        <w:rPr>
          <w:spacing w:val="-6"/>
        </w:rPr>
        <w:t>加</w:t>
      </w:r>
      <w:r>
        <w:rPr>
          <w:spacing w:val="-443"/>
          <w:position w:val="60"/>
        </w:rPr>
        <w:t>人</w:t>
      </w:r>
      <w:r>
        <w:rPr>
          <w:spacing w:val="-438"/>
        </w:rPr>
        <w:t>额</w:t>
      </w:r>
      <w:r>
        <w:rPr>
          <w:spacing w:val="-443"/>
          <w:position w:val="60"/>
        </w:rPr>
        <w:t>人</w:t>
      </w:r>
      <w:r>
        <w:rPr>
          <w:spacing w:val="-6"/>
        </w:rPr>
        <w:t>额</w:t>
      </w:r>
      <w:r>
        <w:rPr>
          <w:spacing w:val="-443"/>
          <w:position w:val="60"/>
        </w:rPr>
        <w:t>寿</w:t>
      </w:r>
      <w:r>
        <w:rPr>
          <w:spacing w:val="-438"/>
        </w:rPr>
        <w:t>外</w:t>
      </w:r>
      <w:r>
        <w:rPr>
          <w:spacing w:val="-443"/>
          <w:position w:val="60"/>
        </w:rPr>
        <w:t>寿</w:t>
      </w:r>
      <w:r>
        <w:rPr>
          <w:spacing w:val="-7"/>
        </w:rPr>
        <w:t>外</w:t>
      </w:r>
      <w:r>
        <w:rPr>
          <w:spacing w:val="-442"/>
          <w:position w:val="60"/>
        </w:rPr>
        <w:t>保</w:t>
      </w:r>
      <w:r>
        <w:rPr>
          <w:spacing w:val="-439"/>
        </w:rPr>
        <w:t>给</w:t>
      </w:r>
      <w:r>
        <w:rPr>
          <w:spacing w:val="-442"/>
          <w:position w:val="60"/>
        </w:rPr>
        <w:t>保</w:t>
      </w:r>
      <w:r>
        <w:rPr>
          <w:spacing w:val="-7"/>
        </w:rPr>
        <w:t>给</w:t>
      </w:r>
      <w:r>
        <w:rPr>
          <w:spacing w:val="-442"/>
          <w:position w:val="60"/>
        </w:rPr>
        <w:t>险</w:t>
      </w:r>
      <w:r>
        <w:rPr>
          <w:spacing w:val="-439"/>
        </w:rPr>
        <w:t>付</w:t>
      </w:r>
      <w:r>
        <w:rPr>
          <w:spacing w:val="-442"/>
          <w:position w:val="60"/>
        </w:rPr>
        <w:t>险</w:t>
      </w:r>
      <w:r>
        <w:rPr>
          <w:spacing w:val="-7"/>
        </w:rPr>
        <w:t>付</w:t>
      </w:r>
      <w:r>
        <w:rPr>
          <w:spacing w:val="-442"/>
          <w:position w:val="60"/>
        </w:rPr>
        <w:t>股</w:t>
      </w:r>
      <w:r>
        <w:rPr>
          <w:spacing w:val="-439"/>
        </w:rPr>
        <w:t>重</w:t>
      </w:r>
      <w:r>
        <w:rPr>
          <w:spacing w:val="-442"/>
          <w:position w:val="60"/>
        </w:rPr>
        <w:t>股</w:t>
      </w:r>
      <w:r>
        <w:rPr>
          <w:spacing w:val="-7"/>
        </w:rPr>
        <w:t>重</w:t>
      </w:r>
      <w:r>
        <w:rPr>
          <w:spacing w:val="-442"/>
          <w:position w:val="60"/>
        </w:rPr>
        <w:t>份</w:t>
      </w:r>
      <w:r>
        <w:rPr>
          <w:spacing w:val="-439"/>
        </w:rPr>
        <w:t>大</w:t>
      </w:r>
      <w:r>
        <w:rPr>
          <w:spacing w:val="-442"/>
          <w:position w:val="60"/>
        </w:rPr>
        <w:t>份</w:t>
      </w:r>
      <w:r>
        <w:rPr>
          <w:spacing w:val="-7"/>
        </w:rPr>
        <w:t>大</w:t>
      </w:r>
      <w:r>
        <w:rPr>
          <w:spacing w:val="-442"/>
          <w:position w:val="60"/>
        </w:rPr>
        <w:t>有</w:t>
      </w:r>
      <w:r>
        <w:rPr>
          <w:spacing w:val="-439"/>
        </w:rPr>
        <w:t>疾</w:t>
      </w:r>
      <w:r>
        <w:rPr>
          <w:spacing w:val="-442"/>
          <w:position w:val="60"/>
        </w:rPr>
        <w:t>有</w:t>
      </w:r>
      <w:r>
        <w:rPr>
          <w:spacing w:val="-7"/>
        </w:rPr>
        <w:t>疾</w:t>
      </w:r>
      <w:r>
        <w:rPr>
          <w:spacing w:val="-442"/>
          <w:position w:val="60"/>
        </w:rPr>
        <w:t>限</w:t>
      </w:r>
      <w:r>
        <w:rPr>
          <w:spacing w:val="-439"/>
        </w:rPr>
        <w:t>病</w:t>
      </w:r>
      <w:r>
        <w:rPr>
          <w:spacing w:val="-442"/>
          <w:position w:val="60"/>
        </w:rPr>
        <w:t>限</w:t>
      </w:r>
      <w:r>
        <w:rPr>
          <w:spacing w:val="-7"/>
        </w:rPr>
        <w:t>病</w:t>
      </w:r>
      <w:r>
        <w:rPr>
          <w:spacing w:val="-442"/>
          <w:position w:val="60"/>
        </w:rPr>
        <w:t>公</w:t>
      </w:r>
      <w:r>
        <w:rPr>
          <w:spacing w:val="-439"/>
        </w:rPr>
        <w:t>保</w:t>
      </w:r>
      <w:r>
        <w:rPr>
          <w:spacing w:val="-442"/>
          <w:position w:val="60"/>
        </w:rPr>
        <w:t>公</w:t>
      </w:r>
      <w:r>
        <w:rPr>
          <w:spacing w:val="-7"/>
        </w:rPr>
        <w:t>保</w:t>
      </w:r>
      <w:r>
        <w:rPr>
          <w:spacing w:val="-442"/>
          <w:position w:val="60"/>
        </w:rPr>
        <w:t>司</w:t>
      </w:r>
      <w:r>
        <w:rPr>
          <w:spacing w:val="-439"/>
        </w:rPr>
        <w:t>险</w:t>
      </w:r>
      <w:r>
        <w:rPr>
          <w:spacing w:val="-442"/>
          <w:position w:val="60"/>
        </w:rPr>
        <w:t>司</w:t>
      </w:r>
      <w:r>
        <w:rPr>
          <w:spacing w:val="-7"/>
        </w:rPr>
        <w:t>险</w:t>
      </w:r>
      <w:r>
        <w:rPr>
          <w:rFonts w:ascii="Microsoft JhengHei" w:eastAsia="Microsoft JhengHei" w:hint="eastAsia"/>
          <w:b/>
        </w:rPr>
        <w:t>条款</w:t>
      </w:r>
    </w:p>
    <w:p>
      <w:pPr>
        <w:pStyle w:val="BodyText"/>
        <w:spacing w:line="310" w:lineRule="atLeast" w:before="614"/>
        <w:ind w:left="248" w:right="318"/>
      </w:pPr>
      <w:r>
        <w:rPr>
          <w:spacing w:val="-3"/>
          <w:w w:val="105"/>
        </w:rPr>
        <w:t>在本条款中，“您”指投保人，“我们”和“本公司”指弘康人寿保险股份有限公司</w:t>
      </w:r>
      <w:r>
        <w:rPr>
          <w:spacing w:val="-13"/>
          <w:w w:val="105"/>
        </w:rPr>
        <w:t>，“本附加合同”指您与我</w:t>
      </w:r>
      <w:r>
        <w:rPr>
          <w:spacing w:val="-8"/>
          <w:w w:val="105"/>
        </w:rPr>
        <w:t>们之间订立的 “弘康附加额外给付重大疾病保险合同”。</w:t>
      </w:r>
      <w:r>
        <w:rPr>
          <w:w w:val="105"/>
        </w:rPr>
        <w:t> </w:t>
      </w:r>
    </w:p>
    <w:p>
      <w:pPr>
        <w:pStyle w:val="Heading2"/>
        <w:spacing w:before="385"/>
        <w:rPr>
          <w:rFonts w:ascii="宋体" w:eastAsia="宋体" w:hint="eastAsia"/>
          <w:b w:val="0"/>
          <w:sz w:val="20"/>
        </w:rPr>
      </w:pPr>
      <w:r>
        <w:rPr/>
        <w:pict>
          <v:shape style="position:absolute;margin-left:47.63998pt;margin-top:22.104712pt;width:17.9pt;height:21.15pt;mso-position-horizontal-relative:page;mso-position-vertical-relative:paragraph;z-index:114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您</w:t>
      </w:r>
      <w:r>
        <w:rPr>
          <w:spacing w:val="-3"/>
        </w:rPr>
        <w:t>您与我们订立的合</w:t>
      </w:r>
      <w:r>
        <w:rPr>
          <w:spacing w:val="-225"/>
        </w:rPr>
        <w:t>同</w:t>
      </w:r>
      <w:r>
        <w:rPr>
          <w:rFonts w:ascii="宋体" w:eastAsia="宋体" w:hint="eastAsia"/>
          <w:b w:val="0"/>
          <w:w w:val="105"/>
          <w:position w:val="46"/>
          <w:sz w:val="20"/>
        </w:rPr>
        <w:t> </w:t>
      </w:r>
    </w:p>
    <w:p>
      <w:pPr>
        <w:pStyle w:val="BodyText"/>
        <w:spacing w:before="4"/>
        <w:rPr>
          <w:sz w:val="9"/>
        </w:rPr>
      </w:pPr>
      <w:r>
        <w:rPr/>
        <w:pict>
          <v:group style="position:absolute;margin-left:33.959999pt;margin-top:8.091227pt;width:526.2pt;height:1pt;mso-position-horizontal-relative:page;mso-position-vertical-relative:paragraph;z-index:1072;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3"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0" w:lineRule="exact" w:before="0" w:after="0"/>
        <w:ind w:left="3080" w:right="0" w:hanging="2851"/>
        <w:jc w:val="left"/>
        <w:rPr>
          <w:sz w:val="20"/>
        </w:rPr>
      </w:pPr>
      <w:r>
        <w:rPr>
          <w:rFonts w:ascii="Microsoft JhengHei" w:eastAsia="Microsoft JhengHei" w:hint="eastAsia"/>
          <w:b/>
          <w:spacing w:val="-3"/>
          <w:w w:val="105"/>
          <w:sz w:val="20"/>
        </w:rPr>
        <w:t>合同订立                       </w:t>
      </w:r>
      <w:r>
        <w:rPr>
          <w:spacing w:val="-8"/>
          <w:w w:val="105"/>
          <w:sz w:val="20"/>
        </w:rPr>
        <w:t>本附加合同由主合同投保人提出申请，经我们同意而订立。本附加合同须附加于主</w:t>
      </w:r>
    </w:p>
    <w:p>
      <w:pPr>
        <w:pStyle w:val="BodyText"/>
        <w:spacing w:before="27"/>
        <w:ind w:left="3080"/>
      </w:pPr>
      <w:r>
        <w:rPr>
          <w:w w:val="105"/>
        </w:rPr>
        <w:t>合同后方为有效。 </w:t>
      </w:r>
    </w:p>
    <w:p>
      <w:pPr>
        <w:pStyle w:val="BodyText"/>
        <w:tabs>
          <w:tab w:pos="1131" w:val="left" w:leader="none"/>
          <w:tab w:pos="3080" w:val="left" w:leader="none"/>
        </w:tabs>
        <w:spacing w:line="212" w:lineRule="exact" w:before="49"/>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3080" w:right="0" w:hanging="2851"/>
        <w:jc w:val="left"/>
        <w:rPr>
          <w:sz w:val="20"/>
        </w:rPr>
      </w:pPr>
      <w:r>
        <w:rPr>
          <w:rFonts w:ascii="Microsoft JhengHei" w:eastAsia="Microsoft JhengHei" w:hint="eastAsia"/>
          <w:b/>
          <w:spacing w:val="-3"/>
          <w:w w:val="105"/>
          <w:sz w:val="20"/>
        </w:rPr>
        <w:t>合同生效                       </w:t>
      </w:r>
      <w:r>
        <w:rPr>
          <w:spacing w:val="-8"/>
          <w:w w:val="105"/>
          <w:sz w:val="20"/>
        </w:rPr>
        <w:t>一、本附加合同可与主合同同时投保，也可在主合同有效期内投保。您提出保险申</w:t>
      </w:r>
    </w:p>
    <w:p>
      <w:pPr>
        <w:pStyle w:val="BodyText"/>
        <w:spacing w:line="285" w:lineRule="auto" w:before="28"/>
        <w:ind w:left="3080" w:right="3580" w:firstLine="420"/>
      </w:pPr>
      <w:r>
        <w:rPr>
          <w:w w:val="105"/>
        </w:rPr>
        <w:t>请、我们同意承保，本附加合同成立。二、本附加合同生效日在保险合同上载明。 </w:t>
      </w:r>
    </w:p>
    <w:p>
      <w:pPr>
        <w:pStyle w:val="BodyText"/>
        <w:tabs>
          <w:tab w:pos="1131" w:val="left" w:leader="none"/>
          <w:tab w:pos="3080" w:val="left" w:leader="none"/>
        </w:tabs>
        <w:spacing w:line="215" w:lineRule="exact" w:before="12"/>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308" w:lineRule="exact" w:before="4" w:after="0"/>
        <w:ind w:left="3080" w:right="215" w:hanging="2851"/>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6"/>
          <w:w w:val="105"/>
          <w:sz w:val="20"/>
        </w:rPr>
        <w:t>周岁</w:t>
      </w:r>
      <w:r>
        <w:rPr>
          <w:spacing w:val="-18"/>
          <w:w w:val="105"/>
          <w:sz w:val="20"/>
        </w:rPr>
        <w:t>(见 </w:t>
      </w:r>
      <w:r>
        <w:rPr>
          <w:w w:val="105"/>
          <w:sz w:val="20"/>
        </w:rPr>
        <w:t>9.1</w:t>
      </w:r>
      <w:r>
        <w:rPr>
          <w:spacing w:val="-6"/>
          <w:w w:val="105"/>
          <w:sz w:val="20"/>
        </w:rPr>
        <w:t>)计算，本附加合同接受的投保年龄</w:t>
      </w:r>
      <w:r>
        <w:rPr>
          <w:spacing w:val="-26"/>
          <w:w w:val="105"/>
          <w:sz w:val="20"/>
        </w:rPr>
        <w:t>为 </w:t>
      </w:r>
      <w:r>
        <w:rPr>
          <w:w w:val="105"/>
          <w:sz w:val="20"/>
        </w:rPr>
        <w:t>0</w:t>
      </w:r>
      <w:r>
        <w:rPr>
          <w:spacing w:val="-18"/>
          <w:w w:val="105"/>
          <w:sz w:val="20"/>
        </w:rPr>
        <w:t> 周岁</w:t>
      </w:r>
      <w:r>
        <w:rPr>
          <w:spacing w:val="-3"/>
          <w:w w:val="105"/>
          <w:sz w:val="20"/>
        </w:rPr>
        <w:t>（</w:t>
      </w:r>
      <w:r>
        <w:rPr>
          <w:spacing w:val="-15"/>
          <w:w w:val="105"/>
          <w:sz w:val="20"/>
        </w:rPr>
        <w:t>出生满 </w:t>
      </w:r>
      <w:r>
        <w:rPr>
          <w:w w:val="105"/>
          <w:sz w:val="20"/>
        </w:rPr>
        <w:t>30</w:t>
      </w:r>
      <w:r>
        <w:rPr>
          <w:spacing w:val="-27"/>
          <w:w w:val="105"/>
          <w:sz w:val="20"/>
        </w:rPr>
        <w:t> 天</w:t>
      </w:r>
      <w:r>
        <w:rPr>
          <w:spacing w:val="-3"/>
          <w:w w:val="105"/>
          <w:sz w:val="20"/>
        </w:rPr>
        <w:t>）</w:t>
      </w:r>
      <w:r>
        <w:rPr>
          <w:spacing w:val="-26"/>
          <w:w w:val="105"/>
          <w:sz w:val="20"/>
        </w:rPr>
        <w:t>至 </w:t>
      </w:r>
      <w:r>
        <w:rPr>
          <w:w w:val="105"/>
          <w:sz w:val="20"/>
        </w:rPr>
        <w:t>70</w:t>
      </w:r>
      <w:r>
        <w:rPr>
          <w:spacing w:val="-19"/>
          <w:w w:val="105"/>
          <w:sz w:val="20"/>
        </w:rPr>
        <w:t> 周岁</w:t>
      </w:r>
      <w:r>
        <w:rPr>
          <w:w w:val="105"/>
          <w:sz w:val="20"/>
        </w:rPr>
        <w:t>（</w:t>
      </w:r>
      <w:r>
        <w:rPr>
          <w:spacing w:val="-27"/>
          <w:w w:val="105"/>
          <w:sz w:val="20"/>
        </w:rPr>
        <w:t>含 </w:t>
      </w:r>
      <w:r>
        <w:rPr>
          <w:w w:val="105"/>
          <w:sz w:val="20"/>
        </w:rPr>
        <w:t>70</w:t>
      </w:r>
      <w:r>
        <w:rPr>
          <w:spacing w:val="-18"/>
          <w:w w:val="105"/>
          <w:sz w:val="20"/>
        </w:rPr>
        <w:t> 周岁</w:t>
      </w:r>
      <w:r>
        <w:rPr>
          <w:spacing w:val="-106"/>
          <w:w w:val="105"/>
          <w:sz w:val="20"/>
        </w:rPr>
        <w:t>）</w:t>
      </w:r>
      <w:r>
        <w:rPr>
          <w:spacing w:val="-3"/>
          <w:w w:val="105"/>
          <w:sz w:val="20"/>
        </w:rPr>
        <w:t>。</w:t>
      </w:r>
      <w:r>
        <w:rPr>
          <w:w w:val="105"/>
          <w:sz w:val="20"/>
        </w:rPr>
        <w:t> </w:t>
      </w:r>
    </w:p>
    <w:p>
      <w:pPr>
        <w:pStyle w:val="BodyText"/>
        <w:tabs>
          <w:tab w:pos="1131" w:val="left" w:leader="none"/>
          <w:tab w:pos="3080" w:val="left" w:leader="none"/>
        </w:tabs>
        <w:spacing w:line="212" w:lineRule="exact" w:before="16"/>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3080" w:right="0" w:hanging="2851"/>
        <w:jc w:val="left"/>
        <w:rPr>
          <w:sz w:val="20"/>
        </w:rPr>
      </w:pPr>
      <w:r>
        <w:rPr>
          <w:rFonts w:ascii="Microsoft JhengHei" w:eastAsia="Microsoft JhengHei" w:hint="eastAsia"/>
          <w:b/>
          <w:spacing w:val="-3"/>
          <w:w w:val="105"/>
          <w:sz w:val="20"/>
        </w:rPr>
        <w:t>犹豫期                           </w:t>
      </w:r>
      <w:r>
        <w:rPr>
          <w:spacing w:val="-3"/>
          <w:w w:val="105"/>
          <w:sz w:val="20"/>
        </w:rPr>
        <w:t>一、您收到本附加合同并书面签收或按照本公司要求的其他方式对本附加合同进</w:t>
      </w:r>
    </w:p>
    <w:p>
      <w:pPr>
        <w:pStyle w:val="BodyText"/>
        <w:spacing w:line="285" w:lineRule="auto" w:before="27"/>
        <w:ind w:left="3500" w:right="112"/>
      </w:pPr>
      <w:r>
        <w:rPr>
          <w:spacing w:val="-9"/>
          <w:w w:val="105"/>
        </w:rPr>
        <w:t>行确认之日起 </w:t>
      </w:r>
      <w:r>
        <w:rPr>
          <w:w w:val="105"/>
        </w:rPr>
        <w:t>10</w:t>
      </w:r>
      <w:r>
        <w:rPr>
          <w:spacing w:val="-30"/>
          <w:w w:val="105"/>
        </w:rPr>
        <w:t> 日内</w:t>
      </w:r>
      <w:r>
        <w:rPr>
          <w:w w:val="105"/>
        </w:rPr>
        <w:t>（</w:t>
      </w:r>
      <w:r>
        <w:rPr>
          <w:spacing w:val="-18"/>
          <w:w w:val="105"/>
        </w:rPr>
        <w:t>含第 </w:t>
      </w:r>
      <w:r>
        <w:rPr>
          <w:w w:val="105"/>
        </w:rPr>
        <w:t>10</w:t>
      </w:r>
      <w:r>
        <w:rPr>
          <w:spacing w:val="-28"/>
          <w:w w:val="105"/>
        </w:rPr>
        <w:t> 日</w:t>
      </w:r>
      <w:r>
        <w:rPr>
          <w:spacing w:val="-34"/>
          <w:w w:val="105"/>
        </w:rPr>
        <w:t>）</w:t>
      </w:r>
      <w:r>
        <w:rPr>
          <w:spacing w:val="-8"/>
          <w:w w:val="105"/>
        </w:rPr>
        <w:t>为犹豫期，在此期间请您仔细审阅本附加</w:t>
      </w:r>
      <w:r>
        <w:rPr>
          <w:spacing w:val="-5"/>
          <w:w w:val="105"/>
        </w:rPr>
        <w:t>合同的各项内容，特别是责任免除条款、合同解除条款以及如实告知等内容。</w:t>
      </w:r>
      <w:r>
        <w:rPr>
          <w:spacing w:val="-4"/>
          <w:w w:val="105"/>
        </w:rPr>
        <w:t>若您认为本附加合同与您的需求不相符，您可以在此期间提出解除本附加合 </w:t>
      </w:r>
      <w:r>
        <w:rPr>
          <w:spacing w:val="-7"/>
          <w:w w:val="105"/>
        </w:rPr>
        <w:t>同，我们将在扣除不超过 </w:t>
      </w:r>
      <w:r>
        <w:rPr>
          <w:w w:val="105"/>
        </w:rPr>
        <w:t>10</w:t>
      </w:r>
      <w:r>
        <w:rPr>
          <w:spacing w:val="-9"/>
          <w:w w:val="105"/>
        </w:rPr>
        <w:t> 元的工本费后无息退还您所交纳的保险费。但经</w:t>
      </w:r>
      <w:r>
        <w:rPr>
          <w:spacing w:val="-3"/>
          <w:w w:val="105"/>
        </w:rPr>
        <w:t>本公司体检的，本公司有权扣除体检费。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w w:val="105"/>
        </w:rPr>
        <w:t> </w:t>
      </w:r>
    </w:p>
    <w:p>
      <w:pPr>
        <w:pStyle w:val="BodyText"/>
        <w:spacing w:line="230" w:lineRule="auto" w:before="22"/>
        <w:ind w:left="3500" w:right="160" w:hanging="420"/>
      </w:pPr>
      <w:r>
        <w:rPr>
          <w:spacing w:val="-7"/>
          <w:w w:val="105"/>
        </w:rPr>
        <w:t>二、您在犹豫期内提出解除合同时需填写解除合同申请书，并提供保险合同及您的</w:t>
      </w:r>
      <w:r>
        <w:rPr>
          <w:rFonts w:ascii="Microsoft JhengHei" w:eastAsia="Microsoft JhengHei" w:hint="eastAsia"/>
          <w:b/>
          <w:spacing w:val="-3"/>
          <w:w w:val="105"/>
        </w:rPr>
        <w:t>有效身份证件</w:t>
      </w:r>
      <w:r>
        <w:rPr>
          <w:spacing w:val="-7"/>
          <w:w w:val="105"/>
        </w:rPr>
        <w:t>(见 </w:t>
      </w:r>
      <w:r>
        <w:rPr>
          <w:w w:val="105"/>
        </w:rPr>
        <w:t>9.2)</w:t>
      </w:r>
      <w:r>
        <w:rPr>
          <w:spacing w:val="-3"/>
          <w:w w:val="105"/>
        </w:rPr>
        <w:t>。自我们收到解除合同申请书时起，本附加合同终止，</w:t>
      </w:r>
    </w:p>
    <w:p>
      <w:pPr>
        <w:pStyle w:val="Heading3"/>
        <w:spacing w:line="147" w:lineRule="exact" w:before="35"/>
        <w:ind w:left="3500"/>
        <w:rPr>
          <w:rFonts w:ascii="宋体" w:eastAsia="宋体" w:hint="eastAsia"/>
          <w:b w:val="0"/>
        </w:rPr>
      </w:pPr>
      <w:r>
        <w:rPr>
          <w:rFonts w:ascii="等线" w:eastAsia="等线" w:hint="eastAsia"/>
          <w:w w:val="105"/>
        </w:rPr>
        <w:t>在犹豫期内发生的保险事故我们不承担保险责任。</w:t>
      </w:r>
      <w:r>
        <w:rPr>
          <w:rFonts w:ascii="宋体" w:eastAsia="宋体" w:hint="eastAsia"/>
          <w:b w:val="0"/>
          <w:w w:val="105"/>
        </w:rPr>
        <w:t> </w:t>
      </w:r>
    </w:p>
    <w:p>
      <w:pPr>
        <w:pStyle w:val="Heading2"/>
      </w:pPr>
      <w:r>
        <w:rPr/>
        <w:pict>
          <v:shape style="position:absolute;margin-left:168.95993pt;margin-top:30.381701pt;width:5.3pt;height:10.1pt;mso-position-horizontal-relative:page;mso-position-vertical-relative:paragraph;z-index:-98008"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24.404701pt;width:17.9pt;height:21.15pt;mso-position-horizontal-relative:page;mso-position-vertical-relative:paragraph;z-index:1168"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4</w:t>
                  </w:r>
                </w:p>
              </w:txbxContent>
            </v:textbox>
            <w10:wrap type="none"/>
          </v:shape>
        </w:pict>
      </w:r>
      <w:r>
        <w:rPr>
          <w:spacing w:val="-243"/>
        </w:rPr>
        <w:t>我</w:t>
      </w:r>
      <w:r>
        <w:rPr>
          <w:spacing w:val="-3"/>
        </w:rPr>
        <w:t>我们提供的保障</w:t>
      </w:r>
    </w:p>
    <w:p>
      <w:pPr>
        <w:pStyle w:val="BodyText"/>
        <w:rPr>
          <w:rFonts w:ascii="Microsoft JhengHei"/>
          <w:b/>
          <w:sz w:val="7"/>
        </w:rPr>
      </w:pPr>
      <w:r>
        <w:rPr/>
        <w:pict>
          <v:group style="position:absolute;margin-left:33.959999pt;margin-top:8.101341pt;width:526.2pt;height:1pt;mso-position-horizontal-relative:page;mso-position-vertical-relative:paragraph;z-index:1096;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82"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在本附加合同有效期间内，我们按照以下约定承担保险责任：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pPr>
      <w:r>
        <w:rPr>
          <w:w w:val="105"/>
        </w:rPr>
        <w:t> </w:t>
      </w:r>
      <w:r>
        <w:rPr/>
        <w:tab/>
      </w:r>
      <w:r>
        <w:rPr>
          <w:rFonts w:ascii="Microsoft JhengHei" w:eastAsia="Microsoft JhengHei" w:hint="eastAsia"/>
          <w:b/>
          <w:spacing w:val="-3"/>
          <w:w w:val="101"/>
          <w:position w:val="-1"/>
          <w:sz w:val="24"/>
        </w:rPr>
        <w:t>重大疾</w:t>
      </w:r>
      <w:r>
        <w:rPr>
          <w:rFonts w:ascii="Microsoft JhengHei" w:eastAsia="Microsoft JhengHei" w:hint="eastAsia"/>
          <w:b/>
          <w:spacing w:val="-1"/>
          <w:w w:val="101"/>
          <w:position w:val="-1"/>
          <w:sz w:val="24"/>
        </w:rPr>
        <w:t>病</w:t>
      </w:r>
      <w:r>
        <w:rPr>
          <w:rFonts w:ascii="Microsoft JhengHei" w:eastAsia="Microsoft JhengHei" w:hint="eastAsia"/>
          <w:b/>
          <w:spacing w:val="-3"/>
          <w:w w:val="101"/>
          <w:position w:val="-1"/>
          <w:sz w:val="24"/>
        </w:rPr>
        <w:t>保险</w:t>
      </w:r>
      <w:r>
        <w:rPr>
          <w:rFonts w:ascii="Microsoft JhengHei" w:eastAsia="Microsoft JhengHei" w:hint="eastAsia"/>
          <w:b/>
          <w:w w:val="101"/>
          <w:position w:val="-1"/>
          <w:sz w:val="24"/>
        </w:rPr>
        <w:t>金</w:t>
      </w:r>
      <w:r>
        <w:rPr>
          <w:rFonts w:ascii="Microsoft JhengHei" w:eastAsia="Microsoft JhengHei" w:hint="eastAsia"/>
          <w:b/>
          <w:position w:val="-1"/>
          <w:sz w:val="24"/>
        </w:rPr>
        <w:tab/>
      </w:r>
      <w:r>
        <w:rPr>
          <w:spacing w:val="-1"/>
          <w:w w:val="105"/>
        </w:rPr>
        <w:t>一</w:t>
      </w:r>
      <w:r>
        <w:rPr>
          <w:spacing w:val="-3"/>
          <w:w w:val="105"/>
        </w:rPr>
        <w:t>、</w:t>
      </w:r>
      <w:r>
        <w:rPr>
          <w:spacing w:val="-1"/>
          <w:w w:val="105"/>
        </w:rPr>
        <w:t>若被</w:t>
      </w:r>
      <w:r>
        <w:rPr>
          <w:spacing w:val="-3"/>
          <w:w w:val="105"/>
        </w:rPr>
        <w:t>保</w:t>
      </w:r>
      <w:r>
        <w:rPr>
          <w:spacing w:val="-1"/>
          <w:w w:val="105"/>
        </w:rPr>
        <w:t>险</w:t>
      </w:r>
      <w:r>
        <w:rPr>
          <w:spacing w:val="-3"/>
          <w:w w:val="105"/>
        </w:rPr>
        <w:t>人</w:t>
      </w:r>
      <w:r>
        <w:rPr>
          <w:spacing w:val="-1"/>
          <w:w w:val="105"/>
        </w:rPr>
        <w:t>于</w:t>
      </w:r>
      <w:r>
        <w:rPr>
          <w:spacing w:val="-3"/>
          <w:w w:val="105"/>
        </w:rPr>
        <w:t>本</w:t>
      </w:r>
      <w:r>
        <w:rPr>
          <w:spacing w:val="-1"/>
          <w:w w:val="105"/>
        </w:rPr>
        <w:t>附</w:t>
      </w:r>
      <w:r>
        <w:rPr>
          <w:spacing w:val="-3"/>
          <w:w w:val="105"/>
        </w:rPr>
        <w:t>加</w:t>
      </w:r>
      <w:r>
        <w:rPr>
          <w:spacing w:val="-1"/>
          <w:w w:val="105"/>
        </w:rPr>
        <w:t>合</w:t>
      </w:r>
      <w:r>
        <w:rPr>
          <w:spacing w:val="-3"/>
          <w:w w:val="105"/>
        </w:rPr>
        <w:t>同</w:t>
      </w:r>
      <w:r>
        <w:rPr>
          <w:spacing w:val="-1"/>
          <w:w w:val="105"/>
        </w:rPr>
        <w:t>生效</w:t>
      </w:r>
      <w:r>
        <w:rPr>
          <w:spacing w:val="-3"/>
          <w:w w:val="105"/>
        </w:rPr>
        <w:t>或</w:t>
      </w:r>
      <w:r>
        <w:rPr>
          <w:spacing w:val="-1"/>
          <w:w w:val="105"/>
        </w:rPr>
        <w:t>最</w:t>
      </w:r>
      <w:r>
        <w:rPr>
          <w:spacing w:val="-3"/>
          <w:w w:val="105"/>
        </w:rPr>
        <w:t>后</w:t>
      </w:r>
      <w:r>
        <w:rPr>
          <w:spacing w:val="-1"/>
          <w:w w:val="105"/>
        </w:rPr>
        <w:t>复</w:t>
      </w:r>
      <w:r>
        <w:rPr>
          <w:spacing w:val="-3"/>
          <w:w w:val="105"/>
        </w:rPr>
        <w:t>效</w:t>
      </w:r>
      <w:r>
        <w:rPr>
          <w:spacing w:val="-1"/>
          <w:w w:val="105"/>
        </w:rPr>
        <w:t>之</w:t>
      </w:r>
      <w:r>
        <w:rPr>
          <w:spacing w:val="-3"/>
          <w:w w:val="105"/>
        </w:rPr>
        <w:t>日</w:t>
      </w:r>
      <w:r>
        <w:rPr>
          <w:w w:val="105"/>
        </w:rPr>
        <w:t>起</w:t>
      </w:r>
      <w:r>
        <w:rPr>
          <w:spacing w:val="-48"/>
        </w:rPr>
        <w:t> </w:t>
      </w:r>
      <w:r>
        <w:rPr>
          <w:spacing w:val="-1"/>
          <w:w w:val="105"/>
        </w:rPr>
        <w:t>1</w:t>
      </w:r>
      <w:r>
        <w:rPr>
          <w:spacing w:val="-3"/>
          <w:w w:val="105"/>
        </w:rPr>
        <w:t>8</w:t>
      </w:r>
      <w:r>
        <w:rPr>
          <w:w w:val="105"/>
        </w:rPr>
        <w:t>0</w:t>
      </w:r>
      <w:r>
        <w:rPr>
          <w:spacing w:val="-48"/>
        </w:rPr>
        <w:t> </w:t>
      </w:r>
      <w:r>
        <w:rPr>
          <w:spacing w:val="-1"/>
          <w:w w:val="105"/>
        </w:rPr>
        <w:t>日</w:t>
      </w:r>
      <w:r>
        <w:rPr>
          <w:spacing w:val="-3"/>
          <w:w w:val="105"/>
        </w:rPr>
        <w:t>内</w:t>
      </w:r>
      <w:r>
        <w:rPr>
          <w:spacing w:val="-1"/>
          <w:w w:val="105"/>
        </w:rPr>
        <w:t>（</w:t>
      </w:r>
      <w:r>
        <w:rPr>
          <w:spacing w:val="-3"/>
          <w:w w:val="105"/>
        </w:rPr>
        <w:t>含</w:t>
      </w:r>
      <w:r>
        <w:rPr>
          <w:w w:val="105"/>
        </w:rPr>
        <w:t>第</w:t>
      </w:r>
      <w:r>
        <w:rPr>
          <w:spacing w:val="-48"/>
        </w:rPr>
        <w:t> </w:t>
      </w:r>
      <w:r>
        <w:rPr>
          <w:spacing w:val="-1"/>
          <w:w w:val="105"/>
        </w:rPr>
        <w:t>1</w:t>
      </w:r>
      <w:r>
        <w:rPr>
          <w:spacing w:val="-3"/>
          <w:w w:val="105"/>
        </w:rPr>
        <w:t>8</w:t>
      </w:r>
      <w:r>
        <w:rPr>
          <w:w w:val="105"/>
        </w:rPr>
        <w:t>0</w:t>
      </w:r>
      <w:r>
        <w:rPr>
          <w:spacing w:val="-48"/>
        </w:rPr>
        <w:t> </w:t>
      </w:r>
      <w:r>
        <w:rPr>
          <w:spacing w:val="-1"/>
          <w:w w:val="105"/>
        </w:rPr>
        <w:t>日</w:t>
      </w:r>
      <w:r>
        <w:rPr>
          <w:spacing w:val="-109"/>
          <w:w w:val="105"/>
        </w:rPr>
        <w:t>）</w:t>
      </w:r>
      <w:r>
        <w:rPr>
          <w:spacing w:val="-1"/>
          <w:w w:val="105"/>
        </w:rPr>
        <w:t>，</w:t>
      </w:r>
      <w:r>
        <w:rPr>
          <w:w w:val="105"/>
        </w:rPr>
        <w:t>因</w:t>
      </w:r>
    </w:p>
    <w:p>
      <w:pPr>
        <w:spacing w:line="315" w:lineRule="exact" w:before="0"/>
        <w:ind w:left="3500" w:right="0" w:firstLine="0"/>
        <w:jc w:val="both"/>
        <w:rPr>
          <w:sz w:val="20"/>
        </w:rPr>
      </w:pPr>
      <w:r>
        <w:rPr>
          <w:rFonts w:ascii="Microsoft JhengHei" w:eastAsia="Microsoft JhengHei" w:hint="eastAsia"/>
          <w:b/>
          <w:w w:val="105"/>
          <w:sz w:val="20"/>
        </w:rPr>
        <w:t>意外伤害</w:t>
      </w:r>
      <w:r>
        <w:rPr>
          <w:w w:val="105"/>
          <w:sz w:val="20"/>
        </w:rPr>
        <w:t>(见 9.3)以外的原因</w:t>
      </w:r>
      <w:r>
        <w:rPr>
          <w:rFonts w:ascii="Microsoft JhengHei" w:eastAsia="Microsoft JhengHei" w:hint="eastAsia"/>
          <w:b/>
          <w:w w:val="105"/>
          <w:sz w:val="20"/>
        </w:rPr>
        <w:t>初次患本附加合同所列的重大疾病</w:t>
      </w:r>
      <w:r>
        <w:rPr>
          <w:w w:val="105"/>
          <w:sz w:val="20"/>
        </w:rPr>
        <w:t>(见 9.4；</w:t>
      </w:r>
    </w:p>
    <w:p>
      <w:pPr>
        <w:pStyle w:val="BodyText"/>
        <w:spacing w:line="285" w:lineRule="auto" w:before="27"/>
        <w:ind w:left="3500" w:right="215"/>
        <w:jc w:val="both"/>
      </w:pPr>
      <w:r>
        <w:rPr>
          <w:spacing w:val="-8"/>
          <w:w w:val="105"/>
        </w:rPr>
        <w:t>9.5</w:t>
      </w:r>
      <w:r>
        <w:rPr>
          <w:spacing w:val="-10"/>
          <w:w w:val="105"/>
        </w:rPr>
        <w:t>)，我们不承担保险责任，本附加合同终止，我们将本附加合同所收取的风险保险费无息退还至主合同的保险合同账户，主合同的保险合同账户价值按退</w:t>
      </w:r>
      <w:r>
        <w:rPr>
          <w:spacing w:val="-12"/>
          <w:w w:val="105"/>
        </w:rPr>
        <w:t>还的金额等额增加。这 </w:t>
      </w:r>
      <w:r>
        <w:rPr>
          <w:w w:val="105"/>
        </w:rPr>
        <w:t>180</w:t>
      </w:r>
      <w:r>
        <w:rPr>
          <w:spacing w:val="-13"/>
          <w:w w:val="105"/>
        </w:rPr>
        <w:t> 天的时间称为等待期。若您按期续保，且续保后保</w:t>
      </w:r>
    </w:p>
    <w:p>
      <w:pPr>
        <w:pStyle w:val="BodyText"/>
        <w:spacing w:line="285" w:lineRule="auto" w:before="12"/>
        <w:ind w:left="3500" w:right="215"/>
        <w:jc w:val="both"/>
      </w:pPr>
      <w:r>
        <w:rPr>
          <w:spacing w:val="-13"/>
          <w:w w:val="105"/>
        </w:rPr>
        <w:t>险金额不超过原保险金额的，续保后的本附加合同不受本条规定的 </w:t>
      </w:r>
      <w:r>
        <w:rPr>
          <w:w w:val="105"/>
        </w:rPr>
        <w:t>180</w:t>
      </w:r>
      <w:r>
        <w:rPr>
          <w:spacing w:val="-12"/>
          <w:w w:val="105"/>
        </w:rPr>
        <w:t> 日等待</w:t>
      </w:r>
      <w:r>
        <w:rPr>
          <w:spacing w:val="-14"/>
          <w:w w:val="105"/>
        </w:rPr>
        <w:t>期的限制。若您申请增加本附加合同的保险金额，则对于每次增加的部分也适</w:t>
      </w:r>
      <w:r>
        <w:rPr>
          <w:spacing w:val="-3"/>
          <w:w w:val="105"/>
        </w:rPr>
        <w:t>用上述等待期的规定。 </w:t>
      </w:r>
      <w:r>
        <w:rPr>
          <w:w w:val="105"/>
        </w:rPr>
        <w:t> </w:t>
      </w:r>
    </w:p>
    <w:p>
      <w:pPr>
        <w:pStyle w:val="BodyText"/>
        <w:spacing w:line="276" w:lineRule="auto" w:before="12"/>
        <w:ind w:left="3500" w:right="114" w:hanging="420"/>
        <w:jc w:val="both"/>
      </w:pPr>
      <w:r>
        <w:rPr>
          <w:spacing w:val="-5"/>
          <w:w w:val="105"/>
        </w:rPr>
        <w:t>二、若被保险人因意外伤害,或于本附加合同生效或最后复效之日起 </w:t>
      </w:r>
      <w:r>
        <w:rPr>
          <w:w w:val="105"/>
        </w:rPr>
        <w:t>180</w:t>
      </w:r>
      <w:r>
        <w:rPr>
          <w:spacing w:val="-12"/>
          <w:w w:val="105"/>
        </w:rPr>
        <w:t> 日后被确</w:t>
      </w:r>
      <w:r>
        <w:rPr>
          <w:spacing w:val="-7"/>
          <w:w w:val="105"/>
        </w:rPr>
        <w:t>诊初次患本附加合同所列的重大疾病，并且</w:t>
      </w:r>
      <w:r>
        <w:rPr>
          <w:rFonts w:ascii="等线" w:eastAsia="等线" w:hint="eastAsia"/>
          <w:b/>
          <w:spacing w:val="-3"/>
          <w:w w:val="105"/>
        </w:rPr>
        <w:t>自确诊之日起 </w:t>
      </w:r>
      <w:r>
        <w:rPr>
          <w:rFonts w:ascii="等线" w:eastAsia="等线" w:hint="eastAsia"/>
          <w:b/>
          <w:w w:val="105"/>
        </w:rPr>
        <w:t>28</w:t>
      </w:r>
      <w:r>
        <w:rPr>
          <w:rFonts w:ascii="等线" w:eastAsia="等线" w:hint="eastAsia"/>
          <w:b/>
          <w:spacing w:val="-3"/>
          <w:w w:val="105"/>
        </w:rPr>
        <w:t> 天后仍生存</w:t>
      </w:r>
      <w:r>
        <w:rPr>
          <w:spacing w:val="-4"/>
          <w:w w:val="105"/>
        </w:rPr>
        <w:t>，我</w:t>
      </w:r>
      <w:r>
        <w:rPr>
          <w:spacing w:val="-7"/>
          <w:w w:val="105"/>
        </w:rPr>
        <w:t>们按本附加合同载明的保险金额给付重大疾病保险金，同时本附加合同终止。</w:t>
      </w:r>
      <w:r>
        <w:rPr>
          <w:w w:val="105"/>
        </w:rPr>
        <w:t> </w:t>
      </w:r>
    </w:p>
    <w:p>
      <w:pPr>
        <w:pStyle w:val="BodyText"/>
        <w:tabs>
          <w:tab w:pos="3080" w:val="left" w:leader="none"/>
        </w:tabs>
        <w:spacing w:before="20"/>
        <w:ind w:left="229"/>
      </w:pPr>
      <w:r>
        <w:rPr>
          <w:w w:val="105"/>
        </w:rPr>
        <w:t> </w:t>
      </w:r>
      <w:r>
        <w:rPr/>
        <w:tab/>
      </w:r>
      <w:r>
        <w:rPr>
          <w:w w:val="105"/>
        </w:rPr>
        <w:t> </w:t>
      </w:r>
    </w:p>
    <w:p>
      <w:pPr>
        <w:spacing w:after="0"/>
        <w:sectPr>
          <w:footerReference w:type="default" r:id="rId7"/>
          <w:pgSz w:w="11900" w:h="16840"/>
          <w:pgMar w:footer="440" w:header="0" w:top="60" w:bottom="640" w:left="560" w:right="580"/>
          <w:pgNumType w:start="2"/>
        </w:sectPr>
      </w:pPr>
    </w:p>
    <w:p>
      <w:pPr>
        <w:pStyle w:val="ListParagraph"/>
        <w:numPr>
          <w:ilvl w:val="1"/>
          <w:numId w:val="10"/>
        </w:numPr>
        <w:tabs>
          <w:tab w:pos="550" w:val="left" w:leader="none"/>
          <w:tab w:pos="1131" w:val="left" w:leader="none"/>
          <w:tab w:pos="3080" w:val="left" w:leader="none"/>
        </w:tabs>
        <w:spacing w:line="296" w:lineRule="exact" w:before="0" w:after="0"/>
        <w:ind w:left="549" w:right="0" w:hanging="320"/>
        <w:jc w:val="left"/>
        <w:rPr>
          <w:sz w:val="20"/>
        </w:rPr>
      </w:pPr>
      <w:r>
        <w:rPr>
          <w:rFonts w:ascii="Microsoft JhengHei" w:eastAsia="Microsoft JhengHei" w:hint="eastAsia"/>
          <w:b/>
          <w:spacing w:val="-3"/>
          <w:w w:val="105"/>
          <w:sz w:val="20"/>
        </w:rPr>
        <w:t>责任免</w:t>
      </w:r>
      <w:r>
        <w:rPr>
          <w:rFonts w:ascii="Microsoft JhengHei" w:eastAsia="Microsoft JhengHei" w:hint="eastAsia"/>
          <w:b/>
          <w:spacing w:val="-5"/>
          <w:w w:val="105"/>
          <w:sz w:val="20"/>
        </w:rPr>
        <w:t>除</w:t>
        <w:tab/>
      </w:r>
      <w:r>
        <w:rPr>
          <w:spacing w:val="-1"/>
          <w:w w:val="105"/>
          <w:sz w:val="2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pStyle w:val="BodyText"/>
        <w:spacing w:before="27"/>
        <w:ind w:left="3291"/>
      </w:pPr>
      <w:r>
        <w:rPr>
          <w:w w:val="105"/>
        </w:rPr>
        <w:t>（一）投保人对被保险人的故意杀害、故意伤害； </w:t>
      </w:r>
    </w:p>
    <w:p>
      <w:pPr>
        <w:pStyle w:val="BodyText"/>
        <w:spacing w:before="49"/>
        <w:ind w:left="3291"/>
      </w:pPr>
      <w:r>
        <w:rPr>
          <w:w w:val="105"/>
        </w:rPr>
        <w:t>（二）被保险人故意犯罪或抗拒依法采取的刑事强制措施； </w:t>
      </w:r>
    </w:p>
    <w:p>
      <w:pPr>
        <w:pStyle w:val="BodyText"/>
        <w:spacing w:line="255" w:lineRule="exact" w:before="49"/>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6</w:t>
      </w:r>
      <w:r>
        <w:rPr>
          <w:spacing w:val="-106"/>
          <w:w w:val="105"/>
        </w:rPr>
        <w:t>）</w:t>
      </w:r>
      <w:r>
        <w:rPr>
          <w:spacing w:val="-3"/>
          <w:w w:val="105"/>
        </w:rPr>
        <w:t>；</w:t>
      </w:r>
      <w:r>
        <w:rPr>
          <w:w w:val="105"/>
        </w:rPr>
        <w:t> </w:t>
      </w:r>
    </w:p>
    <w:p>
      <w:pPr>
        <w:spacing w:line="216" w:lineRule="auto" w:before="17"/>
        <w:ind w:left="3915" w:right="309" w:hanging="624"/>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.7</w:t>
      </w:r>
      <w:r>
        <w:rPr>
          <w:spacing w:val="-109"/>
          <w:w w:val="105"/>
          <w:sz w:val="20"/>
        </w:rPr>
        <w:t>）</w:t>
      </w:r>
      <w:r>
        <w:rPr>
          <w:spacing w:val="-3"/>
          <w:w w:val="105"/>
          <w:sz w:val="20"/>
        </w:rPr>
        <w:t>、</w:t>
      </w:r>
      <w:r>
        <w:rPr>
          <w:rFonts w:ascii="Microsoft JhengHei" w:eastAsia="Microsoft JhengHei" w:hint="eastAsia"/>
          <w:b/>
          <w:spacing w:val="-3"/>
          <w:w w:val="106"/>
          <w:sz w:val="20"/>
        </w:rPr>
        <w:t>无有效驾驶证驾驶</w:t>
      </w:r>
      <w:r>
        <w:rPr>
          <w:spacing w:val="-1"/>
          <w:w w:val="105"/>
          <w:sz w:val="20"/>
        </w:rPr>
        <w:t>（</w:t>
      </w:r>
      <w:r>
        <w:rPr>
          <w:w w:val="105"/>
          <w:sz w:val="20"/>
        </w:rPr>
        <w:t>见</w:t>
      </w:r>
      <w:r>
        <w:rPr>
          <w:spacing w:val="-50"/>
          <w:sz w:val="20"/>
        </w:rPr>
        <w:t> </w:t>
      </w:r>
      <w:r>
        <w:rPr>
          <w:spacing w:val="-1"/>
          <w:w w:val="105"/>
          <w:sz w:val="20"/>
        </w:rPr>
        <w:t>9.</w:t>
      </w:r>
      <w:r>
        <w:rPr>
          <w:spacing w:val="-3"/>
          <w:w w:val="105"/>
          <w:sz w:val="20"/>
        </w:rPr>
        <w:t>8</w:t>
      </w:r>
      <w:r>
        <w:rPr>
          <w:spacing w:val="-1"/>
          <w:w w:val="105"/>
          <w:sz w:val="20"/>
        </w:rPr>
        <w:t>）</w:t>
      </w:r>
      <w:r>
        <w:rPr>
          <w:spacing w:val="-3"/>
          <w:w w:val="105"/>
          <w:sz w:val="20"/>
        </w:rPr>
        <w:t>或驾驶</w:t>
      </w:r>
      <w:r>
        <w:rPr>
          <w:rFonts w:ascii="Microsoft JhengHei" w:eastAsia="Microsoft JhengHei" w:hint="eastAsia"/>
          <w:b/>
          <w:spacing w:val="-2"/>
          <w:w w:val="106"/>
          <w:sz w:val="20"/>
        </w:rPr>
        <w:t>无有</w:t>
      </w:r>
      <w:r>
        <w:rPr>
          <w:rFonts w:ascii="Microsoft JhengHei" w:eastAsia="Microsoft JhengHei" w:hint="eastAsia"/>
          <w:b/>
          <w:spacing w:val="-3"/>
          <w:w w:val="106"/>
          <w:sz w:val="20"/>
        </w:rPr>
        <w:t>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9</w:t>
      </w:r>
      <w:r>
        <w:rPr>
          <w:spacing w:val="-1"/>
          <w:w w:val="105"/>
          <w:sz w:val="20"/>
        </w:rPr>
        <w:t>）</w:t>
      </w:r>
      <w:r>
        <w:rPr>
          <w:spacing w:val="-3"/>
          <w:w w:val="105"/>
          <w:sz w:val="20"/>
        </w:rPr>
        <w:t>的</w:t>
      </w:r>
      <w:r>
        <w:rPr>
          <w:rFonts w:ascii="Microsoft JhengHei" w:eastAsia="Microsoft JhengHei" w:hint="eastAsia"/>
          <w:b/>
          <w:spacing w:val="-4"/>
          <w:w w:val="106"/>
          <w:sz w:val="20"/>
        </w:rPr>
        <w:t>机动车</w:t>
      </w:r>
      <w:r>
        <w:rPr>
          <w:spacing w:val="-1"/>
          <w:w w:val="105"/>
          <w:sz w:val="20"/>
        </w:rPr>
        <w:t>（</w:t>
      </w:r>
      <w:r>
        <w:rPr>
          <w:w w:val="105"/>
          <w:sz w:val="20"/>
        </w:rPr>
        <w:t>见</w:t>
      </w:r>
      <w:r>
        <w:rPr>
          <w:spacing w:val="-50"/>
          <w:sz w:val="20"/>
        </w:rPr>
        <w:t> </w:t>
      </w:r>
      <w:r>
        <w:rPr>
          <w:spacing w:val="-1"/>
          <w:w w:val="105"/>
          <w:sz w:val="20"/>
        </w:rPr>
        <w:t>9.1</w:t>
      </w:r>
      <w:r>
        <w:rPr>
          <w:spacing w:val="-3"/>
          <w:w w:val="105"/>
          <w:sz w:val="20"/>
        </w:rPr>
        <w:t>0</w:t>
      </w:r>
      <w:r>
        <w:rPr>
          <w:spacing w:val="-106"/>
          <w:w w:val="105"/>
          <w:sz w:val="20"/>
        </w:rPr>
        <w:t>）</w:t>
      </w:r>
      <w:r>
        <w:rPr>
          <w:spacing w:val="-3"/>
          <w:w w:val="105"/>
          <w:sz w:val="20"/>
        </w:rPr>
        <w:t>；</w:t>
      </w:r>
      <w:r>
        <w:rPr>
          <w:w w:val="105"/>
          <w:sz w:val="20"/>
        </w:rPr>
        <w:t> </w:t>
      </w:r>
    </w:p>
    <w:p>
      <w:pPr>
        <w:spacing w:line="312" w:lineRule="exact" w:before="0"/>
        <w:ind w:left="3291" w:right="0" w:firstLine="0"/>
        <w:jc w:val="left"/>
        <w:rPr>
          <w:sz w:val="20"/>
        </w:rPr>
      </w:pPr>
      <w:r>
        <w:rPr>
          <w:w w:val="105"/>
          <w:sz w:val="20"/>
        </w:rPr>
        <w:t>（六）被保险人</w:t>
      </w:r>
      <w:r>
        <w:rPr>
          <w:rFonts w:ascii="Microsoft JhengHei" w:eastAsia="Microsoft JhengHei" w:hint="eastAsia"/>
          <w:b/>
          <w:w w:val="105"/>
          <w:sz w:val="20"/>
        </w:rPr>
        <w:t>感染艾滋病病毒或患艾滋病</w:t>
      </w:r>
      <w:r>
        <w:rPr>
          <w:w w:val="105"/>
          <w:sz w:val="20"/>
        </w:rPr>
        <w:t>（见 9.11）期间； </w:t>
      </w:r>
    </w:p>
    <w:p>
      <w:pPr>
        <w:pStyle w:val="BodyText"/>
        <w:spacing w:line="285" w:lineRule="auto" w:before="28"/>
        <w:ind w:left="3620" w:right="215" w:hanging="329"/>
      </w:pPr>
      <w:r>
        <w:rPr>
          <w:w w:val="105"/>
        </w:rPr>
        <w:t>（七</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1"/>
      </w:pPr>
      <w:r>
        <w:rPr>
          <w:w w:val="105"/>
        </w:rPr>
        <w:t>（八）核爆炸、核辐射或核污染； </w:t>
      </w:r>
    </w:p>
    <w:p>
      <w:pPr>
        <w:spacing w:line="259" w:lineRule="auto" w:before="0"/>
        <w:ind w:left="3080" w:right="217" w:firstLine="211"/>
        <w:jc w:val="left"/>
        <w:rPr>
          <w:sz w:val="20"/>
        </w:rPr>
      </w:pPr>
      <w:r>
        <w:rPr>
          <w:spacing w:val="-1"/>
          <w:w w:val="105"/>
          <w:sz w:val="20"/>
        </w:rPr>
        <w:t>（九</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12</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13</w:t>
      </w:r>
      <w:r>
        <w:rPr>
          <w:spacing w:val="-109"/>
          <w:w w:val="105"/>
          <w:sz w:val="20"/>
        </w:rPr>
        <w:t>）</w:t>
      </w:r>
      <w:r>
        <w:rPr>
          <w:spacing w:val="-3"/>
          <w:w w:val="105"/>
          <w:sz w:val="20"/>
        </w:rPr>
        <w:t>。</w:t>
      </w:r>
      <w:r>
        <w:rPr>
          <w:w w:val="105"/>
          <w:sz w:val="20"/>
        </w:rPr>
        <w:t> </w:t>
      </w:r>
      <w:r>
        <w:rPr>
          <w:spacing w:val="-10"/>
          <w:w w:val="105"/>
          <w:sz w:val="20"/>
        </w:rPr>
        <w:t>二、发生上述情形导致被保险人患重大疾病的，本附加合同终止。我们将已收取的</w:t>
      </w:r>
    </w:p>
    <w:p>
      <w:pPr>
        <w:pStyle w:val="BodyText"/>
        <w:spacing w:line="285" w:lineRule="auto" w:before="41"/>
        <w:ind w:left="3500" w:right="215"/>
        <w:rPr>
          <w:rFonts w:ascii="Microsoft JhengHei" w:eastAsia="Microsoft JhengHei" w:hint="eastAsia"/>
          <w:b/>
        </w:rPr>
      </w:pPr>
      <w:r>
        <w:rPr>
          <w:spacing w:val="-7"/>
          <w:w w:val="105"/>
        </w:rPr>
        <w:t>本附加合同终止日之后的风险保险费退还至主合同的保险合同账户，主合同的</w:t>
      </w:r>
      <w:r>
        <w:rPr>
          <w:spacing w:val="-3"/>
          <w:w w:val="105"/>
        </w:rPr>
        <w:t>保险合同账户按退还的金额等额增加。</w:t>
      </w:r>
      <w:r>
        <w:rPr>
          <w:rFonts w:ascii="Microsoft JhengHei" w:eastAsia="Microsoft JhengHei" w:hint="eastAsia"/>
          <w:b/>
          <w:w w:val="216"/>
        </w:rPr>
        <w:t> </w:t>
      </w:r>
    </w:p>
    <w:p>
      <w:pPr>
        <w:pStyle w:val="BodyText"/>
        <w:tabs>
          <w:tab w:pos="1131" w:val="left" w:leader="none"/>
          <w:tab w:pos="3080" w:val="left" w:leader="none"/>
        </w:tabs>
        <w:spacing w:line="200"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86" w:lineRule="exact" w:before="0" w:after="0"/>
        <w:ind w:left="549" w:right="0" w:hanging="320"/>
        <w:jc w:val="left"/>
        <w:rPr>
          <w:sz w:val="20"/>
        </w:rPr>
      </w:pPr>
      <w:r>
        <w:rPr>
          <w:rFonts w:ascii="Microsoft JhengHei" w:eastAsia="Microsoft JhengHei" w:hint="eastAsia"/>
          <w:b/>
          <w:spacing w:val="-3"/>
          <w:w w:val="105"/>
          <w:sz w:val="20"/>
        </w:rPr>
        <w:t>保险金额                       </w:t>
      </w:r>
      <w:r>
        <w:rPr>
          <w:spacing w:val="-8"/>
          <w:w w:val="105"/>
          <w:sz w:val="20"/>
        </w:rPr>
        <w:t>本附加合同的保险金额由您在投保时与我们约定，并在保险单上载明。投保时的保</w:t>
      </w:r>
    </w:p>
    <w:p>
      <w:pPr>
        <w:pStyle w:val="BodyText"/>
        <w:spacing w:line="285" w:lineRule="auto" w:before="27"/>
        <w:ind w:left="3080" w:right="215"/>
      </w:pPr>
      <w:r>
        <w:rPr>
          <w:spacing w:val="-9"/>
          <w:w w:val="105"/>
        </w:rPr>
        <w:t>险金额须符合我们当时的投保规则。若该金额发生变更，则以变更后的金额为保险</w:t>
      </w:r>
      <w:r>
        <w:rPr>
          <w:spacing w:val="-2"/>
          <w:w w:val="105"/>
        </w:rPr>
        <w:t>金额。</w:t>
      </w:r>
      <w:r>
        <w:rPr>
          <w:w w:val="105"/>
        </w:rPr>
        <w:t> </w:t>
      </w:r>
    </w:p>
    <w:p>
      <w:pPr>
        <w:pStyle w:val="BodyText"/>
        <w:tabs>
          <w:tab w:pos="1131" w:val="left" w:leader="none"/>
          <w:tab w:pos="3080" w:val="left" w:leader="none"/>
        </w:tabs>
        <w:spacing w:line="199"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 w:pos="3080" w:val="left" w:leader="none"/>
        </w:tabs>
        <w:spacing w:line="285" w:lineRule="exact" w:before="0" w:after="0"/>
        <w:ind w:left="549" w:right="0" w:hanging="320"/>
        <w:jc w:val="left"/>
        <w:rPr>
          <w:sz w:val="20"/>
        </w:rPr>
      </w:pPr>
      <w:r>
        <w:rPr>
          <w:rFonts w:ascii="Microsoft JhengHei" w:eastAsia="Microsoft JhengHei" w:hint="eastAsia"/>
          <w:b/>
          <w:spacing w:val="-3"/>
          <w:w w:val="105"/>
          <w:sz w:val="20"/>
        </w:rPr>
        <w:t>保险金额的变</w:t>
      </w:r>
      <w:r>
        <w:rPr>
          <w:rFonts w:ascii="Microsoft JhengHei" w:eastAsia="Microsoft JhengHei" w:hint="eastAsia"/>
          <w:b/>
          <w:spacing w:val="-5"/>
          <w:w w:val="105"/>
          <w:sz w:val="20"/>
        </w:rPr>
        <w:t>更</w:t>
        <w:tab/>
      </w:r>
      <w:r>
        <w:rPr>
          <w:spacing w:val="-1"/>
          <w:w w:val="105"/>
          <w:sz w:val="20"/>
        </w:rPr>
        <w:t>本附</w:t>
      </w:r>
      <w:r>
        <w:rPr>
          <w:spacing w:val="-3"/>
          <w:w w:val="105"/>
          <w:sz w:val="20"/>
        </w:rPr>
        <w:t>加</w:t>
      </w:r>
      <w:r>
        <w:rPr>
          <w:spacing w:val="-1"/>
          <w:w w:val="105"/>
          <w:sz w:val="20"/>
        </w:rPr>
        <w:t>合</w:t>
      </w:r>
      <w:r>
        <w:rPr>
          <w:spacing w:val="-3"/>
          <w:w w:val="105"/>
          <w:sz w:val="20"/>
        </w:rPr>
        <w:t>同</w:t>
      </w:r>
      <w:r>
        <w:rPr>
          <w:spacing w:val="-1"/>
          <w:w w:val="105"/>
          <w:sz w:val="20"/>
        </w:rPr>
        <w:t>有</w:t>
      </w:r>
      <w:r>
        <w:rPr>
          <w:spacing w:val="-3"/>
          <w:w w:val="105"/>
          <w:sz w:val="20"/>
        </w:rPr>
        <w:t>效</w:t>
      </w:r>
      <w:r>
        <w:rPr>
          <w:spacing w:val="-1"/>
          <w:w w:val="105"/>
          <w:sz w:val="20"/>
        </w:rPr>
        <w:t>期</w:t>
      </w:r>
      <w:r>
        <w:rPr>
          <w:spacing w:val="-3"/>
          <w:w w:val="105"/>
          <w:sz w:val="20"/>
        </w:rPr>
        <w:t>内</w:t>
      </w:r>
      <w:r>
        <w:rPr>
          <w:spacing w:val="-1"/>
          <w:w w:val="105"/>
          <w:sz w:val="20"/>
        </w:rPr>
        <w:t>，</w:t>
      </w:r>
      <w:r>
        <w:rPr>
          <w:spacing w:val="-3"/>
          <w:w w:val="105"/>
          <w:sz w:val="20"/>
        </w:rPr>
        <w:t>经</w:t>
      </w:r>
      <w:r>
        <w:rPr>
          <w:spacing w:val="-1"/>
          <w:w w:val="105"/>
          <w:sz w:val="20"/>
        </w:rPr>
        <w:t>我们</w:t>
      </w:r>
      <w:r>
        <w:rPr>
          <w:spacing w:val="-3"/>
          <w:w w:val="105"/>
          <w:sz w:val="20"/>
        </w:rPr>
        <w:t>同</w:t>
      </w:r>
      <w:r>
        <w:rPr>
          <w:spacing w:val="-1"/>
          <w:w w:val="105"/>
          <w:sz w:val="20"/>
        </w:rPr>
        <w:t>意</w:t>
      </w:r>
      <w:r>
        <w:rPr>
          <w:spacing w:val="-3"/>
          <w:w w:val="105"/>
          <w:sz w:val="20"/>
        </w:rPr>
        <w:t>，</w:t>
      </w:r>
      <w:r>
        <w:rPr>
          <w:spacing w:val="-1"/>
          <w:w w:val="105"/>
          <w:sz w:val="20"/>
        </w:rPr>
        <w:t>您</w:t>
      </w:r>
      <w:r>
        <w:rPr>
          <w:spacing w:val="-3"/>
          <w:w w:val="105"/>
          <w:sz w:val="20"/>
        </w:rPr>
        <w:t>可</w:t>
      </w:r>
      <w:r>
        <w:rPr>
          <w:spacing w:val="-1"/>
          <w:w w:val="105"/>
          <w:sz w:val="20"/>
        </w:rPr>
        <w:t>以</w:t>
      </w:r>
      <w:r>
        <w:rPr>
          <w:spacing w:val="-3"/>
          <w:w w:val="105"/>
          <w:sz w:val="20"/>
        </w:rPr>
        <w:t>变</w:t>
      </w:r>
      <w:r>
        <w:rPr>
          <w:spacing w:val="-1"/>
          <w:w w:val="105"/>
          <w:sz w:val="20"/>
        </w:rPr>
        <w:t>更</w:t>
      </w:r>
      <w:r>
        <w:rPr>
          <w:spacing w:val="-3"/>
          <w:w w:val="105"/>
          <w:sz w:val="20"/>
        </w:rPr>
        <w:t>本</w:t>
      </w:r>
      <w:r>
        <w:rPr>
          <w:spacing w:val="-1"/>
          <w:w w:val="105"/>
          <w:sz w:val="20"/>
        </w:rPr>
        <w:t>附加</w:t>
      </w:r>
      <w:r>
        <w:rPr>
          <w:spacing w:val="-3"/>
          <w:w w:val="105"/>
          <w:sz w:val="20"/>
        </w:rPr>
        <w:t>合</w:t>
      </w:r>
      <w:r>
        <w:rPr>
          <w:spacing w:val="-1"/>
          <w:w w:val="105"/>
          <w:sz w:val="20"/>
        </w:rPr>
        <w:t>同</w:t>
      </w:r>
      <w:r>
        <w:rPr>
          <w:spacing w:val="-3"/>
          <w:w w:val="105"/>
          <w:sz w:val="20"/>
        </w:rPr>
        <w:t>保</w:t>
      </w:r>
      <w:r>
        <w:rPr>
          <w:spacing w:val="-1"/>
          <w:w w:val="105"/>
          <w:sz w:val="20"/>
        </w:rPr>
        <w:t>险</w:t>
      </w:r>
      <w:r>
        <w:rPr>
          <w:spacing w:val="-3"/>
          <w:w w:val="105"/>
          <w:sz w:val="20"/>
        </w:rPr>
        <w:t>金</w:t>
      </w:r>
      <w:r>
        <w:rPr>
          <w:spacing w:val="-1"/>
          <w:w w:val="105"/>
          <w:sz w:val="20"/>
        </w:rPr>
        <w:t>额</w:t>
      </w:r>
      <w:r>
        <w:rPr>
          <w:spacing w:val="-3"/>
          <w:w w:val="105"/>
          <w:sz w:val="20"/>
        </w:rPr>
        <w:t>。</w:t>
      </w:r>
      <w:r>
        <w:rPr>
          <w:w w:val="105"/>
          <w:sz w:val="20"/>
        </w:rPr>
        <w:t> </w:t>
      </w:r>
    </w:p>
    <w:p>
      <w:pPr>
        <w:pStyle w:val="BodyText"/>
        <w:spacing w:before="27"/>
        <w:ind w:left="3080"/>
      </w:pPr>
      <w:r>
        <w:rPr>
          <w:w w:val="105"/>
        </w:rPr>
        <w:t>(一) 申请增加本附加合同保险金额 </w:t>
      </w:r>
    </w:p>
    <w:p>
      <w:pPr>
        <w:pStyle w:val="BodyText"/>
        <w:spacing w:line="285" w:lineRule="auto" w:before="50"/>
        <w:ind w:left="3500" w:right="217"/>
        <w:jc w:val="both"/>
      </w:pPr>
      <w:r>
        <w:rPr>
          <w:spacing w:val="-10"/>
          <w:w w:val="105"/>
        </w:rPr>
        <w:t>在本附加合同生效后，您可随时向我们申请增加保险金额。在申请增加保险金</w:t>
      </w:r>
      <w:r>
        <w:rPr>
          <w:spacing w:val="-13"/>
          <w:w w:val="105"/>
        </w:rPr>
        <w:t>额时，您必须按照我们的规定提供被保险人的健康声明书、体检报告书及其他</w:t>
      </w:r>
      <w:r>
        <w:rPr>
          <w:spacing w:val="-3"/>
          <w:w w:val="105"/>
        </w:rPr>
        <w:t>相关证明文件。</w:t>
      </w:r>
      <w:r>
        <w:rPr>
          <w:w w:val="105"/>
        </w:rPr>
        <w:t> </w:t>
      </w:r>
    </w:p>
    <w:p>
      <w:pPr>
        <w:pStyle w:val="BodyText"/>
        <w:spacing w:before="12"/>
        <w:ind w:left="3500"/>
      </w:pPr>
      <w:r>
        <w:rPr>
          <w:w w:val="105"/>
        </w:rPr>
        <w:t>经我们审核同意后，增加的保险金额从我们受理成功日的次日零时起生效。</w:t>
      </w:r>
    </w:p>
    <w:p>
      <w:pPr>
        <w:pStyle w:val="BodyText"/>
        <w:spacing w:before="50"/>
        <w:ind w:left="3080"/>
      </w:pPr>
      <w:r>
        <w:rPr>
          <w:w w:val="105"/>
        </w:rPr>
        <w:t>(二) 申请减少本附加合同保险金额 </w:t>
      </w:r>
    </w:p>
    <w:p>
      <w:pPr>
        <w:pStyle w:val="BodyText"/>
        <w:spacing w:line="285" w:lineRule="auto" w:before="50"/>
        <w:ind w:left="3500" w:right="217"/>
        <w:jc w:val="both"/>
      </w:pPr>
      <w:r>
        <w:rPr>
          <w:spacing w:val="-10"/>
          <w:w w:val="105"/>
        </w:rPr>
        <w:t>在本附加合同生效后，您可随时向我们申请减少保险金额。经我们同意后，减</w:t>
      </w:r>
      <w:r>
        <w:rPr>
          <w:spacing w:val="-3"/>
          <w:w w:val="105"/>
        </w:rPr>
        <w:t>少的保险金额从我们受理成功日的次日零时起生效。</w:t>
      </w:r>
    </w:p>
    <w:p>
      <w:pPr>
        <w:pStyle w:val="BodyText"/>
        <w:tabs>
          <w:tab w:pos="1131" w:val="left" w:leader="none"/>
          <w:tab w:pos="3080" w:val="left" w:leader="none"/>
        </w:tabs>
        <w:spacing w:line="199"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85" w:lineRule="exact" w:before="0" w:after="0"/>
        <w:ind w:left="549" w:right="0" w:hanging="320"/>
        <w:jc w:val="left"/>
        <w:rPr>
          <w:sz w:val="20"/>
        </w:rPr>
      </w:pPr>
      <w:r>
        <w:rPr>
          <w:rFonts w:ascii="Microsoft JhengHei" w:eastAsia="Microsoft JhengHei" w:hint="eastAsia"/>
          <w:b/>
          <w:spacing w:val="-2"/>
          <w:w w:val="105"/>
          <w:sz w:val="20"/>
        </w:rPr>
        <w:t>保险期间                      </w:t>
      </w:r>
      <w:r>
        <w:rPr>
          <w:spacing w:val="-3"/>
          <w:w w:val="105"/>
          <w:sz w:val="20"/>
        </w:rPr>
        <w:t>本附加合同的保险期间为一年。</w:t>
      </w:r>
      <w:r>
        <w:rPr>
          <w:w w:val="105"/>
          <w:sz w:val="20"/>
        </w:rPr>
        <w:t> </w:t>
      </w:r>
    </w:p>
    <w:p>
      <w:pPr>
        <w:pStyle w:val="BodyText"/>
        <w:tabs>
          <w:tab w:pos="1131" w:val="left" w:leader="none"/>
          <w:tab w:pos="3080" w:val="left" w:leader="none"/>
        </w:tabs>
        <w:spacing w:line="200" w:lineRule="exact" w:before="27"/>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153" w:lineRule="exact" w:before="0" w:after="0"/>
        <w:ind w:left="549" w:right="0" w:hanging="320"/>
        <w:jc w:val="left"/>
        <w:rPr>
          <w:sz w:val="20"/>
        </w:rPr>
      </w:pPr>
      <w:r>
        <w:rPr>
          <w:rFonts w:ascii="Microsoft JhengHei" w:eastAsia="Microsoft JhengHei" w:hint="eastAsia"/>
          <w:b/>
          <w:spacing w:val="-3"/>
          <w:w w:val="105"/>
          <w:sz w:val="20"/>
        </w:rPr>
        <w:t>续保                               </w:t>
      </w:r>
      <w:r>
        <w:rPr>
          <w:spacing w:val="-3"/>
          <w:w w:val="105"/>
          <w:sz w:val="20"/>
        </w:rPr>
        <w:t>本附加合同为每年保证续保的保险合同，您可以每年续保至终身。</w:t>
      </w:r>
      <w:r>
        <w:rPr>
          <w:w w:val="105"/>
          <w:sz w:val="20"/>
        </w:rPr>
        <w:t> </w:t>
      </w:r>
    </w:p>
    <w:p>
      <w:pPr>
        <w:pStyle w:val="Heading2"/>
      </w:pPr>
      <w:r>
        <w:rPr/>
        <w:pict>
          <v:shape style="position:absolute;margin-left:156.839935pt;margin-top:30.381701pt;width:5.3pt;height:10.1pt;mso-position-horizontal-relative:page;mso-position-vertical-relative:paragraph;z-index:-97912"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24.404701pt;width:17.9pt;height:21.15pt;mso-position-horizontal-relative:page;mso-position-vertical-relative:paragraph;z-index:1240" type="#_x0000_t202" filled="false" stroked="false">
            <v:textbox inset="0,0,0,0">
              <w:txbxContent>
                <w:p>
                  <w:pPr>
                    <w:spacing w:line="423" w:lineRule="exact" w:before="0"/>
                    <w:ind w:left="0" w:right="0" w:firstLine="0"/>
                    <w:jc w:val="left"/>
                    <w:rPr>
                      <w:rFonts w:ascii="Yu Gothic"/>
                      <w:b/>
                      <w:sz w:val="40"/>
                    </w:rPr>
                  </w:pPr>
                  <w:r>
                    <w:rPr>
                      <w:rFonts w:ascii="Yu Gothic"/>
                      <w:b/>
                      <w:w w:val="116"/>
                      <w:sz w:val="40"/>
                    </w:rPr>
                    <w:t>O</w:t>
                  </w:r>
                </w:p>
              </w:txbxContent>
            </v:textbox>
            <w10:wrap type="none"/>
          </v:shape>
        </w:pict>
      </w:r>
      <w:r>
        <w:rPr>
          <w:spacing w:val="-243"/>
        </w:rPr>
        <w:t>保</w:t>
      </w:r>
      <w:r>
        <w:rPr>
          <w:spacing w:val="-3"/>
        </w:rPr>
        <w:t>保险金的申请</w:t>
      </w:r>
    </w:p>
    <w:p>
      <w:pPr>
        <w:pStyle w:val="BodyText"/>
        <w:rPr>
          <w:rFonts w:ascii="Microsoft JhengHei"/>
          <w:b/>
          <w:sz w:val="7"/>
        </w:rPr>
      </w:pPr>
      <w:r>
        <w:rPr/>
        <w:pict>
          <v:group style="position:absolute;margin-left:33.959999pt;margin-top:8.090833pt;width:526.2pt;height:1pt;mso-position-horizontal-relative:page;mso-position-vertical-relative:paragraph;z-index:1192;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89" w:lineRule="exact" w:before="0" w:after="0"/>
        <w:ind w:left="3080" w:right="0" w:hanging="2851"/>
        <w:jc w:val="left"/>
        <w:rPr>
          <w:sz w:val="20"/>
        </w:rPr>
      </w:pPr>
      <w:r>
        <w:rPr>
          <w:rFonts w:ascii="Microsoft JhengHei" w:eastAsia="Microsoft JhengHei" w:hint="eastAsia"/>
          <w:b/>
          <w:spacing w:val="-3"/>
          <w:w w:val="105"/>
          <w:sz w:val="20"/>
        </w:rPr>
        <w:t>受益人                           </w:t>
      </w:r>
      <w:r>
        <w:rPr>
          <w:spacing w:val="-3"/>
          <w:w w:val="105"/>
          <w:sz w:val="20"/>
        </w:rPr>
        <w:t>除另有约定外，重大疾病保险金的受益人为被保险人本人。</w:t>
      </w:r>
      <w:r>
        <w:rPr>
          <w:w w:val="105"/>
          <w:sz w:val="20"/>
        </w:rPr>
        <w:t> </w:t>
      </w:r>
    </w:p>
    <w:p>
      <w:pPr>
        <w:pStyle w:val="BodyText"/>
        <w:tabs>
          <w:tab w:pos="1131" w:val="left" w:leader="none"/>
          <w:tab w:pos="3080" w:val="left" w:leader="none"/>
        </w:tabs>
        <w:spacing w:line="213" w:lineRule="exact" w:before="27"/>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3080" w:right="0" w:hanging="2851"/>
        <w:jc w:val="left"/>
        <w:rPr>
          <w:sz w:val="20"/>
        </w:rPr>
      </w:pPr>
      <w:r>
        <w:rPr>
          <w:rFonts w:ascii="Microsoft JhengHei" w:eastAsia="Microsoft JhengHei" w:hint="eastAsia"/>
          <w:b/>
          <w:spacing w:val="-2"/>
          <w:w w:val="105"/>
          <w:sz w:val="20"/>
        </w:rPr>
        <w:t>保险金申请                  </w:t>
      </w:r>
      <w:r>
        <w:rPr>
          <w:spacing w:val="-3"/>
          <w:w w:val="105"/>
          <w:sz w:val="20"/>
        </w:rPr>
        <w:t>在申请保险金时，请按照下列方式办理：</w:t>
      </w:r>
      <w:r>
        <w:rPr>
          <w:w w:val="105"/>
          <w:sz w:val="20"/>
        </w:rPr>
        <w:t> </w:t>
      </w:r>
    </w:p>
    <w:p>
      <w:pPr>
        <w:pStyle w:val="BodyText"/>
        <w:tabs>
          <w:tab w:pos="1131" w:val="left" w:leader="none"/>
          <w:tab w:pos="3080" w:val="left" w:leader="none"/>
        </w:tabs>
        <w:spacing w:before="28"/>
        <w:ind w:left="229"/>
      </w:pPr>
      <w:r>
        <w:rPr>
          <w:w w:val="105"/>
        </w:rPr>
        <w:t> </w:t>
      </w:r>
      <w:r>
        <w:rPr/>
        <w:tab/>
      </w:r>
      <w:r>
        <w:rPr>
          <w:w w:val="105"/>
        </w:rPr>
        <w:t> </w:t>
      </w:r>
      <w:r>
        <w:rPr/>
        <w:tab/>
      </w:r>
      <w:r>
        <w:rPr>
          <w:w w:val="105"/>
        </w:rPr>
        <w:t> </w:t>
      </w:r>
    </w:p>
    <w:p>
      <w:pPr>
        <w:spacing w:after="0"/>
        <w:sectPr>
          <w:pgSz w:w="11900" w:h="16840"/>
          <w:pgMar w:header="0" w:footer="440" w:top="1120" w:bottom="640" w:left="560" w:right="580"/>
        </w:sectPr>
      </w:pPr>
    </w:p>
    <w:p>
      <w:pPr>
        <w:tabs>
          <w:tab w:pos="1131" w:val="left" w:leader="none"/>
        </w:tabs>
        <w:spacing w:line="233" w:lineRule="exact" w:before="0"/>
        <w:ind w:left="229" w:right="0" w:firstLine="0"/>
        <w:jc w:val="left"/>
        <w:rPr>
          <w:rFonts w:ascii="Microsoft JhengHei" w:eastAsia="Microsoft JhengHei" w:hint="eastAsia"/>
          <w:b/>
          <w:sz w:val="24"/>
        </w:rPr>
      </w:pPr>
      <w:r>
        <w:rPr>
          <w:rFonts w:ascii="Microsoft JhengHei" w:eastAsia="Microsoft JhengHei" w:hint="eastAsia"/>
          <w:b/>
          <w:w w:val="216"/>
          <w:position w:val="2"/>
          <w:sz w:val="20"/>
        </w:rPr>
        <w:t> </w:t>
      </w:r>
      <w:r>
        <w:rPr>
          <w:rFonts w:ascii="Microsoft JhengHei" w:eastAsia="Microsoft JhengHei" w:hint="eastAsia"/>
          <w:b/>
          <w:position w:val="2"/>
          <w:sz w:val="20"/>
        </w:rPr>
        <w:tab/>
      </w:r>
      <w:r>
        <w:rPr>
          <w:rFonts w:ascii="Microsoft JhengHei" w:eastAsia="Microsoft JhengHei" w:hint="eastAsia"/>
          <w:b/>
          <w:spacing w:val="-3"/>
          <w:sz w:val="24"/>
        </w:rPr>
        <w:t>重大疾病保险金</w:t>
      </w:r>
    </w:p>
    <w:p>
      <w:pPr>
        <w:tabs>
          <w:tab w:pos="1851" w:val="left" w:leader="none"/>
        </w:tabs>
        <w:spacing w:line="368" w:lineRule="exact" w:before="0"/>
        <w:ind w:left="1131" w:right="0" w:firstLine="0"/>
        <w:jc w:val="left"/>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p>
      <w:pPr>
        <w:pStyle w:val="BodyText"/>
        <w:spacing w:line="226" w:lineRule="exact"/>
        <w:ind w:left="60"/>
      </w:pPr>
      <w:r>
        <w:rPr/>
        <w:br w:type="column"/>
      </w:r>
      <w:r>
        <w:rPr>
          <w:w w:val="105"/>
        </w:rPr>
        <w:t>一、由受益人或被保险人的继承人作为申请人填写保险金给付申请书，并向我们</w:t>
      </w:r>
    </w:p>
    <w:p>
      <w:pPr>
        <w:pStyle w:val="BodyText"/>
        <w:spacing w:before="50"/>
        <w:ind w:left="480"/>
      </w:pPr>
      <w:r>
        <w:rPr>
          <w:w w:val="105"/>
        </w:rPr>
        <w:t>提供下列资料： </w:t>
      </w:r>
    </w:p>
    <w:p>
      <w:pPr>
        <w:pStyle w:val="BodyText"/>
        <w:spacing w:line="255" w:lineRule="exact" w:before="50"/>
        <w:ind w:left="442"/>
      </w:pPr>
      <w:r>
        <w:rPr>
          <w:w w:val="105"/>
        </w:rPr>
        <w:t>(一)申请人的有效身份证件； </w:t>
      </w:r>
    </w:p>
    <w:p>
      <w:pPr>
        <w:pStyle w:val="BodyText"/>
        <w:spacing w:line="259" w:lineRule="auto"/>
        <w:ind w:left="862" w:right="215" w:hanging="420"/>
      </w:pPr>
      <w:r>
        <w:rPr>
          <w:w w:val="105"/>
        </w:rPr>
        <w:t>(二)国家卫生行政部门认定的医</w:t>
      </w:r>
      <w:r>
        <w:rPr>
          <w:rFonts w:ascii="Microsoft JhengHei" w:eastAsia="Microsoft JhengHei" w:hint="eastAsia"/>
          <w:b/>
          <w:w w:val="105"/>
        </w:rPr>
        <w:t>疗机构</w:t>
      </w:r>
      <w:r>
        <w:rPr>
          <w:w w:val="105"/>
        </w:rPr>
        <w:t>(见 9.14)出具的可证明被保险人患重大疾病的诊断证明和诊断所患重大疾病必需的检查报告； </w:t>
      </w:r>
    </w:p>
    <w:p>
      <w:pPr>
        <w:pStyle w:val="BodyText"/>
        <w:spacing w:line="285" w:lineRule="auto" w:before="41"/>
        <w:ind w:left="60"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pStyle w:val="BodyText"/>
        <w:spacing w:before="12"/>
        <w:ind w:left="480"/>
      </w:pPr>
      <w:r>
        <w:rPr>
          <w:w w:val="105"/>
        </w:rPr>
        <w:t>文件。 </w:t>
      </w:r>
    </w:p>
    <w:p>
      <w:pPr>
        <w:spacing w:after="0"/>
        <w:sectPr>
          <w:type w:val="continuous"/>
          <w:pgSz w:w="11900" w:h="16840"/>
          <w:pgMar w:top="60" w:bottom="280" w:left="560" w:right="580"/>
          <w:cols w:num="2" w:equalWidth="0">
            <w:col w:w="3017" w:space="40"/>
            <w:col w:w="7703"/>
          </w:cols>
        </w:sectPr>
      </w:pPr>
    </w:p>
    <w:p>
      <w:pPr>
        <w:pStyle w:val="BodyText"/>
        <w:spacing w:before="12"/>
        <w:ind w:left="3116"/>
      </w:pPr>
      <w:r>
        <w:rPr>
          <w:w w:val="105"/>
        </w:rPr>
        <w:t>三、上述申请资料不完整的，我们将及时一次性通知申请人补充提供有关资料。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3080" w:right="0" w:hanging="2851"/>
        <w:jc w:val="left"/>
        <w:rPr>
          <w:sz w:val="20"/>
        </w:rPr>
      </w:pPr>
      <w:r>
        <w:rPr>
          <w:rFonts w:ascii="Microsoft JhengHei" w:eastAsia="Microsoft JhengHei" w:hint="eastAsia"/>
          <w:b/>
          <w:spacing w:val="-2"/>
          <w:w w:val="105"/>
          <w:sz w:val="20"/>
        </w:rPr>
        <w:t>保险金的给付              </w:t>
      </w:r>
      <w:r>
        <w:rPr>
          <w:spacing w:val="-12"/>
          <w:w w:val="105"/>
          <w:sz w:val="20"/>
        </w:rPr>
        <w:t>一、 我们在收到保险金给付申请书及本附加合同约定的资料后，将在 </w:t>
      </w:r>
      <w:r>
        <w:rPr>
          <w:w w:val="105"/>
          <w:sz w:val="20"/>
        </w:rPr>
        <w:t>5</w:t>
      </w:r>
      <w:r>
        <w:rPr>
          <w:spacing w:val="-3"/>
          <w:w w:val="105"/>
          <w:sz w:val="20"/>
        </w:rPr>
        <w:t> 日内作出</w:t>
      </w:r>
    </w:p>
    <w:p>
      <w:pPr>
        <w:pStyle w:val="BodyText"/>
        <w:spacing w:line="285" w:lineRule="auto" w:before="27"/>
        <w:ind w:left="3486" w:right="215"/>
      </w:pPr>
      <w:r>
        <w:rPr>
          <w:spacing w:val="-7"/>
          <w:w w:val="105"/>
        </w:rPr>
        <w:t>核定；情形复杂的，在 </w:t>
      </w:r>
      <w:r>
        <w:rPr>
          <w:w w:val="105"/>
        </w:rPr>
        <w:t>30</w:t>
      </w:r>
      <w:r>
        <w:rPr>
          <w:spacing w:val="-8"/>
          <w:w w:val="105"/>
        </w:rPr>
        <w:t> 日内作出核定。对属于保险责任的，我们在与受益人达成给付保险金的协议后 </w:t>
      </w:r>
      <w:r>
        <w:rPr>
          <w:w w:val="105"/>
        </w:rPr>
        <w:t>10</w:t>
      </w:r>
      <w:r>
        <w:rPr>
          <w:spacing w:val="-8"/>
          <w:w w:val="105"/>
        </w:rPr>
        <w:t> 日内，履行给付保险金义务。</w:t>
      </w:r>
      <w:r>
        <w:rPr>
          <w:w w:val="105"/>
        </w:rPr>
        <w:t> </w:t>
      </w:r>
    </w:p>
    <w:p>
      <w:pPr>
        <w:pStyle w:val="BodyText"/>
        <w:spacing w:line="285" w:lineRule="auto" w:before="11"/>
        <w:ind w:left="3486" w:right="217" w:hanging="406"/>
        <w:jc w:val="both"/>
      </w:pPr>
      <w:r>
        <w:rPr>
          <w:spacing w:val="-9"/>
          <w:w w:val="105"/>
        </w:rPr>
        <w:t>二、 我们未及时履行前款规定义务的，除支付保险金外，应当赔偿受益人因此受</w:t>
      </w:r>
      <w:r>
        <w:rPr>
          <w:spacing w:val="-3"/>
          <w:w w:val="105"/>
        </w:rPr>
        <w:t>到的损失。</w:t>
      </w:r>
      <w:r>
        <w:rPr>
          <w:w w:val="105"/>
        </w:rPr>
        <w:t> </w:t>
      </w:r>
    </w:p>
    <w:p>
      <w:pPr>
        <w:pStyle w:val="BodyText"/>
        <w:spacing w:line="285" w:lineRule="auto" w:before="11"/>
        <w:ind w:left="3486"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1"/>
        <w:ind w:left="3486" w:right="215" w:hanging="406"/>
        <w:jc w:val="both"/>
      </w:pPr>
      <w:r>
        <w:rPr>
          <w:spacing w:val="-14"/>
          <w:w w:val="105"/>
        </w:rPr>
        <w:t>四、 我们在收到保险金给付申请书及本附加合同约定的资料之日起 </w:t>
      </w:r>
      <w:r>
        <w:rPr>
          <w:w w:val="105"/>
        </w:rPr>
        <w:t>60</w:t>
      </w:r>
      <w:r>
        <w:rPr>
          <w:spacing w:val="-12"/>
          <w:w w:val="105"/>
        </w:rPr>
        <w:t> 日内，对给付保险金的数额不能确定的，根据已有资料可以确定的数额先予支付；我们最</w:t>
      </w:r>
      <w:r>
        <w:rPr>
          <w:spacing w:val="-3"/>
          <w:w w:val="105"/>
        </w:rPr>
        <w:t>终确定给付保险金的数额后，再给付相应的差额。</w:t>
      </w:r>
      <w:r>
        <w:rPr>
          <w:w w:val="105"/>
        </w:rPr>
        <w:t> </w:t>
      </w:r>
    </w:p>
    <w:p>
      <w:pPr>
        <w:pStyle w:val="BodyText"/>
        <w:spacing w:before="1"/>
        <w:rPr>
          <w:sz w:val="15"/>
        </w:rPr>
      </w:pPr>
    </w:p>
    <w:p>
      <w:pPr>
        <w:pStyle w:val="ListParagraph"/>
        <w:numPr>
          <w:ilvl w:val="1"/>
          <w:numId w:val="11"/>
        </w:numPr>
        <w:tabs>
          <w:tab w:pos="550" w:val="left" w:leader="none"/>
          <w:tab w:pos="1131" w:val="left" w:leader="none"/>
        </w:tabs>
        <w:spacing w:line="308" w:lineRule="exact" w:before="34" w:after="0"/>
        <w:ind w:left="3080" w:right="215" w:hanging="2851"/>
        <w:jc w:val="left"/>
        <w:rPr>
          <w:sz w:val="20"/>
        </w:rPr>
      </w:pPr>
      <w:r>
        <w:rPr>
          <w:rFonts w:ascii="Microsoft JhengHei" w:eastAsia="Microsoft JhengHei" w:hint="eastAsia"/>
          <w:b/>
          <w:spacing w:val="-3"/>
          <w:w w:val="105"/>
          <w:sz w:val="20"/>
        </w:rPr>
        <w:t>诉讼时效                      </w:t>
      </w:r>
      <w:r>
        <w:rPr>
          <w:spacing w:val="-6"/>
          <w:w w:val="105"/>
          <w:sz w:val="20"/>
        </w:rPr>
        <w:t>申请人向我们请求给付保险金的诉讼时效期间为 </w:t>
      </w:r>
      <w:r>
        <w:rPr>
          <w:w w:val="105"/>
          <w:sz w:val="20"/>
        </w:rPr>
        <w:t>2</w:t>
      </w:r>
      <w:r>
        <w:rPr>
          <w:spacing w:val="-14"/>
          <w:w w:val="105"/>
          <w:sz w:val="20"/>
        </w:rPr>
        <w:t> 年，自其知道或应当知道保险事故发</w:t>
      </w:r>
      <w:r>
        <w:rPr>
          <w:spacing w:val="-3"/>
          <w:w w:val="105"/>
          <w:sz w:val="20"/>
        </w:rPr>
        <w:t>生之日起计算。</w:t>
      </w:r>
      <w:r>
        <w:rPr>
          <w:w w:val="105"/>
          <w:sz w:val="20"/>
        </w:rPr>
        <w:t> </w:t>
      </w:r>
    </w:p>
    <w:p>
      <w:pPr>
        <w:pStyle w:val="Heading2"/>
        <w:spacing w:before="287"/>
        <w:rPr>
          <w:rFonts w:ascii="宋体" w:eastAsia="宋体" w:hint="eastAsia"/>
          <w:b w:val="0"/>
          <w:sz w:val="20"/>
        </w:rPr>
      </w:pPr>
      <w:r>
        <w:rPr/>
        <w:pict>
          <v:shape style="position:absolute;margin-left:47.63998pt;margin-top:17.20466pt;width:17.9pt;height:21.15pt;mso-position-horizontal-relative:page;mso-position-vertical-relative:paragraph;z-index:1312"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214"/>
                      <w:sz w:val="40"/>
                    </w:rPr>
                    <w:t>º</w:t>
                  </w:r>
                </w:p>
              </w:txbxContent>
            </v:textbox>
            <w10:wrap type="none"/>
          </v:shape>
        </w:pict>
      </w:r>
      <w:r>
        <w:rPr>
          <w:spacing w:val="-243"/>
        </w:rPr>
        <w:t>风</w:t>
      </w:r>
      <w:r>
        <w:rPr>
          <w:spacing w:val="-1"/>
        </w:rPr>
        <w:t>风险保险费的收取</w:t>
      </w:r>
      <w:r>
        <w:rPr>
          <w:rFonts w:ascii="宋体" w:eastAsia="宋体" w:hint="eastAsia"/>
          <w:b w:val="0"/>
          <w:w w:val="105"/>
          <w:position w:val="39"/>
          <w:sz w:val="20"/>
        </w:rPr>
        <w:t> </w:t>
      </w:r>
    </w:p>
    <w:p>
      <w:pPr>
        <w:pStyle w:val="BodyText"/>
        <w:spacing w:before="5"/>
        <w:rPr>
          <w:sz w:val="9"/>
        </w:rPr>
      </w:pPr>
      <w:r>
        <w:rPr/>
        <w:pict>
          <v:group style="position:absolute;margin-left:33.959999pt;margin-top:8.115299pt;width:526.2pt;height:1pt;mso-position-horizontal-relative:page;mso-position-vertical-relative:paragraph;z-index:1264;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pStyle w:val="ListParagraph"/>
        <w:numPr>
          <w:ilvl w:val="1"/>
          <w:numId w:val="12"/>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w w:val="105"/>
          <w:sz w:val="20"/>
        </w:rPr>
        <w:t>风险保险费的收取      </w:t>
      </w:r>
      <w:r>
        <w:rPr>
          <w:spacing w:val="-3"/>
          <w:w w:val="105"/>
          <w:sz w:val="20"/>
        </w:rPr>
        <w:t>我们对本附加合同承担的保险责任收取相应的风险保险费，并从主合同的保险合</w:t>
      </w:r>
    </w:p>
    <w:p>
      <w:pPr>
        <w:pStyle w:val="BodyText"/>
        <w:spacing w:line="285" w:lineRule="auto" w:before="27"/>
        <w:ind w:left="3114" w:right="217"/>
      </w:pPr>
      <w:r>
        <w:rPr>
          <w:spacing w:val="-10"/>
          <w:w w:val="105"/>
        </w:rPr>
        <w:t>同账户价值中扣除。每日的风险保险费为年风险保险费的 </w:t>
      </w:r>
      <w:r>
        <w:rPr>
          <w:w w:val="105"/>
        </w:rPr>
        <w:t>1/365</w:t>
      </w:r>
      <w:r>
        <w:rPr>
          <w:spacing w:val="-8"/>
          <w:w w:val="105"/>
        </w:rPr>
        <w:t>。本附加合同年风</w:t>
      </w:r>
      <w:r>
        <w:rPr>
          <w:spacing w:val="-5"/>
          <w:w w:val="105"/>
        </w:rPr>
        <w:t>险保险费根据被保险人的年龄、性别、风险程度及风险保额决定。年风险保险费</w:t>
      </w:r>
      <w:r>
        <w:rPr>
          <w:spacing w:val="-4"/>
          <w:w w:val="105"/>
        </w:rPr>
        <w:t>见附表。如果根据被保险人的风险程度需要增加年风险保险费的，将会在保险单</w:t>
      </w:r>
      <w:r>
        <w:rPr>
          <w:spacing w:val="-3"/>
          <w:w w:val="105"/>
        </w:rPr>
        <w:t>上批注。</w:t>
      </w:r>
      <w:r>
        <w:rPr>
          <w:w w:val="105"/>
        </w:rPr>
        <w:t> </w:t>
      </w:r>
    </w:p>
    <w:p>
      <w:pPr>
        <w:pStyle w:val="BodyText"/>
        <w:spacing w:line="285" w:lineRule="auto" w:before="11"/>
        <w:ind w:left="3114" w:right="287"/>
        <w:jc w:val="both"/>
      </w:pPr>
      <w:r>
        <w:rPr>
          <w:spacing w:val="-3"/>
          <w:w w:val="105"/>
        </w:rPr>
        <w:t>我们首次按照本附加合同生效日至当月月底的实际天数收取风险保险费，此后我</w:t>
      </w:r>
      <w:r>
        <w:rPr>
          <w:spacing w:val="-11"/>
          <w:w w:val="105"/>
        </w:rPr>
        <w:t>们在每月 </w:t>
      </w:r>
      <w:r>
        <w:rPr>
          <w:w w:val="105"/>
        </w:rPr>
        <w:t>1</w:t>
      </w:r>
      <w:r>
        <w:rPr>
          <w:spacing w:val="-8"/>
          <w:w w:val="105"/>
        </w:rPr>
        <w:t> 日按照该月的实际天数收取本附加险的风险保险费。如果您有欠交的</w:t>
      </w:r>
      <w:r>
        <w:rPr>
          <w:spacing w:val="-5"/>
          <w:w w:val="105"/>
        </w:rPr>
        <w:t>风险保险费及利息，我们也同时收取。我们每月收取风险保险费后，主合同的保</w:t>
      </w:r>
      <w:r>
        <w:rPr>
          <w:spacing w:val="-3"/>
          <w:w w:val="105"/>
        </w:rPr>
        <w:t>险合同账户价值按收取的风险保险费及利息等额减少。</w:t>
      </w:r>
      <w:r>
        <w:rPr>
          <w:w w:val="105"/>
        </w:rPr>
        <w:t> </w:t>
      </w:r>
    </w:p>
    <w:p>
      <w:pPr>
        <w:pStyle w:val="BodyText"/>
        <w:tabs>
          <w:tab w:pos="1131" w:val="left" w:leader="none"/>
          <w:tab w:pos="3080" w:val="left" w:leader="none"/>
        </w:tabs>
        <w:spacing w:line="212" w:lineRule="exact" w:before="11"/>
        <w:ind w:left="229"/>
      </w:pPr>
      <w:r>
        <w:rPr>
          <w:w w:val="105"/>
        </w:rPr>
        <w:t> </w:t>
      </w:r>
      <w:r>
        <w:rPr/>
        <w:tab/>
      </w:r>
      <w:r>
        <w:rPr>
          <w:w w:val="105"/>
        </w:rPr>
        <w:t> </w:t>
      </w:r>
      <w:r>
        <w:rPr/>
        <w:tab/>
      </w:r>
      <w:r>
        <w:rPr>
          <w:w w:val="105"/>
        </w:rPr>
        <w:t> </w:t>
      </w:r>
    </w:p>
    <w:p>
      <w:pPr>
        <w:pStyle w:val="ListParagraph"/>
        <w:numPr>
          <w:ilvl w:val="1"/>
          <w:numId w:val="12"/>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3"/>
          <w:w w:val="105"/>
          <w:sz w:val="20"/>
        </w:rPr>
        <w:t>宽限期                           </w:t>
      </w:r>
      <w:r>
        <w:rPr>
          <w:spacing w:val="-3"/>
          <w:w w:val="105"/>
          <w:sz w:val="20"/>
        </w:rPr>
        <w:t>本附加合同的宽限期按照以下约定确定。</w:t>
      </w:r>
      <w:r>
        <w:rPr>
          <w:w w:val="105"/>
          <w:sz w:val="20"/>
        </w:rPr>
        <w:t> </w:t>
      </w:r>
    </w:p>
    <w:p>
      <w:pPr>
        <w:pStyle w:val="BodyText"/>
        <w:spacing w:line="285" w:lineRule="auto" w:before="28"/>
        <w:ind w:left="3114" w:right="217"/>
      </w:pPr>
      <w:r>
        <w:rPr>
          <w:spacing w:val="-3"/>
          <w:w w:val="105"/>
        </w:rPr>
        <w:t>在主合同有效期内，在每月扣除风险保险费日零时如果主合同当时的保险合同账户价值余额不足以支付本附加合同对应该月实际天数的风险保险费，则自该日的</w:t>
      </w:r>
      <w:r>
        <w:rPr>
          <w:spacing w:val="-13"/>
          <w:w w:val="105"/>
        </w:rPr>
        <w:t>次日起 </w:t>
      </w:r>
      <w:r>
        <w:rPr>
          <w:w w:val="105"/>
        </w:rPr>
        <w:t>60</w:t>
      </w:r>
      <w:r>
        <w:rPr>
          <w:spacing w:val="-11"/>
          <w:w w:val="105"/>
        </w:rPr>
        <w:t> 天为本附加合同的宽限期，但该宽限期不得超出本附加合同的保险期间</w:t>
      </w:r>
      <w:r>
        <w:rPr>
          <w:spacing w:val="-3"/>
          <w:w w:val="105"/>
        </w:rPr>
        <w:t>届满日。</w:t>
      </w:r>
      <w:r>
        <w:rPr>
          <w:w w:val="105"/>
        </w:rPr>
        <w:t> </w:t>
      </w:r>
    </w:p>
    <w:p>
      <w:pPr>
        <w:pStyle w:val="BodyText"/>
        <w:spacing w:before="12"/>
        <w:ind w:left="3114"/>
      </w:pPr>
      <w:r>
        <w:rPr>
          <w:w w:val="105"/>
        </w:rPr>
        <w:t>宽限期内发生的保险事故，我们仍会承担保险责任，但在给付保险金时会扣除您</w:t>
      </w:r>
    </w:p>
    <w:p>
      <w:pPr>
        <w:pStyle w:val="BodyText"/>
        <w:spacing w:line="310" w:lineRule="atLeast" w:before="1"/>
        <w:ind w:left="3114" w:right="287"/>
      </w:pPr>
      <w:r>
        <w:rPr>
          <w:w w:val="105"/>
        </w:rPr>
        <w:t>欠交的风险保险费及利息。如果您宽限期结束之后仍未交纳本附加合同保险费， 则本附加合同自宽限期满的次日零时起效力中止。 </w:t>
      </w:r>
    </w:p>
    <w:p>
      <w:pPr>
        <w:pStyle w:val="Heading2"/>
        <w:spacing w:before="322"/>
      </w:pPr>
      <w:r>
        <w:rPr/>
        <w:pict>
          <v:shape style="position:absolute;margin-left:47.63998pt;margin-top:18.954685pt;width:17.9pt;height:21.15pt;mso-position-horizontal-relative:page;mso-position-vertical-relative:paragraph;z-index:1336"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6</w:t>
                  </w:r>
                </w:p>
              </w:txbxContent>
            </v:textbox>
            <w10:wrap type="none"/>
          </v:shape>
        </w:pict>
      </w:r>
      <w:r>
        <w:rPr>
          <w:spacing w:val="-243"/>
        </w:rPr>
        <w:t>合</w:t>
      </w:r>
      <w:r>
        <w:rPr>
          <w:spacing w:val="-3"/>
        </w:rPr>
        <w:t>合同效力的中止与</w:t>
      </w:r>
      <w:r>
        <w:rPr>
          <w:spacing w:val="-225"/>
        </w:rPr>
        <w:t>恢</w:t>
      </w:r>
      <w:r>
        <w:rPr>
          <w:spacing w:val="185"/>
          <w:position w:val="40"/>
        </w:rPr>
        <w:t> </w:t>
      </w:r>
      <w:r>
        <w:rPr/>
        <w:t>复</w:t>
      </w:r>
    </w:p>
    <w:p>
      <w:pPr>
        <w:pStyle w:val="BodyText"/>
        <w:rPr>
          <w:rFonts w:ascii="Microsoft JhengHei"/>
          <w:b/>
          <w:sz w:val="7"/>
        </w:rPr>
      </w:pPr>
      <w:r>
        <w:rPr/>
        <w:pict>
          <v:group style="position:absolute;margin-left:33.959999pt;margin-top:8.085435pt;width:526.2pt;height:1pt;mso-position-horizontal-relative:page;mso-position-vertical-relative:paragraph;z-index:1288;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3" w:lineRule="exact"/>
        <w:ind w:left="229"/>
      </w:pPr>
      <w:r>
        <w:rPr>
          <w:w w:val="105"/>
        </w:rPr>
        <w:t> </w:t>
      </w:r>
      <w:r>
        <w:rPr/>
        <w:tab/>
      </w:r>
      <w:r>
        <w:rPr>
          <w:w w:val="105"/>
        </w:rPr>
        <w:t> </w:t>
      </w:r>
      <w:r>
        <w:rPr/>
        <w:tab/>
      </w:r>
      <w:r>
        <w:rPr>
          <w:w w:val="105"/>
        </w:rPr>
        <w:t> </w:t>
      </w:r>
    </w:p>
    <w:p>
      <w:pPr>
        <w:pStyle w:val="ListParagraph"/>
        <w:numPr>
          <w:ilvl w:val="1"/>
          <w:numId w:val="13"/>
        </w:numPr>
        <w:tabs>
          <w:tab w:pos="550" w:val="left" w:leader="none"/>
          <w:tab w:pos="1131" w:val="left" w:leader="none"/>
        </w:tabs>
        <w:spacing w:line="290" w:lineRule="exact" w:before="0" w:after="0"/>
        <w:ind w:left="549" w:right="0" w:hanging="320"/>
        <w:jc w:val="left"/>
        <w:rPr>
          <w:sz w:val="20"/>
        </w:rPr>
      </w:pPr>
      <w:r>
        <w:rPr>
          <w:rFonts w:ascii="Microsoft JhengHei" w:eastAsia="Microsoft JhengHei" w:hint="eastAsia"/>
          <w:b/>
          <w:spacing w:val="-3"/>
          <w:w w:val="105"/>
          <w:sz w:val="20"/>
        </w:rPr>
        <w:t>合同效力中止               </w:t>
      </w:r>
      <w:r>
        <w:rPr>
          <w:spacing w:val="-3"/>
          <w:w w:val="105"/>
          <w:sz w:val="20"/>
        </w:rPr>
        <w:t>本附加合同发生下列情况之一时将会自动中止：</w:t>
      </w:r>
      <w:r>
        <w:rPr>
          <w:w w:val="105"/>
          <w:sz w:val="20"/>
        </w:rPr>
        <w:t> </w:t>
      </w:r>
    </w:p>
    <w:p>
      <w:pPr>
        <w:pStyle w:val="BodyText"/>
        <w:spacing w:before="27"/>
        <w:ind w:left="3114"/>
      </w:pPr>
      <w:r>
        <w:rPr>
          <w:w w:val="105"/>
        </w:rPr>
        <w:t>(一)主合同效力中止； </w:t>
      </w:r>
    </w:p>
    <w:p>
      <w:pPr>
        <w:pStyle w:val="BodyText"/>
        <w:spacing w:line="285" w:lineRule="auto" w:before="49"/>
        <w:ind w:left="3114" w:right="2601"/>
      </w:pPr>
      <w:r>
        <w:rPr>
          <w:spacing w:val="-3"/>
          <w:w w:val="105"/>
        </w:rPr>
        <w:t>(二)因出现本附加合同其他条款所列情况而中止。   在本附加合同效力中止期间，本公司不负保险责任。 </w:t>
      </w:r>
      <w:r>
        <w:rPr>
          <w:w w:val="105"/>
        </w:rPr>
        <w:t> </w:t>
      </w:r>
    </w:p>
    <w:p>
      <w:pPr>
        <w:pStyle w:val="BodyText"/>
        <w:tabs>
          <w:tab w:pos="1131" w:val="left" w:leader="none"/>
          <w:tab w:pos="3080" w:val="left" w:leader="none"/>
        </w:tabs>
        <w:spacing w:line="212" w:lineRule="exact" w:before="11"/>
        <w:ind w:left="229"/>
      </w:pPr>
      <w:r>
        <w:rPr>
          <w:w w:val="105"/>
        </w:rPr>
        <w:t> </w:t>
      </w:r>
      <w:r>
        <w:rPr/>
        <w:tab/>
      </w:r>
      <w:r>
        <w:rPr>
          <w:w w:val="105"/>
        </w:rPr>
        <w:t> </w:t>
      </w:r>
      <w:r>
        <w:rPr/>
        <w:tab/>
      </w:r>
      <w:r>
        <w:rPr>
          <w:w w:val="105"/>
        </w:rPr>
        <w:t> </w:t>
      </w:r>
    </w:p>
    <w:p>
      <w:pPr>
        <w:pStyle w:val="ListParagraph"/>
        <w:numPr>
          <w:ilvl w:val="1"/>
          <w:numId w:val="13"/>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合同效力恢复              </w:t>
      </w:r>
      <w:r>
        <w:rPr>
          <w:spacing w:val="-8"/>
          <w:w w:val="105"/>
          <w:sz w:val="20"/>
        </w:rPr>
        <w:t>本附加合同效力中止后 </w:t>
      </w:r>
      <w:r>
        <w:rPr>
          <w:w w:val="105"/>
          <w:sz w:val="20"/>
        </w:rPr>
        <w:t>2</w:t>
      </w:r>
      <w:r>
        <w:rPr>
          <w:spacing w:val="-9"/>
          <w:w w:val="105"/>
          <w:sz w:val="20"/>
        </w:rPr>
        <w:t> 年内，您可以申请恢复合同效力</w:t>
      </w:r>
      <w:r>
        <w:rPr>
          <w:w w:val="105"/>
          <w:sz w:val="20"/>
        </w:rPr>
        <w:t>（</w:t>
      </w:r>
      <w:r>
        <w:rPr>
          <w:spacing w:val="-3"/>
          <w:w w:val="105"/>
          <w:sz w:val="20"/>
        </w:rPr>
        <w:t>简称复效</w:t>
      </w:r>
      <w:r>
        <w:rPr>
          <w:spacing w:val="-109"/>
          <w:w w:val="105"/>
          <w:sz w:val="20"/>
        </w:rPr>
        <w:t>）</w:t>
      </w:r>
      <w:r>
        <w:rPr>
          <w:spacing w:val="-3"/>
          <w:w w:val="105"/>
          <w:sz w:val="20"/>
        </w:rPr>
        <w:t>。您应填写</w:t>
      </w:r>
    </w:p>
    <w:p>
      <w:pPr>
        <w:pStyle w:val="BodyText"/>
        <w:spacing w:before="28"/>
        <w:ind w:left="3080"/>
      </w:pPr>
      <w:r>
        <w:rPr>
          <w:w w:val="105"/>
        </w:rPr>
        <w:t>复效申请书，我们会要求您提供被保险人的健康声明书、体检报告书及其他相关证</w:t>
      </w:r>
    </w:p>
    <w:p>
      <w:pPr>
        <w:spacing w:after="0"/>
        <w:sectPr>
          <w:pgSz w:w="11900" w:h="16840"/>
          <w:pgMar w:header="0" w:footer="440" w:top="1120" w:bottom="640" w:left="560" w:right="580"/>
        </w:sectPr>
      </w:pPr>
    </w:p>
    <w:p>
      <w:pPr>
        <w:pStyle w:val="BodyText"/>
        <w:rPr>
          <w:sz w:val="88"/>
        </w:rPr>
      </w:pPr>
    </w:p>
    <w:p>
      <w:pPr>
        <w:pStyle w:val="Heading2"/>
        <w:spacing w:before="693"/>
      </w:pPr>
      <w:r>
        <w:rPr/>
        <w:pict>
          <v:shape style="position:absolute;margin-left:132.839951pt;margin-top:43.481697pt;width:5.3pt;height:10.1pt;mso-position-horizontal-relative:page;mso-position-vertical-relative:paragraph;z-index:-97696"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37.5047pt;width:17.9pt;height:21.15pt;mso-position-horizontal-relative:page;mso-position-vertical-relative:paragraph;z-index:148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89"/>
                      <w:sz w:val="40"/>
                    </w:rPr>
                    <w:t>◉</w:t>
                  </w:r>
                </w:p>
              </w:txbxContent>
            </v:textbox>
            <w10:wrap type="none"/>
          </v:shape>
        </w:pict>
      </w:r>
      <w:r>
        <w:rPr>
          <w:spacing w:val="-243"/>
        </w:rPr>
        <w:t>合</w:t>
      </w:r>
      <w:r>
        <w:rPr>
          <w:spacing w:val="-3"/>
        </w:rPr>
        <w:t>合同解除</w:t>
      </w:r>
    </w:p>
    <w:p>
      <w:pPr>
        <w:pStyle w:val="BodyText"/>
        <w:spacing w:before="12"/>
        <w:ind w:left="392"/>
      </w:pPr>
      <w:r>
        <w:rPr/>
        <w:br w:type="column"/>
      </w:r>
      <w:r>
        <w:rPr>
          <w:w w:val="105"/>
        </w:rPr>
        <w:t>明文件，我们会对材料进行审核，做出是否同意复效的决定。 </w:t>
      </w:r>
    </w:p>
    <w:p>
      <w:pPr>
        <w:pStyle w:val="BodyText"/>
        <w:spacing w:line="285" w:lineRule="auto" w:before="50"/>
        <w:ind w:left="392" w:right="215"/>
      </w:pPr>
      <w:r>
        <w:rPr>
          <w:spacing w:val="-10"/>
          <w:w w:val="105"/>
        </w:rPr>
        <w:t>经双方达成复效协议，自您补交本附加合同保险费的次日零时起，本附加合同效力</w:t>
      </w:r>
      <w:r>
        <w:rPr>
          <w:spacing w:val="-2"/>
          <w:w w:val="105"/>
        </w:rPr>
        <w:t>恢复。</w:t>
      </w:r>
      <w:r>
        <w:rPr>
          <w:w w:val="105"/>
        </w:rPr>
        <w:t> </w:t>
      </w:r>
    </w:p>
    <w:p>
      <w:pPr>
        <w:pStyle w:val="BodyText"/>
        <w:spacing w:line="285" w:lineRule="auto" w:before="12"/>
        <w:ind w:left="392" w:right="217"/>
      </w:pPr>
      <w:r>
        <w:rPr>
          <w:spacing w:val="-6"/>
          <w:w w:val="105"/>
        </w:rPr>
        <w:t>自本附加合同效力中止之日起满 </w:t>
      </w:r>
      <w:r>
        <w:rPr>
          <w:w w:val="105"/>
        </w:rPr>
        <w:t>2</w:t>
      </w:r>
      <w:r>
        <w:rPr>
          <w:spacing w:val="-9"/>
          <w:w w:val="105"/>
        </w:rPr>
        <w:t> 年您和我们未达成协议的，本附加合同终止。</w:t>
      </w:r>
      <w:r>
        <w:rPr>
          <w:spacing w:val="-3"/>
          <w:w w:val="105"/>
        </w:rPr>
        <w:t>主合同效力中止期间，本附加合同不得单独申请复效。</w:t>
      </w:r>
      <w:r>
        <w:rPr>
          <w:w w:val="105"/>
        </w:rPr>
        <w:t> </w:t>
      </w:r>
    </w:p>
    <w:p>
      <w:pPr>
        <w:pStyle w:val="BodyText"/>
        <w:spacing w:before="12"/>
        <w:ind w:left="392"/>
      </w:pPr>
      <w:r>
        <w:rPr>
          <w:w w:val="105"/>
        </w:rPr>
        <w:t> </w:t>
      </w:r>
    </w:p>
    <w:p>
      <w:pPr>
        <w:spacing w:after="0"/>
        <w:sectPr>
          <w:pgSz w:w="11900" w:h="16840"/>
          <w:pgMar w:header="0" w:footer="440" w:top="1120" w:bottom="640" w:left="560" w:right="580"/>
          <w:cols w:num="2" w:equalWidth="0">
            <w:col w:w="2203" w:space="485"/>
            <w:col w:w="8072"/>
          </w:cols>
        </w:sectPr>
      </w:pPr>
    </w:p>
    <w:p>
      <w:pPr>
        <w:pStyle w:val="BodyText"/>
        <w:spacing w:before="4"/>
        <w:rPr>
          <w:sz w:val="12"/>
        </w:rPr>
      </w:pPr>
    </w:p>
    <w:p>
      <w:pPr>
        <w:pStyle w:val="BodyText"/>
        <w:spacing w:line="20" w:lineRule="exact"/>
        <w:ind w:left="109"/>
        <w:rPr>
          <w:sz w:val="2"/>
        </w:rPr>
      </w:pPr>
      <w:r>
        <w:rPr>
          <w:rFonts w:ascii="Times New Roman"/>
          <w:spacing w:val="6"/>
          <w:sz w:val="2"/>
        </w:rPr>
        <w:t> </w:t>
      </w:r>
      <w:r>
        <w:rPr>
          <w:spacing w:val="6"/>
          <w:sz w:val="2"/>
        </w:rPr>
        <w:pict>
          <v:group style="width:526.2pt;height:1pt;mso-position-horizontal-relative:char;mso-position-vertical-relative:line" coordorigin="0,0" coordsize="10524,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851,10" stroked="true" strokeweight=".96pt" strokecolor="#000000">
              <v:stroke dashstyle="solid"/>
            </v:line>
            <v:rect style="position:absolute;left:2851;top:0;width:20;height:20" filled="true" fillcolor="#000000" stroked="false">
              <v:fill type="solid"/>
            </v:rect>
            <v:line style="position:absolute" from="2870,10" to="10524,10" stroked="true" strokeweight=".96pt" strokecolor="#000000">
              <v:stroke dashstyle="solid"/>
            </v:line>
          </v:group>
        </w:pict>
      </w:r>
      <w:r>
        <w:rPr>
          <w:spacing w:val="6"/>
          <w:sz w:val="2"/>
        </w:rPr>
      </w:r>
    </w:p>
    <w:p>
      <w:pPr>
        <w:pStyle w:val="BodyText"/>
        <w:spacing w:before="8"/>
        <w:rPr>
          <w:sz w:val="12"/>
        </w:rPr>
      </w:pPr>
    </w:p>
    <w:p>
      <w:pPr>
        <w:spacing w:after="0"/>
        <w:rPr>
          <w:sz w:val="12"/>
        </w:rPr>
        <w:sectPr>
          <w:type w:val="continuous"/>
          <w:pgSz w:w="11900" w:h="16840"/>
          <w:pgMar w:top="60" w:bottom="280" w:left="560" w:right="580"/>
        </w:sectPr>
      </w:pPr>
    </w:p>
    <w:p>
      <w:pPr>
        <w:pStyle w:val="Heading3"/>
        <w:tabs>
          <w:tab w:pos="1131" w:val="left" w:leader="none"/>
        </w:tabs>
        <w:spacing w:line="309" w:lineRule="exact"/>
        <w:ind w:left="229"/>
      </w:pPr>
      <w:r>
        <w:rPr>
          <w:spacing w:val="-3"/>
          <w:w w:val="90"/>
        </w:rPr>
        <w:t>6</w:t>
      </w:r>
      <w:r>
        <w:rPr>
          <w:spacing w:val="-3"/>
          <w:w w:val="212"/>
        </w:rPr>
        <w:t>.</w:t>
      </w:r>
      <w:r>
        <w:rPr>
          <w:spacing w:val="-3"/>
          <w:w w:val="90"/>
        </w:rPr>
        <w:t>1</w:t>
      </w:r>
      <w:r>
        <w:rPr>
          <w:w w:val="216"/>
        </w:rPr>
        <w:t> </w:t>
      </w:r>
      <w:r>
        <w:rPr/>
        <w:tab/>
      </w:r>
      <w:r>
        <w:rPr>
          <w:spacing w:val="-3"/>
          <w:w w:val="106"/>
        </w:rPr>
        <w:t>您解除合同的手续</w:t>
      </w:r>
    </w:p>
    <w:p>
      <w:pPr>
        <w:spacing w:line="330" w:lineRule="exact" w:before="0"/>
        <w:ind w:left="1131" w:right="0" w:firstLine="0"/>
        <w:jc w:val="left"/>
        <w:rPr>
          <w:rFonts w:ascii="Microsoft JhengHei" w:eastAsia="Microsoft JhengHei" w:hint="eastAsia"/>
          <w:b/>
          <w:sz w:val="20"/>
        </w:rPr>
      </w:pPr>
      <w:r>
        <w:rPr>
          <w:rFonts w:ascii="Microsoft JhengHei" w:eastAsia="Microsoft JhengHei" w:hint="eastAsia"/>
          <w:b/>
          <w:w w:val="105"/>
          <w:sz w:val="20"/>
        </w:rPr>
        <w:t>及风险</w:t>
      </w:r>
      <w:r>
        <w:rPr>
          <w:rFonts w:ascii="Microsoft JhengHei" w:eastAsia="Microsoft JhengHei" w:hint="eastAsia"/>
          <w:b/>
          <w:w w:val="216"/>
          <w:sz w:val="20"/>
        </w:rPr>
        <w:t>           </w:t>
      </w:r>
    </w:p>
    <w:p>
      <w:pPr>
        <w:pStyle w:val="BodyText"/>
        <w:spacing w:line="285" w:lineRule="auto" w:before="42"/>
        <w:ind w:left="552" w:right="299" w:hanging="420"/>
        <w:jc w:val="both"/>
      </w:pPr>
      <w:r>
        <w:rPr/>
        <w:br w:type="column"/>
      </w:r>
      <w:r>
        <w:rPr>
          <w:w w:val="105"/>
        </w:rPr>
        <w:t>一、若您在犹豫期后申请解除本附加合同，请填写解除合同申请书并向我们提供下列资料： </w:t>
      </w:r>
    </w:p>
    <w:p>
      <w:pPr>
        <w:pStyle w:val="BodyText"/>
        <w:spacing w:before="11"/>
        <w:ind w:left="459"/>
      </w:pPr>
      <w:r>
        <w:rPr>
          <w:w w:val="105"/>
        </w:rPr>
        <w:t>（一）保险合同； </w:t>
      </w:r>
    </w:p>
    <w:p>
      <w:pPr>
        <w:pStyle w:val="BodyText"/>
        <w:spacing w:before="49"/>
        <w:ind w:left="459"/>
      </w:pPr>
      <w:r>
        <w:rPr>
          <w:w w:val="105"/>
        </w:rPr>
        <w:t>（二）您的有效身份证件。 </w:t>
      </w:r>
    </w:p>
    <w:p>
      <w:pPr>
        <w:pStyle w:val="BodyText"/>
        <w:spacing w:line="285" w:lineRule="auto" w:before="49"/>
        <w:ind w:left="552" w:right="299" w:hanging="420"/>
        <w:jc w:val="both"/>
      </w:pPr>
      <w:r>
        <w:rPr>
          <w:w w:val="105"/>
        </w:rPr>
        <w:t>二、自我们收到解除合同申请书时起，本附加合同终止。我们将已收取的本附加合同终止日之后的风险保险费退还至主合同的保险合同账户，主合同的保险合同账户按退还的金额等额增加。 </w:t>
      </w:r>
    </w:p>
    <w:p>
      <w:pPr>
        <w:pStyle w:val="BodyText"/>
        <w:spacing w:line="152" w:lineRule="exact" w:before="11"/>
        <w:ind w:left="111"/>
      </w:pPr>
      <w:r>
        <w:rPr>
          <w:w w:val="105"/>
        </w:rPr>
        <w:t>三、您犹豫期后解除合同会遭受一定损失。 </w:t>
      </w:r>
    </w:p>
    <w:p>
      <w:pPr>
        <w:spacing w:after="0" w:line="152" w:lineRule="exact"/>
        <w:sectPr>
          <w:type w:val="continuous"/>
          <w:pgSz w:w="11900" w:h="16840"/>
          <w:pgMar w:top="60" w:bottom="280" w:left="560" w:right="580"/>
          <w:cols w:num="2" w:equalWidth="0">
            <w:col w:w="2930" w:space="40"/>
            <w:col w:w="7790"/>
          </w:cols>
        </w:sectPr>
      </w:pPr>
    </w:p>
    <w:p>
      <w:pPr>
        <w:pStyle w:val="Heading2"/>
        <w:spacing w:before="430"/>
        <w:rPr>
          <w:rFonts w:ascii="宋体" w:eastAsia="宋体" w:hint="eastAsia"/>
          <w:b w:val="0"/>
          <w:sz w:val="20"/>
        </w:rPr>
      </w:pPr>
      <w:r>
        <w:rPr/>
        <w:pict>
          <v:shape style="position:absolute;margin-left:47.63998pt;margin-top:24.354696pt;width:17.9pt;height:21.15pt;mso-position-horizontal-relative:page;mso-position-vertical-relative:paragraph;z-index:150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明</w:t>
      </w:r>
      <w:r>
        <w:rPr>
          <w:spacing w:val="-3"/>
        </w:rPr>
        <w:t>明确说明与如实告</w:t>
      </w:r>
      <w:r>
        <w:rPr>
          <w:spacing w:val="-225"/>
        </w:rPr>
        <w:t>知</w:t>
      </w:r>
      <w:r>
        <w:rPr>
          <w:rFonts w:ascii="宋体" w:eastAsia="宋体" w:hint="eastAsia"/>
          <w:b w:val="0"/>
          <w:w w:val="105"/>
          <w:position w:val="39"/>
          <w:sz w:val="20"/>
        </w:rPr>
        <w:t> </w:t>
      </w:r>
    </w:p>
    <w:p>
      <w:pPr>
        <w:pStyle w:val="BodyText"/>
        <w:spacing w:before="4"/>
        <w:rPr>
          <w:sz w:val="9"/>
        </w:rPr>
      </w:pPr>
      <w:r>
        <w:rPr/>
        <w:pict>
          <v:group style="position:absolute;margin-left:33.959999pt;margin-top:8.089199pt;width:526.2pt;height:1pt;mso-position-horizontal-relative:page;mso-position-vertical-relative:paragraph;z-index:1384;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tabs>
          <w:tab w:pos="1131" w:val="left" w:leader="none"/>
        </w:tabs>
        <w:spacing w:line="289" w:lineRule="exact" w:before="0"/>
        <w:ind w:left="335" w:right="0" w:firstLine="0"/>
        <w:jc w:val="left"/>
        <w:rPr>
          <w:sz w:val="20"/>
        </w:rPr>
      </w:pPr>
      <w:r>
        <w:rPr>
          <w:rFonts w:ascii="Microsoft JhengHei" w:eastAsia="Microsoft JhengHei" w:hint="eastAsia"/>
          <w:b/>
          <w:spacing w:val="-3"/>
          <w:w w:val="212"/>
          <w:sz w:val="20"/>
        </w:rPr>
        <w:t>.</w:t>
      </w:r>
      <w:r>
        <w:rPr>
          <w:rFonts w:ascii="Microsoft JhengHei" w:eastAsia="Microsoft JhengHei" w:hint="eastAsia"/>
          <w:b/>
          <w:spacing w:val="-3"/>
          <w:w w:val="90"/>
          <w:sz w:val="20"/>
        </w:rPr>
        <w:t>1</w:t>
      </w:r>
      <w:r>
        <w:rPr>
          <w:rFonts w:ascii="Microsoft JhengHei" w:eastAsia="Microsoft JhengHei" w:hint="eastAsia"/>
          <w:b/>
          <w:w w:val="216"/>
          <w:sz w:val="20"/>
        </w:rPr>
        <w:t> </w:t>
      </w:r>
      <w:r>
        <w:rPr>
          <w:rFonts w:ascii="Microsoft JhengHei" w:eastAsia="Microsoft JhengHei" w:hint="eastAsia"/>
          <w:b/>
          <w:sz w:val="20"/>
        </w:rPr>
        <w:tab/>
      </w:r>
      <w:r>
        <w:rPr>
          <w:rFonts w:ascii="Microsoft JhengHei" w:eastAsia="Microsoft JhengHei" w:hint="eastAsia"/>
          <w:b/>
          <w:spacing w:val="-3"/>
          <w:w w:val="106"/>
          <w:sz w:val="20"/>
        </w:rPr>
        <w:t>明确说明</w:t>
      </w:r>
      <w:r>
        <w:rPr>
          <w:rFonts w:ascii="Microsoft JhengHei" w:eastAsia="Microsoft JhengHei" w:hint="eastAsia"/>
          <w:b/>
          <w:spacing w:val="-3"/>
          <w:w w:val="216"/>
          <w:sz w:val="20"/>
        </w:rPr>
        <w:t>         </w:t>
      </w:r>
      <w:r>
        <w:rPr>
          <w:rFonts w:ascii="Microsoft JhengHei" w:eastAsia="Microsoft JhengHei" w:hint="eastAsia"/>
          <w:b/>
          <w:sz w:val="20"/>
        </w:rPr>
        <w:t>   </w:t>
      </w:r>
      <w:r>
        <w:rPr>
          <w:spacing w:val="-12"/>
          <w:w w:val="105"/>
          <w:sz w:val="20"/>
        </w:rPr>
        <w:t>一、 订立本附加合同时，我们会向您说明本附加合同的内容。</w:t>
      </w:r>
      <w:r>
        <w:rPr>
          <w:w w:val="105"/>
          <w:sz w:val="20"/>
        </w:rPr>
        <w:t> </w:t>
      </w:r>
    </w:p>
    <w:p>
      <w:pPr>
        <w:pStyle w:val="BodyText"/>
        <w:spacing w:line="285" w:lineRule="auto" w:before="27"/>
        <w:ind w:left="3500" w:right="215" w:hanging="420"/>
      </w:pPr>
      <w:r>
        <w:rPr/>
        <w:pict>
          <v:shape style="position:absolute;margin-left:203.039917pt;margin-top:6.152189pt;width:353.45pt;height:41.75pt;mso-position-horizontal-relative:page;mso-position-vertical-relative:paragraph;z-index:-97672" type="#_x0000_t202" filled="false" stroked="false">
            <v:textbox inset="0,0,0,0">
              <w:txbxContent>
                <w:p>
                  <w:pPr>
                    <w:pStyle w:val="BodyText"/>
                    <w:tabs>
                      <w:tab w:pos="1502" w:val="left" w:leader="none"/>
                    </w:tabs>
                    <w:spacing w:before="488"/>
                  </w:pPr>
                  <w:r>
                    <w:rPr>
                      <w:w w:val="105"/>
                    </w:rPr>
                    <w:t>口头</w:t>
                  </w:r>
                  <w:r>
                    <w:rPr>
                      <w:spacing w:val="-3"/>
                      <w:w w:val="105"/>
                    </w:rPr>
                    <w:t>形</w:t>
                  </w:r>
                  <w:r>
                    <w:rPr>
                      <w:w w:val="105"/>
                    </w:rPr>
                    <w:t>式向</w:t>
                  </w:r>
                  <w:r>
                    <w:rPr>
                      <w:w w:val="105"/>
                      <w:sz w:val="24"/>
                    </w:rPr>
                    <w:t>您</w:t>
                    <w:tab/>
                  </w:r>
                  <w:r>
                    <w:rPr>
                      <w:spacing w:val="-3"/>
                      <w:w w:val="105"/>
                    </w:rPr>
                    <w:t>出</w:t>
                  </w:r>
                  <w:r>
                    <w:rPr>
                      <w:spacing w:val="-1"/>
                      <w:w w:val="105"/>
                    </w:rPr>
                    <w:t>明</w:t>
                  </w:r>
                  <w:r>
                    <w:rPr>
                      <w:spacing w:val="-3"/>
                      <w:w w:val="105"/>
                    </w:rPr>
                    <w:t>确说</w:t>
                  </w:r>
                  <w:r>
                    <w:rPr>
                      <w:spacing w:val="-1"/>
                      <w:w w:val="105"/>
                    </w:rPr>
                    <w:t>明，</w:t>
                  </w:r>
                  <w:r>
                    <w:rPr>
                      <w:spacing w:val="-3"/>
                      <w:w w:val="105"/>
                    </w:rPr>
                    <w:t>未</w:t>
                  </w:r>
                  <w:r>
                    <w:rPr>
                      <w:spacing w:val="-1"/>
                      <w:w w:val="105"/>
                    </w:rPr>
                    <w:t>作</w:t>
                  </w:r>
                  <w:r>
                    <w:rPr>
                      <w:spacing w:val="-3"/>
                      <w:w w:val="105"/>
                    </w:rPr>
                    <w:t>提</w:t>
                  </w:r>
                  <w:r>
                    <w:rPr>
                      <w:spacing w:val="-1"/>
                      <w:w w:val="105"/>
                    </w:rPr>
                    <w:t>示</w:t>
                  </w:r>
                  <w:r>
                    <w:rPr>
                      <w:spacing w:val="-3"/>
                      <w:w w:val="105"/>
                    </w:rPr>
                    <w:t>或</w:t>
                  </w:r>
                  <w:r>
                    <w:rPr>
                      <w:spacing w:val="-1"/>
                      <w:w w:val="105"/>
                    </w:rPr>
                    <w:t>明</w:t>
                  </w:r>
                  <w:r>
                    <w:rPr>
                      <w:spacing w:val="-3"/>
                      <w:w w:val="105"/>
                    </w:rPr>
                    <w:t>确</w:t>
                  </w:r>
                  <w:r>
                    <w:rPr>
                      <w:spacing w:val="-1"/>
                      <w:w w:val="105"/>
                    </w:rPr>
                    <w:t>说</w:t>
                  </w:r>
                  <w:r>
                    <w:rPr>
                      <w:spacing w:val="-3"/>
                      <w:w w:val="105"/>
                    </w:rPr>
                    <w:t>明</w:t>
                  </w:r>
                  <w:r>
                    <w:rPr>
                      <w:spacing w:val="-1"/>
                      <w:w w:val="105"/>
                    </w:rPr>
                    <w:t>的，</w:t>
                  </w:r>
                  <w:r>
                    <w:rPr>
                      <w:spacing w:val="-3"/>
                      <w:w w:val="105"/>
                    </w:rPr>
                    <w:t>该</w:t>
                  </w:r>
                  <w:r>
                    <w:rPr>
                      <w:spacing w:val="-1"/>
                      <w:w w:val="105"/>
                    </w:rPr>
                    <w:t>条</w:t>
                  </w:r>
                  <w:r>
                    <w:rPr>
                      <w:spacing w:val="-3"/>
                      <w:w w:val="105"/>
                    </w:rPr>
                    <w:t>款</w:t>
                  </w:r>
                  <w:r>
                    <w:rPr>
                      <w:spacing w:val="-1"/>
                      <w:w w:val="105"/>
                    </w:rPr>
                    <w:t>不</w:t>
                  </w:r>
                  <w:r>
                    <w:rPr>
                      <w:spacing w:val="-3"/>
                      <w:w w:val="105"/>
                    </w:rPr>
                    <w:t>产</w:t>
                  </w:r>
                  <w:r>
                    <w:rPr>
                      <w:spacing w:val="-1"/>
                      <w:w w:val="105"/>
                    </w:rPr>
                    <w:t>生</w:t>
                  </w:r>
                  <w:r>
                    <w:rPr>
                      <w:spacing w:val="-3"/>
                      <w:w w:val="105"/>
                    </w:rPr>
                    <w:t>效</w:t>
                  </w:r>
                  <w:r>
                    <w:rPr>
                      <w:spacing w:val="-1"/>
                      <w:w w:val="105"/>
                    </w:rPr>
                    <w:t>力</w:t>
                  </w:r>
                  <w:r>
                    <w:rPr>
                      <w:spacing w:val="-3"/>
                      <w:w w:val="105"/>
                    </w:rPr>
                    <w:t>。</w:t>
                  </w:r>
                  <w:r>
                    <w:rPr>
                      <w:w w:val="105"/>
                    </w:rPr>
                    <w:t> </w:t>
                  </w:r>
                </w:p>
              </w:txbxContent>
            </v:textbox>
            <w10:wrap type="none"/>
          </v:shape>
        </w:pict>
      </w:r>
      <w:r>
        <w:rPr>
          <w:spacing w:val="-9"/>
          <w:w w:val="105"/>
        </w:rPr>
        <w:t>二、 对保险条款中免除我们责任的条款，我们在订立合同时应当在投保单、保险</w:t>
      </w:r>
      <w:r>
        <w:rPr>
          <w:spacing w:val="-8"/>
          <w:w w:val="105"/>
        </w:rPr>
        <w:t>单或其他保险凭证上作出足以引起您注意的提示，并对该条款的内容以书面或</w:t>
      </w:r>
    </w:p>
    <w:p>
      <w:pPr>
        <w:pStyle w:val="BodyText"/>
        <w:spacing w:before="19"/>
        <w:ind w:right="962"/>
        <w:jc w:val="center"/>
      </w:pPr>
      <w:r>
        <w:rPr>
          <w:w w:val="105"/>
        </w:rPr>
        <w:t>作</w:t>
      </w:r>
    </w:p>
    <w:p>
      <w:pPr>
        <w:pStyle w:val="BodyText"/>
        <w:tabs>
          <w:tab w:pos="1131" w:val="left" w:leader="none"/>
          <w:tab w:pos="3080" w:val="left" w:leader="none"/>
        </w:tabs>
        <w:spacing w:line="212" w:lineRule="exact" w:before="43"/>
        <w:ind w:left="229"/>
      </w:pPr>
      <w:r>
        <w:rPr>
          <w:w w:val="105"/>
        </w:rPr>
        <w:t> </w:t>
      </w:r>
      <w:r>
        <w:rPr/>
        <w:tab/>
      </w:r>
      <w:r>
        <w:rPr>
          <w:w w:val="105"/>
        </w:rPr>
        <w:t> </w:t>
      </w:r>
      <w:r>
        <w:rPr/>
        <w:tab/>
      </w:r>
      <w:r>
        <w:rPr>
          <w:w w:val="105"/>
        </w:rPr>
        <w:t> </w:t>
      </w:r>
    </w:p>
    <w:p>
      <w:pPr>
        <w:tabs>
          <w:tab w:pos="1131" w:val="left" w:leader="none"/>
        </w:tabs>
        <w:spacing w:line="298" w:lineRule="exact" w:before="0"/>
        <w:ind w:left="335" w:right="0" w:firstLine="0"/>
        <w:jc w:val="left"/>
        <w:rPr>
          <w:sz w:val="20"/>
        </w:rPr>
      </w:pPr>
      <w:r>
        <w:rPr>
          <w:rFonts w:ascii="Microsoft JhengHei" w:eastAsia="Microsoft JhengHei" w:hint="eastAsia"/>
          <w:b/>
          <w:spacing w:val="-3"/>
          <w:w w:val="212"/>
          <w:sz w:val="20"/>
        </w:rPr>
        <w:t>.</w:t>
      </w:r>
      <w:r>
        <w:rPr>
          <w:rFonts w:ascii="Microsoft JhengHei" w:eastAsia="Microsoft JhengHei" w:hint="eastAsia"/>
          <w:b/>
          <w:spacing w:val="-3"/>
          <w:w w:val="90"/>
          <w:sz w:val="20"/>
        </w:rPr>
        <w:t>2</w:t>
      </w:r>
      <w:r>
        <w:rPr>
          <w:rFonts w:ascii="Microsoft JhengHei" w:eastAsia="Microsoft JhengHei" w:hint="eastAsia"/>
          <w:b/>
          <w:w w:val="216"/>
          <w:sz w:val="20"/>
        </w:rPr>
        <w:t> </w:t>
      </w:r>
      <w:r>
        <w:rPr>
          <w:rFonts w:ascii="Microsoft JhengHei" w:eastAsia="Microsoft JhengHei" w:hint="eastAsia"/>
          <w:b/>
          <w:sz w:val="20"/>
        </w:rPr>
        <w:tab/>
      </w:r>
      <w:r>
        <w:rPr>
          <w:rFonts w:ascii="Microsoft JhengHei" w:eastAsia="Microsoft JhengHei" w:hint="eastAsia"/>
          <w:b/>
          <w:spacing w:val="-3"/>
          <w:w w:val="106"/>
          <w:sz w:val="20"/>
        </w:rPr>
        <w:t>如实告知</w:t>
      </w:r>
      <w:r>
        <w:rPr>
          <w:rFonts w:ascii="Microsoft JhengHei" w:eastAsia="Microsoft JhengHei" w:hint="eastAsia"/>
          <w:b/>
          <w:spacing w:val="-3"/>
          <w:w w:val="216"/>
          <w:sz w:val="20"/>
        </w:rPr>
        <w:t>         </w:t>
      </w:r>
      <w:r>
        <w:rPr>
          <w:rFonts w:ascii="Microsoft JhengHei" w:eastAsia="Microsoft JhengHei" w:hint="eastAsia"/>
          <w:b/>
          <w:sz w:val="20"/>
        </w:rPr>
        <w:t>   </w:t>
      </w:r>
      <w:r>
        <w:rPr>
          <w:spacing w:val="-3"/>
          <w:w w:val="105"/>
          <w:sz w:val="20"/>
        </w:rPr>
        <w:t>一、我们就您和被保险人的有关情况提出询问的，您应当如实告知。</w:t>
      </w:r>
      <w:r>
        <w:rPr>
          <w:w w:val="105"/>
          <w:sz w:val="20"/>
        </w:rPr>
        <w:t> </w:t>
      </w:r>
    </w:p>
    <w:p>
      <w:pPr>
        <w:pStyle w:val="BodyText"/>
        <w:spacing w:line="285" w:lineRule="auto" w:before="27"/>
        <w:ind w:left="3500" w:right="215" w:hanging="420"/>
      </w:pPr>
      <w:r>
        <w:rPr>
          <w:spacing w:val="-7"/>
          <w:w w:val="105"/>
        </w:rPr>
        <w:t>二、若您故意或因重大过失未履行前款规定的如实告知义务，足以影响我们决定是</w:t>
      </w:r>
      <w:r>
        <w:rPr>
          <w:spacing w:val="-3"/>
          <w:w w:val="105"/>
        </w:rPr>
        <w:t>否同意承保或提高保险费率的，我们有权解除本附加合同。</w:t>
      </w:r>
      <w:r>
        <w:rPr>
          <w:w w:val="105"/>
        </w:rPr>
        <w:t> </w:t>
      </w:r>
    </w:p>
    <w:p>
      <w:pPr>
        <w:pStyle w:val="Heading3"/>
        <w:spacing w:line="279" w:lineRule="exact"/>
        <w:ind w:left="3080"/>
      </w:pPr>
      <w:r>
        <w:rPr>
          <w:rFonts w:ascii="宋体" w:eastAsia="宋体" w:hint="eastAsia"/>
          <w:b w:val="0"/>
          <w:w w:val="105"/>
        </w:rPr>
        <w:t>三、</w:t>
      </w:r>
      <w:r>
        <w:rPr>
          <w:w w:val="105"/>
        </w:rPr>
        <w:t>若您故意不履行如实告知义务，对于本附加合同解除前发生的保险事故，我</w:t>
      </w:r>
    </w:p>
    <w:p>
      <w:pPr>
        <w:spacing w:line="312" w:lineRule="exact" w:before="0"/>
        <w:ind w:left="3500" w:right="0" w:firstLine="0"/>
        <w:jc w:val="left"/>
        <w:rPr>
          <w:sz w:val="20"/>
        </w:rPr>
      </w:pPr>
      <w:r>
        <w:rPr>
          <w:rFonts w:ascii="Microsoft JhengHei" w:eastAsia="Microsoft JhengHei" w:hint="eastAsia"/>
          <w:b/>
          <w:w w:val="105"/>
          <w:sz w:val="20"/>
        </w:rPr>
        <w:t>们不承担给付保险金的责任</w:t>
      </w:r>
      <w:r>
        <w:rPr>
          <w:w w:val="105"/>
          <w:sz w:val="6"/>
        </w:rPr>
        <w:t>，</w:t>
      </w:r>
      <w:r>
        <w:rPr>
          <w:w w:val="105"/>
          <w:sz w:val="20"/>
        </w:rPr>
        <w:t>并不退还保险费。 </w:t>
      </w:r>
    </w:p>
    <w:p>
      <w:pPr>
        <w:pStyle w:val="Heading3"/>
        <w:spacing w:line="314" w:lineRule="exact"/>
        <w:ind w:left="3500" w:hanging="420"/>
      </w:pPr>
      <w:r>
        <w:rPr>
          <w:rFonts w:ascii="宋体" w:eastAsia="宋体" w:hint="eastAsia"/>
          <w:b w:val="0"/>
          <w:w w:val="105"/>
        </w:rPr>
        <w:t>四、</w:t>
      </w:r>
      <w:r>
        <w:rPr>
          <w:w w:val="105"/>
        </w:rPr>
        <w:t>若您因重大过失未履行如实告知义务，对保险事故的发生有严重影响的，对</w:t>
      </w:r>
    </w:p>
    <w:p>
      <w:pPr>
        <w:spacing w:line="308" w:lineRule="exact" w:before="36"/>
        <w:ind w:left="3500" w:right="149" w:firstLine="0"/>
        <w:jc w:val="left"/>
        <w:rPr>
          <w:sz w:val="20"/>
        </w:rPr>
      </w:pPr>
      <w:r>
        <w:rPr>
          <w:rFonts w:ascii="Microsoft JhengHei" w:eastAsia="Microsoft JhengHei" w:hint="eastAsia"/>
          <w:b/>
          <w:w w:val="105"/>
          <w:sz w:val="20"/>
        </w:rPr>
        <w:t>于本附加合同解除前发生的保险事故，我们不承担给付保险金的责任</w:t>
      </w:r>
      <w:r>
        <w:rPr>
          <w:w w:val="105"/>
          <w:sz w:val="6"/>
        </w:rPr>
        <w:t>，</w:t>
      </w:r>
      <w:r>
        <w:rPr>
          <w:w w:val="105"/>
          <w:sz w:val="20"/>
        </w:rPr>
        <w:t>但应 当退还保险费。 </w:t>
      </w:r>
    </w:p>
    <w:p>
      <w:pPr>
        <w:pStyle w:val="BodyText"/>
        <w:spacing w:line="285" w:lineRule="auto" w:before="17"/>
        <w:ind w:left="3500" w:right="215" w:hanging="420"/>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pStyle w:val="BodyText"/>
        <w:spacing w:before="2"/>
        <w:rPr>
          <w:sz w:val="15"/>
        </w:rPr>
      </w:pPr>
    </w:p>
    <w:p>
      <w:pPr>
        <w:spacing w:after="0"/>
        <w:rPr>
          <w:sz w:val="15"/>
        </w:rPr>
        <w:sectPr>
          <w:type w:val="continuous"/>
          <w:pgSz w:w="11900" w:h="16840"/>
          <w:pgMar w:top="60" w:bottom="280" w:left="560" w:right="580"/>
        </w:sectPr>
      </w:pPr>
    </w:p>
    <w:p>
      <w:pPr>
        <w:pStyle w:val="Heading3"/>
        <w:tabs>
          <w:tab w:pos="1131" w:val="left" w:leader="none"/>
        </w:tabs>
        <w:spacing w:line="308" w:lineRule="exact"/>
        <w:ind w:left="335"/>
      </w:pPr>
      <w:r>
        <w:rPr>
          <w:spacing w:val="-3"/>
          <w:w w:val="212"/>
        </w:rPr>
        <w:t>.</w:t>
      </w:r>
      <w:r>
        <w:rPr>
          <w:spacing w:val="-3"/>
          <w:w w:val="90"/>
        </w:rPr>
        <w:t>3</w:t>
      </w:r>
      <w:r>
        <w:rPr>
          <w:w w:val="216"/>
        </w:rPr>
        <w:t> </w:t>
      </w:r>
      <w:r>
        <w:rPr/>
        <w:tab/>
      </w:r>
      <w:r>
        <w:rPr>
          <w:spacing w:val="-3"/>
          <w:w w:val="106"/>
        </w:rPr>
        <w:t>本公司合同解除权</w:t>
      </w:r>
    </w:p>
    <w:p>
      <w:pPr>
        <w:spacing w:line="330" w:lineRule="exact" w:before="0"/>
        <w:ind w:left="1131" w:right="0" w:firstLine="0"/>
        <w:jc w:val="left"/>
        <w:rPr>
          <w:rFonts w:ascii="Microsoft JhengHei" w:eastAsia="Microsoft JhengHei" w:hint="eastAsia"/>
          <w:b/>
          <w:sz w:val="20"/>
        </w:rPr>
      </w:pPr>
      <w:r>
        <w:rPr>
          <w:rFonts w:ascii="Microsoft JhengHei" w:eastAsia="Microsoft JhengHei" w:hint="eastAsia"/>
          <w:b/>
          <w:w w:val="105"/>
          <w:sz w:val="20"/>
        </w:rPr>
        <w:t>的限制</w:t>
      </w:r>
      <w:r>
        <w:rPr>
          <w:rFonts w:ascii="Microsoft JhengHei" w:eastAsia="Microsoft JhengHei" w:hint="eastAsia"/>
          <w:b/>
          <w:w w:val="216"/>
          <w:sz w:val="20"/>
        </w:rPr>
        <w:t>           </w:t>
      </w:r>
    </w:p>
    <w:p>
      <w:pPr>
        <w:pStyle w:val="BodyText"/>
        <w:spacing w:line="312" w:lineRule="exact" w:before="26"/>
        <w:ind w:left="111" w:right="109"/>
      </w:pPr>
      <w:r>
        <w:rPr/>
        <w:br w:type="column"/>
      </w:r>
      <w:r>
        <w:rPr>
          <w:spacing w:val="-12"/>
          <w:w w:val="105"/>
        </w:rPr>
        <w:t>前条约定的合同解除权，自我们知道有解除事由之日起，超过 </w:t>
      </w:r>
      <w:r>
        <w:rPr>
          <w:w w:val="105"/>
        </w:rPr>
        <w:t>30</w:t>
      </w:r>
      <w:r>
        <w:rPr>
          <w:spacing w:val="-8"/>
          <w:w w:val="105"/>
        </w:rPr>
        <w:t> 日不行使而消灭。自本附加合同成立之日起超过 </w:t>
      </w:r>
      <w:r>
        <w:rPr>
          <w:w w:val="105"/>
        </w:rPr>
        <w:t>2</w:t>
      </w:r>
      <w:r>
        <w:rPr>
          <w:spacing w:val="-15"/>
          <w:w w:val="105"/>
        </w:rPr>
        <w:t> 年的，我们不得解除合同；发生保险事故的，我们</w:t>
      </w:r>
      <w:r>
        <w:rPr>
          <w:spacing w:val="-3"/>
          <w:w w:val="105"/>
        </w:rPr>
        <w:t>承担给付保险金的责任。</w:t>
      </w:r>
      <w:r>
        <w:rPr>
          <w:w w:val="105"/>
        </w:rPr>
        <w:t> </w:t>
      </w:r>
    </w:p>
    <w:p>
      <w:pPr>
        <w:spacing w:after="0" w:line="312" w:lineRule="exact"/>
        <w:sectPr>
          <w:type w:val="continuous"/>
          <w:pgSz w:w="11900" w:h="16840"/>
          <w:pgMar w:top="60" w:bottom="280" w:left="560" w:right="580"/>
          <w:cols w:num="2" w:equalWidth="0">
            <w:col w:w="2930" w:space="40"/>
            <w:col w:w="7790"/>
          </w:cols>
        </w:sectPr>
      </w:pPr>
    </w:p>
    <w:p>
      <w:pPr>
        <w:tabs>
          <w:tab w:pos="1131" w:val="left" w:leader="none"/>
        </w:tabs>
        <w:spacing w:before="289"/>
        <w:ind w:left="229" w:right="0" w:firstLine="0"/>
        <w:jc w:val="left"/>
        <w:rPr>
          <w:sz w:val="20"/>
        </w:rPr>
      </w:pPr>
      <w:r>
        <w:rPr/>
        <w:pict>
          <v:shape style="position:absolute;margin-left:39.479984pt;margin-top:17.304691pt;width:17.9pt;height:21.15pt;mso-position-horizontal-relative:page;mso-position-vertical-relative:paragraph;z-index:-9760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151"/>
                      <w:sz w:val="40"/>
                    </w:rPr>
                    <w:t>®</w:t>
                  </w:r>
                </w:p>
              </w:txbxContent>
            </v:textbox>
            <w10:wrap type="none"/>
          </v:shape>
        </w:pict>
      </w:r>
      <w:r>
        <w:rPr>
          <w:w w:val="105"/>
          <w:position w:val="40"/>
          <w:sz w:val="20"/>
        </w:rPr>
        <w:t> </w:t>
      </w:r>
      <w:r>
        <w:rPr>
          <w:position w:val="40"/>
          <w:sz w:val="20"/>
        </w:rPr>
        <w:tab/>
      </w:r>
      <w:r>
        <w:rPr>
          <w:rFonts w:ascii="Microsoft JhengHei" w:eastAsia="Microsoft JhengHei" w:hint="eastAsia"/>
          <w:b/>
          <w:spacing w:val="-243"/>
          <w:sz w:val="24"/>
        </w:rPr>
        <w:t>其</w:t>
      </w:r>
      <w:r>
        <w:rPr>
          <w:rFonts w:ascii="Microsoft JhengHei" w:eastAsia="Microsoft JhengHei" w:hint="eastAsia"/>
          <w:b/>
          <w:spacing w:val="-32"/>
          <w:position w:val="40"/>
          <w:sz w:val="24"/>
        </w:rPr>
        <w:t> </w:t>
      </w:r>
      <w:r>
        <w:rPr>
          <w:rFonts w:ascii="Microsoft JhengHei" w:eastAsia="Microsoft JhengHei" w:hint="eastAsia"/>
          <w:b/>
          <w:spacing w:val="-3"/>
          <w:sz w:val="24"/>
        </w:rPr>
        <w:t>其他需要关注的事</w:t>
      </w:r>
      <w:r>
        <w:rPr>
          <w:rFonts w:ascii="Microsoft JhengHei" w:eastAsia="Microsoft JhengHei" w:hint="eastAsia"/>
          <w:b/>
          <w:spacing w:val="-225"/>
          <w:sz w:val="24"/>
        </w:rPr>
        <w:t>项</w:t>
      </w:r>
      <w:r>
        <w:rPr>
          <w:w w:val="105"/>
          <w:position w:val="40"/>
          <w:sz w:val="20"/>
        </w:rPr>
        <w:t> </w:t>
      </w:r>
    </w:p>
    <w:p>
      <w:pPr>
        <w:pStyle w:val="BodyText"/>
        <w:spacing w:before="5"/>
        <w:rPr>
          <w:sz w:val="9"/>
        </w:rPr>
      </w:pPr>
      <w:r>
        <w:rPr/>
        <w:pict>
          <v:group style="position:absolute;margin-left:33.959999pt;margin-top:8.110899pt;width:526.2pt;height:1pt;mso-position-horizontal-relative:page;mso-position-vertical-relative:paragraph;z-index:140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2" w:lineRule="exact"/>
        <w:ind w:left="229"/>
      </w:pPr>
      <w:r>
        <w:rPr>
          <w:w w:val="105"/>
        </w:rPr>
        <w:t> </w:t>
      </w:r>
      <w:r>
        <w:rPr/>
        <w:tab/>
      </w:r>
      <w:r>
        <w:rPr>
          <w:w w:val="105"/>
        </w:rPr>
        <w:t> </w:t>
      </w:r>
      <w:r>
        <w:rPr/>
        <w:tab/>
      </w:r>
      <w:r>
        <w:rPr>
          <w:w w:val="105"/>
        </w:rPr>
        <w:t> </w:t>
      </w:r>
    </w:p>
    <w:p>
      <w:pPr>
        <w:tabs>
          <w:tab w:pos="1131" w:val="left" w:leader="none"/>
        </w:tabs>
        <w:spacing w:line="289" w:lineRule="exact" w:before="0"/>
        <w:ind w:left="229" w:right="0" w:firstLine="0"/>
        <w:jc w:val="left"/>
        <w:rPr>
          <w:sz w:val="20"/>
        </w:rPr>
      </w:pPr>
      <w:r>
        <w:rPr>
          <w:rFonts w:ascii="Microsoft JhengHei" w:eastAsia="Microsoft JhengHei" w:hint="eastAsia"/>
          <w:b/>
          <w:spacing w:val="-3"/>
          <w:w w:val="90"/>
          <w:sz w:val="20"/>
        </w:rPr>
        <w:t>8</w:t>
      </w:r>
      <w:r>
        <w:rPr>
          <w:rFonts w:ascii="Microsoft JhengHei" w:eastAsia="Microsoft JhengHei" w:hint="eastAsia"/>
          <w:b/>
          <w:spacing w:val="-3"/>
          <w:w w:val="212"/>
          <w:sz w:val="20"/>
        </w:rPr>
        <w:t>.</w:t>
      </w:r>
      <w:r>
        <w:rPr>
          <w:rFonts w:ascii="Microsoft JhengHei" w:eastAsia="Microsoft JhengHei" w:hint="eastAsia"/>
          <w:b/>
          <w:spacing w:val="-3"/>
          <w:w w:val="90"/>
          <w:sz w:val="20"/>
        </w:rPr>
        <w:t>1</w:t>
      </w:r>
      <w:r>
        <w:rPr>
          <w:rFonts w:ascii="Microsoft JhengHei" w:eastAsia="Microsoft JhengHei" w:hint="eastAsia"/>
          <w:b/>
          <w:w w:val="216"/>
          <w:sz w:val="20"/>
        </w:rPr>
        <w:t> </w:t>
      </w:r>
      <w:r>
        <w:rPr>
          <w:rFonts w:ascii="Microsoft JhengHei" w:eastAsia="Microsoft JhengHei" w:hint="eastAsia"/>
          <w:b/>
          <w:sz w:val="20"/>
        </w:rPr>
        <w:tab/>
      </w:r>
      <w:r>
        <w:rPr>
          <w:rFonts w:ascii="Microsoft JhengHei" w:eastAsia="Microsoft JhengHei" w:hint="eastAsia"/>
          <w:b/>
          <w:spacing w:val="-3"/>
          <w:w w:val="106"/>
          <w:sz w:val="20"/>
        </w:rPr>
        <w:t>年龄性别错误</w:t>
      </w:r>
      <w:r>
        <w:rPr>
          <w:rFonts w:ascii="Microsoft JhengHei" w:eastAsia="Microsoft JhengHei" w:hint="eastAsia"/>
          <w:b/>
          <w:spacing w:val="-3"/>
          <w:w w:val="216"/>
          <w:sz w:val="20"/>
        </w:rPr>
        <w:t>     </w:t>
      </w:r>
      <w:r>
        <w:rPr>
          <w:rFonts w:ascii="Microsoft JhengHei" w:eastAsia="Microsoft JhengHei" w:hint="eastAsia"/>
          <w:b/>
          <w:sz w:val="20"/>
        </w:rPr>
        <w:t>   </w:t>
      </w:r>
      <w:r>
        <w:rPr>
          <w:spacing w:val="-3"/>
          <w:w w:val="105"/>
          <w:sz w:val="20"/>
        </w:rPr>
        <w:t>被保险人的年龄以周岁计算，您在申请投保时，应将与法定有效身份证件相符的</w:t>
      </w:r>
    </w:p>
    <w:p>
      <w:pPr>
        <w:pStyle w:val="BodyText"/>
        <w:spacing w:line="285" w:lineRule="auto" w:before="27"/>
        <w:ind w:left="3080" w:right="215"/>
      </w:pPr>
      <w:r>
        <w:rPr>
          <w:spacing w:val="-10"/>
          <w:w w:val="105"/>
        </w:rPr>
        <w:t>被保险人的出生日期、年龄及真实性别在投保单上填明，如果发生错误应当按照下</w:t>
      </w:r>
      <w:r>
        <w:rPr>
          <w:spacing w:val="-3"/>
          <w:w w:val="105"/>
        </w:rPr>
        <w:t>列方式办理：</w:t>
      </w:r>
    </w:p>
    <w:p>
      <w:pPr>
        <w:pStyle w:val="BodyText"/>
        <w:spacing w:before="11"/>
        <w:ind w:left="3080"/>
      </w:pPr>
      <w:r>
        <w:rPr>
          <w:w w:val="105"/>
        </w:rPr>
        <w:t>(一)您申报的被保险人年龄或性别不真实，我们有权更正并根据被保险人的真实年</w:t>
      </w:r>
    </w:p>
    <w:p>
      <w:pPr>
        <w:spacing w:after="0"/>
        <w:sectPr>
          <w:type w:val="continuous"/>
          <w:pgSz w:w="11900" w:h="16840"/>
          <w:pgMar w:top="60" w:bottom="280" w:left="560" w:right="580"/>
        </w:sectPr>
      </w:pPr>
    </w:p>
    <w:p>
      <w:pPr>
        <w:pStyle w:val="BodyText"/>
        <w:spacing w:line="285" w:lineRule="auto" w:before="12"/>
        <w:ind w:left="3500" w:right="132"/>
      </w:pPr>
      <w:r>
        <w:rPr>
          <w:spacing w:val="-10"/>
          <w:w w:val="105"/>
        </w:rPr>
        <w:t>龄与性别收取以后各月的风险保险费。如果真实年龄不符合本附加合同约定投</w:t>
      </w:r>
      <w:r>
        <w:rPr>
          <w:spacing w:val="-5"/>
          <w:w w:val="105"/>
        </w:rPr>
        <w:t>保年龄限制的，我们有权解除合同，并向您退还本附加合同当时的现金价值。</w:t>
      </w:r>
      <w:r>
        <w:rPr>
          <w:spacing w:val="-1"/>
          <w:w w:val="105"/>
        </w:rPr>
        <w:t>本公司行使合同解除权适用 </w:t>
      </w:r>
      <w:r>
        <w:rPr>
          <w:spacing w:val="-2"/>
          <w:w w:val="120"/>
          <w:sz w:val="14"/>
        </w:rPr>
        <w:t>7.3</w:t>
      </w:r>
      <w:r>
        <w:rPr>
          <w:spacing w:val="-2"/>
          <w:w w:val="120"/>
        </w:rPr>
        <w:t>“</w:t>
      </w:r>
      <w:r>
        <w:rPr>
          <w:spacing w:val="-3"/>
          <w:w w:val="105"/>
        </w:rPr>
        <w:t>本公司合同解除权的限制”的规定。</w:t>
      </w:r>
      <w:r>
        <w:rPr>
          <w:w w:val="105"/>
        </w:rPr>
        <w:t> </w:t>
      </w:r>
    </w:p>
    <w:p>
      <w:pPr>
        <w:pStyle w:val="BodyText"/>
        <w:spacing w:line="285" w:lineRule="auto" w:before="12"/>
        <w:ind w:left="3500" w:right="235" w:hanging="420"/>
        <w:jc w:val="both"/>
      </w:pPr>
      <w:r>
        <w:rPr>
          <w:spacing w:val="-7"/>
          <w:w w:val="105"/>
        </w:rPr>
        <w:t>(二)如果我们已收取的风险保险费高于应收取的风险保险费，并且被保险人未发生</w:t>
      </w:r>
      <w:r>
        <w:rPr>
          <w:spacing w:val="-12"/>
          <w:w w:val="105"/>
        </w:rPr>
        <w:t>保险事故，多收的风险保险费将无息计入保险合同账户价值，但如果被保险人</w:t>
      </w:r>
      <w:r>
        <w:rPr>
          <w:spacing w:val="-3"/>
          <w:w w:val="105"/>
        </w:rPr>
        <w:t>已发生保险事故，则多收的风险保险费无息随身故保险金退还。</w:t>
      </w:r>
      <w:r>
        <w:rPr>
          <w:w w:val="105"/>
        </w:rPr>
        <w:t> </w:t>
      </w:r>
    </w:p>
    <w:p>
      <w:pPr>
        <w:pStyle w:val="BodyText"/>
        <w:spacing w:line="285" w:lineRule="auto" w:before="12"/>
        <w:ind w:left="3500" w:right="235" w:hanging="420"/>
        <w:jc w:val="both"/>
      </w:pPr>
      <w:r>
        <w:rPr/>
        <w:pict>
          <v:shape style="position:absolute;margin-left:33.959999pt;margin-top:65.917725pt;width:526.25pt;height:384.75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2059"/>
                    <w:gridCol w:w="7635"/>
                  </w:tblGrid>
                  <w:tr>
                    <w:trPr>
                      <w:trHeight w:val="214" w:hRule="atLeast"/>
                    </w:trPr>
                    <w:tc>
                      <w:tcPr>
                        <w:tcW w:w="829" w:type="dxa"/>
                      </w:tcPr>
                      <w:p>
                        <w:pPr>
                          <w:pStyle w:val="TableParagraph"/>
                          <w:spacing w:line="195" w:lineRule="exact"/>
                          <w:ind w:left="110"/>
                          <w:rPr>
                            <w:sz w:val="20"/>
                          </w:rPr>
                        </w:pPr>
                        <w:r>
                          <w:rPr>
                            <w:w w:val="105"/>
                            <w:sz w:val="20"/>
                          </w:rPr>
                          <w:t> </w:t>
                        </w:r>
                      </w:p>
                    </w:tc>
                    <w:tc>
                      <w:tcPr>
                        <w:tcW w:w="2059" w:type="dxa"/>
                      </w:tcPr>
                      <w:p>
                        <w:pPr>
                          <w:pStyle w:val="TableParagraph"/>
                          <w:spacing w:line="195" w:lineRule="exact"/>
                          <w:ind w:left="183"/>
                          <w:rPr>
                            <w:sz w:val="20"/>
                          </w:rPr>
                        </w:pPr>
                        <w:r>
                          <w:rPr>
                            <w:w w:val="105"/>
                            <w:sz w:val="20"/>
                          </w:rPr>
                          <w:t> </w:t>
                        </w:r>
                      </w:p>
                    </w:tc>
                    <w:tc>
                      <w:tcPr>
                        <w:tcW w:w="7635" w:type="dxa"/>
                      </w:tcPr>
                      <w:p>
                        <w:pPr>
                          <w:pStyle w:val="TableParagraph"/>
                          <w:spacing w:line="195" w:lineRule="exact"/>
                          <w:ind w:left="73"/>
                          <w:rPr>
                            <w:sz w:val="20"/>
                          </w:rPr>
                        </w:pPr>
                        <w:r>
                          <w:rPr>
                            <w:w w:val="105"/>
                            <w:sz w:val="20"/>
                          </w:rPr>
                          <w:t> </w:t>
                        </w:r>
                      </w:p>
                    </w:tc>
                  </w:tr>
                  <w:tr>
                    <w:trPr>
                      <w:trHeight w:val="271" w:hRule="atLeast"/>
                    </w:trPr>
                    <w:tc>
                      <w:tcPr>
                        <w:tcW w:w="829" w:type="dxa"/>
                      </w:tcPr>
                      <w:p>
                        <w:pPr>
                          <w:pStyle w:val="TableParagraph"/>
                          <w:spacing w:line="221" w:lineRule="exact"/>
                          <w:ind w:left="110"/>
                          <w:rPr>
                            <w:sz w:val="20"/>
                          </w:rPr>
                        </w:pP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1" w:lineRule="exact"/>
                          <w:ind w:left="183"/>
                          <w:rPr>
                            <w:sz w:val="20"/>
                          </w:rPr>
                        </w:pP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效效效</w:t>
                        </w:r>
                        <w:r>
                          <w:rPr>
                            <w:spacing w:val="-8"/>
                            <w:w w:val="105"/>
                            <w:sz w:val="20"/>
                          </w:rPr>
                          <w:t>效</w:t>
                        </w:r>
                        <w:r>
                          <w:rPr>
                            <w:spacing w:val="-213"/>
                            <w:w w:val="105"/>
                            <w:sz w:val="20"/>
                          </w:rPr>
                          <w:t>力力力</w:t>
                        </w:r>
                        <w:r>
                          <w:rPr>
                            <w:spacing w:val="-8"/>
                            <w:w w:val="105"/>
                            <w:sz w:val="20"/>
                          </w:rPr>
                          <w:t>力</w:t>
                        </w:r>
                        <w:r>
                          <w:rPr>
                            <w:spacing w:val="-213"/>
                            <w:w w:val="105"/>
                            <w:sz w:val="20"/>
                          </w:rPr>
                          <w:t>终终终</w:t>
                        </w:r>
                        <w:r>
                          <w:rPr>
                            <w:spacing w:val="-8"/>
                            <w:w w:val="105"/>
                            <w:sz w:val="20"/>
                          </w:rPr>
                          <w:t>终</w:t>
                        </w:r>
                        <w:r>
                          <w:rPr>
                            <w:spacing w:val="-213"/>
                            <w:w w:val="105"/>
                            <w:sz w:val="20"/>
                          </w:rPr>
                          <w:t>止止止</w:t>
                        </w:r>
                        <w:r>
                          <w:rPr>
                            <w:spacing w:val="-8"/>
                            <w:w w:val="105"/>
                            <w:sz w:val="20"/>
                          </w:rPr>
                          <w:t>止</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7" w:lineRule="exact"/>
                          <w:ind w:left="73"/>
                          <w:rPr>
                            <w:sz w:val="20"/>
                          </w:rPr>
                        </w:pPr>
                        <w:r>
                          <w:rPr>
                            <w:w w:val="105"/>
                            <w:sz w:val="20"/>
                          </w:rPr>
                          <w:t>当发生下列情形之一时，本附加合同效力终止： </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(一)主合同效力终止；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(二)您申请解除本附加合同；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(三)因主合同条款或本附加合同其他条款所列情况而效力终止。 </w:t>
                        </w:r>
                      </w:p>
                    </w:tc>
                  </w:tr>
                  <w:tr>
                    <w:trPr>
                      <w:trHeight w:val="271" w:hRule="atLeast"/>
                    </w:trPr>
                    <w:tc>
                      <w:tcPr>
                        <w:tcW w:w="829" w:type="dxa"/>
                      </w:tcPr>
                      <w:p>
                        <w:pPr>
                          <w:pStyle w:val="TableParagraph"/>
                          <w:spacing w:line="250"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rPr>
                            <w:rFonts w:ascii="Times New Roman"/>
                            <w:sz w:val="20"/>
                          </w:rPr>
                        </w:pPr>
                      </w:p>
                    </w:tc>
                  </w:tr>
                  <w:tr>
                    <w:trPr>
                      <w:trHeight w:val="269" w:hRule="atLeast"/>
                    </w:trPr>
                    <w:tc>
                      <w:tcPr>
                        <w:tcW w:w="829" w:type="dxa"/>
                      </w:tcPr>
                      <w:p>
                        <w:pPr>
                          <w:pStyle w:val="TableParagraph"/>
                          <w:spacing w:line="220" w:lineRule="exact"/>
                          <w:ind w:left="110"/>
                          <w:rPr>
                            <w:sz w:val="20"/>
                          </w:rPr>
                        </w:pP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适适适</w:t>
                        </w:r>
                        <w:r>
                          <w:rPr>
                            <w:spacing w:val="-8"/>
                            <w:w w:val="105"/>
                            <w:sz w:val="20"/>
                          </w:rPr>
                          <w:t>适</w:t>
                        </w:r>
                        <w:r>
                          <w:rPr>
                            <w:spacing w:val="-213"/>
                            <w:w w:val="105"/>
                            <w:sz w:val="20"/>
                          </w:rPr>
                          <w:t>用用用</w:t>
                        </w:r>
                        <w:r>
                          <w:rPr>
                            <w:spacing w:val="-8"/>
                            <w:w w:val="105"/>
                            <w:sz w:val="20"/>
                          </w:rPr>
                          <w:t>用</w:t>
                        </w:r>
                        <w:r>
                          <w:rPr>
                            <w:spacing w:val="-213"/>
                            <w:w w:val="105"/>
                            <w:sz w:val="20"/>
                          </w:rPr>
                          <w:t>主主主</w:t>
                        </w:r>
                        <w:r>
                          <w:rPr>
                            <w:spacing w:val="-8"/>
                            <w:w w:val="105"/>
                            <w:sz w:val="20"/>
                          </w:rPr>
                          <w:t>主</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条条条</w:t>
                        </w:r>
                        <w:r>
                          <w:rPr>
                            <w:spacing w:val="-8"/>
                            <w:w w:val="105"/>
                            <w:sz w:val="20"/>
                          </w:rPr>
                          <w:t>条</w:t>
                        </w:r>
                        <w:r>
                          <w:rPr>
                            <w:spacing w:val="-213"/>
                            <w:w w:val="105"/>
                            <w:sz w:val="20"/>
                          </w:rPr>
                          <w:t>款款款</w:t>
                        </w:r>
                        <w:r>
                          <w:rPr>
                            <w:spacing w:val="-8"/>
                            <w:w w:val="105"/>
                            <w:sz w:val="20"/>
                          </w:rPr>
                          <w:t>款</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5" w:lineRule="exact"/>
                          <w:ind w:left="73"/>
                          <w:rPr>
                            <w:sz w:val="20"/>
                          </w:rPr>
                        </w:pPr>
                        <w:r>
                          <w:rPr>
                            <w:w w:val="105"/>
                            <w:sz w:val="20"/>
                          </w:rPr>
                          <w:t>下列各项条款，适用主合同条款： </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(一)保险事故通知；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(二)未还款项；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(三)合同内容变更；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(四)联系方式变更；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(五)争议处理。 </w:t>
                        </w:r>
                      </w:p>
                    </w:tc>
                  </w:tr>
                  <w:tr>
                    <w:trPr>
                      <w:trHeight w:val="290" w:hRule="atLeast"/>
                    </w:trPr>
                    <w:tc>
                      <w:tcPr>
                        <w:tcW w:w="829" w:type="dxa"/>
                      </w:tcPr>
                      <w:p>
                        <w:pPr>
                          <w:pStyle w:val="TableParagraph"/>
                          <w:spacing w:line="259" w:lineRule="exact"/>
                          <w:ind w:left="110"/>
                          <w:rPr>
                            <w:sz w:val="20"/>
                          </w:rPr>
                        </w:pPr>
                        <w:r>
                          <w:rPr>
                            <w:w w:val="105"/>
                            <w:sz w:val="20"/>
                          </w:rPr>
                          <w:t> </w:t>
                        </w: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 </w:t>
                        </w:r>
                      </w:p>
                    </w:tc>
                  </w:tr>
                  <w:tr>
                    <w:trPr>
                      <w:trHeight w:val="556" w:hRule="atLeast"/>
                    </w:trPr>
                    <w:tc>
                      <w:tcPr>
                        <w:tcW w:w="829" w:type="dxa"/>
                        <w:tcBorders>
                          <w:bottom w:val="single" w:sz="8" w:space="0" w:color="000000"/>
                        </w:tcBorders>
                      </w:tcPr>
                      <w:p>
                        <w:pPr>
                          <w:pStyle w:val="TableParagraph"/>
                          <w:spacing w:line="491" w:lineRule="exact"/>
                          <w:ind w:left="110"/>
                          <w:rPr>
                            <w:rFonts w:ascii="Yu Gothic" w:hAnsi="Yu Gothic"/>
                            <w:b/>
                            <w:sz w:val="40"/>
                          </w:rPr>
                        </w:pPr>
                        <w:r>
                          <w:rPr>
                            <w:rFonts w:ascii="Yu Gothic" w:hAnsi="Yu Gothic"/>
                            <w:b/>
                            <w:w w:val="89"/>
                            <w:sz w:val="40"/>
                          </w:rPr>
                          <w:t>◉</w:t>
                        </w:r>
                      </w:p>
                    </w:tc>
                    <w:tc>
                      <w:tcPr>
                        <w:tcW w:w="2059" w:type="dxa"/>
                        <w:tcBorders>
                          <w:bottom w:val="single" w:sz="8" w:space="0" w:color="000000"/>
                        </w:tcBorders>
                      </w:tcPr>
                      <w:p>
                        <w:pPr>
                          <w:pStyle w:val="TableParagraph"/>
                          <w:spacing w:before="95"/>
                          <w:ind w:left="666"/>
                          <w:rPr>
                            <w:sz w:val="20"/>
                          </w:rPr>
                        </w:pPr>
                        <w:r>
                          <w:rPr>
                            <w:w w:val="105"/>
                            <w:sz w:val="20"/>
                          </w:rPr>
                          <w:t> </w:t>
                        </w:r>
                      </w:p>
                    </w:tc>
                    <w:tc>
                      <w:tcPr>
                        <w:tcW w:w="7635" w:type="dxa"/>
                        <w:tcBorders>
                          <w:bottom w:val="single" w:sz="8" w:space="0" w:color="000000"/>
                        </w:tcBorders>
                      </w:tcPr>
                      <w:p>
                        <w:pPr>
                          <w:pStyle w:val="TableParagraph"/>
                          <w:rPr>
                            <w:rFonts w:ascii="Times New Roman"/>
                            <w:sz w:val="20"/>
                          </w:rPr>
                        </w:pPr>
                      </w:p>
                    </w:tc>
                  </w:tr>
                  <w:tr>
                    <w:trPr>
                      <w:trHeight w:val="263" w:hRule="atLeast"/>
                    </w:trPr>
                    <w:tc>
                      <w:tcPr>
                        <w:tcW w:w="829" w:type="dxa"/>
                        <w:tcBorders>
                          <w:top w:val="single" w:sz="8" w:space="0" w:color="000000"/>
                        </w:tcBorders>
                      </w:tcPr>
                      <w:p>
                        <w:pPr>
                          <w:pStyle w:val="TableParagraph"/>
                          <w:spacing w:line="242" w:lineRule="exact" w:before="1"/>
                          <w:ind w:left="110"/>
                          <w:rPr>
                            <w:sz w:val="20"/>
                          </w:rPr>
                        </w:pPr>
                        <w:r>
                          <w:rPr>
                            <w:w w:val="105"/>
                            <w:sz w:val="20"/>
                          </w:rPr>
                          <w:t> </w:t>
                        </w:r>
                      </w:p>
                    </w:tc>
                    <w:tc>
                      <w:tcPr>
                        <w:tcW w:w="2059" w:type="dxa"/>
                        <w:tcBorders>
                          <w:top w:val="single" w:sz="8" w:space="0" w:color="000000"/>
                        </w:tcBorders>
                      </w:tcPr>
                      <w:p>
                        <w:pPr>
                          <w:pStyle w:val="TableParagraph"/>
                          <w:spacing w:line="242" w:lineRule="exact" w:before="1"/>
                          <w:ind w:left="183"/>
                          <w:rPr>
                            <w:sz w:val="20"/>
                          </w:rPr>
                        </w:pPr>
                        <w:r>
                          <w:rPr>
                            <w:w w:val="105"/>
                            <w:sz w:val="20"/>
                          </w:rPr>
                          <w:t> </w:t>
                        </w:r>
                      </w:p>
                    </w:tc>
                    <w:tc>
                      <w:tcPr>
                        <w:tcW w:w="7635" w:type="dxa"/>
                        <w:tcBorders>
                          <w:top w:val="single" w:sz="8" w:space="0" w:color="000000"/>
                        </w:tcBorders>
                      </w:tcPr>
                      <w:p>
                        <w:pPr>
                          <w:pStyle w:val="TableParagraph"/>
                          <w:spacing w:line="242" w:lineRule="exact" w:before="1"/>
                          <w:ind w:left="73"/>
                          <w:rPr>
                            <w:sz w:val="20"/>
                          </w:rPr>
                        </w:pPr>
                        <w:r>
                          <w:rPr>
                            <w:w w:val="105"/>
                            <w:sz w:val="20"/>
                          </w:rPr>
                          <w:t> </w:t>
                        </w:r>
                      </w:p>
                    </w:tc>
                  </w:tr>
                  <w:tr>
                    <w:trPr>
                      <w:trHeight w:val="260" w:hRule="atLeast"/>
                    </w:trPr>
                    <w:tc>
                      <w:tcPr>
                        <w:tcW w:w="829" w:type="dxa"/>
                      </w:tcPr>
                      <w:p>
                        <w:pPr>
                          <w:pStyle w:val="TableParagraph"/>
                          <w:spacing w:line="21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1" w:lineRule="exact"/>
                          <w:ind w:left="183"/>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635" w:type="dxa"/>
                      </w:tcPr>
                      <w:p>
                        <w:pPr>
                          <w:pStyle w:val="TableParagraph"/>
                          <w:spacing w:line="206" w:lineRule="exact"/>
                          <w:ind w:left="73"/>
                          <w:rPr>
                            <w:sz w:val="20"/>
                          </w:rPr>
                        </w:pPr>
                        <w:r>
                          <w:rPr>
                            <w:w w:val="105"/>
                            <w:sz w:val="20"/>
                          </w:rPr>
                          <w:t>指按法定身份证明文件中记载的出生日期计算的年龄，自出生之日起为零周岁，每</w:t>
                        </w:r>
                      </w:p>
                    </w:tc>
                  </w:tr>
                  <w:tr>
                    <w:trPr>
                      <w:trHeight w:val="318"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经过一年增加一岁，不足一年的不计。 </w:t>
                        </w:r>
                      </w:p>
                    </w:tc>
                  </w:tr>
                  <w:tr>
                    <w:trPr>
                      <w:trHeight w:val="278" w:hRule="atLeast"/>
                    </w:trPr>
                    <w:tc>
                      <w:tcPr>
                        <w:tcW w:w="829" w:type="dxa"/>
                      </w:tcPr>
                      <w:p>
                        <w:pPr>
                          <w:pStyle w:val="TableParagraph"/>
                          <w:spacing w:line="250" w:lineRule="exact" w:before="9"/>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9"/>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4" w:lineRule="exact" w:before="4"/>
                          <w:ind w:left="73"/>
                          <w:rPr>
                            <w:sz w:val="20"/>
                          </w:rPr>
                        </w:pPr>
                        <w:r>
                          <w:rPr>
                            <w:w w:val="105"/>
                            <w:sz w:val="20"/>
                          </w:rPr>
                          <w:t> </w:t>
                        </w:r>
                      </w:p>
                    </w:tc>
                  </w:tr>
                  <w:tr>
                    <w:trPr>
                      <w:trHeight w:val="269" w:hRule="atLeast"/>
                    </w:trPr>
                    <w:tc>
                      <w:tcPr>
                        <w:tcW w:w="829" w:type="dxa"/>
                      </w:tcPr>
                      <w:p>
                        <w:pPr>
                          <w:pStyle w:val="TableParagraph"/>
                          <w:spacing w:line="220"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3"/>
                            <w:w w:val="105"/>
                            <w:sz w:val="20"/>
                          </w:rPr>
                          <w:t>份份份</w:t>
                        </w:r>
                        <w:r>
                          <w:rPr>
                            <w:spacing w:val="-8"/>
                            <w:w w:val="105"/>
                            <w:sz w:val="20"/>
                          </w:rPr>
                          <w:t>份</w:t>
                        </w:r>
                        <w:r>
                          <w:rPr>
                            <w:spacing w:val="-213"/>
                            <w:w w:val="105"/>
                            <w:sz w:val="20"/>
                          </w:rPr>
                          <w:t>证证证</w:t>
                        </w:r>
                        <w:r>
                          <w:rPr>
                            <w:spacing w:val="-8"/>
                            <w:w w:val="105"/>
                            <w:sz w:val="20"/>
                          </w:rPr>
                          <w:t>证</w:t>
                        </w:r>
                        <w:r>
                          <w:rPr>
                            <w:spacing w:val="-213"/>
                            <w:w w:val="105"/>
                            <w:sz w:val="20"/>
                          </w:rPr>
                          <w:t>件件件</w:t>
                        </w:r>
                        <w:r>
                          <w:rPr>
                            <w:spacing w:val="-10"/>
                            <w:w w:val="105"/>
                            <w:sz w:val="20"/>
                          </w:rPr>
                          <w:t>件</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5" w:lineRule="exact"/>
                          <w:ind w:left="73"/>
                          <w:rPr>
                            <w:sz w:val="20"/>
                          </w:rPr>
                        </w:pPr>
                        <w:r>
                          <w:rPr>
                            <w:w w:val="105"/>
                            <w:sz w:val="20"/>
                          </w:rPr>
                          <w:t>指由政府主管部门规定的证明其身份的证件，如：居民身份证、按规定可使用的有</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效护照、军官证、警官证、士兵证、户口簿等证件。</w:t>
                        </w:r>
                      </w:p>
                    </w:tc>
                  </w:tr>
                  <w:tr>
                    <w:trPr>
                      <w:trHeight w:val="269" w:hRule="atLeast"/>
                    </w:trPr>
                    <w:tc>
                      <w:tcPr>
                        <w:tcW w:w="829" w:type="dxa"/>
                      </w:tcPr>
                      <w:p>
                        <w:pPr>
                          <w:pStyle w:val="TableParagraph"/>
                          <w:spacing w:line="248"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4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0" w:lineRule="exact"/>
                          <w:ind w:left="73"/>
                          <w:rPr>
                            <w:sz w:val="20"/>
                          </w:rPr>
                        </w:pPr>
                        <w:r>
                          <w:rPr>
                            <w:w w:val="105"/>
                            <w:sz w:val="20"/>
                          </w:rPr>
                          <w:t> </w:t>
                        </w:r>
                      </w:p>
                    </w:tc>
                  </w:tr>
                  <w:tr>
                    <w:trPr>
                      <w:trHeight w:val="257" w:hRule="atLeast"/>
                    </w:trPr>
                    <w:tc>
                      <w:tcPr>
                        <w:tcW w:w="829"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9" w:lineRule="exact"/>
                          <w:ind w:left="183"/>
                          <w:rPr>
                            <w:sz w:val="20"/>
                          </w:rPr>
                        </w:pPr>
                        <w:r>
                          <w:rPr>
                            <w:spacing w:val="-213"/>
                            <w:w w:val="105"/>
                            <w:sz w:val="20"/>
                          </w:rPr>
                          <w:t>意意意</w:t>
                        </w:r>
                        <w:r>
                          <w:rPr>
                            <w:spacing w:val="-8"/>
                            <w:w w:val="105"/>
                            <w:sz w:val="20"/>
                          </w:rPr>
                          <w:t>意</w:t>
                        </w:r>
                        <w:r>
                          <w:rPr>
                            <w:spacing w:val="-213"/>
                            <w:w w:val="105"/>
                            <w:sz w:val="20"/>
                          </w:rPr>
                          <w:t>外外外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4" w:lineRule="exact"/>
                          <w:ind w:left="73" w:right="-15"/>
                          <w:rPr>
                            <w:sz w:val="20"/>
                          </w:rPr>
                        </w:pPr>
                        <w:r>
                          <w:rPr>
                            <w:spacing w:val="-3"/>
                            <w:w w:val="105"/>
                            <w:sz w:val="20"/>
                          </w:rPr>
                          <w:t>指遭受外来的、突发的、非本意的、非疾病的客观事件直接致使身体受到的伤害。</w:t>
                        </w:r>
                      </w:p>
                    </w:tc>
                  </w:tr>
                  <w:tr>
                    <w:trPr>
                      <w:trHeight w:val="269" w:hRule="atLeast"/>
                    </w:trPr>
                    <w:tc>
                      <w:tcPr>
                        <w:tcW w:w="829" w:type="dxa"/>
                      </w:tcPr>
                      <w:p>
                        <w:pPr>
                          <w:pStyle w:val="TableParagraph"/>
                          <w:spacing w:line="239" w:lineRule="exact" w:before="1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9" w:lineRule="exact" w:before="1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47" w:lineRule="exact"/>
                          <w:ind w:left="73"/>
                          <w:rPr>
                            <w:sz w:val="20"/>
                          </w:rPr>
                        </w:pPr>
                        <w:r>
                          <w:rPr>
                            <w:w w:val="105"/>
                            <w:sz w:val="20"/>
                          </w:rPr>
                          <w:t> </w:t>
                        </w:r>
                      </w:p>
                    </w:tc>
                  </w:tr>
                  <w:tr>
                    <w:trPr>
                      <w:trHeight w:val="260" w:hRule="atLeast"/>
                    </w:trPr>
                    <w:tc>
                      <w:tcPr>
                        <w:tcW w:w="829" w:type="dxa"/>
                      </w:tcPr>
                      <w:p>
                        <w:pPr>
                          <w:pStyle w:val="TableParagraph"/>
                          <w:spacing w:line="23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1" w:lineRule="exact"/>
                          <w:ind w:left="183"/>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附附附</w:t>
                        </w:r>
                        <w:r>
                          <w:rPr>
                            <w:spacing w:val="-8"/>
                            <w:w w:val="105"/>
                            <w:sz w:val="20"/>
                          </w:rPr>
                          <w:t>附</w:t>
                        </w:r>
                        <w:r>
                          <w:rPr>
                            <w:spacing w:val="-213"/>
                            <w:w w:val="105"/>
                            <w:sz w:val="20"/>
                          </w:rPr>
                          <w:t>加加加</w:t>
                        </w:r>
                        <w:r>
                          <w:rPr>
                            <w:spacing w:val="-8"/>
                            <w:w w:val="105"/>
                            <w:sz w:val="20"/>
                          </w:rPr>
                          <w:t>加</w:t>
                        </w:r>
                        <w:r>
                          <w:rPr>
                            <w:spacing w:val="-213"/>
                            <w:w w:val="105"/>
                            <w:sz w:val="20"/>
                          </w:rPr>
                          <w:t>合合合</w:t>
                        </w:r>
                        <w:r>
                          <w:rPr>
                            <w:spacing w:val="-8"/>
                            <w:w w:val="105"/>
                            <w:sz w:val="20"/>
                          </w:rPr>
                          <w:t>合</w:t>
                        </w:r>
                        <w:r>
                          <w:rPr>
                            <w:spacing w:val="-213"/>
                            <w:w w:val="105"/>
                            <w:sz w:val="20"/>
                          </w:rPr>
                          <w:t>同同同</w:t>
                        </w:r>
                        <w:r>
                          <w:rPr>
                            <w:w w:val="105"/>
                            <w:sz w:val="20"/>
                          </w:rPr>
                          <w:t>同</w:t>
                        </w:r>
                      </w:p>
                    </w:tc>
                    <w:tc>
                      <w:tcPr>
                        <w:tcW w:w="7635" w:type="dxa"/>
                      </w:tcPr>
                      <w:p>
                        <w:pPr>
                          <w:pStyle w:val="TableParagraph"/>
                          <w:spacing w:line="205" w:lineRule="exact"/>
                          <w:ind w:left="73"/>
                          <w:rPr>
                            <w:sz w:val="20"/>
                          </w:rPr>
                        </w:pPr>
                        <w:r>
                          <w:rPr>
                            <w:w w:val="105"/>
                            <w:sz w:val="20"/>
                          </w:rPr>
                          <w:t>指被保险人患同时符合以下条件的重大疾病： </w:t>
                        </w:r>
                      </w:p>
                    </w:tc>
                  </w:tr>
                  <w:tr>
                    <w:trPr>
                      <w:trHeight w:val="311" w:hRule="atLeast"/>
                    </w:trPr>
                    <w:tc>
                      <w:tcPr>
                        <w:tcW w:w="829" w:type="dxa"/>
                      </w:tcPr>
                      <w:p>
                        <w:pPr>
                          <w:pStyle w:val="TableParagraph"/>
                          <w:rPr>
                            <w:rFonts w:ascii="Times New Roman"/>
                            <w:sz w:val="20"/>
                          </w:rPr>
                        </w:pPr>
                      </w:p>
                    </w:tc>
                    <w:tc>
                      <w:tcPr>
                        <w:tcW w:w="2059" w:type="dxa"/>
                      </w:tcPr>
                      <w:p>
                        <w:pPr>
                          <w:pStyle w:val="TableParagraph"/>
                          <w:spacing w:before="21"/>
                          <w:ind w:left="183"/>
                          <w:rPr>
                            <w:sz w:val="20"/>
                          </w:rPr>
                        </w:pPr>
                        <w:r>
                          <w:rPr>
                            <w:spacing w:val="-213"/>
                            <w:w w:val="105"/>
                            <w:sz w:val="20"/>
                          </w:rPr>
                          <w:t>所所所</w:t>
                        </w:r>
                        <w:r>
                          <w:rPr>
                            <w:spacing w:val="-8"/>
                            <w:w w:val="105"/>
                            <w:sz w:val="20"/>
                          </w:rPr>
                          <w:t>所</w:t>
                        </w:r>
                        <w:r>
                          <w:rPr>
                            <w:spacing w:val="-213"/>
                            <w:w w:val="105"/>
                            <w:sz w:val="20"/>
                          </w:rPr>
                          <w:t>列列列</w:t>
                        </w:r>
                        <w:r>
                          <w:rPr>
                            <w:spacing w:val="-8"/>
                            <w:w w:val="105"/>
                            <w:sz w:val="20"/>
                          </w:rPr>
                          <w:t>列</w:t>
                        </w: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37" w:lineRule="exact"/>
                          <w:ind w:left="73"/>
                          <w:rPr>
                            <w:sz w:val="20"/>
                          </w:rPr>
                        </w:pPr>
                        <w:r>
                          <w:rPr>
                            <w:w w:val="105"/>
                            <w:sz w:val="20"/>
                          </w:rPr>
                          <w:t>(一)被保险人自出生后首次出现该重大疾病之症状体征； </w:t>
                        </w:r>
                      </w:p>
                    </w:tc>
                  </w:tr>
                  <w:tr>
                    <w:trPr>
                      <w:trHeight w:val="235" w:hRule="atLeast"/>
                    </w:trPr>
                    <w:tc>
                      <w:tcPr>
                        <w:tcW w:w="829" w:type="dxa"/>
                      </w:tcPr>
                      <w:p>
                        <w:pPr>
                          <w:pStyle w:val="TableParagraph"/>
                          <w:rPr>
                            <w:rFonts w:ascii="Times New Roman"/>
                            <w:sz w:val="16"/>
                          </w:rPr>
                        </w:pPr>
                      </w:p>
                    </w:tc>
                    <w:tc>
                      <w:tcPr>
                        <w:tcW w:w="2059" w:type="dxa"/>
                      </w:tcPr>
                      <w:p>
                        <w:pPr>
                          <w:pStyle w:val="TableParagraph"/>
                          <w:rPr>
                            <w:rFonts w:ascii="Times New Roman"/>
                            <w:sz w:val="16"/>
                          </w:rPr>
                        </w:pPr>
                      </w:p>
                    </w:tc>
                    <w:tc>
                      <w:tcPr>
                        <w:tcW w:w="7635" w:type="dxa"/>
                      </w:tcPr>
                      <w:p>
                        <w:pPr>
                          <w:pStyle w:val="TableParagraph"/>
                          <w:spacing w:line="215" w:lineRule="exact"/>
                          <w:ind w:left="73"/>
                          <w:rPr>
                            <w:sz w:val="20"/>
                          </w:rPr>
                        </w:pPr>
                        <w:r>
                          <w:rPr>
                            <w:w w:val="105"/>
                            <w:sz w:val="20"/>
                          </w:rPr>
                          <w:t>(二)被保险人在本附加合同有效期间内首次出现该重大疾病之症状体征并被确诊</w:t>
                        </w:r>
                      </w:p>
                    </w:tc>
                  </w:tr>
                </w:tbl>
                <w:p>
                  <w:pPr>
                    <w:pStyle w:val="BodyText"/>
                  </w:pPr>
                </w:p>
              </w:txbxContent>
            </v:textbox>
            <w10:wrap type="none"/>
          </v:shape>
        </w:pict>
      </w:r>
      <w:r>
        <w:rPr>
          <w:spacing w:val="-10"/>
          <w:w w:val="105"/>
        </w:rPr>
        <w:t>(三)如果被保险人发生保险事故，并且距保险事故发生时最近一次已收取的风险保</w:t>
      </w:r>
      <w:r>
        <w:rPr>
          <w:spacing w:val="-13"/>
          <w:w w:val="105"/>
        </w:rPr>
        <w:t>险费低于应收取的风险保险费，我们有权按照该次已收取的风险保险费与应收</w:t>
      </w:r>
      <w:r>
        <w:rPr>
          <w:spacing w:val="-11"/>
          <w:w w:val="105"/>
        </w:rPr>
        <w:t>取的风险保险费的比例调整当时的风险保额，身故保险金相应调整为当时的保</w:t>
      </w:r>
      <w:r>
        <w:rPr>
          <w:spacing w:val="-3"/>
          <w:w w:val="105"/>
        </w:rPr>
        <w:t>险合同账户价值和调整后风险保额之和。</w:t>
      </w:r>
      <w:r>
        <w:rPr>
          <w:w w:val="105"/>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p>
    <w:p>
      <w:pPr>
        <w:pStyle w:val="Heading2"/>
        <w:spacing w:before="0"/>
      </w:pPr>
      <w:r>
        <w:rPr>
          <w:spacing w:val="-243"/>
        </w:rPr>
        <w:t>释</w:t>
      </w:r>
      <w:r>
        <w:rPr>
          <w:spacing w:val="-3"/>
        </w:rPr>
        <w:t>释义</w:t>
      </w: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17"/>
        <w:rPr>
          <w:rFonts w:ascii="Microsoft JhengHei"/>
          <w:b/>
        </w:rPr>
      </w:pPr>
    </w:p>
    <w:p>
      <w:pPr>
        <w:spacing w:after="0"/>
        <w:rPr>
          <w:rFonts w:ascii="Microsoft JhengHei"/>
        </w:rPr>
        <w:sectPr>
          <w:pgSz w:w="11900" w:h="16840"/>
          <w:pgMar w:header="0" w:footer="440" w:top="1120" w:bottom="640" w:left="560" w:right="560"/>
        </w:sect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4"/>
        <w:rPr>
          <w:rFonts w:ascii="Microsoft JhengHei"/>
          <w:b/>
          <w:sz w:val="14"/>
        </w:rPr>
      </w:pPr>
    </w:p>
    <w:p>
      <w:pPr>
        <w:pStyle w:val="BodyText"/>
        <w:spacing w:line="208" w:lineRule="auto"/>
        <w:ind w:left="22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pPr>
    </w:p>
    <w:p>
      <w:pPr>
        <w:pStyle w:val="BodyText"/>
      </w:pPr>
    </w:p>
    <w:p>
      <w:pPr>
        <w:pStyle w:val="BodyText"/>
      </w:pPr>
    </w:p>
    <w:p>
      <w:pPr>
        <w:pStyle w:val="BodyText"/>
        <w:spacing w:before="10"/>
        <w:rPr>
          <w:sz w:val="22"/>
        </w:rPr>
      </w:pPr>
    </w:p>
    <w:p>
      <w:pPr>
        <w:pStyle w:val="BodyText"/>
        <w:spacing w:line="245" w:lineRule="exact"/>
        <w:ind w:left="229"/>
      </w:pPr>
      <w:r>
        <w:rPr>
          <w:spacing w:val="-109"/>
          <w:w w:val="108"/>
        </w:rPr>
        <w:t> </w:t>
      </w:r>
      <w:r>
        <w:rPr>
          <w:spacing w:val="-104"/>
          <w:w w:val="108"/>
        </w:rPr>
        <w:t> </w:t>
      </w:r>
      <w:r>
        <w:rPr>
          <w:spacing w:val="-109"/>
          <w:w w:val="108"/>
        </w:rPr>
        <w:t> </w:t>
      </w:r>
      <w:r>
        <w:rPr>
          <w:w w:val="108"/>
        </w:rPr>
        <w:t> </w:t>
      </w:r>
    </w:p>
    <w:p>
      <w:pPr>
        <w:pStyle w:val="BodyText"/>
        <w:spacing w:line="245" w:lineRule="exact"/>
        <w:ind w:left="229"/>
      </w:pPr>
      <w:r>
        <w:rPr>
          <w:spacing w:val="-213"/>
          <w:w w:val="105"/>
        </w:rPr>
        <w:t>重重重</w:t>
      </w:r>
      <w:r>
        <w:rPr>
          <w:spacing w:val="-8"/>
          <w:w w:val="105"/>
        </w:rPr>
        <w:t>重</w:t>
      </w:r>
      <w:r>
        <w:rPr>
          <w:spacing w:val="-213"/>
          <w:w w:val="105"/>
        </w:rPr>
        <w:t>大大大</w:t>
      </w:r>
      <w:r>
        <w:rPr>
          <w:spacing w:val="-8"/>
          <w:w w:val="105"/>
        </w:rPr>
        <w:t>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42"/>
        <w:ind w:left="649"/>
      </w:pPr>
      <w:r>
        <w:rPr/>
        <w:br w:type="column"/>
      </w:r>
      <w:r>
        <w:rPr>
          <w:w w:val="105"/>
        </w:rPr>
        <w:t>患该重大疾病； </w:t>
      </w:r>
    </w:p>
    <w:p>
      <w:pPr>
        <w:pStyle w:val="BodyText"/>
        <w:spacing w:before="50"/>
        <w:ind w:left="229"/>
      </w:pPr>
      <w:r>
        <w:rPr>
          <w:w w:val="105"/>
        </w:rPr>
        <w:t>(三)该重大疾病之症状体征符合本附加合同的定义； </w:t>
      </w:r>
    </w:p>
    <w:p>
      <w:pPr>
        <w:pStyle w:val="BodyText"/>
        <w:spacing w:before="50"/>
        <w:ind w:left="229"/>
      </w:pPr>
      <w:r>
        <w:rPr>
          <w:w w:val="105"/>
        </w:rPr>
        <w:t>(四)该重大疾病已在本附加合同中列明。 </w:t>
      </w:r>
    </w:p>
    <w:p>
      <w:pPr>
        <w:pStyle w:val="BodyText"/>
        <w:spacing w:line="285" w:lineRule="auto" w:before="55"/>
        <w:ind w:left="229" w:right="312"/>
      </w:pPr>
      <w:r>
        <w:rPr>
          <w:spacing w:val="-213"/>
          <w:w w:val="105"/>
        </w:rPr>
        <w:t>对对对</w:t>
      </w:r>
      <w:r>
        <w:rPr>
          <w:spacing w:val="-8"/>
          <w:w w:val="105"/>
        </w:rPr>
        <w:t>对</w:t>
      </w:r>
      <w:r>
        <w:rPr>
          <w:spacing w:val="-213"/>
          <w:w w:val="105"/>
        </w:rPr>
        <w:t>于于于</w:t>
      </w:r>
      <w:r>
        <w:rPr>
          <w:spacing w:val="-8"/>
          <w:w w:val="105"/>
        </w:rPr>
        <w:t>于</w:t>
      </w:r>
      <w:r>
        <w:rPr>
          <w:spacing w:val="-213"/>
          <w:w w:val="105"/>
        </w:rPr>
        <w:t>被被被</w:t>
      </w:r>
      <w:r>
        <w:rPr>
          <w:spacing w:val="-8"/>
          <w:w w:val="105"/>
        </w:rPr>
        <w:t>被</w:t>
      </w:r>
      <w:r>
        <w:rPr>
          <w:spacing w:val="-213"/>
          <w:w w:val="105"/>
        </w:rPr>
        <w:t>保保保</w:t>
      </w:r>
      <w:r>
        <w:rPr>
          <w:spacing w:val="-8"/>
          <w:w w:val="105"/>
        </w:rPr>
        <w:t>保</w:t>
      </w:r>
      <w:r>
        <w:rPr>
          <w:spacing w:val="-213"/>
          <w:w w:val="105"/>
        </w:rPr>
        <w:t>险险险</w:t>
      </w:r>
      <w:r>
        <w:rPr>
          <w:spacing w:val="-8"/>
          <w:w w:val="105"/>
        </w:rPr>
        <w:t>险</w:t>
      </w:r>
      <w:r>
        <w:rPr>
          <w:spacing w:val="-213"/>
          <w:w w:val="105"/>
        </w:rPr>
        <w:t>人人人</w:t>
      </w:r>
      <w:r>
        <w:rPr>
          <w:spacing w:val="-8"/>
          <w:w w:val="105"/>
        </w:rPr>
        <w:t>人</w:t>
      </w:r>
      <w:r>
        <w:rPr>
          <w:spacing w:val="-213"/>
          <w:w w:val="105"/>
        </w:rPr>
        <w:t>在在在</w:t>
      </w:r>
      <w:r>
        <w:rPr>
          <w:spacing w:val="-8"/>
          <w:w w:val="105"/>
        </w:rPr>
        <w:t>在</w:t>
      </w:r>
      <w:r>
        <w:rPr>
          <w:spacing w:val="-213"/>
          <w:w w:val="105"/>
        </w:rPr>
        <w:t>本本本</w:t>
      </w:r>
      <w:r>
        <w:rPr>
          <w:spacing w:val="-8"/>
          <w:w w:val="105"/>
        </w:rPr>
        <w:t>本</w:t>
      </w:r>
      <w:r>
        <w:rPr>
          <w:spacing w:val="-213"/>
          <w:w w:val="105"/>
        </w:rPr>
        <w:t>附附附</w:t>
      </w:r>
      <w:r>
        <w:rPr>
          <w:spacing w:val="-10"/>
          <w:w w:val="105"/>
        </w:rPr>
        <w:t>附</w:t>
      </w:r>
      <w:r>
        <w:rPr>
          <w:spacing w:val="-213"/>
          <w:w w:val="105"/>
        </w:rPr>
        <w:t>加加加</w:t>
      </w:r>
      <w:r>
        <w:rPr>
          <w:spacing w:val="-8"/>
          <w:w w:val="105"/>
        </w:rPr>
        <w:t>加</w:t>
      </w:r>
      <w:r>
        <w:rPr>
          <w:spacing w:val="-213"/>
          <w:w w:val="105"/>
        </w:rPr>
        <w:t>合合合</w:t>
      </w:r>
      <w:r>
        <w:rPr>
          <w:spacing w:val="-10"/>
          <w:w w:val="105"/>
        </w:rPr>
        <w:t>合</w:t>
      </w:r>
      <w:r>
        <w:rPr>
          <w:spacing w:val="-213"/>
          <w:w w:val="105"/>
        </w:rPr>
        <w:t>同同同</w:t>
      </w:r>
      <w:r>
        <w:rPr>
          <w:spacing w:val="-8"/>
          <w:w w:val="105"/>
        </w:rPr>
        <w:t>同</w:t>
      </w:r>
      <w:r>
        <w:rPr>
          <w:spacing w:val="-213"/>
          <w:w w:val="105"/>
        </w:rPr>
        <w:t>生生生</w:t>
      </w:r>
      <w:r>
        <w:rPr>
          <w:spacing w:val="-8"/>
          <w:w w:val="105"/>
        </w:rPr>
        <w:t>生</w:t>
      </w:r>
      <w:r>
        <w:rPr>
          <w:spacing w:val="-213"/>
          <w:w w:val="105"/>
        </w:rPr>
        <w:t>效效效</w:t>
      </w:r>
      <w:r>
        <w:rPr>
          <w:spacing w:val="-8"/>
          <w:w w:val="105"/>
        </w:rPr>
        <w:t>效</w:t>
      </w:r>
      <w:r>
        <w:rPr>
          <w:spacing w:val="-213"/>
          <w:w w:val="105"/>
        </w:rPr>
        <w:t>日日日</w:t>
      </w:r>
      <w:r>
        <w:rPr>
          <w:spacing w:val="-8"/>
          <w:w w:val="105"/>
        </w:rPr>
        <w:t>日</w:t>
      </w:r>
      <w:r>
        <w:rPr>
          <w:spacing w:val="-213"/>
          <w:w w:val="105"/>
        </w:rPr>
        <w:t>前前前</w:t>
      </w:r>
      <w:r>
        <w:rPr>
          <w:spacing w:val="-8"/>
          <w:w w:val="105"/>
        </w:rPr>
        <w:t>前</w:t>
      </w:r>
      <w:r>
        <w:rPr>
          <w:spacing w:val="-213"/>
          <w:w w:val="105"/>
        </w:rPr>
        <w:t>出出出</w:t>
      </w:r>
      <w:r>
        <w:rPr>
          <w:spacing w:val="-8"/>
          <w:w w:val="105"/>
        </w:rPr>
        <w:t>出</w:t>
      </w:r>
      <w:r>
        <w:rPr>
          <w:spacing w:val="-213"/>
          <w:w w:val="105"/>
        </w:rPr>
        <w:t>现现现</w:t>
      </w:r>
      <w:r>
        <w:rPr>
          <w:spacing w:val="-8"/>
          <w:w w:val="105"/>
        </w:rPr>
        <w:t>现</w:t>
      </w:r>
      <w:r>
        <w:rPr>
          <w:spacing w:val="-213"/>
          <w:w w:val="105"/>
        </w:rPr>
        <w:t>的的的</w:t>
      </w:r>
      <w:r>
        <w:rPr>
          <w:spacing w:val="-8"/>
          <w:w w:val="105"/>
        </w:rPr>
        <w:t>的</w:t>
      </w:r>
      <w:r>
        <w:rPr>
          <w:spacing w:val="-213"/>
          <w:w w:val="105"/>
        </w:rPr>
        <w:t>本本本</w:t>
      </w:r>
      <w:r>
        <w:rPr>
          <w:spacing w:val="-10"/>
          <w:w w:val="105"/>
        </w:rPr>
        <w:t>本</w:t>
      </w:r>
      <w:r>
        <w:rPr>
          <w:spacing w:val="-213"/>
          <w:w w:val="105"/>
        </w:rPr>
        <w:t>附附附</w:t>
      </w:r>
      <w:r>
        <w:rPr>
          <w:spacing w:val="-8"/>
          <w:w w:val="105"/>
        </w:rPr>
        <w:t>附</w:t>
      </w:r>
      <w:r>
        <w:rPr>
          <w:spacing w:val="-213"/>
          <w:w w:val="105"/>
        </w:rPr>
        <w:t>加加加</w:t>
      </w:r>
      <w:r>
        <w:rPr>
          <w:spacing w:val="-10"/>
          <w:w w:val="105"/>
        </w:rPr>
        <w:t>加</w:t>
      </w:r>
      <w:r>
        <w:rPr>
          <w:spacing w:val="-213"/>
          <w:w w:val="105"/>
        </w:rPr>
        <w:t>合合合</w:t>
      </w:r>
      <w:r>
        <w:rPr>
          <w:spacing w:val="-8"/>
          <w:w w:val="105"/>
        </w:rPr>
        <w:t>合</w:t>
      </w:r>
      <w:r>
        <w:rPr>
          <w:spacing w:val="-213"/>
          <w:w w:val="105"/>
        </w:rPr>
        <w:t>同同同</w:t>
      </w:r>
      <w:r>
        <w:rPr>
          <w:spacing w:val="-8"/>
          <w:w w:val="105"/>
        </w:rPr>
        <w:t>同</w:t>
      </w:r>
      <w:r>
        <w:rPr>
          <w:spacing w:val="-213"/>
          <w:w w:val="105"/>
        </w:rPr>
        <w:t>所所所</w:t>
      </w:r>
      <w:r>
        <w:rPr>
          <w:spacing w:val="-8"/>
          <w:w w:val="105"/>
        </w:rPr>
        <w:t>所</w:t>
      </w:r>
      <w:r>
        <w:rPr>
          <w:spacing w:val="-213"/>
          <w:w w:val="105"/>
        </w:rPr>
        <w:t>列列列</w:t>
      </w:r>
      <w:r>
        <w:rPr>
          <w:spacing w:val="-8"/>
          <w:w w:val="105"/>
        </w:rPr>
        <w:t>列</w:t>
      </w:r>
      <w:r>
        <w:rPr>
          <w:spacing w:val="-213"/>
          <w:w w:val="105"/>
        </w:rPr>
        <w:t>的的的</w:t>
      </w:r>
      <w:r>
        <w:rPr>
          <w:spacing w:val="-8"/>
          <w:w w:val="105"/>
        </w:rPr>
        <w:t>的</w:t>
      </w:r>
      <w:r>
        <w:rPr>
          <w:spacing w:val="-213"/>
          <w:w w:val="105"/>
        </w:rPr>
        <w:t>重重重</w:t>
      </w:r>
      <w:r>
        <w:rPr>
          <w:spacing w:val="-8"/>
          <w:w w:val="105"/>
        </w:rPr>
        <w:t>重</w:t>
      </w:r>
      <w:r>
        <w:rPr>
          <w:spacing w:val="-213"/>
          <w:w w:val="105"/>
        </w:rPr>
        <w:t>大大大</w:t>
      </w:r>
      <w:r>
        <w:rPr>
          <w:spacing w:val="-8"/>
          <w:w w:val="105"/>
        </w:rPr>
        <w:t>大</w:t>
      </w:r>
      <w:r>
        <w:rPr>
          <w:spacing w:val="-213"/>
          <w:w w:val="105"/>
        </w:rPr>
        <w:t>疾疾疾</w:t>
      </w:r>
      <w:r>
        <w:rPr>
          <w:spacing w:val="-8"/>
          <w:w w:val="105"/>
        </w:rPr>
        <w:t>疾</w:t>
      </w:r>
      <w:r>
        <w:rPr>
          <w:spacing w:val="-213"/>
          <w:w w:val="105"/>
        </w:rPr>
        <w:t>病病病</w:t>
      </w:r>
      <w:r>
        <w:rPr>
          <w:spacing w:val="-10"/>
          <w:w w:val="105"/>
        </w:rPr>
        <w:t>病</w:t>
      </w:r>
      <w:r>
        <w:rPr>
          <w:spacing w:val="-213"/>
          <w:w w:val="105"/>
        </w:rPr>
        <w:t>之之之</w:t>
      </w:r>
      <w:r>
        <w:rPr>
          <w:spacing w:val="-8"/>
          <w:w w:val="105"/>
        </w:rPr>
        <w:t>之</w:t>
      </w:r>
      <w:r>
        <w:rPr>
          <w:spacing w:val="-213"/>
          <w:w w:val="105"/>
        </w:rPr>
        <w:t>症症症</w:t>
      </w:r>
      <w:r>
        <w:rPr>
          <w:spacing w:val="-10"/>
          <w:w w:val="105"/>
        </w:rPr>
        <w:t>症</w:t>
      </w:r>
      <w:r>
        <w:rPr>
          <w:spacing w:val="-213"/>
          <w:w w:val="105"/>
        </w:rPr>
        <w:t>状状状</w:t>
      </w:r>
      <w:r>
        <w:rPr>
          <w:spacing w:val="-8"/>
          <w:w w:val="105"/>
        </w:rPr>
        <w:t>状</w:t>
      </w:r>
      <w:r>
        <w:rPr>
          <w:spacing w:val="-213"/>
          <w:w w:val="105"/>
        </w:rPr>
        <w:t>体体体</w:t>
      </w:r>
      <w:r>
        <w:rPr>
          <w:w w:val="105"/>
        </w:rPr>
        <w:t>体</w:t>
      </w:r>
      <w:r>
        <w:rPr>
          <w:spacing w:val="-213"/>
          <w:w w:val="105"/>
        </w:rPr>
        <w:t>征征征</w:t>
      </w:r>
      <w:r>
        <w:rPr>
          <w:spacing w:val="-8"/>
          <w:w w:val="106"/>
        </w:rPr>
        <w:t>征</w:t>
      </w:r>
      <w:r>
        <w:rPr>
          <w:spacing w:val="-213"/>
          <w:w w:val="106"/>
        </w:rPr>
        <w:t>或或或</w:t>
      </w:r>
      <w:r>
        <w:rPr>
          <w:spacing w:val="-8"/>
          <w:w w:val="106"/>
        </w:rPr>
        <w:t>或</w:t>
      </w:r>
      <w:r>
        <w:rPr>
          <w:spacing w:val="-213"/>
          <w:w w:val="106"/>
        </w:rPr>
        <w:t>者者者</w:t>
      </w:r>
      <w:r>
        <w:rPr>
          <w:spacing w:val="-8"/>
          <w:w w:val="106"/>
        </w:rPr>
        <w:t>者</w:t>
      </w:r>
      <w:r>
        <w:rPr>
          <w:spacing w:val="-213"/>
          <w:w w:val="106"/>
        </w:rPr>
        <w:t>所所所</w:t>
      </w:r>
      <w:r>
        <w:rPr>
          <w:spacing w:val="-8"/>
          <w:w w:val="106"/>
        </w:rPr>
        <w:t>所</w:t>
      </w:r>
      <w:r>
        <w:rPr>
          <w:spacing w:val="-213"/>
          <w:w w:val="106"/>
        </w:rPr>
        <w:t>患患患</w:t>
      </w:r>
      <w:r>
        <w:rPr>
          <w:spacing w:val="-8"/>
          <w:w w:val="106"/>
        </w:rPr>
        <w:t>患</w:t>
      </w:r>
      <w:r>
        <w:rPr>
          <w:spacing w:val="-213"/>
          <w:w w:val="106"/>
        </w:rPr>
        <w:t>的的的</w:t>
      </w:r>
      <w:r>
        <w:rPr>
          <w:spacing w:val="-8"/>
          <w:w w:val="106"/>
        </w:rPr>
        <w:t>的</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10"/>
          <w:w w:val="106"/>
        </w:rPr>
        <w:t>疾</w:t>
      </w:r>
      <w:r>
        <w:rPr>
          <w:spacing w:val="-213"/>
          <w:w w:val="106"/>
        </w:rPr>
        <w:t>病病病</w:t>
      </w:r>
      <w:r>
        <w:rPr>
          <w:spacing w:val="-8"/>
          <w:w w:val="106"/>
        </w:rPr>
        <w:t>病</w:t>
      </w:r>
      <w:r>
        <w:rPr>
          <w:spacing w:val="-213"/>
          <w:w w:val="106"/>
        </w:rPr>
        <w:t>，，，</w:t>
      </w:r>
      <w:r>
        <w:rPr>
          <w:spacing w:val="-10"/>
          <w:w w:val="106"/>
        </w:rPr>
        <w:t>，</w:t>
      </w:r>
      <w:r>
        <w:rPr>
          <w:spacing w:val="-213"/>
          <w:w w:val="106"/>
        </w:rPr>
        <w:t>我我我</w:t>
      </w:r>
      <w:r>
        <w:rPr>
          <w:spacing w:val="-8"/>
          <w:w w:val="106"/>
        </w:rPr>
        <w:t>我</w:t>
      </w:r>
      <w:r>
        <w:rPr>
          <w:spacing w:val="-213"/>
          <w:w w:val="106"/>
        </w:rPr>
        <w:t>公公公</w:t>
      </w:r>
      <w:r>
        <w:rPr>
          <w:spacing w:val="-8"/>
          <w:w w:val="106"/>
        </w:rPr>
        <w:t>公</w:t>
      </w:r>
      <w:r>
        <w:rPr>
          <w:spacing w:val="-213"/>
          <w:w w:val="106"/>
        </w:rPr>
        <w:t>司司司</w:t>
      </w:r>
      <w:r>
        <w:rPr>
          <w:spacing w:val="-8"/>
          <w:w w:val="106"/>
        </w:rPr>
        <w:t>司</w:t>
      </w:r>
      <w:r>
        <w:rPr>
          <w:spacing w:val="-213"/>
          <w:w w:val="106"/>
        </w:rPr>
        <w:t>不不不</w:t>
      </w:r>
      <w:r>
        <w:rPr>
          <w:spacing w:val="-8"/>
          <w:w w:val="106"/>
        </w:rPr>
        <w:t>不</w:t>
      </w:r>
      <w:r>
        <w:rPr>
          <w:spacing w:val="-213"/>
          <w:w w:val="106"/>
        </w:rPr>
        <w:t>承承承</w:t>
      </w:r>
      <w:r>
        <w:rPr>
          <w:spacing w:val="-8"/>
          <w:w w:val="106"/>
        </w:rPr>
        <w:t>承</w:t>
      </w:r>
      <w:r>
        <w:rPr>
          <w:spacing w:val="-213"/>
          <w:w w:val="106"/>
        </w:rPr>
        <w:t>担担担</w:t>
      </w:r>
      <w:r>
        <w:rPr>
          <w:spacing w:val="-8"/>
          <w:w w:val="106"/>
        </w:rPr>
        <w:t>担</w:t>
      </w:r>
      <w:r>
        <w:rPr>
          <w:spacing w:val="-213"/>
          <w:w w:val="106"/>
        </w:rPr>
        <w:t>给给给</w:t>
      </w:r>
      <w:r>
        <w:rPr>
          <w:spacing w:val="-8"/>
          <w:w w:val="106"/>
        </w:rPr>
        <w:t>给</w:t>
      </w:r>
      <w:r>
        <w:rPr>
          <w:spacing w:val="-213"/>
          <w:w w:val="106"/>
        </w:rPr>
        <w:t>付付付</w:t>
      </w:r>
      <w:r>
        <w:rPr>
          <w:spacing w:val="-8"/>
          <w:w w:val="106"/>
        </w:rPr>
        <w:t>付</w:t>
      </w:r>
      <w:r>
        <w:rPr>
          <w:spacing w:val="-213"/>
          <w:w w:val="106"/>
        </w:rPr>
        <w:t>保保保</w:t>
      </w:r>
      <w:r>
        <w:rPr>
          <w:spacing w:val="-10"/>
          <w:w w:val="106"/>
        </w:rPr>
        <w:t>保</w:t>
      </w:r>
      <w:r>
        <w:rPr>
          <w:spacing w:val="-213"/>
          <w:w w:val="106"/>
        </w:rPr>
        <w:t>险险险</w:t>
      </w:r>
      <w:r>
        <w:rPr>
          <w:spacing w:val="-8"/>
          <w:w w:val="106"/>
        </w:rPr>
        <w:t>险</w:t>
      </w:r>
      <w:r>
        <w:rPr>
          <w:spacing w:val="-213"/>
          <w:w w:val="106"/>
        </w:rPr>
        <w:t>金金金</w:t>
      </w:r>
      <w:r>
        <w:rPr>
          <w:spacing w:val="-10"/>
          <w:w w:val="106"/>
        </w:rPr>
        <w:t>金</w:t>
      </w:r>
      <w:r>
        <w:rPr>
          <w:spacing w:val="-213"/>
          <w:w w:val="106"/>
        </w:rPr>
        <w:t>责责责</w:t>
      </w:r>
      <w:r>
        <w:rPr>
          <w:spacing w:val="-8"/>
          <w:w w:val="106"/>
        </w:rPr>
        <w:t>责</w:t>
      </w:r>
      <w:r>
        <w:rPr>
          <w:spacing w:val="-213"/>
          <w:w w:val="106"/>
        </w:rPr>
        <w:t>任任任</w:t>
      </w:r>
      <w:r>
        <w:rPr>
          <w:spacing w:val="-8"/>
          <w:w w:val="106"/>
        </w:rPr>
        <w:t>任</w:t>
      </w:r>
      <w:r>
        <w:rPr>
          <w:spacing w:val="-213"/>
          <w:w w:val="106"/>
        </w:rPr>
        <w:t>。。。</w:t>
      </w:r>
      <w:r>
        <w:rPr>
          <w:w w:val="106"/>
        </w:rPr>
        <w:t>。</w:t>
      </w:r>
    </w:p>
    <w:p>
      <w:pPr>
        <w:pStyle w:val="BodyText"/>
        <w:spacing w:before="4"/>
        <w:rPr>
          <w:sz w:val="18"/>
        </w:rPr>
      </w:pPr>
    </w:p>
    <w:p>
      <w:pPr>
        <w:pStyle w:val="BodyText"/>
        <w:ind w:left="229"/>
      </w:pPr>
      <w:r>
        <w:rPr>
          <w:spacing w:val="-8"/>
          <w:w w:val="105"/>
        </w:rPr>
        <w:t>指被保险人发生符合以下疾病定义所述条件的疾病</w:t>
      </w:r>
      <w:r>
        <w:rPr>
          <w:spacing w:val="-3"/>
          <w:w w:val="105"/>
        </w:rPr>
        <w:t>（</w:t>
      </w:r>
      <w:r>
        <w:rPr>
          <w:spacing w:val="-5"/>
          <w:w w:val="105"/>
        </w:rPr>
        <w:t>共 </w:t>
      </w:r>
      <w:r>
        <w:rPr>
          <w:w w:val="105"/>
        </w:rPr>
        <w:t>45</w:t>
      </w:r>
      <w:r>
        <w:rPr>
          <w:spacing w:val="-7"/>
          <w:w w:val="105"/>
        </w:rPr>
        <w:t> 种</w:t>
      </w:r>
      <w:r>
        <w:rPr>
          <w:spacing w:val="-104"/>
          <w:w w:val="105"/>
        </w:rPr>
        <w:t>）</w:t>
      </w:r>
      <w:r>
        <w:rPr>
          <w:spacing w:val="-28"/>
          <w:w w:val="105"/>
        </w:rPr>
        <w:t>，应当由</w:t>
      </w: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187"/>
          <w:w w:val="105"/>
        </w:rPr>
        <w:t>生生生生</w:t>
      </w:r>
      <w:r>
        <w:rPr>
          <w:w w:val="105"/>
        </w:rPr>
        <w:t>（见</w:t>
      </w:r>
    </w:p>
    <w:p>
      <w:pPr>
        <w:pStyle w:val="BodyText"/>
        <w:spacing w:before="45"/>
        <w:ind w:left="229"/>
      </w:pPr>
      <w:r>
        <w:rPr>
          <w:w w:val="105"/>
        </w:rPr>
        <w:t>9.15）明确诊断。 </w:t>
      </w:r>
    </w:p>
    <w:p>
      <w:pPr>
        <w:pStyle w:val="BodyText"/>
        <w:spacing w:line="285" w:lineRule="auto" w:before="50"/>
        <w:ind w:left="229" w:right="237"/>
      </w:pPr>
      <w:r>
        <w:rPr>
          <w:spacing w:val="-24"/>
          <w:w w:val="105"/>
        </w:rPr>
        <w:t>第 </w:t>
      </w:r>
      <w:r>
        <w:rPr>
          <w:w w:val="105"/>
        </w:rPr>
        <w:t>1</w:t>
      </w:r>
      <w:r>
        <w:rPr>
          <w:spacing w:val="-26"/>
          <w:w w:val="105"/>
        </w:rPr>
        <w:t> 至第 </w:t>
      </w:r>
      <w:r>
        <w:rPr>
          <w:w w:val="105"/>
        </w:rPr>
        <w:t>25</w:t>
      </w:r>
      <w:r>
        <w:rPr>
          <w:spacing w:val="-8"/>
          <w:w w:val="105"/>
        </w:rPr>
        <w:t> 项为中国保险行业协会与中国医师协会共同制定的重大疾病保险的疾</w:t>
      </w:r>
      <w:r>
        <w:rPr>
          <w:spacing w:val="-13"/>
          <w:w w:val="105"/>
        </w:rPr>
        <w:t>病定义，第 </w:t>
      </w:r>
      <w:r>
        <w:rPr>
          <w:w w:val="105"/>
        </w:rPr>
        <w:t>26</w:t>
      </w:r>
      <w:r>
        <w:rPr>
          <w:spacing w:val="-26"/>
          <w:w w:val="105"/>
        </w:rPr>
        <w:t> 至第 </w:t>
      </w:r>
      <w:r>
        <w:rPr>
          <w:w w:val="105"/>
        </w:rPr>
        <w:t>45</w:t>
      </w:r>
      <w:r>
        <w:rPr>
          <w:spacing w:val="-8"/>
          <w:w w:val="105"/>
        </w:rPr>
        <w:t> 项为我公司增加的疾病种类并自行制定的疾病定义。</w:t>
      </w:r>
    </w:p>
    <w:p>
      <w:pPr>
        <w:spacing w:after="0" w:line="285" w:lineRule="auto"/>
        <w:sectPr>
          <w:type w:val="continuous"/>
          <w:pgSz w:w="11900" w:h="16840"/>
          <w:pgMar w:top="60" w:bottom="280" w:left="560" w:right="560"/>
          <w:cols w:num="3" w:equalWidth="0">
            <w:col w:w="660" w:space="243"/>
            <w:col w:w="1185" w:space="763"/>
            <w:col w:w="7929"/>
          </w:cols>
        </w:sectPr>
      </w:pPr>
    </w:p>
    <w:p>
      <w:pPr>
        <w:pStyle w:val="BodyText"/>
        <w:tabs>
          <w:tab w:pos="3500" w:val="left" w:leader="none"/>
        </w:tabs>
        <w:spacing w:line="209" w:lineRule="exact" w:before="12"/>
        <w:ind w:left="1551"/>
      </w:pPr>
      <w:r>
        <w:rPr>
          <w:w w:val="105"/>
        </w:rPr>
        <w:t> </w:t>
      </w:r>
      <w:r>
        <w:rPr/>
        <w:tab/>
      </w:r>
      <w:r>
        <w:rPr>
          <w:w w:val="105"/>
        </w:rPr>
        <w:t> </w:t>
      </w:r>
    </w:p>
    <w:p>
      <w:pPr>
        <w:pStyle w:val="BodyText"/>
        <w:tabs>
          <w:tab w:pos="3080" w:val="left" w:leader="none"/>
        </w:tabs>
        <w:spacing w:line="278" w:lineRule="exact"/>
        <w:ind w:left="1131"/>
      </w:pPr>
      <w:r>
        <w:rPr>
          <w:rFonts w:ascii="Microsoft JhengHei" w:eastAsia="Microsoft JhengHei" w:hint="eastAsia"/>
          <w:b/>
          <w:spacing w:val="-3"/>
          <w:position w:val="2"/>
          <w:sz w:val="19"/>
        </w:rPr>
        <w:t>1</w:t>
      </w:r>
      <w:r>
        <w:rPr>
          <w:rFonts w:ascii="Microsoft JhengHei" w:eastAsia="Microsoft JhengHei" w:hint="eastAsia"/>
          <w:b/>
          <w:spacing w:val="-3"/>
          <w:w w:val="105"/>
          <w:position w:val="2"/>
          <w:sz w:val="19"/>
        </w:rPr>
        <w:t>、恶</w:t>
      </w:r>
      <w:r>
        <w:rPr>
          <w:rFonts w:ascii="Microsoft JhengHei" w:eastAsia="Microsoft JhengHei" w:hint="eastAsia"/>
          <w:b/>
          <w:spacing w:val="-5"/>
          <w:w w:val="105"/>
          <w:position w:val="2"/>
          <w:sz w:val="19"/>
        </w:rPr>
        <w:t>性</w:t>
      </w:r>
      <w:r>
        <w:rPr>
          <w:rFonts w:ascii="Microsoft JhengHei" w:eastAsia="Microsoft JhengHei" w:hint="eastAsia"/>
          <w:b/>
          <w:spacing w:val="-3"/>
          <w:w w:val="105"/>
          <w:position w:val="2"/>
          <w:sz w:val="19"/>
        </w:rPr>
        <w:t>肿瘤</w:t>
        <w:tab/>
      </w:r>
      <w:r>
        <w:rPr>
          <w:spacing w:val="-1"/>
          <w:w w:val="105"/>
        </w:rPr>
        <w:t>指恶</w:t>
      </w:r>
      <w:r>
        <w:rPr>
          <w:spacing w:val="-3"/>
          <w:w w:val="105"/>
        </w:rPr>
        <w:t>性</w:t>
      </w:r>
      <w:r>
        <w:rPr>
          <w:spacing w:val="-1"/>
          <w:w w:val="105"/>
        </w:rPr>
        <w:t>细</w:t>
      </w:r>
      <w:r>
        <w:rPr>
          <w:spacing w:val="-3"/>
          <w:w w:val="105"/>
        </w:rPr>
        <w:t>胞</w:t>
      </w:r>
      <w:r>
        <w:rPr>
          <w:spacing w:val="-1"/>
          <w:w w:val="105"/>
        </w:rPr>
        <w:t>不</w:t>
      </w:r>
      <w:r>
        <w:rPr>
          <w:spacing w:val="-3"/>
          <w:w w:val="105"/>
        </w:rPr>
        <w:t>受</w:t>
      </w:r>
      <w:r>
        <w:rPr>
          <w:spacing w:val="-1"/>
          <w:w w:val="105"/>
        </w:rPr>
        <w:t>控</w:t>
      </w:r>
      <w:r>
        <w:rPr>
          <w:spacing w:val="-3"/>
          <w:w w:val="105"/>
        </w:rPr>
        <w:t>制</w:t>
      </w:r>
      <w:r>
        <w:rPr>
          <w:spacing w:val="-1"/>
          <w:w w:val="105"/>
        </w:rPr>
        <w:t>的</w:t>
      </w:r>
      <w:r>
        <w:rPr>
          <w:spacing w:val="-3"/>
          <w:w w:val="105"/>
        </w:rPr>
        <w:t>进</w:t>
      </w:r>
      <w:r>
        <w:rPr>
          <w:spacing w:val="-1"/>
          <w:w w:val="105"/>
        </w:rPr>
        <w:t>行性</w:t>
      </w:r>
      <w:r>
        <w:rPr>
          <w:spacing w:val="-3"/>
          <w:w w:val="105"/>
        </w:rPr>
        <w:t>增</w:t>
      </w:r>
      <w:r>
        <w:rPr>
          <w:spacing w:val="-1"/>
          <w:w w:val="105"/>
        </w:rPr>
        <w:t>长</w:t>
      </w:r>
      <w:r>
        <w:rPr>
          <w:spacing w:val="-3"/>
          <w:w w:val="105"/>
        </w:rPr>
        <w:t>和</w:t>
      </w:r>
      <w:r>
        <w:rPr>
          <w:spacing w:val="-1"/>
          <w:w w:val="105"/>
        </w:rPr>
        <w:t>扩</w:t>
      </w:r>
      <w:r>
        <w:rPr>
          <w:spacing w:val="-3"/>
          <w:w w:val="105"/>
        </w:rPr>
        <w:t>散</w:t>
      </w:r>
      <w:r>
        <w:rPr>
          <w:spacing w:val="-97"/>
          <w:w w:val="105"/>
        </w:rPr>
        <w:t>，</w:t>
      </w:r>
      <w:r>
        <w:rPr>
          <w:spacing w:val="-1"/>
          <w:w w:val="105"/>
        </w:rPr>
        <w:t>浸</w:t>
      </w:r>
      <w:r>
        <w:rPr>
          <w:spacing w:val="-3"/>
          <w:w w:val="105"/>
        </w:rPr>
        <w:t>润</w:t>
      </w:r>
      <w:r>
        <w:rPr>
          <w:spacing w:val="-1"/>
          <w:w w:val="105"/>
        </w:rPr>
        <w:t>和</w:t>
      </w:r>
      <w:r>
        <w:rPr>
          <w:spacing w:val="-3"/>
          <w:w w:val="105"/>
        </w:rPr>
        <w:t>破</w:t>
      </w:r>
      <w:r>
        <w:rPr>
          <w:spacing w:val="-1"/>
          <w:w w:val="105"/>
        </w:rPr>
        <w:t>坏周</w:t>
      </w:r>
      <w:r>
        <w:rPr>
          <w:spacing w:val="-3"/>
          <w:w w:val="105"/>
        </w:rPr>
        <w:t>围</w:t>
      </w:r>
      <w:r>
        <w:rPr>
          <w:spacing w:val="-1"/>
          <w:w w:val="105"/>
        </w:rPr>
        <w:t>正</w:t>
      </w:r>
      <w:r>
        <w:rPr>
          <w:spacing w:val="-3"/>
          <w:w w:val="105"/>
        </w:rPr>
        <w:t>常</w:t>
      </w:r>
      <w:r>
        <w:rPr>
          <w:spacing w:val="-1"/>
          <w:w w:val="105"/>
        </w:rPr>
        <w:t>组</w:t>
      </w:r>
      <w:r>
        <w:rPr>
          <w:spacing w:val="-3"/>
          <w:w w:val="105"/>
        </w:rPr>
        <w:t>织</w:t>
      </w:r>
      <w:r>
        <w:rPr>
          <w:spacing w:val="-97"/>
          <w:w w:val="105"/>
        </w:rPr>
        <w:t>，</w:t>
      </w:r>
      <w:r>
        <w:rPr>
          <w:spacing w:val="-1"/>
          <w:w w:val="105"/>
        </w:rPr>
        <w:t>可</w:t>
      </w:r>
      <w:r>
        <w:rPr>
          <w:spacing w:val="-3"/>
          <w:w w:val="105"/>
        </w:rPr>
        <w:t>以</w:t>
      </w:r>
      <w:r>
        <w:rPr>
          <w:spacing w:val="-1"/>
          <w:w w:val="105"/>
        </w:rPr>
        <w:t>经</w:t>
      </w:r>
      <w:r>
        <w:rPr>
          <w:spacing w:val="-3"/>
          <w:w w:val="105"/>
        </w:rPr>
        <w:t>血</w:t>
      </w:r>
      <w:r>
        <w:rPr>
          <w:spacing w:val="-1"/>
          <w:w w:val="105"/>
        </w:rPr>
        <w:t>管</w:t>
      </w:r>
      <w:r>
        <w:rPr>
          <w:w w:val="105"/>
        </w:rPr>
        <w:t>、</w:t>
      </w:r>
    </w:p>
    <w:p>
      <w:pPr>
        <w:spacing w:after="0" w:line="278" w:lineRule="exact"/>
        <w:sectPr>
          <w:type w:val="continuous"/>
          <w:pgSz w:w="11900" w:h="16840"/>
          <w:pgMar w:top="60" w:bottom="280" w:left="560" w:right="5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2"/>
        <w:gridCol w:w="7713"/>
      </w:tblGrid>
      <w:tr>
        <w:trPr>
          <w:trHeight w:val="880" w:hRule="atLeast"/>
        </w:trPr>
        <w:tc>
          <w:tcPr>
            <w:tcW w:w="558" w:type="dxa"/>
          </w:tcPr>
          <w:p>
            <w:pPr>
              <w:pStyle w:val="TableParagraph"/>
              <w:rPr>
                <w:rFonts w:ascii="Times New Roman"/>
                <w:sz w:val="20"/>
              </w:rPr>
            </w:pPr>
          </w:p>
        </w:tc>
        <w:tc>
          <w:tcPr>
            <w:tcW w:w="2262" w:type="dxa"/>
          </w:tcPr>
          <w:p>
            <w:pPr>
              <w:pStyle w:val="TableParagraph"/>
              <w:spacing w:line="199"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194" w:lineRule="exact"/>
              <w:ind w:left="81"/>
              <w:rPr>
                <w:sz w:val="20"/>
              </w:rPr>
            </w:pPr>
            <w:r>
              <w:rPr>
                <w:w w:val="105"/>
                <w:sz w:val="20"/>
              </w:rPr>
              <w:t>淋巴管和体腔扩散转移到身体其它部位的疾病。经病理学检查结果明确诊断，临床</w:t>
            </w:r>
          </w:p>
          <w:p>
            <w:pPr>
              <w:pStyle w:val="TableParagraph"/>
              <w:spacing w:line="285" w:lineRule="auto" w:before="50"/>
              <w:ind w:left="81" w:right="148"/>
              <w:rPr>
                <w:sz w:val="20"/>
              </w:rPr>
            </w:pPr>
            <w:r>
              <w:rPr>
                <w:spacing w:val="-7"/>
                <w:w w:val="105"/>
                <w:sz w:val="20"/>
              </w:rPr>
              <w:t>诊断属于世界卫生组织《疾病和有关健康问题的国际统计分类》</w:t>
            </w:r>
            <w:r>
              <w:rPr>
                <w:spacing w:val="-5"/>
                <w:w w:val="105"/>
                <w:sz w:val="20"/>
              </w:rPr>
              <w:t>（ICD-10）</w:t>
            </w:r>
            <w:r>
              <w:rPr>
                <w:spacing w:val="-2"/>
                <w:w w:val="105"/>
                <w:sz w:val="20"/>
              </w:rPr>
              <w:t>的恶性</w:t>
            </w:r>
            <w:r>
              <w:rPr>
                <w:spacing w:val="-3"/>
                <w:w w:val="105"/>
                <w:sz w:val="20"/>
              </w:rPr>
              <w:t>肿瘤范畴。下列疾病不在保障范围内： </w:t>
            </w:r>
            <w:r>
              <w:rPr>
                <w:w w:val="105"/>
                <w:sz w:val="20"/>
              </w:rPr>
              <w:t>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（1）原位癌；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（2）相当于Binet分期方案A期程度的慢性淋巴细胞白血病；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（3）相当于Ann Arbor分期方案I期程度的何杰金氏病；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（4）皮肤癌（不包括恶性黑色素瘤及已发生转移的皮肤癌）；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（5）TNM分期为T1N0M0期或更轻分期的前列腺癌；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（6）感染艾滋病病毒或患艾滋病期间所患恶性肿瘤。  </w:t>
            </w:r>
          </w:p>
        </w:tc>
      </w:tr>
      <w:tr>
        <w:trPr>
          <w:trHeight w:val="268" w:hRule="atLeast"/>
        </w:trPr>
        <w:tc>
          <w:tcPr>
            <w:tcW w:w="558" w:type="dxa"/>
          </w:tcPr>
          <w:p>
            <w:pPr>
              <w:pStyle w:val="TableParagraph"/>
              <w:spacing w:line="24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49" w:lineRule="exact"/>
              <w:ind w:right="525"/>
              <w:jc w:val="center"/>
              <w:rPr>
                <w:sz w:val="20"/>
              </w:rPr>
            </w:pPr>
            <w:r>
              <w:rPr>
                <w:w w:val="105"/>
                <w:sz w:val="20"/>
              </w:rPr>
              <w:t> </w:t>
            </w:r>
          </w:p>
        </w:tc>
        <w:tc>
          <w:tcPr>
            <w:tcW w:w="7713" w:type="dxa"/>
          </w:tcPr>
          <w:p>
            <w:pPr>
              <w:pStyle w:val="TableParagraph"/>
              <w:spacing w:line="249" w:lineRule="exact"/>
              <w:ind w:left="501"/>
              <w:rPr>
                <w:sz w:val="20"/>
              </w:rPr>
            </w:pPr>
            <w:r>
              <w:rPr>
                <w:w w:val="105"/>
                <w:sz w:val="20"/>
              </w:rPr>
              <w:t> </w:t>
            </w:r>
          </w:p>
        </w:tc>
      </w:tr>
      <w:tr>
        <w:trPr>
          <w:trHeight w:val="272" w:hRule="atLeast"/>
        </w:trPr>
        <w:tc>
          <w:tcPr>
            <w:tcW w:w="558" w:type="dxa"/>
          </w:tcPr>
          <w:p>
            <w:pPr>
              <w:pStyle w:val="TableParagraph"/>
              <w:spacing w:line="21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9" w:lineRule="exact"/>
              <w:ind w:left="394"/>
              <w:rPr>
                <w:rFonts w:ascii="Microsoft JhengHei" w:eastAsia="Microsoft JhengHei" w:hint="eastAsia"/>
                <w:b/>
                <w:sz w:val="19"/>
              </w:rPr>
            </w:pPr>
            <w:r>
              <w:rPr>
                <w:rFonts w:ascii="Microsoft JhengHei" w:eastAsia="Microsoft JhengHei" w:hint="eastAsia"/>
                <w:b/>
                <w:w w:val="110"/>
                <w:sz w:val="19"/>
              </w:rPr>
              <w:t>2、急性心肌梗塞</w:t>
            </w:r>
          </w:p>
        </w:tc>
        <w:tc>
          <w:tcPr>
            <w:tcW w:w="7713" w:type="dxa"/>
          </w:tcPr>
          <w:p>
            <w:pPr>
              <w:pStyle w:val="TableParagraph"/>
              <w:spacing w:line="208" w:lineRule="exact"/>
              <w:ind w:left="81"/>
              <w:rPr>
                <w:sz w:val="20"/>
              </w:rPr>
            </w:pPr>
            <w:r>
              <w:rPr>
                <w:w w:val="105"/>
                <w:sz w:val="20"/>
              </w:rPr>
              <w:t>指因冠状动脉阻塞导致的相应区域供血不足造成部分心肌坏死。须满足下列至少三</w:t>
            </w:r>
          </w:p>
        </w:tc>
      </w:tr>
      <w:tr>
        <w:trPr>
          <w:trHeight w:val="311" w:hRule="atLeast"/>
        </w:trPr>
        <w:tc>
          <w:tcPr>
            <w:tcW w:w="558" w:type="dxa"/>
          </w:tcPr>
          <w:p>
            <w:pPr>
              <w:pStyle w:val="TableParagraph"/>
              <w:rPr>
                <w:rFonts w:ascii="Times New Roman"/>
                <w:sz w:val="20"/>
              </w:rPr>
            </w:pPr>
          </w:p>
        </w:tc>
        <w:tc>
          <w:tcPr>
            <w:tcW w:w="2262" w:type="dxa"/>
          </w:tcPr>
          <w:p>
            <w:pPr>
              <w:pStyle w:val="TableParagraph"/>
              <w:spacing w:line="25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248" w:lineRule="exact"/>
              <w:ind w:left="81"/>
              <w:rPr>
                <w:sz w:val="20"/>
              </w:rPr>
            </w:pPr>
            <w:r>
              <w:rPr>
                <w:w w:val="105"/>
                <w:sz w:val="20"/>
              </w:rPr>
              <w:t>项条件：  </w:t>
            </w:r>
          </w:p>
        </w:tc>
      </w:tr>
      <w:tr>
        <w:trPr>
          <w:trHeight w:val="310"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8" w:lineRule="exact"/>
              <w:ind w:left="8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09"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9" w:lineRule="exact"/>
              <w:ind w:left="8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71" w:hRule="atLeast"/>
        </w:trPr>
        <w:tc>
          <w:tcPr>
            <w:tcW w:w="558" w:type="dxa"/>
          </w:tcPr>
          <w:p>
            <w:pPr>
              <w:pStyle w:val="TableParagraph"/>
              <w:spacing w:line="25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51" w:lineRule="exact"/>
              <w:ind w:left="394"/>
              <w:rPr>
                <w:rFonts w:ascii="Microsoft JhengHei"/>
                <w:b/>
                <w:sz w:val="19"/>
              </w:rPr>
            </w:pPr>
            <w:r>
              <w:rPr>
                <w:rFonts w:ascii="Microsoft JhengHei"/>
                <w:b/>
                <w:w w:val="111"/>
                <w:sz w:val="19"/>
              </w:rPr>
              <w:t> </w:t>
            </w:r>
          </w:p>
        </w:tc>
        <w:tc>
          <w:tcPr>
            <w:tcW w:w="7713" w:type="dxa"/>
          </w:tcPr>
          <w:p>
            <w:pPr>
              <w:pStyle w:val="TableParagraph"/>
              <w:spacing w:line="251" w:lineRule="exact"/>
              <w:ind w:left="81"/>
              <w:rPr>
                <w:sz w:val="20"/>
              </w:rPr>
            </w:pPr>
            <w:r>
              <w:rPr>
                <w:w w:val="105"/>
                <w:sz w:val="20"/>
              </w:rPr>
              <w:t> </w:t>
            </w:r>
          </w:p>
        </w:tc>
      </w:tr>
      <w:tr>
        <w:trPr>
          <w:trHeight w:val="272" w:hRule="atLeast"/>
        </w:trPr>
        <w:tc>
          <w:tcPr>
            <w:tcW w:w="558" w:type="dxa"/>
          </w:tcPr>
          <w:p>
            <w:pPr>
              <w:pStyle w:val="TableParagraph"/>
              <w:spacing w:line="21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14" w:lineRule="exact"/>
              <w:ind w:left="394"/>
              <w:rPr>
                <w:rFonts w:ascii="Microsoft JhengHei" w:eastAsia="Microsoft JhengHei" w:hint="eastAsia"/>
                <w:b/>
                <w:sz w:val="19"/>
              </w:rPr>
            </w:pPr>
            <w:r>
              <w:rPr>
                <w:rFonts w:ascii="Microsoft JhengHei" w:eastAsia="Microsoft JhengHei" w:hint="eastAsia"/>
                <w:b/>
                <w:w w:val="110"/>
                <w:sz w:val="19"/>
              </w:rPr>
              <w:t>3、脑中风后遗症</w:t>
            </w:r>
          </w:p>
        </w:tc>
        <w:tc>
          <w:tcPr>
            <w:tcW w:w="7713" w:type="dxa"/>
          </w:tcPr>
          <w:p>
            <w:pPr>
              <w:pStyle w:val="TableParagraph"/>
              <w:spacing w:line="208" w:lineRule="exact"/>
              <w:ind w:left="8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62" w:type="dxa"/>
          </w:tcPr>
          <w:p>
            <w:pPr>
              <w:pStyle w:val="TableParagraph"/>
              <w:spacing w:line="25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248" w:lineRule="exact"/>
              <w:ind w:left="81"/>
              <w:rPr>
                <w:sz w:val="20"/>
              </w:rPr>
            </w:pPr>
            <w:r>
              <w:rPr>
                <w:w w:val="105"/>
                <w:sz w:val="20"/>
              </w:rPr>
              <w:t>障碍。神经系统永久性的功能障碍，指疾病确诊180天后，仍遗留下列一种或一种</w:t>
            </w:r>
          </w:p>
        </w:tc>
      </w:tr>
      <w:tr>
        <w:trPr>
          <w:trHeight w:val="310"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8" w:lineRule="exact"/>
              <w:ind w:left="81"/>
              <w:rPr>
                <w:sz w:val="20"/>
              </w:rPr>
            </w:pPr>
            <w:r>
              <w:rPr>
                <w:w w:val="105"/>
                <w:sz w:val="20"/>
              </w:rPr>
              <w:t>以上障碍：  </w:t>
            </w:r>
          </w:p>
        </w:tc>
      </w:tr>
      <w:tr>
        <w:trPr>
          <w:trHeight w:val="313"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4" w:lineRule="exact"/>
              <w:ind w:left="8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9.16)； </w:t>
            </w:r>
            <w:r>
              <w:rPr>
                <w:w w:val="105"/>
                <w:sz w:val="20"/>
              </w:rPr>
              <w:t>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3" w:lineRule="exact"/>
              <w:ind w:left="8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2"/>
                <w:w w:val="105"/>
                <w:sz w:val="20"/>
              </w:rPr>
              <w:t>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见9.17）；</w:t>
            </w:r>
            <w:r>
              <w:rPr>
                <w:spacing w:val="-3"/>
                <w:w w:val="105"/>
                <w:sz w:val="20"/>
              </w:rPr>
              <w:t> </w:t>
            </w:r>
            <w:r>
              <w:rPr>
                <w:w w:val="105"/>
                <w:sz w:val="20"/>
              </w:rPr>
              <w:t> </w:t>
            </w:r>
          </w:p>
        </w:tc>
      </w:tr>
      <w:tr>
        <w:trPr>
          <w:trHeight w:val="313"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3" w:lineRule="exact"/>
              <w:ind w:left="8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9.18）</w:t>
            </w:r>
            <w:r>
              <w:rPr>
                <w:w w:val="105"/>
                <w:sz w:val="20"/>
              </w:rPr>
              <w:t>中</w:t>
            </w:r>
          </w:p>
        </w:tc>
      </w:tr>
      <w:tr>
        <w:trPr>
          <w:trHeight w:val="309"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7" w:lineRule="exact"/>
              <w:ind w:left="81"/>
              <w:rPr>
                <w:sz w:val="20"/>
              </w:rPr>
            </w:pPr>
            <w:r>
              <w:rPr>
                <w:w w:val="105"/>
                <w:sz w:val="20"/>
              </w:rPr>
              <w:t>的三项或三项以上。 </w:t>
            </w:r>
          </w:p>
        </w:tc>
      </w:tr>
      <w:tr>
        <w:trPr>
          <w:trHeight w:val="268" w:hRule="atLeast"/>
        </w:trPr>
        <w:tc>
          <w:tcPr>
            <w:tcW w:w="558" w:type="dxa"/>
          </w:tcPr>
          <w:p>
            <w:pPr>
              <w:pStyle w:val="TableParagraph"/>
              <w:spacing w:line="24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rPr>
                <w:rFonts w:ascii="Times New Roman"/>
                <w:sz w:val="18"/>
              </w:rPr>
            </w:pPr>
          </w:p>
        </w:tc>
        <w:tc>
          <w:tcPr>
            <w:tcW w:w="7713" w:type="dxa"/>
          </w:tcPr>
          <w:p>
            <w:pPr>
              <w:pStyle w:val="TableParagraph"/>
              <w:spacing w:line="249" w:lineRule="exact"/>
              <w:ind w:left="81"/>
              <w:rPr>
                <w:sz w:val="20"/>
              </w:rPr>
            </w:pPr>
            <w:r>
              <w:rPr>
                <w:w w:val="105"/>
                <w:sz w:val="20"/>
              </w:rPr>
              <w:t> </w:t>
            </w:r>
          </w:p>
        </w:tc>
      </w:tr>
      <w:tr>
        <w:trPr>
          <w:trHeight w:val="268" w:hRule="atLeast"/>
        </w:trPr>
        <w:tc>
          <w:tcPr>
            <w:tcW w:w="558" w:type="dxa"/>
          </w:tcPr>
          <w:p>
            <w:pPr>
              <w:pStyle w:val="TableParagraph"/>
              <w:spacing w:line="21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5" w:lineRule="exact"/>
              <w:ind w:left="394"/>
              <w:rPr>
                <w:rFonts w:ascii="等线" w:eastAsia="等线" w:hint="eastAsia"/>
                <w:b/>
                <w:sz w:val="20"/>
              </w:rPr>
            </w:pPr>
            <w:r>
              <w:rPr>
                <w:rFonts w:ascii="等线" w:eastAsia="等线" w:hint="eastAsia"/>
                <w:b/>
                <w:w w:val="105"/>
                <w:sz w:val="20"/>
              </w:rPr>
              <w:t>4、重大器官移植术</w:t>
            </w:r>
          </w:p>
        </w:tc>
        <w:tc>
          <w:tcPr>
            <w:tcW w:w="7713" w:type="dxa"/>
          </w:tcPr>
          <w:p>
            <w:pPr>
              <w:pStyle w:val="TableParagraph"/>
              <w:spacing w:line="206" w:lineRule="exact"/>
              <w:ind w:left="81"/>
              <w:rPr>
                <w:sz w:val="20"/>
              </w:rPr>
            </w:pPr>
            <w:r>
              <w:rPr>
                <w:w w:val="105"/>
                <w:sz w:val="20"/>
              </w:rPr>
              <w:t>重大器官移植术，指因相应器官功能衰竭，已经实施了肾脏、肝脏、心脏或肺脏的</w:t>
            </w:r>
          </w:p>
        </w:tc>
      </w:tr>
      <w:tr>
        <w:trPr>
          <w:trHeight w:val="309" w:hRule="atLeast"/>
        </w:trPr>
        <w:tc>
          <w:tcPr>
            <w:tcW w:w="558" w:type="dxa"/>
          </w:tcPr>
          <w:p>
            <w:pPr>
              <w:pStyle w:val="TableParagraph"/>
              <w:rPr>
                <w:rFonts w:ascii="Times New Roman"/>
                <w:sz w:val="20"/>
              </w:rPr>
            </w:pPr>
          </w:p>
        </w:tc>
        <w:tc>
          <w:tcPr>
            <w:tcW w:w="2262" w:type="dxa"/>
          </w:tcPr>
          <w:p>
            <w:pPr>
              <w:pStyle w:val="TableParagraph"/>
              <w:spacing w:line="248" w:lineRule="exact"/>
              <w:ind w:left="394"/>
              <w:rPr>
                <w:rFonts w:ascii="等线" w:eastAsia="等线" w:hint="eastAsia"/>
                <w:b/>
                <w:sz w:val="20"/>
              </w:rPr>
            </w:pPr>
            <w:r>
              <w:rPr>
                <w:rFonts w:ascii="等线" w:eastAsia="等线" w:hint="eastAsia"/>
                <w:b/>
                <w:w w:val="105"/>
                <w:sz w:val="20"/>
              </w:rPr>
              <w:t>或造血干细胞移植</w:t>
            </w:r>
          </w:p>
        </w:tc>
        <w:tc>
          <w:tcPr>
            <w:tcW w:w="7713" w:type="dxa"/>
          </w:tcPr>
          <w:p>
            <w:pPr>
              <w:pStyle w:val="TableParagraph"/>
              <w:spacing w:line="249" w:lineRule="exact"/>
              <w:ind w:left="81"/>
              <w:rPr>
                <w:sz w:val="20"/>
              </w:rPr>
            </w:pPr>
            <w:r>
              <w:rPr>
                <w:w w:val="105"/>
                <w:sz w:val="20"/>
              </w:rPr>
              <w:t>异体移植手术。  </w:t>
            </w:r>
          </w:p>
        </w:tc>
      </w:tr>
      <w:tr>
        <w:trPr>
          <w:trHeight w:val="313" w:hRule="atLeast"/>
        </w:trPr>
        <w:tc>
          <w:tcPr>
            <w:tcW w:w="558" w:type="dxa"/>
          </w:tcPr>
          <w:p>
            <w:pPr>
              <w:pStyle w:val="TableParagraph"/>
              <w:rPr>
                <w:rFonts w:ascii="Times New Roman"/>
                <w:sz w:val="20"/>
              </w:rPr>
            </w:pPr>
          </w:p>
        </w:tc>
        <w:tc>
          <w:tcPr>
            <w:tcW w:w="2262" w:type="dxa"/>
          </w:tcPr>
          <w:p>
            <w:pPr>
              <w:pStyle w:val="TableParagraph"/>
              <w:spacing w:line="250" w:lineRule="exact"/>
              <w:ind w:left="394"/>
              <w:rPr>
                <w:rFonts w:ascii="等线" w:eastAsia="等线" w:hint="eastAsia"/>
                <w:b/>
                <w:sz w:val="20"/>
              </w:rPr>
            </w:pPr>
            <w:r>
              <w:rPr>
                <w:rFonts w:ascii="等线" w:eastAsia="等线" w:hint="eastAsia"/>
                <w:b/>
                <w:w w:val="105"/>
                <w:sz w:val="20"/>
              </w:rPr>
              <w:t>术</w:t>
            </w:r>
            <w:r>
              <w:rPr>
                <w:rFonts w:ascii="等线" w:eastAsia="等线" w:hint="eastAsia"/>
                <w:b/>
                <w:w w:val="96"/>
                <w:sz w:val="20"/>
              </w:rPr>
              <w:t> </w:t>
            </w:r>
          </w:p>
        </w:tc>
        <w:tc>
          <w:tcPr>
            <w:tcW w:w="7713" w:type="dxa"/>
          </w:tcPr>
          <w:p>
            <w:pPr>
              <w:pStyle w:val="TableParagraph"/>
              <w:spacing w:line="251" w:lineRule="exact"/>
              <w:ind w:left="81"/>
              <w:rPr>
                <w:sz w:val="20"/>
              </w:rPr>
            </w:pPr>
            <w:r>
              <w:rPr>
                <w:w w:val="105"/>
                <w:sz w:val="20"/>
              </w:rPr>
              <w:t>造血干细胞移植术，指因造血功能损害或造血系统恶性肿瘤，已经实施了造血干细</w:t>
            </w:r>
          </w:p>
        </w:tc>
      </w:tr>
      <w:tr>
        <w:trPr>
          <w:trHeight w:val="313"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0" w:lineRule="exact"/>
              <w:ind w:left="81"/>
              <w:rPr>
                <w:sz w:val="20"/>
              </w:rPr>
            </w:pPr>
            <w:r>
              <w:rPr>
                <w:w w:val="105"/>
                <w:sz w:val="20"/>
              </w:rPr>
              <w:t>胞（包括骨髓造血干细胞、外周造血干细胞和脐血造血干细胞）的异体移植手术。 </w:t>
            </w:r>
          </w:p>
        </w:tc>
      </w:tr>
      <w:tr>
        <w:trPr>
          <w:trHeight w:val="270" w:hRule="atLeast"/>
        </w:trPr>
        <w:tc>
          <w:tcPr>
            <w:tcW w:w="558" w:type="dxa"/>
          </w:tcPr>
          <w:p>
            <w:pPr>
              <w:pStyle w:val="TableParagraph"/>
              <w:spacing w:line="25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49" w:lineRule="exact"/>
              <w:ind w:left="394"/>
              <w:rPr>
                <w:sz w:val="20"/>
              </w:rPr>
            </w:pPr>
            <w:r>
              <w:rPr>
                <w:w w:val="105"/>
                <w:sz w:val="20"/>
              </w:rPr>
              <w:t> </w:t>
            </w:r>
          </w:p>
        </w:tc>
        <w:tc>
          <w:tcPr>
            <w:tcW w:w="7713" w:type="dxa"/>
          </w:tcPr>
          <w:p>
            <w:pPr>
              <w:pStyle w:val="TableParagraph"/>
              <w:spacing w:line="249" w:lineRule="exact"/>
              <w:ind w:left="81"/>
              <w:rPr>
                <w:sz w:val="20"/>
              </w:rPr>
            </w:pPr>
            <w:r>
              <w:rPr>
                <w:w w:val="105"/>
                <w:sz w:val="20"/>
              </w:rPr>
              <w:t> </w:t>
            </w:r>
          </w:p>
        </w:tc>
      </w:tr>
      <w:tr>
        <w:trPr>
          <w:trHeight w:val="271" w:hRule="atLeast"/>
        </w:trPr>
        <w:tc>
          <w:tcPr>
            <w:tcW w:w="558" w:type="dxa"/>
          </w:tcPr>
          <w:p>
            <w:pPr>
              <w:pStyle w:val="TableParagraph"/>
              <w:spacing w:line="21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6" w:lineRule="exact"/>
              <w:ind w:left="394"/>
              <w:rPr>
                <w:rFonts w:ascii="等线" w:eastAsia="等线" w:hint="eastAsia"/>
                <w:b/>
                <w:sz w:val="20"/>
              </w:rPr>
            </w:pPr>
            <w:r>
              <w:rPr>
                <w:rFonts w:ascii="等线" w:eastAsia="等线" w:hint="eastAsia"/>
                <w:b/>
                <w:w w:val="105"/>
                <w:sz w:val="20"/>
              </w:rPr>
              <w:t>5、冠状动脉搭桥术</w:t>
            </w:r>
            <w:r>
              <w:rPr>
                <w:rFonts w:ascii="等线" w:eastAsia="等线" w:hint="eastAsia"/>
                <w:b/>
                <w:w w:val="96"/>
                <w:sz w:val="20"/>
              </w:rPr>
              <w:t> </w:t>
            </w:r>
          </w:p>
        </w:tc>
        <w:tc>
          <w:tcPr>
            <w:tcW w:w="7713" w:type="dxa"/>
          </w:tcPr>
          <w:p>
            <w:pPr>
              <w:pStyle w:val="TableParagraph"/>
              <w:spacing w:line="207" w:lineRule="exact"/>
              <w:ind w:left="8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62" w:type="dxa"/>
          </w:tcPr>
          <w:p>
            <w:pPr>
              <w:pStyle w:val="TableParagraph"/>
              <w:spacing w:line="25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248" w:lineRule="exact"/>
              <w:ind w:left="81"/>
              <w:rPr>
                <w:sz w:val="20"/>
              </w:rPr>
            </w:pPr>
            <w:r>
              <w:rPr>
                <w:w w:val="105"/>
                <w:sz w:val="20"/>
              </w:rPr>
              <w:t>冠状动脉支架植入手术、心导管球囊扩张术、激光射频技术及其他非开胸的介入手</w:t>
            </w:r>
          </w:p>
        </w:tc>
      </w:tr>
      <w:tr>
        <w:trPr>
          <w:trHeight w:val="310"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48" w:lineRule="exact"/>
              <w:ind w:left="81"/>
              <w:rPr>
                <w:sz w:val="20"/>
              </w:rPr>
            </w:pPr>
            <w:r>
              <w:rPr>
                <w:w w:val="105"/>
                <w:sz w:val="20"/>
              </w:rPr>
              <w:t>术、腔镜手术不在保障范围内。 </w:t>
            </w:r>
          </w:p>
        </w:tc>
      </w:tr>
      <w:tr>
        <w:trPr>
          <w:trHeight w:val="268" w:hRule="atLeast"/>
        </w:trPr>
        <w:tc>
          <w:tcPr>
            <w:tcW w:w="558" w:type="dxa"/>
          </w:tcPr>
          <w:p>
            <w:pPr>
              <w:pStyle w:val="TableParagraph"/>
              <w:spacing w:line="24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49" w:lineRule="exact"/>
              <w:ind w:left="394"/>
              <w:rPr>
                <w:sz w:val="20"/>
              </w:rPr>
            </w:pPr>
            <w:r>
              <w:rPr>
                <w:w w:val="105"/>
                <w:sz w:val="20"/>
              </w:rPr>
              <w:t> </w:t>
            </w:r>
          </w:p>
        </w:tc>
        <w:tc>
          <w:tcPr>
            <w:tcW w:w="7713" w:type="dxa"/>
          </w:tcPr>
          <w:p>
            <w:pPr>
              <w:pStyle w:val="TableParagraph"/>
              <w:spacing w:line="249" w:lineRule="exact"/>
              <w:ind w:left="81"/>
              <w:rPr>
                <w:sz w:val="20"/>
              </w:rPr>
            </w:pPr>
            <w:r>
              <w:rPr>
                <w:w w:val="105"/>
                <w:sz w:val="20"/>
              </w:rPr>
              <w:t> </w:t>
            </w:r>
          </w:p>
        </w:tc>
      </w:tr>
      <w:tr>
        <w:trPr>
          <w:trHeight w:val="269" w:hRule="atLeast"/>
        </w:trPr>
        <w:tc>
          <w:tcPr>
            <w:tcW w:w="558" w:type="dxa"/>
          </w:tcPr>
          <w:p>
            <w:pPr>
              <w:pStyle w:val="TableParagraph"/>
              <w:spacing w:line="21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5" w:lineRule="exact"/>
              <w:ind w:left="394"/>
              <w:rPr>
                <w:rFonts w:ascii="等线" w:eastAsia="等线" w:hint="eastAsia"/>
                <w:b/>
                <w:sz w:val="20"/>
              </w:rPr>
            </w:pPr>
            <w:r>
              <w:rPr>
                <w:rFonts w:ascii="等线" w:eastAsia="等线" w:hint="eastAsia"/>
                <w:b/>
                <w:w w:val="105"/>
                <w:sz w:val="20"/>
              </w:rPr>
              <w:t>6、终末期肾病</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13" w:type="dxa"/>
          </w:tcPr>
          <w:p>
            <w:pPr>
              <w:pStyle w:val="TableParagraph"/>
              <w:spacing w:line="206" w:lineRule="exact"/>
              <w:ind w:left="81"/>
              <w:rPr>
                <w:sz w:val="20"/>
              </w:rPr>
            </w:pPr>
            <w:r>
              <w:rPr>
                <w:w w:val="105"/>
                <w:sz w:val="20"/>
              </w:rPr>
              <w:t>指双肾功能慢性不可逆性衰竭，达到尿毒症期，经诊断后已经进行了至少 90 天的</w:t>
            </w:r>
          </w:p>
        </w:tc>
      </w:tr>
      <w:tr>
        <w:trPr>
          <w:trHeight w:val="313" w:hRule="atLeast"/>
        </w:trPr>
        <w:tc>
          <w:tcPr>
            <w:tcW w:w="558" w:type="dxa"/>
          </w:tcPr>
          <w:p>
            <w:pPr>
              <w:pStyle w:val="TableParagraph"/>
              <w:rPr>
                <w:rFonts w:ascii="Times New Roman"/>
                <w:sz w:val="20"/>
              </w:rPr>
            </w:pPr>
          </w:p>
        </w:tc>
        <w:tc>
          <w:tcPr>
            <w:tcW w:w="2262" w:type="dxa"/>
          </w:tcPr>
          <w:p>
            <w:pPr>
              <w:pStyle w:val="TableParagraph"/>
              <w:spacing w:line="25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248" w:lineRule="exact"/>
              <w:ind w:left="81"/>
              <w:rPr>
                <w:sz w:val="20"/>
              </w:rPr>
            </w:pPr>
            <w:r>
              <w:rPr>
                <w:w w:val="105"/>
                <w:sz w:val="20"/>
              </w:rPr>
              <w:t>规律性透析治疗或实施了肾脏移植手术。 </w:t>
            </w:r>
          </w:p>
        </w:tc>
      </w:tr>
      <w:tr>
        <w:trPr>
          <w:trHeight w:val="259" w:hRule="atLeast"/>
        </w:trPr>
        <w:tc>
          <w:tcPr>
            <w:tcW w:w="558" w:type="dxa"/>
          </w:tcPr>
          <w:p>
            <w:pPr>
              <w:pStyle w:val="TableParagraph"/>
              <w:spacing w:line="23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39" w:lineRule="exact"/>
              <w:ind w:left="394"/>
              <w:rPr>
                <w:sz w:val="20"/>
              </w:rPr>
            </w:pPr>
            <w:r>
              <w:rPr>
                <w:w w:val="105"/>
                <w:sz w:val="20"/>
              </w:rPr>
              <w:t> </w:t>
            </w:r>
          </w:p>
        </w:tc>
        <w:tc>
          <w:tcPr>
            <w:tcW w:w="7713" w:type="dxa"/>
          </w:tcPr>
          <w:p>
            <w:pPr>
              <w:pStyle w:val="TableParagraph"/>
              <w:spacing w:line="239" w:lineRule="exact"/>
              <w:ind w:left="81"/>
              <w:rPr>
                <w:sz w:val="20"/>
              </w:rPr>
            </w:pPr>
            <w:r>
              <w:rPr>
                <w:w w:val="105"/>
                <w:sz w:val="20"/>
              </w:rPr>
              <w:t> </w:t>
            </w:r>
          </w:p>
        </w:tc>
      </w:tr>
      <w:tr>
        <w:trPr>
          <w:trHeight w:val="262" w:hRule="atLeast"/>
        </w:trPr>
        <w:tc>
          <w:tcPr>
            <w:tcW w:w="558" w:type="dxa"/>
          </w:tcPr>
          <w:p>
            <w:pPr>
              <w:pStyle w:val="TableParagraph"/>
              <w:spacing w:line="20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198" w:lineRule="exact"/>
              <w:ind w:left="394"/>
              <w:rPr>
                <w:rFonts w:ascii="等线" w:eastAsia="等线" w:hint="eastAsia"/>
                <w:b/>
                <w:sz w:val="20"/>
              </w:rPr>
            </w:pPr>
            <w:r>
              <w:rPr>
                <w:rFonts w:ascii="等线" w:eastAsia="等线" w:hint="eastAsia"/>
                <w:b/>
                <w:w w:val="105"/>
                <w:sz w:val="20"/>
              </w:rPr>
              <w:t>7、多个肢体缺失</w:t>
            </w:r>
          </w:p>
        </w:tc>
        <w:tc>
          <w:tcPr>
            <w:tcW w:w="7713" w:type="dxa"/>
          </w:tcPr>
          <w:p>
            <w:pPr>
              <w:pStyle w:val="TableParagraph"/>
              <w:spacing w:line="199" w:lineRule="exact"/>
              <w:ind w:left="81"/>
              <w:rPr>
                <w:sz w:val="20"/>
              </w:rPr>
            </w:pPr>
            <w:r>
              <w:rPr>
                <w:w w:val="105"/>
                <w:sz w:val="20"/>
              </w:rPr>
              <w:t>指因疾病或意外伤害导致两个或两个以上肢体自腕关节或踝关节近端（靠近躯干</w:t>
            </w:r>
          </w:p>
        </w:tc>
      </w:tr>
      <w:tr>
        <w:trPr>
          <w:trHeight w:val="313" w:hRule="atLeast"/>
        </w:trPr>
        <w:tc>
          <w:tcPr>
            <w:tcW w:w="558" w:type="dxa"/>
          </w:tcPr>
          <w:p>
            <w:pPr>
              <w:pStyle w:val="TableParagraph"/>
              <w:rPr>
                <w:rFonts w:ascii="Times New Roman"/>
                <w:sz w:val="20"/>
              </w:rPr>
            </w:pPr>
          </w:p>
        </w:tc>
        <w:tc>
          <w:tcPr>
            <w:tcW w:w="2262" w:type="dxa"/>
          </w:tcPr>
          <w:p>
            <w:pPr>
              <w:pStyle w:val="TableParagraph"/>
              <w:spacing w:line="25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3" w:type="dxa"/>
          </w:tcPr>
          <w:p>
            <w:pPr>
              <w:pStyle w:val="TableParagraph"/>
              <w:spacing w:line="248" w:lineRule="exact"/>
              <w:ind w:left="81"/>
              <w:rPr>
                <w:sz w:val="20"/>
              </w:rPr>
            </w:pPr>
            <w:r>
              <w:rPr>
                <w:w w:val="105"/>
                <w:sz w:val="20"/>
              </w:rPr>
              <w:t>端）以上完全性断离。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rPr>
                <w:rFonts w:ascii="Times New Roman"/>
                <w:sz w:val="18"/>
              </w:rPr>
            </w:pPr>
          </w:p>
        </w:tc>
        <w:tc>
          <w:tcPr>
            <w:tcW w:w="7713" w:type="dxa"/>
          </w:tcPr>
          <w:p>
            <w:pPr>
              <w:pStyle w:val="TableParagraph"/>
              <w:spacing w:line="246" w:lineRule="exact"/>
              <w:ind w:left="501"/>
              <w:rPr>
                <w:sz w:val="20"/>
              </w:rPr>
            </w:pPr>
            <w:r>
              <w:rPr>
                <w:w w:val="105"/>
                <w:sz w:val="20"/>
              </w:rPr>
              <w:t> </w:t>
            </w:r>
          </w:p>
        </w:tc>
      </w:tr>
      <w:tr>
        <w:trPr>
          <w:trHeight w:val="261" w:hRule="atLeast"/>
        </w:trPr>
        <w:tc>
          <w:tcPr>
            <w:tcW w:w="558" w:type="dxa"/>
          </w:tcPr>
          <w:p>
            <w:pPr>
              <w:pStyle w:val="TableParagraph"/>
              <w:spacing w:line="21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5" w:lineRule="exact"/>
              <w:ind w:left="394"/>
              <w:rPr>
                <w:rFonts w:ascii="等线" w:eastAsia="等线" w:hint="eastAsia"/>
                <w:b/>
                <w:sz w:val="20"/>
              </w:rPr>
            </w:pPr>
            <w:r>
              <w:rPr>
                <w:rFonts w:ascii="等线" w:eastAsia="等线" w:hint="eastAsia"/>
                <w:b/>
                <w:w w:val="105"/>
                <w:sz w:val="20"/>
              </w:rPr>
              <w:t>8、急性或亚急性重</w:t>
            </w:r>
          </w:p>
        </w:tc>
        <w:tc>
          <w:tcPr>
            <w:tcW w:w="7713" w:type="dxa"/>
          </w:tcPr>
          <w:p>
            <w:pPr>
              <w:pStyle w:val="TableParagraph"/>
              <w:spacing w:line="206" w:lineRule="exact"/>
              <w:ind w:left="81"/>
              <w:rPr>
                <w:sz w:val="20"/>
              </w:rPr>
            </w:pPr>
            <w:r>
              <w:rPr>
                <w:w w:val="105"/>
                <w:sz w:val="20"/>
              </w:rPr>
              <w:t>指因肝炎病毒感染引起肝组织弥漫性坏死，导致急性肝功能衰竭，且经血清学或病</w:t>
            </w:r>
          </w:p>
        </w:tc>
      </w:tr>
      <w:tr>
        <w:trPr>
          <w:trHeight w:val="317" w:hRule="atLeast"/>
        </w:trPr>
        <w:tc>
          <w:tcPr>
            <w:tcW w:w="558" w:type="dxa"/>
          </w:tcPr>
          <w:p>
            <w:pPr>
              <w:pStyle w:val="TableParagraph"/>
              <w:rPr>
                <w:rFonts w:ascii="Times New Roman"/>
                <w:sz w:val="20"/>
              </w:rPr>
            </w:pPr>
          </w:p>
        </w:tc>
        <w:tc>
          <w:tcPr>
            <w:tcW w:w="2262" w:type="dxa"/>
          </w:tcPr>
          <w:p>
            <w:pPr>
              <w:pStyle w:val="TableParagraph"/>
              <w:spacing w:line="260" w:lineRule="exact"/>
              <w:ind w:left="394"/>
              <w:rPr>
                <w:sz w:val="20"/>
              </w:rPr>
            </w:pPr>
            <w:r>
              <w:rPr>
                <w:rFonts w:ascii="等线" w:eastAsia="等线" w:hint="eastAsia"/>
                <w:b/>
                <w:w w:val="105"/>
                <w:sz w:val="20"/>
              </w:rPr>
              <w:t>症肝炎</w:t>
            </w:r>
            <w:r>
              <w:rPr>
                <w:w w:val="108"/>
                <w:sz w:val="20"/>
              </w:rPr>
              <w:t>    </w:t>
            </w:r>
          </w:p>
        </w:tc>
        <w:tc>
          <w:tcPr>
            <w:tcW w:w="7713" w:type="dxa"/>
          </w:tcPr>
          <w:p>
            <w:pPr>
              <w:pStyle w:val="TableParagraph"/>
              <w:spacing w:line="256" w:lineRule="exact"/>
              <w:ind w:left="8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0" w:lineRule="exact"/>
              <w:ind w:left="8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0" w:lineRule="exact"/>
              <w:ind w:left="8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0" w:lineRule="exact"/>
              <w:ind w:left="81"/>
              <w:rPr>
                <w:sz w:val="20"/>
              </w:rPr>
            </w:pPr>
            <w:r>
              <w:rPr>
                <w:w w:val="105"/>
                <w:sz w:val="20"/>
              </w:rPr>
              <w:t>（3）B超或其他影像学检查显示肝脏体积急速萎缩；  </w:t>
            </w:r>
          </w:p>
        </w:tc>
      </w:tr>
      <w:tr>
        <w:trPr>
          <w:trHeight w:val="313" w:hRule="atLeast"/>
        </w:trPr>
        <w:tc>
          <w:tcPr>
            <w:tcW w:w="558" w:type="dxa"/>
          </w:tcPr>
          <w:p>
            <w:pPr>
              <w:pStyle w:val="TableParagraph"/>
              <w:rPr>
                <w:rFonts w:ascii="Times New Roman"/>
                <w:sz w:val="20"/>
              </w:rPr>
            </w:pPr>
          </w:p>
        </w:tc>
        <w:tc>
          <w:tcPr>
            <w:tcW w:w="2262" w:type="dxa"/>
          </w:tcPr>
          <w:p>
            <w:pPr>
              <w:pStyle w:val="TableParagraph"/>
              <w:rPr>
                <w:rFonts w:ascii="Times New Roman"/>
                <w:sz w:val="20"/>
              </w:rPr>
            </w:pPr>
          </w:p>
        </w:tc>
        <w:tc>
          <w:tcPr>
            <w:tcW w:w="7713" w:type="dxa"/>
          </w:tcPr>
          <w:p>
            <w:pPr>
              <w:pStyle w:val="TableParagraph"/>
              <w:spacing w:line="250" w:lineRule="exact"/>
              <w:ind w:left="81"/>
              <w:rPr>
                <w:sz w:val="20"/>
              </w:rPr>
            </w:pPr>
            <w:r>
              <w:rPr>
                <w:w w:val="105"/>
                <w:sz w:val="20"/>
              </w:rPr>
              <w:t>（4）肝功能指标进行性恶化。 </w:t>
            </w:r>
          </w:p>
        </w:tc>
      </w:tr>
      <w:tr>
        <w:trPr>
          <w:trHeight w:val="269" w:hRule="atLeast"/>
        </w:trPr>
        <w:tc>
          <w:tcPr>
            <w:tcW w:w="558" w:type="dxa"/>
          </w:tcPr>
          <w:p>
            <w:pPr>
              <w:pStyle w:val="TableParagraph"/>
              <w:spacing w:line="25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49" w:lineRule="exact"/>
              <w:ind w:left="394"/>
              <w:rPr>
                <w:sz w:val="20"/>
              </w:rPr>
            </w:pPr>
            <w:r>
              <w:rPr>
                <w:w w:val="105"/>
                <w:sz w:val="20"/>
              </w:rPr>
              <w:t> </w:t>
            </w:r>
          </w:p>
        </w:tc>
        <w:tc>
          <w:tcPr>
            <w:tcW w:w="7713" w:type="dxa"/>
          </w:tcPr>
          <w:p>
            <w:pPr>
              <w:pStyle w:val="TableParagraph"/>
              <w:spacing w:line="249" w:lineRule="exact"/>
              <w:ind w:left="501"/>
              <w:rPr>
                <w:sz w:val="20"/>
              </w:rPr>
            </w:pPr>
            <w:r>
              <w:rPr>
                <w:w w:val="105"/>
                <w:sz w:val="20"/>
              </w:rPr>
              <w:t> </w:t>
            </w:r>
          </w:p>
        </w:tc>
      </w:tr>
      <w:tr>
        <w:trPr>
          <w:trHeight w:val="219" w:hRule="atLeast"/>
        </w:trPr>
        <w:tc>
          <w:tcPr>
            <w:tcW w:w="558" w:type="dxa"/>
          </w:tcPr>
          <w:p>
            <w:pPr>
              <w:pStyle w:val="TableParagraph"/>
              <w:spacing w:line="20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2" w:type="dxa"/>
          </w:tcPr>
          <w:p>
            <w:pPr>
              <w:pStyle w:val="TableParagraph"/>
              <w:spacing w:line="200" w:lineRule="exact"/>
              <w:ind w:left="394"/>
              <w:rPr>
                <w:rFonts w:ascii="等线" w:eastAsia="等线" w:hint="eastAsia"/>
                <w:b/>
                <w:sz w:val="20"/>
              </w:rPr>
            </w:pPr>
            <w:r>
              <w:rPr>
                <w:rFonts w:ascii="等线" w:eastAsia="等线" w:hint="eastAsia"/>
                <w:b/>
                <w:w w:val="105"/>
                <w:sz w:val="20"/>
              </w:rPr>
              <w:t>9、良性脑肿瘤</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13" w:type="dxa"/>
          </w:tcPr>
          <w:p>
            <w:pPr>
              <w:pStyle w:val="TableParagraph"/>
              <w:spacing w:line="200" w:lineRule="exact"/>
              <w:ind w:left="81"/>
              <w:rPr>
                <w:sz w:val="20"/>
              </w:rPr>
            </w:pPr>
            <w:r>
              <w:rPr>
                <w:w w:val="105"/>
                <w:sz w:val="20"/>
              </w:rPr>
              <w:t>指脑的良性肿瘤，已经引起颅内压增高，临床表现为视神经乳头水肿、精神症状、</w:t>
            </w:r>
          </w:p>
        </w:tc>
      </w:tr>
    </w:tbl>
    <w:p>
      <w:pPr>
        <w:spacing w:after="0" w:line="200" w:lineRule="exact"/>
        <w:rPr>
          <w:sz w:val="20"/>
        </w:rPr>
        <w:sectPr>
          <w:pgSz w:w="11900" w:h="16840"/>
          <w:pgMar w:header="0" w:footer="440" w:top="120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4"/>
        <w:gridCol w:w="7745"/>
      </w:tblGrid>
      <w:tr>
        <w:trPr>
          <w:trHeight w:val="260" w:hRule="atLeast"/>
        </w:trPr>
        <w:tc>
          <w:tcPr>
            <w:tcW w:w="558" w:type="dxa"/>
          </w:tcPr>
          <w:p>
            <w:pPr>
              <w:pStyle w:val="TableParagraph"/>
              <w:rPr>
                <w:rFonts w:ascii="Times New Roman"/>
                <w:sz w:val="18"/>
              </w:rPr>
            </w:pPr>
          </w:p>
        </w:tc>
        <w:tc>
          <w:tcPr>
            <w:tcW w:w="2234" w:type="dxa"/>
          </w:tcPr>
          <w:p>
            <w:pPr>
              <w:pStyle w:val="TableParagraph"/>
              <w:spacing w:line="21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06" w:lineRule="exact"/>
              <w:ind w:left="109"/>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09"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7" w:lineRule="exact"/>
              <w:ind w:left="109"/>
              <w:rPr>
                <w:sz w:val="20"/>
              </w:rPr>
            </w:pPr>
            <w:r>
              <w:rPr>
                <w:w w:val="105"/>
                <w:sz w:val="20"/>
              </w:rPr>
              <w:t>或正电子发射断层扫描（PET）等影像学检查证实，并须满足下列至少一项条件：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（1）实际实施了开颅进行的脑肿瘤完全切除或部分切除的手术；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（2）实际实施了对脑肿瘤进行的放射治疗。  </w:t>
            </w:r>
          </w:p>
        </w:tc>
      </w:tr>
      <w:tr>
        <w:trPr>
          <w:trHeight w:val="313"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脑垂体瘤、脑囊肿、脑血管性疾病不在保障范围内。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50" w:lineRule="exact"/>
              <w:ind w:right="497"/>
              <w:jc w:val="center"/>
              <w:rPr>
                <w:sz w:val="20"/>
              </w:rPr>
            </w:pPr>
            <w:r>
              <w:rPr>
                <w:w w:val="105"/>
                <w:sz w:val="20"/>
              </w:rPr>
              <w:t> </w:t>
            </w:r>
          </w:p>
        </w:tc>
        <w:tc>
          <w:tcPr>
            <w:tcW w:w="7745" w:type="dxa"/>
          </w:tcPr>
          <w:p>
            <w:pPr>
              <w:pStyle w:val="TableParagraph"/>
              <w:spacing w:line="250" w:lineRule="exact"/>
              <w:ind w:left="529"/>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16" w:lineRule="exact"/>
              <w:ind w:left="394"/>
              <w:rPr>
                <w:rFonts w:ascii="等线" w:eastAsia="等线" w:hint="eastAsia"/>
                <w:b/>
                <w:sz w:val="20"/>
              </w:rPr>
            </w:pPr>
            <w:r>
              <w:rPr>
                <w:rFonts w:ascii="等线" w:eastAsia="等线" w:hint="eastAsia"/>
                <w:b/>
                <w:w w:val="105"/>
                <w:sz w:val="20"/>
              </w:rPr>
              <w:t>10、慢性肝功能衰</w:t>
            </w:r>
          </w:p>
        </w:tc>
        <w:tc>
          <w:tcPr>
            <w:tcW w:w="7745" w:type="dxa"/>
          </w:tcPr>
          <w:p>
            <w:pPr>
              <w:pStyle w:val="TableParagraph"/>
              <w:spacing w:line="217" w:lineRule="exact"/>
              <w:ind w:left="109"/>
              <w:rPr>
                <w:sz w:val="20"/>
              </w:rPr>
            </w:pPr>
            <w:r>
              <w:rPr>
                <w:w w:val="105"/>
                <w:sz w:val="20"/>
              </w:rPr>
              <w:t>指因慢性肝脏疾病导致肝功能衰竭，须满足下列全部条件：  </w:t>
            </w:r>
          </w:p>
        </w:tc>
      </w:tr>
      <w:tr>
        <w:trPr>
          <w:trHeight w:val="310" w:hRule="atLeast"/>
        </w:trPr>
        <w:tc>
          <w:tcPr>
            <w:tcW w:w="558" w:type="dxa"/>
          </w:tcPr>
          <w:p>
            <w:pPr>
              <w:pStyle w:val="TableParagraph"/>
              <w:rPr>
                <w:rFonts w:ascii="Times New Roman"/>
                <w:sz w:val="20"/>
              </w:rPr>
            </w:pPr>
          </w:p>
        </w:tc>
        <w:tc>
          <w:tcPr>
            <w:tcW w:w="2234" w:type="dxa"/>
          </w:tcPr>
          <w:p>
            <w:pPr>
              <w:pStyle w:val="TableParagraph"/>
              <w:spacing w:line="258" w:lineRule="exact"/>
              <w:ind w:left="394"/>
              <w:rPr>
                <w:rFonts w:ascii="等线" w:eastAsia="等线" w:hint="eastAsia"/>
                <w:b/>
                <w:sz w:val="20"/>
              </w:rPr>
            </w:pPr>
            <w:r>
              <w:rPr>
                <w:rFonts w:ascii="等线" w:eastAsia="等线" w:hint="eastAsia"/>
                <w:b/>
                <w:w w:val="105"/>
                <w:sz w:val="20"/>
              </w:rPr>
              <w:t>竭失代偿期</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45" w:type="dxa"/>
          </w:tcPr>
          <w:p>
            <w:pPr>
              <w:pStyle w:val="TableParagraph"/>
              <w:spacing w:line="259" w:lineRule="exact"/>
              <w:ind w:left="109"/>
              <w:rPr>
                <w:sz w:val="20"/>
              </w:rPr>
            </w:pPr>
            <w:r>
              <w:rPr>
                <w:w w:val="105"/>
                <w:sz w:val="20"/>
              </w:rPr>
              <w:t>（1）持续性黄疸；  </w:t>
            </w:r>
          </w:p>
        </w:tc>
      </w:tr>
      <w:tr>
        <w:trPr>
          <w:trHeight w:val="314" w:hRule="atLeast"/>
        </w:trPr>
        <w:tc>
          <w:tcPr>
            <w:tcW w:w="558" w:type="dxa"/>
          </w:tcPr>
          <w:p>
            <w:pPr>
              <w:pStyle w:val="TableParagraph"/>
              <w:rPr>
                <w:rFonts w:ascii="Times New Roman"/>
                <w:sz w:val="20"/>
              </w:rPr>
            </w:pPr>
          </w:p>
        </w:tc>
        <w:tc>
          <w:tcPr>
            <w:tcW w:w="2234"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60" w:lineRule="exact"/>
              <w:ind w:left="109"/>
              <w:rPr>
                <w:sz w:val="20"/>
              </w:rPr>
            </w:pPr>
            <w:r>
              <w:rPr>
                <w:w w:val="105"/>
                <w:sz w:val="20"/>
              </w:rPr>
              <w:t>（2）腹水；  </w:t>
            </w:r>
          </w:p>
        </w:tc>
      </w:tr>
      <w:tr>
        <w:trPr>
          <w:trHeight w:val="309"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7" w:lineRule="exact"/>
              <w:ind w:left="109"/>
              <w:rPr>
                <w:sz w:val="20"/>
              </w:rPr>
            </w:pPr>
            <w:r>
              <w:rPr>
                <w:w w:val="105"/>
                <w:sz w:val="20"/>
              </w:rPr>
              <w:t>（3）肝性脑病；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（4）充血性脾肿大伴脾功能亢进或食管胃底静脉曲张。  </w:t>
            </w:r>
          </w:p>
        </w:tc>
      </w:tr>
      <w:tr>
        <w:trPr>
          <w:trHeight w:val="315"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before="3"/>
              <w:ind w:left="109"/>
              <w:rPr>
                <w:sz w:val="20"/>
              </w:rPr>
            </w:pPr>
            <w:r>
              <w:rPr>
                <w:spacing w:val="-3"/>
                <w:w w:val="105"/>
                <w:sz w:val="20"/>
              </w:rPr>
              <w:t>因</w:t>
            </w:r>
            <w:r>
              <w:rPr>
                <w:spacing w:val="-209"/>
                <w:w w:val="105"/>
                <w:sz w:val="20"/>
              </w:rPr>
              <w:t>酗</w:t>
            </w:r>
            <w:r>
              <w:rPr>
                <w:spacing w:val="-8"/>
                <w:w w:val="105"/>
                <w:sz w:val="20"/>
              </w:rPr>
              <w:t>酗</w:t>
            </w:r>
            <w:r>
              <w:rPr>
                <w:spacing w:val="-213"/>
                <w:w w:val="105"/>
                <w:sz w:val="20"/>
              </w:rPr>
              <w:t>酒酒酒</w:t>
            </w:r>
            <w:r>
              <w:rPr>
                <w:spacing w:val="-5"/>
                <w:w w:val="105"/>
                <w:sz w:val="20"/>
              </w:rPr>
              <w:t>酒</w:t>
            </w:r>
            <w:r>
              <w:rPr>
                <w:spacing w:val="-3"/>
                <w:w w:val="105"/>
                <w:sz w:val="20"/>
              </w:rPr>
              <w:t>（</w:t>
            </w:r>
            <w:r>
              <w:rPr>
                <w:spacing w:val="-9"/>
                <w:w w:val="105"/>
                <w:sz w:val="20"/>
              </w:rPr>
              <w:t>见 </w:t>
            </w:r>
            <w:r>
              <w:rPr>
                <w:w w:val="105"/>
                <w:sz w:val="20"/>
              </w:rPr>
              <w:t>9.19）</w:t>
            </w:r>
            <w:r>
              <w:rPr>
                <w:spacing w:val="-3"/>
                <w:w w:val="105"/>
                <w:sz w:val="20"/>
              </w:rPr>
              <w:t>或药物滥用导致的肝功能衰竭不在保障范围内。 </w:t>
            </w:r>
            <w:r>
              <w:rPr>
                <w:w w:val="105"/>
                <w:sz w:val="20"/>
              </w:rPr>
              <w:t> </w:t>
            </w:r>
          </w:p>
        </w:tc>
      </w:tr>
      <w:tr>
        <w:trPr>
          <w:trHeight w:val="267" w:hRule="atLeast"/>
        </w:trPr>
        <w:tc>
          <w:tcPr>
            <w:tcW w:w="558" w:type="dxa"/>
          </w:tcPr>
          <w:p>
            <w:pPr>
              <w:pStyle w:val="TableParagraph"/>
              <w:spacing w:line="24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rPr>
                <w:rFonts w:ascii="Times New Roman"/>
                <w:sz w:val="18"/>
              </w:rPr>
            </w:pPr>
          </w:p>
        </w:tc>
        <w:tc>
          <w:tcPr>
            <w:tcW w:w="7745" w:type="dxa"/>
          </w:tcPr>
          <w:p>
            <w:pPr>
              <w:pStyle w:val="TableParagraph"/>
              <w:spacing w:line="248" w:lineRule="exact"/>
              <w:ind w:left="529"/>
              <w:rPr>
                <w:sz w:val="20"/>
              </w:rPr>
            </w:pPr>
            <w:r>
              <w:rPr>
                <w:w w:val="105"/>
                <w:sz w:val="20"/>
              </w:rPr>
              <w:t> </w:t>
            </w:r>
          </w:p>
        </w:tc>
      </w:tr>
      <w:tr>
        <w:trPr>
          <w:trHeight w:val="262"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16" w:lineRule="exact"/>
              <w:ind w:left="394"/>
              <w:rPr>
                <w:rFonts w:ascii="等线" w:eastAsia="等线" w:hint="eastAsia"/>
                <w:b/>
                <w:sz w:val="20"/>
              </w:rPr>
            </w:pPr>
            <w:r>
              <w:rPr>
                <w:rFonts w:ascii="等线" w:eastAsia="等线" w:hint="eastAsia"/>
                <w:b/>
                <w:sz w:val="20"/>
              </w:rPr>
              <w:t>11、脑炎后遗症或</w:t>
            </w:r>
          </w:p>
        </w:tc>
        <w:tc>
          <w:tcPr>
            <w:tcW w:w="7745" w:type="dxa"/>
          </w:tcPr>
          <w:p>
            <w:pPr>
              <w:pStyle w:val="TableParagraph"/>
              <w:spacing w:line="217" w:lineRule="exact"/>
              <w:ind w:left="109"/>
              <w:rPr>
                <w:sz w:val="20"/>
              </w:rPr>
            </w:pPr>
            <w:r>
              <w:rPr>
                <w:w w:val="105"/>
                <w:sz w:val="20"/>
              </w:rPr>
              <w:t>指因患脑炎或脑膜炎导致的神经系统永久性的功能障碍。神经系统永久性的功能障</w:t>
            </w:r>
          </w:p>
        </w:tc>
      </w:tr>
      <w:tr>
        <w:trPr>
          <w:trHeight w:val="318" w:hRule="atLeast"/>
        </w:trPr>
        <w:tc>
          <w:tcPr>
            <w:tcW w:w="558" w:type="dxa"/>
          </w:tcPr>
          <w:p>
            <w:pPr>
              <w:pStyle w:val="TableParagraph"/>
              <w:rPr>
                <w:rFonts w:ascii="Times New Roman"/>
                <w:sz w:val="20"/>
              </w:rPr>
            </w:pPr>
          </w:p>
        </w:tc>
        <w:tc>
          <w:tcPr>
            <w:tcW w:w="2234" w:type="dxa"/>
          </w:tcPr>
          <w:p>
            <w:pPr>
              <w:pStyle w:val="TableParagraph"/>
              <w:spacing w:line="270" w:lineRule="exact"/>
              <w:ind w:left="394"/>
              <w:rPr>
                <w:sz w:val="20"/>
              </w:rPr>
            </w:pPr>
            <w:r>
              <w:rPr>
                <w:rFonts w:ascii="等线" w:eastAsia="等线" w:hint="eastAsia"/>
                <w:b/>
                <w:w w:val="105"/>
                <w:sz w:val="20"/>
              </w:rPr>
              <w:t>脑膜炎后遗症</w:t>
            </w:r>
            <w:r>
              <w:rPr>
                <w:w w:val="108"/>
                <w:sz w:val="20"/>
              </w:rPr>
              <w:t>    </w:t>
            </w:r>
          </w:p>
        </w:tc>
        <w:tc>
          <w:tcPr>
            <w:tcW w:w="7745" w:type="dxa"/>
          </w:tcPr>
          <w:p>
            <w:pPr>
              <w:pStyle w:val="TableParagraph"/>
              <w:spacing w:before="4"/>
              <w:ind w:left="109"/>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9" w:lineRule="exact"/>
              <w:ind w:left="109"/>
              <w:rPr>
                <w:sz w:val="20"/>
              </w:rPr>
            </w:pPr>
            <w:r>
              <w:rPr>
                <w:w w:val="105"/>
                <w:sz w:val="20"/>
              </w:rPr>
              <w:t>项以上。 </w:t>
            </w:r>
          </w:p>
        </w:tc>
      </w:tr>
      <w:tr>
        <w:trPr>
          <w:trHeight w:val="268" w:hRule="atLeast"/>
        </w:trPr>
        <w:tc>
          <w:tcPr>
            <w:tcW w:w="558" w:type="dxa"/>
          </w:tcPr>
          <w:p>
            <w:pPr>
              <w:pStyle w:val="TableParagraph"/>
              <w:spacing w:line="247"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49" w:lineRule="exact"/>
              <w:ind w:right="497"/>
              <w:jc w:val="center"/>
              <w:rPr>
                <w:sz w:val="20"/>
              </w:rPr>
            </w:pPr>
            <w:r>
              <w:rPr>
                <w:w w:val="105"/>
                <w:sz w:val="20"/>
              </w:rPr>
              <w:t> </w:t>
            </w:r>
          </w:p>
        </w:tc>
        <w:tc>
          <w:tcPr>
            <w:tcW w:w="7745" w:type="dxa"/>
          </w:tcPr>
          <w:p>
            <w:pPr>
              <w:pStyle w:val="TableParagraph"/>
              <w:spacing w:line="249" w:lineRule="exact"/>
              <w:ind w:left="529"/>
              <w:rPr>
                <w:sz w:val="20"/>
              </w:rPr>
            </w:pPr>
            <w:r>
              <w:rPr>
                <w:w w:val="105"/>
                <w:sz w:val="20"/>
              </w:rPr>
              <w:t> </w:t>
            </w:r>
          </w:p>
        </w:tc>
      </w:tr>
      <w:tr>
        <w:trPr>
          <w:trHeight w:val="269"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19" w:lineRule="exact"/>
              <w:ind w:left="394"/>
              <w:rPr>
                <w:rFonts w:ascii="等线" w:eastAsia="等线" w:hint="eastAsia"/>
                <w:b/>
                <w:sz w:val="20"/>
              </w:rPr>
            </w:pPr>
            <w:r>
              <w:rPr>
                <w:rFonts w:ascii="等线" w:eastAsia="等线" w:hint="eastAsia"/>
                <w:b/>
                <w:sz w:val="20"/>
              </w:rPr>
              <w:t>12、深度昏迷</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45" w:type="dxa"/>
          </w:tcPr>
          <w:p>
            <w:pPr>
              <w:pStyle w:val="TableParagraph"/>
              <w:spacing w:line="215" w:lineRule="exact"/>
              <w:ind w:left="109"/>
              <w:rPr>
                <w:sz w:val="20"/>
              </w:rPr>
            </w:pPr>
            <w:r>
              <w:rPr>
                <w:w w:val="105"/>
                <w:sz w:val="20"/>
              </w:rPr>
              <w:t>指因疾病或意外伤害导致意识丧失,对外界刺激和体内需求均无反应，昏迷程度按</w:t>
            </w:r>
          </w:p>
        </w:tc>
      </w:tr>
      <w:tr>
        <w:trPr>
          <w:trHeight w:val="311" w:hRule="atLeast"/>
        </w:trPr>
        <w:tc>
          <w:tcPr>
            <w:tcW w:w="558" w:type="dxa"/>
          </w:tcPr>
          <w:p>
            <w:pPr>
              <w:pStyle w:val="TableParagraph"/>
              <w:rPr>
                <w:rFonts w:ascii="Times New Roman"/>
                <w:sz w:val="20"/>
              </w:rPr>
            </w:pPr>
          </w:p>
        </w:tc>
        <w:tc>
          <w:tcPr>
            <w:tcW w:w="2234"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57" w:lineRule="exact"/>
              <w:ind w:left="109"/>
              <w:rPr>
                <w:sz w:val="20"/>
              </w:rPr>
            </w:pPr>
            <w:r>
              <w:rPr>
                <w:w w:val="105"/>
                <w:sz w:val="20"/>
              </w:rPr>
              <w:t>照格拉斯哥昏迷分级（Glasgow coma scale）结果为5分或5分以下，且已经持续使</w:t>
            </w:r>
          </w:p>
        </w:tc>
      </w:tr>
      <w:tr>
        <w:trPr>
          <w:trHeight w:val="309"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7" w:lineRule="exact"/>
              <w:ind w:left="109"/>
              <w:rPr>
                <w:sz w:val="20"/>
              </w:rPr>
            </w:pPr>
            <w:r>
              <w:rPr>
                <w:w w:val="105"/>
                <w:sz w:val="20"/>
              </w:rPr>
              <w:t>用呼吸机及其它生命维持系统96小时以上。  </w:t>
            </w:r>
          </w:p>
        </w:tc>
      </w:tr>
      <w:tr>
        <w:trPr>
          <w:trHeight w:val="313"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由于酗酒或药物滥用导致的深度昏迷不在保障范围内。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rPr>
                <w:rFonts w:ascii="Times New Roman"/>
                <w:sz w:val="18"/>
              </w:rPr>
            </w:pPr>
          </w:p>
        </w:tc>
        <w:tc>
          <w:tcPr>
            <w:tcW w:w="7745" w:type="dxa"/>
          </w:tcPr>
          <w:p>
            <w:pPr>
              <w:pStyle w:val="TableParagraph"/>
              <w:spacing w:line="246" w:lineRule="exact"/>
              <w:ind w:left="529"/>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31" w:lineRule="exact"/>
              <w:ind w:left="394"/>
              <w:rPr>
                <w:sz w:val="20"/>
              </w:rPr>
            </w:pPr>
            <w:r>
              <w:rPr>
                <w:rFonts w:ascii="等线" w:hAnsi="等线" w:eastAsia="等线" w:hint="eastAsia"/>
                <w:b/>
                <w:spacing w:val="-3"/>
                <w:w w:val="77"/>
                <w:sz w:val="20"/>
              </w:rPr>
              <w:t>1</w:t>
            </w:r>
            <w:r>
              <w:rPr>
                <w:rFonts w:ascii="等线" w:hAnsi="等线" w:eastAsia="等线" w:hint="eastAsia"/>
                <w:b/>
                <w:spacing w:val="-3"/>
                <w:w w:val="110"/>
                <w:sz w:val="20"/>
              </w:rPr>
              <w:t>3</w:t>
            </w:r>
            <w:r>
              <w:rPr>
                <w:rFonts w:ascii="等线" w:hAnsi="等线" w:eastAsia="等线" w:hint="eastAsia"/>
                <w:b/>
                <w:spacing w:val="-4"/>
                <w:w w:val="106"/>
                <w:sz w:val="20"/>
              </w:rPr>
              <w:t>、双耳失聪</w:t>
            </w:r>
            <w:r>
              <w:rPr>
                <w:spacing w:val="-213"/>
                <w:w w:val="106"/>
                <w:sz w:val="20"/>
              </w:rPr>
              <w:t>———</w:t>
            </w:r>
            <w:r>
              <w:rPr>
                <w:spacing w:val="-10"/>
                <w:w w:val="106"/>
                <w:sz w:val="20"/>
              </w:rPr>
              <w:t>—</w:t>
            </w:r>
            <w:r>
              <w:rPr>
                <w:spacing w:val="-213"/>
                <w:w w:val="106"/>
                <w:sz w:val="20"/>
              </w:rPr>
              <w:t>———</w:t>
            </w:r>
            <w:r>
              <w:rPr>
                <w:w w:val="106"/>
                <w:sz w:val="20"/>
              </w:rPr>
              <w:t>—</w:t>
            </w:r>
          </w:p>
        </w:tc>
        <w:tc>
          <w:tcPr>
            <w:tcW w:w="7745" w:type="dxa"/>
          </w:tcPr>
          <w:p>
            <w:pPr>
              <w:pStyle w:val="TableParagraph"/>
              <w:spacing w:line="225" w:lineRule="exact"/>
              <w:ind w:left="109"/>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9.20)</w:t>
            </w:r>
            <w:r>
              <w:rPr>
                <w:spacing w:val="-2"/>
                <w:w w:val="105"/>
                <w:sz w:val="20"/>
              </w:rPr>
              <w:t>性丧失，在</w:t>
            </w:r>
            <w:r>
              <w:rPr>
                <w:spacing w:val="-1"/>
                <w:w w:val="105"/>
                <w:sz w:val="20"/>
              </w:rPr>
              <w:t>500赫兹、1000</w:t>
            </w:r>
          </w:p>
        </w:tc>
      </w:tr>
      <w:tr>
        <w:trPr>
          <w:trHeight w:val="317" w:hRule="atLeast"/>
        </w:trPr>
        <w:tc>
          <w:tcPr>
            <w:tcW w:w="558" w:type="dxa"/>
          </w:tcPr>
          <w:p>
            <w:pPr>
              <w:pStyle w:val="TableParagraph"/>
              <w:rPr>
                <w:rFonts w:ascii="Times New Roman"/>
                <w:sz w:val="20"/>
              </w:rPr>
            </w:pPr>
          </w:p>
        </w:tc>
        <w:tc>
          <w:tcPr>
            <w:tcW w:w="2234" w:type="dxa"/>
          </w:tcPr>
          <w:p>
            <w:pPr>
              <w:pStyle w:val="TableParagraph"/>
              <w:spacing w:line="270" w:lineRule="exact"/>
              <w:ind w:left="394"/>
              <w:rPr>
                <w:sz w:val="20"/>
              </w:rPr>
            </w:pPr>
            <w:r>
              <w:rPr>
                <w:rFonts w:ascii="等线" w:eastAsia="等线" w:hint="eastAsia"/>
                <w:b/>
                <w:w w:val="105"/>
                <w:sz w:val="20"/>
              </w:rPr>
              <w:t>三岁始理赔</w:t>
            </w:r>
            <w:r>
              <w:rPr>
                <w:w w:val="108"/>
                <w:sz w:val="20"/>
              </w:rPr>
              <w:t>    </w:t>
            </w:r>
          </w:p>
        </w:tc>
        <w:tc>
          <w:tcPr>
            <w:tcW w:w="7745" w:type="dxa"/>
          </w:tcPr>
          <w:p>
            <w:pPr>
              <w:pStyle w:val="TableParagraph"/>
              <w:spacing w:before="4"/>
              <w:ind w:left="109"/>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测或听觉诱发电位检测等证实。  </w:t>
            </w:r>
          </w:p>
        </w:tc>
      </w:tr>
      <w:tr>
        <w:trPr>
          <w:trHeight w:val="313"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9" w:lineRule="exact"/>
              <w:ind w:left="109"/>
              <w:rPr>
                <w:sz w:val="20"/>
              </w:rPr>
            </w:pPr>
            <w:r>
              <w:rPr>
                <w:w w:val="105"/>
                <w:sz w:val="20"/>
              </w:rPr>
              <w:t>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45" w:lineRule="exact"/>
              <w:ind w:right="497"/>
              <w:jc w:val="center"/>
              <w:rPr>
                <w:sz w:val="20"/>
              </w:rPr>
            </w:pPr>
            <w:r>
              <w:rPr>
                <w:w w:val="105"/>
                <w:sz w:val="20"/>
              </w:rPr>
              <w:t> </w:t>
            </w:r>
          </w:p>
        </w:tc>
        <w:tc>
          <w:tcPr>
            <w:tcW w:w="7745" w:type="dxa"/>
          </w:tcPr>
          <w:p>
            <w:pPr>
              <w:pStyle w:val="TableParagraph"/>
              <w:spacing w:line="245" w:lineRule="exact"/>
              <w:ind w:left="529"/>
              <w:rPr>
                <w:sz w:val="20"/>
              </w:rPr>
            </w:pPr>
            <w:r>
              <w:rPr>
                <w:w w:val="105"/>
                <w:sz w:val="20"/>
              </w:rPr>
              <w:t> </w:t>
            </w:r>
          </w:p>
        </w:tc>
      </w:tr>
      <w:tr>
        <w:trPr>
          <w:trHeight w:val="272"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30" w:lineRule="exact"/>
              <w:ind w:left="394"/>
              <w:rPr>
                <w:sz w:val="20"/>
              </w:rPr>
            </w:pPr>
            <w:r>
              <w:rPr>
                <w:rFonts w:ascii="等线" w:hAnsi="等线" w:eastAsia="等线" w:hint="eastAsia"/>
                <w:b/>
                <w:spacing w:val="-3"/>
                <w:w w:val="77"/>
                <w:sz w:val="20"/>
              </w:rPr>
              <w:t>1</w:t>
            </w:r>
            <w:r>
              <w:rPr>
                <w:rFonts w:ascii="等线" w:hAnsi="等线" w:eastAsia="等线" w:hint="eastAsia"/>
                <w:b/>
                <w:spacing w:val="-3"/>
                <w:w w:val="110"/>
                <w:sz w:val="20"/>
              </w:rPr>
              <w:t>4</w:t>
            </w:r>
            <w:r>
              <w:rPr>
                <w:rFonts w:ascii="等线" w:hAnsi="等线" w:eastAsia="等线" w:hint="eastAsia"/>
                <w:b/>
                <w:spacing w:val="-4"/>
                <w:w w:val="106"/>
                <w:sz w:val="20"/>
              </w:rPr>
              <w:t>、双目失明</w:t>
            </w:r>
            <w:r>
              <w:rPr>
                <w:spacing w:val="-213"/>
                <w:w w:val="106"/>
                <w:sz w:val="20"/>
              </w:rPr>
              <w:t>———</w:t>
            </w:r>
            <w:r>
              <w:rPr>
                <w:spacing w:val="-10"/>
                <w:w w:val="106"/>
                <w:sz w:val="20"/>
              </w:rPr>
              <w:t>—</w:t>
            </w:r>
            <w:r>
              <w:rPr>
                <w:spacing w:val="-213"/>
                <w:w w:val="106"/>
                <w:sz w:val="20"/>
              </w:rPr>
              <w:t>———</w:t>
            </w:r>
            <w:r>
              <w:rPr>
                <w:w w:val="106"/>
                <w:sz w:val="20"/>
              </w:rPr>
              <w:t>—</w:t>
            </w:r>
          </w:p>
        </w:tc>
        <w:tc>
          <w:tcPr>
            <w:tcW w:w="7745" w:type="dxa"/>
          </w:tcPr>
          <w:p>
            <w:pPr>
              <w:pStyle w:val="TableParagraph"/>
              <w:spacing w:line="219" w:lineRule="exact"/>
              <w:ind w:left="109"/>
              <w:rPr>
                <w:sz w:val="20"/>
              </w:rPr>
            </w:pPr>
            <w:r>
              <w:rPr>
                <w:w w:val="105"/>
                <w:sz w:val="20"/>
              </w:rPr>
              <w:t>指因疾病或意外伤害导致双眼视力永久不可逆性丧失，双眼中较好眼须满足下列至</w:t>
            </w:r>
          </w:p>
        </w:tc>
      </w:tr>
      <w:tr>
        <w:trPr>
          <w:trHeight w:val="310" w:hRule="atLeast"/>
        </w:trPr>
        <w:tc>
          <w:tcPr>
            <w:tcW w:w="558" w:type="dxa"/>
          </w:tcPr>
          <w:p>
            <w:pPr>
              <w:pStyle w:val="TableParagraph"/>
              <w:rPr>
                <w:rFonts w:ascii="Times New Roman"/>
                <w:sz w:val="20"/>
              </w:rPr>
            </w:pPr>
          </w:p>
        </w:tc>
        <w:tc>
          <w:tcPr>
            <w:tcW w:w="2234" w:type="dxa"/>
          </w:tcPr>
          <w:p>
            <w:pPr>
              <w:pStyle w:val="TableParagraph"/>
              <w:spacing w:line="258" w:lineRule="exact"/>
              <w:ind w:left="394"/>
              <w:rPr>
                <w:rFonts w:ascii="等线" w:eastAsia="等线" w:hint="eastAsia"/>
                <w:b/>
                <w:sz w:val="20"/>
              </w:rPr>
            </w:pPr>
            <w:r>
              <w:rPr>
                <w:rFonts w:ascii="等线" w:eastAsia="等线" w:hint="eastAsia"/>
                <w:b/>
                <w:w w:val="105"/>
                <w:sz w:val="20"/>
              </w:rPr>
              <w:t>三岁始理赔</w:t>
            </w:r>
          </w:p>
        </w:tc>
        <w:tc>
          <w:tcPr>
            <w:tcW w:w="7745" w:type="dxa"/>
          </w:tcPr>
          <w:p>
            <w:pPr>
              <w:pStyle w:val="TableParagraph"/>
              <w:spacing w:line="259" w:lineRule="exact"/>
              <w:ind w:left="109"/>
              <w:rPr>
                <w:sz w:val="20"/>
              </w:rPr>
            </w:pPr>
            <w:r>
              <w:rPr>
                <w:w w:val="105"/>
                <w:sz w:val="20"/>
              </w:rPr>
              <w:t>少一项条件：  </w:t>
            </w:r>
          </w:p>
        </w:tc>
      </w:tr>
      <w:tr>
        <w:trPr>
          <w:trHeight w:val="314" w:hRule="atLeast"/>
        </w:trPr>
        <w:tc>
          <w:tcPr>
            <w:tcW w:w="558" w:type="dxa"/>
          </w:tcPr>
          <w:p>
            <w:pPr>
              <w:pStyle w:val="TableParagraph"/>
              <w:rPr>
                <w:rFonts w:ascii="Times New Roman"/>
                <w:sz w:val="20"/>
              </w:rPr>
            </w:pPr>
          </w:p>
        </w:tc>
        <w:tc>
          <w:tcPr>
            <w:tcW w:w="2234"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60" w:lineRule="exact"/>
              <w:ind w:left="109"/>
              <w:rPr>
                <w:sz w:val="20"/>
              </w:rPr>
            </w:pPr>
            <w:r>
              <w:rPr>
                <w:w w:val="105"/>
                <w:sz w:val="20"/>
              </w:rPr>
              <w:t>（1）眼球缺失或摘除；  </w:t>
            </w:r>
          </w:p>
        </w:tc>
      </w:tr>
      <w:tr>
        <w:trPr>
          <w:trHeight w:val="309"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7" w:lineRule="exact"/>
              <w:ind w:left="109"/>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（3）视野半径小于5度。  </w:t>
            </w:r>
          </w:p>
        </w:tc>
      </w:tr>
      <w:tr>
        <w:trPr>
          <w:trHeight w:val="313"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60" w:lineRule="exact"/>
              <w:ind w:left="109"/>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9" w:lineRule="exact"/>
              <w:ind w:left="109"/>
              <w:rPr>
                <w:sz w:val="20"/>
              </w:rPr>
            </w:pPr>
            <w:r>
              <w:rPr>
                <w:w w:val="105"/>
                <w:sz w:val="20"/>
              </w:rPr>
              <w:t>检查证据。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50" w:lineRule="exact"/>
              <w:ind w:right="497"/>
              <w:jc w:val="center"/>
              <w:rPr>
                <w:sz w:val="20"/>
              </w:rPr>
            </w:pPr>
            <w:r>
              <w:rPr>
                <w:w w:val="105"/>
                <w:sz w:val="20"/>
              </w:rPr>
              <w:t> </w:t>
            </w:r>
          </w:p>
        </w:tc>
        <w:tc>
          <w:tcPr>
            <w:tcW w:w="7745" w:type="dxa"/>
          </w:tcPr>
          <w:p>
            <w:pPr>
              <w:pStyle w:val="TableParagraph"/>
              <w:spacing w:line="250" w:lineRule="exact"/>
              <w:ind w:left="109"/>
              <w:rPr>
                <w:sz w:val="20"/>
              </w:rPr>
            </w:pPr>
            <w:r>
              <w:rPr>
                <w:w w:val="105"/>
                <w:sz w:val="20"/>
              </w:rPr>
              <w:t> </w:t>
            </w:r>
          </w:p>
        </w:tc>
      </w:tr>
      <w:tr>
        <w:trPr>
          <w:trHeight w:val="271"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16" w:lineRule="exact"/>
              <w:ind w:left="394"/>
              <w:rPr>
                <w:rFonts w:ascii="等线" w:eastAsia="等线" w:hint="eastAsia"/>
                <w:b/>
                <w:sz w:val="20"/>
              </w:rPr>
            </w:pPr>
            <w:r>
              <w:rPr>
                <w:rFonts w:ascii="等线" w:eastAsia="等线" w:hint="eastAsia"/>
                <w:b/>
                <w:sz w:val="20"/>
              </w:rPr>
              <w:t>15、瘫痪</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45" w:type="dxa"/>
          </w:tcPr>
          <w:p>
            <w:pPr>
              <w:pStyle w:val="TableParagraph"/>
              <w:spacing w:line="217" w:lineRule="exact"/>
              <w:ind w:left="109"/>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4"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57" w:lineRule="exact"/>
              <w:ind w:left="109"/>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10" w:hRule="atLeast"/>
        </w:trPr>
        <w:tc>
          <w:tcPr>
            <w:tcW w:w="558" w:type="dxa"/>
          </w:tcPr>
          <w:p>
            <w:pPr>
              <w:pStyle w:val="TableParagraph"/>
              <w:rPr>
                <w:rFonts w:ascii="Times New Roman"/>
                <w:sz w:val="20"/>
              </w:rPr>
            </w:pPr>
          </w:p>
        </w:tc>
        <w:tc>
          <w:tcPr>
            <w:tcW w:w="2234" w:type="dxa"/>
          </w:tcPr>
          <w:p>
            <w:pPr>
              <w:pStyle w:val="TableParagraph"/>
              <w:rPr>
                <w:rFonts w:ascii="Times New Roman"/>
                <w:sz w:val="20"/>
              </w:rPr>
            </w:pPr>
          </w:p>
        </w:tc>
        <w:tc>
          <w:tcPr>
            <w:tcW w:w="7745" w:type="dxa"/>
          </w:tcPr>
          <w:p>
            <w:pPr>
              <w:pStyle w:val="TableParagraph"/>
              <w:spacing w:line="257" w:lineRule="exact"/>
              <w:ind w:left="109"/>
              <w:rPr>
                <w:sz w:val="20"/>
              </w:rPr>
            </w:pPr>
            <w:r>
              <w:rPr>
                <w:w w:val="105"/>
                <w:sz w:val="20"/>
              </w:rPr>
              <w:t>节仍然完全僵硬，或不能随意识活动。 </w:t>
            </w:r>
          </w:p>
        </w:tc>
      </w:tr>
      <w:tr>
        <w:trPr>
          <w:trHeight w:val="542"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before="8"/>
              <w:rPr>
                <w:sz w:val="16"/>
              </w:rPr>
            </w:pPr>
          </w:p>
          <w:p>
            <w:pPr>
              <w:pStyle w:val="TableParagraph"/>
              <w:ind w:left="394"/>
              <w:rPr>
                <w:sz w:val="20"/>
              </w:rPr>
            </w:pPr>
            <w:r>
              <w:rPr>
                <w:rFonts w:ascii="等线" w:eastAsia="等线" w:hint="eastAsia"/>
                <w:b/>
                <w:w w:val="105"/>
                <w:sz w:val="20"/>
              </w:rPr>
              <w:t>16、心脏瓣膜手术</w:t>
            </w:r>
            <w:r>
              <w:rPr>
                <w:w w:val="108"/>
                <w:sz w:val="20"/>
              </w:rPr>
              <w:t>    </w:t>
            </w:r>
          </w:p>
        </w:tc>
        <w:tc>
          <w:tcPr>
            <w:tcW w:w="7745" w:type="dxa"/>
          </w:tcPr>
          <w:p>
            <w:pPr>
              <w:pStyle w:val="TableParagraph"/>
              <w:spacing w:line="242" w:lineRule="exact"/>
              <w:ind w:left="529"/>
              <w:rPr>
                <w:sz w:val="20"/>
              </w:rPr>
            </w:pPr>
            <w:r>
              <w:rPr>
                <w:w w:val="105"/>
                <w:sz w:val="20"/>
              </w:rPr>
              <w:t> </w:t>
            </w:r>
          </w:p>
          <w:p>
            <w:pPr>
              <w:pStyle w:val="TableParagraph"/>
              <w:spacing w:line="245" w:lineRule="exact"/>
              <w:ind w:left="49"/>
              <w:rPr>
                <w:sz w:val="20"/>
              </w:rPr>
            </w:pPr>
            <w:r>
              <w:rPr>
                <w:w w:val="105"/>
                <w:sz w:val="20"/>
              </w:rPr>
              <w:t>指为治疗心脏瓣膜疾病，实际实施了开胸进行的心脏瓣膜置换或修复的手术。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46" w:lineRule="exact"/>
              <w:ind w:right="497"/>
              <w:jc w:val="center"/>
              <w:rPr>
                <w:sz w:val="20"/>
              </w:rPr>
            </w:pPr>
            <w:r>
              <w:rPr>
                <w:w w:val="105"/>
                <w:sz w:val="20"/>
              </w:rPr>
              <w:t> </w:t>
            </w:r>
          </w:p>
        </w:tc>
        <w:tc>
          <w:tcPr>
            <w:tcW w:w="7745" w:type="dxa"/>
          </w:tcPr>
          <w:p>
            <w:pPr>
              <w:pStyle w:val="TableParagraph"/>
              <w:spacing w:line="246" w:lineRule="exact"/>
              <w:ind w:left="529"/>
              <w:rPr>
                <w:sz w:val="20"/>
              </w:rPr>
            </w:pPr>
            <w:r>
              <w:rPr>
                <w:w w:val="105"/>
                <w:sz w:val="20"/>
              </w:rPr>
              <w:t> </w:t>
            </w:r>
          </w:p>
        </w:tc>
      </w:tr>
      <w:tr>
        <w:trPr>
          <w:trHeight w:val="268"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4" w:type="dxa"/>
          </w:tcPr>
          <w:p>
            <w:pPr>
              <w:pStyle w:val="TableParagraph"/>
              <w:spacing w:line="214" w:lineRule="exact"/>
              <w:ind w:left="394"/>
              <w:rPr>
                <w:rFonts w:ascii="等线" w:eastAsia="等线" w:hint="eastAsia"/>
                <w:b/>
                <w:sz w:val="20"/>
              </w:rPr>
            </w:pPr>
            <w:r>
              <w:rPr>
                <w:rFonts w:ascii="等线" w:eastAsia="等线" w:hint="eastAsia"/>
                <w:b/>
                <w:w w:val="105"/>
                <w:sz w:val="20"/>
              </w:rPr>
              <w:t>17、严重阿尔茨海</w:t>
            </w:r>
          </w:p>
        </w:tc>
        <w:tc>
          <w:tcPr>
            <w:tcW w:w="7745" w:type="dxa"/>
          </w:tcPr>
          <w:p>
            <w:pPr>
              <w:pStyle w:val="TableParagraph"/>
              <w:spacing w:line="215" w:lineRule="exact"/>
              <w:ind w:left="109"/>
              <w:rPr>
                <w:sz w:val="20"/>
              </w:rPr>
            </w:pPr>
            <w:r>
              <w:rPr>
                <w:w w:val="105"/>
                <w:sz w:val="20"/>
              </w:rPr>
              <w:t>指因大脑进行性、不可逆性改变导致智能严重衰退或丧失，临床表现为明显的认知</w:t>
            </w:r>
          </w:p>
        </w:tc>
      </w:tr>
      <w:tr>
        <w:trPr>
          <w:trHeight w:val="310" w:hRule="atLeast"/>
        </w:trPr>
        <w:tc>
          <w:tcPr>
            <w:tcW w:w="558" w:type="dxa"/>
          </w:tcPr>
          <w:p>
            <w:pPr>
              <w:pStyle w:val="TableParagraph"/>
              <w:rPr>
                <w:rFonts w:ascii="Times New Roman"/>
                <w:sz w:val="20"/>
              </w:rPr>
            </w:pPr>
          </w:p>
        </w:tc>
        <w:tc>
          <w:tcPr>
            <w:tcW w:w="2234" w:type="dxa"/>
          </w:tcPr>
          <w:p>
            <w:pPr>
              <w:pStyle w:val="TableParagraph"/>
              <w:spacing w:line="262" w:lineRule="exact"/>
              <w:ind w:left="399"/>
              <w:rPr>
                <w:rFonts w:ascii="等线" w:eastAsia="等线" w:hint="eastAsia"/>
                <w:b/>
                <w:sz w:val="20"/>
              </w:rPr>
            </w:pPr>
            <w:r>
              <w:rPr>
                <w:rFonts w:ascii="等线" w:eastAsia="等线" w:hint="eastAsia"/>
                <w:b/>
                <w:w w:val="105"/>
                <w:sz w:val="20"/>
              </w:rPr>
              <w:t>默病</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45" w:type="dxa"/>
          </w:tcPr>
          <w:p>
            <w:pPr>
              <w:pStyle w:val="TableParagraph"/>
              <w:spacing w:line="259" w:lineRule="exact"/>
              <w:ind w:left="109"/>
              <w:rPr>
                <w:sz w:val="20"/>
              </w:rPr>
            </w:pPr>
            <w:r>
              <w:rPr>
                <w:w w:val="105"/>
                <w:sz w:val="20"/>
              </w:rPr>
              <w:t>能力障碍、行为异常和社交能力减退，其日常生活必须持续受到他人监护。须由头</w:t>
            </w:r>
          </w:p>
        </w:tc>
      </w:tr>
      <w:tr>
        <w:trPr>
          <w:trHeight w:val="262" w:hRule="atLeast"/>
        </w:trPr>
        <w:tc>
          <w:tcPr>
            <w:tcW w:w="558" w:type="dxa"/>
          </w:tcPr>
          <w:p>
            <w:pPr>
              <w:pStyle w:val="TableParagraph"/>
              <w:rPr>
                <w:rFonts w:ascii="Times New Roman"/>
                <w:sz w:val="18"/>
              </w:rPr>
            </w:pPr>
          </w:p>
        </w:tc>
        <w:tc>
          <w:tcPr>
            <w:tcW w:w="2234" w:type="dxa"/>
          </w:tcPr>
          <w:p>
            <w:pPr>
              <w:pStyle w:val="TableParagraph"/>
              <w:spacing w:line="240" w:lineRule="exact"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5" w:type="dxa"/>
          </w:tcPr>
          <w:p>
            <w:pPr>
              <w:pStyle w:val="TableParagraph"/>
              <w:spacing w:line="243" w:lineRule="exact"/>
              <w:ind w:left="109"/>
              <w:rPr>
                <w:sz w:val="20"/>
              </w:rPr>
            </w:pPr>
            <w:r>
              <w:rPr>
                <w:w w:val="105"/>
                <w:sz w:val="20"/>
              </w:rPr>
              <w:t>颅断层扫描（CT）、核磁共振检查（MRI）或正电子发射断层扫描（PET）等影像学</w:t>
            </w:r>
          </w:p>
        </w:tc>
      </w:tr>
    </w:tbl>
    <w:p>
      <w:pPr>
        <w:spacing w:after="0" w:line="243" w:lineRule="exact"/>
        <w:rPr>
          <w:sz w:val="20"/>
        </w:rPr>
        <w:sectPr>
          <w:pgSz w:w="11900" w:h="16840"/>
          <w:pgMar w:header="0" w:footer="440" w:top="118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8"/>
        <w:gridCol w:w="7742"/>
      </w:tblGrid>
      <w:tr>
        <w:trPr>
          <w:trHeight w:val="883" w:hRule="atLeast"/>
        </w:trPr>
        <w:tc>
          <w:tcPr>
            <w:tcW w:w="2796" w:type="dxa"/>
            <w:gridSpan w:val="2"/>
          </w:tcPr>
          <w:p>
            <w:pPr>
              <w:pStyle w:val="TableParagraph"/>
              <w:rPr>
                <w:rFonts w:ascii="Times New Roman"/>
                <w:sz w:val="20"/>
              </w:rPr>
            </w:pPr>
          </w:p>
        </w:tc>
        <w:tc>
          <w:tcPr>
            <w:tcW w:w="7742" w:type="dxa"/>
          </w:tcPr>
          <w:p>
            <w:pPr>
              <w:pStyle w:val="TableParagraph"/>
              <w:spacing w:line="206" w:lineRule="exact"/>
              <w:ind w:left="105"/>
              <w:rPr>
                <w:sz w:val="20"/>
              </w:rPr>
            </w:pPr>
            <w:r>
              <w:rPr>
                <w:w w:val="105"/>
                <w:sz w:val="20"/>
              </w:rPr>
              <w:t>检查证实，自主生活能力完全丧失，无法独立完成六项基本日常生活活动中的三项</w:t>
            </w:r>
          </w:p>
          <w:p>
            <w:pPr>
              <w:pStyle w:val="TableParagraph"/>
              <w:spacing w:before="50"/>
              <w:ind w:left="105"/>
              <w:rPr>
                <w:sz w:val="20"/>
              </w:rPr>
            </w:pPr>
            <w:r>
              <w:rPr>
                <w:w w:val="105"/>
                <w:sz w:val="20"/>
              </w:rPr>
              <w:t>或三项以上。  </w:t>
            </w:r>
          </w:p>
          <w:p>
            <w:pPr>
              <w:pStyle w:val="TableParagraph"/>
              <w:spacing w:before="50"/>
              <w:ind w:left="105"/>
              <w:rPr>
                <w:sz w:val="20"/>
              </w:rPr>
            </w:pPr>
            <w:r>
              <w:rPr>
                <w:w w:val="105"/>
                <w:sz w:val="20"/>
              </w:rPr>
              <w:t>神经官能症和精神疾病不在保障范围内。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50" w:lineRule="exact"/>
              <w:ind w:left="394"/>
              <w:rPr>
                <w:sz w:val="20"/>
              </w:rPr>
            </w:pPr>
            <w:r>
              <w:rPr>
                <w:w w:val="105"/>
                <w:sz w:val="20"/>
              </w:rPr>
              <w:t> </w:t>
            </w:r>
          </w:p>
        </w:tc>
        <w:tc>
          <w:tcPr>
            <w:tcW w:w="7742" w:type="dxa"/>
          </w:tcPr>
          <w:p>
            <w:pPr>
              <w:pStyle w:val="TableParagraph"/>
              <w:spacing w:line="250" w:lineRule="exact"/>
              <w:ind w:left="105"/>
              <w:rPr>
                <w:sz w:val="20"/>
              </w:rPr>
            </w:pPr>
            <w:r>
              <w:rPr>
                <w:w w:val="105"/>
                <w:sz w:val="20"/>
              </w:rPr>
              <w:t> </w:t>
            </w:r>
          </w:p>
        </w:tc>
      </w:tr>
      <w:tr>
        <w:trPr>
          <w:trHeight w:val="271"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6" w:lineRule="exact"/>
              <w:ind w:left="394"/>
              <w:rPr>
                <w:rFonts w:ascii="等线" w:eastAsia="等线" w:hint="eastAsia"/>
                <w:b/>
                <w:sz w:val="20"/>
              </w:rPr>
            </w:pPr>
            <w:r>
              <w:rPr>
                <w:rFonts w:ascii="等线" w:eastAsia="等线" w:hint="eastAsia"/>
                <w:b/>
                <w:sz w:val="20"/>
              </w:rPr>
              <w:t>18、严重脑损伤</w:t>
            </w:r>
          </w:p>
        </w:tc>
        <w:tc>
          <w:tcPr>
            <w:tcW w:w="7742" w:type="dxa"/>
          </w:tcPr>
          <w:p>
            <w:pPr>
              <w:pStyle w:val="TableParagraph"/>
              <w:spacing w:line="217" w:lineRule="exact"/>
              <w:ind w:left="105"/>
              <w:rPr>
                <w:sz w:val="20"/>
              </w:rPr>
            </w:pPr>
            <w:r>
              <w:rPr>
                <w:spacing w:val="-15"/>
                <w:w w:val="105"/>
                <w:sz w:val="20"/>
              </w:rPr>
              <w:t>指因头部遭受机械性外力，引起脑重要部位损伤，导致神经系统永久性的功能障碍。</w:t>
            </w:r>
          </w:p>
        </w:tc>
      </w:tr>
      <w:tr>
        <w:trPr>
          <w:trHeight w:val="311" w:hRule="atLeast"/>
        </w:trPr>
        <w:tc>
          <w:tcPr>
            <w:tcW w:w="558" w:type="dxa"/>
          </w:tcPr>
          <w:p>
            <w:pPr>
              <w:pStyle w:val="TableParagraph"/>
              <w:rPr>
                <w:rFonts w:ascii="Times New Roman"/>
                <w:sz w:val="20"/>
              </w:rPr>
            </w:pPr>
          </w:p>
        </w:tc>
        <w:tc>
          <w:tcPr>
            <w:tcW w:w="2238"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2" w:type="dxa"/>
          </w:tcPr>
          <w:p>
            <w:pPr>
              <w:pStyle w:val="TableParagraph"/>
              <w:spacing w:line="257" w:lineRule="exact"/>
              <w:ind w:left="105"/>
              <w:rPr>
                <w:sz w:val="20"/>
              </w:rPr>
            </w:pPr>
            <w:r>
              <w:rPr>
                <w:w w:val="105"/>
                <w:sz w:val="20"/>
              </w:rPr>
              <w:t>须由头颅断层扫描（CT）、核磁共振检查（MRI）或正电子发射断层扫描（PET）等</w:t>
            </w:r>
          </w:p>
        </w:tc>
      </w:tr>
      <w:tr>
        <w:trPr>
          <w:trHeight w:val="309"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7" w:lineRule="exact"/>
              <w:ind w:left="105"/>
              <w:rPr>
                <w:sz w:val="20"/>
              </w:rPr>
            </w:pPr>
            <w:r>
              <w:rPr>
                <w:w w:val="105"/>
                <w:sz w:val="20"/>
              </w:rPr>
              <w:t>影像学检查证实。神经系统永久性的功能障碍，指脑损伤180天后，仍遗留下列一</w:t>
            </w:r>
          </w:p>
        </w:tc>
      </w:tr>
      <w:tr>
        <w:trPr>
          <w:trHeight w:val="311"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种或一种以上障碍：  </w:t>
            </w:r>
          </w:p>
        </w:tc>
      </w:tr>
      <w:tr>
        <w:trPr>
          <w:trHeight w:val="311"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9" w:lineRule="exact"/>
              <w:ind w:left="105"/>
              <w:rPr>
                <w:sz w:val="20"/>
              </w:rPr>
            </w:pPr>
            <w:r>
              <w:rPr>
                <w:w w:val="105"/>
                <w:sz w:val="20"/>
              </w:rPr>
              <w:t>项以上。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50" w:lineRule="exact"/>
              <w:ind w:left="394"/>
              <w:rPr>
                <w:sz w:val="20"/>
              </w:rPr>
            </w:pPr>
            <w:r>
              <w:rPr>
                <w:w w:val="105"/>
                <w:sz w:val="20"/>
              </w:rPr>
              <w:t> </w:t>
            </w:r>
          </w:p>
        </w:tc>
        <w:tc>
          <w:tcPr>
            <w:tcW w:w="7742" w:type="dxa"/>
          </w:tcPr>
          <w:p>
            <w:pPr>
              <w:pStyle w:val="TableParagraph"/>
              <w:spacing w:line="250" w:lineRule="exact"/>
              <w:ind w:left="525"/>
              <w:rPr>
                <w:sz w:val="20"/>
              </w:rPr>
            </w:pPr>
            <w:r>
              <w:rPr>
                <w:w w:val="105"/>
                <w:sz w:val="20"/>
              </w:rPr>
              <w:t> </w:t>
            </w:r>
          </w:p>
        </w:tc>
      </w:tr>
      <w:tr>
        <w:trPr>
          <w:trHeight w:val="272"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6" w:lineRule="exact"/>
              <w:ind w:left="394"/>
              <w:rPr>
                <w:rFonts w:ascii="等线" w:eastAsia="等线" w:hint="eastAsia"/>
                <w:b/>
                <w:sz w:val="20"/>
              </w:rPr>
            </w:pPr>
            <w:r>
              <w:rPr>
                <w:rFonts w:ascii="等线" w:eastAsia="等线" w:hint="eastAsia"/>
                <w:b/>
                <w:w w:val="105"/>
                <w:sz w:val="20"/>
              </w:rPr>
              <w:t>19、严重帕金森病</w:t>
            </w:r>
          </w:p>
        </w:tc>
        <w:tc>
          <w:tcPr>
            <w:tcW w:w="7742" w:type="dxa"/>
          </w:tcPr>
          <w:p>
            <w:pPr>
              <w:pStyle w:val="TableParagraph"/>
              <w:spacing w:line="217" w:lineRule="exact"/>
              <w:ind w:left="105"/>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38"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2" w:type="dxa"/>
          </w:tcPr>
          <w:p>
            <w:pPr>
              <w:pStyle w:val="TableParagraph"/>
              <w:spacing w:line="256" w:lineRule="exact"/>
              <w:ind w:left="105"/>
              <w:rPr>
                <w:sz w:val="20"/>
              </w:rPr>
            </w:pPr>
            <w:r>
              <w:rPr>
                <w:w w:val="105"/>
                <w:sz w:val="20"/>
              </w:rPr>
              <w:t>列全部条件：  </w:t>
            </w:r>
          </w:p>
        </w:tc>
      </w:tr>
      <w:tr>
        <w:trPr>
          <w:trHeight w:val="309"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7" w:lineRule="exact"/>
              <w:ind w:left="105"/>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9" w:lineRule="exact"/>
              <w:ind w:left="105"/>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继发性帕金森综合征不在保障范围内。  </w:t>
            </w:r>
          </w:p>
        </w:tc>
      </w:tr>
      <w:tr>
        <w:trPr>
          <w:trHeight w:val="268" w:hRule="atLeast"/>
        </w:trPr>
        <w:tc>
          <w:tcPr>
            <w:tcW w:w="558" w:type="dxa"/>
          </w:tcPr>
          <w:p>
            <w:pPr>
              <w:pStyle w:val="TableParagraph"/>
              <w:spacing w:line="247"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49" w:lineRule="exact"/>
              <w:ind w:left="394"/>
              <w:rPr>
                <w:sz w:val="20"/>
              </w:rPr>
            </w:pPr>
            <w:r>
              <w:rPr>
                <w:w w:val="105"/>
                <w:sz w:val="20"/>
              </w:rPr>
              <w:t> </w:t>
            </w:r>
          </w:p>
        </w:tc>
        <w:tc>
          <w:tcPr>
            <w:tcW w:w="7742" w:type="dxa"/>
          </w:tcPr>
          <w:p>
            <w:pPr>
              <w:pStyle w:val="TableParagraph"/>
              <w:spacing w:line="249" w:lineRule="exact"/>
              <w:ind w:left="105"/>
              <w:rPr>
                <w:sz w:val="20"/>
              </w:rPr>
            </w:pPr>
            <w:r>
              <w:rPr>
                <w:w w:val="105"/>
                <w:sz w:val="20"/>
              </w:rPr>
              <w:t> </w:t>
            </w:r>
          </w:p>
        </w:tc>
      </w:tr>
      <w:tr>
        <w:trPr>
          <w:trHeight w:val="269"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4" w:lineRule="exact"/>
              <w:ind w:left="394"/>
              <w:rPr>
                <w:rFonts w:ascii="等线" w:eastAsia="等线" w:hint="eastAsia"/>
                <w:b/>
                <w:sz w:val="20"/>
              </w:rPr>
            </w:pPr>
            <w:r>
              <w:rPr>
                <w:rFonts w:ascii="等线" w:eastAsia="等线" w:hint="eastAsia"/>
                <w:b/>
                <w:spacing w:val="-3"/>
                <w:w w:val="110"/>
                <w:sz w:val="20"/>
              </w:rPr>
              <w:t>20</w:t>
            </w:r>
            <w:r>
              <w:rPr>
                <w:rFonts w:ascii="等线" w:eastAsia="等线" w:hint="eastAsia"/>
                <w:b/>
                <w:spacing w:val="-25"/>
                <w:w w:val="110"/>
                <w:sz w:val="20"/>
              </w:rPr>
              <w:t>、严重 </w:t>
            </w:r>
            <w:r>
              <w:rPr>
                <w:rFonts w:ascii="等线" w:eastAsia="等线" w:hint="eastAsia"/>
                <w:b/>
                <w:spacing w:val="-3"/>
                <w:w w:val="110"/>
                <w:sz w:val="20"/>
              </w:rPr>
              <w:t>III</w:t>
            </w:r>
            <w:r>
              <w:rPr>
                <w:rFonts w:ascii="等线" w:eastAsia="等线" w:hint="eastAsia"/>
                <w:b/>
                <w:spacing w:val="-9"/>
                <w:w w:val="110"/>
                <w:sz w:val="20"/>
              </w:rPr>
              <w:t> 度烧伤</w:t>
            </w:r>
          </w:p>
        </w:tc>
        <w:tc>
          <w:tcPr>
            <w:tcW w:w="7742" w:type="dxa"/>
          </w:tcPr>
          <w:p>
            <w:pPr>
              <w:pStyle w:val="TableParagraph"/>
              <w:spacing w:line="215" w:lineRule="exact"/>
              <w:ind w:left="105"/>
              <w:rPr>
                <w:sz w:val="20"/>
              </w:rPr>
            </w:pPr>
            <w:r>
              <w:rPr>
                <w:w w:val="105"/>
                <w:sz w:val="20"/>
              </w:rPr>
              <w:t>指烧伤程度为Ⅲ度，且Ⅲ度烧伤面积达到全身体表面积的20％或20％以上。体表面</w:t>
            </w:r>
          </w:p>
        </w:tc>
      </w:tr>
      <w:tr>
        <w:trPr>
          <w:trHeight w:val="310"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7" w:lineRule="exact"/>
              <w:ind w:left="105"/>
              <w:rPr>
                <w:sz w:val="20"/>
              </w:rPr>
            </w:pPr>
            <w:r>
              <w:rPr>
                <w:w w:val="105"/>
                <w:sz w:val="20"/>
              </w:rPr>
              <w:t>积根据《中国新九分法》计算。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rPr>
                <w:rFonts w:ascii="Times New Roman"/>
                <w:sz w:val="20"/>
              </w:rPr>
            </w:pPr>
          </w:p>
        </w:tc>
        <w:tc>
          <w:tcPr>
            <w:tcW w:w="7742" w:type="dxa"/>
          </w:tcPr>
          <w:p>
            <w:pPr>
              <w:pStyle w:val="TableParagraph"/>
              <w:spacing w:line="250" w:lineRule="exact"/>
              <w:ind w:left="105"/>
              <w:rPr>
                <w:sz w:val="20"/>
              </w:rPr>
            </w:pPr>
            <w:r>
              <w:rPr>
                <w:w w:val="105"/>
                <w:sz w:val="20"/>
              </w:rPr>
              <w:t> </w:t>
            </w:r>
          </w:p>
        </w:tc>
      </w:tr>
      <w:tr>
        <w:trPr>
          <w:trHeight w:val="262"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6" w:lineRule="exact"/>
              <w:ind w:left="394"/>
              <w:rPr>
                <w:rFonts w:ascii="等线" w:eastAsia="等线" w:hint="eastAsia"/>
                <w:b/>
                <w:sz w:val="20"/>
              </w:rPr>
            </w:pPr>
            <w:r>
              <w:rPr>
                <w:rFonts w:ascii="等线" w:eastAsia="等线" w:hint="eastAsia"/>
                <w:b/>
                <w:w w:val="105"/>
                <w:sz w:val="20"/>
              </w:rPr>
              <w:t>21、严重原发性肺</w:t>
            </w:r>
          </w:p>
        </w:tc>
        <w:tc>
          <w:tcPr>
            <w:tcW w:w="7742" w:type="dxa"/>
          </w:tcPr>
          <w:p>
            <w:pPr>
              <w:pStyle w:val="TableParagraph"/>
              <w:spacing w:line="217" w:lineRule="exact"/>
              <w:ind w:left="105"/>
              <w:rPr>
                <w:sz w:val="20"/>
              </w:rPr>
            </w:pPr>
            <w:r>
              <w:rPr>
                <w:w w:val="105"/>
                <w:sz w:val="20"/>
              </w:rPr>
              <w:t>指不明原因的肺动脉压力持续性增高，进行性发展而导致的慢性疾病，已经造成永</w:t>
            </w:r>
          </w:p>
        </w:tc>
      </w:tr>
      <w:tr>
        <w:trPr>
          <w:trHeight w:val="317" w:hRule="atLeast"/>
        </w:trPr>
        <w:tc>
          <w:tcPr>
            <w:tcW w:w="558" w:type="dxa"/>
          </w:tcPr>
          <w:p>
            <w:pPr>
              <w:pStyle w:val="TableParagraph"/>
              <w:rPr>
                <w:rFonts w:ascii="Times New Roman"/>
                <w:sz w:val="20"/>
              </w:rPr>
            </w:pPr>
          </w:p>
        </w:tc>
        <w:tc>
          <w:tcPr>
            <w:tcW w:w="2238" w:type="dxa"/>
          </w:tcPr>
          <w:p>
            <w:pPr>
              <w:pStyle w:val="TableParagraph"/>
              <w:spacing w:line="270" w:lineRule="exact"/>
              <w:ind w:left="394"/>
              <w:rPr>
                <w:sz w:val="20"/>
              </w:rPr>
            </w:pPr>
            <w:r>
              <w:rPr>
                <w:rFonts w:ascii="等线" w:eastAsia="等线" w:hint="eastAsia"/>
                <w:b/>
                <w:w w:val="105"/>
                <w:sz w:val="20"/>
              </w:rPr>
              <w:t>动脉高压</w:t>
            </w:r>
            <w:r>
              <w:rPr>
                <w:w w:val="108"/>
                <w:sz w:val="20"/>
              </w:rPr>
              <w:t>    </w:t>
            </w:r>
          </w:p>
        </w:tc>
        <w:tc>
          <w:tcPr>
            <w:tcW w:w="7742" w:type="dxa"/>
          </w:tcPr>
          <w:p>
            <w:pPr>
              <w:pStyle w:val="TableParagraph"/>
              <w:spacing w:before="4"/>
              <w:ind w:left="105"/>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60" w:lineRule="exact"/>
              <w:ind w:left="105"/>
              <w:rPr>
                <w:sz w:val="20"/>
              </w:rPr>
            </w:pPr>
            <w:r>
              <w:rPr>
                <w:w w:val="105"/>
                <w:sz w:val="20"/>
              </w:rPr>
              <w:t>静息状态下肺动脉平均压超过 30mmHg。 </w:t>
            </w:r>
          </w:p>
        </w:tc>
      </w:tr>
      <w:tr>
        <w:trPr>
          <w:trHeight w:val="268" w:hRule="atLeast"/>
        </w:trPr>
        <w:tc>
          <w:tcPr>
            <w:tcW w:w="558" w:type="dxa"/>
          </w:tcPr>
          <w:p>
            <w:pPr>
              <w:pStyle w:val="TableParagraph"/>
              <w:spacing w:line="247"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49" w:lineRule="exact"/>
              <w:ind w:left="394"/>
              <w:rPr>
                <w:sz w:val="20"/>
              </w:rPr>
            </w:pPr>
            <w:r>
              <w:rPr>
                <w:w w:val="105"/>
                <w:sz w:val="20"/>
              </w:rPr>
              <w:t> </w:t>
            </w:r>
          </w:p>
        </w:tc>
        <w:tc>
          <w:tcPr>
            <w:tcW w:w="7742" w:type="dxa"/>
          </w:tcPr>
          <w:p>
            <w:pPr>
              <w:pStyle w:val="TableParagraph"/>
              <w:spacing w:line="249" w:lineRule="exact"/>
              <w:ind w:left="105"/>
              <w:rPr>
                <w:sz w:val="20"/>
              </w:rPr>
            </w:pPr>
            <w:r>
              <w:rPr>
                <w:w w:val="105"/>
                <w:sz w:val="20"/>
              </w:rPr>
              <w:t> </w:t>
            </w:r>
          </w:p>
        </w:tc>
      </w:tr>
      <w:tr>
        <w:trPr>
          <w:trHeight w:val="268"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4" w:lineRule="exact"/>
              <w:ind w:left="394"/>
              <w:rPr>
                <w:rFonts w:ascii="等线" w:eastAsia="等线" w:hint="eastAsia"/>
                <w:b/>
                <w:sz w:val="20"/>
              </w:rPr>
            </w:pPr>
            <w:r>
              <w:rPr>
                <w:rFonts w:ascii="等线" w:eastAsia="等线" w:hint="eastAsia"/>
                <w:b/>
                <w:w w:val="105"/>
                <w:sz w:val="20"/>
              </w:rPr>
              <w:t>22、严重运动神经</w:t>
            </w:r>
          </w:p>
        </w:tc>
        <w:tc>
          <w:tcPr>
            <w:tcW w:w="7742" w:type="dxa"/>
          </w:tcPr>
          <w:p>
            <w:pPr>
              <w:pStyle w:val="TableParagraph"/>
              <w:spacing w:line="215" w:lineRule="exact"/>
              <w:ind w:left="105"/>
              <w:rPr>
                <w:sz w:val="20"/>
              </w:rPr>
            </w:pPr>
            <w:r>
              <w:rPr>
                <w:w w:val="105"/>
                <w:sz w:val="20"/>
              </w:rPr>
              <w:t>是一组中枢神经系统运动神经元的进行性变性疾病，包括进行性脊肌萎缩症、进行</w:t>
            </w:r>
          </w:p>
        </w:tc>
      </w:tr>
      <w:tr>
        <w:trPr>
          <w:trHeight w:val="310" w:hRule="atLeast"/>
        </w:trPr>
        <w:tc>
          <w:tcPr>
            <w:tcW w:w="558" w:type="dxa"/>
          </w:tcPr>
          <w:p>
            <w:pPr>
              <w:pStyle w:val="TableParagraph"/>
              <w:rPr>
                <w:rFonts w:ascii="Times New Roman"/>
                <w:sz w:val="20"/>
              </w:rPr>
            </w:pPr>
          </w:p>
        </w:tc>
        <w:tc>
          <w:tcPr>
            <w:tcW w:w="2238" w:type="dxa"/>
          </w:tcPr>
          <w:p>
            <w:pPr>
              <w:pStyle w:val="TableParagraph"/>
              <w:spacing w:line="258" w:lineRule="exact"/>
              <w:ind w:left="394"/>
              <w:rPr>
                <w:rFonts w:ascii="等线" w:eastAsia="等线" w:hint="eastAsia"/>
                <w:b/>
                <w:sz w:val="20"/>
              </w:rPr>
            </w:pPr>
            <w:r>
              <w:rPr>
                <w:rFonts w:ascii="等线" w:eastAsia="等线" w:hint="eastAsia"/>
                <w:b/>
                <w:w w:val="105"/>
                <w:sz w:val="20"/>
              </w:rPr>
              <w:t>元病</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42" w:type="dxa"/>
          </w:tcPr>
          <w:p>
            <w:pPr>
              <w:pStyle w:val="TableParagraph"/>
              <w:spacing w:line="259" w:lineRule="exact"/>
              <w:ind w:left="105"/>
              <w:rPr>
                <w:sz w:val="20"/>
              </w:rPr>
            </w:pPr>
            <w:r>
              <w:rPr>
                <w:w w:val="105"/>
                <w:sz w:val="20"/>
              </w:rPr>
              <w:t>性延髓麻痹症、原发性侧索硬化症、肌萎缩性侧索硬化症。须满足自主生活能力完</w:t>
            </w:r>
          </w:p>
        </w:tc>
      </w:tr>
      <w:tr>
        <w:trPr>
          <w:trHeight w:val="315" w:hRule="atLeast"/>
        </w:trPr>
        <w:tc>
          <w:tcPr>
            <w:tcW w:w="558" w:type="dxa"/>
          </w:tcPr>
          <w:p>
            <w:pPr>
              <w:pStyle w:val="TableParagraph"/>
              <w:rPr>
                <w:rFonts w:ascii="Times New Roman"/>
                <w:sz w:val="20"/>
              </w:rPr>
            </w:pPr>
          </w:p>
        </w:tc>
        <w:tc>
          <w:tcPr>
            <w:tcW w:w="2238"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2" w:type="dxa"/>
          </w:tcPr>
          <w:p>
            <w:pPr>
              <w:pStyle w:val="TableParagraph"/>
              <w:spacing w:line="260" w:lineRule="exact"/>
              <w:ind w:left="105"/>
              <w:rPr>
                <w:sz w:val="20"/>
              </w:rPr>
            </w:pPr>
            <w:r>
              <w:rPr>
                <w:w w:val="105"/>
                <w:sz w:val="20"/>
              </w:rPr>
              <w:t>全丧失，无法独立完成六项基本日常生活活动中的三项或三项以上。  </w:t>
            </w:r>
          </w:p>
        </w:tc>
      </w:tr>
      <w:tr>
        <w:trPr>
          <w:trHeight w:val="267" w:hRule="atLeast"/>
        </w:trPr>
        <w:tc>
          <w:tcPr>
            <w:tcW w:w="558" w:type="dxa"/>
          </w:tcPr>
          <w:p>
            <w:pPr>
              <w:pStyle w:val="TableParagraph"/>
              <w:spacing w:line="24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48" w:lineRule="exact"/>
              <w:ind w:left="394"/>
              <w:rPr>
                <w:sz w:val="20"/>
              </w:rPr>
            </w:pPr>
            <w:r>
              <w:rPr>
                <w:w w:val="105"/>
                <w:sz w:val="20"/>
              </w:rPr>
              <w:t> </w:t>
            </w:r>
          </w:p>
        </w:tc>
        <w:tc>
          <w:tcPr>
            <w:tcW w:w="7742" w:type="dxa"/>
          </w:tcPr>
          <w:p>
            <w:pPr>
              <w:pStyle w:val="TableParagraph"/>
              <w:spacing w:line="248" w:lineRule="exact"/>
              <w:ind w:left="105"/>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6" w:lineRule="exact"/>
              <w:ind w:left="394"/>
              <w:rPr>
                <w:rFonts w:ascii="等线" w:eastAsia="等线" w:hint="eastAsia"/>
                <w:b/>
                <w:sz w:val="20"/>
              </w:rPr>
            </w:pPr>
            <w:r>
              <w:rPr>
                <w:rFonts w:ascii="等线" w:eastAsia="等线" w:hint="eastAsia"/>
                <w:b/>
                <w:w w:val="105"/>
                <w:sz w:val="20"/>
              </w:rPr>
              <w:t>23、语言能力丧失</w:t>
            </w:r>
          </w:p>
        </w:tc>
        <w:tc>
          <w:tcPr>
            <w:tcW w:w="7742" w:type="dxa"/>
          </w:tcPr>
          <w:p>
            <w:pPr>
              <w:pStyle w:val="TableParagraph"/>
              <w:spacing w:line="217" w:lineRule="exact"/>
              <w:ind w:left="105"/>
              <w:rPr>
                <w:sz w:val="20"/>
              </w:rPr>
            </w:pPr>
            <w:r>
              <w:rPr>
                <w:w w:val="105"/>
                <w:sz w:val="20"/>
              </w:rPr>
              <w:t>指因疾病或意外伤害导致完全丧失语言能力，经过积极治疗至少12个月（声带完全</w:t>
            </w:r>
          </w:p>
        </w:tc>
      </w:tr>
      <w:tr>
        <w:trPr>
          <w:trHeight w:val="310" w:hRule="atLeast"/>
        </w:trPr>
        <w:tc>
          <w:tcPr>
            <w:tcW w:w="558" w:type="dxa"/>
          </w:tcPr>
          <w:p>
            <w:pPr>
              <w:pStyle w:val="TableParagraph"/>
              <w:rPr>
                <w:rFonts w:ascii="Times New Roman"/>
                <w:sz w:val="20"/>
              </w:rPr>
            </w:pPr>
          </w:p>
        </w:tc>
        <w:tc>
          <w:tcPr>
            <w:tcW w:w="2238" w:type="dxa"/>
          </w:tcPr>
          <w:p>
            <w:pPr>
              <w:pStyle w:val="TableParagraph"/>
              <w:spacing w:line="258" w:lineRule="exact"/>
              <w:ind w:left="394"/>
              <w:rPr>
                <w:rFonts w:ascii="等线" w:eastAsia="等线" w:hint="eastAsia"/>
                <w:b/>
                <w:sz w:val="20"/>
              </w:rPr>
            </w:pPr>
            <w:r>
              <w:rPr>
                <w:rFonts w:ascii="等线" w:eastAsia="等线" w:hint="eastAsia"/>
                <w:b/>
                <w:w w:val="105"/>
                <w:sz w:val="20"/>
              </w:rPr>
              <w:t>－三岁始理赔</w:t>
            </w:r>
          </w:p>
        </w:tc>
        <w:tc>
          <w:tcPr>
            <w:tcW w:w="7742" w:type="dxa"/>
          </w:tcPr>
          <w:p>
            <w:pPr>
              <w:pStyle w:val="TableParagraph"/>
              <w:spacing w:line="259" w:lineRule="exact"/>
              <w:ind w:left="105"/>
              <w:rPr>
                <w:sz w:val="20"/>
              </w:rPr>
            </w:pPr>
            <w:r>
              <w:rPr>
                <w:w w:val="105"/>
                <w:sz w:val="20"/>
              </w:rPr>
              <w:t>切除不受此时间限制），仍无法通过现有医疗手段恢复。  </w:t>
            </w:r>
          </w:p>
        </w:tc>
      </w:tr>
      <w:tr>
        <w:trPr>
          <w:trHeight w:val="314" w:hRule="atLeast"/>
        </w:trPr>
        <w:tc>
          <w:tcPr>
            <w:tcW w:w="558" w:type="dxa"/>
          </w:tcPr>
          <w:p>
            <w:pPr>
              <w:pStyle w:val="TableParagraph"/>
              <w:rPr>
                <w:rFonts w:ascii="Times New Roman"/>
                <w:sz w:val="20"/>
              </w:rPr>
            </w:pPr>
          </w:p>
        </w:tc>
        <w:tc>
          <w:tcPr>
            <w:tcW w:w="2238"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2" w:type="dxa"/>
          </w:tcPr>
          <w:p>
            <w:pPr>
              <w:pStyle w:val="TableParagraph"/>
              <w:spacing w:line="260" w:lineRule="exact"/>
              <w:ind w:left="105"/>
              <w:rPr>
                <w:sz w:val="20"/>
              </w:rPr>
            </w:pPr>
            <w:r>
              <w:rPr>
                <w:w w:val="105"/>
                <w:sz w:val="20"/>
              </w:rPr>
              <w:t>精神心理因素所致的语言能力丧失不在保障范围内。  </w:t>
            </w:r>
          </w:p>
        </w:tc>
      </w:tr>
      <w:tr>
        <w:trPr>
          <w:trHeight w:val="310"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7" w:lineRule="exact"/>
              <w:ind w:left="105"/>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38" w:type="dxa"/>
          </w:tcPr>
          <w:p>
            <w:pPr>
              <w:pStyle w:val="TableParagraph"/>
              <w:rPr>
                <w:rFonts w:ascii="Times New Roman"/>
                <w:sz w:val="20"/>
              </w:rPr>
            </w:pPr>
          </w:p>
        </w:tc>
        <w:tc>
          <w:tcPr>
            <w:tcW w:w="7742" w:type="dxa"/>
          </w:tcPr>
          <w:p>
            <w:pPr>
              <w:pStyle w:val="TableParagraph"/>
              <w:spacing w:line="259" w:lineRule="exact"/>
              <w:ind w:left="105"/>
              <w:rPr>
                <w:sz w:val="20"/>
              </w:rPr>
            </w:pPr>
            <w:r>
              <w:rPr>
                <w:w w:val="105"/>
                <w:sz w:val="20"/>
              </w:rPr>
              <w:t>断及检查证据。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50" w:lineRule="exact"/>
              <w:ind w:left="394"/>
              <w:rPr>
                <w:sz w:val="20"/>
              </w:rPr>
            </w:pPr>
            <w:r>
              <w:rPr>
                <w:w w:val="105"/>
                <w:sz w:val="20"/>
              </w:rPr>
              <w:t> </w:t>
            </w:r>
          </w:p>
        </w:tc>
        <w:tc>
          <w:tcPr>
            <w:tcW w:w="7742" w:type="dxa"/>
          </w:tcPr>
          <w:p>
            <w:pPr>
              <w:pStyle w:val="TableParagraph"/>
              <w:spacing w:line="250" w:lineRule="exact"/>
              <w:ind w:left="105"/>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8" w:type="dxa"/>
          </w:tcPr>
          <w:p>
            <w:pPr>
              <w:pStyle w:val="TableParagraph"/>
              <w:spacing w:line="216" w:lineRule="exact"/>
              <w:ind w:left="394"/>
              <w:rPr>
                <w:rFonts w:ascii="等线" w:eastAsia="等线" w:hint="eastAsia"/>
                <w:b/>
                <w:sz w:val="20"/>
              </w:rPr>
            </w:pPr>
            <w:r>
              <w:rPr>
                <w:rFonts w:ascii="等线" w:eastAsia="等线" w:hint="eastAsia"/>
                <w:b/>
                <w:w w:val="105"/>
                <w:sz w:val="20"/>
              </w:rPr>
              <w:t>24、重型再生障碍</w:t>
            </w:r>
          </w:p>
        </w:tc>
        <w:tc>
          <w:tcPr>
            <w:tcW w:w="7742" w:type="dxa"/>
          </w:tcPr>
          <w:p>
            <w:pPr>
              <w:pStyle w:val="TableParagraph"/>
              <w:spacing w:line="217" w:lineRule="exact"/>
              <w:ind w:left="105"/>
              <w:rPr>
                <w:sz w:val="20"/>
              </w:rPr>
            </w:pPr>
            <w:r>
              <w:rPr>
                <w:w w:val="105"/>
                <w:sz w:val="20"/>
              </w:rPr>
              <w:t>指因骨髓造血功能慢性持续性衰竭导致的贫血、中性粒细胞减少及血小板减少，须</w:t>
            </w:r>
          </w:p>
        </w:tc>
      </w:tr>
      <w:tr>
        <w:trPr>
          <w:trHeight w:val="310" w:hRule="atLeast"/>
        </w:trPr>
        <w:tc>
          <w:tcPr>
            <w:tcW w:w="558" w:type="dxa"/>
          </w:tcPr>
          <w:p>
            <w:pPr>
              <w:pStyle w:val="TableParagraph"/>
              <w:rPr>
                <w:rFonts w:ascii="Times New Roman"/>
                <w:sz w:val="20"/>
              </w:rPr>
            </w:pPr>
          </w:p>
        </w:tc>
        <w:tc>
          <w:tcPr>
            <w:tcW w:w="2238" w:type="dxa"/>
          </w:tcPr>
          <w:p>
            <w:pPr>
              <w:pStyle w:val="TableParagraph"/>
              <w:spacing w:line="258" w:lineRule="exact"/>
              <w:ind w:left="394"/>
              <w:rPr>
                <w:rFonts w:ascii="等线" w:eastAsia="等线" w:hint="eastAsia"/>
                <w:b/>
                <w:sz w:val="20"/>
              </w:rPr>
            </w:pPr>
            <w:r>
              <w:rPr>
                <w:rFonts w:ascii="等线" w:eastAsia="等线" w:hint="eastAsia"/>
                <w:b/>
                <w:w w:val="105"/>
                <w:sz w:val="20"/>
              </w:rPr>
              <w:t>性贫血</w:t>
            </w:r>
          </w:p>
        </w:tc>
        <w:tc>
          <w:tcPr>
            <w:tcW w:w="7742" w:type="dxa"/>
          </w:tcPr>
          <w:p>
            <w:pPr>
              <w:pStyle w:val="TableParagraph"/>
              <w:spacing w:line="259" w:lineRule="exact"/>
              <w:ind w:left="105"/>
              <w:rPr>
                <w:sz w:val="20"/>
              </w:rPr>
            </w:pPr>
            <w:r>
              <w:rPr>
                <w:w w:val="105"/>
                <w:sz w:val="20"/>
              </w:rPr>
              <w:t>满足下列全部条件：  </w:t>
            </w:r>
          </w:p>
        </w:tc>
      </w:tr>
      <w:tr>
        <w:trPr>
          <w:trHeight w:val="314" w:hRule="atLeast"/>
        </w:trPr>
        <w:tc>
          <w:tcPr>
            <w:tcW w:w="558" w:type="dxa"/>
          </w:tcPr>
          <w:p>
            <w:pPr>
              <w:pStyle w:val="TableParagraph"/>
              <w:rPr>
                <w:rFonts w:ascii="Times New Roman"/>
                <w:sz w:val="20"/>
              </w:rPr>
            </w:pPr>
          </w:p>
        </w:tc>
        <w:tc>
          <w:tcPr>
            <w:tcW w:w="2238"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2" w:type="dxa"/>
          </w:tcPr>
          <w:p>
            <w:pPr>
              <w:pStyle w:val="TableParagraph"/>
              <w:spacing w:line="260" w:lineRule="exact"/>
              <w:ind w:left="105"/>
              <w:rPr>
                <w:sz w:val="20"/>
              </w:rPr>
            </w:pPr>
            <w:r>
              <w:rPr>
                <w:w w:val="105"/>
                <w:sz w:val="20"/>
              </w:rPr>
              <w:t>（1）骨髓穿刺检查或骨髓活检结果支持诊断；  </w:t>
            </w:r>
          </w:p>
        </w:tc>
      </w:tr>
      <w:tr>
        <w:trPr>
          <w:trHeight w:val="255" w:hRule="atLeast"/>
        </w:trPr>
        <w:tc>
          <w:tcPr>
            <w:tcW w:w="558" w:type="dxa"/>
          </w:tcPr>
          <w:p>
            <w:pPr>
              <w:pStyle w:val="TableParagraph"/>
              <w:rPr>
                <w:rFonts w:ascii="Times New Roman"/>
                <w:sz w:val="18"/>
              </w:rPr>
            </w:pPr>
          </w:p>
        </w:tc>
        <w:tc>
          <w:tcPr>
            <w:tcW w:w="2238" w:type="dxa"/>
          </w:tcPr>
          <w:p>
            <w:pPr>
              <w:pStyle w:val="TableParagraph"/>
              <w:rPr>
                <w:rFonts w:ascii="Times New Roman"/>
                <w:sz w:val="18"/>
              </w:rPr>
            </w:pPr>
          </w:p>
        </w:tc>
        <w:tc>
          <w:tcPr>
            <w:tcW w:w="7742" w:type="dxa"/>
          </w:tcPr>
          <w:p>
            <w:pPr>
              <w:pStyle w:val="TableParagraph"/>
              <w:spacing w:line="236" w:lineRule="exact"/>
              <w:ind w:left="105"/>
              <w:rPr>
                <w:sz w:val="20"/>
              </w:rPr>
            </w:pPr>
            <w:r>
              <w:rPr>
                <w:w w:val="105"/>
                <w:sz w:val="20"/>
              </w:rPr>
              <w:t>（2）外周血象必须具备以下三项条件：  </w:t>
            </w:r>
          </w:p>
        </w:tc>
      </w:tr>
    </w:tbl>
    <w:p>
      <w:pPr>
        <w:pStyle w:val="BodyText"/>
        <w:spacing w:before="60"/>
        <w:ind w:left="3440"/>
      </w:pPr>
      <w:r>
        <w:rPr>
          <w:w w:val="105"/>
        </w:rPr>
        <w:t>①中性粒细胞绝对值≤0.5×109/L；  </w:t>
      </w:r>
    </w:p>
    <w:p>
      <w:pPr>
        <w:pStyle w:val="BodyText"/>
        <w:spacing w:before="50"/>
        <w:ind w:left="3440"/>
      </w:pPr>
      <w:r>
        <w:rPr>
          <w:w w:val="105"/>
        </w:rPr>
        <w:t>②网织红细胞＜1%；  </w:t>
      </w:r>
    </w:p>
    <w:p>
      <w:pPr>
        <w:pStyle w:val="BodyText"/>
        <w:spacing w:before="50"/>
        <w:ind w:left="3440"/>
      </w:pPr>
      <w:r>
        <w:rPr>
          <w:w w:val="105"/>
        </w:rPr>
        <w:t>③血小板绝对值≤20×109/L。 </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122"/>
        <w:gridCol w:w="7753"/>
      </w:tblGrid>
      <w:tr>
        <w:trPr>
          <w:trHeight w:val="213" w:hRule="atLeast"/>
        </w:trPr>
        <w:tc>
          <w:tcPr>
            <w:tcW w:w="558" w:type="dxa"/>
          </w:tcPr>
          <w:p>
            <w:pPr>
              <w:pStyle w:val="TableParagraph"/>
              <w:spacing w:line="19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22" w:type="dxa"/>
          </w:tcPr>
          <w:p>
            <w:pPr>
              <w:pStyle w:val="TableParagraph"/>
              <w:spacing w:line="194" w:lineRule="exact"/>
              <w:ind w:left="394"/>
              <w:rPr>
                <w:sz w:val="20"/>
              </w:rPr>
            </w:pPr>
            <w:r>
              <w:rPr>
                <w:w w:val="105"/>
                <w:sz w:val="20"/>
              </w:rPr>
              <w:t> </w:t>
            </w:r>
          </w:p>
        </w:tc>
        <w:tc>
          <w:tcPr>
            <w:tcW w:w="7753" w:type="dxa"/>
          </w:tcPr>
          <w:p>
            <w:pPr>
              <w:pStyle w:val="TableParagraph"/>
              <w:spacing w:line="194" w:lineRule="exact"/>
              <w:ind w:left="221"/>
              <w:rPr>
                <w:sz w:val="20"/>
              </w:rPr>
            </w:pPr>
            <w:r>
              <w:rPr>
                <w:w w:val="105"/>
                <w:sz w:val="20"/>
              </w:rPr>
              <w:t> </w:t>
            </w:r>
          </w:p>
        </w:tc>
      </w:tr>
      <w:tr>
        <w:trPr>
          <w:trHeight w:val="583"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22" w:type="dxa"/>
          </w:tcPr>
          <w:p>
            <w:pPr>
              <w:pStyle w:val="TableParagraph"/>
              <w:spacing w:line="214" w:lineRule="exact"/>
              <w:ind w:left="394"/>
              <w:rPr>
                <w:rFonts w:ascii="等线" w:eastAsia="等线" w:hint="eastAsia"/>
                <w:b/>
                <w:sz w:val="20"/>
              </w:rPr>
            </w:pPr>
            <w:r>
              <w:rPr>
                <w:rFonts w:ascii="等线" w:eastAsia="等线" w:hint="eastAsia"/>
                <w:b/>
                <w:w w:val="105"/>
                <w:sz w:val="20"/>
              </w:rPr>
              <w:t>25、主动脉手术</w:t>
            </w:r>
          </w:p>
          <w:p>
            <w:pPr>
              <w:pStyle w:val="TableParagraph"/>
              <w:spacing w:before="56"/>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3" w:type="dxa"/>
          </w:tcPr>
          <w:p>
            <w:pPr>
              <w:pStyle w:val="TableParagraph"/>
              <w:spacing w:line="215" w:lineRule="exact"/>
              <w:ind w:left="221"/>
              <w:rPr>
                <w:sz w:val="20"/>
              </w:rPr>
            </w:pPr>
            <w:r>
              <w:rPr>
                <w:spacing w:val="-8"/>
                <w:w w:val="105"/>
                <w:sz w:val="20"/>
              </w:rPr>
              <w:t>指为治疗主动脉疾病，实际实施了开胸或开腹进行的切除、置换、修补病损主动脉</w:t>
            </w:r>
          </w:p>
          <w:p>
            <w:pPr>
              <w:pStyle w:val="TableParagraph"/>
              <w:spacing w:before="50"/>
              <w:ind w:left="221"/>
              <w:rPr>
                <w:sz w:val="20"/>
              </w:rPr>
            </w:pPr>
            <w:r>
              <w:rPr>
                <w:spacing w:val="-11"/>
                <w:w w:val="105"/>
                <w:sz w:val="20"/>
              </w:rPr>
              <w:t>血管的手术。主动脉指胸主动脉和腹主动脉，不包括胸主动脉和腹主动脉的分支血</w:t>
            </w:r>
          </w:p>
        </w:tc>
      </w:tr>
      <w:tr>
        <w:trPr>
          <w:trHeight w:val="254" w:hRule="atLeast"/>
        </w:trPr>
        <w:tc>
          <w:tcPr>
            <w:tcW w:w="558" w:type="dxa"/>
          </w:tcPr>
          <w:p>
            <w:pPr>
              <w:pStyle w:val="TableParagraph"/>
              <w:rPr>
                <w:rFonts w:ascii="Times New Roman"/>
                <w:sz w:val="18"/>
              </w:rPr>
            </w:pPr>
          </w:p>
        </w:tc>
        <w:tc>
          <w:tcPr>
            <w:tcW w:w="2122" w:type="dxa"/>
          </w:tcPr>
          <w:p>
            <w:pPr>
              <w:pStyle w:val="TableParagraph"/>
              <w:rPr>
                <w:rFonts w:ascii="Times New Roman"/>
                <w:sz w:val="18"/>
              </w:rPr>
            </w:pPr>
          </w:p>
        </w:tc>
        <w:tc>
          <w:tcPr>
            <w:tcW w:w="7753" w:type="dxa"/>
          </w:tcPr>
          <w:p>
            <w:pPr>
              <w:pStyle w:val="TableParagraph"/>
              <w:spacing w:line="234" w:lineRule="exact"/>
              <w:ind w:left="221"/>
              <w:rPr>
                <w:sz w:val="20"/>
              </w:rPr>
            </w:pPr>
            <w:r>
              <w:rPr>
                <w:w w:val="105"/>
                <w:sz w:val="20"/>
              </w:rPr>
              <w:t>管。  </w:t>
            </w:r>
          </w:p>
        </w:tc>
      </w:tr>
    </w:tbl>
    <w:p>
      <w:pPr>
        <w:spacing w:after="0" w:line="234" w:lineRule="exact"/>
        <w:rPr>
          <w:sz w:val="20"/>
        </w:rPr>
        <w:sectPr>
          <w:pgSz w:w="11900" w:h="16840"/>
          <w:pgMar w:header="0" w:footer="440" w:top="1180" w:bottom="640" w:left="620" w:right="520"/>
        </w:sectPr>
      </w:pPr>
    </w:p>
    <w:p>
      <w:pPr>
        <w:pStyle w:val="BodyText"/>
        <w:spacing w:before="12"/>
        <w:ind w:left="3020"/>
      </w:pPr>
      <w:r>
        <w:rPr>
          <w:w w:val="105"/>
        </w:rPr>
        <w:t>动脉内血管成形术不在保障范围内。  </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0"/>
        <w:gridCol w:w="7751"/>
      </w:tblGrid>
      <w:tr>
        <w:trPr>
          <w:trHeight w:val="47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before="157"/>
              <w:ind w:left="394"/>
              <w:rPr>
                <w:rFonts w:ascii="等线" w:eastAsia="等线" w:hint="eastAsia"/>
                <w:b/>
                <w:sz w:val="20"/>
              </w:rPr>
            </w:pPr>
            <w:r>
              <w:rPr>
                <w:rFonts w:ascii="等线" w:eastAsia="等线" w:hint="eastAsia"/>
                <w:b/>
                <w:w w:val="105"/>
                <w:sz w:val="20"/>
              </w:rPr>
              <w:t>26、慢性呼吸功能</w:t>
            </w:r>
          </w:p>
        </w:tc>
        <w:tc>
          <w:tcPr>
            <w:tcW w:w="7751" w:type="dxa"/>
          </w:tcPr>
          <w:p>
            <w:pPr>
              <w:pStyle w:val="TableParagraph"/>
              <w:spacing w:line="187" w:lineRule="exact"/>
              <w:ind w:left="533"/>
              <w:rPr>
                <w:sz w:val="20"/>
              </w:rPr>
            </w:pPr>
            <w:r>
              <w:rPr>
                <w:w w:val="105"/>
                <w:sz w:val="20"/>
              </w:rPr>
              <w:t> </w:t>
            </w:r>
          </w:p>
          <w:p>
            <w:pPr>
              <w:pStyle w:val="TableParagraph"/>
              <w:spacing w:line="245" w:lineRule="exact"/>
              <w:ind w:left="113"/>
              <w:rPr>
                <w:sz w:val="20"/>
              </w:rPr>
            </w:pPr>
            <w:r>
              <w:rPr>
                <w:w w:val="105"/>
                <w:sz w:val="20"/>
              </w:rPr>
              <w:t>指因慢性呼吸系统疾病导致呼吸功能衰竭，且诊断必须满足以下所有条件：  </w:t>
            </w:r>
          </w:p>
        </w:tc>
      </w:tr>
      <w:tr>
        <w:trPr>
          <w:trHeight w:val="317" w:hRule="atLeast"/>
        </w:trPr>
        <w:tc>
          <w:tcPr>
            <w:tcW w:w="558" w:type="dxa"/>
          </w:tcPr>
          <w:p>
            <w:pPr>
              <w:pStyle w:val="TableParagraph"/>
              <w:rPr>
                <w:rFonts w:ascii="Times New Roman"/>
                <w:sz w:val="20"/>
              </w:rPr>
            </w:pPr>
          </w:p>
        </w:tc>
        <w:tc>
          <w:tcPr>
            <w:tcW w:w="2230" w:type="dxa"/>
          </w:tcPr>
          <w:p>
            <w:pPr>
              <w:pStyle w:val="TableParagraph"/>
              <w:spacing w:line="270" w:lineRule="exact"/>
              <w:ind w:left="394"/>
              <w:rPr>
                <w:sz w:val="20"/>
              </w:rPr>
            </w:pPr>
            <w:r>
              <w:rPr>
                <w:rFonts w:ascii="等线" w:eastAsia="等线" w:hint="eastAsia"/>
                <w:b/>
                <w:w w:val="105"/>
                <w:sz w:val="20"/>
              </w:rPr>
              <w:t>衰竭</w:t>
            </w:r>
            <w:r>
              <w:rPr>
                <w:w w:val="108"/>
                <w:sz w:val="20"/>
              </w:rPr>
              <w:t>    </w:t>
            </w:r>
          </w:p>
        </w:tc>
        <w:tc>
          <w:tcPr>
            <w:tcW w:w="7751" w:type="dxa"/>
          </w:tcPr>
          <w:p>
            <w:pPr>
              <w:pStyle w:val="TableParagraph"/>
              <w:spacing w:before="4"/>
              <w:ind w:left="113"/>
              <w:rPr>
                <w:sz w:val="20"/>
              </w:rPr>
            </w:pPr>
            <w:r>
              <w:rPr>
                <w:w w:val="105"/>
                <w:sz w:val="20"/>
              </w:rPr>
              <w:t>（1）第一秒末用力呼气量（FEV1）小于1升；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（2）气道内阻力增加，至少达到0.5 kPa/l/s；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（3）残气容积占肺总量(TLC)的60%以上；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（4）胸内气体容积升高，超过170 (基值的百分比)；  </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（5）PaO2&lt;60mmHg，PaCO2&gt;50mmHg。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50" w:lineRule="exact"/>
              <w:ind w:left="394"/>
              <w:rPr>
                <w:sz w:val="20"/>
              </w:rPr>
            </w:pPr>
            <w:r>
              <w:rPr>
                <w:w w:val="105"/>
                <w:sz w:val="20"/>
              </w:rPr>
              <w:t> </w:t>
            </w:r>
          </w:p>
        </w:tc>
        <w:tc>
          <w:tcPr>
            <w:tcW w:w="7751" w:type="dxa"/>
          </w:tcPr>
          <w:p>
            <w:pPr>
              <w:pStyle w:val="TableParagraph"/>
              <w:spacing w:line="250" w:lineRule="exact"/>
              <w:ind w:left="113"/>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16" w:lineRule="exact"/>
              <w:ind w:left="394"/>
              <w:rPr>
                <w:rFonts w:ascii="等线" w:eastAsia="等线" w:hint="eastAsia"/>
                <w:b/>
                <w:sz w:val="20"/>
              </w:rPr>
            </w:pPr>
            <w:r>
              <w:rPr>
                <w:rFonts w:ascii="等线" w:eastAsia="等线" w:hint="eastAsia"/>
                <w:b/>
                <w:w w:val="105"/>
                <w:sz w:val="20"/>
              </w:rPr>
              <w:t>27、严重多发性硬</w:t>
            </w:r>
          </w:p>
        </w:tc>
        <w:tc>
          <w:tcPr>
            <w:tcW w:w="7751" w:type="dxa"/>
          </w:tcPr>
          <w:p>
            <w:pPr>
              <w:pStyle w:val="TableParagraph"/>
              <w:spacing w:line="217" w:lineRule="exact"/>
              <w:ind w:left="113"/>
              <w:rPr>
                <w:sz w:val="20"/>
              </w:rPr>
            </w:pPr>
            <w:r>
              <w:rPr>
                <w:w w:val="105"/>
                <w:sz w:val="20"/>
              </w:rPr>
              <w:t>指一种中枢神经系统脱髓鞘疾病，造成身体部位不可逆的功能障碍。临床表现为视</w:t>
            </w:r>
          </w:p>
        </w:tc>
      </w:tr>
      <w:tr>
        <w:trPr>
          <w:trHeight w:val="310" w:hRule="atLeast"/>
        </w:trPr>
        <w:tc>
          <w:tcPr>
            <w:tcW w:w="558" w:type="dxa"/>
          </w:tcPr>
          <w:p>
            <w:pPr>
              <w:pStyle w:val="TableParagraph"/>
              <w:rPr>
                <w:rFonts w:ascii="Times New Roman"/>
                <w:sz w:val="20"/>
              </w:rPr>
            </w:pPr>
          </w:p>
        </w:tc>
        <w:tc>
          <w:tcPr>
            <w:tcW w:w="2230" w:type="dxa"/>
          </w:tcPr>
          <w:p>
            <w:pPr>
              <w:pStyle w:val="TableParagraph"/>
              <w:spacing w:line="258" w:lineRule="exact"/>
              <w:ind w:left="394"/>
              <w:rPr>
                <w:rFonts w:ascii="等线" w:eastAsia="等线" w:hint="eastAsia"/>
                <w:b/>
                <w:sz w:val="20"/>
              </w:rPr>
            </w:pPr>
            <w:r>
              <w:rPr>
                <w:rFonts w:ascii="等线" w:eastAsia="等线" w:hint="eastAsia"/>
                <w:b/>
                <w:w w:val="105"/>
                <w:sz w:val="20"/>
              </w:rPr>
              <w:t>化</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51" w:type="dxa"/>
          </w:tcPr>
          <w:p>
            <w:pPr>
              <w:pStyle w:val="TableParagraph"/>
              <w:spacing w:line="259" w:lineRule="exact"/>
              <w:ind w:left="113"/>
              <w:rPr>
                <w:sz w:val="20"/>
              </w:rPr>
            </w:pPr>
            <w:r>
              <w:rPr>
                <w:w w:val="105"/>
                <w:sz w:val="20"/>
              </w:rPr>
              <w:t>力受损、截瘫、平衡失調、构音障碍、大小便机能失调等症狀，须经本公司认可的</w:t>
            </w:r>
          </w:p>
        </w:tc>
      </w:tr>
      <w:tr>
        <w:trPr>
          <w:trHeight w:val="314" w:hRule="atLeast"/>
        </w:trPr>
        <w:tc>
          <w:tcPr>
            <w:tcW w:w="558" w:type="dxa"/>
          </w:tcPr>
          <w:p>
            <w:pPr>
              <w:pStyle w:val="TableParagraph"/>
              <w:rPr>
                <w:rFonts w:ascii="Times New Roman"/>
                <w:sz w:val="20"/>
              </w:rPr>
            </w:pPr>
          </w:p>
        </w:tc>
        <w:tc>
          <w:tcPr>
            <w:tcW w:w="2230"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1" w:type="dxa"/>
          </w:tcPr>
          <w:p>
            <w:pPr>
              <w:pStyle w:val="TableParagraph"/>
              <w:spacing w:line="260" w:lineRule="exact"/>
              <w:ind w:left="113"/>
              <w:rPr>
                <w:sz w:val="20"/>
              </w:rPr>
            </w:pPr>
            <w:r>
              <w:rPr>
                <w:w w:val="105"/>
                <w:sz w:val="20"/>
              </w:rPr>
              <w:t>神经专科医师确诊，并有 CT 或核磁共振检查结果诊断报告。所谓身体部位不可逆</w:t>
            </w:r>
          </w:p>
        </w:tc>
      </w:tr>
      <w:tr>
        <w:trPr>
          <w:trHeight w:val="310"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7" w:lineRule="exact"/>
              <w:ind w:left="113"/>
              <w:rPr>
                <w:sz w:val="20"/>
              </w:rPr>
            </w:pPr>
            <w:r>
              <w:rPr>
                <w:w w:val="105"/>
                <w:sz w:val="20"/>
              </w:rPr>
              <w:t>的功能障碍指初次诊断为功能障碍后需持续一百八十日以上。其诊断必须包含以下</w:t>
            </w:r>
          </w:p>
        </w:tc>
      </w:tr>
      <w:tr>
        <w:trPr>
          <w:trHeight w:val="310"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9" w:lineRule="exact"/>
              <w:ind w:left="113"/>
              <w:rPr>
                <w:sz w:val="20"/>
              </w:rPr>
            </w:pPr>
            <w:r>
              <w:rPr>
                <w:w w:val="105"/>
                <w:sz w:val="20"/>
              </w:rPr>
              <w:t>全部内容: </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（1）由于视神经、脑干和脊髓损伤而导致的临床表现； </w:t>
            </w:r>
          </w:p>
        </w:tc>
      </w:tr>
      <w:tr>
        <w:trPr>
          <w:trHeight w:val="310"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9" w:lineRule="exact"/>
              <w:ind w:left="113"/>
              <w:rPr>
                <w:sz w:val="20"/>
              </w:rPr>
            </w:pPr>
            <w:r>
              <w:rPr>
                <w:w w:val="105"/>
                <w:sz w:val="20"/>
              </w:rPr>
              <w:t>（2）散在的身体损害的多样性； </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（3）上述症状反复发作、恶化及神经损伤的病史记录。  </w:t>
            </w:r>
          </w:p>
        </w:tc>
      </w:tr>
      <w:tr>
        <w:trPr>
          <w:trHeight w:val="268" w:hRule="atLeast"/>
        </w:trPr>
        <w:tc>
          <w:tcPr>
            <w:tcW w:w="558" w:type="dxa"/>
          </w:tcPr>
          <w:p>
            <w:pPr>
              <w:pStyle w:val="TableParagraph"/>
              <w:spacing w:line="247"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49" w:lineRule="exact"/>
              <w:ind w:left="394"/>
              <w:rPr>
                <w:sz w:val="20"/>
              </w:rPr>
            </w:pPr>
            <w:r>
              <w:rPr>
                <w:w w:val="105"/>
                <w:sz w:val="20"/>
              </w:rPr>
              <w:t> </w:t>
            </w:r>
          </w:p>
        </w:tc>
        <w:tc>
          <w:tcPr>
            <w:tcW w:w="7751" w:type="dxa"/>
          </w:tcPr>
          <w:p>
            <w:pPr>
              <w:pStyle w:val="TableParagraph"/>
              <w:spacing w:line="249" w:lineRule="exact"/>
              <w:ind w:left="113"/>
              <w:rPr>
                <w:sz w:val="20"/>
              </w:rPr>
            </w:pPr>
            <w:r>
              <w:rPr>
                <w:w w:val="105"/>
                <w:sz w:val="20"/>
              </w:rPr>
              <w:t> </w:t>
            </w:r>
          </w:p>
        </w:tc>
      </w:tr>
      <w:tr>
        <w:trPr>
          <w:trHeight w:val="268"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14" w:lineRule="exact"/>
              <w:ind w:left="394"/>
              <w:rPr>
                <w:rFonts w:ascii="等线" w:eastAsia="等线" w:hint="eastAsia"/>
                <w:b/>
                <w:sz w:val="20"/>
              </w:rPr>
            </w:pPr>
            <w:r>
              <w:rPr>
                <w:rFonts w:ascii="等线" w:eastAsia="等线" w:hint="eastAsia"/>
                <w:b/>
                <w:w w:val="105"/>
                <w:sz w:val="20"/>
              </w:rPr>
              <w:t>28、全身性重症肌</w:t>
            </w:r>
          </w:p>
        </w:tc>
        <w:tc>
          <w:tcPr>
            <w:tcW w:w="7751" w:type="dxa"/>
          </w:tcPr>
          <w:p>
            <w:pPr>
              <w:pStyle w:val="TableParagraph"/>
              <w:spacing w:line="215" w:lineRule="exact"/>
              <w:ind w:left="113"/>
              <w:rPr>
                <w:sz w:val="20"/>
              </w:rPr>
            </w:pPr>
            <w:r>
              <w:rPr>
                <w:w w:val="105"/>
                <w:sz w:val="20"/>
              </w:rPr>
              <w:t>指一种神经与肌肉接头部位传递障碍的自身免疫性疾病，临床特征是局部或全身横</w:t>
            </w:r>
          </w:p>
        </w:tc>
      </w:tr>
      <w:tr>
        <w:trPr>
          <w:trHeight w:val="310" w:hRule="atLeast"/>
        </w:trPr>
        <w:tc>
          <w:tcPr>
            <w:tcW w:w="558" w:type="dxa"/>
          </w:tcPr>
          <w:p>
            <w:pPr>
              <w:pStyle w:val="TableParagraph"/>
              <w:rPr>
                <w:rFonts w:ascii="Times New Roman"/>
                <w:sz w:val="20"/>
              </w:rPr>
            </w:pPr>
          </w:p>
        </w:tc>
        <w:tc>
          <w:tcPr>
            <w:tcW w:w="2230" w:type="dxa"/>
          </w:tcPr>
          <w:p>
            <w:pPr>
              <w:pStyle w:val="TableParagraph"/>
              <w:spacing w:line="258" w:lineRule="exact"/>
              <w:ind w:left="394"/>
              <w:rPr>
                <w:rFonts w:ascii="等线" w:eastAsia="等线" w:hint="eastAsia"/>
                <w:b/>
                <w:sz w:val="20"/>
              </w:rPr>
            </w:pPr>
            <w:r>
              <w:rPr>
                <w:rFonts w:ascii="等线" w:eastAsia="等线" w:hint="eastAsia"/>
                <w:b/>
                <w:w w:val="105"/>
                <w:sz w:val="20"/>
              </w:rPr>
              <w:t>无力</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51" w:type="dxa"/>
          </w:tcPr>
          <w:p>
            <w:pPr>
              <w:pStyle w:val="TableParagraph"/>
              <w:spacing w:line="259" w:lineRule="exact"/>
              <w:ind w:left="113"/>
              <w:rPr>
                <w:sz w:val="20"/>
              </w:rPr>
            </w:pPr>
            <w:r>
              <w:rPr>
                <w:w w:val="105"/>
                <w:sz w:val="20"/>
              </w:rPr>
              <w:t>纹肌于活动时易于疲劳无力，颅神经眼外肌最易累及，也可涉及呼吸肌、下肢近端</w:t>
            </w:r>
          </w:p>
        </w:tc>
      </w:tr>
      <w:tr>
        <w:trPr>
          <w:trHeight w:val="314" w:hRule="atLeast"/>
        </w:trPr>
        <w:tc>
          <w:tcPr>
            <w:tcW w:w="558" w:type="dxa"/>
          </w:tcPr>
          <w:p>
            <w:pPr>
              <w:pStyle w:val="TableParagraph"/>
              <w:rPr>
                <w:rFonts w:ascii="Times New Roman"/>
                <w:sz w:val="20"/>
              </w:rPr>
            </w:pPr>
          </w:p>
        </w:tc>
        <w:tc>
          <w:tcPr>
            <w:tcW w:w="2230"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1" w:type="dxa"/>
          </w:tcPr>
          <w:p>
            <w:pPr>
              <w:pStyle w:val="TableParagraph"/>
              <w:spacing w:line="260" w:lineRule="exact"/>
              <w:ind w:left="113"/>
              <w:rPr>
                <w:sz w:val="20"/>
              </w:rPr>
            </w:pPr>
            <w:r>
              <w:rPr>
                <w:w w:val="105"/>
                <w:sz w:val="20"/>
              </w:rPr>
              <w:t>肌群乃至全身肌肉，需经神经专科医师确诊，且必须同时具有下列情况：  </w:t>
            </w:r>
          </w:p>
        </w:tc>
      </w:tr>
      <w:tr>
        <w:trPr>
          <w:trHeight w:val="309"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7" w:lineRule="exact"/>
              <w:ind w:left="113"/>
              <w:rPr>
                <w:sz w:val="20"/>
              </w:rPr>
            </w:pPr>
            <w:r>
              <w:rPr>
                <w:w w:val="105"/>
                <w:sz w:val="20"/>
              </w:rPr>
              <w:t>（1）经药物、胸腺手术治疗一年以上无法控制病情，丧失正常工作能力；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（2）出现眼睑下垂，或延髓肌受累引起的构音困难、进食呛咳，或由于肌无力累</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及延髓肌、呼吸肌而致机体呼吸功能不正常的危急状态即肌无力危象； </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（3）症状缓解、复发及恶化交替出现，临床接受新斯的明等抗胆碱酯酶药物治疗</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9" w:lineRule="exact"/>
              <w:ind w:left="113"/>
              <w:rPr>
                <w:sz w:val="20"/>
              </w:rPr>
            </w:pPr>
            <w:r>
              <w:rPr>
                <w:w w:val="105"/>
                <w:sz w:val="20"/>
              </w:rPr>
              <w:t>的病史。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50" w:lineRule="exact"/>
              <w:ind w:left="394"/>
              <w:rPr>
                <w:sz w:val="20"/>
              </w:rPr>
            </w:pPr>
            <w:r>
              <w:rPr>
                <w:w w:val="105"/>
                <w:sz w:val="20"/>
              </w:rPr>
              <w:t> </w:t>
            </w:r>
          </w:p>
        </w:tc>
        <w:tc>
          <w:tcPr>
            <w:tcW w:w="7751" w:type="dxa"/>
          </w:tcPr>
          <w:p>
            <w:pPr>
              <w:pStyle w:val="TableParagraph"/>
              <w:spacing w:line="250" w:lineRule="exact"/>
              <w:ind w:left="113"/>
              <w:rPr>
                <w:sz w:val="20"/>
              </w:rPr>
            </w:pPr>
            <w:r>
              <w:rPr>
                <w:w w:val="105"/>
                <w:sz w:val="20"/>
              </w:rPr>
              <w:t> </w:t>
            </w:r>
          </w:p>
        </w:tc>
      </w:tr>
      <w:tr>
        <w:trPr>
          <w:trHeight w:val="271"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16" w:lineRule="exact"/>
              <w:ind w:left="394"/>
              <w:rPr>
                <w:rFonts w:ascii="等线" w:eastAsia="等线" w:hint="eastAsia"/>
                <w:b/>
                <w:sz w:val="20"/>
              </w:rPr>
            </w:pPr>
            <w:r>
              <w:rPr>
                <w:rFonts w:ascii="等线" w:eastAsia="等线" w:hint="eastAsia"/>
                <w:b/>
                <w:w w:val="105"/>
                <w:sz w:val="20"/>
              </w:rPr>
              <w:t>29、严重心肌病</w:t>
            </w:r>
          </w:p>
        </w:tc>
        <w:tc>
          <w:tcPr>
            <w:tcW w:w="7751" w:type="dxa"/>
          </w:tcPr>
          <w:p>
            <w:pPr>
              <w:pStyle w:val="TableParagraph"/>
              <w:spacing w:line="217" w:lineRule="exact"/>
              <w:ind w:left="113"/>
              <w:rPr>
                <w:sz w:val="20"/>
              </w:rPr>
            </w:pPr>
            <w:r>
              <w:rPr>
                <w:w w:val="105"/>
                <w:sz w:val="20"/>
              </w:rPr>
              <w:t>指不明原因引起的一类心肌病变，包括原发性扩张型心肌病、原发性肥厚型心肌病</w:t>
            </w:r>
          </w:p>
        </w:tc>
      </w:tr>
      <w:tr>
        <w:trPr>
          <w:trHeight w:val="311" w:hRule="atLeast"/>
        </w:trPr>
        <w:tc>
          <w:tcPr>
            <w:tcW w:w="558" w:type="dxa"/>
          </w:tcPr>
          <w:p>
            <w:pPr>
              <w:pStyle w:val="TableParagraph"/>
              <w:rPr>
                <w:rFonts w:ascii="Times New Roman"/>
                <w:sz w:val="20"/>
              </w:rPr>
            </w:pPr>
          </w:p>
        </w:tc>
        <w:tc>
          <w:tcPr>
            <w:tcW w:w="2230"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1" w:type="dxa"/>
          </w:tcPr>
          <w:p>
            <w:pPr>
              <w:pStyle w:val="TableParagraph"/>
              <w:spacing w:line="257" w:lineRule="exact"/>
              <w:ind w:left="113"/>
              <w:rPr>
                <w:sz w:val="20"/>
              </w:rPr>
            </w:pPr>
            <w:r>
              <w:rPr>
                <w:w w:val="105"/>
                <w:sz w:val="20"/>
              </w:rPr>
              <w:t>及原发性限制型心肌病三种，本病须经专科医生明确诊断，且病变必须已造成事实</w:t>
            </w:r>
          </w:p>
        </w:tc>
      </w:tr>
      <w:tr>
        <w:trPr>
          <w:trHeight w:val="309"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7" w:lineRule="exact"/>
              <w:ind w:left="113"/>
              <w:rPr>
                <w:sz w:val="20"/>
              </w:rPr>
            </w:pPr>
            <w:r>
              <w:rPr>
                <w:w w:val="105"/>
                <w:sz w:val="20"/>
              </w:rPr>
              <w:t>上心室功能障碍而出现明显的心功能衰竭（指按照美国纽约心脏协会心功能分类标</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spacing w:val="-3"/>
                <w:w w:val="105"/>
                <w:sz w:val="20"/>
              </w:rPr>
              <w:t>准心功能达四级</w:t>
            </w:r>
            <w:r>
              <w:rPr>
                <w:spacing w:val="-47"/>
                <w:w w:val="105"/>
                <w:sz w:val="20"/>
              </w:rPr>
              <w:t>*），</w:t>
            </w:r>
            <w:r>
              <w:rPr>
                <w:spacing w:val="-4"/>
                <w:w w:val="105"/>
                <w:sz w:val="20"/>
              </w:rPr>
              <w:t>且有相关住院医疗记录显示四级心功能衰竭状态持续至少 </w:t>
            </w:r>
            <w:r>
              <w:rPr>
                <w:w w:val="105"/>
                <w:sz w:val="20"/>
              </w:rPr>
              <w:t>180</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天。继发于全身性疾病或其它器官系统疾病造成的心肌病变不在保障范围内。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*美国纽约心脏协会分类标准心功能四级是指有医院的医疗记录显示病人不能进行</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任何活动，休息时仍有心悸、呼吸困难等心力衰竭表现。 </w:t>
            </w:r>
          </w:p>
        </w:tc>
      </w:tr>
      <w:tr>
        <w:trPr>
          <w:trHeight w:val="268" w:hRule="atLeast"/>
        </w:trPr>
        <w:tc>
          <w:tcPr>
            <w:tcW w:w="558" w:type="dxa"/>
          </w:tcPr>
          <w:p>
            <w:pPr>
              <w:pStyle w:val="TableParagraph"/>
              <w:spacing w:line="247"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49" w:lineRule="exact"/>
              <w:ind w:left="394"/>
              <w:rPr>
                <w:sz w:val="20"/>
              </w:rPr>
            </w:pPr>
            <w:r>
              <w:rPr>
                <w:w w:val="105"/>
                <w:sz w:val="20"/>
              </w:rPr>
              <w:t> </w:t>
            </w:r>
          </w:p>
        </w:tc>
        <w:tc>
          <w:tcPr>
            <w:tcW w:w="7751" w:type="dxa"/>
          </w:tcPr>
          <w:p>
            <w:pPr>
              <w:pStyle w:val="TableParagraph"/>
              <w:spacing w:line="249" w:lineRule="exact"/>
              <w:ind w:left="533"/>
              <w:rPr>
                <w:sz w:val="20"/>
              </w:rPr>
            </w:pPr>
            <w:r>
              <w:rPr>
                <w:w w:val="105"/>
                <w:sz w:val="20"/>
              </w:rPr>
              <w:t> </w:t>
            </w:r>
          </w:p>
        </w:tc>
      </w:tr>
      <w:tr>
        <w:trPr>
          <w:trHeight w:val="268"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14" w:lineRule="exact"/>
              <w:ind w:left="394"/>
              <w:rPr>
                <w:rFonts w:ascii="等线" w:eastAsia="等线" w:hint="eastAsia"/>
                <w:b/>
                <w:sz w:val="20"/>
              </w:rPr>
            </w:pPr>
            <w:r>
              <w:rPr>
                <w:rFonts w:ascii="等线" w:eastAsia="等线" w:hint="eastAsia"/>
                <w:b/>
                <w:w w:val="105"/>
                <w:sz w:val="20"/>
              </w:rPr>
              <w:t>30、严重类风湿性</w:t>
            </w:r>
          </w:p>
        </w:tc>
        <w:tc>
          <w:tcPr>
            <w:tcW w:w="7751" w:type="dxa"/>
          </w:tcPr>
          <w:p>
            <w:pPr>
              <w:pStyle w:val="TableParagraph"/>
              <w:spacing w:line="215" w:lineRule="exact"/>
              <w:ind w:left="113"/>
              <w:rPr>
                <w:sz w:val="20"/>
              </w:rPr>
            </w:pPr>
            <w:r>
              <w:rPr>
                <w:w w:val="105"/>
                <w:sz w:val="20"/>
              </w:rPr>
              <w:t>指类风湿性关节炎患者必须符合以下三项标准: </w:t>
            </w:r>
          </w:p>
        </w:tc>
      </w:tr>
      <w:tr>
        <w:trPr>
          <w:trHeight w:val="310" w:hRule="atLeast"/>
        </w:trPr>
        <w:tc>
          <w:tcPr>
            <w:tcW w:w="558" w:type="dxa"/>
          </w:tcPr>
          <w:p>
            <w:pPr>
              <w:pStyle w:val="TableParagraph"/>
              <w:rPr>
                <w:rFonts w:ascii="Times New Roman"/>
                <w:sz w:val="20"/>
              </w:rPr>
            </w:pPr>
          </w:p>
        </w:tc>
        <w:tc>
          <w:tcPr>
            <w:tcW w:w="2230" w:type="dxa"/>
          </w:tcPr>
          <w:p>
            <w:pPr>
              <w:pStyle w:val="TableParagraph"/>
              <w:spacing w:line="258" w:lineRule="exact"/>
              <w:ind w:left="394"/>
              <w:rPr>
                <w:rFonts w:ascii="等线" w:eastAsia="等线" w:hint="eastAsia"/>
                <w:b/>
                <w:sz w:val="20"/>
              </w:rPr>
            </w:pPr>
            <w:r>
              <w:rPr>
                <w:rFonts w:ascii="等线" w:eastAsia="等线" w:hint="eastAsia"/>
                <w:b/>
                <w:w w:val="105"/>
                <w:sz w:val="20"/>
              </w:rPr>
              <w:t>关节炎</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51" w:type="dxa"/>
          </w:tcPr>
          <w:p>
            <w:pPr>
              <w:pStyle w:val="TableParagraph"/>
              <w:spacing w:line="259" w:lineRule="exact"/>
              <w:ind w:left="113"/>
              <w:rPr>
                <w:sz w:val="20"/>
              </w:rPr>
            </w:pPr>
            <w:r>
              <w:rPr>
                <w:spacing w:val="-1"/>
                <w:w w:val="105"/>
                <w:sz w:val="20"/>
              </w:rPr>
              <w:t>（1</w:t>
            </w:r>
            <w:r>
              <w:rPr>
                <w:spacing w:val="-97"/>
                <w:w w:val="105"/>
                <w:sz w:val="20"/>
              </w:rPr>
              <w:t>）</w:t>
            </w:r>
            <w:r>
              <w:rPr>
                <w:spacing w:val="-7"/>
                <w:w w:val="105"/>
                <w:sz w:val="20"/>
              </w:rPr>
              <w:t>至少包括下列关节中的三组或以上有广泛受损和畸形改变:手指关节、腕关节、</w:t>
            </w:r>
          </w:p>
        </w:tc>
      </w:tr>
      <w:tr>
        <w:trPr>
          <w:trHeight w:val="314" w:hRule="atLeast"/>
        </w:trPr>
        <w:tc>
          <w:tcPr>
            <w:tcW w:w="558" w:type="dxa"/>
          </w:tcPr>
          <w:p>
            <w:pPr>
              <w:pStyle w:val="TableParagraph"/>
              <w:rPr>
                <w:rFonts w:ascii="Times New Roman"/>
                <w:sz w:val="20"/>
              </w:rPr>
            </w:pPr>
          </w:p>
        </w:tc>
        <w:tc>
          <w:tcPr>
            <w:tcW w:w="2230"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1" w:type="dxa"/>
          </w:tcPr>
          <w:p>
            <w:pPr>
              <w:pStyle w:val="TableParagraph"/>
              <w:spacing w:line="260" w:lineRule="exact"/>
              <w:ind w:left="113"/>
              <w:rPr>
                <w:sz w:val="20"/>
              </w:rPr>
            </w:pPr>
            <w:r>
              <w:rPr>
                <w:w w:val="105"/>
                <w:sz w:val="20"/>
              </w:rPr>
              <w:t>肘关节、膝关节、髋关节、踝关节、脊椎或脚趾关节； </w:t>
            </w:r>
          </w:p>
        </w:tc>
      </w:tr>
      <w:tr>
        <w:trPr>
          <w:trHeight w:val="309"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57" w:lineRule="exact"/>
              <w:ind w:left="113"/>
              <w:rPr>
                <w:sz w:val="20"/>
              </w:rPr>
            </w:pPr>
            <w:r>
              <w:rPr>
                <w:w w:val="105"/>
                <w:sz w:val="20"/>
              </w:rPr>
              <w:t>（2）手和腕的后前位 X 线拍片检查可见类风湿性关节炎的典型变化，包括骨质侵</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蚀或钙流失，位于受累关节及其邻近部位尤其明显； </w:t>
            </w:r>
          </w:p>
        </w:tc>
      </w:tr>
      <w:tr>
        <w:trPr>
          <w:trHeight w:val="311"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（3）关节的畸形改变至少持续 6 个月。 </w:t>
            </w:r>
          </w:p>
        </w:tc>
      </w:tr>
      <w:tr>
        <w:trPr>
          <w:trHeight w:val="313" w:hRule="atLeast"/>
        </w:trPr>
        <w:tc>
          <w:tcPr>
            <w:tcW w:w="558" w:type="dxa"/>
          </w:tcPr>
          <w:p>
            <w:pPr>
              <w:pStyle w:val="TableParagraph"/>
              <w:rPr>
                <w:rFonts w:ascii="Times New Roman"/>
                <w:sz w:val="20"/>
              </w:rPr>
            </w:pPr>
          </w:p>
        </w:tc>
        <w:tc>
          <w:tcPr>
            <w:tcW w:w="2230" w:type="dxa"/>
          </w:tcPr>
          <w:p>
            <w:pPr>
              <w:pStyle w:val="TableParagraph"/>
              <w:rPr>
                <w:rFonts w:ascii="Times New Roman"/>
                <w:sz w:val="20"/>
              </w:rPr>
            </w:pPr>
          </w:p>
        </w:tc>
        <w:tc>
          <w:tcPr>
            <w:tcW w:w="7751" w:type="dxa"/>
          </w:tcPr>
          <w:p>
            <w:pPr>
              <w:pStyle w:val="TableParagraph"/>
              <w:spacing w:line="260" w:lineRule="exact"/>
              <w:ind w:left="113"/>
              <w:rPr>
                <w:sz w:val="20"/>
              </w:rPr>
            </w:pPr>
            <w:r>
              <w:rPr>
                <w:w w:val="105"/>
                <w:sz w:val="20"/>
              </w:rPr>
              <w:t>必须经专科医生明确诊断，且首次已接受膝关节或髋关节置换手术。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50" w:lineRule="exact"/>
              <w:ind w:left="394"/>
              <w:rPr>
                <w:sz w:val="20"/>
              </w:rPr>
            </w:pPr>
            <w:r>
              <w:rPr>
                <w:w w:val="105"/>
                <w:sz w:val="20"/>
              </w:rPr>
              <w:t> </w:t>
            </w:r>
          </w:p>
        </w:tc>
        <w:tc>
          <w:tcPr>
            <w:tcW w:w="7751" w:type="dxa"/>
          </w:tcPr>
          <w:p>
            <w:pPr>
              <w:pStyle w:val="TableParagraph"/>
              <w:spacing w:line="250" w:lineRule="exact"/>
              <w:ind w:left="533"/>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0" w:type="dxa"/>
          </w:tcPr>
          <w:p>
            <w:pPr>
              <w:pStyle w:val="TableParagraph"/>
              <w:spacing w:line="216" w:lineRule="exact"/>
              <w:ind w:left="394"/>
              <w:rPr>
                <w:rFonts w:ascii="等线" w:eastAsia="等线" w:hint="eastAsia"/>
                <w:b/>
                <w:sz w:val="20"/>
              </w:rPr>
            </w:pPr>
            <w:r>
              <w:rPr>
                <w:rFonts w:ascii="等线" w:eastAsia="等线" w:hint="eastAsia"/>
                <w:b/>
                <w:w w:val="105"/>
                <w:sz w:val="20"/>
              </w:rPr>
              <w:t>31、系统性红斑狼</w:t>
            </w:r>
          </w:p>
        </w:tc>
        <w:tc>
          <w:tcPr>
            <w:tcW w:w="7751" w:type="dxa"/>
          </w:tcPr>
          <w:p>
            <w:pPr>
              <w:pStyle w:val="TableParagraph"/>
              <w:spacing w:line="217" w:lineRule="exact"/>
              <w:ind w:left="113"/>
              <w:rPr>
                <w:sz w:val="20"/>
              </w:rPr>
            </w:pPr>
            <w:r>
              <w:rPr>
                <w:w w:val="105"/>
                <w:sz w:val="20"/>
              </w:rPr>
              <w:t>狼疮性肾炎是系统性红斑狼疮的一种并发症。系统性红斑狼疮是由多种因素引起，</w:t>
            </w:r>
          </w:p>
        </w:tc>
      </w:tr>
      <w:tr>
        <w:trPr>
          <w:trHeight w:val="309" w:hRule="atLeast"/>
        </w:trPr>
        <w:tc>
          <w:tcPr>
            <w:tcW w:w="558" w:type="dxa"/>
          </w:tcPr>
          <w:p>
            <w:pPr>
              <w:pStyle w:val="TableParagraph"/>
              <w:rPr>
                <w:rFonts w:ascii="Times New Roman"/>
                <w:sz w:val="20"/>
              </w:rPr>
            </w:pPr>
          </w:p>
        </w:tc>
        <w:tc>
          <w:tcPr>
            <w:tcW w:w="2230" w:type="dxa"/>
          </w:tcPr>
          <w:p>
            <w:pPr>
              <w:pStyle w:val="TableParagraph"/>
              <w:spacing w:line="258" w:lineRule="exact"/>
              <w:ind w:left="394"/>
              <w:rPr>
                <w:rFonts w:ascii="等线" w:eastAsia="等线" w:hint="eastAsia"/>
                <w:b/>
                <w:sz w:val="20"/>
              </w:rPr>
            </w:pPr>
            <w:r>
              <w:rPr>
                <w:rFonts w:ascii="等线" w:eastAsia="等线" w:hint="eastAsia"/>
                <w:b/>
                <w:w w:val="105"/>
                <w:sz w:val="20"/>
              </w:rPr>
              <w:t>疮－III 型或以上狼</w:t>
            </w:r>
          </w:p>
        </w:tc>
        <w:tc>
          <w:tcPr>
            <w:tcW w:w="7751" w:type="dxa"/>
          </w:tcPr>
          <w:p>
            <w:pPr>
              <w:pStyle w:val="TableParagraph"/>
              <w:spacing w:line="259" w:lineRule="exact"/>
              <w:ind w:left="113"/>
              <w:rPr>
                <w:sz w:val="20"/>
              </w:rPr>
            </w:pPr>
            <w:r>
              <w:rPr>
                <w:w w:val="105"/>
                <w:sz w:val="20"/>
              </w:rPr>
              <w:t>累及多系统的自身免疫性疾病，其特点是生成自身抗体对抗多种自身抗原。狼疮性</w:t>
            </w:r>
          </w:p>
        </w:tc>
      </w:tr>
      <w:tr>
        <w:trPr>
          <w:trHeight w:val="313" w:hRule="atLeast"/>
        </w:trPr>
        <w:tc>
          <w:tcPr>
            <w:tcW w:w="558" w:type="dxa"/>
          </w:tcPr>
          <w:p>
            <w:pPr>
              <w:pStyle w:val="TableParagraph"/>
              <w:rPr>
                <w:rFonts w:ascii="Times New Roman"/>
                <w:sz w:val="20"/>
              </w:rPr>
            </w:pPr>
          </w:p>
        </w:tc>
        <w:tc>
          <w:tcPr>
            <w:tcW w:w="2230" w:type="dxa"/>
          </w:tcPr>
          <w:p>
            <w:pPr>
              <w:pStyle w:val="TableParagraph"/>
              <w:spacing w:line="260" w:lineRule="exact"/>
              <w:ind w:left="394"/>
              <w:rPr>
                <w:rFonts w:ascii="等线" w:eastAsia="等线" w:hint="eastAsia"/>
                <w:b/>
                <w:sz w:val="20"/>
              </w:rPr>
            </w:pPr>
            <w:r>
              <w:rPr>
                <w:rFonts w:ascii="等线" w:eastAsia="等线" w:hint="eastAsia"/>
                <w:b/>
                <w:w w:val="105"/>
                <w:sz w:val="20"/>
              </w:rPr>
              <w:t>疮性肾炎</w:t>
            </w:r>
            <w:r>
              <w:rPr>
                <w:rFonts w:ascii="等线" w:eastAsia="等线" w:hint="eastAsia"/>
                <w:b/>
                <w:w w:val="96"/>
                <w:sz w:val="20"/>
              </w:rPr>
              <w:t> </w:t>
            </w:r>
            <w:r>
              <w:rPr>
                <w:rFonts w:ascii="等线" w:eastAsia="等线" w:hint="eastAsia"/>
                <w:b/>
                <w:sz w:val="20"/>
              </w:rPr>
              <w:t> </w:t>
            </w:r>
            <w:r>
              <w:rPr>
                <w:rFonts w:ascii="等线" w:eastAsia="等线" w:hint="eastAsia"/>
                <w:b/>
                <w:w w:val="96"/>
                <w:sz w:val="20"/>
              </w:rPr>
              <w:t> </w:t>
            </w:r>
          </w:p>
        </w:tc>
        <w:tc>
          <w:tcPr>
            <w:tcW w:w="7751" w:type="dxa"/>
          </w:tcPr>
          <w:p>
            <w:pPr>
              <w:pStyle w:val="TableParagraph"/>
              <w:spacing w:line="261" w:lineRule="exact"/>
              <w:ind w:left="113"/>
              <w:rPr>
                <w:sz w:val="20"/>
              </w:rPr>
            </w:pPr>
            <w:r>
              <w:rPr>
                <w:w w:val="105"/>
                <w:sz w:val="20"/>
              </w:rPr>
              <w:t>肾炎是指系统性红斑狼疮患者并发狼疮性肾炎而影响和损害肾脏功能。 </w:t>
            </w:r>
          </w:p>
        </w:tc>
      </w:tr>
      <w:tr>
        <w:trPr>
          <w:trHeight w:val="315" w:hRule="atLeast"/>
        </w:trPr>
        <w:tc>
          <w:tcPr>
            <w:tcW w:w="558" w:type="dxa"/>
          </w:tcPr>
          <w:p>
            <w:pPr>
              <w:pStyle w:val="TableParagraph"/>
              <w:rPr>
                <w:rFonts w:ascii="Times New Roman"/>
                <w:sz w:val="20"/>
              </w:rPr>
            </w:pPr>
          </w:p>
        </w:tc>
        <w:tc>
          <w:tcPr>
            <w:tcW w:w="2230"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51" w:type="dxa"/>
          </w:tcPr>
          <w:p>
            <w:pPr>
              <w:pStyle w:val="TableParagraph"/>
              <w:spacing w:line="260" w:lineRule="exact"/>
              <w:ind w:left="113"/>
              <w:rPr>
                <w:sz w:val="20"/>
              </w:rPr>
            </w:pPr>
            <w:r>
              <w:rPr>
                <w:w w:val="105"/>
                <w:sz w:val="20"/>
              </w:rPr>
              <w:t>世界卫生组织（WHO）狼疮性肾炎分型：  </w:t>
            </w:r>
          </w:p>
        </w:tc>
      </w:tr>
      <w:tr>
        <w:trPr>
          <w:trHeight w:val="254" w:hRule="atLeast"/>
        </w:trPr>
        <w:tc>
          <w:tcPr>
            <w:tcW w:w="558" w:type="dxa"/>
          </w:tcPr>
          <w:p>
            <w:pPr>
              <w:pStyle w:val="TableParagraph"/>
              <w:rPr>
                <w:rFonts w:ascii="Times New Roman"/>
                <w:sz w:val="18"/>
              </w:rPr>
            </w:pPr>
          </w:p>
        </w:tc>
        <w:tc>
          <w:tcPr>
            <w:tcW w:w="2230" w:type="dxa"/>
          </w:tcPr>
          <w:p>
            <w:pPr>
              <w:pStyle w:val="TableParagraph"/>
              <w:rPr>
                <w:rFonts w:ascii="Times New Roman"/>
                <w:sz w:val="18"/>
              </w:rPr>
            </w:pPr>
          </w:p>
        </w:tc>
        <w:tc>
          <w:tcPr>
            <w:tcW w:w="7751" w:type="dxa"/>
          </w:tcPr>
          <w:p>
            <w:pPr>
              <w:pStyle w:val="TableParagraph"/>
              <w:spacing w:line="234" w:lineRule="exact"/>
              <w:ind w:left="113"/>
              <w:rPr>
                <w:sz w:val="20"/>
              </w:rPr>
            </w:pPr>
            <w:r>
              <w:rPr>
                <w:w w:val="105"/>
                <w:sz w:val="20"/>
              </w:rPr>
              <w:t> </w:t>
            </w:r>
          </w:p>
        </w:tc>
      </w:tr>
    </w:tbl>
    <w:p>
      <w:pPr>
        <w:spacing w:after="0" w:line="234" w:lineRule="exact"/>
        <w:rPr>
          <w:sz w:val="20"/>
        </w:rPr>
        <w:sectPr>
          <w:footerReference w:type="default" r:id="rId8"/>
          <w:pgSz w:w="11900" w:h="16840"/>
          <w:pgMar w:footer="440" w:header="0" w:top="1120" w:bottom="640" w:left="620" w:right="520"/>
          <w:pgNumType w:start="10"/>
        </w:sectPr>
      </w:pPr>
    </w:p>
    <w:tbl>
      <w:tblPr>
        <w:tblW w:w="0" w:type="auto"/>
        <w:jc w:val="left"/>
        <w:tblInd w:w="2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3" w:hRule="atLeast"/>
        </w:trPr>
        <w:tc>
          <w:tcPr>
            <w:tcW w:w="2899" w:type="dxa"/>
          </w:tcPr>
          <w:p>
            <w:pPr>
              <w:pStyle w:val="TableParagraph"/>
              <w:spacing w:line="256" w:lineRule="exact"/>
              <w:ind w:left="107"/>
              <w:rPr>
                <w:sz w:val="20"/>
              </w:rPr>
            </w:pPr>
            <w:r>
              <w:rPr>
                <w:w w:val="105"/>
                <w:sz w:val="20"/>
              </w:rPr>
              <w:t>I 型（微小病变型）  </w:t>
            </w:r>
          </w:p>
        </w:tc>
        <w:tc>
          <w:tcPr>
            <w:tcW w:w="3655" w:type="dxa"/>
          </w:tcPr>
          <w:p>
            <w:pPr>
              <w:pStyle w:val="TableParagraph"/>
              <w:spacing w:line="256" w:lineRule="exact"/>
              <w:ind w:left="107"/>
              <w:rPr>
                <w:sz w:val="20"/>
              </w:rPr>
            </w:pPr>
            <w:r>
              <w:rPr>
                <w:w w:val="105"/>
                <w:sz w:val="20"/>
              </w:rPr>
              <w:t>镜下阴性，尿液正常  </w:t>
            </w:r>
          </w:p>
        </w:tc>
      </w:tr>
      <w:tr>
        <w:trPr>
          <w:trHeight w:val="311" w:hRule="atLeast"/>
        </w:trPr>
        <w:tc>
          <w:tcPr>
            <w:tcW w:w="2899" w:type="dxa"/>
          </w:tcPr>
          <w:p>
            <w:pPr>
              <w:pStyle w:val="TableParagraph"/>
              <w:spacing w:line="253" w:lineRule="exact"/>
              <w:ind w:left="107"/>
              <w:rPr>
                <w:sz w:val="20"/>
              </w:rPr>
            </w:pPr>
            <w:r>
              <w:rPr>
                <w:w w:val="105"/>
                <w:sz w:val="20"/>
              </w:rPr>
              <w:t>II 型（系膜病变型）  </w:t>
            </w:r>
          </w:p>
        </w:tc>
        <w:tc>
          <w:tcPr>
            <w:tcW w:w="3655" w:type="dxa"/>
          </w:tcPr>
          <w:p>
            <w:pPr>
              <w:pStyle w:val="TableParagraph"/>
              <w:spacing w:line="253" w:lineRule="exact"/>
              <w:ind w:left="107"/>
              <w:rPr>
                <w:sz w:val="20"/>
              </w:rPr>
            </w:pPr>
            <w:r>
              <w:rPr>
                <w:w w:val="105"/>
                <w:sz w:val="20"/>
              </w:rPr>
              <w:t>中度蛋白尿，偶有尿沉渣改变  </w:t>
            </w:r>
          </w:p>
        </w:tc>
      </w:tr>
      <w:tr>
        <w:trPr>
          <w:trHeight w:val="311" w:hRule="atLeast"/>
        </w:trPr>
        <w:tc>
          <w:tcPr>
            <w:tcW w:w="2899" w:type="dxa"/>
          </w:tcPr>
          <w:p>
            <w:pPr>
              <w:pStyle w:val="TableParagraph"/>
              <w:spacing w:line="253"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53" w:lineRule="exact"/>
              <w:ind w:left="107"/>
              <w:rPr>
                <w:sz w:val="20"/>
              </w:rPr>
            </w:pPr>
            <w:r>
              <w:rPr>
                <w:w w:val="105"/>
                <w:sz w:val="20"/>
              </w:rPr>
              <w:t>蛋白尿，尿沉渣改变  </w:t>
            </w:r>
          </w:p>
        </w:tc>
      </w:tr>
      <w:tr>
        <w:trPr>
          <w:trHeight w:val="625" w:hRule="atLeast"/>
        </w:trPr>
        <w:tc>
          <w:tcPr>
            <w:tcW w:w="2899" w:type="dxa"/>
          </w:tcPr>
          <w:p>
            <w:pPr>
              <w:pStyle w:val="TableParagraph"/>
              <w:spacing w:line="256" w:lineRule="exact"/>
              <w:ind w:left="107"/>
              <w:rPr>
                <w:sz w:val="20"/>
              </w:rPr>
            </w:pPr>
            <w:r>
              <w:rPr>
                <w:w w:val="105"/>
                <w:sz w:val="20"/>
              </w:rPr>
              <w:t>IV 型（弥漫增生型）  </w:t>
            </w:r>
          </w:p>
        </w:tc>
        <w:tc>
          <w:tcPr>
            <w:tcW w:w="3655" w:type="dxa"/>
          </w:tcPr>
          <w:p>
            <w:pPr>
              <w:pStyle w:val="TableParagraph"/>
              <w:spacing w:line="256" w:lineRule="exact"/>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1" w:hRule="atLeast"/>
        </w:trPr>
        <w:tc>
          <w:tcPr>
            <w:tcW w:w="2899" w:type="dxa"/>
          </w:tcPr>
          <w:p>
            <w:pPr>
              <w:pStyle w:val="TableParagraph"/>
              <w:spacing w:line="253" w:lineRule="exact"/>
              <w:ind w:left="107"/>
              <w:rPr>
                <w:sz w:val="20"/>
              </w:rPr>
            </w:pPr>
            <w:r>
              <w:rPr>
                <w:w w:val="105"/>
                <w:sz w:val="20"/>
              </w:rPr>
              <w:t>V 型（膜型）  </w:t>
            </w:r>
          </w:p>
        </w:tc>
        <w:tc>
          <w:tcPr>
            <w:tcW w:w="3655" w:type="dxa"/>
          </w:tcPr>
          <w:p>
            <w:pPr>
              <w:pStyle w:val="TableParagraph"/>
              <w:spacing w:line="253" w:lineRule="exact"/>
              <w:ind w:left="107"/>
              <w:rPr>
                <w:sz w:val="20"/>
              </w:rPr>
            </w:pPr>
            <w:r>
              <w:rPr>
                <w:w w:val="105"/>
                <w:sz w:val="20"/>
              </w:rPr>
              <w:t>肾病综合征或重度蛋白尿  </w:t>
            </w:r>
          </w:p>
        </w:tc>
      </w:tr>
      <w:tr>
        <w:trPr>
          <w:trHeight w:val="625" w:hRule="atLeast"/>
        </w:trPr>
        <w:tc>
          <w:tcPr>
            <w:tcW w:w="2899" w:type="dxa"/>
          </w:tcPr>
          <w:p>
            <w:pPr>
              <w:pStyle w:val="TableParagraph"/>
              <w:spacing w:line="253" w:lineRule="exact"/>
              <w:ind w:left="107"/>
              <w:rPr>
                <w:sz w:val="20"/>
              </w:rPr>
            </w:pPr>
            <w:r>
              <w:rPr>
                <w:w w:val="105"/>
                <w:sz w:val="20"/>
              </w:rPr>
              <w:t>Ⅵ型（肾小球硬化型） </w:t>
            </w:r>
          </w:p>
        </w:tc>
        <w:tc>
          <w:tcPr>
            <w:tcW w:w="3655" w:type="dxa"/>
          </w:tcPr>
          <w:p>
            <w:pPr>
              <w:pStyle w:val="TableParagraph"/>
              <w:spacing w:line="285" w:lineRule="auto"/>
              <w:ind w:left="107" w:right="83"/>
              <w:rPr>
                <w:sz w:val="20"/>
              </w:rPr>
            </w:pPr>
            <w:r>
              <w:rPr>
                <w:w w:val="105"/>
                <w:sz w:val="20"/>
              </w:rPr>
              <w:t>肾小球硬化成纤维团状，肾功能差， 无法恢复 </w:t>
            </w:r>
          </w:p>
        </w:tc>
      </w:tr>
    </w:tbl>
    <w:p>
      <w:pPr>
        <w:pStyle w:val="BodyText"/>
        <w:spacing w:line="285" w:lineRule="auto"/>
        <w:ind w:left="2060" w:right="113"/>
      </w:pPr>
      <w:r>
        <w:rPr>
          <w:spacing w:val="-7"/>
          <w:w w:val="105"/>
        </w:rPr>
        <w:t>严重狼疮性肾炎是指经肾脏活检确认的，符合 </w:t>
      </w:r>
      <w:r>
        <w:rPr>
          <w:w w:val="105"/>
        </w:rPr>
        <w:t>WHO</w:t>
      </w:r>
      <w:r>
        <w:rPr>
          <w:spacing w:val="-16"/>
          <w:w w:val="105"/>
        </w:rPr>
        <w:t> 诊断标准定义 </w:t>
      </w:r>
      <w:r>
        <w:rPr>
          <w:w w:val="105"/>
        </w:rPr>
        <w:t>III</w:t>
      </w:r>
      <w:r>
        <w:rPr>
          <w:spacing w:val="-22"/>
          <w:w w:val="105"/>
        </w:rPr>
        <w:t> 型、</w:t>
      </w:r>
      <w:r>
        <w:rPr>
          <w:w w:val="105"/>
        </w:rPr>
        <w:t>IV</w:t>
      </w:r>
      <w:r>
        <w:rPr>
          <w:spacing w:val="-22"/>
          <w:w w:val="105"/>
        </w:rPr>
        <w:t> 型、</w:t>
      </w:r>
      <w:r>
        <w:rPr>
          <w:w w:val="105"/>
        </w:rPr>
        <w:t>V </w:t>
      </w:r>
      <w:r>
        <w:rPr>
          <w:spacing w:val="-5"/>
          <w:w w:val="105"/>
        </w:rPr>
        <w:t>型和Ⅵ型的狼疮性肾炎,且肌酐清除率持续低于 </w:t>
      </w:r>
      <w:r>
        <w:rPr>
          <w:w w:val="105"/>
        </w:rPr>
        <w:t>30ml/</w:t>
      </w:r>
      <w:r>
        <w:rPr>
          <w:spacing w:val="-7"/>
          <w:w w:val="105"/>
        </w:rPr>
        <w:t>分。其他类型的红斑性狼疮， </w:t>
      </w:r>
      <w:r>
        <w:rPr>
          <w:spacing w:val="-3"/>
          <w:w w:val="105"/>
        </w:rPr>
        <w:t>如盘状狼疮、仅累及血液及关节的狼疮不在本附加合同保障范围內。</w:t>
      </w:r>
      <w:r>
        <w:rPr>
          <w:w w:val="105"/>
        </w:rPr>
        <w:t> </w:t>
      </w:r>
    </w:p>
    <w:p>
      <w:pPr>
        <w:pStyle w:val="BodyText"/>
        <w:spacing w:before="20"/>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pgSz w:w="11900" w:h="16840"/>
          <w:pgMar w:header="0" w:footer="440" w:top="1140" w:bottom="640" w:left="1580" w:right="560"/>
        </w:sectPr>
      </w:pPr>
    </w:p>
    <w:p>
      <w:pPr>
        <w:pStyle w:val="Heading3"/>
        <w:spacing w:line="225" w:lineRule="exact"/>
        <w:rPr>
          <w:rFonts w:ascii="等线" w:eastAsia="等线" w:hint="eastAsia"/>
        </w:rPr>
      </w:pPr>
      <w:r>
        <w:rPr>
          <w:rFonts w:ascii="等线" w:eastAsia="等线" w:hint="eastAsia"/>
          <w:w w:val="105"/>
        </w:rPr>
        <w:t>32、严重克隆病</w:t>
      </w:r>
    </w:p>
    <w:p>
      <w:pPr>
        <w:pStyle w:val="BodyText"/>
        <w:spacing w:before="56"/>
        <w:ind w:left="111"/>
      </w:pPr>
      <w:r>
        <w:rPr>
          <w:spacing w:val="-109"/>
          <w:w w:val="108"/>
        </w:rPr>
        <w:t> </w:t>
      </w:r>
      <w:r>
        <w:rPr>
          <w:spacing w:val="-104"/>
          <w:w w:val="108"/>
        </w:rPr>
        <w:t> </w:t>
      </w:r>
      <w:r>
        <w:rPr>
          <w:spacing w:val="-109"/>
          <w:w w:val="108"/>
        </w:rPr>
        <w:t> </w:t>
      </w:r>
      <w:r>
        <w:rPr>
          <w:w w:val="108"/>
        </w:rPr>
        <w:t> </w:t>
      </w:r>
    </w:p>
    <w:p>
      <w:pPr>
        <w:pStyle w:val="BodyText"/>
        <w:spacing w:line="226"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60" w:bottom="280" w:left="1580" w:right="560"/>
          <w:cols w:num="2" w:equalWidth="0">
            <w:col w:w="1617" w:space="331"/>
            <w:col w:w="7812"/>
          </w:cols>
        </w:sectPr>
      </w:pPr>
    </w:p>
    <w:p>
      <w:pPr>
        <w:pStyle w:val="BodyText"/>
        <w:spacing w:before="10"/>
        <w:rPr>
          <w:sz w:val="14"/>
        </w:rPr>
      </w:pPr>
    </w:p>
    <w:p>
      <w:pPr>
        <w:spacing w:after="0"/>
        <w:rPr>
          <w:sz w:val="14"/>
        </w:rPr>
        <w:sectPr>
          <w:type w:val="continuous"/>
          <w:pgSz w:w="11900" w:h="16840"/>
          <w:pgMar w:top="60" w:bottom="280" w:left="1580" w:right="560"/>
        </w:sectPr>
      </w:pPr>
    </w:p>
    <w:p>
      <w:pPr>
        <w:pStyle w:val="Heading3"/>
        <w:spacing w:line="273" w:lineRule="auto" w:before="35"/>
        <w:rPr>
          <w:rFonts w:ascii="等线" w:eastAsia="等线" w:hint="eastAsia"/>
        </w:rPr>
      </w:pPr>
      <w:r>
        <w:rPr>
          <w:rFonts w:ascii="等线" w:eastAsia="等线" w:hint="eastAsia"/>
          <w:w w:val="105"/>
        </w:rPr>
        <w:t>33、急性坏死性胰腺炎</w:t>
      </w:r>
    </w:p>
    <w:p>
      <w:pPr>
        <w:pStyle w:val="BodyText"/>
        <w:spacing w:before="27"/>
        <w:ind w:left="111"/>
      </w:pPr>
      <w:r>
        <w:rPr>
          <w:spacing w:val="-109"/>
          <w:w w:val="108"/>
        </w:rPr>
        <w:t> </w:t>
      </w:r>
      <w:r>
        <w:rPr>
          <w:spacing w:val="-104"/>
          <w:w w:val="108"/>
        </w:rPr>
        <w:t> </w:t>
      </w:r>
      <w:r>
        <w:rPr>
          <w:spacing w:val="-109"/>
          <w:w w:val="108"/>
        </w:rPr>
        <w:t> </w:t>
      </w:r>
      <w:r>
        <w:rPr>
          <w:w w:val="108"/>
        </w:rPr>
        <w:t> </w:t>
      </w:r>
    </w:p>
    <w:p>
      <w:pPr>
        <w:pStyle w:val="BodyText"/>
        <w:spacing w:line="285" w:lineRule="auto" w:before="46"/>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type w:val="continuous"/>
          <w:pgSz w:w="11900" w:h="16840"/>
          <w:pgMar w:top="60" w:bottom="280" w:left="1580" w:right="560"/>
          <w:cols w:num="2" w:equalWidth="0">
            <w:col w:w="1829" w:space="120"/>
            <w:col w:w="7811"/>
          </w:cols>
        </w:sectPr>
      </w:pPr>
    </w:p>
    <w:p>
      <w:pPr>
        <w:pStyle w:val="BodyText"/>
        <w:spacing w:before="3"/>
        <w:rPr>
          <w:sz w:val="13"/>
        </w:rPr>
      </w:pPr>
    </w:p>
    <w:p>
      <w:pPr>
        <w:spacing w:after="0"/>
        <w:rPr>
          <w:sz w:val="13"/>
        </w:rPr>
        <w:sectPr>
          <w:type w:val="continuous"/>
          <w:pgSz w:w="11900" w:h="16840"/>
          <w:pgMar w:top="60" w:bottom="280" w:left="1580" w:right="560"/>
        </w:sectPr>
      </w:pPr>
    </w:p>
    <w:p>
      <w:pPr>
        <w:pStyle w:val="Heading3"/>
        <w:spacing w:line="240" w:lineRule="auto" w:before="54"/>
        <w:rPr>
          <w:rFonts w:ascii="等线" w:eastAsia="等线" w:hint="eastAsia"/>
        </w:rPr>
      </w:pPr>
      <w:r>
        <w:rPr>
          <w:rFonts w:ascii="等线" w:eastAsia="等线" w:hint="eastAsia"/>
          <w:w w:val="105"/>
        </w:rPr>
        <w:t>34、肌营养不良症</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300" w:lineRule="auto" w:before="44"/>
        <w:ind w:left="111" w:right="245"/>
      </w:pPr>
      <w:r>
        <w:rPr/>
        <w:br w:type="column"/>
      </w:r>
      <w:r>
        <w:rPr>
          <w:w w:val="105"/>
        </w:rPr>
        <w:t>指一组原发于肌肉的遗传性疾病，临床表现为与神经系统无关的肌肉无力和肌肉萎缩。且须满足下列全部条件： </w:t>
      </w:r>
    </w:p>
    <w:p>
      <w:pPr>
        <w:pStyle w:val="BodyText"/>
        <w:spacing w:before="35"/>
        <w:ind w:left="111"/>
      </w:pPr>
      <w:r>
        <w:rPr>
          <w:w w:val="105"/>
        </w:rPr>
        <w:t>（1）肌肉组织活检结果满足肌营养不良症的肌肉细胞变性、坏死等阳性改变； </w:t>
      </w:r>
    </w:p>
    <w:p>
      <w:pPr>
        <w:pStyle w:val="BodyText"/>
        <w:spacing w:line="285" w:lineRule="auto" w:before="49"/>
        <w:ind w:left="111" w:right="237"/>
      </w:pPr>
      <w:r>
        <w:rPr>
          <w:w w:val="105"/>
        </w:rPr>
        <w:t>（2）自主生活能力完全丧失，无法独立完成六项基本日常生活活动中的三项或三项以上。</w:t>
      </w:r>
    </w:p>
    <w:p>
      <w:pPr>
        <w:spacing w:after="0" w:line="285" w:lineRule="auto"/>
        <w:sectPr>
          <w:type w:val="continuous"/>
          <w:pgSz w:w="11900" w:h="16840"/>
          <w:pgMar w:top="60" w:bottom="280" w:left="1580" w:right="560"/>
          <w:cols w:num="2" w:equalWidth="0">
            <w:col w:w="1829" w:space="120"/>
            <w:col w:w="7811"/>
          </w:cols>
        </w:sectPr>
      </w:pPr>
    </w:p>
    <w:p>
      <w:pPr>
        <w:pStyle w:val="BodyText"/>
        <w:spacing w:before="7"/>
        <w:rPr>
          <w:sz w:val="14"/>
        </w:rPr>
      </w:pPr>
    </w:p>
    <w:p>
      <w:pPr>
        <w:spacing w:after="0"/>
        <w:rPr>
          <w:sz w:val="14"/>
        </w:rPr>
        <w:sectPr>
          <w:type w:val="continuous"/>
          <w:pgSz w:w="11900" w:h="16840"/>
          <w:pgMar w:top="60" w:bottom="280" w:left="1580" w:right="560"/>
        </w:sectPr>
      </w:pPr>
    </w:p>
    <w:p>
      <w:pPr>
        <w:pStyle w:val="Heading3"/>
        <w:spacing w:line="240" w:lineRule="auto" w:before="35"/>
        <w:rPr>
          <w:rFonts w:ascii="等线" w:eastAsia="等线" w:hint="eastAsia"/>
        </w:rPr>
      </w:pPr>
      <w:r>
        <w:rPr>
          <w:rFonts w:ascii="等线" w:eastAsia="等线" w:hint="eastAsia"/>
          <w:w w:val="105"/>
        </w:rPr>
        <w:t>35、脊髓灰质炎</w:t>
      </w:r>
    </w:p>
    <w:p>
      <w:pPr>
        <w:pStyle w:val="BodyText"/>
        <w:spacing w:before="56"/>
        <w:ind w:left="111"/>
      </w:pPr>
      <w:r>
        <w:rPr>
          <w:spacing w:val="-109"/>
          <w:w w:val="108"/>
        </w:rPr>
        <w:t> </w:t>
      </w:r>
      <w:r>
        <w:rPr>
          <w:spacing w:val="-104"/>
          <w:w w:val="108"/>
        </w:rPr>
        <w:t> </w:t>
      </w:r>
      <w:r>
        <w:rPr>
          <w:spacing w:val="-109"/>
          <w:w w:val="108"/>
        </w:rPr>
        <w:t> </w:t>
      </w:r>
      <w:r>
        <w:rPr>
          <w:w w:val="108"/>
        </w:rPr>
        <w:t> </w:t>
      </w:r>
    </w:p>
    <w:p>
      <w:pPr>
        <w:pStyle w:val="BodyText"/>
        <w:spacing w:line="285" w:lineRule="auto" w:before="47"/>
        <w:ind w:left="111" w:right="216"/>
        <w:jc w:val="both"/>
      </w:pPr>
      <w:r>
        <w:rPr/>
        <w:br w:type="column"/>
      </w:r>
      <w:r>
        <w:rPr>
          <w:w w:val="105"/>
        </w:rPr>
        <w:t>经由本公司认可的神经专科医生确认是由于脊髓灰质炎病毒感染所导致的运动功</w:t>
      </w:r>
      <w:r>
        <w:rPr>
          <w:spacing w:val="-8"/>
          <w:w w:val="105"/>
        </w:rPr>
        <w:t>能障碍或呼吸功能减弱麻痹性瘫痪的疾病。若无因此感染而导致麻痹性瘫痪的事实</w:t>
      </w:r>
      <w:r>
        <w:rPr>
          <w:spacing w:val="-12"/>
          <w:w w:val="105"/>
        </w:rPr>
        <w:t>结果，以及其它病因所致的麻痹，例如格林巴利综合征则不属于本附加合同所说的</w:t>
      </w:r>
      <w:r>
        <w:rPr>
          <w:spacing w:val="-3"/>
          <w:w w:val="105"/>
        </w:rPr>
        <w:t>脊髓灰质炎。 </w:t>
      </w:r>
      <w:r>
        <w:rPr>
          <w:w w:val="105"/>
        </w:rPr>
        <w:t> </w:t>
      </w:r>
    </w:p>
    <w:p>
      <w:pPr>
        <w:spacing w:after="0" w:line="285" w:lineRule="auto"/>
        <w:jc w:val="both"/>
        <w:sectPr>
          <w:type w:val="continuous"/>
          <w:pgSz w:w="11900" w:h="16840"/>
          <w:pgMar w:top="60" w:bottom="280" w:left="1580" w:right="560"/>
          <w:cols w:num="2" w:equalWidth="0">
            <w:col w:w="1617" w:space="331"/>
            <w:col w:w="7812"/>
          </w:cols>
        </w:sectPr>
      </w:pPr>
    </w:p>
    <w:p>
      <w:pPr>
        <w:pStyle w:val="BodyText"/>
        <w:spacing w:before="10"/>
        <w:rPr>
          <w:sz w:val="14"/>
        </w:rPr>
      </w:pPr>
    </w:p>
    <w:p>
      <w:pPr>
        <w:spacing w:after="0"/>
        <w:rPr>
          <w:sz w:val="14"/>
        </w:rPr>
        <w:sectPr>
          <w:type w:val="continuous"/>
          <w:pgSz w:w="11900" w:h="16840"/>
          <w:pgMar w:top="60" w:bottom="280" w:left="1580" w:right="560"/>
        </w:sectPr>
      </w:pPr>
    </w:p>
    <w:p>
      <w:pPr>
        <w:pStyle w:val="Heading3"/>
        <w:spacing w:line="240" w:lineRule="auto" w:before="35"/>
        <w:rPr>
          <w:rFonts w:ascii="等线" w:eastAsia="等线" w:hint="eastAsia"/>
        </w:rPr>
      </w:pPr>
      <w:r>
        <w:rPr>
          <w:rFonts w:ascii="等线" w:eastAsia="等线" w:hint="eastAsia"/>
          <w:w w:val="105"/>
        </w:rPr>
        <w:t>36、终末期肺病</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343" w:lineRule="auto" w:before="78"/>
        <w:ind w:left="111" w:right="341"/>
      </w:pPr>
      <w:r>
        <w:rPr/>
        <w:br w:type="column"/>
      </w:r>
      <w:r>
        <w:rPr>
          <w:w w:val="105"/>
        </w:rPr>
        <w:t>由本公司认可的呼吸专科医生确诊被保险人患有终末期肺病而出现慢性呼吸功能衰竭，其诊断标准包括以下各项： </w:t>
      </w:r>
    </w:p>
    <w:p>
      <w:pPr>
        <w:pStyle w:val="BodyText"/>
        <w:spacing w:line="236" w:lineRule="exact"/>
        <w:ind w:left="111"/>
      </w:pPr>
      <w:r>
        <w:rPr>
          <w:w w:val="105"/>
        </w:rPr>
        <w:t>（1）肺功能测试其 FEVl 持续低于 0．75 升； </w:t>
      </w:r>
    </w:p>
    <w:p>
      <w:pPr>
        <w:pStyle w:val="BodyText"/>
        <w:spacing w:before="65"/>
        <w:ind w:left="111"/>
      </w:pPr>
      <w:r>
        <w:rPr>
          <w:w w:val="105"/>
        </w:rPr>
        <w:t>（2）病人缺氧必须广泛而持续地进行输氧治疗； </w:t>
      </w:r>
    </w:p>
    <w:p>
      <w:pPr>
        <w:pStyle w:val="BodyText"/>
        <w:spacing w:before="64"/>
        <w:ind w:left="111"/>
      </w:pPr>
      <w:r>
        <w:rPr>
          <w:w w:val="105"/>
        </w:rPr>
        <w:t>（3）动脉血气分析氧分压低于 55mmHg。  </w:t>
      </w:r>
    </w:p>
    <w:p>
      <w:pPr>
        <w:spacing w:after="0"/>
        <w:sectPr>
          <w:type w:val="continuous"/>
          <w:pgSz w:w="11900" w:h="16840"/>
          <w:pgMar w:top="60" w:bottom="280" w:left="1580" w:right="560"/>
          <w:cols w:num="2" w:equalWidth="0">
            <w:col w:w="1617" w:space="331"/>
            <w:col w:w="7812"/>
          </w:cols>
        </w:sectPr>
      </w:pPr>
    </w:p>
    <w:p>
      <w:pPr>
        <w:pStyle w:val="BodyText"/>
        <w:spacing w:before="5"/>
      </w:pPr>
    </w:p>
    <w:p>
      <w:pPr>
        <w:spacing w:after="0"/>
        <w:sectPr>
          <w:type w:val="continuous"/>
          <w:pgSz w:w="11900" w:h="16840"/>
          <w:pgMar w:top="60" w:bottom="280" w:left="1580" w:right="560"/>
        </w:sectPr>
      </w:pPr>
    </w:p>
    <w:p>
      <w:pPr>
        <w:pStyle w:val="Heading3"/>
        <w:spacing w:line="273" w:lineRule="auto" w:before="35"/>
        <w:rPr>
          <w:rFonts w:ascii="等线" w:eastAsia="等线" w:hint="eastAsia"/>
        </w:rPr>
      </w:pPr>
      <w:r>
        <w:rPr>
          <w:rFonts w:ascii="等线" w:eastAsia="等线" w:hint="eastAsia"/>
          <w:w w:val="105"/>
        </w:rPr>
        <w:t>37、经输血感染艾滋病病毒</w:t>
      </w:r>
    </w:p>
    <w:p>
      <w:pPr>
        <w:pStyle w:val="BodyText"/>
        <w:spacing w:before="27"/>
        <w:ind w:left="111"/>
      </w:pPr>
      <w:r>
        <w:rPr>
          <w:spacing w:val="-109"/>
          <w:w w:val="108"/>
        </w:rPr>
        <w:t> </w:t>
      </w:r>
      <w:r>
        <w:rPr>
          <w:spacing w:val="-104"/>
          <w:w w:val="108"/>
        </w:rPr>
        <w:t> </w:t>
      </w:r>
      <w:r>
        <w:rPr>
          <w:spacing w:val="-109"/>
          <w:w w:val="108"/>
        </w:rPr>
        <w:t> </w:t>
      </w:r>
      <w:r>
        <w:rPr>
          <w:w w:val="108"/>
        </w:rPr>
        <w:t> </w:t>
      </w:r>
    </w:p>
    <w:p>
      <w:pPr>
        <w:pStyle w:val="BodyText"/>
        <w:spacing w:before="47"/>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pStyle w:val="BodyText"/>
        <w:spacing w:before="50"/>
        <w:ind w:left="111"/>
      </w:pPr>
      <w:r>
        <w:rPr>
          <w:w w:val="105"/>
        </w:rPr>
        <w:t>（4）受感染的被保险人不是血友病患者； </w:t>
      </w:r>
    </w:p>
    <w:p>
      <w:pPr>
        <w:pStyle w:val="BodyText"/>
        <w:spacing w:line="285" w:lineRule="auto" w:before="50"/>
        <w:ind w:left="111" w:right="21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spacing w:after="0" w:line="285" w:lineRule="auto"/>
        <w:sectPr>
          <w:type w:val="continuous"/>
          <w:pgSz w:w="11900" w:h="16840"/>
          <w:pgMar w:top="60" w:bottom="280" w:left="1580" w:right="560"/>
          <w:cols w:num="2" w:equalWidth="0">
            <w:col w:w="1829" w:space="120"/>
            <w:col w:w="781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28"/>
        <w:gridCol w:w="7648"/>
      </w:tblGrid>
      <w:tr>
        <w:trPr>
          <w:trHeight w:val="1195" w:hRule="atLeast"/>
        </w:trPr>
        <w:tc>
          <w:tcPr>
            <w:tcW w:w="2786" w:type="dxa"/>
            <w:gridSpan w:val="2"/>
          </w:tcPr>
          <w:p>
            <w:pPr>
              <w:pStyle w:val="TableParagraph"/>
              <w:rPr>
                <w:rFonts w:ascii="Times New Roman"/>
                <w:sz w:val="20"/>
              </w:rPr>
            </w:pPr>
          </w:p>
        </w:tc>
        <w:tc>
          <w:tcPr>
            <w:tcW w:w="7648" w:type="dxa"/>
          </w:tcPr>
          <w:p>
            <w:pPr>
              <w:pStyle w:val="TableParagraph"/>
              <w:spacing w:line="206" w:lineRule="exact"/>
              <w:ind w:left="115"/>
              <w:rPr>
                <w:sz w:val="20"/>
              </w:rPr>
            </w:pPr>
            <w:r>
              <w:rPr>
                <w:spacing w:val="-6"/>
                <w:w w:val="105"/>
                <w:sz w:val="20"/>
              </w:rPr>
              <w:t>任何因其他传播方式</w:t>
            </w:r>
            <w:r>
              <w:rPr>
                <w:spacing w:val="-3"/>
                <w:w w:val="105"/>
                <w:sz w:val="20"/>
              </w:rPr>
              <w:t>（</w:t>
            </w:r>
            <w:r>
              <w:rPr>
                <w:spacing w:val="-7"/>
                <w:w w:val="105"/>
                <w:sz w:val="20"/>
              </w:rPr>
              <w:t>包括：性传播或静脉注射毒品</w:t>
            </w:r>
            <w:r>
              <w:rPr>
                <w:spacing w:val="-29"/>
                <w:w w:val="105"/>
                <w:sz w:val="20"/>
              </w:rPr>
              <w:t>）</w:t>
            </w:r>
            <w:r>
              <w:rPr>
                <w:spacing w:val="-3"/>
                <w:w w:val="105"/>
                <w:sz w:val="20"/>
              </w:rPr>
              <w:t>导致的人类免疫缺陷病毒感</w:t>
            </w:r>
          </w:p>
          <w:p>
            <w:pPr>
              <w:pStyle w:val="TableParagraph"/>
              <w:spacing w:before="50"/>
              <w:ind w:left="115"/>
              <w:rPr>
                <w:sz w:val="20"/>
              </w:rPr>
            </w:pPr>
            <w:r>
              <w:rPr>
                <w:w w:val="105"/>
                <w:sz w:val="20"/>
              </w:rPr>
              <w:t>染不在本附加合同保障范围内。 </w:t>
            </w:r>
          </w:p>
          <w:p>
            <w:pPr>
              <w:pStyle w:val="TableParagraph"/>
              <w:spacing w:line="310" w:lineRule="atLeast" w:before="1"/>
              <w:ind w:left="115" w:right="174"/>
              <w:rPr>
                <w:sz w:val="20"/>
              </w:rPr>
            </w:pPr>
            <w:r>
              <w:rPr>
                <w:w w:val="105"/>
                <w:sz w:val="20"/>
              </w:rPr>
              <w:t>保险公司必须拥有获得使用被保险人的血液样本的权利和能够对这些样本进行独立检验的权利。 </w:t>
            </w:r>
          </w:p>
        </w:tc>
      </w:tr>
      <w:tr>
        <w:trPr>
          <w:trHeight w:val="270" w:hRule="atLeast"/>
        </w:trPr>
        <w:tc>
          <w:tcPr>
            <w:tcW w:w="558" w:type="dxa"/>
          </w:tcPr>
          <w:p>
            <w:pPr>
              <w:pStyle w:val="TableParagraph"/>
              <w:spacing w:line="24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50" w:lineRule="exact"/>
              <w:ind w:left="394"/>
              <w:rPr>
                <w:sz w:val="20"/>
              </w:rPr>
            </w:pPr>
            <w:r>
              <w:rPr>
                <w:w w:val="105"/>
                <w:sz w:val="20"/>
              </w:rPr>
              <w:t> </w:t>
            </w:r>
          </w:p>
        </w:tc>
        <w:tc>
          <w:tcPr>
            <w:tcW w:w="7648" w:type="dxa"/>
          </w:tcPr>
          <w:p>
            <w:pPr>
              <w:pStyle w:val="TableParagraph"/>
              <w:spacing w:line="250" w:lineRule="exact"/>
              <w:ind w:left="115"/>
              <w:rPr>
                <w:sz w:val="20"/>
              </w:rPr>
            </w:pPr>
            <w:r>
              <w:rPr>
                <w:w w:val="105"/>
                <w:sz w:val="20"/>
              </w:rPr>
              <w:t> </w:t>
            </w:r>
          </w:p>
        </w:tc>
      </w:tr>
      <w:tr>
        <w:trPr>
          <w:trHeight w:val="285"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16" w:lineRule="exact"/>
              <w:ind w:left="394"/>
              <w:rPr>
                <w:rFonts w:ascii="等线" w:eastAsia="等线" w:hint="eastAsia"/>
                <w:b/>
                <w:sz w:val="20"/>
              </w:rPr>
            </w:pPr>
            <w:r>
              <w:rPr>
                <w:rFonts w:ascii="等线" w:eastAsia="等线" w:hint="eastAsia"/>
                <w:b/>
                <w:w w:val="105"/>
                <w:sz w:val="20"/>
              </w:rPr>
              <w:t>38、肾髓质囊性病</w:t>
            </w:r>
          </w:p>
        </w:tc>
        <w:tc>
          <w:tcPr>
            <w:tcW w:w="7648" w:type="dxa"/>
          </w:tcPr>
          <w:p>
            <w:pPr>
              <w:pStyle w:val="TableParagraph"/>
              <w:spacing w:line="248" w:lineRule="exact"/>
              <w:ind w:left="115"/>
              <w:rPr>
                <w:sz w:val="20"/>
              </w:rPr>
            </w:pPr>
            <w:r>
              <w:rPr>
                <w:w w:val="105"/>
                <w:sz w:val="20"/>
              </w:rPr>
              <w:t>肾髓质囊性病的诊断必须同时符合下列要求： </w:t>
            </w:r>
          </w:p>
        </w:tc>
      </w:tr>
      <w:tr>
        <w:trPr>
          <w:trHeight w:val="343" w:hRule="atLeast"/>
        </w:trPr>
        <w:tc>
          <w:tcPr>
            <w:tcW w:w="558" w:type="dxa"/>
          </w:tcPr>
          <w:p>
            <w:pPr>
              <w:pStyle w:val="TableParagraph"/>
              <w:rPr>
                <w:rFonts w:ascii="Times New Roman"/>
                <w:sz w:val="20"/>
              </w:rPr>
            </w:pPr>
          </w:p>
        </w:tc>
        <w:tc>
          <w:tcPr>
            <w:tcW w:w="2228" w:type="dxa"/>
          </w:tcPr>
          <w:p>
            <w:pPr>
              <w:pStyle w:val="TableParagraph"/>
              <w:spacing w:line="248"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48" w:type="dxa"/>
          </w:tcPr>
          <w:p>
            <w:pPr>
              <w:pStyle w:val="TableParagraph"/>
              <w:spacing w:before="22"/>
              <w:ind w:left="115"/>
              <w:rPr>
                <w:sz w:val="20"/>
              </w:rPr>
            </w:pPr>
            <w:r>
              <w:rPr>
                <w:w w:val="105"/>
                <w:sz w:val="20"/>
              </w:rPr>
              <w:t>（1）肾髓质有囊肿、肾小管萎缩及间质纤维化等病理改变； </w:t>
            </w:r>
          </w:p>
        </w:tc>
      </w:tr>
      <w:tr>
        <w:trPr>
          <w:trHeight w:val="326"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648" w:type="dxa"/>
          </w:tcPr>
          <w:p>
            <w:pPr>
              <w:pStyle w:val="TableParagraph"/>
              <w:spacing w:before="5"/>
              <w:ind w:left="115"/>
              <w:rPr>
                <w:sz w:val="20"/>
              </w:rPr>
            </w:pPr>
            <w:r>
              <w:rPr>
                <w:w w:val="105"/>
                <w:sz w:val="20"/>
              </w:rPr>
              <w:t>（2）贫血、多尿及肾功能衰竭等临床表现； </w:t>
            </w:r>
          </w:p>
        </w:tc>
      </w:tr>
      <w:tr>
        <w:trPr>
          <w:trHeight w:val="339"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648" w:type="dxa"/>
          </w:tcPr>
          <w:p>
            <w:pPr>
              <w:pStyle w:val="TableParagraph"/>
              <w:spacing w:before="5"/>
              <w:ind w:left="115"/>
              <w:rPr>
                <w:sz w:val="20"/>
              </w:rPr>
            </w:pPr>
            <w:r>
              <w:rPr>
                <w:w w:val="105"/>
                <w:sz w:val="20"/>
              </w:rPr>
              <w:t>（3）诊断须由肾组织活检确定。 </w:t>
            </w:r>
          </w:p>
        </w:tc>
      </w:tr>
      <w:tr>
        <w:trPr>
          <w:trHeight w:val="288" w:hRule="atLeast"/>
        </w:trPr>
        <w:tc>
          <w:tcPr>
            <w:tcW w:w="558" w:type="dxa"/>
          </w:tcPr>
          <w:p>
            <w:pPr>
              <w:pStyle w:val="TableParagraph"/>
              <w:spacing w:line="247" w:lineRule="exact" w:before="2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52" w:lineRule="exact" w:before="16"/>
              <w:ind w:left="394"/>
              <w:rPr>
                <w:sz w:val="20"/>
              </w:rPr>
            </w:pPr>
            <w:r>
              <w:rPr>
                <w:w w:val="105"/>
                <w:sz w:val="20"/>
              </w:rPr>
              <w:t> </w:t>
            </w:r>
          </w:p>
        </w:tc>
        <w:tc>
          <w:tcPr>
            <w:tcW w:w="7648" w:type="dxa"/>
          </w:tcPr>
          <w:p>
            <w:pPr>
              <w:pStyle w:val="TableParagraph"/>
              <w:spacing w:line="252" w:lineRule="exact" w:before="16"/>
              <w:ind w:left="115"/>
              <w:rPr>
                <w:sz w:val="20"/>
              </w:rPr>
            </w:pPr>
            <w:r>
              <w:rPr>
                <w:w w:val="105"/>
                <w:sz w:val="20"/>
              </w:rPr>
              <w:t> </w:t>
            </w:r>
          </w:p>
        </w:tc>
      </w:tr>
      <w:tr>
        <w:trPr>
          <w:trHeight w:val="244"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14" w:lineRule="exact"/>
              <w:ind w:left="394"/>
              <w:rPr>
                <w:rFonts w:ascii="等线" w:eastAsia="等线" w:hint="eastAsia"/>
                <w:b/>
                <w:sz w:val="20"/>
              </w:rPr>
            </w:pPr>
            <w:r>
              <w:rPr>
                <w:rFonts w:ascii="等线" w:eastAsia="等线" w:hint="eastAsia"/>
                <w:b/>
                <w:w w:val="105"/>
                <w:sz w:val="20"/>
              </w:rPr>
              <w:t>39、胰岛素依赖型</w:t>
            </w:r>
          </w:p>
        </w:tc>
        <w:tc>
          <w:tcPr>
            <w:tcW w:w="7648" w:type="dxa"/>
          </w:tcPr>
          <w:p>
            <w:pPr>
              <w:pStyle w:val="TableParagraph"/>
              <w:spacing w:line="225" w:lineRule="exact"/>
              <w:ind w:left="115"/>
              <w:rPr>
                <w:sz w:val="20"/>
              </w:rPr>
            </w:pPr>
            <w:r>
              <w:rPr>
                <w:spacing w:val="-6"/>
                <w:w w:val="105"/>
                <w:sz w:val="20"/>
              </w:rPr>
              <w:t>胰岛素依赖型糖尿病是由于胰岛素分泌不足引起的慢性血糖升高，并需持续性地依</w:t>
            </w:r>
          </w:p>
        </w:tc>
      </w:tr>
    </w:tbl>
    <w:p>
      <w:pPr>
        <w:spacing w:after="0" w:line="225" w:lineRule="exact"/>
        <w:rPr>
          <w:sz w:val="20"/>
        </w:rPr>
        <w:sectPr>
          <w:pgSz w:w="11900" w:h="16840"/>
          <w:pgMar w:header="0" w:footer="440" w:top="1180" w:bottom="640" w:left="620" w:right="520"/>
        </w:sectPr>
      </w:pPr>
    </w:p>
    <w:p>
      <w:pPr>
        <w:pStyle w:val="Heading3"/>
        <w:spacing w:line="273" w:lineRule="auto" w:before="17"/>
        <w:ind w:left="1071"/>
        <w:rPr>
          <w:rFonts w:ascii="等线" w:eastAsia="等线" w:hint="eastAsia"/>
        </w:rPr>
      </w:pPr>
      <w:r>
        <w:rPr>
          <w:rFonts w:ascii="等线" w:eastAsia="等线" w:hint="eastAsia"/>
          <w:w w:val="105"/>
        </w:rPr>
        <w:t>糖尿病（Ｉ型糖尿病）</w:t>
      </w:r>
    </w:p>
    <w:p>
      <w:pPr>
        <w:pStyle w:val="BodyText"/>
        <w:spacing w:before="27"/>
        <w:ind w:right="500"/>
        <w:jc w:val="center"/>
      </w:pPr>
      <w:r>
        <w:rPr/>
        <w:pict>
          <v:shape style="position:absolute;margin-left:36.979984pt;margin-top:12.187671pt;width:526.8pt;height:511.7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28"/>
                    <w:gridCol w:w="7751"/>
                  </w:tblGrid>
                  <w:tr>
                    <w:trPr>
                      <w:trHeight w:val="930" w:hRule="atLeast"/>
                    </w:trPr>
                    <w:tc>
                      <w:tcPr>
                        <w:tcW w:w="2786" w:type="dxa"/>
                        <w:gridSpan w:val="2"/>
                      </w:tcPr>
                      <w:p>
                        <w:pPr>
                          <w:pStyle w:val="TableParagraph"/>
                          <w:rPr>
                            <w:rFonts w:ascii="Times New Roman"/>
                            <w:sz w:val="20"/>
                          </w:rPr>
                        </w:pPr>
                      </w:p>
                    </w:tc>
                    <w:tc>
                      <w:tcPr>
                        <w:tcW w:w="7751" w:type="dxa"/>
                      </w:tcPr>
                      <w:p>
                        <w:pPr>
                          <w:pStyle w:val="TableParagraph"/>
                          <w:spacing w:line="206" w:lineRule="exact"/>
                          <w:ind w:left="115"/>
                          <w:rPr>
                            <w:sz w:val="20"/>
                          </w:rPr>
                        </w:pPr>
                        <w:r>
                          <w:rPr>
                            <w:w w:val="105"/>
                            <w:sz w:val="20"/>
                          </w:rPr>
                          <w:t>（1）本公司认可的内分泌医生确定已出现增殖性视网膜病变； </w:t>
                        </w:r>
                      </w:p>
                      <w:p>
                        <w:pPr>
                          <w:pStyle w:val="TableParagraph"/>
                          <w:spacing w:before="64"/>
                          <w:ind w:left="115"/>
                          <w:rPr>
                            <w:sz w:val="20"/>
                          </w:rPr>
                        </w:pPr>
                        <w:r>
                          <w:rPr>
                            <w:w w:val="105"/>
                            <w:sz w:val="20"/>
                          </w:rPr>
                          <w:t>（2）须植入心脏起搏器治疗心脏病； </w:t>
                        </w:r>
                      </w:p>
                      <w:p>
                        <w:pPr>
                          <w:pStyle w:val="TableParagraph"/>
                          <w:spacing w:before="66"/>
                          <w:ind w:left="115"/>
                          <w:rPr>
                            <w:sz w:val="20"/>
                          </w:rPr>
                        </w:pPr>
                        <w:r>
                          <w:rPr>
                            <w:w w:val="105"/>
                            <w:sz w:val="20"/>
                          </w:rPr>
                          <w:t>（3）因坏疽需切除一只或以上脚趾。  </w:t>
                        </w:r>
                      </w:p>
                    </w:tc>
                  </w:tr>
                  <w:tr>
                    <w:trPr>
                      <w:trHeight w:val="296" w:hRule="atLeast"/>
                    </w:trPr>
                    <w:tc>
                      <w:tcPr>
                        <w:tcW w:w="558" w:type="dxa"/>
                      </w:tcPr>
                      <w:p>
                        <w:pPr>
                          <w:pStyle w:val="TableParagraph"/>
                          <w:spacing w:line="254" w:lineRule="exact" w:before="22"/>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71" w:lineRule="exact" w:before="5"/>
                          <w:ind w:left="394"/>
                          <w:rPr>
                            <w:rFonts w:ascii="等线"/>
                            <w:b/>
                            <w:sz w:val="20"/>
                          </w:rPr>
                        </w:pPr>
                        <w:r>
                          <w:rPr>
                            <w:rFonts w:ascii="等线"/>
                            <w:b/>
                            <w:w w:val="96"/>
                            <w:sz w:val="20"/>
                          </w:rPr>
                          <w:t> </w:t>
                        </w:r>
                      </w:p>
                    </w:tc>
                    <w:tc>
                      <w:tcPr>
                        <w:tcW w:w="7751" w:type="dxa"/>
                      </w:tcPr>
                      <w:p>
                        <w:pPr>
                          <w:pStyle w:val="TableParagraph"/>
                          <w:spacing w:line="228" w:lineRule="exact" w:before="48"/>
                          <w:ind w:left="115"/>
                          <w:rPr>
                            <w:sz w:val="20"/>
                          </w:rPr>
                        </w:pPr>
                        <w:r>
                          <w:rPr>
                            <w:w w:val="105"/>
                            <w:sz w:val="20"/>
                          </w:rPr>
                          <w:t> </w:t>
                        </w:r>
                      </w:p>
                    </w:tc>
                  </w:tr>
                  <w:tr>
                    <w:trPr>
                      <w:trHeight w:val="310" w:hRule="atLeast"/>
                    </w:trPr>
                    <w:tc>
                      <w:tcPr>
                        <w:tcW w:w="558" w:type="dxa"/>
                      </w:tcPr>
                      <w:p>
                        <w:pPr>
                          <w:pStyle w:val="TableParagraph"/>
                          <w:spacing w:line="20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195" w:lineRule="exact"/>
                          <w:ind w:left="394"/>
                          <w:rPr>
                            <w:rFonts w:ascii="等线" w:eastAsia="等线" w:hint="eastAsia"/>
                            <w:b/>
                            <w:sz w:val="20"/>
                          </w:rPr>
                        </w:pPr>
                        <w:r>
                          <w:rPr>
                            <w:rFonts w:ascii="等线" w:eastAsia="等线" w:hint="eastAsia"/>
                            <w:b/>
                            <w:w w:val="105"/>
                            <w:sz w:val="20"/>
                          </w:rPr>
                          <w:t>40、植物人</w:t>
                        </w:r>
                        <w:r>
                          <w:rPr>
                            <w:rFonts w:ascii="等线" w:eastAsia="等线" w:hint="eastAsia"/>
                            <w:b/>
                            <w:w w:val="96"/>
                            <w:sz w:val="20"/>
                          </w:rPr>
                          <w:t> </w:t>
                        </w:r>
                      </w:p>
                    </w:tc>
                    <w:tc>
                      <w:tcPr>
                        <w:tcW w:w="7751" w:type="dxa"/>
                      </w:tcPr>
                      <w:p>
                        <w:pPr>
                          <w:pStyle w:val="TableParagraph"/>
                          <w:spacing w:line="227" w:lineRule="exact"/>
                          <w:ind w:left="115"/>
                          <w:rPr>
                            <w:sz w:val="20"/>
                          </w:rPr>
                        </w:pPr>
                        <w:r>
                          <w:rPr>
                            <w:w w:val="105"/>
                            <w:sz w:val="20"/>
                          </w:rPr>
                          <w:t>指脑皮质广泛性坏死而导致对自身及周边的认知能力完全丧失,但脑干功能依然存</w:t>
                        </w:r>
                      </w:p>
                    </w:tc>
                  </w:tr>
                  <w:tr>
                    <w:trPr>
                      <w:trHeight w:val="374"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before="29"/>
                          <w:ind w:left="115"/>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before="29"/>
                          <w:ind w:left="115"/>
                          <w:rPr>
                            <w:sz w:val="20"/>
                          </w:rPr>
                        </w:pPr>
                        <w:r>
                          <w:rPr>
                            <w:w w:val="105"/>
                            <w:sz w:val="20"/>
                          </w:rPr>
                          <w:t>或正电子发射断层扫描（PET）等影像学检查证实。上述情况必须有至少一个月的</w:t>
                        </w:r>
                      </w:p>
                    </w:tc>
                  </w:tr>
                  <w:tr>
                    <w:trPr>
                      <w:trHeight w:val="357"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before="29"/>
                          <w:ind w:left="115"/>
                          <w:rPr>
                            <w:sz w:val="20"/>
                          </w:rPr>
                        </w:pPr>
                        <w:r>
                          <w:rPr>
                            <w:w w:val="105"/>
                            <w:sz w:val="20"/>
                          </w:rPr>
                          <w:t>病历记录加以证实。由于酗酒或滥用药物所致的植物人状态不在保障范围内。 </w:t>
                        </w:r>
                      </w:p>
                    </w:tc>
                  </w:tr>
                  <w:tr>
                    <w:trPr>
                      <w:trHeight w:val="295" w:hRule="atLeast"/>
                    </w:trPr>
                    <w:tc>
                      <w:tcPr>
                        <w:tcW w:w="558" w:type="dxa"/>
                      </w:tcPr>
                      <w:p>
                        <w:pPr>
                          <w:pStyle w:val="TableParagraph"/>
                          <w:spacing w:line="256" w:lineRule="exact" w:before="19"/>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72" w:lineRule="exact" w:before="3"/>
                          <w:ind w:left="394"/>
                          <w:rPr>
                            <w:rFonts w:ascii="等线"/>
                            <w:b/>
                            <w:sz w:val="20"/>
                          </w:rPr>
                        </w:pPr>
                        <w:r>
                          <w:rPr>
                            <w:rFonts w:ascii="等线"/>
                            <w:b/>
                            <w:w w:val="96"/>
                            <w:sz w:val="20"/>
                          </w:rPr>
                          <w:t> </w:t>
                        </w:r>
                      </w:p>
                    </w:tc>
                    <w:tc>
                      <w:tcPr>
                        <w:tcW w:w="7751" w:type="dxa"/>
                      </w:tcPr>
                      <w:p>
                        <w:pPr>
                          <w:pStyle w:val="TableParagraph"/>
                          <w:spacing w:line="229" w:lineRule="exact" w:before="46"/>
                          <w:ind w:left="115"/>
                          <w:rPr>
                            <w:sz w:val="20"/>
                          </w:rPr>
                        </w:pPr>
                        <w:r>
                          <w:rPr>
                            <w:w w:val="105"/>
                            <w:sz w:val="20"/>
                          </w:rPr>
                          <w:t> </w:t>
                        </w:r>
                      </w:p>
                    </w:tc>
                  </w:tr>
                  <w:tr>
                    <w:trPr>
                      <w:trHeight w:val="251" w:hRule="atLeast"/>
                    </w:trPr>
                    <w:tc>
                      <w:tcPr>
                        <w:tcW w:w="558" w:type="dxa"/>
                      </w:tcPr>
                      <w:p>
                        <w:pPr>
                          <w:pStyle w:val="TableParagraph"/>
                          <w:spacing w:line="20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196" w:lineRule="exact"/>
                          <w:ind w:left="394"/>
                          <w:rPr>
                            <w:rFonts w:ascii="等线" w:eastAsia="等线" w:hint="eastAsia"/>
                            <w:b/>
                            <w:sz w:val="20"/>
                          </w:rPr>
                        </w:pPr>
                        <w:r>
                          <w:rPr>
                            <w:rFonts w:ascii="等线" w:eastAsia="等线" w:hint="eastAsia"/>
                            <w:b/>
                            <w:sz w:val="20"/>
                          </w:rPr>
                          <w:t>41、严重川崎病</w:t>
                        </w:r>
                        <w:r>
                          <w:rPr>
                            <w:rFonts w:ascii="等线" w:eastAsia="等线" w:hint="eastAsia"/>
                            <w:b/>
                            <w:w w:val="96"/>
                            <w:sz w:val="20"/>
                          </w:rPr>
                          <w:t> </w:t>
                        </w:r>
                      </w:p>
                    </w:tc>
                    <w:tc>
                      <w:tcPr>
                        <w:tcW w:w="7751" w:type="dxa"/>
                      </w:tcPr>
                      <w:p>
                        <w:pPr>
                          <w:pStyle w:val="TableParagraph"/>
                          <w:spacing w:line="197" w:lineRule="exact"/>
                          <w:ind w:left="115"/>
                          <w:rPr>
                            <w:sz w:val="20"/>
                          </w:rPr>
                        </w:pPr>
                        <w:r>
                          <w:rPr>
                            <w:w w:val="105"/>
                            <w:sz w:val="20"/>
                          </w:rPr>
                          <w:t>川崎病为一种病因不明的系统性血管炎。本附加合同所指严重川崎病是指经心脏超</w:t>
                        </w:r>
                      </w:p>
                    </w:tc>
                  </w:tr>
                  <w:tr>
                    <w:trPr>
                      <w:trHeight w:val="310"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57" w:lineRule="exact"/>
                          <w:ind w:left="115"/>
                          <w:rPr>
                            <w:sz w:val="20"/>
                          </w:rPr>
                        </w:pPr>
                        <w:r>
                          <w:rPr>
                            <w:w w:val="105"/>
                            <w:sz w:val="20"/>
                          </w:rPr>
                          <w:t>声心动图或冠脉造影检查证实川崎病并发冠状动脉瘤，并且实际接受了手术治疗的</w:t>
                        </w:r>
                      </w:p>
                    </w:tc>
                  </w:tr>
                  <w:tr>
                    <w:trPr>
                      <w:trHeight w:val="309"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59" w:lineRule="exact"/>
                          <w:ind w:left="115"/>
                          <w:rPr>
                            <w:sz w:val="20"/>
                          </w:rPr>
                        </w:pPr>
                        <w:r>
                          <w:rPr>
                            <w:w w:val="105"/>
                            <w:sz w:val="20"/>
                          </w:rPr>
                          <w:t>情况。 </w:t>
                        </w:r>
                      </w:p>
                    </w:tc>
                  </w:tr>
                  <w:tr>
                    <w:trPr>
                      <w:trHeight w:val="265" w:hRule="atLeast"/>
                    </w:trPr>
                    <w:tc>
                      <w:tcPr>
                        <w:tcW w:w="558" w:type="dxa"/>
                      </w:tcPr>
                      <w:p>
                        <w:pPr>
                          <w:pStyle w:val="TableParagraph"/>
                          <w:spacing w:line="241" w:lineRule="exact" w:before="4"/>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45" w:lineRule="exact"/>
                          <w:ind w:left="394"/>
                          <w:rPr>
                            <w:rFonts w:ascii="等线"/>
                            <w:b/>
                            <w:sz w:val="20"/>
                          </w:rPr>
                        </w:pPr>
                        <w:r>
                          <w:rPr>
                            <w:rFonts w:ascii="等线"/>
                            <w:b/>
                            <w:w w:val="96"/>
                            <w:sz w:val="20"/>
                          </w:rPr>
                          <w:t> </w:t>
                        </w:r>
                      </w:p>
                    </w:tc>
                    <w:tc>
                      <w:tcPr>
                        <w:tcW w:w="7751" w:type="dxa"/>
                      </w:tcPr>
                      <w:p>
                        <w:pPr>
                          <w:pStyle w:val="TableParagraph"/>
                          <w:spacing w:line="245" w:lineRule="exact"/>
                          <w:ind w:left="115"/>
                          <w:rPr>
                            <w:sz w:val="20"/>
                          </w:rPr>
                        </w:pPr>
                        <w:r>
                          <w:rPr>
                            <w:w w:val="105"/>
                            <w:sz w:val="20"/>
                          </w:rPr>
                          <w:t> </w:t>
                        </w:r>
                      </w:p>
                    </w:tc>
                  </w:tr>
                  <w:tr>
                    <w:trPr>
                      <w:trHeight w:val="262" w:hRule="atLeast"/>
                    </w:trPr>
                    <w:tc>
                      <w:tcPr>
                        <w:tcW w:w="558" w:type="dxa"/>
                      </w:tcPr>
                      <w:p>
                        <w:pPr>
                          <w:pStyle w:val="TableParagraph"/>
                          <w:spacing w:line="21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08" w:lineRule="exact"/>
                          <w:ind w:left="394"/>
                          <w:rPr>
                            <w:rFonts w:ascii="等线" w:eastAsia="等线" w:hint="eastAsia"/>
                            <w:b/>
                            <w:sz w:val="20"/>
                          </w:rPr>
                        </w:pPr>
                        <w:r>
                          <w:rPr>
                            <w:rFonts w:ascii="等线" w:eastAsia="等线" w:hint="eastAsia"/>
                            <w:b/>
                            <w:w w:val="105"/>
                            <w:sz w:val="20"/>
                          </w:rPr>
                          <w:t>42、细菌性脑脊髓</w:t>
                        </w:r>
                      </w:p>
                    </w:tc>
                    <w:tc>
                      <w:tcPr>
                        <w:tcW w:w="7751" w:type="dxa"/>
                      </w:tcPr>
                      <w:p>
                        <w:pPr>
                          <w:pStyle w:val="TableParagraph"/>
                          <w:spacing w:line="209" w:lineRule="exact"/>
                          <w:ind w:left="115"/>
                          <w:rPr>
                            <w:sz w:val="20"/>
                          </w:rPr>
                        </w:pPr>
                        <w:r>
                          <w:rPr>
                            <w:w w:val="105"/>
                            <w:sz w:val="20"/>
                          </w:rPr>
                          <w:t>指因细菌引起脑和脊髓的脑脊膜炎性感染，经脑脊液细菌学检查确诊，且导致永久</w:t>
                        </w:r>
                      </w:p>
                    </w:tc>
                  </w:tr>
                  <w:tr>
                    <w:trPr>
                      <w:trHeight w:val="310" w:hRule="atLeast"/>
                    </w:trPr>
                    <w:tc>
                      <w:tcPr>
                        <w:tcW w:w="558" w:type="dxa"/>
                      </w:tcPr>
                      <w:p>
                        <w:pPr>
                          <w:pStyle w:val="TableParagraph"/>
                          <w:rPr>
                            <w:rFonts w:ascii="Times New Roman"/>
                            <w:sz w:val="20"/>
                          </w:rPr>
                        </w:pPr>
                      </w:p>
                    </w:tc>
                    <w:tc>
                      <w:tcPr>
                        <w:tcW w:w="2228" w:type="dxa"/>
                      </w:tcPr>
                      <w:p>
                        <w:pPr>
                          <w:pStyle w:val="TableParagraph"/>
                          <w:spacing w:line="258" w:lineRule="exact"/>
                          <w:ind w:left="394"/>
                          <w:rPr>
                            <w:rFonts w:ascii="等线" w:eastAsia="等线" w:hint="eastAsia"/>
                            <w:b/>
                            <w:sz w:val="20"/>
                          </w:rPr>
                        </w:pPr>
                        <w:r>
                          <w:rPr>
                            <w:rFonts w:ascii="等线" w:eastAsia="等线" w:hint="eastAsia"/>
                            <w:b/>
                            <w:w w:val="105"/>
                            <w:sz w:val="20"/>
                          </w:rPr>
                          <w:t>膜炎</w:t>
                        </w:r>
                        <w:r>
                          <w:rPr>
                            <w:rFonts w:ascii="等线" w:eastAsia="等线" w:hint="eastAsia"/>
                            <w:b/>
                            <w:w w:val="96"/>
                            <w:sz w:val="20"/>
                          </w:rPr>
                          <w:t> </w:t>
                        </w:r>
                      </w:p>
                    </w:tc>
                    <w:tc>
                      <w:tcPr>
                        <w:tcW w:w="7751" w:type="dxa"/>
                      </w:tcPr>
                      <w:p>
                        <w:pPr>
                          <w:pStyle w:val="TableParagraph"/>
                          <w:spacing w:line="259" w:lineRule="exact"/>
                          <w:ind w:left="115"/>
                          <w:rPr>
                            <w:sz w:val="20"/>
                          </w:rPr>
                        </w:pPr>
                        <w:r>
                          <w:rPr>
                            <w:w w:val="105"/>
                            <w:sz w:val="20"/>
                          </w:rPr>
                          <w:t>性神经损伤。永久性神经损伤是指经我们认可的神经专科医师明确诊断，遗留下列</w:t>
                        </w:r>
                      </w:p>
                    </w:tc>
                  </w:tr>
                  <w:tr>
                    <w:trPr>
                      <w:trHeight w:val="311"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残疾之一而无法复原并持续达一百八十天以上者： </w:t>
                        </w:r>
                      </w:p>
                    </w:tc>
                  </w:tr>
                  <w:tr>
                    <w:trPr>
                      <w:trHeight w:val="311"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（1）符合神经精神病学标准的严重认知功能障碍，而需持续监护； </w:t>
                        </w:r>
                      </w:p>
                    </w:tc>
                  </w:tr>
                  <w:tr>
                    <w:trPr>
                      <w:trHeight w:val="311"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（2）听力丧失或失明； </w:t>
                        </w:r>
                      </w:p>
                    </w:tc>
                  </w:tr>
                  <w:tr>
                    <w:trPr>
                      <w:trHeight w:val="311"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（3）语言机能丧失； </w:t>
                        </w:r>
                      </w:p>
                    </w:tc>
                  </w:tr>
                  <w:tr>
                    <w:trPr>
                      <w:trHeight w:val="310"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（4）肌体功能障碍，导致无法完成其中三项或三项以上的日常生活活动。 </w:t>
                        </w:r>
                      </w:p>
                    </w:tc>
                  </w:tr>
                  <w:tr>
                    <w:trPr>
                      <w:trHeight w:val="266" w:hRule="atLeast"/>
                    </w:trPr>
                    <w:tc>
                      <w:tcPr>
                        <w:tcW w:w="558" w:type="dxa"/>
                      </w:tcPr>
                      <w:p>
                        <w:pPr>
                          <w:pStyle w:val="TableParagraph"/>
                          <w:spacing w:line="242" w:lineRule="exact" w:before="4"/>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46" w:lineRule="exact"/>
                          <w:ind w:left="394"/>
                          <w:rPr>
                            <w:rFonts w:ascii="等线"/>
                            <w:b/>
                            <w:sz w:val="20"/>
                          </w:rPr>
                        </w:pPr>
                        <w:r>
                          <w:rPr>
                            <w:rFonts w:ascii="等线"/>
                            <w:b/>
                            <w:w w:val="96"/>
                            <w:sz w:val="20"/>
                          </w:rPr>
                          <w:t> </w:t>
                        </w:r>
                      </w:p>
                    </w:tc>
                    <w:tc>
                      <w:tcPr>
                        <w:tcW w:w="7751" w:type="dxa"/>
                      </w:tcPr>
                      <w:p>
                        <w:pPr>
                          <w:pStyle w:val="TableParagraph"/>
                          <w:spacing w:line="246" w:lineRule="exact"/>
                          <w:ind w:left="115"/>
                          <w:rPr>
                            <w:sz w:val="20"/>
                          </w:rPr>
                        </w:pPr>
                        <w:r>
                          <w:rPr>
                            <w:w w:val="105"/>
                            <w:sz w:val="20"/>
                          </w:rPr>
                          <w:t> </w:t>
                        </w:r>
                      </w:p>
                    </w:tc>
                  </w:tr>
                  <w:tr>
                    <w:trPr>
                      <w:trHeight w:val="263" w:hRule="atLeast"/>
                    </w:trPr>
                    <w:tc>
                      <w:tcPr>
                        <w:tcW w:w="558" w:type="dxa"/>
                      </w:tcPr>
                      <w:p>
                        <w:pPr>
                          <w:pStyle w:val="TableParagraph"/>
                          <w:spacing w:line="21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10" w:lineRule="exact"/>
                          <w:ind w:left="394"/>
                          <w:rPr>
                            <w:rFonts w:ascii="等线" w:eastAsia="等线" w:hint="eastAsia"/>
                            <w:b/>
                            <w:sz w:val="20"/>
                          </w:rPr>
                        </w:pPr>
                        <w:r>
                          <w:rPr>
                            <w:rFonts w:ascii="等线" w:eastAsia="等线" w:hint="eastAsia"/>
                            <w:b/>
                            <w:w w:val="105"/>
                            <w:sz w:val="20"/>
                          </w:rPr>
                          <w:t>43、严重幼年类风</w:t>
                        </w:r>
                      </w:p>
                    </w:tc>
                    <w:tc>
                      <w:tcPr>
                        <w:tcW w:w="7751" w:type="dxa"/>
                      </w:tcPr>
                      <w:p>
                        <w:pPr>
                          <w:pStyle w:val="TableParagraph"/>
                          <w:spacing w:line="211" w:lineRule="exact"/>
                          <w:ind w:left="115"/>
                          <w:rPr>
                            <w:sz w:val="20"/>
                          </w:rPr>
                        </w:pPr>
                        <w:r>
                          <w:rPr>
                            <w:w w:val="105"/>
                            <w:sz w:val="20"/>
                          </w:rPr>
                          <w:t>幼年类风湿关节炎是一种儿童期结缔组织病。诊断必须由小儿风湿科专科医生确</w:t>
                        </w:r>
                      </w:p>
                    </w:tc>
                  </w:tr>
                  <w:tr>
                    <w:trPr>
                      <w:trHeight w:val="310" w:hRule="atLeast"/>
                    </w:trPr>
                    <w:tc>
                      <w:tcPr>
                        <w:tcW w:w="558" w:type="dxa"/>
                      </w:tcPr>
                      <w:p>
                        <w:pPr>
                          <w:pStyle w:val="TableParagraph"/>
                          <w:rPr>
                            <w:rFonts w:ascii="Times New Roman"/>
                            <w:sz w:val="20"/>
                          </w:rPr>
                        </w:pPr>
                      </w:p>
                    </w:tc>
                    <w:tc>
                      <w:tcPr>
                        <w:tcW w:w="2228" w:type="dxa"/>
                      </w:tcPr>
                      <w:p>
                        <w:pPr>
                          <w:pStyle w:val="TableParagraph"/>
                          <w:spacing w:line="258" w:lineRule="exact"/>
                          <w:ind w:left="394"/>
                          <w:rPr>
                            <w:rFonts w:ascii="等线" w:eastAsia="等线" w:hint="eastAsia"/>
                            <w:b/>
                            <w:sz w:val="20"/>
                          </w:rPr>
                        </w:pPr>
                        <w:r>
                          <w:rPr>
                            <w:rFonts w:ascii="等线" w:eastAsia="等线" w:hint="eastAsia"/>
                            <w:b/>
                            <w:w w:val="105"/>
                            <w:sz w:val="20"/>
                          </w:rPr>
                          <w:t>湿关节炎</w:t>
                        </w:r>
                        <w:r>
                          <w:rPr>
                            <w:rFonts w:ascii="等线" w:eastAsia="等线" w:hint="eastAsia"/>
                            <w:b/>
                            <w:w w:val="96"/>
                            <w:sz w:val="20"/>
                          </w:rPr>
                          <w:t> </w:t>
                        </w:r>
                      </w:p>
                    </w:tc>
                    <w:tc>
                      <w:tcPr>
                        <w:tcW w:w="7751" w:type="dxa"/>
                      </w:tcPr>
                      <w:p>
                        <w:pPr>
                          <w:pStyle w:val="TableParagraph"/>
                          <w:spacing w:line="259" w:lineRule="exact"/>
                          <w:ind w:left="115"/>
                          <w:rPr>
                            <w:sz w:val="20"/>
                          </w:rPr>
                        </w:pPr>
                        <w:r>
                          <w:rPr>
                            <w:w w:val="105"/>
                            <w:sz w:val="20"/>
                          </w:rPr>
                          <w:t>认。本附加合同仅对实际接受了膝关节或髋关节置换手术治疗的严重的幼年类风湿</w:t>
                        </w:r>
                      </w:p>
                    </w:tc>
                  </w:tr>
                  <w:tr>
                    <w:trPr>
                      <w:trHeight w:val="310"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关节炎予以理赔。 </w:t>
                        </w:r>
                      </w:p>
                    </w:tc>
                  </w:tr>
                  <w:tr>
                    <w:trPr>
                      <w:trHeight w:val="266" w:hRule="atLeast"/>
                    </w:trPr>
                    <w:tc>
                      <w:tcPr>
                        <w:tcW w:w="558" w:type="dxa"/>
                      </w:tcPr>
                      <w:p>
                        <w:pPr>
                          <w:pStyle w:val="TableParagraph"/>
                          <w:spacing w:line="242" w:lineRule="exact" w:before="4"/>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46" w:lineRule="exact"/>
                          <w:ind w:left="394"/>
                          <w:rPr>
                            <w:rFonts w:ascii="等线"/>
                            <w:b/>
                            <w:sz w:val="20"/>
                          </w:rPr>
                        </w:pPr>
                        <w:r>
                          <w:rPr>
                            <w:rFonts w:ascii="等线"/>
                            <w:b/>
                            <w:w w:val="96"/>
                            <w:sz w:val="20"/>
                          </w:rPr>
                          <w:t> </w:t>
                        </w:r>
                      </w:p>
                    </w:tc>
                    <w:tc>
                      <w:tcPr>
                        <w:tcW w:w="7751" w:type="dxa"/>
                      </w:tcPr>
                      <w:p>
                        <w:pPr>
                          <w:pStyle w:val="TableParagraph"/>
                          <w:spacing w:line="246" w:lineRule="exact"/>
                          <w:ind w:left="115"/>
                          <w:rPr>
                            <w:sz w:val="20"/>
                          </w:rPr>
                        </w:pPr>
                        <w:r>
                          <w:rPr>
                            <w:w w:val="105"/>
                            <w:sz w:val="20"/>
                          </w:rPr>
                          <w:t> </w:t>
                        </w:r>
                      </w:p>
                    </w:tc>
                  </w:tr>
                  <w:tr>
                    <w:trPr>
                      <w:trHeight w:val="263" w:hRule="atLeast"/>
                    </w:trPr>
                    <w:tc>
                      <w:tcPr>
                        <w:tcW w:w="558" w:type="dxa"/>
                      </w:tcPr>
                      <w:p>
                        <w:pPr>
                          <w:pStyle w:val="TableParagraph"/>
                          <w:spacing w:line="21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14" w:lineRule="exact"/>
                          <w:ind w:left="394"/>
                          <w:rPr>
                            <w:rFonts w:ascii="等线" w:eastAsia="等线" w:hint="eastAsia"/>
                            <w:b/>
                            <w:sz w:val="20"/>
                          </w:rPr>
                        </w:pPr>
                        <w:r>
                          <w:rPr>
                            <w:rFonts w:ascii="等线" w:eastAsia="等线" w:hint="eastAsia"/>
                            <w:b/>
                            <w:w w:val="105"/>
                            <w:sz w:val="20"/>
                          </w:rPr>
                          <w:t>44、严重溃疡性结</w:t>
                        </w:r>
                      </w:p>
                    </w:tc>
                    <w:tc>
                      <w:tcPr>
                        <w:tcW w:w="7751" w:type="dxa"/>
                      </w:tcPr>
                      <w:p>
                        <w:pPr>
                          <w:pStyle w:val="TableParagraph"/>
                          <w:spacing w:line="211" w:lineRule="exact"/>
                          <w:ind w:left="115"/>
                          <w:rPr>
                            <w:sz w:val="20"/>
                          </w:rPr>
                        </w:pPr>
                        <w:r>
                          <w:rPr>
                            <w:w w:val="105"/>
                            <w:sz w:val="20"/>
                          </w:rPr>
                          <w:t>本保单所保障的溃疡性结肠炎是指伴有致命性电解质紊乱的急性暴发性溃疡性结</w:t>
                        </w:r>
                      </w:p>
                    </w:tc>
                  </w:tr>
                  <w:tr>
                    <w:trPr>
                      <w:trHeight w:val="310" w:hRule="atLeast"/>
                    </w:trPr>
                    <w:tc>
                      <w:tcPr>
                        <w:tcW w:w="558" w:type="dxa"/>
                      </w:tcPr>
                      <w:p>
                        <w:pPr>
                          <w:pStyle w:val="TableParagraph"/>
                          <w:rPr>
                            <w:rFonts w:ascii="Times New Roman"/>
                            <w:sz w:val="20"/>
                          </w:rPr>
                        </w:pPr>
                      </w:p>
                    </w:tc>
                    <w:tc>
                      <w:tcPr>
                        <w:tcW w:w="2228" w:type="dxa"/>
                      </w:tcPr>
                      <w:p>
                        <w:pPr>
                          <w:pStyle w:val="TableParagraph"/>
                          <w:spacing w:line="258" w:lineRule="exact"/>
                          <w:ind w:left="394"/>
                          <w:rPr>
                            <w:rFonts w:ascii="等线" w:eastAsia="等线" w:hint="eastAsia"/>
                            <w:b/>
                            <w:sz w:val="20"/>
                          </w:rPr>
                        </w:pPr>
                        <w:r>
                          <w:rPr>
                            <w:rFonts w:ascii="等线" w:eastAsia="等线" w:hint="eastAsia"/>
                            <w:b/>
                            <w:w w:val="105"/>
                            <w:sz w:val="20"/>
                          </w:rPr>
                          <w:t>肠炎</w:t>
                        </w:r>
                        <w:r>
                          <w:rPr>
                            <w:rFonts w:ascii="等线" w:eastAsia="等线" w:hint="eastAsia"/>
                            <w:b/>
                            <w:w w:val="96"/>
                            <w:sz w:val="20"/>
                          </w:rPr>
                          <w:t> </w:t>
                        </w:r>
                      </w:p>
                    </w:tc>
                    <w:tc>
                      <w:tcPr>
                        <w:tcW w:w="7751" w:type="dxa"/>
                      </w:tcPr>
                      <w:p>
                        <w:pPr>
                          <w:pStyle w:val="TableParagraph"/>
                          <w:spacing w:line="259" w:lineRule="exact"/>
                          <w:ind w:left="115"/>
                          <w:rPr>
                            <w:sz w:val="20"/>
                          </w:rPr>
                        </w:pPr>
                        <w:r>
                          <w:rPr>
                            <w:w w:val="105"/>
                            <w:sz w:val="20"/>
                          </w:rPr>
                          <w:t>肠炎，病变累及全结肠，表现为严重的血便和系统性症状体征，治疗通常采取全结</w:t>
                        </w:r>
                      </w:p>
                    </w:tc>
                  </w:tr>
                  <w:tr>
                    <w:trPr>
                      <w:trHeight w:val="311"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肠切除和回肠造瘘术。溃疡性结肠炎必须根据组织病理学特点诊断，并且被保险人</w:t>
                        </w:r>
                      </w:p>
                    </w:tc>
                  </w:tr>
                  <w:tr>
                    <w:trPr>
                      <w:trHeight w:val="310"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60" w:lineRule="exact"/>
                          <w:ind w:left="115"/>
                          <w:rPr>
                            <w:sz w:val="20"/>
                          </w:rPr>
                        </w:pPr>
                        <w:r>
                          <w:rPr>
                            <w:w w:val="105"/>
                            <w:sz w:val="20"/>
                          </w:rPr>
                          <w:t>已经接受了结肠切除和回肠造瘘术。 </w:t>
                        </w:r>
                      </w:p>
                    </w:tc>
                  </w:tr>
                  <w:tr>
                    <w:trPr>
                      <w:trHeight w:val="265" w:hRule="atLeast"/>
                    </w:trPr>
                    <w:tc>
                      <w:tcPr>
                        <w:tcW w:w="558" w:type="dxa"/>
                      </w:tcPr>
                      <w:p>
                        <w:pPr>
                          <w:pStyle w:val="TableParagraph"/>
                          <w:spacing w:line="241" w:lineRule="exact" w:before="4"/>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45" w:lineRule="exact"/>
                          <w:ind w:left="394"/>
                          <w:rPr>
                            <w:rFonts w:ascii="等线"/>
                            <w:b/>
                            <w:sz w:val="20"/>
                          </w:rPr>
                        </w:pPr>
                        <w:r>
                          <w:rPr>
                            <w:rFonts w:ascii="等线"/>
                            <w:b/>
                            <w:w w:val="96"/>
                            <w:sz w:val="20"/>
                          </w:rPr>
                          <w:t> </w:t>
                        </w:r>
                      </w:p>
                    </w:tc>
                    <w:tc>
                      <w:tcPr>
                        <w:tcW w:w="7751" w:type="dxa"/>
                      </w:tcPr>
                      <w:p>
                        <w:pPr>
                          <w:pStyle w:val="TableParagraph"/>
                          <w:spacing w:line="245" w:lineRule="exact"/>
                          <w:ind w:left="115"/>
                          <w:rPr>
                            <w:sz w:val="20"/>
                          </w:rPr>
                        </w:pPr>
                        <w:r>
                          <w:rPr>
                            <w:w w:val="105"/>
                            <w:sz w:val="20"/>
                          </w:rPr>
                          <w:t> </w:t>
                        </w:r>
                      </w:p>
                    </w:tc>
                  </w:tr>
                  <w:tr>
                    <w:trPr>
                      <w:trHeight w:val="262" w:hRule="atLeast"/>
                    </w:trPr>
                    <w:tc>
                      <w:tcPr>
                        <w:tcW w:w="558" w:type="dxa"/>
                      </w:tcPr>
                      <w:p>
                        <w:pPr>
                          <w:pStyle w:val="TableParagraph"/>
                          <w:spacing w:line="21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28" w:type="dxa"/>
                      </w:tcPr>
                      <w:p>
                        <w:pPr>
                          <w:pStyle w:val="TableParagraph"/>
                          <w:spacing w:line="208" w:lineRule="exact"/>
                          <w:ind w:left="394"/>
                          <w:rPr>
                            <w:rFonts w:ascii="等线" w:eastAsia="等线" w:hint="eastAsia"/>
                            <w:b/>
                            <w:sz w:val="20"/>
                          </w:rPr>
                        </w:pPr>
                        <w:r>
                          <w:rPr>
                            <w:rFonts w:ascii="等线" w:eastAsia="等线" w:hint="eastAsia"/>
                            <w:b/>
                            <w:w w:val="105"/>
                            <w:sz w:val="20"/>
                          </w:rPr>
                          <w:t>45、慢性肾上腺皮</w:t>
                        </w:r>
                      </w:p>
                    </w:tc>
                    <w:tc>
                      <w:tcPr>
                        <w:tcW w:w="7751" w:type="dxa"/>
                      </w:tcPr>
                      <w:p>
                        <w:pPr>
                          <w:pStyle w:val="TableParagraph"/>
                          <w:spacing w:line="209" w:lineRule="exact"/>
                          <w:ind w:left="115"/>
                          <w:rPr>
                            <w:sz w:val="20"/>
                          </w:rPr>
                        </w:pPr>
                        <w:r>
                          <w:rPr>
                            <w:w w:val="105"/>
                            <w:sz w:val="20"/>
                          </w:rPr>
                          <w:t>因为自身免疫功能紊乱，使肾上腺组织逐渐受损，而需要长期接受糖皮质激素及肾</w:t>
                        </w:r>
                      </w:p>
                    </w:tc>
                  </w:tr>
                  <w:tr>
                    <w:trPr>
                      <w:trHeight w:val="311" w:hRule="atLeast"/>
                    </w:trPr>
                    <w:tc>
                      <w:tcPr>
                        <w:tcW w:w="558" w:type="dxa"/>
                      </w:tcPr>
                      <w:p>
                        <w:pPr>
                          <w:pStyle w:val="TableParagraph"/>
                          <w:rPr>
                            <w:rFonts w:ascii="Times New Roman"/>
                            <w:sz w:val="20"/>
                          </w:rPr>
                        </w:pPr>
                      </w:p>
                    </w:tc>
                    <w:tc>
                      <w:tcPr>
                        <w:tcW w:w="2228" w:type="dxa"/>
                      </w:tcPr>
                      <w:p>
                        <w:pPr>
                          <w:pStyle w:val="TableParagraph"/>
                          <w:spacing w:line="258" w:lineRule="exact"/>
                          <w:ind w:left="394"/>
                          <w:rPr>
                            <w:rFonts w:ascii="等线" w:eastAsia="等线" w:hint="eastAsia"/>
                            <w:b/>
                            <w:sz w:val="20"/>
                          </w:rPr>
                        </w:pPr>
                        <w:r>
                          <w:rPr>
                            <w:rFonts w:ascii="等线" w:eastAsia="等线" w:hint="eastAsia"/>
                            <w:b/>
                            <w:w w:val="105"/>
                            <w:sz w:val="20"/>
                          </w:rPr>
                          <w:t>质功能衰竭</w:t>
                        </w:r>
                        <w:r>
                          <w:rPr>
                            <w:rFonts w:ascii="等线" w:eastAsia="等线" w:hint="eastAsia"/>
                            <w:b/>
                            <w:w w:val="96"/>
                            <w:sz w:val="20"/>
                          </w:rPr>
                          <w:t> </w:t>
                        </w:r>
                      </w:p>
                    </w:tc>
                    <w:tc>
                      <w:tcPr>
                        <w:tcW w:w="7751" w:type="dxa"/>
                      </w:tcPr>
                      <w:p>
                        <w:pPr>
                          <w:pStyle w:val="TableParagraph"/>
                          <w:spacing w:line="259" w:lineRule="exact"/>
                          <w:ind w:left="115"/>
                          <w:rPr>
                            <w:sz w:val="20"/>
                          </w:rPr>
                        </w:pPr>
                        <w:r>
                          <w:rPr>
                            <w:w w:val="105"/>
                            <w:sz w:val="20"/>
                          </w:rPr>
                          <w:t>上腺皮质激素替代疗法。该病必须经国家机关认可的有合法资质的内分泌专科医生</w:t>
                        </w:r>
                      </w:p>
                    </w:tc>
                  </w:tr>
                  <w:tr>
                    <w:trPr>
                      <w:trHeight w:val="310" w:hRule="atLeast"/>
                    </w:trPr>
                    <w:tc>
                      <w:tcPr>
                        <w:tcW w:w="558" w:type="dxa"/>
                      </w:tcPr>
                      <w:p>
                        <w:pPr>
                          <w:pStyle w:val="TableParagraph"/>
                          <w:rPr>
                            <w:rFonts w:ascii="Times New Roman"/>
                            <w:sz w:val="20"/>
                          </w:rPr>
                        </w:pPr>
                      </w:p>
                    </w:tc>
                    <w:tc>
                      <w:tcPr>
                        <w:tcW w:w="2228" w:type="dxa"/>
                      </w:tcPr>
                      <w:p>
                        <w:pPr>
                          <w:pStyle w:val="TableParagraph"/>
                          <w:rPr>
                            <w:rFonts w:ascii="Times New Roman"/>
                            <w:sz w:val="20"/>
                          </w:rPr>
                        </w:pPr>
                      </w:p>
                    </w:tc>
                    <w:tc>
                      <w:tcPr>
                        <w:tcW w:w="7751" w:type="dxa"/>
                      </w:tcPr>
                      <w:p>
                        <w:pPr>
                          <w:pStyle w:val="TableParagraph"/>
                          <w:spacing w:line="259" w:lineRule="exact"/>
                          <w:ind w:left="115"/>
                          <w:rPr>
                            <w:sz w:val="20"/>
                          </w:rPr>
                        </w:pPr>
                        <w:r>
                          <w:rPr>
                            <w:w w:val="105"/>
                            <w:sz w:val="20"/>
                          </w:rPr>
                          <w:t>确诊，并有以下报告作为证据： </w:t>
                        </w:r>
                      </w:p>
                    </w:tc>
                  </w:tr>
                  <w:tr>
                    <w:trPr>
                      <w:trHeight w:val="258" w:hRule="atLeast"/>
                    </w:trPr>
                    <w:tc>
                      <w:tcPr>
                        <w:tcW w:w="558" w:type="dxa"/>
                      </w:tcPr>
                      <w:p>
                        <w:pPr>
                          <w:pStyle w:val="TableParagraph"/>
                          <w:rPr>
                            <w:rFonts w:ascii="Times New Roman"/>
                            <w:sz w:val="18"/>
                          </w:rPr>
                        </w:pPr>
                      </w:p>
                    </w:tc>
                    <w:tc>
                      <w:tcPr>
                        <w:tcW w:w="2228" w:type="dxa"/>
                      </w:tcPr>
                      <w:p>
                        <w:pPr>
                          <w:pStyle w:val="TableParagraph"/>
                          <w:rPr>
                            <w:rFonts w:ascii="Times New Roman"/>
                            <w:sz w:val="18"/>
                          </w:rPr>
                        </w:pPr>
                      </w:p>
                    </w:tc>
                    <w:tc>
                      <w:tcPr>
                        <w:tcW w:w="7751" w:type="dxa"/>
                      </w:tcPr>
                      <w:p>
                        <w:pPr>
                          <w:pStyle w:val="TableParagraph"/>
                          <w:spacing w:line="238" w:lineRule="exact"/>
                          <w:ind w:left="115"/>
                          <w:rPr>
                            <w:sz w:val="20"/>
                          </w:rPr>
                        </w:pPr>
                        <w:r>
                          <w:rPr>
                            <w:w w:val="105"/>
                            <w:sz w:val="20"/>
                          </w:rPr>
                          <w:t>（1）促肾上腺皮质激素(ACTH)刺激试验； </w:t>
                        </w:r>
                      </w:p>
                    </w:tc>
                  </w:tr>
                </w:tbl>
                <w:p>
                  <w:pPr>
                    <w:pStyle w:val="BodyText"/>
                  </w:pPr>
                </w:p>
              </w:txbxContent>
            </v:textbox>
            <w10:wrap type="none"/>
          </v:shape>
        </w:pict>
      </w:r>
      <w:r>
        <w:rPr>
          <w:spacing w:val="-109"/>
          <w:w w:val="108"/>
        </w:rPr>
        <w:t> </w:t>
      </w:r>
      <w:r>
        <w:rPr>
          <w:spacing w:val="-104"/>
          <w:w w:val="108"/>
        </w:rPr>
        <w:t> </w:t>
      </w:r>
      <w:r>
        <w:rPr>
          <w:spacing w:val="-109"/>
          <w:w w:val="108"/>
        </w:rPr>
        <w:t> </w:t>
      </w:r>
      <w:r>
        <w:rPr>
          <w:w w:val="108"/>
        </w:rPr>
        <w:t> </w:t>
      </w:r>
    </w:p>
    <w:p>
      <w:pPr>
        <w:pStyle w:val="BodyText"/>
        <w:spacing w:line="343" w:lineRule="auto" w:before="122"/>
        <w:ind w:left="221" w:right="256"/>
      </w:pPr>
      <w:r>
        <w:rPr/>
        <w:br w:type="column"/>
      </w:r>
      <w:r>
        <w:rPr>
          <w:spacing w:val="-8"/>
          <w:w w:val="105"/>
        </w:rPr>
        <w:t>赖外源性胰岛素维持一百八十天以上，须由本公司认可的有资格的内分泌医生确诊</w:t>
      </w:r>
      <w:r>
        <w:rPr>
          <w:spacing w:val="-3"/>
          <w:w w:val="105"/>
        </w:rPr>
        <w:t>并在本附加合同保险责任有效期内，满足下述至少一个条件。</w:t>
      </w:r>
      <w:r>
        <w:rPr>
          <w:w w:val="105"/>
        </w:rPr>
        <w:t> </w:t>
      </w:r>
    </w:p>
    <w:p>
      <w:pPr>
        <w:spacing w:after="0" w:line="343" w:lineRule="auto"/>
        <w:sectPr>
          <w:type w:val="continuous"/>
          <w:pgSz w:w="11900" w:h="16840"/>
          <w:pgMar w:top="60" w:bottom="280" w:left="620" w:right="520"/>
          <w:cols w:num="2" w:equalWidth="0">
            <w:col w:w="2760" w:space="40"/>
            <w:col w:w="7960"/>
          </w:cols>
        </w:sectPr>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line="208"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3"/>
        <w:rPr>
          <w:sz w:val="14"/>
        </w:rPr>
      </w:pPr>
    </w:p>
    <w:p>
      <w:pPr>
        <w:pStyle w:val="BodyText"/>
        <w:spacing w:line="206"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BodyText"/>
        <w:spacing w:line="208"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0"/>
        <w:rPr>
          <w:sz w:val="23"/>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7"/>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4"/>
        <w:rPr>
          <w:sz w:val="14"/>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pPr>
    </w:p>
    <w:p>
      <w:pPr>
        <w:pStyle w:val="BodyText"/>
      </w:pPr>
    </w:p>
    <w:p>
      <w:pPr>
        <w:pStyle w:val="BodyText"/>
      </w:pPr>
    </w:p>
    <w:p>
      <w:pPr>
        <w:pStyle w:val="BodyText"/>
        <w:rPr>
          <w:sz w:val="22"/>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毒毒毒</w:t>
      </w:r>
      <w:r>
        <w:rPr>
          <w:spacing w:val="-8"/>
          <w:w w:val="105"/>
        </w:rPr>
        <w:t>毒</w:t>
      </w:r>
      <w:r>
        <w:rPr>
          <w:spacing w:val="-213"/>
          <w:w w:val="105"/>
        </w:rPr>
        <w:t>品品品</w:t>
      </w:r>
      <w:r>
        <w:rPr>
          <w:spacing w:val="-8"/>
          <w:w w:val="105"/>
        </w:rPr>
        <w:t>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酒酒酒</w:t>
      </w:r>
      <w:r>
        <w:rPr>
          <w:spacing w:val="-8"/>
          <w:w w:val="105"/>
        </w:rPr>
        <w:t>酒</w:t>
      </w:r>
      <w:r>
        <w:rPr>
          <w:spacing w:val="-213"/>
          <w:w w:val="105"/>
        </w:rPr>
        <w:t>后后后</w:t>
      </w:r>
      <w:r>
        <w:rPr>
          <w:spacing w:val="-8"/>
          <w:w w:val="105"/>
        </w:rPr>
        <w:t>后</w:t>
      </w:r>
      <w:r>
        <w:rPr>
          <w:spacing w:val="-213"/>
          <w:w w:val="105"/>
        </w:rPr>
        <w:t>驾驾驾</w:t>
      </w:r>
      <w:r>
        <w:rPr>
          <w:spacing w:val="-8"/>
          <w:w w:val="105"/>
        </w:rPr>
        <w:t>驾</w:t>
      </w:r>
      <w:r>
        <w:rPr>
          <w:spacing w:val="-212"/>
          <w:w w:val="105"/>
        </w:rPr>
        <w:t>驶驶</w:t>
      </w:r>
      <w:r>
        <w:rPr>
          <w:spacing w:val="-10"/>
          <w:w w:val="105"/>
        </w:rPr>
        <w:t>驶</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驾驾驾</w:t>
      </w:r>
      <w:r>
        <w:rPr>
          <w:spacing w:val="-8"/>
          <w:w w:val="105"/>
        </w:rPr>
        <w:t>驾</w:t>
      </w:r>
      <w:r>
        <w:rPr>
          <w:spacing w:val="-213"/>
          <w:w w:val="105"/>
        </w:rPr>
        <w:t>驶驶驶</w:t>
      </w:r>
      <w:r>
        <w:rPr>
          <w:spacing w:val="-8"/>
          <w:w w:val="105"/>
        </w:rPr>
        <w:t>驶</w:t>
      </w:r>
      <w:r>
        <w:rPr>
          <w:spacing w:val="-213"/>
          <w:w w:val="105"/>
        </w:rPr>
        <w:t>证证证</w:t>
      </w:r>
      <w:r>
        <w:rPr>
          <w:spacing w:val="-8"/>
          <w:w w:val="105"/>
        </w:rPr>
        <w:t>证</w:t>
      </w:r>
      <w:r>
        <w:rPr>
          <w:spacing w:val="-213"/>
          <w:w w:val="105"/>
        </w:rPr>
        <w:t>驾驾驾</w:t>
      </w:r>
      <w:r>
        <w:rPr>
          <w:spacing w:val="-8"/>
          <w:w w:val="105"/>
        </w:rPr>
        <w:t>驾</w:t>
      </w:r>
      <w:r>
        <w:rPr>
          <w:spacing w:val="-213"/>
          <w:w w:val="105"/>
        </w:rPr>
        <w:t>驶驶驶</w:t>
      </w:r>
      <w:r>
        <w:rPr>
          <w:spacing w:val="-8"/>
          <w:w w:val="105"/>
        </w:rPr>
        <w:t>驶</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3"/>
          <w:w w:val="105"/>
        </w:rPr>
        <w:t>驶驶驶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21"/>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感感感</w:t>
      </w:r>
      <w:r>
        <w:rPr>
          <w:spacing w:val="-8"/>
          <w:w w:val="105"/>
        </w:rPr>
        <w:t>感</w:t>
      </w:r>
      <w:r>
        <w:rPr>
          <w:spacing w:val="-213"/>
          <w:w w:val="105"/>
        </w:rPr>
        <w:t>染染染</w:t>
      </w:r>
      <w:r>
        <w:rPr>
          <w:spacing w:val="-8"/>
          <w:w w:val="105"/>
        </w:rPr>
        <w:t>染</w:t>
      </w:r>
      <w:r>
        <w:rPr>
          <w:spacing w:val="-213"/>
          <w:w w:val="105"/>
        </w:rPr>
        <w:t>艾艾艾</w:t>
      </w:r>
      <w:r>
        <w:rPr>
          <w:spacing w:val="-8"/>
          <w:w w:val="105"/>
        </w:rPr>
        <w:t>艾</w:t>
      </w:r>
      <w:r>
        <w:rPr>
          <w:spacing w:val="-213"/>
          <w:w w:val="105"/>
        </w:rPr>
        <w:t>滋滋滋</w:t>
      </w:r>
      <w:r>
        <w:rPr>
          <w:spacing w:val="-8"/>
          <w:w w:val="105"/>
        </w:rPr>
        <w:t>滋</w:t>
      </w:r>
      <w:r>
        <w:rPr>
          <w:spacing w:val="-213"/>
          <w:w w:val="105"/>
        </w:rPr>
        <w:t>病病病</w:t>
      </w:r>
      <w:r>
        <w:rPr>
          <w:spacing w:val="-8"/>
          <w:w w:val="105"/>
        </w:rPr>
        <w:t>病</w:t>
      </w:r>
      <w:r>
        <w:rPr>
          <w:spacing w:val="-213"/>
          <w:w w:val="105"/>
        </w:rPr>
        <w:t>病病病</w:t>
      </w:r>
      <w:r>
        <w:rPr>
          <w:spacing w:val="-8"/>
          <w:w w:val="105"/>
        </w:rPr>
        <w:t>病</w:t>
      </w:r>
      <w:r>
        <w:rPr>
          <w:spacing w:val="-213"/>
          <w:w w:val="105"/>
        </w:rPr>
        <w:t>毒毒毒</w:t>
      </w:r>
      <w:r>
        <w:rPr>
          <w:spacing w:val="-8"/>
          <w:w w:val="105"/>
        </w:rPr>
        <w:t>毒</w:t>
      </w:r>
      <w:r>
        <w:rPr>
          <w:spacing w:val="-213"/>
          <w:w w:val="105"/>
        </w:rPr>
        <w:t>或或或</w:t>
      </w:r>
      <w:r>
        <w:rPr>
          <w:w w:val="105"/>
        </w:rPr>
        <w:t>或</w:t>
      </w:r>
    </w:p>
    <w:p>
      <w:pPr>
        <w:pStyle w:val="BodyText"/>
        <w:spacing w:before="50"/>
        <w:ind w:left="109"/>
      </w:pPr>
      <w:r>
        <w:rPr>
          <w:spacing w:val="-213"/>
          <w:w w:val="105"/>
        </w:rPr>
        <w:t>患患患</w:t>
      </w:r>
      <w:r>
        <w:rPr>
          <w:spacing w:val="-8"/>
          <w:w w:val="105"/>
        </w:rPr>
        <w:t>患</w:t>
      </w:r>
      <w:r>
        <w:rPr>
          <w:spacing w:val="-213"/>
          <w:w w:val="105"/>
        </w:rPr>
        <w:t>艾艾艾</w:t>
      </w:r>
      <w:r>
        <w:rPr>
          <w:spacing w:val="-8"/>
          <w:w w:val="105"/>
        </w:rPr>
        <w:t>艾</w:t>
      </w:r>
      <w:r>
        <w:rPr>
          <w:spacing w:val="-213"/>
          <w:w w:val="105"/>
        </w:rPr>
        <w:t>滋滋滋</w:t>
      </w:r>
      <w:r>
        <w:rPr>
          <w:spacing w:val="-8"/>
          <w:w w:val="105"/>
        </w:rPr>
        <w:t>滋</w:t>
      </w:r>
      <w:r>
        <w:rPr>
          <w:spacing w:val="-213"/>
          <w:w w:val="105"/>
        </w:rPr>
        <w:t>病病病</w:t>
      </w:r>
      <w:r>
        <w:rPr>
          <w:spacing w:val="-8"/>
          <w:w w:val="105"/>
        </w:rPr>
        <w:t>病</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遗遗遗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0"/>
        <w:ind w:left="10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45" w:lineRule="exact" w:before="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医医医</w:t>
      </w: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0"/>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spacing w:before="32"/>
        <w:ind w:left="106"/>
      </w:pPr>
      <w:r>
        <w:rPr/>
        <w:br w:type="column"/>
      </w:r>
      <w:r>
        <w:rPr>
          <w:w w:val="105"/>
        </w:rPr>
        <w:t>（2）胰岛素血糖减少测试； </w:t>
      </w:r>
    </w:p>
    <w:p>
      <w:pPr>
        <w:pStyle w:val="BodyText"/>
        <w:spacing w:before="50"/>
        <w:ind w:left="106"/>
      </w:pPr>
      <w:r>
        <w:rPr>
          <w:w w:val="105"/>
        </w:rPr>
        <w:t>（3）血浆促肾上腺皮质激素(ACTH)水平测定； </w:t>
      </w:r>
    </w:p>
    <w:p>
      <w:pPr>
        <w:pStyle w:val="BodyText"/>
        <w:spacing w:before="50"/>
        <w:ind w:left="106"/>
      </w:pPr>
      <w:r>
        <w:rPr>
          <w:w w:val="105"/>
        </w:rPr>
        <w:t>（4）血浆肾素活性(PRA)测定。 </w:t>
      </w:r>
    </w:p>
    <w:p>
      <w:pPr>
        <w:pStyle w:val="BodyText"/>
        <w:spacing w:line="285" w:lineRule="auto" w:before="50"/>
        <w:ind w:left="106" w:right="196"/>
      </w:pPr>
      <w:r>
        <w:rPr>
          <w:spacing w:val="-6"/>
          <w:w w:val="105"/>
        </w:rPr>
        <w:t>慢性肾上腺皮质功能衰竭只对由自身免疫功能紊乱引起的承担保险责任，其他原因</w:t>
      </w:r>
      <w:r>
        <w:rPr>
          <w:spacing w:val="-3"/>
          <w:w w:val="105"/>
        </w:rPr>
        <w:t>引起的除外。</w:t>
      </w:r>
      <w:r>
        <w:rPr>
          <w:w w:val="105"/>
        </w:rPr>
        <w:t> </w:t>
      </w:r>
    </w:p>
    <w:p>
      <w:pPr>
        <w:pStyle w:val="BodyText"/>
        <w:spacing w:line="245" w:lineRule="exact" w:before="12"/>
        <w:ind w:left="106"/>
      </w:pPr>
      <w:r>
        <w:rPr>
          <w:w w:val="105"/>
        </w:rPr>
        <w:t> </w:t>
      </w:r>
    </w:p>
    <w:p>
      <w:pPr>
        <w:pStyle w:val="BodyText"/>
        <w:spacing w:line="245" w:lineRule="exact"/>
        <w:ind w:left="106"/>
      </w:pPr>
      <w:r>
        <w:rPr>
          <w:spacing w:val="-3"/>
          <w:w w:val="105"/>
        </w:rPr>
        <w:t>指中华人民共和国刑法规定的鸦片、海洛因、甲基苯丙胺</w:t>
      </w:r>
      <w:r>
        <w:rPr>
          <w:spacing w:val="-1"/>
          <w:w w:val="105"/>
        </w:rPr>
        <w:t>（</w:t>
      </w:r>
      <w:r>
        <w:rPr>
          <w:spacing w:val="-2"/>
          <w:w w:val="105"/>
        </w:rPr>
        <w:t>冰毒</w:t>
      </w:r>
      <w:r>
        <w:rPr>
          <w:spacing w:val="-109"/>
          <w:w w:val="105"/>
        </w:rPr>
        <w:t>）</w:t>
      </w:r>
      <w:r>
        <w:rPr>
          <w:spacing w:val="-3"/>
          <w:w w:val="105"/>
        </w:rPr>
        <w:t>、吗啡、大麻、</w:t>
      </w:r>
    </w:p>
    <w:p>
      <w:pPr>
        <w:pStyle w:val="BodyText"/>
        <w:spacing w:line="285" w:lineRule="auto" w:before="50"/>
        <w:ind w:left="106" w:right="215"/>
      </w:pPr>
      <w:r>
        <w:rPr>
          <w:spacing w:val="-7"/>
          <w:w w:val="105"/>
        </w:rPr>
        <w:t>可卡因以及国家规定管制的其他能够使人形成瘾癖的麻醉药品和精神药品，但不包</w:t>
      </w:r>
      <w:r>
        <w:rPr>
          <w:spacing w:val="-3"/>
          <w:w w:val="105"/>
        </w:rPr>
        <w:t>括由医生开具并遵医嘱使用的用于治疗疾病但含有毒品成分的处方药品。</w:t>
      </w:r>
    </w:p>
    <w:p>
      <w:pPr>
        <w:pStyle w:val="BodyText"/>
        <w:spacing w:line="245" w:lineRule="exact" w:before="12"/>
        <w:ind w:left="106"/>
      </w:pPr>
      <w:r>
        <w:rPr>
          <w:w w:val="105"/>
        </w:rPr>
        <w:t> </w:t>
      </w:r>
    </w:p>
    <w:p>
      <w:pPr>
        <w:pStyle w:val="BodyText"/>
        <w:spacing w:line="245" w:lineRule="exact"/>
        <w:ind w:left="106"/>
      </w:pPr>
      <w:r>
        <w:rPr>
          <w:w w:val="105"/>
        </w:rPr>
        <w:t>指经检测或鉴定，发生事故时车辆驾驶人员每百毫升血液中的酒精含量达到或超过</w:t>
      </w:r>
    </w:p>
    <w:p>
      <w:pPr>
        <w:pStyle w:val="BodyText"/>
        <w:spacing w:line="285" w:lineRule="auto" w:before="50"/>
        <w:ind w:left="106" w:right="217"/>
      </w:pPr>
      <w:r>
        <w:rPr>
          <w:spacing w:val="-10"/>
          <w:w w:val="105"/>
        </w:rPr>
        <w:t>一定的标准，公安机关交通管理部门依据《道路交通安全法》的规定认定为饮酒后</w:t>
      </w:r>
      <w:r>
        <w:rPr>
          <w:spacing w:val="-3"/>
          <w:w w:val="105"/>
        </w:rPr>
        <w:t>驾驶或醉酒后驾驶。</w:t>
      </w:r>
    </w:p>
    <w:p>
      <w:pPr>
        <w:pStyle w:val="BodyText"/>
        <w:spacing w:line="259" w:lineRule="exact" w:before="12"/>
        <w:ind w:left="106"/>
      </w:pPr>
      <w:r>
        <w:rPr>
          <w:w w:val="105"/>
        </w:rPr>
        <w:t> </w:t>
      </w:r>
    </w:p>
    <w:p>
      <w:pPr>
        <w:pStyle w:val="BodyText"/>
        <w:spacing w:line="259" w:lineRule="exact"/>
        <w:ind w:left="106"/>
      </w:pPr>
      <w:r>
        <w:rPr>
          <w:w w:val="105"/>
        </w:rPr>
        <w:t>指下列情形之一： </w:t>
      </w:r>
    </w:p>
    <w:p>
      <w:pPr>
        <w:pStyle w:val="BodyText"/>
        <w:spacing w:before="81"/>
        <w:ind w:left="106"/>
      </w:pPr>
      <w:r>
        <w:rPr>
          <w:w w:val="105"/>
        </w:rPr>
        <w:t>(一)没有驾驶证驾驶； </w:t>
      </w:r>
    </w:p>
    <w:p>
      <w:pPr>
        <w:pStyle w:val="BodyText"/>
        <w:spacing w:before="81"/>
        <w:ind w:left="106"/>
      </w:pPr>
      <w:r>
        <w:rPr>
          <w:w w:val="105"/>
        </w:rPr>
        <w:t>(二)驾驶与驾驶证准驾车型不相符合的车辆； </w:t>
      </w:r>
    </w:p>
    <w:p>
      <w:pPr>
        <w:pStyle w:val="BodyText"/>
        <w:spacing w:before="112"/>
        <w:ind w:left="106"/>
      </w:pPr>
      <w:r>
        <w:rPr>
          <w:w w:val="105"/>
        </w:rPr>
        <w:t>(三)驾驶员持审验不合格的驾驶证驾驶； </w:t>
      </w:r>
    </w:p>
    <w:p>
      <w:pPr>
        <w:pStyle w:val="BodyText"/>
        <w:spacing w:before="112"/>
        <w:ind w:left="106"/>
      </w:pPr>
      <w:r>
        <w:rPr>
          <w:w w:val="105"/>
        </w:rPr>
        <w:t>(四)未经公安交通管理部门同意，持未审验的驾驶证驾驶； </w:t>
      </w:r>
    </w:p>
    <w:p>
      <w:pPr>
        <w:pStyle w:val="BodyText"/>
        <w:spacing w:line="343" w:lineRule="auto" w:before="112"/>
        <w:ind w:left="526" w:right="217" w:hanging="420"/>
      </w:pPr>
      <w:r>
        <w:rPr>
          <w:spacing w:val="-9"/>
          <w:w w:val="105"/>
        </w:rPr>
        <w:t>(五)持学习驾驶证学习驾车时，无教练员随车指导，或不按指定时间、路线学习驾</w:t>
      </w:r>
      <w:r>
        <w:rPr>
          <w:spacing w:val="-2"/>
          <w:w w:val="105"/>
        </w:rPr>
        <w:t>车；</w:t>
      </w:r>
      <w:r>
        <w:rPr>
          <w:w w:val="105"/>
        </w:rPr>
        <w:t> </w:t>
      </w:r>
    </w:p>
    <w:p>
      <w:pPr>
        <w:pStyle w:val="BodyText"/>
        <w:spacing w:before="26"/>
        <w:ind w:left="106"/>
      </w:pPr>
      <w:r>
        <w:rPr>
          <w:w w:val="105"/>
        </w:rPr>
        <w:t>(六)公安交通管理部门规定的其他无有效驾驶证驾驶的情况。 </w:t>
      </w:r>
    </w:p>
    <w:p>
      <w:pPr>
        <w:pStyle w:val="BodyText"/>
        <w:spacing w:line="245" w:lineRule="exact" w:before="81"/>
        <w:ind w:left="106"/>
      </w:pPr>
      <w:r>
        <w:rPr>
          <w:w w:val="105"/>
        </w:rPr>
        <w:t> </w:t>
      </w:r>
    </w:p>
    <w:p>
      <w:pPr>
        <w:pStyle w:val="BodyText"/>
        <w:spacing w:line="245" w:lineRule="exact"/>
        <w:ind w:left="106"/>
      </w:pPr>
      <w:r>
        <w:rPr>
          <w:w w:val="105"/>
        </w:rPr>
        <w:t>指下列情形之一： </w:t>
      </w:r>
    </w:p>
    <w:p>
      <w:pPr>
        <w:pStyle w:val="BodyText"/>
        <w:spacing w:before="82"/>
        <w:ind w:left="106"/>
      </w:pPr>
      <w:r>
        <w:rPr>
          <w:w w:val="105"/>
        </w:rPr>
        <w:t>(一)没有机动车行驶证； </w:t>
      </w:r>
    </w:p>
    <w:p>
      <w:pPr>
        <w:pStyle w:val="BodyText"/>
        <w:spacing w:before="112"/>
        <w:ind w:left="106"/>
      </w:pPr>
      <w:r>
        <w:rPr>
          <w:w w:val="105"/>
        </w:rPr>
        <w:t>(二)未在法律规定期限内按时进行或通过安全技术检验。 </w:t>
      </w:r>
    </w:p>
    <w:p>
      <w:pPr>
        <w:pStyle w:val="BodyText"/>
        <w:spacing w:line="244" w:lineRule="exact" w:before="80"/>
        <w:ind w:left="106"/>
      </w:pPr>
      <w:r>
        <w:rPr>
          <w:w w:val="105"/>
        </w:rPr>
        <w:t> </w:t>
      </w:r>
    </w:p>
    <w:p>
      <w:pPr>
        <w:pStyle w:val="BodyText"/>
        <w:spacing w:line="244" w:lineRule="exact"/>
        <w:ind w:left="106"/>
      </w:pPr>
      <w:r>
        <w:rPr>
          <w:w w:val="105"/>
        </w:rPr>
        <w:t>指以动力装置驱动或者牵引，能合法上道路行驶的供人员乘用的四轮及四轮以上轮</w:t>
      </w:r>
    </w:p>
    <w:p>
      <w:pPr>
        <w:pStyle w:val="BodyText"/>
        <w:spacing w:before="51"/>
        <w:ind w:left="106"/>
        <w:rPr>
          <w:sz w:val="2"/>
        </w:rPr>
      </w:pPr>
      <w:r>
        <w:rPr>
          <w:w w:val="105"/>
        </w:rPr>
        <w:t>式车辆。</w:t>
      </w:r>
      <w:r>
        <w:rPr>
          <w:w w:val="600"/>
          <w:sz w:val="2"/>
        </w:rPr>
        <w:t> </w:t>
      </w:r>
    </w:p>
    <w:p>
      <w:pPr>
        <w:pStyle w:val="BodyText"/>
        <w:spacing w:line="245" w:lineRule="exact" w:before="50"/>
        <w:ind w:left="106"/>
      </w:pPr>
      <w:r>
        <w:rPr>
          <w:w w:val="105"/>
        </w:rPr>
        <w:t> </w:t>
      </w:r>
    </w:p>
    <w:p>
      <w:pPr>
        <w:pStyle w:val="BodyText"/>
        <w:spacing w:line="273" w:lineRule="exact"/>
        <w:ind w:left="106"/>
      </w:pPr>
      <w:r>
        <w:rPr>
          <w:w w:val="105"/>
        </w:rPr>
        <w:t>艾滋病病毒指人类免疫缺陷病毒，英文缩写为 </w:t>
      </w:r>
      <w:r>
        <w:rPr>
          <w:rFonts w:ascii="Calibri" w:eastAsia="Calibri"/>
          <w:w w:val="105"/>
          <w:sz w:val="21"/>
        </w:rPr>
        <w:t>HIV</w:t>
      </w:r>
      <w:r>
        <w:rPr>
          <w:w w:val="105"/>
        </w:rPr>
        <w:t>。艾滋病指人类免疫缺陷病毒引</w:t>
      </w:r>
    </w:p>
    <w:p>
      <w:pPr>
        <w:pStyle w:val="BodyText"/>
        <w:spacing w:line="271" w:lineRule="auto" w:before="22"/>
        <w:ind w:left="106" w:right="217"/>
      </w:pPr>
      <w:r>
        <w:rPr>
          <w:spacing w:val="-6"/>
          <w:w w:val="105"/>
        </w:rPr>
        <w:t>起的获得性免疫缺陷综合征，英文缩写为 </w:t>
      </w:r>
      <w:r>
        <w:rPr>
          <w:rFonts w:ascii="Calibri" w:eastAsia="Calibri"/>
          <w:w w:val="105"/>
          <w:sz w:val="21"/>
        </w:rPr>
        <w:t>AIDS</w:t>
      </w:r>
      <w:r>
        <w:rPr>
          <w:spacing w:val="-3"/>
          <w:w w:val="105"/>
        </w:rPr>
        <w:t>。在人体血液或其他样本中检测到</w:t>
      </w:r>
      <w:r>
        <w:rPr>
          <w:spacing w:val="-9"/>
          <w:w w:val="105"/>
        </w:rPr>
        <w:t>艾滋病病毒或其抗体呈阳性，没有出现临床症状或体征的，为感染艾滋病病毒；若</w:t>
      </w:r>
      <w:r>
        <w:rPr>
          <w:spacing w:val="-3"/>
          <w:w w:val="105"/>
        </w:rPr>
        <w:t>同时出现了明显临床症状或体征的，为患艾滋病。</w:t>
      </w:r>
    </w:p>
    <w:p>
      <w:pPr>
        <w:pStyle w:val="BodyText"/>
        <w:spacing w:line="245" w:lineRule="exact" w:before="24"/>
        <w:ind w:left="106"/>
      </w:pPr>
      <w:r>
        <w:rPr>
          <w:w w:val="105"/>
        </w:rPr>
        <w:t> </w:t>
      </w:r>
    </w:p>
    <w:p>
      <w:pPr>
        <w:pStyle w:val="BodyText"/>
        <w:spacing w:line="245" w:lineRule="exact"/>
        <w:ind w:left="106"/>
      </w:pPr>
      <w:r>
        <w:rPr>
          <w:w w:val="105"/>
        </w:rPr>
        <w:t>指生殖细胞或受精卵的遗传物质（染色体和基因）发生突变或畸变所引起的疾病，</w:t>
      </w:r>
    </w:p>
    <w:p>
      <w:pPr>
        <w:pStyle w:val="BodyText"/>
        <w:spacing w:before="50"/>
        <w:ind w:left="106"/>
      </w:pPr>
      <w:r>
        <w:rPr>
          <w:w w:val="105"/>
        </w:rPr>
        <w:t>通常具有亲代传至后代的垂直传递的特征。 </w:t>
      </w:r>
    </w:p>
    <w:p>
      <w:pPr>
        <w:pStyle w:val="BodyText"/>
        <w:spacing w:line="244" w:lineRule="exact" w:before="50"/>
        <w:ind w:left="106"/>
      </w:pPr>
      <w:r>
        <w:rPr>
          <w:w w:val="105"/>
        </w:rPr>
        <w:t> </w:t>
      </w:r>
    </w:p>
    <w:p>
      <w:pPr>
        <w:pStyle w:val="BodyText"/>
        <w:spacing w:line="244" w:lineRule="exact"/>
        <w:ind w:left="106"/>
      </w:pPr>
      <w:r>
        <w:rPr>
          <w:w w:val="105"/>
        </w:rPr>
        <w:t>指被保险人出生时就具有的畸形、变形或染色体异常。先天性畸形、变形或染色体</w:t>
      </w:r>
    </w:p>
    <w:p>
      <w:pPr>
        <w:pStyle w:val="BodyText"/>
        <w:spacing w:before="50"/>
        <w:ind w:left="106"/>
      </w:pPr>
      <w:r>
        <w:rPr>
          <w:w w:val="105"/>
        </w:rPr>
        <w:t>异常按照世界卫生组织《疾病和有关健康问题的国际统计分类》（ICD-10）确定。 </w:t>
      </w:r>
    </w:p>
    <w:p>
      <w:pPr>
        <w:pStyle w:val="BodyText"/>
        <w:spacing w:line="245" w:lineRule="exact" w:before="50"/>
        <w:ind w:left="106"/>
      </w:pPr>
      <w:r>
        <w:rPr>
          <w:w w:val="105"/>
        </w:rPr>
        <w:t> </w:t>
      </w:r>
    </w:p>
    <w:p>
      <w:pPr>
        <w:pStyle w:val="BodyText"/>
        <w:spacing w:line="245" w:lineRule="exact"/>
        <w:ind w:left="106"/>
      </w:pPr>
      <w:r>
        <w:rPr>
          <w:w w:val="105"/>
        </w:rPr>
        <w:t>指经中华人民共和国卫生部门正式评定的二级或以上之公立医院，但不包括上述医</w:t>
      </w:r>
    </w:p>
    <w:p>
      <w:pPr>
        <w:pStyle w:val="BodyText"/>
        <w:spacing w:line="285" w:lineRule="auto" w:before="50"/>
        <w:ind w:left="106" w:right="11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pStyle w:val="BodyText"/>
        <w:spacing w:line="244" w:lineRule="exact" w:before="12"/>
        <w:ind w:left="106"/>
      </w:pPr>
      <w:r>
        <w:rPr>
          <w:w w:val="105"/>
        </w:rPr>
        <w:t> </w:t>
      </w:r>
    </w:p>
    <w:p>
      <w:pPr>
        <w:pStyle w:val="BodyText"/>
        <w:spacing w:line="244" w:lineRule="exact"/>
        <w:ind w:left="106"/>
      </w:pPr>
      <w:r>
        <w:rPr>
          <w:w w:val="105"/>
        </w:rPr>
        <w:t>专科医生应当满足以下四项资格条件： </w:t>
      </w:r>
    </w:p>
    <w:p>
      <w:pPr>
        <w:pStyle w:val="BodyText"/>
        <w:spacing w:before="81"/>
        <w:ind w:left="106"/>
      </w:pPr>
      <w:r>
        <w:rPr>
          <w:w w:val="105"/>
        </w:rPr>
        <w:t>(一)中华人民共和国《医师资格证书》； </w:t>
      </w:r>
    </w:p>
    <w:p>
      <w:pPr>
        <w:spacing w:after="0"/>
        <w:sectPr>
          <w:pgSz w:w="11900" w:h="16840"/>
          <w:pgMar w:header="0" w:footer="440" w:top="1100" w:bottom="640" w:left="680" w:right="580"/>
          <w:cols w:num="3" w:equalWidth="0">
            <w:col w:w="645" w:space="257"/>
            <w:col w:w="1913" w:space="40"/>
            <w:col w:w="7785"/>
          </w:cols>
        </w:sectPr>
      </w:pPr>
    </w:p>
    <w:p>
      <w:pPr>
        <w:pStyle w:val="BodyText"/>
      </w:pPr>
    </w:p>
    <w:p>
      <w:pPr>
        <w:pStyle w:val="BodyText"/>
      </w:pPr>
    </w:p>
    <w:p>
      <w:pPr>
        <w:pStyle w:val="BodyText"/>
      </w:pPr>
    </w:p>
    <w:p>
      <w:pPr>
        <w:pStyle w:val="BodyText"/>
        <w:spacing w:before="2"/>
        <w:rPr>
          <w:sz w:val="28"/>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2"/>
        <w:rPr>
          <w:sz w:val="18"/>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3"/>
        <w:rPr>
          <w:sz w:val="14"/>
        </w:rPr>
      </w:pPr>
    </w:p>
    <w:p>
      <w:pPr>
        <w:pStyle w:val="BodyText"/>
        <w:spacing w:line="206"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pPr>
    </w:p>
    <w:p>
      <w:pPr>
        <w:pStyle w:val="BodyText"/>
        <w:spacing w:before="7"/>
        <w:rPr>
          <w:sz w:val="25"/>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2"/>
          <w:w w:val="105"/>
        </w:rPr>
        <w:t>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1"/>
        <w:ind w:left="10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六六六</w:t>
      </w:r>
      <w:r>
        <w:rPr>
          <w:spacing w:val="-8"/>
          <w:w w:val="105"/>
        </w:rPr>
        <w:t>六</w:t>
      </w:r>
      <w:r>
        <w:rPr>
          <w:spacing w:val="-213"/>
          <w:w w:val="105"/>
        </w:rPr>
        <w:t>项项项</w:t>
      </w:r>
      <w:r>
        <w:rPr>
          <w:spacing w:val="-8"/>
          <w:w w:val="105"/>
        </w:rPr>
        <w:t>项</w:t>
      </w:r>
      <w:r>
        <w:rPr>
          <w:spacing w:val="-213"/>
          <w:w w:val="105"/>
        </w:rPr>
        <w:t>基基基</w:t>
      </w:r>
      <w:r>
        <w:rPr>
          <w:spacing w:val="-8"/>
          <w:w w:val="105"/>
        </w:rPr>
        <w:t>基</w:t>
      </w:r>
      <w:r>
        <w:rPr>
          <w:spacing w:val="-213"/>
          <w:w w:val="105"/>
        </w:rPr>
        <w:t>本本本</w:t>
      </w:r>
      <w:r>
        <w:rPr>
          <w:spacing w:val="-8"/>
          <w:w w:val="105"/>
        </w:rPr>
        <w:t>本</w:t>
      </w:r>
      <w:r>
        <w:rPr>
          <w:spacing w:val="-213"/>
          <w:w w:val="105"/>
        </w:rPr>
        <w:t>日日日</w:t>
      </w:r>
      <w:r>
        <w:rPr>
          <w:spacing w:val="-8"/>
          <w:w w:val="105"/>
        </w:rPr>
        <w:t>日</w:t>
      </w:r>
      <w:r>
        <w:rPr>
          <w:spacing w:val="-213"/>
          <w:w w:val="105"/>
        </w:rPr>
        <w:t>常常常</w:t>
      </w:r>
      <w:r>
        <w:rPr>
          <w:spacing w:val="-8"/>
          <w:w w:val="105"/>
        </w:rPr>
        <w:t>常</w:t>
      </w:r>
      <w:r>
        <w:rPr>
          <w:spacing w:val="-213"/>
          <w:w w:val="105"/>
        </w:rPr>
        <w:t>生生生</w:t>
      </w:r>
      <w:r>
        <w:rPr>
          <w:spacing w:val="-8"/>
          <w:w w:val="105"/>
        </w:rPr>
        <w:t>生</w:t>
      </w:r>
      <w:r>
        <w:rPr>
          <w:spacing w:val="-213"/>
          <w:w w:val="105"/>
        </w:rPr>
        <w:t>活活活</w:t>
      </w:r>
      <w:r>
        <w:rPr>
          <w:w w:val="105"/>
        </w:rPr>
        <w:t>活</w:t>
      </w:r>
    </w:p>
    <w:p>
      <w:pPr>
        <w:pStyle w:val="BodyText"/>
        <w:spacing w:before="50"/>
        <w:ind w:left="109"/>
      </w:pPr>
      <w:r>
        <w:rPr>
          <w:spacing w:val="-213"/>
          <w:w w:val="105"/>
        </w:rPr>
        <w:t>活活活</w:t>
      </w:r>
      <w:r>
        <w:rPr>
          <w:spacing w:val="-8"/>
          <w:w w:val="105"/>
        </w:rPr>
        <w:t>活</w:t>
      </w:r>
      <w:r>
        <w:rPr>
          <w:spacing w:val="-213"/>
          <w:w w:val="105"/>
        </w:rPr>
        <w:t>动动动</w:t>
      </w:r>
      <w:r>
        <w:rPr>
          <w:spacing w:val="-8"/>
          <w:w w:val="105"/>
        </w:rPr>
        <w:t>动</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10"/>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14"/>
      </w:pPr>
      <w:r>
        <w:rPr>
          <w:spacing w:val="-214"/>
          <w:w w:val="105"/>
        </w:rPr>
        <w:t>酗</w:t>
      </w:r>
      <w:r>
        <w:rPr>
          <w:spacing w:val="-8"/>
          <w:w w:val="105"/>
        </w:rPr>
        <w:t>酗</w:t>
      </w:r>
      <w:r>
        <w:rPr>
          <w:spacing w:val="-213"/>
          <w:w w:val="105"/>
        </w:rPr>
        <w:t>酒酒酒</w:t>
      </w:r>
      <w:r>
        <w:rPr>
          <w:spacing w:val="-8"/>
          <w:w w:val="105"/>
        </w:rPr>
        <w:t>酒</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永永永</w:t>
      </w:r>
      <w:r>
        <w:rPr>
          <w:spacing w:val="-8"/>
          <w:w w:val="105"/>
        </w:rPr>
        <w:t>永</w:t>
      </w:r>
      <w:r>
        <w:rPr>
          <w:spacing w:val="-213"/>
          <w:w w:val="105"/>
        </w:rPr>
        <w:t>久久久</w:t>
      </w:r>
      <w:r>
        <w:rPr>
          <w:spacing w:val="-8"/>
          <w:w w:val="105"/>
        </w:rPr>
        <w:t>久</w:t>
      </w:r>
      <w:r>
        <w:rPr>
          <w:spacing w:val="-213"/>
          <w:w w:val="105"/>
        </w:rPr>
        <w:t>不不不</w:t>
      </w:r>
      <w:r>
        <w:rPr>
          <w:spacing w:val="-8"/>
          <w:w w:val="105"/>
        </w:rPr>
        <w:t>不</w:t>
      </w:r>
      <w:r>
        <w:rPr>
          <w:spacing w:val="-213"/>
          <w:w w:val="105"/>
        </w:rPr>
        <w:t>可可可</w:t>
      </w:r>
      <w:r>
        <w:rPr>
          <w:spacing w:val="-8"/>
          <w:w w:val="105"/>
        </w:rPr>
        <w:t>可</w:t>
      </w:r>
      <w:r>
        <w:rPr>
          <w:spacing w:val="-213"/>
          <w:w w:val="105"/>
        </w:rPr>
        <w:t>逆逆逆</w:t>
      </w:r>
      <w:r>
        <w:rPr>
          <w:spacing w:val="-10"/>
          <w:w w:val="105"/>
        </w:rPr>
        <w:t>逆</w:t>
      </w:r>
      <w:r>
        <w:rPr>
          <w:spacing w:val="-109"/>
          <w:w w:val="108"/>
        </w:rPr>
        <w:t> </w:t>
      </w:r>
      <w:r>
        <w:rPr>
          <w:spacing w:val="-104"/>
          <w:w w:val="108"/>
        </w:rPr>
        <w:t> </w:t>
      </w:r>
      <w:r>
        <w:rPr>
          <w:spacing w:val="-109"/>
          <w:w w:val="108"/>
        </w:rPr>
        <w:t> </w:t>
      </w:r>
      <w:r>
        <w:rPr>
          <w:w w:val="108"/>
        </w:rPr>
        <w:t> </w:t>
      </w:r>
    </w:p>
    <w:p>
      <w:pPr>
        <w:pStyle w:val="BodyText"/>
        <w:spacing w:before="23"/>
        <w:ind w:left="108"/>
      </w:pPr>
      <w:r>
        <w:rPr/>
        <w:br w:type="column"/>
      </w:r>
      <w:r>
        <w:rPr>
          <w:w w:val="105"/>
        </w:rPr>
        <w:t>(二)具有有效的中华人民共和国《医师执业证书》，并按期到相关部门登记注册； </w:t>
      </w:r>
    </w:p>
    <w:p>
      <w:pPr>
        <w:pStyle w:val="BodyText"/>
        <w:spacing w:before="112"/>
        <w:ind w:left="108"/>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112"/>
        <w:ind w:left="108"/>
      </w:pPr>
      <w:r>
        <w:rPr>
          <w:w w:val="105"/>
        </w:rPr>
        <w:t>(四)在二级或二级以上医院的相应科室从事临床工作三年以上。 </w:t>
      </w:r>
    </w:p>
    <w:p>
      <w:pPr>
        <w:pStyle w:val="BodyText"/>
        <w:spacing w:line="245" w:lineRule="exact" w:before="81"/>
        <w:ind w:left="108"/>
      </w:pPr>
      <w:r>
        <w:rPr>
          <w:w w:val="105"/>
        </w:rPr>
        <w:t> </w:t>
      </w:r>
    </w:p>
    <w:p>
      <w:pPr>
        <w:pStyle w:val="BodyText"/>
        <w:spacing w:line="245" w:lineRule="exact"/>
        <w:ind w:left="108"/>
      </w:pPr>
      <w:r>
        <w:rPr>
          <w:w w:val="105"/>
        </w:rPr>
        <w:t>指肢体的三大关节中的两大关节僵硬，或不能随意识活动。肢体是指包括肩关节的</w:t>
      </w:r>
    </w:p>
    <w:p>
      <w:pPr>
        <w:pStyle w:val="BodyText"/>
        <w:spacing w:before="50"/>
        <w:ind w:left="108"/>
      </w:pPr>
      <w:r>
        <w:rPr>
          <w:w w:val="105"/>
        </w:rPr>
        <w:t>整个上肢或者包括髋关节的整个下肢。 </w:t>
      </w:r>
    </w:p>
    <w:p>
      <w:pPr>
        <w:pStyle w:val="BodyText"/>
        <w:spacing w:line="245" w:lineRule="exact" w:before="49"/>
        <w:ind w:left="108"/>
      </w:pPr>
      <w:r>
        <w:rPr>
          <w:w w:val="105"/>
        </w:rPr>
        <w:t> </w:t>
      </w:r>
    </w:p>
    <w:p>
      <w:pPr>
        <w:pStyle w:val="BodyText"/>
        <w:spacing w:line="245" w:lineRule="exact"/>
        <w:ind w:left="108"/>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1"/>
        <w:ind w:left="108"/>
      </w:pPr>
      <w:r>
        <w:rPr>
          <w:w w:val="105"/>
        </w:rPr>
        <w:t>中的任何三音、或声带全部切除、或因大脑语言中枢受伤害而患失语症。 </w:t>
      </w:r>
    </w:p>
    <w:p>
      <w:pPr>
        <w:pStyle w:val="BodyText"/>
        <w:spacing w:line="285" w:lineRule="auto" w:before="50"/>
        <w:ind w:left="108" w:right="216"/>
      </w:pPr>
      <w:r>
        <w:rPr>
          <w:spacing w:val="-9"/>
          <w:w w:val="105"/>
        </w:rPr>
        <w:t>咀嚼吞咽能力完全丧失，指因牙齿以外的原因导致器质障碍或机能障碍，以致不能</w:t>
      </w:r>
      <w:r>
        <w:rPr>
          <w:spacing w:val="-3"/>
          <w:w w:val="105"/>
        </w:rPr>
        <w:t>作咀嚼吞咽运动，除流质食物外不能摄取或吞咽的状态。</w:t>
      </w:r>
      <w:r>
        <w:rPr>
          <w:w w:val="105"/>
        </w:rPr>
        <w:t> </w:t>
      </w:r>
    </w:p>
    <w:p>
      <w:pPr>
        <w:pStyle w:val="BodyText"/>
        <w:spacing w:line="259" w:lineRule="exact" w:before="12"/>
        <w:ind w:left="108"/>
      </w:pPr>
      <w:r>
        <w:rPr>
          <w:w w:val="105"/>
        </w:rPr>
        <w:t> </w:t>
      </w:r>
    </w:p>
    <w:p>
      <w:pPr>
        <w:pStyle w:val="BodyText"/>
        <w:spacing w:line="259" w:lineRule="exact"/>
        <w:ind w:left="108"/>
      </w:pPr>
      <w:r>
        <w:rPr>
          <w:w w:val="105"/>
        </w:rPr>
        <w:t>一、穿衣：自己能够穿衣及脱衣；</w:t>
      </w:r>
    </w:p>
    <w:p>
      <w:pPr>
        <w:pStyle w:val="BodyText"/>
        <w:spacing w:line="343" w:lineRule="auto" w:before="112"/>
        <w:ind w:left="108" w:right="3703"/>
      </w:pPr>
      <w:r>
        <w:rPr>
          <w:w w:val="105"/>
        </w:rPr>
        <w:t>二、移动：自己从一个房间到另一个房间； 三、行动：自己上下床或上下轮椅；</w:t>
      </w:r>
    </w:p>
    <w:p>
      <w:pPr>
        <w:pStyle w:val="BodyText"/>
        <w:spacing w:before="26"/>
        <w:ind w:left="108"/>
      </w:pPr>
      <w:r>
        <w:rPr>
          <w:w w:val="105"/>
        </w:rPr>
        <w:t>四、如厕：自己控制进行大小便；</w:t>
      </w:r>
    </w:p>
    <w:p>
      <w:pPr>
        <w:pStyle w:val="BodyText"/>
        <w:spacing w:line="343" w:lineRule="auto" w:before="112"/>
        <w:ind w:left="108" w:right="2443"/>
      </w:pPr>
      <w:r>
        <w:rPr>
          <w:w w:val="105"/>
        </w:rPr>
        <w:t>五、进食：自己从已准备好的碗或碟中取食物放入口中； 六、洗澡：自己进行淋浴或盆浴。 </w:t>
      </w:r>
    </w:p>
    <w:p>
      <w:pPr>
        <w:pStyle w:val="BodyText"/>
        <w:spacing w:line="240" w:lineRule="exact"/>
        <w:ind w:left="108"/>
      </w:pPr>
      <w:r>
        <w:rPr>
          <w:w w:val="105"/>
        </w:rPr>
        <w:t> </w:t>
      </w:r>
    </w:p>
    <w:p>
      <w:pPr>
        <w:pStyle w:val="BodyText"/>
        <w:spacing w:line="245" w:lineRule="exact"/>
        <w:ind w:left="108"/>
      </w:pPr>
      <w:r>
        <w:rPr>
          <w:w w:val="105"/>
        </w:rPr>
        <w:t>是指酒精摄入过量。长期过量饮酒导致身体脏器严重损害，或一次大量饮酒导致急</w:t>
      </w:r>
    </w:p>
    <w:p>
      <w:pPr>
        <w:pStyle w:val="BodyText"/>
        <w:spacing w:line="285" w:lineRule="auto" w:before="49"/>
        <w:ind w:left="108" w:right="216"/>
      </w:pPr>
      <w:r>
        <w:rPr>
          <w:spacing w:val="-8"/>
          <w:w w:val="105"/>
        </w:rPr>
        <w:t>性酒精中毒或自制力丧失造成自身伤害、斗殴肇事或交通肇事。酒精过量由医疗机</w:t>
      </w:r>
      <w:r>
        <w:rPr>
          <w:spacing w:val="-3"/>
          <w:w w:val="105"/>
        </w:rPr>
        <w:t>构或公安部门判定。</w:t>
      </w:r>
      <w:r>
        <w:rPr>
          <w:w w:val="105"/>
        </w:rPr>
        <w:t> </w:t>
      </w:r>
    </w:p>
    <w:p>
      <w:pPr>
        <w:pStyle w:val="BodyText"/>
        <w:spacing w:line="244" w:lineRule="exact" w:before="11"/>
        <w:ind w:left="108"/>
      </w:pPr>
      <w:r>
        <w:rPr>
          <w:w w:val="105"/>
        </w:rPr>
        <w:t> </w:t>
      </w:r>
    </w:p>
    <w:p>
      <w:pPr>
        <w:pStyle w:val="BodyText"/>
        <w:spacing w:line="244" w:lineRule="exact"/>
        <w:ind w:left="108"/>
      </w:pPr>
      <w:r>
        <w:rPr>
          <w:w w:val="105"/>
        </w:rPr>
        <w:t>指因疾病确诊或意外发生之日起，经过积极治疗 180 天后，仍无法通过现有医疗手</w:t>
      </w:r>
    </w:p>
    <w:p>
      <w:pPr>
        <w:pStyle w:val="BodyText"/>
        <w:spacing w:before="51"/>
        <w:ind w:left="108"/>
      </w:pPr>
      <w:r>
        <w:rPr>
          <w:w w:val="105"/>
        </w:rPr>
        <w:t>段恢复。 </w:t>
      </w:r>
    </w:p>
    <w:p>
      <w:pPr>
        <w:spacing w:after="0"/>
        <w:sectPr>
          <w:pgSz w:w="11900" w:h="16840"/>
          <w:pgMar w:header="0" w:footer="440" w:top="1140" w:bottom="640" w:left="680" w:right="560"/>
          <w:cols w:num="3" w:equalWidth="0">
            <w:col w:w="645" w:space="257"/>
            <w:col w:w="1910" w:space="40"/>
            <w:col w:w="7808"/>
          </w:cols>
        </w:sectPr>
      </w:pPr>
    </w:p>
    <w:p>
      <w:pPr>
        <w:pStyle w:val="BodyText"/>
        <w:spacing w:before="12"/>
        <w:ind w:left="119"/>
      </w:pPr>
      <w:r>
        <w:rPr>
          <w:w w:val="105"/>
        </w:rPr>
        <w:t>附表</w:t>
      </w:r>
    </w:p>
    <w:p>
      <w:pPr>
        <w:pStyle w:val="BodyText"/>
        <w:spacing w:before="6"/>
        <w:rPr>
          <w:sz w:val="24"/>
        </w:rPr>
      </w:pPr>
    </w:p>
    <w:p>
      <w:pPr>
        <w:pStyle w:val="BodyText"/>
        <w:spacing w:before="42"/>
        <w:ind w:left="2617" w:right="2493"/>
        <w:jc w:val="center"/>
      </w:pPr>
      <w:r>
        <w:rPr>
          <w:w w:val="105"/>
        </w:rPr>
        <w:t>《弘康附加额外给付重大疾病保险》年风险保险费表</w:t>
      </w:r>
    </w:p>
    <w:p>
      <w:pPr>
        <w:pStyle w:val="BodyText"/>
        <w:spacing w:before="8"/>
        <w:rPr>
          <w:sz w:val="27"/>
        </w:rPr>
      </w:pPr>
    </w:p>
    <w:p>
      <w:pPr>
        <w:pStyle w:val="BodyText"/>
        <w:ind w:left="2617" w:right="2388"/>
        <w:jc w:val="center"/>
      </w:pPr>
      <w:r>
        <w:rPr>
          <w:w w:val="105"/>
        </w:rPr>
        <w:t>（每千元风险保额） </w:t>
      </w:r>
    </w:p>
    <w:p>
      <w:pPr>
        <w:pStyle w:val="BodyText"/>
        <w:spacing w:before="49" w:after="51"/>
        <w:ind w:left="119"/>
      </w:pPr>
      <w:r>
        <w:rPr>
          <w:w w:val="105"/>
        </w:rPr>
        <w:t>                                                                           </w:t>
      </w:r>
      <w:r>
        <w:rPr>
          <w:w w:val="105"/>
        </w:rPr>
        <w:t>单位：人民币元 </w:t>
      </w: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054"/>
        <w:gridCol w:w="1056"/>
        <w:gridCol w:w="1054"/>
        <w:gridCol w:w="1056"/>
        <w:gridCol w:w="1056"/>
        <w:gridCol w:w="1210"/>
        <w:gridCol w:w="994"/>
        <w:gridCol w:w="1078"/>
      </w:tblGrid>
      <w:tr>
        <w:trPr>
          <w:trHeight w:val="313" w:hRule="atLeast"/>
        </w:trPr>
        <w:tc>
          <w:tcPr>
            <w:tcW w:w="1054" w:type="dxa"/>
          </w:tcPr>
          <w:p>
            <w:pPr>
              <w:pStyle w:val="TableParagraph"/>
              <w:spacing w:before="1"/>
              <w:ind w:left="348" w:right="234"/>
              <w:jc w:val="center"/>
              <w:rPr>
                <w:sz w:val="20"/>
              </w:rPr>
            </w:pPr>
            <w:r>
              <w:rPr>
                <w:w w:val="105"/>
                <w:sz w:val="20"/>
              </w:rPr>
              <w:t>年龄 </w:t>
            </w:r>
          </w:p>
        </w:tc>
        <w:tc>
          <w:tcPr>
            <w:tcW w:w="1054" w:type="dxa"/>
          </w:tcPr>
          <w:p>
            <w:pPr>
              <w:pStyle w:val="TableParagraph"/>
              <w:spacing w:before="1"/>
              <w:ind w:left="348" w:right="234"/>
              <w:jc w:val="center"/>
              <w:rPr>
                <w:sz w:val="20"/>
              </w:rPr>
            </w:pPr>
            <w:r>
              <w:rPr>
                <w:w w:val="105"/>
                <w:sz w:val="20"/>
              </w:rPr>
              <w:t>男性 </w:t>
            </w:r>
          </w:p>
        </w:tc>
        <w:tc>
          <w:tcPr>
            <w:tcW w:w="1056" w:type="dxa"/>
          </w:tcPr>
          <w:p>
            <w:pPr>
              <w:pStyle w:val="TableParagraph"/>
              <w:spacing w:before="1"/>
              <w:ind w:right="200"/>
              <w:jc w:val="right"/>
              <w:rPr>
                <w:sz w:val="20"/>
              </w:rPr>
            </w:pPr>
            <w:r>
              <w:rPr>
                <w:w w:val="105"/>
                <w:sz w:val="20"/>
              </w:rPr>
              <w:t>女性 </w:t>
            </w:r>
          </w:p>
        </w:tc>
        <w:tc>
          <w:tcPr>
            <w:tcW w:w="1054" w:type="dxa"/>
          </w:tcPr>
          <w:p>
            <w:pPr>
              <w:pStyle w:val="TableParagraph"/>
              <w:spacing w:before="1"/>
              <w:ind w:left="348" w:right="235"/>
              <w:jc w:val="center"/>
              <w:rPr>
                <w:sz w:val="20"/>
              </w:rPr>
            </w:pPr>
            <w:r>
              <w:rPr>
                <w:w w:val="105"/>
                <w:sz w:val="20"/>
              </w:rPr>
              <w:t>年龄 </w:t>
            </w:r>
          </w:p>
        </w:tc>
        <w:tc>
          <w:tcPr>
            <w:tcW w:w="1056" w:type="dxa"/>
          </w:tcPr>
          <w:p>
            <w:pPr>
              <w:pStyle w:val="TableParagraph"/>
              <w:spacing w:before="1"/>
              <w:ind w:right="200"/>
              <w:jc w:val="right"/>
              <w:rPr>
                <w:sz w:val="20"/>
              </w:rPr>
            </w:pPr>
            <w:r>
              <w:rPr>
                <w:w w:val="105"/>
                <w:sz w:val="20"/>
              </w:rPr>
              <w:t>男性 </w:t>
            </w:r>
          </w:p>
        </w:tc>
        <w:tc>
          <w:tcPr>
            <w:tcW w:w="1056" w:type="dxa"/>
          </w:tcPr>
          <w:p>
            <w:pPr>
              <w:pStyle w:val="TableParagraph"/>
              <w:spacing w:before="1"/>
              <w:ind w:left="315"/>
              <w:rPr>
                <w:sz w:val="20"/>
              </w:rPr>
            </w:pPr>
            <w:r>
              <w:rPr>
                <w:w w:val="105"/>
                <w:sz w:val="20"/>
              </w:rPr>
              <w:t>女性 </w:t>
            </w:r>
          </w:p>
        </w:tc>
        <w:tc>
          <w:tcPr>
            <w:tcW w:w="1210" w:type="dxa"/>
          </w:tcPr>
          <w:p>
            <w:pPr>
              <w:pStyle w:val="TableParagraph"/>
              <w:spacing w:before="1"/>
              <w:ind w:left="163" w:right="49"/>
              <w:jc w:val="center"/>
              <w:rPr>
                <w:sz w:val="20"/>
              </w:rPr>
            </w:pPr>
            <w:r>
              <w:rPr>
                <w:w w:val="105"/>
                <w:sz w:val="20"/>
              </w:rPr>
              <w:t>年龄 </w:t>
            </w:r>
          </w:p>
        </w:tc>
        <w:tc>
          <w:tcPr>
            <w:tcW w:w="994" w:type="dxa"/>
          </w:tcPr>
          <w:p>
            <w:pPr>
              <w:pStyle w:val="TableParagraph"/>
              <w:spacing w:before="1"/>
              <w:ind w:left="286"/>
              <w:rPr>
                <w:sz w:val="20"/>
              </w:rPr>
            </w:pPr>
            <w:r>
              <w:rPr>
                <w:w w:val="105"/>
                <w:sz w:val="20"/>
              </w:rPr>
              <w:t>男性 </w:t>
            </w:r>
          </w:p>
        </w:tc>
        <w:tc>
          <w:tcPr>
            <w:tcW w:w="1078" w:type="dxa"/>
          </w:tcPr>
          <w:p>
            <w:pPr>
              <w:pStyle w:val="TableParagraph"/>
              <w:spacing w:before="1"/>
              <w:ind w:left="326"/>
              <w:rPr>
                <w:sz w:val="20"/>
              </w:rPr>
            </w:pPr>
            <w:r>
              <w:rPr>
                <w:w w:val="105"/>
                <w:sz w:val="20"/>
              </w:rPr>
              <w:t>女性 </w:t>
            </w:r>
          </w:p>
        </w:tc>
      </w:tr>
      <w:tr>
        <w:trPr>
          <w:trHeight w:val="273" w:hRule="atLeast"/>
        </w:trPr>
        <w:tc>
          <w:tcPr>
            <w:tcW w:w="1054" w:type="dxa"/>
          </w:tcPr>
          <w:p>
            <w:pPr>
              <w:pStyle w:val="TableParagraph"/>
              <w:spacing w:line="253" w:lineRule="exact"/>
              <w:ind w:left="347" w:right="235"/>
              <w:jc w:val="center"/>
              <w:rPr>
                <w:sz w:val="20"/>
              </w:rPr>
            </w:pPr>
            <w:r>
              <w:rPr>
                <w:w w:val="105"/>
                <w:sz w:val="20"/>
              </w:rPr>
              <w:t>0 </w:t>
            </w:r>
          </w:p>
        </w:tc>
        <w:tc>
          <w:tcPr>
            <w:tcW w:w="1054" w:type="dxa"/>
          </w:tcPr>
          <w:p>
            <w:pPr>
              <w:pStyle w:val="TableParagraph"/>
              <w:spacing w:line="253" w:lineRule="exact"/>
              <w:ind w:left="348" w:right="129"/>
              <w:jc w:val="center"/>
              <w:rPr>
                <w:sz w:val="20"/>
              </w:rPr>
            </w:pPr>
            <w:r>
              <w:rPr>
                <w:w w:val="105"/>
                <w:sz w:val="20"/>
              </w:rPr>
              <w:t>1.5  </w:t>
            </w:r>
          </w:p>
        </w:tc>
        <w:tc>
          <w:tcPr>
            <w:tcW w:w="1056" w:type="dxa"/>
          </w:tcPr>
          <w:p>
            <w:pPr>
              <w:pStyle w:val="TableParagraph"/>
              <w:spacing w:line="253" w:lineRule="exact"/>
              <w:ind w:right="147"/>
              <w:jc w:val="right"/>
              <w:rPr>
                <w:sz w:val="20"/>
              </w:rPr>
            </w:pPr>
            <w:r>
              <w:rPr>
                <w:w w:val="105"/>
                <w:sz w:val="20"/>
              </w:rPr>
              <w:t>1.2  </w:t>
            </w:r>
          </w:p>
        </w:tc>
        <w:tc>
          <w:tcPr>
            <w:tcW w:w="1054" w:type="dxa"/>
          </w:tcPr>
          <w:p>
            <w:pPr>
              <w:pStyle w:val="TableParagraph"/>
              <w:spacing w:line="253" w:lineRule="exact"/>
              <w:ind w:left="348" w:right="233"/>
              <w:jc w:val="center"/>
              <w:rPr>
                <w:sz w:val="20"/>
              </w:rPr>
            </w:pPr>
            <w:r>
              <w:rPr>
                <w:w w:val="105"/>
                <w:sz w:val="20"/>
              </w:rPr>
              <w:t>36 </w:t>
            </w:r>
          </w:p>
        </w:tc>
        <w:tc>
          <w:tcPr>
            <w:tcW w:w="1056" w:type="dxa"/>
          </w:tcPr>
          <w:p>
            <w:pPr>
              <w:pStyle w:val="TableParagraph"/>
              <w:spacing w:line="253" w:lineRule="exact"/>
              <w:ind w:right="147"/>
              <w:jc w:val="right"/>
              <w:rPr>
                <w:sz w:val="20"/>
              </w:rPr>
            </w:pPr>
            <w:r>
              <w:rPr>
                <w:w w:val="105"/>
                <w:sz w:val="20"/>
              </w:rPr>
              <w:t>1.7  </w:t>
            </w:r>
          </w:p>
        </w:tc>
        <w:tc>
          <w:tcPr>
            <w:tcW w:w="1056" w:type="dxa"/>
          </w:tcPr>
          <w:p>
            <w:pPr>
              <w:pStyle w:val="TableParagraph"/>
              <w:spacing w:line="253" w:lineRule="exact"/>
              <w:ind w:left="368"/>
              <w:rPr>
                <w:sz w:val="20"/>
              </w:rPr>
            </w:pPr>
            <w:r>
              <w:rPr>
                <w:w w:val="105"/>
                <w:sz w:val="20"/>
              </w:rPr>
              <w:t>2.0  </w:t>
            </w:r>
          </w:p>
        </w:tc>
        <w:tc>
          <w:tcPr>
            <w:tcW w:w="1210" w:type="dxa"/>
          </w:tcPr>
          <w:p>
            <w:pPr>
              <w:pStyle w:val="TableParagraph"/>
              <w:spacing w:line="253" w:lineRule="exact"/>
              <w:ind w:left="161" w:right="49"/>
              <w:jc w:val="center"/>
              <w:rPr>
                <w:sz w:val="20"/>
              </w:rPr>
            </w:pPr>
            <w:r>
              <w:rPr>
                <w:w w:val="105"/>
                <w:sz w:val="20"/>
              </w:rPr>
              <w:t>72 </w:t>
            </w:r>
          </w:p>
        </w:tc>
        <w:tc>
          <w:tcPr>
            <w:tcW w:w="994" w:type="dxa"/>
          </w:tcPr>
          <w:p>
            <w:pPr>
              <w:pStyle w:val="TableParagraph"/>
              <w:spacing w:line="253" w:lineRule="exact"/>
              <w:ind w:right="66"/>
              <w:jc w:val="right"/>
              <w:rPr>
                <w:sz w:val="20"/>
              </w:rPr>
            </w:pPr>
            <w:r>
              <w:rPr>
                <w:w w:val="105"/>
                <w:sz w:val="20"/>
              </w:rPr>
              <w:t>44.0  </w:t>
            </w:r>
          </w:p>
        </w:tc>
        <w:tc>
          <w:tcPr>
            <w:tcW w:w="1078" w:type="dxa"/>
          </w:tcPr>
          <w:p>
            <w:pPr>
              <w:pStyle w:val="TableParagraph"/>
              <w:spacing w:line="253" w:lineRule="exact"/>
              <w:ind w:left="326"/>
              <w:rPr>
                <w:sz w:val="20"/>
              </w:rPr>
            </w:pPr>
            <w:r>
              <w:rPr>
                <w:w w:val="105"/>
                <w:sz w:val="20"/>
              </w:rPr>
              <w:t>29.0  </w:t>
            </w:r>
          </w:p>
        </w:tc>
      </w:tr>
      <w:tr>
        <w:trPr>
          <w:trHeight w:val="273" w:hRule="atLeast"/>
        </w:trPr>
        <w:tc>
          <w:tcPr>
            <w:tcW w:w="1054" w:type="dxa"/>
          </w:tcPr>
          <w:p>
            <w:pPr>
              <w:pStyle w:val="TableParagraph"/>
              <w:spacing w:line="253" w:lineRule="exact"/>
              <w:ind w:left="347" w:right="235"/>
              <w:jc w:val="center"/>
              <w:rPr>
                <w:sz w:val="20"/>
              </w:rPr>
            </w:pPr>
            <w:r>
              <w:rPr>
                <w:w w:val="105"/>
                <w:sz w:val="20"/>
              </w:rPr>
              <w:t>1 </w:t>
            </w:r>
          </w:p>
        </w:tc>
        <w:tc>
          <w:tcPr>
            <w:tcW w:w="1054" w:type="dxa"/>
          </w:tcPr>
          <w:p>
            <w:pPr>
              <w:pStyle w:val="TableParagraph"/>
              <w:spacing w:line="253" w:lineRule="exact"/>
              <w:ind w:left="348" w:right="129"/>
              <w:jc w:val="center"/>
              <w:rPr>
                <w:sz w:val="20"/>
              </w:rPr>
            </w:pPr>
            <w:r>
              <w:rPr>
                <w:w w:val="105"/>
                <w:sz w:val="20"/>
              </w:rPr>
              <w:t>1.3  </w:t>
            </w:r>
          </w:p>
        </w:tc>
        <w:tc>
          <w:tcPr>
            <w:tcW w:w="1056" w:type="dxa"/>
          </w:tcPr>
          <w:p>
            <w:pPr>
              <w:pStyle w:val="TableParagraph"/>
              <w:spacing w:line="253" w:lineRule="exact"/>
              <w:ind w:right="147"/>
              <w:jc w:val="right"/>
              <w:rPr>
                <w:sz w:val="20"/>
              </w:rPr>
            </w:pPr>
            <w:r>
              <w:rPr>
                <w:w w:val="105"/>
                <w:sz w:val="20"/>
              </w:rPr>
              <w:t>1.0  </w:t>
            </w:r>
          </w:p>
        </w:tc>
        <w:tc>
          <w:tcPr>
            <w:tcW w:w="1054" w:type="dxa"/>
          </w:tcPr>
          <w:p>
            <w:pPr>
              <w:pStyle w:val="TableParagraph"/>
              <w:spacing w:line="253" w:lineRule="exact"/>
              <w:ind w:left="348" w:right="233"/>
              <w:jc w:val="center"/>
              <w:rPr>
                <w:sz w:val="20"/>
              </w:rPr>
            </w:pPr>
            <w:r>
              <w:rPr>
                <w:w w:val="105"/>
                <w:sz w:val="20"/>
              </w:rPr>
              <w:t>37 </w:t>
            </w:r>
          </w:p>
        </w:tc>
        <w:tc>
          <w:tcPr>
            <w:tcW w:w="1056" w:type="dxa"/>
          </w:tcPr>
          <w:p>
            <w:pPr>
              <w:pStyle w:val="TableParagraph"/>
              <w:spacing w:line="253" w:lineRule="exact"/>
              <w:ind w:right="147"/>
              <w:jc w:val="right"/>
              <w:rPr>
                <w:sz w:val="20"/>
              </w:rPr>
            </w:pPr>
            <w:r>
              <w:rPr>
                <w:w w:val="105"/>
                <w:sz w:val="20"/>
              </w:rPr>
              <w:t>1.9  </w:t>
            </w:r>
          </w:p>
        </w:tc>
        <w:tc>
          <w:tcPr>
            <w:tcW w:w="1056" w:type="dxa"/>
          </w:tcPr>
          <w:p>
            <w:pPr>
              <w:pStyle w:val="TableParagraph"/>
              <w:spacing w:line="253" w:lineRule="exact"/>
              <w:ind w:left="368"/>
              <w:rPr>
                <w:sz w:val="20"/>
              </w:rPr>
            </w:pPr>
            <w:r>
              <w:rPr>
                <w:w w:val="105"/>
                <w:sz w:val="20"/>
              </w:rPr>
              <w:t>2.2  </w:t>
            </w:r>
          </w:p>
        </w:tc>
        <w:tc>
          <w:tcPr>
            <w:tcW w:w="1210" w:type="dxa"/>
          </w:tcPr>
          <w:p>
            <w:pPr>
              <w:pStyle w:val="TableParagraph"/>
              <w:spacing w:line="253" w:lineRule="exact"/>
              <w:ind w:left="161" w:right="49"/>
              <w:jc w:val="center"/>
              <w:rPr>
                <w:sz w:val="20"/>
              </w:rPr>
            </w:pPr>
            <w:r>
              <w:rPr>
                <w:w w:val="105"/>
                <w:sz w:val="20"/>
              </w:rPr>
              <w:t>73 </w:t>
            </w:r>
          </w:p>
        </w:tc>
        <w:tc>
          <w:tcPr>
            <w:tcW w:w="994" w:type="dxa"/>
          </w:tcPr>
          <w:p>
            <w:pPr>
              <w:pStyle w:val="TableParagraph"/>
              <w:spacing w:line="253" w:lineRule="exact"/>
              <w:ind w:right="66"/>
              <w:jc w:val="right"/>
              <w:rPr>
                <w:sz w:val="20"/>
              </w:rPr>
            </w:pPr>
            <w:r>
              <w:rPr>
                <w:w w:val="105"/>
                <w:sz w:val="20"/>
              </w:rPr>
              <w:t>46.0  </w:t>
            </w:r>
          </w:p>
        </w:tc>
        <w:tc>
          <w:tcPr>
            <w:tcW w:w="1078" w:type="dxa"/>
          </w:tcPr>
          <w:p>
            <w:pPr>
              <w:pStyle w:val="TableParagraph"/>
              <w:spacing w:line="253" w:lineRule="exact"/>
              <w:ind w:left="326"/>
              <w:rPr>
                <w:sz w:val="20"/>
              </w:rPr>
            </w:pPr>
            <w:r>
              <w:rPr>
                <w:w w:val="105"/>
                <w:sz w:val="20"/>
              </w:rPr>
              <w:t>31.0  </w:t>
            </w:r>
          </w:p>
        </w:tc>
      </w:tr>
      <w:tr>
        <w:trPr>
          <w:trHeight w:val="275" w:hRule="atLeast"/>
        </w:trPr>
        <w:tc>
          <w:tcPr>
            <w:tcW w:w="1054" w:type="dxa"/>
          </w:tcPr>
          <w:p>
            <w:pPr>
              <w:pStyle w:val="TableParagraph"/>
              <w:spacing w:line="256" w:lineRule="exact"/>
              <w:ind w:left="347" w:right="235"/>
              <w:jc w:val="center"/>
              <w:rPr>
                <w:sz w:val="20"/>
              </w:rPr>
            </w:pPr>
            <w:r>
              <w:rPr>
                <w:w w:val="105"/>
                <w:sz w:val="20"/>
              </w:rPr>
              <w:t>2 </w:t>
            </w:r>
          </w:p>
        </w:tc>
        <w:tc>
          <w:tcPr>
            <w:tcW w:w="1054" w:type="dxa"/>
          </w:tcPr>
          <w:p>
            <w:pPr>
              <w:pStyle w:val="TableParagraph"/>
              <w:spacing w:line="256" w:lineRule="exact"/>
              <w:ind w:left="348" w:right="129"/>
              <w:jc w:val="center"/>
              <w:rPr>
                <w:sz w:val="20"/>
              </w:rPr>
            </w:pPr>
            <w:r>
              <w:rPr>
                <w:w w:val="105"/>
                <w:sz w:val="20"/>
              </w:rPr>
              <w:t>1.1  </w:t>
            </w:r>
          </w:p>
        </w:tc>
        <w:tc>
          <w:tcPr>
            <w:tcW w:w="1056" w:type="dxa"/>
          </w:tcPr>
          <w:p>
            <w:pPr>
              <w:pStyle w:val="TableParagraph"/>
              <w:spacing w:line="256" w:lineRule="exact"/>
              <w:ind w:right="147"/>
              <w:jc w:val="right"/>
              <w:rPr>
                <w:sz w:val="20"/>
              </w:rPr>
            </w:pPr>
            <w:r>
              <w:rPr>
                <w:w w:val="105"/>
                <w:sz w:val="20"/>
              </w:rPr>
              <w:t>0.8  </w:t>
            </w:r>
          </w:p>
        </w:tc>
        <w:tc>
          <w:tcPr>
            <w:tcW w:w="1054" w:type="dxa"/>
          </w:tcPr>
          <w:p>
            <w:pPr>
              <w:pStyle w:val="TableParagraph"/>
              <w:spacing w:line="256" w:lineRule="exact"/>
              <w:ind w:left="348" w:right="233"/>
              <w:jc w:val="center"/>
              <w:rPr>
                <w:sz w:val="20"/>
              </w:rPr>
            </w:pPr>
            <w:r>
              <w:rPr>
                <w:w w:val="105"/>
                <w:sz w:val="20"/>
              </w:rPr>
              <w:t>38 </w:t>
            </w:r>
          </w:p>
        </w:tc>
        <w:tc>
          <w:tcPr>
            <w:tcW w:w="1056" w:type="dxa"/>
          </w:tcPr>
          <w:p>
            <w:pPr>
              <w:pStyle w:val="TableParagraph"/>
              <w:spacing w:line="256" w:lineRule="exact"/>
              <w:ind w:right="147"/>
              <w:jc w:val="right"/>
              <w:rPr>
                <w:sz w:val="20"/>
              </w:rPr>
            </w:pPr>
            <w:r>
              <w:rPr>
                <w:w w:val="105"/>
                <w:sz w:val="20"/>
              </w:rPr>
              <w:t>2.2  </w:t>
            </w:r>
          </w:p>
        </w:tc>
        <w:tc>
          <w:tcPr>
            <w:tcW w:w="1056" w:type="dxa"/>
          </w:tcPr>
          <w:p>
            <w:pPr>
              <w:pStyle w:val="TableParagraph"/>
              <w:spacing w:line="256" w:lineRule="exact"/>
              <w:ind w:left="368"/>
              <w:rPr>
                <w:sz w:val="20"/>
              </w:rPr>
            </w:pPr>
            <w:r>
              <w:rPr>
                <w:w w:val="105"/>
                <w:sz w:val="20"/>
              </w:rPr>
              <w:t>2.5  </w:t>
            </w:r>
          </w:p>
        </w:tc>
        <w:tc>
          <w:tcPr>
            <w:tcW w:w="1210" w:type="dxa"/>
          </w:tcPr>
          <w:p>
            <w:pPr>
              <w:pStyle w:val="TableParagraph"/>
              <w:spacing w:line="256" w:lineRule="exact"/>
              <w:ind w:left="161" w:right="49"/>
              <w:jc w:val="center"/>
              <w:rPr>
                <w:sz w:val="20"/>
              </w:rPr>
            </w:pPr>
            <w:r>
              <w:rPr>
                <w:w w:val="105"/>
                <w:sz w:val="20"/>
              </w:rPr>
              <w:t>74 </w:t>
            </w:r>
          </w:p>
        </w:tc>
        <w:tc>
          <w:tcPr>
            <w:tcW w:w="994" w:type="dxa"/>
          </w:tcPr>
          <w:p>
            <w:pPr>
              <w:pStyle w:val="TableParagraph"/>
              <w:spacing w:line="256" w:lineRule="exact"/>
              <w:ind w:right="66"/>
              <w:jc w:val="right"/>
              <w:rPr>
                <w:sz w:val="20"/>
              </w:rPr>
            </w:pPr>
            <w:r>
              <w:rPr>
                <w:w w:val="105"/>
                <w:sz w:val="20"/>
              </w:rPr>
              <w:t>48.0  </w:t>
            </w:r>
          </w:p>
        </w:tc>
        <w:tc>
          <w:tcPr>
            <w:tcW w:w="1078" w:type="dxa"/>
          </w:tcPr>
          <w:p>
            <w:pPr>
              <w:pStyle w:val="TableParagraph"/>
              <w:spacing w:line="256" w:lineRule="exact"/>
              <w:ind w:left="326"/>
              <w:rPr>
                <w:sz w:val="20"/>
              </w:rPr>
            </w:pPr>
            <w:r>
              <w:rPr>
                <w:w w:val="105"/>
                <w:sz w:val="20"/>
              </w:rPr>
              <w:t>33.0  </w:t>
            </w:r>
          </w:p>
        </w:tc>
      </w:tr>
      <w:tr>
        <w:trPr>
          <w:trHeight w:val="273" w:hRule="atLeast"/>
        </w:trPr>
        <w:tc>
          <w:tcPr>
            <w:tcW w:w="1054" w:type="dxa"/>
          </w:tcPr>
          <w:p>
            <w:pPr>
              <w:pStyle w:val="TableParagraph"/>
              <w:spacing w:line="253" w:lineRule="exact"/>
              <w:ind w:left="347" w:right="235"/>
              <w:jc w:val="center"/>
              <w:rPr>
                <w:sz w:val="20"/>
              </w:rPr>
            </w:pPr>
            <w:r>
              <w:rPr>
                <w:w w:val="105"/>
                <w:sz w:val="20"/>
              </w:rPr>
              <w:t>3 </w:t>
            </w:r>
          </w:p>
        </w:tc>
        <w:tc>
          <w:tcPr>
            <w:tcW w:w="1054" w:type="dxa"/>
          </w:tcPr>
          <w:p>
            <w:pPr>
              <w:pStyle w:val="TableParagraph"/>
              <w:spacing w:line="253" w:lineRule="exact"/>
              <w:ind w:left="348" w:right="129"/>
              <w:jc w:val="center"/>
              <w:rPr>
                <w:sz w:val="20"/>
              </w:rPr>
            </w:pPr>
            <w:r>
              <w:rPr>
                <w:w w:val="105"/>
                <w:sz w:val="20"/>
              </w:rPr>
              <w:t>1.0  </w:t>
            </w:r>
          </w:p>
        </w:tc>
        <w:tc>
          <w:tcPr>
            <w:tcW w:w="1056" w:type="dxa"/>
          </w:tcPr>
          <w:p>
            <w:pPr>
              <w:pStyle w:val="TableParagraph"/>
              <w:spacing w:line="253" w:lineRule="exact"/>
              <w:ind w:right="147"/>
              <w:jc w:val="right"/>
              <w:rPr>
                <w:sz w:val="20"/>
              </w:rPr>
            </w:pPr>
            <w:r>
              <w:rPr>
                <w:w w:val="105"/>
                <w:sz w:val="20"/>
              </w:rPr>
              <w:t>0.7  </w:t>
            </w:r>
          </w:p>
        </w:tc>
        <w:tc>
          <w:tcPr>
            <w:tcW w:w="1054" w:type="dxa"/>
          </w:tcPr>
          <w:p>
            <w:pPr>
              <w:pStyle w:val="TableParagraph"/>
              <w:spacing w:line="253" w:lineRule="exact"/>
              <w:ind w:left="348" w:right="233"/>
              <w:jc w:val="center"/>
              <w:rPr>
                <w:sz w:val="20"/>
              </w:rPr>
            </w:pPr>
            <w:r>
              <w:rPr>
                <w:w w:val="105"/>
                <w:sz w:val="20"/>
              </w:rPr>
              <w:t>39 </w:t>
            </w:r>
          </w:p>
        </w:tc>
        <w:tc>
          <w:tcPr>
            <w:tcW w:w="1056" w:type="dxa"/>
          </w:tcPr>
          <w:p>
            <w:pPr>
              <w:pStyle w:val="TableParagraph"/>
              <w:spacing w:line="253" w:lineRule="exact"/>
              <w:ind w:right="147"/>
              <w:jc w:val="right"/>
              <w:rPr>
                <w:sz w:val="20"/>
              </w:rPr>
            </w:pPr>
            <w:r>
              <w:rPr>
                <w:w w:val="105"/>
                <w:sz w:val="20"/>
              </w:rPr>
              <w:t>2.5  </w:t>
            </w:r>
          </w:p>
        </w:tc>
        <w:tc>
          <w:tcPr>
            <w:tcW w:w="1056" w:type="dxa"/>
          </w:tcPr>
          <w:p>
            <w:pPr>
              <w:pStyle w:val="TableParagraph"/>
              <w:spacing w:line="253" w:lineRule="exact"/>
              <w:ind w:left="368"/>
              <w:rPr>
                <w:sz w:val="20"/>
              </w:rPr>
            </w:pPr>
            <w:r>
              <w:rPr>
                <w:w w:val="105"/>
                <w:sz w:val="20"/>
              </w:rPr>
              <w:t>2.8  </w:t>
            </w:r>
          </w:p>
        </w:tc>
        <w:tc>
          <w:tcPr>
            <w:tcW w:w="1210" w:type="dxa"/>
          </w:tcPr>
          <w:p>
            <w:pPr>
              <w:pStyle w:val="TableParagraph"/>
              <w:spacing w:line="253" w:lineRule="exact"/>
              <w:ind w:left="161" w:right="49"/>
              <w:jc w:val="center"/>
              <w:rPr>
                <w:sz w:val="20"/>
              </w:rPr>
            </w:pPr>
            <w:r>
              <w:rPr>
                <w:w w:val="105"/>
                <w:sz w:val="20"/>
              </w:rPr>
              <w:t>75 </w:t>
            </w:r>
          </w:p>
        </w:tc>
        <w:tc>
          <w:tcPr>
            <w:tcW w:w="994" w:type="dxa"/>
          </w:tcPr>
          <w:p>
            <w:pPr>
              <w:pStyle w:val="TableParagraph"/>
              <w:spacing w:line="253" w:lineRule="exact"/>
              <w:ind w:right="66"/>
              <w:jc w:val="right"/>
              <w:rPr>
                <w:sz w:val="20"/>
              </w:rPr>
            </w:pPr>
            <w:r>
              <w:rPr>
                <w:w w:val="105"/>
                <w:sz w:val="20"/>
              </w:rPr>
              <w:t>50.0  </w:t>
            </w:r>
          </w:p>
        </w:tc>
        <w:tc>
          <w:tcPr>
            <w:tcW w:w="1078" w:type="dxa"/>
          </w:tcPr>
          <w:p>
            <w:pPr>
              <w:pStyle w:val="TableParagraph"/>
              <w:spacing w:line="253" w:lineRule="exact"/>
              <w:ind w:left="326"/>
              <w:rPr>
                <w:sz w:val="20"/>
              </w:rPr>
            </w:pPr>
            <w:r>
              <w:rPr>
                <w:w w:val="105"/>
                <w:sz w:val="20"/>
              </w:rPr>
              <w:t>35.0  </w:t>
            </w:r>
          </w:p>
        </w:tc>
      </w:tr>
      <w:tr>
        <w:trPr>
          <w:trHeight w:val="273" w:hRule="atLeast"/>
        </w:trPr>
        <w:tc>
          <w:tcPr>
            <w:tcW w:w="1054" w:type="dxa"/>
          </w:tcPr>
          <w:p>
            <w:pPr>
              <w:pStyle w:val="TableParagraph"/>
              <w:spacing w:line="253" w:lineRule="exact"/>
              <w:ind w:left="347" w:right="235"/>
              <w:jc w:val="center"/>
              <w:rPr>
                <w:sz w:val="20"/>
              </w:rPr>
            </w:pPr>
            <w:r>
              <w:rPr>
                <w:w w:val="105"/>
                <w:sz w:val="20"/>
              </w:rPr>
              <w:t>4 </w:t>
            </w:r>
          </w:p>
        </w:tc>
        <w:tc>
          <w:tcPr>
            <w:tcW w:w="1054" w:type="dxa"/>
          </w:tcPr>
          <w:p>
            <w:pPr>
              <w:pStyle w:val="TableParagraph"/>
              <w:spacing w:line="253" w:lineRule="exact"/>
              <w:ind w:left="348" w:right="129"/>
              <w:jc w:val="center"/>
              <w:rPr>
                <w:sz w:val="20"/>
              </w:rPr>
            </w:pPr>
            <w:r>
              <w:rPr>
                <w:w w:val="105"/>
                <w:sz w:val="20"/>
              </w:rPr>
              <w:t>0.9  </w:t>
            </w:r>
          </w:p>
        </w:tc>
        <w:tc>
          <w:tcPr>
            <w:tcW w:w="1056" w:type="dxa"/>
          </w:tcPr>
          <w:p>
            <w:pPr>
              <w:pStyle w:val="TableParagraph"/>
              <w:spacing w:line="253" w:lineRule="exact"/>
              <w:ind w:right="147"/>
              <w:jc w:val="right"/>
              <w:rPr>
                <w:sz w:val="20"/>
              </w:rPr>
            </w:pPr>
            <w:r>
              <w:rPr>
                <w:w w:val="105"/>
                <w:sz w:val="20"/>
              </w:rPr>
              <w:t>0.6  </w:t>
            </w:r>
          </w:p>
        </w:tc>
        <w:tc>
          <w:tcPr>
            <w:tcW w:w="1054" w:type="dxa"/>
          </w:tcPr>
          <w:p>
            <w:pPr>
              <w:pStyle w:val="TableParagraph"/>
              <w:spacing w:line="253" w:lineRule="exact"/>
              <w:ind w:left="348" w:right="233"/>
              <w:jc w:val="center"/>
              <w:rPr>
                <w:sz w:val="20"/>
              </w:rPr>
            </w:pPr>
            <w:r>
              <w:rPr>
                <w:w w:val="105"/>
                <w:sz w:val="20"/>
              </w:rPr>
              <w:t>40 </w:t>
            </w:r>
          </w:p>
        </w:tc>
        <w:tc>
          <w:tcPr>
            <w:tcW w:w="1056" w:type="dxa"/>
          </w:tcPr>
          <w:p>
            <w:pPr>
              <w:pStyle w:val="TableParagraph"/>
              <w:spacing w:line="253" w:lineRule="exact"/>
              <w:ind w:right="147"/>
              <w:jc w:val="right"/>
              <w:rPr>
                <w:sz w:val="20"/>
              </w:rPr>
            </w:pPr>
            <w:r>
              <w:rPr>
                <w:w w:val="105"/>
                <w:sz w:val="20"/>
              </w:rPr>
              <w:t>2.8  </w:t>
            </w:r>
          </w:p>
        </w:tc>
        <w:tc>
          <w:tcPr>
            <w:tcW w:w="1056" w:type="dxa"/>
          </w:tcPr>
          <w:p>
            <w:pPr>
              <w:pStyle w:val="TableParagraph"/>
              <w:spacing w:line="253" w:lineRule="exact"/>
              <w:ind w:left="368"/>
              <w:rPr>
                <w:sz w:val="20"/>
              </w:rPr>
            </w:pPr>
            <w:r>
              <w:rPr>
                <w:w w:val="105"/>
                <w:sz w:val="20"/>
              </w:rPr>
              <w:t>3.1  </w:t>
            </w:r>
          </w:p>
        </w:tc>
        <w:tc>
          <w:tcPr>
            <w:tcW w:w="1210" w:type="dxa"/>
          </w:tcPr>
          <w:p>
            <w:pPr>
              <w:pStyle w:val="TableParagraph"/>
              <w:spacing w:line="253" w:lineRule="exact"/>
              <w:ind w:left="161" w:right="49"/>
              <w:jc w:val="center"/>
              <w:rPr>
                <w:sz w:val="20"/>
              </w:rPr>
            </w:pPr>
            <w:r>
              <w:rPr>
                <w:w w:val="105"/>
                <w:sz w:val="20"/>
              </w:rPr>
              <w:t>76 </w:t>
            </w:r>
          </w:p>
        </w:tc>
        <w:tc>
          <w:tcPr>
            <w:tcW w:w="994" w:type="dxa"/>
          </w:tcPr>
          <w:p>
            <w:pPr>
              <w:pStyle w:val="TableParagraph"/>
              <w:spacing w:line="253" w:lineRule="exact"/>
              <w:ind w:right="66"/>
              <w:jc w:val="right"/>
              <w:rPr>
                <w:sz w:val="20"/>
              </w:rPr>
            </w:pPr>
            <w:r>
              <w:rPr>
                <w:w w:val="105"/>
                <w:sz w:val="20"/>
              </w:rPr>
              <w:t>52.0  </w:t>
            </w:r>
          </w:p>
        </w:tc>
        <w:tc>
          <w:tcPr>
            <w:tcW w:w="1078" w:type="dxa"/>
          </w:tcPr>
          <w:p>
            <w:pPr>
              <w:pStyle w:val="TableParagraph"/>
              <w:spacing w:line="253" w:lineRule="exact"/>
              <w:ind w:left="326"/>
              <w:rPr>
                <w:sz w:val="20"/>
              </w:rPr>
            </w:pPr>
            <w:r>
              <w:rPr>
                <w:w w:val="105"/>
                <w:sz w:val="20"/>
              </w:rPr>
              <w:t>37.0  </w:t>
            </w:r>
          </w:p>
        </w:tc>
      </w:tr>
      <w:tr>
        <w:trPr>
          <w:trHeight w:val="275" w:hRule="atLeast"/>
        </w:trPr>
        <w:tc>
          <w:tcPr>
            <w:tcW w:w="1054" w:type="dxa"/>
          </w:tcPr>
          <w:p>
            <w:pPr>
              <w:pStyle w:val="TableParagraph"/>
              <w:spacing w:line="256" w:lineRule="exact"/>
              <w:ind w:left="347" w:right="235"/>
              <w:jc w:val="center"/>
              <w:rPr>
                <w:sz w:val="20"/>
              </w:rPr>
            </w:pPr>
            <w:r>
              <w:rPr>
                <w:w w:val="105"/>
                <w:sz w:val="20"/>
              </w:rPr>
              <w:t>5 </w:t>
            </w:r>
          </w:p>
        </w:tc>
        <w:tc>
          <w:tcPr>
            <w:tcW w:w="1054" w:type="dxa"/>
          </w:tcPr>
          <w:p>
            <w:pPr>
              <w:pStyle w:val="TableParagraph"/>
              <w:spacing w:line="256" w:lineRule="exact"/>
              <w:ind w:left="348" w:right="129"/>
              <w:jc w:val="center"/>
              <w:rPr>
                <w:sz w:val="20"/>
              </w:rPr>
            </w:pPr>
            <w:r>
              <w:rPr>
                <w:w w:val="105"/>
                <w:sz w:val="20"/>
              </w:rPr>
              <w:t>0.7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41 </w:t>
            </w:r>
          </w:p>
        </w:tc>
        <w:tc>
          <w:tcPr>
            <w:tcW w:w="1056" w:type="dxa"/>
          </w:tcPr>
          <w:p>
            <w:pPr>
              <w:pStyle w:val="TableParagraph"/>
              <w:spacing w:line="256" w:lineRule="exact"/>
              <w:ind w:right="147"/>
              <w:jc w:val="right"/>
              <w:rPr>
                <w:sz w:val="20"/>
              </w:rPr>
            </w:pPr>
            <w:r>
              <w:rPr>
                <w:w w:val="105"/>
                <w:sz w:val="20"/>
              </w:rPr>
              <w:t>3.1  </w:t>
            </w:r>
          </w:p>
        </w:tc>
        <w:tc>
          <w:tcPr>
            <w:tcW w:w="1056" w:type="dxa"/>
          </w:tcPr>
          <w:p>
            <w:pPr>
              <w:pStyle w:val="TableParagraph"/>
              <w:spacing w:line="256" w:lineRule="exact"/>
              <w:ind w:left="368"/>
              <w:rPr>
                <w:sz w:val="20"/>
              </w:rPr>
            </w:pPr>
            <w:r>
              <w:rPr>
                <w:w w:val="105"/>
                <w:sz w:val="20"/>
              </w:rPr>
              <w:t>3.4  </w:t>
            </w:r>
          </w:p>
        </w:tc>
        <w:tc>
          <w:tcPr>
            <w:tcW w:w="1210" w:type="dxa"/>
          </w:tcPr>
          <w:p>
            <w:pPr>
              <w:pStyle w:val="TableParagraph"/>
              <w:spacing w:line="256" w:lineRule="exact"/>
              <w:ind w:left="161" w:right="49"/>
              <w:jc w:val="center"/>
              <w:rPr>
                <w:sz w:val="20"/>
              </w:rPr>
            </w:pPr>
            <w:r>
              <w:rPr>
                <w:w w:val="105"/>
                <w:sz w:val="20"/>
              </w:rPr>
              <w:t>77 </w:t>
            </w:r>
          </w:p>
        </w:tc>
        <w:tc>
          <w:tcPr>
            <w:tcW w:w="994" w:type="dxa"/>
          </w:tcPr>
          <w:p>
            <w:pPr>
              <w:pStyle w:val="TableParagraph"/>
              <w:spacing w:line="256" w:lineRule="exact"/>
              <w:ind w:right="66"/>
              <w:jc w:val="right"/>
              <w:rPr>
                <w:sz w:val="20"/>
              </w:rPr>
            </w:pPr>
            <w:r>
              <w:rPr>
                <w:w w:val="105"/>
                <w:sz w:val="20"/>
              </w:rPr>
              <w:t>55.0  </w:t>
            </w:r>
          </w:p>
        </w:tc>
        <w:tc>
          <w:tcPr>
            <w:tcW w:w="1078" w:type="dxa"/>
          </w:tcPr>
          <w:p>
            <w:pPr>
              <w:pStyle w:val="TableParagraph"/>
              <w:spacing w:line="256" w:lineRule="exact"/>
              <w:ind w:left="326"/>
              <w:rPr>
                <w:sz w:val="20"/>
              </w:rPr>
            </w:pPr>
            <w:r>
              <w:rPr>
                <w:w w:val="105"/>
                <w:sz w:val="20"/>
              </w:rPr>
              <w:t>39.0  </w:t>
            </w:r>
          </w:p>
        </w:tc>
      </w:tr>
      <w:tr>
        <w:trPr>
          <w:trHeight w:val="273" w:hRule="atLeast"/>
        </w:trPr>
        <w:tc>
          <w:tcPr>
            <w:tcW w:w="1054" w:type="dxa"/>
          </w:tcPr>
          <w:p>
            <w:pPr>
              <w:pStyle w:val="TableParagraph"/>
              <w:spacing w:line="253" w:lineRule="exact"/>
              <w:ind w:left="347" w:right="235"/>
              <w:jc w:val="center"/>
              <w:rPr>
                <w:sz w:val="20"/>
              </w:rPr>
            </w:pPr>
            <w:r>
              <w:rPr>
                <w:w w:val="105"/>
                <w:sz w:val="20"/>
              </w:rPr>
              <w:t>6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42 </w:t>
            </w:r>
          </w:p>
        </w:tc>
        <w:tc>
          <w:tcPr>
            <w:tcW w:w="1056" w:type="dxa"/>
          </w:tcPr>
          <w:p>
            <w:pPr>
              <w:pStyle w:val="TableParagraph"/>
              <w:spacing w:line="253" w:lineRule="exact"/>
              <w:ind w:right="147"/>
              <w:jc w:val="right"/>
              <w:rPr>
                <w:sz w:val="20"/>
              </w:rPr>
            </w:pPr>
            <w:r>
              <w:rPr>
                <w:w w:val="105"/>
                <w:sz w:val="20"/>
              </w:rPr>
              <w:t>3.5  </w:t>
            </w:r>
          </w:p>
        </w:tc>
        <w:tc>
          <w:tcPr>
            <w:tcW w:w="1056" w:type="dxa"/>
          </w:tcPr>
          <w:p>
            <w:pPr>
              <w:pStyle w:val="TableParagraph"/>
              <w:spacing w:line="253" w:lineRule="exact"/>
              <w:ind w:left="368"/>
              <w:rPr>
                <w:sz w:val="20"/>
              </w:rPr>
            </w:pPr>
            <w:r>
              <w:rPr>
                <w:w w:val="105"/>
                <w:sz w:val="20"/>
              </w:rPr>
              <w:t>3.8  </w:t>
            </w:r>
          </w:p>
        </w:tc>
        <w:tc>
          <w:tcPr>
            <w:tcW w:w="1210" w:type="dxa"/>
          </w:tcPr>
          <w:p>
            <w:pPr>
              <w:pStyle w:val="TableParagraph"/>
              <w:spacing w:line="253" w:lineRule="exact"/>
              <w:ind w:left="161" w:right="49"/>
              <w:jc w:val="center"/>
              <w:rPr>
                <w:sz w:val="20"/>
              </w:rPr>
            </w:pPr>
            <w:r>
              <w:rPr>
                <w:w w:val="105"/>
                <w:sz w:val="20"/>
              </w:rPr>
              <w:t>78 </w:t>
            </w:r>
          </w:p>
        </w:tc>
        <w:tc>
          <w:tcPr>
            <w:tcW w:w="994" w:type="dxa"/>
          </w:tcPr>
          <w:p>
            <w:pPr>
              <w:pStyle w:val="TableParagraph"/>
              <w:spacing w:line="253" w:lineRule="exact"/>
              <w:ind w:right="66"/>
              <w:jc w:val="right"/>
              <w:rPr>
                <w:sz w:val="20"/>
              </w:rPr>
            </w:pPr>
            <w:r>
              <w:rPr>
                <w:w w:val="105"/>
                <w:sz w:val="20"/>
              </w:rPr>
              <w:t>58.0  </w:t>
            </w:r>
          </w:p>
        </w:tc>
        <w:tc>
          <w:tcPr>
            <w:tcW w:w="1078" w:type="dxa"/>
          </w:tcPr>
          <w:p>
            <w:pPr>
              <w:pStyle w:val="TableParagraph"/>
              <w:spacing w:line="253" w:lineRule="exact"/>
              <w:ind w:left="326"/>
              <w:rPr>
                <w:sz w:val="20"/>
              </w:rPr>
            </w:pPr>
            <w:r>
              <w:rPr>
                <w:w w:val="105"/>
                <w:sz w:val="20"/>
              </w:rPr>
              <w:t>42.0  </w:t>
            </w:r>
          </w:p>
        </w:tc>
      </w:tr>
      <w:tr>
        <w:trPr>
          <w:trHeight w:val="273" w:hRule="atLeast"/>
        </w:trPr>
        <w:tc>
          <w:tcPr>
            <w:tcW w:w="1054" w:type="dxa"/>
          </w:tcPr>
          <w:p>
            <w:pPr>
              <w:pStyle w:val="TableParagraph"/>
              <w:spacing w:line="253" w:lineRule="exact"/>
              <w:ind w:left="347" w:right="235"/>
              <w:jc w:val="center"/>
              <w:rPr>
                <w:sz w:val="20"/>
              </w:rPr>
            </w:pPr>
            <w:r>
              <w:rPr>
                <w:w w:val="105"/>
                <w:sz w:val="20"/>
              </w:rPr>
              <w:t>7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43 </w:t>
            </w:r>
          </w:p>
        </w:tc>
        <w:tc>
          <w:tcPr>
            <w:tcW w:w="1056" w:type="dxa"/>
          </w:tcPr>
          <w:p>
            <w:pPr>
              <w:pStyle w:val="TableParagraph"/>
              <w:spacing w:line="253" w:lineRule="exact"/>
              <w:ind w:right="147"/>
              <w:jc w:val="right"/>
              <w:rPr>
                <w:sz w:val="20"/>
              </w:rPr>
            </w:pPr>
            <w:r>
              <w:rPr>
                <w:w w:val="105"/>
                <w:sz w:val="20"/>
              </w:rPr>
              <w:t>4.0  </w:t>
            </w:r>
          </w:p>
        </w:tc>
        <w:tc>
          <w:tcPr>
            <w:tcW w:w="1056" w:type="dxa"/>
          </w:tcPr>
          <w:p>
            <w:pPr>
              <w:pStyle w:val="TableParagraph"/>
              <w:spacing w:line="253" w:lineRule="exact"/>
              <w:ind w:left="368"/>
              <w:rPr>
                <w:sz w:val="20"/>
              </w:rPr>
            </w:pPr>
            <w:r>
              <w:rPr>
                <w:w w:val="105"/>
                <w:sz w:val="20"/>
              </w:rPr>
              <w:t>4.2  </w:t>
            </w:r>
          </w:p>
        </w:tc>
        <w:tc>
          <w:tcPr>
            <w:tcW w:w="1210" w:type="dxa"/>
          </w:tcPr>
          <w:p>
            <w:pPr>
              <w:pStyle w:val="TableParagraph"/>
              <w:spacing w:line="253" w:lineRule="exact"/>
              <w:ind w:left="161" w:right="49"/>
              <w:jc w:val="center"/>
              <w:rPr>
                <w:sz w:val="20"/>
              </w:rPr>
            </w:pPr>
            <w:r>
              <w:rPr>
                <w:w w:val="105"/>
                <w:sz w:val="20"/>
              </w:rPr>
              <w:t>79 </w:t>
            </w:r>
          </w:p>
        </w:tc>
        <w:tc>
          <w:tcPr>
            <w:tcW w:w="994" w:type="dxa"/>
          </w:tcPr>
          <w:p>
            <w:pPr>
              <w:pStyle w:val="TableParagraph"/>
              <w:spacing w:line="253" w:lineRule="exact"/>
              <w:ind w:right="66"/>
              <w:jc w:val="right"/>
              <w:rPr>
                <w:sz w:val="20"/>
              </w:rPr>
            </w:pPr>
            <w:r>
              <w:rPr>
                <w:w w:val="105"/>
                <w:sz w:val="20"/>
              </w:rPr>
              <w:t>61.0  </w:t>
            </w:r>
          </w:p>
        </w:tc>
        <w:tc>
          <w:tcPr>
            <w:tcW w:w="1078" w:type="dxa"/>
          </w:tcPr>
          <w:p>
            <w:pPr>
              <w:pStyle w:val="TableParagraph"/>
              <w:spacing w:line="253" w:lineRule="exact"/>
              <w:ind w:left="326"/>
              <w:rPr>
                <w:sz w:val="20"/>
              </w:rPr>
            </w:pPr>
            <w:r>
              <w:rPr>
                <w:w w:val="105"/>
                <w:sz w:val="20"/>
              </w:rPr>
              <w:t>45.0  </w:t>
            </w:r>
          </w:p>
        </w:tc>
      </w:tr>
      <w:tr>
        <w:trPr>
          <w:trHeight w:val="275" w:hRule="atLeast"/>
        </w:trPr>
        <w:tc>
          <w:tcPr>
            <w:tcW w:w="1054" w:type="dxa"/>
          </w:tcPr>
          <w:p>
            <w:pPr>
              <w:pStyle w:val="TableParagraph"/>
              <w:spacing w:line="256" w:lineRule="exact"/>
              <w:ind w:left="347" w:right="235"/>
              <w:jc w:val="center"/>
              <w:rPr>
                <w:sz w:val="20"/>
              </w:rPr>
            </w:pPr>
            <w:r>
              <w:rPr>
                <w:w w:val="105"/>
                <w:sz w:val="20"/>
              </w:rPr>
              <w:t>8 </w:t>
            </w:r>
          </w:p>
        </w:tc>
        <w:tc>
          <w:tcPr>
            <w:tcW w:w="1054" w:type="dxa"/>
          </w:tcPr>
          <w:p>
            <w:pPr>
              <w:pStyle w:val="TableParagraph"/>
              <w:spacing w:line="256" w:lineRule="exact"/>
              <w:ind w:left="348" w:right="129"/>
              <w:jc w:val="center"/>
              <w:rPr>
                <w:sz w:val="20"/>
              </w:rPr>
            </w:pPr>
            <w:r>
              <w:rPr>
                <w:w w:val="105"/>
                <w:sz w:val="20"/>
              </w:rPr>
              <w:t>0.5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44 </w:t>
            </w:r>
          </w:p>
        </w:tc>
        <w:tc>
          <w:tcPr>
            <w:tcW w:w="1056" w:type="dxa"/>
          </w:tcPr>
          <w:p>
            <w:pPr>
              <w:pStyle w:val="TableParagraph"/>
              <w:spacing w:line="256" w:lineRule="exact"/>
              <w:ind w:right="147"/>
              <w:jc w:val="right"/>
              <w:rPr>
                <w:sz w:val="20"/>
              </w:rPr>
            </w:pPr>
            <w:r>
              <w:rPr>
                <w:w w:val="105"/>
                <w:sz w:val="20"/>
              </w:rPr>
              <w:t>4.5  </w:t>
            </w:r>
          </w:p>
        </w:tc>
        <w:tc>
          <w:tcPr>
            <w:tcW w:w="1056" w:type="dxa"/>
          </w:tcPr>
          <w:p>
            <w:pPr>
              <w:pStyle w:val="TableParagraph"/>
              <w:spacing w:line="256" w:lineRule="exact"/>
              <w:ind w:left="368"/>
              <w:rPr>
                <w:sz w:val="20"/>
              </w:rPr>
            </w:pPr>
            <w:r>
              <w:rPr>
                <w:w w:val="105"/>
                <w:sz w:val="20"/>
              </w:rPr>
              <w:t>4.6  </w:t>
            </w:r>
          </w:p>
        </w:tc>
        <w:tc>
          <w:tcPr>
            <w:tcW w:w="1210" w:type="dxa"/>
          </w:tcPr>
          <w:p>
            <w:pPr>
              <w:pStyle w:val="TableParagraph"/>
              <w:spacing w:line="256" w:lineRule="exact"/>
              <w:ind w:left="161" w:right="49"/>
              <w:jc w:val="center"/>
              <w:rPr>
                <w:sz w:val="20"/>
              </w:rPr>
            </w:pPr>
            <w:r>
              <w:rPr>
                <w:w w:val="105"/>
                <w:sz w:val="20"/>
              </w:rPr>
              <w:t>80 </w:t>
            </w:r>
          </w:p>
        </w:tc>
        <w:tc>
          <w:tcPr>
            <w:tcW w:w="994" w:type="dxa"/>
          </w:tcPr>
          <w:p>
            <w:pPr>
              <w:pStyle w:val="TableParagraph"/>
              <w:spacing w:line="256" w:lineRule="exact"/>
              <w:ind w:right="66"/>
              <w:jc w:val="right"/>
              <w:rPr>
                <w:sz w:val="20"/>
              </w:rPr>
            </w:pPr>
            <w:r>
              <w:rPr>
                <w:w w:val="105"/>
                <w:sz w:val="20"/>
              </w:rPr>
              <w:t>64.0  </w:t>
            </w:r>
          </w:p>
        </w:tc>
        <w:tc>
          <w:tcPr>
            <w:tcW w:w="1078" w:type="dxa"/>
          </w:tcPr>
          <w:p>
            <w:pPr>
              <w:pStyle w:val="TableParagraph"/>
              <w:spacing w:line="256" w:lineRule="exact"/>
              <w:ind w:left="326"/>
              <w:rPr>
                <w:sz w:val="20"/>
              </w:rPr>
            </w:pPr>
            <w:r>
              <w:rPr>
                <w:w w:val="105"/>
                <w:sz w:val="20"/>
              </w:rPr>
              <w:t>48.0  </w:t>
            </w:r>
          </w:p>
        </w:tc>
      </w:tr>
      <w:tr>
        <w:trPr>
          <w:trHeight w:val="273" w:hRule="atLeast"/>
        </w:trPr>
        <w:tc>
          <w:tcPr>
            <w:tcW w:w="1054" w:type="dxa"/>
          </w:tcPr>
          <w:p>
            <w:pPr>
              <w:pStyle w:val="TableParagraph"/>
              <w:spacing w:line="253" w:lineRule="exact"/>
              <w:ind w:left="347" w:right="235"/>
              <w:jc w:val="center"/>
              <w:rPr>
                <w:sz w:val="20"/>
              </w:rPr>
            </w:pPr>
            <w:r>
              <w:rPr>
                <w:w w:val="105"/>
                <w:sz w:val="20"/>
              </w:rPr>
              <w:t>9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45 </w:t>
            </w:r>
          </w:p>
        </w:tc>
        <w:tc>
          <w:tcPr>
            <w:tcW w:w="1056" w:type="dxa"/>
          </w:tcPr>
          <w:p>
            <w:pPr>
              <w:pStyle w:val="TableParagraph"/>
              <w:spacing w:line="253" w:lineRule="exact"/>
              <w:ind w:right="147"/>
              <w:jc w:val="right"/>
              <w:rPr>
                <w:sz w:val="20"/>
              </w:rPr>
            </w:pPr>
            <w:r>
              <w:rPr>
                <w:w w:val="105"/>
                <w:sz w:val="20"/>
              </w:rPr>
              <w:t>5.0  </w:t>
            </w:r>
          </w:p>
        </w:tc>
        <w:tc>
          <w:tcPr>
            <w:tcW w:w="1056" w:type="dxa"/>
          </w:tcPr>
          <w:p>
            <w:pPr>
              <w:pStyle w:val="TableParagraph"/>
              <w:spacing w:line="253" w:lineRule="exact"/>
              <w:ind w:left="368"/>
              <w:rPr>
                <w:sz w:val="20"/>
              </w:rPr>
            </w:pPr>
            <w:r>
              <w:rPr>
                <w:w w:val="105"/>
                <w:sz w:val="20"/>
              </w:rPr>
              <w:t>5.0  </w:t>
            </w:r>
          </w:p>
        </w:tc>
        <w:tc>
          <w:tcPr>
            <w:tcW w:w="1210" w:type="dxa"/>
          </w:tcPr>
          <w:p>
            <w:pPr>
              <w:pStyle w:val="TableParagraph"/>
              <w:spacing w:line="253" w:lineRule="exact"/>
              <w:ind w:left="161" w:right="49"/>
              <w:jc w:val="center"/>
              <w:rPr>
                <w:sz w:val="20"/>
              </w:rPr>
            </w:pPr>
            <w:r>
              <w:rPr>
                <w:w w:val="105"/>
                <w:sz w:val="20"/>
              </w:rPr>
              <w:t>81 </w:t>
            </w:r>
          </w:p>
        </w:tc>
        <w:tc>
          <w:tcPr>
            <w:tcW w:w="994" w:type="dxa"/>
          </w:tcPr>
          <w:p>
            <w:pPr>
              <w:pStyle w:val="TableParagraph"/>
              <w:spacing w:line="253" w:lineRule="exact"/>
              <w:ind w:right="66"/>
              <w:jc w:val="right"/>
              <w:rPr>
                <w:sz w:val="20"/>
              </w:rPr>
            </w:pPr>
            <w:r>
              <w:rPr>
                <w:w w:val="105"/>
                <w:sz w:val="20"/>
              </w:rPr>
              <w:t>68.0  </w:t>
            </w:r>
          </w:p>
        </w:tc>
        <w:tc>
          <w:tcPr>
            <w:tcW w:w="1078" w:type="dxa"/>
          </w:tcPr>
          <w:p>
            <w:pPr>
              <w:pStyle w:val="TableParagraph"/>
              <w:spacing w:line="253" w:lineRule="exact"/>
              <w:ind w:left="326"/>
              <w:rPr>
                <w:sz w:val="20"/>
              </w:rPr>
            </w:pPr>
            <w:r>
              <w:rPr>
                <w:w w:val="105"/>
                <w:sz w:val="20"/>
              </w:rPr>
              <w:t>51.0  </w:t>
            </w:r>
          </w:p>
        </w:tc>
      </w:tr>
      <w:tr>
        <w:trPr>
          <w:trHeight w:val="273" w:hRule="atLeast"/>
        </w:trPr>
        <w:tc>
          <w:tcPr>
            <w:tcW w:w="1054" w:type="dxa"/>
          </w:tcPr>
          <w:p>
            <w:pPr>
              <w:pStyle w:val="TableParagraph"/>
              <w:spacing w:line="253" w:lineRule="exact"/>
              <w:ind w:left="347" w:right="235"/>
              <w:jc w:val="center"/>
              <w:rPr>
                <w:sz w:val="20"/>
              </w:rPr>
            </w:pPr>
            <w:r>
              <w:rPr>
                <w:w w:val="105"/>
                <w:sz w:val="20"/>
              </w:rPr>
              <w:t>10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46 </w:t>
            </w:r>
          </w:p>
        </w:tc>
        <w:tc>
          <w:tcPr>
            <w:tcW w:w="1056" w:type="dxa"/>
          </w:tcPr>
          <w:p>
            <w:pPr>
              <w:pStyle w:val="TableParagraph"/>
              <w:spacing w:line="253" w:lineRule="exact"/>
              <w:ind w:right="147"/>
              <w:jc w:val="right"/>
              <w:rPr>
                <w:sz w:val="20"/>
              </w:rPr>
            </w:pPr>
            <w:r>
              <w:rPr>
                <w:w w:val="105"/>
                <w:sz w:val="20"/>
              </w:rPr>
              <w:t>5.5  </w:t>
            </w:r>
          </w:p>
        </w:tc>
        <w:tc>
          <w:tcPr>
            <w:tcW w:w="1056" w:type="dxa"/>
          </w:tcPr>
          <w:p>
            <w:pPr>
              <w:pStyle w:val="TableParagraph"/>
              <w:spacing w:line="253" w:lineRule="exact"/>
              <w:ind w:left="368"/>
              <w:rPr>
                <w:sz w:val="20"/>
              </w:rPr>
            </w:pPr>
            <w:r>
              <w:rPr>
                <w:w w:val="105"/>
                <w:sz w:val="20"/>
              </w:rPr>
              <w:t>5.5  </w:t>
            </w:r>
          </w:p>
        </w:tc>
        <w:tc>
          <w:tcPr>
            <w:tcW w:w="1210" w:type="dxa"/>
          </w:tcPr>
          <w:p>
            <w:pPr>
              <w:pStyle w:val="TableParagraph"/>
              <w:spacing w:line="253" w:lineRule="exact"/>
              <w:ind w:left="161" w:right="49"/>
              <w:jc w:val="center"/>
              <w:rPr>
                <w:sz w:val="20"/>
              </w:rPr>
            </w:pPr>
            <w:r>
              <w:rPr>
                <w:w w:val="105"/>
                <w:sz w:val="20"/>
              </w:rPr>
              <w:t>82 </w:t>
            </w:r>
          </w:p>
        </w:tc>
        <w:tc>
          <w:tcPr>
            <w:tcW w:w="994" w:type="dxa"/>
          </w:tcPr>
          <w:p>
            <w:pPr>
              <w:pStyle w:val="TableParagraph"/>
              <w:spacing w:line="253" w:lineRule="exact"/>
              <w:ind w:right="66"/>
              <w:jc w:val="right"/>
              <w:rPr>
                <w:sz w:val="20"/>
              </w:rPr>
            </w:pPr>
            <w:r>
              <w:rPr>
                <w:w w:val="105"/>
                <w:sz w:val="20"/>
              </w:rPr>
              <w:t>71.0  </w:t>
            </w:r>
          </w:p>
        </w:tc>
        <w:tc>
          <w:tcPr>
            <w:tcW w:w="1078" w:type="dxa"/>
          </w:tcPr>
          <w:p>
            <w:pPr>
              <w:pStyle w:val="TableParagraph"/>
              <w:spacing w:line="253" w:lineRule="exact"/>
              <w:ind w:left="326"/>
              <w:rPr>
                <w:sz w:val="20"/>
              </w:rPr>
            </w:pPr>
            <w:r>
              <w:rPr>
                <w:w w:val="105"/>
                <w:sz w:val="20"/>
              </w:rPr>
              <w:t>54.0  </w:t>
            </w:r>
          </w:p>
        </w:tc>
      </w:tr>
      <w:tr>
        <w:trPr>
          <w:trHeight w:val="275" w:hRule="atLeast"/>
        </w:trPr>
        <w:tc>
          <w:tcPr>
            <w:tcW w:w="1054" w:type="dxa"/>
          </w:tcPr>
          <w:p>
            <w:pPr>
              <w:pStyle w:val="TableParagraph"/>
              <w:spacing w:line="256" w:lineRule="exact"/>
              <w:ind w:left="347" w:right="235"/>
              <w:jc w:val="center"/>
              <w:rPr>
                <w:sz w:val="20"/>
              </w:rPr>
            </w:pPr>
            <w:r>
              <w:rPr>
                <w:w w:val="105"/>
                <w:sz w:val="20"/>
              </w:rPr>
              <w:t>11 </w:t>
            </w:r>
          </w:p>
        </w:tc>
        <w:tc>
          <w:tcPr>
            <w:tcW w:w="1054" w:type="dxa"/>
          </w:tcPr>
          <w:p>
            <w:pPr>
              <w:pStyle w:val="TableParagraph"/>
              <w:spacing w:line="256" w:lineRule="exact"/>
              <w:ind w:left="348" w:right="129"/>
              <w:jc w:val="center"/>
              <w:rPr>
                <w:sz w:val="20"/>
              </w:rPr>
            </w:pPr>
            <w:r>
              <w:rPr>
                <w:w w:val="105"/>
                <w:sz w:val="20"/>
              </w:rPr>
              <w:t>0.5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47 </w:t>
            </w:r>
          </w:p>
        </w:tc>
        <w:tc>
          <w:tcPr>
            <w:tcW w:w="1056" w:type="dxa"/>
          </w:tcPr>
          <w:p>
            <w:pPr>
              <w:pStyle w:val="TableParagraph"/>
              <w:spacing w:line="256" w:lineRule="exact"/>
              <w:ind w:right="147"/>
              <w:jc w:val="right"/>
              <w:rPr>
                <w:sz w:val="20"/>
              </w:rPr>
            </w:pPr>
            <w:r>
              <w:rPr>
                <w:w w:val="105"/>
                <w:sz w:val="20"/>
              </w:rPr>
              <w:t>6.2  </w:t>
            </w:r>
          </w:p>
        </w:tc>
        <w:tc>
          <w:tcPr>
            <w:tcW w:w="1056" w:type="dxa"/>
          </w:tcPr>
          <w:p>
            <w:pPr>
              <w:pStyle w:val="TableParagraph"/>
              <w:spacing w:line="256" w:lineRule="exact"/>
              <w:ind w:left="368"/>
              <w:rPr>
                <w:sz w:val="20"/>
              </w:rPr>
            </w:pPr>
            <w:r>
              <w:rPr>
                <w:w w:val="105"/>
                <w:sz w:val="20"/>
              </w:rPr>
              <w:t>6.0  </w:t>
            </w:r>
          </w:p>
        </w:tc>
        <w:tc>
          <w:tcPr>
            <w:tcW w:w="1210" w:type="dxa"/>
          </w:tcPr>
          <w:p>
            <w:pPr>
              <w:pStyle w:val="TableParagraph"/>
              <w:spacing w:line="256" w:lineRule="exact"/>
              <w:ind w:left="161" w:right="49"/>
              <w:jc w:val="center"/>
              <w:rPr>
                <w:sz w:val="20"/>
              </w:rPr>
            </w:pPr>
            <w:r>
              <w:rPr>
                <w:w w:val="105"/>
                <w:sz w:val="20"/>
              </w:rPr>
              <w:t>83 </w:t>
            </w:r>
          </w:p>
        </w:tc>
        <w:tc>
          <w:tcPr>
            <w:tcW w:w="994" w:type="dxa"/>
          </w:tcPr>
          <w:p>
            <w:pPr>
              <w:pStyle w:val="TableParagraph"/>
              <w:spacing w:line="256" w:lineRule="exact"/>
              <w:ind w:right="66"/>
              <w:jc w:val="right"/>
              <w:rPr>
                <w:sz w:val="20"/>
              </w:rPr>
            </w:pPr>
            <w:r>
              <w:rPr>
                <w:w w:val="105"/>
                <w:sz w:val="20"/>
              </w:rPr>
              <w:t>75.0  </w:t>
            </w:r>
          </w:p>
        </w:tc>
        <w:tc>
          <w:tcPr>
            <w:tcW w:w="1078" w:type="dxa"/>
          </w:tcPr>
          <w:p>
            <w:pPr>
              <w:pStyle w:val="TableParagraph"/>
              <w:spacing w:line="256" w:lineRule="exact"/>
              <w:ind w:left="326"/>
              <w:rPr>
                <w:sz w:val="20"/>
              </w:rPr>
            </w:pPr>
            <w:r>
              <w:rPr>
                <w:w w:val="105"/>
                <w:sz w:val="20"/>
              </w:rPr>
              <w:t>58.0  </w:t>
            </w:r>
          </w:p>
        </w:tc>
      </w:tr>
      <w:tr>
        <w:trPr>
          <w:trHeight w:val="273" w:hRule="atLeast"/>
        </w:trPr>
        <w:tc>
          <w:tcPr>
            <w:tcW w:w="1054" w:type="dxa"/>
          </w:tcPr>
          <w:p>
            <w:pPr>
              <w:pStyle w:val="TableParagraph"/>
              <w:spacing w:line="253" w:lineRule="exact"/>
              <w:ind w:left="347" w:right="235"/>
              <w:jc w:val="center"/>
              <w:rPr>
                <w:sz w:val="20"/>
              </w:rPr>
            </w:pPr>
            <w:r>
              <w:rPr>
                <w:w w:val="105"/>
                <w:sz w:val="20"/>
              </w:rPr>
              <w:t>12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48 </w:t>
            </w:r>
          </w:p>
        </w:tc>
        <w:tc>
          <w:tcPr>
            <w:tcW w:w="1056" w:type="dxa"/>
          </w:tcPr>
          <w:p>
            <w:pPr>
              <w:pStyle w:val="TableParagraph"/>
              <w:spacing w:line="253" w:lineRule="exact"/>
              <w:ind w:right="147"/>
              <w:jc w:val="right"/>
              <w:rPr>
                <w:sz w:val="20"/>
              </w:rPr>
            </w:pPr>
            <w:r>
              <w:rPr>
                <w:w w:val="105"/>
                <w:sz w:val="20"/>
              </w:rPr>
              <w:t>7.0  </w:t>
            </w:r>
          </w:p>
        </w:tc>
        <w:tc>
          <w:tcPr>
            <w:tcW w:w="1056" w:type="dxa"/>
          </w:tcPr>
          <w:p>
            <w:pPr>
              <w:pStyle w:val="TableParagraph"/>
              <w:spacing w:line="253" w:lineRule="exact"/>
              <w:ind w:left="368"/>
              <w:rPr>
                <w:sz w:val="20"/>
              </w:rPr>
            </w:pPr>
            <w:r>
              <w:rPr>
                <w:w w:val="105"/>
                <w:sz w:val="20"/>
              </w:rPr>
              <w:t>6.5  </w:t>
            </w:r>
          </w:p>
        </w:tc>
        <w:tc>
          <w:tcPr>
            <w:tcW w:w="1210" w:type="dxa"/>
          </w:tcPr>
          <w:p>
            <w:pPr>
              <w:pStyle w:val="TableParagraph"/>
              <w:spacing w:line="253" w:lineRule="exact"/>
              <w:ind w:left="161" w:right="49"/>
              <w:jc w:val="center"/>
              <w:rPr>
                <w:sz w:val="20"/>
              </w:rPr>
            </w:pPr>
            <w:r>
              <w:rPr>
                <w:w w:val="105"/>
                <w:sz w:val="20"/>
              </w:rPr>
              <w:t>84 </w:t>
            </w:r>
          </w:p>
        </w:tc>
        <w:tc>
          <w:tcPr>
            <w:tcW w:w="994" w:type="dxa"/>
          </w:tcPr>
          <w:p>
            <w:pPr>
              <w:pStyle w:val="TableParagraph"/>
              <w:spacing w:line="253" w:lineRule="exact"/>
              <w:ind w:right="66"/>
              <w:jc w:val="right"/>
              <w:rPr>
                <w:sz w:val="20"/>
              </w:rPr>
            </w:pPr>
            <w:r>
              <w:rPr>
                <w:w w:val="105"/>
                <w:sz w:val="20"/>
              </w:rPr>
              <w:t>79.0  </w:t>
            </w:r>
          </w:p>
        </w:tc>
        <w:tc>
          <w:tcPr>
            <w:tcW w:w="1078" w:type="dxa"/>
          </w:tcPr>
          <w:p>
            <w:pPr>
              <w:pStyle w:val="TableParagraph"/>
              <w:spacing w:line="253" w:lineRule="exact"/>
              <w:ind w:left="326"/>
              <w:rPr>
                <w:sz w:val="20"/>
              </w:rPr>
            </w:pPr>
            <w:r>
              <w:rPr>
                <w:w w:val="105"/>
                <w:sz w:val="20"/>
              </w:rPr>
              <w:t>62.0  </w:t>
            </w:r>
          </w:p>
        </w:tc>
      </w:tr>
      <w:tr>
        <w:trPr>
          <w:trHeight w:val="273" w:hRule="atLeast"/>
        </w:trPr>
        <w:tc>
          <w:tcPr>
            <w:tcW w:w="1054" w:type="dxa"/>
          </w:tcPr>
          <w:p>
            <w:pPr>
              <w:pStyle w:val="TableParagraph"/>
              <w:spacing w:line="253" w:lineRule="exact"/>
              <w:ind w:left="347" w:right="235"/>
              <w:jc w:val="center"/>
              <w:rPr>
                <w:sz w:val="20"/>
              </w:rPr>
            </w:pPr>
            <w:r>
              <w:rPr>
                <w:w w:val="105"/>
                <w:sz w:val="20"/>
              </w:rPr>
              <w:t>13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49 </w:t>
            </w:r>
          </w:p>
        </w:tc>
        <w:tc>
          <w:tcPr>
            <w:tcW w:w="1056" w:type="dxa"/>
          </w:tcPr>
          <w:p>
            <w:pPr>
              <w:pStyle w:val="TableParagraph"/>
              <w:spacing w:line="253" w:lineRule="exact"/>
              <w:ind w:right="147"/>
              <w:jc w:val="right"/>
              <w:rPr>
                <w:sz w:val="20"/>
              </w:rPr>
            </w:pPr>
            <w:r>
              <w:rPr>
                <w:w w:val="105"/>
                <w:sz w:val="20"/>
              </w:rPr>
              <w:t>7.8  </w:t>
            </w:r>
          </w:p>
        </w:tc>
        <w:tc>
          <w:tcPr>
            <w:tcW w:w="1056" w:type="dxa"/>
          </w:tcPr>
          <w:p>
            <w:pPr>
              <w:pStyle w:val="TableParagraph"/>
              <w:spacing w:line="253" w:lineRule="exact"/>
              <w:ind w:left="368"/>
              <w:rPr>
                <w:sz w:val="20"/>
              </w:rPr>
            </w:pPr>
            <w:r>
              <w:rPr>
                <w:w w:val="105"/>
                <w:sz w:val="20"/>
              </w:rPr>
              <w:t>7.0  </w:t>
            </w:r>
          </w:p>
        </w:tc>
        <w:tc>
          <w:tcPr>
            <w:tcW w:w="1210" w:type="dxa"/>
          </w:tcPr>
          <w:p>
            <w:pPr>
              <w:pStyle w:val="TableParagraph"/>
              <w:spacing w:line="253" w:lineRule="exact"/>
              <w:ind w:left="161" w:right="49"/>
              <w:jc w:val="center"/>
              <w:rPr>
                <w:sz w:val="20"/>
              </w:rPr>
            </w:pPr>
            <w:r>
              <w:rPr>
                <w:w w:val="105"/>
                <w:sz w:val="20"/>
              </w:rPr>
              <w:t>85 </w:t>
            </w:r>
          </w:p>
        </w:tc>
        <w:tc>
          <w:tcPr>
            <w:tcW w:w="994" w:type="dxa"/>
          </w:tcPr>
          <w:p>
            <w:pPr>
              <w:pStyle w:val="TableParagraph"/>
              <w:spacing w:line="253" w:lineRule="exact"/>
              <w:ind w:right="66"/>
              <w:jc w:val="right"/>
              <w:rPr>
                <w:sz w:val="20"/>
              </w:rPr>
            </w:pPr>
            <w:r>
              <w:rPr>
                <w:w w:val="105"/>
                <w:sz w:val="20"/>
              </w:rPr>
              <w:t>83.0  </w:t>
            </w:r>
          </w:p>
        </w:tc>
        <w:tc>
          <w:tcPr>
            <w:tcW w:w="1078" w:type="dxa"/>
          </w:tcPr>
          <w:p>
            <w:pPr>
              <w:pStyle w:val="TableParagraph"/>
              <w:spacing w:line="253" w:lineRule="exact"/>
              <w:ind w:left="326"/>
              <w:rPr>
                <w:sz w:val="20"/>
              </w:rPr>
            </w:pPr>
            <w:r>
              <w:rPr>
                <w:w w:val="105"/>
                <w:sz w:val="20"/>
              </w:rPr>
              <w:t>66.0  </w:t>
            </w:r>
          </w:p>
        </w:tc>
      </w:tr>
      <w:tr>
        <w:trPr>
          <w:trHeight w:val="275" w:hRule="atLeast"/>
        </w:trPr>
        <w:tc>
          <w:tcPr>
            <w:tcW w:w="1054" w:type="dxa"/>
          </w:tcPr>
          <w:p>
            <w:pPr>
              <w:pStyle w:val="TableParagraph"/>
              <w:spacing w:line="256" w:lineRule="exact"/>
              <w:ind w:left="347" w:right="235"/>
              <w:jc w:val="center"/>
              <w:rPr>
                <w:sz w:val="20"/>
              </w:rPr>
            </w:pPr>
            <w:r>
              <w:rPr>
                <w:w w:val="105"/>
                <w:sz w:val="20"/>
              </w:rPr>
              <w:t>14 </w:t>
            </w:r>
          </w:p>
        </w:tc>
        <w:tc>
          <w:tcPr>
            <w:tcW w:w="1054" w:type="dxa"/>
          </w:tcPr>
          <w:p>
            <w:pPr>
              <w:pStyle w:val="TableParagraph"/>
              <w:spacing w:line="256" w:lineRule="exact"/>
              <w:ind w:left="348" w:right="129"/>
              <w:jc w:val="center"/>
              <w:rPr>
                <w:sz w:val="20"/>
              </w:rPr>
            </w:pPr>
            <w:r>
              <w:rPr>
                <w:w w:val="105"/>
                <w:sz w:val="20"/>
              </w:rPr>
              <w:t>0.5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50 </w:t>
            </w:r>
          </w:p>
        </w:tc>
        <w:tc>
          <w:tcPr>
            <w:tcW w:w="1056" w:type="dxa"/>
          </w:tcPr>
          <w:p>
            <w:pPr>
              <w:pStyle w:val="TableParagraph"/>
              <w:spacing w:line="256" w:lineRule="exact"/>
              <w:ind w:right="147"/>
              <w:jc w:val="right"/>
              <w:rPr>
                <w:sz w:val="20"/>
              </w:rPr>
            </w:pPr>
            <w:r>
              <w:rPr>
                <w:w w:val="105"/>
                <w:sz w:val="20"/>
              </w:rPr>
              <w:t>8.6  </w:t>
            </w:r>
          </w:p>
        </w:tc>
        <w:tc>
          <w:tcPr>
            <w:tcW w:w="1056" w:type="dxa"/>
          </w:tcPr>
          <w:p>
            <w:pPr>
              <w:pStyle w:val="TableParagraph"/>
              <w:spacing w:line="256" w:lineRule="exact"/>
              <w:ind w:left="368"/>
              <w:rPr>
                <w:sz w:val="20"/>
              </w:rPr>
            </w:pPr>
            <w:r>
              <w:rPr>
                <w:w w:val="105"/>
                <w:sz w:val="20"/>
              </w:rPr>
              <w:t>7.5  </w:t>
            </w:r>
          </w:p>
        </w:tc>
        <w:tc>
          <w:tcPr>
            <w:tcW w:w="1210" w:type="dxa"/>
          </w:tcPr>
          <w:p>
            <w:pPr>
              <w:pStyle w:val="TableParagraph"/>
              <w:spacing w:line="256" w:lineRule="exact"/>
              <w:ind w:left="161" w:right="49"/>
              <w:jc w:val="center"/>
              <w:rPr>
                <w:sz w:val="20"/>
              </w:rPr>
            </w:pPr>
            <w:r>
              <w:rPr>
                <w:w w:val="105"/>
                <w:sz w:val="20"/>
              </w:rPr>
              <w:t>86 </w:t>
            </w:r>
          </w:p>
        </w:tc>
        <w:tc>
          <w:tcPr>
            <w:tcW w:w="994" w:type="dxa"/>
          </w:tcPr>
          <w:p>
            <w:pPr>
              <w:pStyle w:val="TableParagraph"/>
              <w:spacing w:line="256" w:lineRule="exact"/>
              <w:ind w:right="66"/>
              <w:jc w:val="right"/>
              <w:rPr>
                <w:sz w:val="20"/>
              </w:rPr>
            </w:pPr>
            <w:r>
              <w:rPr>
                <w:w w:val="105"/>
                <w:sz w:val="20"/>
              </w:rPr>
              <w:t>88.0  </w:t>
            </w:r>
          </w:p>
        </w:tc>
        <w:tc>
          <w:tcPr>
            <w:tcW w:w="1078" w:type="dxa"/>
          </w:tcPr>
          <w:p>
            <w:pPr>
              <w:pStyle w:val="TableParagraph"/>
              <w:spacing w:line="256" w:lineRule="exact"/>
              <w:ind w:left="326"/>
              <w:rPr>
                <w:sz w:val="20"/>
              </w:rPr>
            </w:pPr>
            <w:r>
              <w:rPr>
                <w:w w:val="105"/>
                <w:sz w:val="20"/>
              </w:rPr>
              <w:t>70.0  </w:t>
            </w:r>
          </w:p>
        </w:tc>
      </w:tr>
      <w:tr>
        <w:trPr>
          <w:trHeight w:val="273" w:hRule="atLeast"/>
        </w:trPr>
        <w:tc>
          <w:tcPr>
            <w:tcW w:w="1054" w:type="dxa"/>
          </w:tcPr>
          <w:p>
            <w:pPr>
              <w:pStyle w:val="TableParagraph"/>
              <w:spacing w:line="253" w:lineRule="exact"/>
              <w:ind w:left="347" w:right="235"/>
              <w:jc w:val="center"/>
              <w:rPr>
                <w:sz w:val="20"/>
              </w:rPr>
            </w:pPr>
            <w:r>
              <w:rPr>
                <w:w w:val="105"/>
                <w:sz w:val="20"/>
              </w:rPr>
              <w:t>15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51 </w:t>
            </w:r>
          </w:p>
        </w:tc>
        <w:tc>
          <w:tcPr>
            <w:tcW w:w="1056" w:type="dxa"/>
          </w:tcPr>
          <w:p>
            <w:pPr>
              <w:pStyle w:val="TableParagraph"/>
              <w:spacing w:line="253" w:lineRule="exact"/>
              <w:ind w:right="147"/>
              <w:jc w:val="right"/>
              <w:rPr>
                <w:sz w:val="20"/>
              </w:rPr>
            </w:pPr>
            <w:r>
              <w:rPr>
                <w:w w:val="105"/>
                <w:sz w:val="20"/>
              </w:rPr>
              <w:t>9.4  </w:t>
            </w:r>
          </w:p>
        </w:tc>
        <w:tc>
          <w:tcPr>
            <w:tcW w:w="1056" w:type="dxa"/>
          </w:tcPr>
          <w:p>
            <w:pPr>
              <w:pStyle w:val="TableParagraph"/>
              <w:spacing w:line="253" w:lineRule="exact"/>
              <w:ind w:left="368"/>
              <w:rPr>
                <w:sz w:val="20"/>
              </w:rPr>
            </w:pPr>
            <w:r>
              <w:rPr>
                <w:w w:val="105"/>
                <w:sz w:val="20"/>
              </w:rPr>
              <w:t>8.0  </w:t>
            </w:r>
          </w:p>
        </w:tc>
        <w:tc>
          <w:tcPr>
            <w:tcW w:w="1210" w:type="dxa"/>
          </w:tcPr>
          <w:p>
            <w:pPr>
              <w:pStyle w:val="TableParagraph"/>
              <w:spacing w:line="253" w:lineRule="exact"/>
              <w:ind w:left="161" w:right="49"/>
              <w:jc w:val="center"/>
              <w:rPr>
                <w:sz w:val="20"/>
              </w:rPr>
            </w:pPr>
            <w:r>
              <w:rPr>
                <w:w w:val="105"/>
                <w:sz w:val="20"/>
              </w:rPr>
              <w:t>87 </w:t>
            </w:r>
          </w:p>
        </w:tc>
        <w:tc>
          <w:tcPr>
            <w:tcW w:w="994" w:type="dxa"/>
          </w:tcPr>
          <w:p>
            <w:pPr>
              <w:pStyle w:val="TableParagraph"/>
              <w:spacing w:line="253" w:lineRule="exact"/>
              <w:ind w:right="66"/>
              <w:jc w:val="right"/>
              <w:rPr>
                <w:sz w:val="20"/>
              </w:rPr>
            </w:pPr>
            <w:r>
              <w:rPr>
                <w:w w:val="105"/>
                <w:sz w:val="20"/>
              </w:rPr>
              <w:t>92.0  </w:t>
            </w:r>
          </w:p>
        </w:tc>
        <w:tc>
          <w:tcPr>
            <w:tcW w:w="1078" w:type="dxa"/>
          </w:tcPr>
          <w:p>
            <w:pPr>
              <w:pStyle w:val="TableParagraph"/>
              <w:spacing w:line="253" w:lineRule="exact"/>
              <w:ind w:left="326"/>
              <w:rPr>
                <w:sz w:val="20"/>
              </w:rPr>
            </w:pPr>
            <w:r>
              <w:rPr>
                <w:w w:val="105"/>
                <w:sz w:val="20"/>
              </w:rPr>
              <w:t>75.0  </w:t>
            </w:r>
          </w:p>
        </w:tc>
      </w:tr>
      <w:tr>
        <w:trPr>
          <w:trHeight w:val="273" w:hRule="atLeast"/>
        </w:trPr>
        <w:tc>
          <w:tcPr>
            <w:tcW w:w="1054" w:type="dxa"/>
          </w:tcPr>
          <w:p>
            <w:pPr>
              <w:pStyle w:val="TableParagraph"/>
              <w:spacing w:line="253" w:lineRule="exact"/>
              <w:ind w:left="347" w:right="235"/>
              <w:jc w:val="center"/>
              <w:rPr>
                <w:sz w:val="20"/>
              </w:rPr>
            </w:pPr>
            <w:r>
              <w:rPr>
                <w:w w:val="105"/>
                <w:sz w:val="20"/>
              </w:rPr>
              <w:t>16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52 </w:t>
            </w:r>
          </w:p>
        </w:tc>
        <w:tc>
          <w:tcPr>
            <w:tcW w:w="1056" w:type="dxa"/>
          </w:tcPr>
          <w:p>
            <w:pPr>
              <w:pStyle w:val="TableParagraph"/>
              <w:spacing w:line="253" w:lineRule="exact"/>
              <w:ind w:right="94"/>
              <w:jc w:val="right"/>
              <w:rPr>
                <w:sz w:val="20"/>
              </w:rPr>
            </w:pPr>
            <w:r>
              <w:rPr>
                <w:w w:val="105"/>
                <w:sz w:val="20"/>
              </w:rPr>
              <w:t>10.0  </w:t>
            </w:r>
          </w:p>
        </w:tc>
        <w:tc>
          <w:tcPr>
            <w:tcW w:w="1056" w:type="dxa"/>
          </w:tcPr>
          <w:p>
            <w:pPr>
              <w:pStyle w:val="TableParagraph"/>
              <w:spacing w:line="253" w:lineRule="exact"/>
              <w:ind w:left="368"/>
              <w:rPr>
                <w:sz w:val="20"/>
              </w:rPr>
            </w:pPr>
            <w:r>
              <w:rPr>
                <w:w w:val="105"/>
                <w:sz w:val="20"/>
              </w:rPr>
              <w:t>8.5  </w:t>
            </w:r>
          </w:p>
        </w:tc>
        <w:tc>
          <w:tcPr>
            <w:tcW w:w="1210" w:type="dxa"/>
          </w:tcPr>
          <w:p>
            <w:pPr>
              <w:pStyle w:val="TableParagraph"/>
              <w:spacing w:line="253" w:lineRule="exact"/>
              <w:ind w:left="161" w:right="49"/>
              <w:jc w:val="center"/>
              <w:rPr>
                <w:sz w:val="20"/>
              </w:rPr>
            </w:pPr>
            <w:r>
              <w:rPr>
                <w:w w:val="105"/>
                <w:sz w:val="20"/>
              </w:rPr>
              <w:t>88 </w:t>
            </w:r>
          </w:p>
        </w:tc>
        <w:tc>
          <w:tcPr>
            <w:tcW w:w="994" w:type="dxa"/>
          </w:tcPr>
          <w:p>
            <w:pPr>
              <w:pStyle w:val="TableParagraph"/>
              <w:spacing w:line="253" w:lineRule="exact"/>
              <w:ind w:right="66"/>
              <w:jc w:val="right"/>
              <w:rPr>
                <w:sz w:val="20"/>
              </w:rPr>
            </w:pPr>
            <w:r>
              <w:rPr>
                <w:w w:val="105"/>
                <w:sz w:val="20"/>
              </w:rPr>
              <w:t>96.0  </w:t>
            </w:r>
          </w:p>
        </w:tc>
        <w:tc>
          <w:tcPr>
            <w:tcW w:w="1078" w:type="dxa"/>
          </w:tcPr>
          <w:p>
            <w:pPr>
              <w:pStyle w:val="TableParagraph"/>
              <w:spacing w:line="253" w:lineRule="exact"/>
              <w:ind w:left="326"/>
              <w:rPr>
                <w:sz w:val="20"/>
              </w:rPr>
            </w:pPr>
            <w:r>
              <w:rPr>
                <w:w w:val="105"/>
                <w:sz w:val="20"/>
              </w:rPr>
              <w:t>80.0  </w:t>
            </w:r>
          </w:p>
        </w:tc>
      </w:tr>
      <w:tr>
        <w:trPr>
          <w:trHeight w:val="275" w:hRule="atLeast"/>
        </w:trPr>
        <w:tc>
          <w:tcPr>
            <w:tcW w:w="1054" w:type="dxa"/>
          </w:tcPr>
          <w:p>
            <w:pPr>
              <w:pStyle w:val="TableParagraph"/>
              <w:spacing w:line="256" w:lineRule="exact"/>
              <w:ind w:left="347" w:right="235"/>
              <w:jc w:val="center"/>
              <w:rPr>
                <w:sz w:val="20"/>
              </w:rPr>
            </w:pPr>
            <w:r>
              <w:rPr>
                <w:w w:val="105"/>
                <w:sz w:val="20"/>
              </w:rPr>
              <w:t>17 </w:t>
            </w:r>
          </w:p>
        </w:tc>
        <w:tc>
          <w:tcPr>
            <w:tcW w:w="1054" w:type="dxa"/>
          </w:tcPr>
          <w:p>
            <w:pPr>
              <w:pStyle w:val="TableParagraph"/>
              <w:spacing w:line="256" w:lineRule="exact"/>
              <w:ind w:left="348" w:right="129"/>
              <w:jc w:val="center"/>
              <w:rPr>
                <w:sz w:val="20"/>
              </w:rPr>
            </w:pPr>
            <w:r>
              <w:rPr>
                <w:w w:val="105"/>
                <w:sz w:val="20"/>
              </w:rPr>
              <w:t>0.5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53 </w:t>
            </w:r>
          </w:p>
        </w:tc>
        <w:tc>
          <w:tcPr>
            <w:tcW w:w="1056" w:type="dxa"/>
          </w:tcPr>
          <w:p>
            <w:pPr>
              <w:pStyle w:val="TableParagraph"/>
              <w:spacing w:line="256" w:lineRule="exact"/>
              <w:ind w:right="94"/>
              <w:jc w:val="right"/>
              <w:rPr>
                <w:sz w:val="20"/>
              </w:rPr>
            </w:pPr>
            <w:r>
              <w:rPr>
                <w:w w:val="105"/>
                <w:sz w:val="20"/>
              </w:rPr>
              <w:t>11.0  </w:t>
            </w:r>
          </w:p>
        </w:tc>
        <w:tc>
          <w:tcPr>
            <w:tcW w:w="1056" w:type="dxa"/>
          </w:tcPr>
          <w:p>
            <w:pPr>
              <w:pStyle w:val="TableParagraph"/>
              <w:spacing w:line="256" w:lineRule="exact"/>
              <w:ind w:left="368"/>
              <w:rPr>
                <w:sz w:val="20"/>
              </w:rPr>
            </w:pPr>
            <w:r>
              <w:rPr>
                <w:w w:val="105"/>
                <w:sz w:val="20"/>
              </w:rPr>
              <w:t>9.0  </w:t>
            </w:r>
          </w:p>
        </w:tc>
        <w:tc>
          <w:tcPr>
            <w:tcW w:w="1210" w:type="dxa"/>
          </w:tcPr>
          <w:p>
            <w:pPr>
              <w:pStyle w:val="TableParagraph"/>
              <w:spacing w:line="256" w:lineRule="exact"/>
              <w:ind w:left="161" w:right="49"/>
              <w:jc w:val="center"/>
              <w:rPr>
                <w:sz w:val="20"/>
              </w:rPr>
            </w:pPr>
            <w:r>
              <w:rPr>
                <w:w w:val="105"/>
                <w:sz w:val="20"/>
              </w:rPr>
              <w:t>89 </w:t>
            </w:r>
          </w:p>
        </w:tc>
        <w:tc>
          <w:tcPr>
            <w:tcW w:w="994" w:type="dxa"/>
          </w:tcPr>
          <w:p>
            <w:pPr>
              <w:pStyle w:val="TableParagraph"/>
              <w:spacing w:line="256" w:lineRule="exact"/>
              <w:ind w:right="14"/>
              <w:jc w:val="right"/>
              <w:rPr>
                <w:sz w:val="20"/>
              </w:rPr>
            </w:pPr>
            <w:r>
              <w:rPr>
                <w:w w:val="105"/>
                <w:sz w:val="20"/>
              </w:rPr>
              <w:t>100.0  </w:t>
            </w:r>
          </w:p>
        </w:tc>
        <w:tc>
          <w:tcPr>
            <w:tcW w:w="1078" w:type="dxa"/>
          </w:tcPr>
          <w:p>
            <w:pPr>
              <w:pStyle w:val="TableParagraph"/>
              <w:spacing w:line="256" w:lineRule="exact"/>
              <w:ind w:left="326"/>
              <w:rPr>
                <w:sz w:val="20"/>
              </w:rPr>
            </w:pPr>
            <w:r>
              <w:rPr>
                <w:w w:val="105"/>
                <w:sz w:val="20"/>
              </w:rPr>
              <w:t>85.0  </w:t>
            </w:r>
          </w:p>
        </w:tc>
      </w:tr>
      <w:tr>
        <w:trPr>
          <w:trHeight w:val="273" w:hRule="atLeast"/>
        </w:trPr>
        <w:tc>
          <w:tcPr>
            <w:tcW w:w="1054" w:type="dxa"/>
          </w:tcPr>
          <w:p>
            <w:pPr>
              <w:pStyle w:val="TableParagraph"/>
              <w:spacing w:line="253" w:lineRule="exact"/>
              <w:ind w:left="347" w:right="235"/>
              <w:jc w:val="center"/>
              <w:rPr>
                <w:sz w:val="20"/>
              </w:rPr>
            </w:pPr>
            <w:r>
              <w:rPr>
                <w:w w:val="105"/>
                <w:sz w:val="20"/>
              </w:rPr>
              <w:t>18 </w:t>
            </w:r>
          </w:p>
        </w:tc>
        <w:tc>
          <w:tcPr>
            <w:tcW w:w="1054" w:type="dxa"/>
          </w:tcPr>
          <w:p>
            <w:pPr>
              <w:pStyle w:val="TableParagraph"/>
              <w:spacing w:line="253" w:lineRule="exact"/>
              <w:ind w:left="348" w:right="129"/>
              <w:jc w:val="center"/>
              <w:rPr>
                <w:sz w:val="20"/>
              </w:rPr>
            </w:pPr>
            <w:r>
              <w:rPr>
                <w:w w:val="105"/>
                <w:sz w:val="20"/>
              </w:rPr>
              <w:t>0.5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54 </w:t>
            </w:r>
          </w:p>
        </w:tc>
        <w:tc>
          <w:tcPr>
            <w:tcW w:w="1056" w:type="dxa"/>
          </w:tcPr>
          <w:p>
            <w:pPr>
              <w:pStyle w:val="TableParagraph"/>
              <w:spacing w:line="253" w:lineRule="exact"/>
              <w:ind w:right="94"/>
              <w:jc w:val="right"/>
              <w:rPr>
                <w:sz w:val="20"/>
              </w:rPr>
            </w:pPr>
            <w:r>
              <w:rPr>
                <w:w w:val="105"/>
                <w:sz w:val="20"/>
              </w:rPr>
              <w:t>12.0  </w:t>
            </w:r>
          </w:p>
        </w:tc>
        <w:tc>
          <w:tcPr>
            <w:tcW w:w="1056" w:type="dxa"/>
          </w:tcPr>
          <w:p>
            <w:pPr>
              <w:pStyle w:val="TableParagraph"/>
              <w:spacing w:line="253" w:lineRule="exact"/>
              <w:ind w:left="368"/>
              <w:rPr>
                <w:sz w:val="20"/>
              </w:rPr>
            </w:pPr>
            <w:r>
              <w:rPr>
                <w:w w:val="105"/>
                <w:sz w:val="20"/>
              </w:rPr>
              <w:t>9.5  </w:t>
            </w:r>
          </w:p>
        </w:tc>
        <w:tc>
          <w:tcPr>
            <w:tcW w:w="1210" w:type="dxa"/>
          </w:tcPr>
          <w:p>
            <w:pPr>
              <w:pStyle w:val="TableParagraph"/>
              <w:spacing w:line="253" w:lineRule="exact"/>
              <w:ind w:left="161" w:right="49"/>
              <w:jc w:val="center"/>
              <w:rPr>
                <w:sz w:val="20"/>
              </w:rPr>
            </w:pPr>
            <w:r>
              <w:rPr>
                <w:w w:val="105"/>
                <w:sz w:val="20"/>
              </w:rPr>
              <w:t>90 </w:t>
            </w:r>
          </w:p>
        </w:tc>
        <w:tc>
          <w:tcPr>
            <w:tcW w:w="994" w:type="dxa"/>
          </w:tcPr>
          <w:p>
            <w:pPr>
              <w:pStyle w:val="TableParagraph"/>
              <w:spacing w:line="253" w:lineRule="exact"/>
              <w:ind w:right="14"/>
              <w:jc w:val="right"/>
              <w:rPr>
                <w:sz w:val="20"/>
              </w:rPr>
            </w:pPr>
            <w:r>
              <w:rPr>
                <w:w w:val="105"/>
                <w:sz w:val="20"/>
              </w:rPr>
              <w:t>110.0  </w:t>
            </w:r>
          </w:p>
        </w:tc>
        <w:tc>
          <w:tcPr>
            <w:tcW w:w="1078" w:type="dxa"/>
          </w:tcPr>
          <w:p>
            <w:pPr>
              <w:pStyle w:val="TableParagraph"/>
              <w:spacing w:line="253" w:lineRule="exact"/>
              <w:ind w:left="326"/>
              <w:rPr>
                <w:sz w:val="20"/>
              </w:rPr>
            </w:pPr>
            <w:r>
              <w:rPr>
                <w:w w:val="105"/>
                <w:sz w:val="20"/>
              </w:rPr>
              <w:t>90.0  </w:t>
            </w:r>
          </w:p>
        </w:tc>
      </w:tr>
      <w:tr>
        <w:trPr>
          <w:trHeight w:val="273" w:hRule="atLeast"/>
        </w:trPr>
        <w:tc>
          <w:tcPr>
            <w:tcW w:w="1054" w:type="dxa"/>
          </w:tcPr>
          <w:p>
            <w:pPr>
              <w:pStyle w:val="TableParagraph"/>
              <w:spacing w:line="253" w:lineRule="exact"/>
              <w:ind w:left="347" w:right="235"/>
              <w:jc w:val="center"/>
              <w:rPr>
                <w:sz w:val="20"/>
              </w:rPr>
            </w:pPr>
            <w:r>
              <w:rPr>
                <w:w w:val="105"/>
                <w:sz w:val="20"/>
              </w:rPr>
              <w:t>19 </w:t>
            </w:r>
          </w:p>
        </w:tc>
        <w:tc>
          <w:tcPr>
            <w:tcW w:w="1054" w:type="dxa"/>
          </w:tcPr>
          <w:p>
            <w:pPr>
              <w:pStyle w:val="TableParagraph"/>
              <w:spacing w:line="253" w:lineRule="exact"/>
              <w:ind w:left="348" w:right="129"/>
              <w:jc w:val="center"/>
              <w:rPr>
                <w:sz w:val="20"/>
              </w:rPr>
            </w:pPr>
            <w:r>
              <w:rPr>
                <w:w w:val="105"/>
                <w:sz w:val="20"/>
              </w:rPr>
              <w:t>0.6  </w:t>
            </w:r>
          </w:p>
        </w:tc>
        <w:tc>
          <w:tcPr>
            <w:tcW w:w="1056" w:type="dxa"/>
          </w:tcPr>
          <w:p>
            <w:pPr>
              <w:pStyle w:val="TableParagraph"/>
              <w:spacing w:line="253" w:lineRule="exact"/>
              <w:ind w:right="147"/>
              <w:jc w:val="right"/>
              <w:rPr>
                <w:sz w:val="20"/>
              </w:rPr>
            </w:pPr>
            <w:r>
              <w:rPr>
                <w:w w:val="105"/>
                <w:sz w:val="20"/>
              </w:rPr>
              <w:t>0.5  </w:t>
            </w:r>
          </w:p>
        </w:tc>
        <w:tc>
          <w:tcPr>
            <w:tcW w:w="1054" w:type="dxa"/>
          </w:tcPr>
          <w:p>
            <w:pPr>
              <w:pStyle w:val="TableParagraph"/>
              <w:spacing w:line="253" w:lineRule="exact"/>
              <w:ind w:left="348" w:right="233"/>
              <w:jc w:val="center"/>
              <w:rPr>
                <w:sz w:val="20"/>
              </w:rPr>
            </w:pPr>
            <w:r>
              <w:rPr>
                <w:w w:val="105"/>
                <w:sz w:val="20"/>
              </w:rPr>
              <w:t>55 </w:t>
            </w:r>
          </w:p>
        </w:tc>
        <w:tc>
          <w:tcPr>
            <w:tcW w:w="1056" w:type="dxa"/>
          </w:tcPr>
          <w:p>
            <w:pPr>
              <w:pStyle w:val="TableParagraph"/>
              <w:spacing w:line="253" w:lineRule="exact"/>
              <w:ind w:right="94"/>
              <w:jc w:val="right"/>
              <w:rPr>
                <w:sz w:val="20"/>
              </w:rPr>
            </w:pPr>
            <w:r>
              <w:rPr>
                <w:w w:val="105"/>
                <w:sz w:val="20"/>
              </w:rPr>
              <w:t>13.0  </w:t>
            </w:r>
          </w:p>
        </w:tc>
        <w:tc>
          <w:tcPr>
            <w:tcW w:w="1056" w:type="dxa"/>
          </w:tcPr>
          <w:p>
            <w:pPr>
              <w:pStyle w:val="TableParagraph"/>
              <w:spacing w:line="253" w:lineRule="exact"/>
              <w:ind w:left="315"/>
              <w:rPr>
                <w:sz w:val="20"/>
              </w:rPr>
            </w:pPr>
            <w:r>
              <w:rPr>
                <w:w w:val="105"/>
                <w:sz w:val="20"/>
              </w:rPr>
              <w:t>10.0  </w:t>
            </w:r>
          </w:p>
        </w:tc>
        <w:tc>
          <w:tcPr>
            <w:tcW w:w="1210" w:type="dxa"/>
          </w:tcPr>
          <w:p>
            <w:pPr>
              <w:pStyle w:val="TableParagraph"/>
              <w:spacing w:line="253" w:lineRule="exact"/>
              <w:ind w:left="161" w:right="49"/>
              <w:jc w:val="center"/>
              <w:rPr>
                <w:sz w:val="20"/>
              </w:rPr>
            </w:pPr>
            <w:r>
              <w:rPr>
                <w:w w:val="105"/>
                <w:sz w:val="20"/>
              </w:rPr>
              <w:t>91 </w:t>
            </w:r>
          </w:p>
        </w:tc>
        <w:tc>
          <w:tcPr>
            <w:tcW w:w="994" w:type="dxa"/>
          </w:tcPr>
          <w:p>
            <w:pPr>
              <w:pStyle w:val="TableParagraph"/>
              <w:spacing w:line="253" w:lineRule="exact"/>
              <w:ind w:right="14"/>
              <w:jc w:val="right"/>
              <w:rPr>
                <w:sz w:val="20"/>
              </w:rPr>
            </w:pPr>
            <w:r>
              <w:rPr>
                <w:w w:val="105"/>
                <w:sz w:val="20"/>
              </w:rPr>
              <w:t>115.0  </w:t>
            </w:r>
          </w:p>
        </w:tc>
        <w:tc>
          <w:tcPr>
            <w:tcW w:w="1078" w:type="dxa"/>
          </w:tcPr>
          <w:p>
            <w:pPr>
              <w:pStyle w:val="TableParagraph"/>
              <w:spacing w:line="253" w:lineRule="exact"/>
              <w:ind w:left="326"/>
              <w:rPr>
                <w:sz w:val="20"/>
              </w:rPr>
            </w:pPr>
            <w:r>
              <w:rPr>
                <w:w w:val="105"/>
                <w:sz w:val="20"/>
              </w:rPr>
              <w:t>95.0  </w:t>
            </w:r>
          </w:p>
        </w:tc>
      </w:tr>
      <w:tr>
        <w:trPr>
          <w:trHeight w:val="275" w:hRule="atLeast"/>
        </w:trPr>
        <w:tc>
          <w:tcPr>
            <w:tcW w:w="1054" w:type="dxa"/>
          </w:tcPr>
          <w:p>
            <w:pPr>
              <w:pStyle w:val="TableParagraph"/>
              <w:spacing w:line="256" w:lineRule="exact"/>
              <w:ind w:left="347" w:right="235"/>
              <w:jc w:val="center"/>
              <w:rPr>
                <w:sz w:val="20"/>
              </w:rPr>
            </w:pPr>
            <w:r>
              <w:rPr>
                <w:w w:val="105"/>
                <w:sz w:val="20"/>
              </w:rPr>
              <w:t>20 </w:t>
            </w:r>
          </w:p>
        </w:tc>
        <w:tc>
          <w:tcPr>
            <w:tcW w:w="1054" w:type="dxa"/>
          </w:tcPr>
          <w:p>
            <w:pPr>
              <w:pStyle w:val="TableParagraph"/>
              <w:spacing w:line="256" w:lineRule="exact"/>
              <w:ind w:left="348" w:right="129"/>
              <w:jc w:val="center"/>
              <w:rPr>
                <w:sz w:val="20"/>
              </w:rPr>
            </w:pPr>
            <w:r>
              <w:rPr>
                <w:w w:val="105"/>
                <w:sz w:val="20"/>
              </w:rPr>
              <w:t>0.7  </w:t>
            </w:r>
          </w:p>
        </w:tc>
        <w:tc>
          <w:tcPr>
            <w:tcW w:w="1056" w:type="dxa"/>
          </w:tcPr>
          <w:p>
            <w:pPr>
              <w:pStyle w:val="TableParagraph"/>
              <w:spacing w:line="256" w:lineRule="exact"/>
              <w:ind w:right="147"/>
              <w:jc w:val="right"/>
              <w:rPr>
                <w:sz w:val="20"/>
              </w:rPr>
            </w:pPr>
            <w:r>
              <w:rPr>
                <w:w w:val="105"/>
                <w:sz w:val="20"/>
              </w:rPr>
              <w:t>0.5  </w:t>
            </w:r>
          </w:p>
        </w:tc>
        <w:tc>
          <w:tcPr>
            <w:tcW w:w="1054" w:type="dxa"/>
          </w:tcPr>
          <w:p>
            <w:pPr>
              <w:pStyle w:val="TableParagraph"/>
              <w:spacing w:line="256" w:lineRule="exact"/>
              <w:ind w:left="348" w:right="233"/>
              <w:jc w:val="center"/>
              <w:rPr>
                <w:sz w:val="20"/>
              </w:rPr>
            </w:pPr>
            <w:r>
              <w:rPr>
                <w:w w:val="105"/>
                <w:sz w:val="20"/>
              </w:rPr>
              <w:t>56 </w:t>
            </w:r>
          </w:p>
        </w:tc>
        <w:tc>
          <w:tcPr>
            <w:tcW w:w="1056" w:type="dxa"/>
          </w:tcPr>
          <w:p>
            <w:pPr>
              <w:pStyle w:val="TableParagraph"/>
              <w:spacing w:line="256" w:lineRule="exact"/>
              <w:ind w:right="94"/>
              <w:jc w:val="right"/>
              <w:rPr>
                <w:sz w:val="20"/>
              </w:rPr>
            </w:pPr>
            <w:r>
              <w:rPr>
                <w:w w:val="105"/>
                <w:sz w:val="20"/>
              </w:rPr>
              <w:t>14.0  </w:t>
            </w:r>
          </w:p>
        </w:tc>
        <w:tc>
          <w:tcPr>
            <w:tcW w:w="1056" w:type="dxa"/>
          </w:tcPr>
          <w:p>
            <w:pPr>
              <w:pStyle w:val="TableParagraph"/>
              <w:spacing w:line="256" w:lineRule="exact"/>
              <w:ind w:left="315"/>
              <w:rPr>
                <w:sz w:val="20"/>
              </w:rPr>
            </w:pPr>
            <w:r>
              <w:rPr>
                <w:w w:val="105"/>
                <w:sz w:val="20"/>
              </w:rPr>
              <w:t>10.5  </w:t>
            </w:r>
          </w:p>
        </w:tc>
        <w:tc>
          <w:tcPr>
            <w:tcW w:w="1210" w:type="dxa"/>
          </w:tcPr>
          <w:p>
            <w:pPr>
              <w:pStyle w:val="TableParagraph"/>
              <w:spacing w:line="256" w:lineRule="exact"/>
              <w:ind w:left="161" w:right="49"/>
              <w:jc w:val="center"/>
              <w:rPr>
                <w:sz w:val="20"/>
              </w:rPr>
            </w:pPr>
            <w:r>
              <w:rPr>
                <w:w w:val="105"/>
                <w:sz w:val="20"/>
              </w:rPr>
              <w:t>92 </w:t>
            </w:r>
          </w:p>
        </w:tc>
        <w:tc>
          <w:tcPr>
            <w:tcW w:w="994" w:type="dxa"/>
          </w:tcPr>
          <w:p>
            <w:pPr>
              <w:pStyle w:val="TableParagraph"/>
              <w:spacing w:line="256" w:lineRule="exact"/>
              <w:ind w:right="14"/>
              <w:jc w:val="right"/>
              <w:rPr>
                <w:sz w:val="20"/>
              </w:rPr>
            </w:pPr>
            <w:r>
              <w:rPr>
                <w:w w:val="105"/>
                <w:sz w:val="20"/>
              </w:rPr>
              <w:t>120.0  </w:t>
            </w:r>
          </w:p>
        </w:tc>
        <w:tc>
          <w:tcPr>
            <w:tcW w:w="1078" w:type="dxa"/>
          </w:tcPr>
          <w:p>
            <w:pPr>
              <w:pStyle w:val="TableParagraph"/>
              <w:spacing w:line="256" w:lineRule="exact"/>
              <w:ind w:right="55"/>
              <w:jc w:val="right"/>
              <w:rPr>
                <w:sz w:val="20"/>
              </w:rPr>
            </w:pPr>
            <w:r>
              <w:rPr>
                <w:w w:val="105"/>
                <w:sz w:val="20"/>
              </w:rPr>
              <w:t>100.0  </w:t>
            </w:r>
          </w:p>
        </w:tc>
      </w:tr>
      <w:tr>
        <w:trPr>
          <w:trHeight w:val="273" w:hRule="atLeast"/>
        </w:trPr>
        <w:tc>
          <w:tcPr>
            <w:tcW w:w="1054" w:type="dxa"/>
          </w:tcPr>
          <w:p>
            <w:pPr>
              <w:pStyle w:val="TableParagraph"/>
              <w:spacing w:line="253" w:lineRule="exact"/>
              <w:ind w:left="347" w:right="235"/>
              <w:jc w:val="center"/>
              <w:rPr>
                <w:sz w:val="20"/>
              </w:rPr>
            </w:pPr>
            <w:r>
              <w:rPr>
                <w:w w:val="105"/>
                <w:sz w:val="20"/>
              </w:rPr>
              <w:t>21 </w:t>
            </w:r>
          </w:p>
        </w:tc>
        <w:tc>
          <w:tcPr>
            <w:tcW w:w="1054" w:type="dxa"/>
          </w:tcPr>
          <w:p>
            <w:pPr>
              <w:pStyle w:val="TableParagraph"/>
              <w:spacing w:line="253" w:lineRule="exact"/>
              <w:ind w:left="348" w:right="129"/>
              <w:jc w:val="center"/>
              <w:rPr>
                <w:sz w:val="20"/>
              </w:rPr>
            </w:pPr>
            <w:r>
              <w:rPr>
                <w:w w:val="105"/>
                <w:sz w:val="20"/>
              </w:rPr>
              <w:t>0.7  </w:t>
            </w:r>
          </w:p>
        </w:tc>
        <w:tc>
          <w:tcPr>
            <w:tcW w:w="1056" w:type="dxa"/>
          </w:tcPr>
          <w:p>
            <w:pPr>
              <w:pStyle w:val="TableParagraph"/>
              <w:spacing w:line="253" w:lineRule="exact"/>
              <w:ind w:right="147"/>
              <w:jc w:val="right"/>
              <w:rPr>
                <w:sz w:val="20"/>
              </w:rPr>
            </w:pPr>
            <w:r>
              <w:rPr>
                <w:w w:val="105"/>
                <w:sz w:val="20"/>
              </w:rPr>
              <w:t>0.6  </w:t>
            </w:r>
          </w:p>
        </w:tc>
        <w:tc>
          <w:tcPr>
            <w:tcW w:w="1054" w:type="dxa"/>
          </w:tcPr>
          <w:p>
            <w:pPr>
              <w:pStyle w:val="TableParagraph"/>
              <w:spacing w:line="253" w:lineRule="exact"/>
              <w:ind w:left="348" w:right="233"/>
              <w:jc w:val="center"/>
              <w:rPr>
                <w:sz w:val="20"/>
              </w:rPr>
            </w:pPr>
            <w:r>
              <w:rPr>
                <w:w w:val="105"/>
                <w:sz w:val="20"/>
              </w:rPr>
              <w:t>57 </w:t>
            </w:r>
          </w:p>
        </w:tc>
        <w:tc>
          <w:tcPr>
            <w:tcW w:w="1056" w:type="dxa"/>
          </w:tcPr>
          <w:p>
            <w:pPr>
              <w:pStyle w:val="TableParagraph"/>
              <w:spacing w:line="253" w:lineRule="exact"/>
              <w:ind w:right="94"/>
              <w:jc w:val="right"/>
              <w:rPr>
                <w:sz w:val="20"/>
              </w:rPr>
            </w:pPr>
            <w:r>
              <w:rPr>
                <w:w w:val="105"/>
                <w:sz w:val="20"/>
              </w:rPr>
              <w:t>15.0  </w:t>
            </w:r>
          </w:p>
        </w:tc>
        <w:tc>
          <w:tcPr>
            <w:tcW w:w="1056" w:type="dxa"/>
          </w:tcPr>
          <w:p>
            <w:pPr>
              <w:pStyle w:val="TableParagraph"/>
              <w:spacing w:line="253" w:lineRule="exact"/>
              <w:ind w:left="315"/>
              <w:rPr>
                <w:sz w:val="20"/>
              </w:rPr>
            </w:pPr>
            <w:r>
              <w:rPr>
                <w:w w:val="105"/>
                <w:sz w:val="20"/>
              </w:rPr>
              <w:t>11.0  </w:t>
            </w:r>
          </w:p>
        </w:tc>
        <w:tc>
          <w:tcPr>
            <w:tcW w:w="1210" w:type="dxa"/>
          </w:tcPr>
          <w:p>
            <w:pPr>
              <w:pStyle w:val="TableParagraph"/>
              <w:spacing w:line="253" w:lineRule="exact"/>
              <w:ind w:left="161" w:right="49"/>
              <w:jc w:val="center"/>
              <w:rPr>
                <w:sz w:val="20"/>
              </w:rPr>
            </w:pPr>
            <w:r>
              <w:rPr>
                <w:w w:val="105"/>
                <w:sz w:val="20"/>
              </w:rPr>
              <w:t>93 </w:t>
            </w:r>
          </w:p>
        </w:tc>
        <w:tc>
          <w:tcPr>
            <w:tcW w:w="994" w:type="dxa"/>
          </w:tcPr>
          <w:p>
            <w:pPr>
              <w:pStyle w:val="TableParagraph"/>
              <w:spacing w:line="253" w:lineRule="exact"/>
              <w:ind w:right="14"/>
              <w:jc w:val="right"/>
              <w:rPr>
                <w:sz w:val="20"/>
              </w:rPr>
            </w:pPr>
            <w:r>
              <w:rPr>
                <w:w w:val="105"/>
                <w:sz w:val="20"/>
              </w:rPr>
              <w:t>125.0  </w:t>
            </w:r>
          </w:p>
        </w:tc>
        <w:tc>
          <w:tcPr>
            <w:tcW w:w="1078" w:type="dxa"/>
          </w:tcPr>
          <w:p>
            <w:pPr>
              <w:pStyle w:val="TableParagraph"/>
              <w:spacing w:line="253" w:lineRule="exact"/>
              <w:ind w:right="55"/>
              <w:jc w:val="right"/>
              <w:rPr>
                <w:sz w:val="20"/>
              </w:rPr>
            </w:pPr>
            <w:r>
              <w:rPr>
                <w:w w:val="105"/>
                <w:sz w:val="20"/>
              </w:rPr>
              <w:t>105.0  </w:t>
            </w:r>
          </w:p>
        </w:tc>
      </w:tr>
      <w:tr>
        <w:trPr>
          <w:trHeight w:val="273" w:hRule="atLeast"/>
        </w:trPr>
        <w:tc>
          <w:tcPr>
            <w:tcW w:w="1054" w:type="dxa"/>
          </w:tcPr>
          <w:p>
            <w:pPr>
              <w:pStyle w:val="TableParagraph"/>
              <w:spacing w:line="253" w:lineRule="exact"/>
              <w:ind w:left="347" w:right="235"/>
              <w:jc w:val="center"/>
              <w:rPr>
                <w:sz w:val="20"/>
              </w:rPr>
            </w:pPr>
            <w:r>
              <w:rPr>
                <w:w w:val="105"/>
                <w:sz w:val="20"/>
              </w:rPr>
              <w:t>22 </w:t>
            </w:r>
          </w:p>
        </w:tc>
        <w:tc>
          <w:tcPr>
            <w:tcW w:w="1054" w:type="dxa"/>
          </w:tcPr>
          <w:p>
            <w:pPr>
              <w:pStyle w:val="TableParagraph"/>
              <w:spacing w:line="253" w:lineRule="exact"/>
              <w:ind w:left="348" w:right="129"/>
              <w:jc w:val="center"/>
              <w:rPr>
                <w:sz w:val="20"/>
              </w:rPr>
            </w:pPr>
            <w:r>
              <w:rPr>
                <w:w w:val="105"/>
                <w:sz w:val="20"/>
              </w:rPr>
              <w:t>0.7  </w:t>
            </w:r>
          </w:p>
        </w:tc>
        <w:tc>
          <w:tcPr>
            <w:tcW w:w="1056" w:type="dxa"/>
          </w:tcPr>
          <w:p>
            <w:pPr>
              <w:pStyle w:val="TableParagraph"/>
              <w:spacing w:line="253" w:lineRule="exact"/>
              <w:ind w:right="147"/>
              <w:jc w:val="right"/>
              <w:rPr>
                <w:sz w:val="20"/>
              </w:rPr>
            </w:pPr>
            <w:r>
              <w:rPr>
                <w:w w:val="105"/>
                <w:sz w:val="20"/>
              </w:rPr>
              <w:t>0.6  </w:t>
            </w:r>
          </w:p>
        </w:tc>
        <w:tc>
          <w:tcPr>
            <w:tcW w:w="1054" w:type="dxa"/>
          </w:tcPr>
          <w:p>
            <w:pPr>
              <w:pStyle w:val="TableParagraph"/>
              <w:spacing w:line="253" w:lineRule="exact"/>
              <w:ind w:left="348" w:right="233"/>
              <w:jc w:val="center"/>
              <w:rPr>
                <w:sz w:val="20"/>
              </w:rPr>
            </w:pPr>
            <w:r>
              <w:rPr>
                <w:w w:val="105"/>
                <w:sz w:val="20"/>
              </w:rPr>
              <w:t>58 </w:t>
            </w:r>
          </w:p>
        </w:tc>
        <w:tc>
          <w:tcPr>
            <w:tcW w:w="1056" w:type="dxa"/>
          </w:tcPr>
          <w:p>
            <w:pPr>
              <w:pStyle w:val="TableParagraph"/>
              <w:spacing w:line="253" w:lineRule="exact"/>
              <w:ind w:right="94"/>
              <w:jc w:val="right"/>
              <w:rPr>
                <w:sz w:val="20"/>
              </w:rPr>
            </w:pPr>
            <w:r>
              <w:rPr>
                <w:w w:val="105"/>
                <w:sz w:val="20"/>
              </w:rPr>
              <w:t>16.5  </w:t>
            </w:r>
          </w:p>
        </w:tc>
        <w:tc>
          <w:tcPr>
            <w:tcW w:w="1056" w:type="dxa"/>
          </w:tcPr>
          <w:p>
            <w:pPr>
              <w:pStyle w:val="TableParagraph"/>
              <w:spacing w:line="253" w:lineRule="exact"/>
              <w:ind w:left="315"/>
              <w:rPr>
                <w:sz w:val="20"/>
              </w:rPr>
            </w:pPr>
            <w:r>
              <w:rPr>
                <w:w w:val="105"/>
                <w:sz w:val="20"/>
              </w:rPr>
              <w:t>11.5  </w:t>
            </w:r>
          </w:p>
        </w:tc>
        <w:tc>
          <w:tcPr>
            <w:tcW w:w="1210" w:type="dxa"/>
          </w:tcPr>
          <w:p>
            <w:pPr>
              <w:pStyle w:val="TableParagraph"/>
              <w:spacing w:line="253" w:lineRule="exact"/>
              <w:ind w:left="161" w:right="49"/>
              <w:jc w:val="center"/>
              <w:rPr>
                <w:sz w:val="20"/>
              </w:rPr>
            </w:pPr>
            <w:r>
              <w:rPr>
                <w:w w:val="105"/>
                <w:sz w:val="20"/>
              </w:rPr>
              <w:t>94 </w:t>
            </w:r>
          </w:p>
        </w:tc>
        <w:tc>
          <w:tcPr>
            <w:tcW w:w="994" w:type="dxa"/>
          </w:tcPr>
          <w:p>
            <w:pPr>
              <w:pStyle w:val="TableParagraph"/>
              <w:spacing w:line="253" w:lineRule="exact"/>
              <w:ind w:right="14"/>
              <w:jc w:val="right"/>
              <w:rPr>
                <w:sz w:val="20"/>
              </w:rPr>
            </w:pPr>
            <w:r>
              <w:rPr>
                <w:w w:val="105"/>
                <w:sz w:val="20"/>
              </w:rPr>
              <w:t>130.0  </w:t>
            </w:r>
          </w:p>
        </w:tc>
        <w:tc>
          <w:tcPr>
            <w:tcW w:w="1078" w:type="dxa"/>
          </w:tcPr>
          <w:p>
            <w:pPr>
              <w:pStyle w:val="TableParagraph"/>
              <w:spacing w:line="253" w:lineRule="exact"/>
              <w:ind w:right="55"/>
              <w:jc w:val="right"/>
              <w:rPr>
                <w:sz w:val="20"/>
              </w:rPr>
            </w:pPr>
            <w:r>
              <w:rPr>
                <w:w w:val="105"/>
                <w:sz w:val="20"/>
              </w:rPr>
              <w:t>110.0  </w:t>
            </w:r>
          </w:p>
        </w:tc>
      </w:tr>
      <w:tr>
        <w:trPr>
          <w:trHeight w:val="275" w:hRule="atLeast"/>
        </w:trPr>
        <w:tc>
          <w:tcPr>
            <w:tcW w:w="1054" w:type="dxa"/>
          </w:tcPr>
          <w:p>
            <w:pPr>
              <w:pStyle w:val="TableParagraph"/>
              <w:spacing w:line="256" w:lineRule="exact"/>
              <w:ind w:left="347" w:right="235"/>
              <w:jc w:val="center"/>
              <w:rPr>
                <w:sz w:val="20"/>
              </w:rPr>
            </w:pPr>
            <w:r>
              <w:rPr>
                <w:w w:val="105"/>
                <w:sz w:val="20"/>
              </w:rPr>
              <w:t>23 </w:t>
            </w:r>
          </w:p>
        </w:tc>
        <w:tc>
          <w:tcPr>
            <w:tcW w:w="1054" w:type="dxa"/>
          </w:tcPr>
          <w:p>
            <w:pPr>
              <w:pStyle w:val="TableParagraph"/>
              <w:spacing w:line="256" w:lineRule="exact"/>
              <w:ind w:left="348" w:right="129"/>
              <w:jc w:val="center"/>
              <w:rPr>
                <w:sz w:val="20"/>
              </w:rPr>
            </w:pPr>
            <w:r>
              <w:rPr>
                <w:w w:val="105"/>
                <w:sz w:val="20"/>
              </w:rPr>
              <w:t>0.8  </w:t>
            </w:r>
          </w:p>
        </w:tc>
        <w:tc>
          <w:tcPr>
            <w:tcW w:w="1056" w:type="dxa"/>
          </w:tcPr>
          <w:p>
            <w:pPr>
              <w:pStyle w:val="TableParagraph"/>
              <w:spacing w:line="256" w:lineRule="exact"/>
              <w:ind w:right="147"/>
              <w:jc w:val="right"/>
              <w:rPr>
                <w:sz w:val="20"/>
              </w:rPr>
            </w:pPr>
            <w:r>
              <w:rPr>
                <w:w w:val="105"/>
                <w:sz w:val="20"/>
              </w:rPr>
              <w:t>0.7  </w:t>
            </w:r>
          </w:p>
        </w:tc>
        <w:tc>
          <w:tcPr>
            <w:tcW w:w="1054" w:type="dxa"/>
          </w:tcPr>
          <w:p>
            <w:pPr>
              <w:pStyle w:val="TableParagraph"/>
              <w:spacing w:line="256" w:lineRule="exact"/>
              <w:ind w:left="348" w:right="233"/>
              <w:jc w:val="center"/>
              <w:rPr>
                <w:sz w:val="20"/>
              </w:rPr>
            </w:pPr>
            <w:r>
              <w:rPr>
                <w:w w:val="105"/>
                <w:sz w:val="20"/>
              </w:rPr>
              <w:t>59 </w:t>
            </w:r>
          </w:p>
        </w:tc>
        <w:tc>
          <w:tcPr>
            <w:tcW w:w="1056" w:type="dxa"/>
          </w:tcPr>
          <w:p>
            <w:pPr>
              <w:pStyle w:val="TableParagraph"/>
              <w:spacing w:line="256" w:lineRule="exact"/>
              <w:ind w:right="94"/>
              <w:jc w:val="right"/>
              <w:rPr>
                <w:sz w:val="20"/>
              </w:rPr>
            </w:pPr>
            <w:r>
              <w:rPr>
                <w:w w:val="105"/>
                <w:sz w:val="20"/>
              </w:rPr>
              <w:t>18.0  </w:t>
            </w:r>
          </w:p>
        </w:tc>
        <w:tc>
          <w:tcPr>
            <w:tcW w:w="1056" w:type="dxa"/>
          </w:tcPr>
          <w:p>
            <w:pPr>
              <w:pStyle w:val="TableParagraph"/>
              <w:spacing w:line="256" w:lineRule="exact"/>
              <w:ind w:left="315"/>
              <w:rPr>
                <w:sz w:val="20"/>
              </w:rPr>
            </w:pPr>
            <w:r>
              <w:rPr>
                <w:w w:val="105"/>
                <w:sz w:val="20"/>
              </w:rPr>
              <w:t>12.0  </w:t>
            </w:r>
          </w:p>
        </w:tc>
        <w:tc>
          <w:tcPr>
            <w:tcW w:w="1210" w:type="dxa"/>
          </w:tcPr>
          <w:p>
            <w:pPr>
              <w:pStyle w:val="TableParagraph"/>
              <w:spacing w:line="256" w:lineRule="exact"/>
              <w:ind w:left="161" w:right="49"/>
              <w:jc w:val="center"/>
              <w:rPr>
                <w:sz w:val="20"/>
              </w:rPr>
            </w:pPr>
            <w:r>
              <w:rPr>
                <w:w w:val="105"/>
                <w:sz w:val="20"/>
              </w:rPr>
              <w:t>95 </w:t>
            </w:r>
          </w:p>
        </w:tc>
        <w:tc>
          <w:tcPr>
            <w:tcW w:w="994" w:type="dxa"/>
          </w:tcPr>
          <w:p>
            <w:pPr>
              <w:pStyle w:val="TableParagraph"/>
              <w:spacing w:line="256" w:lineRule="exact"/>
              <w:ind w:right="14"/>
              <w:jc w:val="right"/>
              <w:rPr>
                <w:sz w:val="20"/>
              </w:rPr>
            </w:pPr>
            <w:r>
              <w:rPr>
                <w:w w:val="105"/>
                <w:sz w:val="20"/>
              </w:rPr>
              <w:t>135.0  </w:t>
            </w:r>
          </w:p>
        </w:tc>
        <w:tc>
          <w:tcPr>
            <w:tcW w:w="1078" w:type="dxa"/>
          </w:tcPr>
          <w:p>
            <w:pPr>
              <w:pStyle w:val="TableParagraph"/>
              <w:spacing w:line="256" w:lineRule="exact"/>
              <w:ind w:right="55"/>
              <w:jc w:val="right"/>
              <w:rPr>
                <w:sz w:val="20"/>
              </w:rPr>
            </w:pPr>
            <w:r>
              <w:rPr>
                <w:w w:val="105"/>
                <w:sz w:val="20"/>
              </w:rPr>
              <w:t>120.0  </w:t>
            </w:r>
          </w:p>
        </w:tc>
      </w:tr>
      <w:tr>
        <w:trPr>
          <w:trHeight w:val="273" w:hRule="atLeast"/>
        </w:trPr>
        <w:tc>
          <w:tcPr>
            <w:tcW w:w="1054" w:type="dxa"/>
          </w:tcPr>
          <w:p>
            <w:pPr>
              <w:pStyle w:val="TableParagraph"/>
              <w:spacing w:line="253" w:lineRule="exact"/>
              <w:ind w:left="347" w:right="235"/>
              <w:jc w:val="center"/>
              <w:rPr>
                <w:sz w:val="20"/>
              </w:rPr>
            </w:pPr>
            <w:r>
              <w:rPr>
                <w:w w:val="105"/>
                <w:sz w:val="20"/>
              </w:rPr>
              <w:t>24 </w:t>
            </w:r>
          </w:p>
        </w:tc>
        <w:tc>
          <w:tcPr>
            <w:tcW w:w="1054" w:type="dxa"/>
          </w:tcPr>
          <w:p>
            <w:pPr>
              <w:pStyle w:val="TableParagraph"/>
              <w:spacing w:line="253" w:lineRule="exact"/>
              <w:ind w:left="348" w:right="129"/>
              <w:jc w:val="center"/>
              <w:rPr>
                <w:sz w:val="20"/>
              </w:rPr>
            </w:pPr>
            <w:r>
              <w:rPr>
                <w:w w:val="105"/>
                <w:sz w:val="20"/>
              </w:rPr>
              <w:t>0.8  </w:t>
            </w:r>
          </w:p>
        </w:tc>
        <w:tc>
          <w:tcPr>
            <w:tcW w:w="1056" w:type="dxa"/>
          </w:tcPr>
          <w:p>
            <w:pPr>
              <w:pStyle w:val="TableParagraph"/>
              <w:spacing w:line="253" w:lineRule="exact"/>
              <w:ind w:right="147"/>
              <w:jc w:val="right"/>
              <w:rPr>
                <w:sz w:val="20"/>
              </w:rPr>
            </w:pPr>
            <w:r>
              <w:rPr>
                <w:w w:val="105"/>
                <w:sz w:val="20"/>
              </w:rPr>
              <w:t>0.7  </w:t>
            </w:r>
          </w:p>
        </w:tc>
        <w:tc>
          <w:tcPr>
            <w:tcW w:w="1054" w:type="dxa"/>
          </w:tcPr>
          <w:p>
            <w:pPr>
              <w:pStyle w:val="TableParagraph"/>
              <w:spacing w:line="253" w:lineRule="exact"/>
              <w:ind w:left="348" w:right="233"/>
              <w:jc w:val="center"/>
              <w:rPr>
                <w:sz w:val="20"/>
              </w:rPr>
            </w:pPr>
            <w:r>
              <w:rPr>
                <w:w w:val="105"/>
                <w:sz w:val="20"/>
              </w:rPr>
              <w:t>60 </w:t>
            </w:r>
          </w:p>
        </w:tc>
        <w:tc>
          <w:tcPr>
            <w:tcW w:w="1056" w:type="dxa"/>
          </w:tcPr>
          <w:p>
            <w:pPr>
              <w:pStyle w:val="TableParagraph"/>
              <w:spacing w:line="253" w:lineRule="exact"/>
              <w:ind w:right="94"/>
              <w:jc w:val="right"/>
              <w:rPr>
                <w:sz w:val="20"/>
              </w:rPr>
            </w:pPr>
            <w:r>
              <w:rPr>
                <w:w w:val="105"/>
                <w:sz w:val="20"/>
              </w:rPr>
              <w:t>19.0  </w:t>
            </w:r>
          </w:p>
        </w:tc>
        <w:tc>
          <w:tcPr>
            <w:tcW w:w="1056" w:type="dxa"/>
          </w:tcPr>
          <w:p>
            <w:pPr>
              <w:pStyle w:val="TableParagraph"/>
              <w:spacing w:line="253" w:lineRule="exact"/>
              <w:ind w:left="315"/>
              <w:rPr>
                <w:sz w:val="20"/>
              </w:rPr>
            </w:pPr>
            <w:r>
              <w:rPr>
                <w:w w:val="105"/>
                <w:sz w:val="20"/>
              </w:rPr>
              <w:t>12.5  </w:t>
            </w:r>
          </w:p>
        </w:tc>
        <w:tc>
          <w:tcPr>
            <w:tcW w:w="1210" w:type="dxa"/>
          </w:tcPr>
          <w:p>
            <w:pPr>
              <w:pStyle w:val="TableParagraph"/>
              <w:spacing w:line="253" w:lineRule="exact"/>
              <w:ind w:left="161" w:right="49"/>
              <w:jc w:val="center"/>
              <w:rPr>
                <w:sz w:val="20"/>
              </w:rPr>
            </w:pPr>
            <w:r>
              <w:rPr>
                <w:w w:val="105"/>
                <w:sz w:val="20"/>
              </w:rPr>
              <w:t>96 </w:t>
            </w:r>
          </w:p>
        </w:tc>
        <w:tc>
          <w:tcPr>
            <w:tcW w:w="994" w:type="dxa"/>
          </w:tcPr>
          <w:p>
            <w:pPr>
              <w:pStyle w:val="TableParagraph"/>
              <w:spacing w:line="253" w:lineRule="exact"/>
              <w:ind w:right="14"/>
              <w:jc w:val="right"/>
              <w:rPr>
                <w:sz w:val="20"/>
              </w:rPr>
            </w:pPr>
            <w:r>
              <w:rPr>
                <w:w w:val="105"/>
                <w:sz w:val="20"/>
              </w:rPr>
              <w:t>140.0  </w:t>
            </w:r>
          </w:p>
        </w:tc>
        <w:tc>
          <w:tcPr>
            <w:tcW w:w="1078" w:type="dxa"/>
          </w:tcPr>
          <w:p>
            <w:pPr>
              <w:pStyle w:val="TableParagraph"/>
              <w:spacing w:line="253" w:lineRule="exact"/>
              <w:ind w:right="55"/>
              <w:jc w:val="right"/>
              <w:rPr>
                <w:sz w:val="20"/>
              </w:rPr>
            </w:pPr>
            <w:r>
              <w:rPr>
                <w:w w:val="105"/>
                <w:sz w:val="20"/>
              </w:rPr>
              <w:t>125.0  </w:t>
            </w:r>
          </w:p>
        </w:tc>
      </w:tr>
      <w:tr>
        <w:trPr>
          <w:trHeight w:val="273" w:hRule="atLeast"/>
        </w:trPr>
        <w:tc>
          <w:tcPr>
            <w:tcW w:w="1054" w:type="dxa"/>
          </w:tcPr>
          <w:p>
            <w:pPr>
              <w:pStyle w:val="TableParagraph"/>
              <w:spacing w:line="253" w:lineRule="exact"/>
              <w:ind w:left="347" w:right="235"/>
              <w:jc w:val="center"/>
              <w:rPr>
                <w:sz w:val="20"/>
              </w:rPr>
            </w:pPr>
            <w:r>
              <w:rPr>
                <w:w w:val="105"/>
                <w:sz w:val="20"/>
              </w:rPr>
              <w:t>25 </w:t>
            </w:r>
          </w:p>
        </w:tc>
        <w:tc>
          <w:tcPr>
            <w:tcW w:w="1054" w:type="dxa"/>
          </w:tcPr>
          <w:p>
            <w:pPr>
              <w:pStyle w:val="TableParagraph"/>
              <w:spacing w:line="253" w:lineRule="exact"/>
              <w:ind w:left="348" w:right="129"/>
              <w:jc w:val="center"/>
              <w:rPr>
                <w:sz w:val="20"/>
              </w:rPr>
            </w:pPr>
            <w:r>
              <w:rPr>
                <w:w w:val="105"/>
                <w:sz w:val="20"/>
              </w:rPr>
              <w:t>0.9  </w:t>
            </w:r>
          </w:p>
        </w:tc>
        <w:tc>
          <w:tcPr>
            <w:tcW w:w="1056" w:type="dxa"/>
          </w:tcPr>
          <w:p>
            <w:pPr>
              <w:pStyle w:val="TableParagraph"/>
              <w:spacing w:line="253" w:lineRule="exact"/>
              <w:ind w:right="147"/>
              <w:jc w:val="right"/>
              <w:rPr>
                <w:sz w:val="20"/>
              </w:rPr>
            </w:pPr>
            <w:r>
              <w:rPr>
                <w:w w:val="105"/>
                <w:sz w:val="20"/>
              </w:rPr>
              <w:t>0.8  </w:t>
            </w:r>
          </w:p>
        </w:tc>
        <w:tc>
          <w:tcPr>
            <w:tcW w:w="1054" w:type="dxa"/>
          </w:tcPr>
          <w:p>
            <w:pPr>
              <w:pStyle w:val="TableParagraph"/>
              <w:spacing w:line="253" w:lineRule="exact"/>
              <w:ind w:left="348" w:right="233"/>
              <w:jc w:val="center"/>
              <w:rPr>
                <w:sz w:val="20"/>
              </w:rPr>
            </w:pPr>
            <w:r>
              <w:rPr>
                <w:w w:val="105"/>
                <w:sz w:val="20"/>
              </w:rPr>
              <w:t>61 </w:t>
            </w:r>
          </w:p>
        </w:tc>
        <w:tc>
          <w:tcPr>
            <w:tcW w:w="1056" w:type="dxa"/>
          </w:tcPr>
          <w:p>
            <w:pPr>
              <w:pStyle w:val="TableParagraph"/>
              <w:spacing w:line="253" w:lineRule="exact"/>
              <w:ind w:right="94"/>
              <w:jc w:val="right"/>
              <w:rPr>
                <w:sz w:val="20"/>
              </w:rPr>
            </w:pPr>
            <w:r>
              <w:rPr>
                <w:w w:val="105"/>
                <w:sz w:val="20"/>
              </w:rPr>
              <w:t>20.0  </w:t>
            </w:r>
          </w:p>
        </w:tc>
        <w:tc>
          <w:tcPr>
            <w:tcW w:w="1056" w:type="dxa"/>
          </w:tcPr>
          <w:p>
            <w:pPr>
              <w:pStyle w:val="TableParagraph"/>
              <w:spacing w:line="253" w:lineRule="exact"/>
              <w:ind w:left="315"/>
              <w:rPr>
                <w:sz w:val="20"/>
              </w:rPr>
            </w:pPr>
            <w:r>
              <w:rPr>
                <w:w w:val="105"/>
                <w:sz w:val="20"/>
              </w:rPr>
              <w:t>13.0  </w:t>
            </w:r>
          </w:p>
        </w:tc>
        <w:tc>
          <w:tcPr>
            <w:tcW w:w="1210" w:type="dxa"/>
          </w:tcPr>
          <w:p>
            <w:pPr>
              <w:pStyle w:val="TableParagraph"/>
              <w:spacing w:line="253" w:lineRule="exact"/>
              <w:ind w:left="161" w:right="49"/>
              <w:jc w:val="center"/>
              <w:rPr>
                <w:sz w:val="20"/>
              </w:rPr>
            </w:pPr>
            <w:r>
              <w:rPr>
                <w:w w:val="105"/>
                <w:sz w:val="20"/>
              </w:rPr>
              <w:t>97 </w:t>
            </w:r>
          </w:p>
        </w:tc>
        <w:tc>
          <w:tcPr>
            <w:tcW w:w="994" w:type="dxa"/>
          </w:tcPr>
          <w:p>
            <w:pPr>
              <w:pStyle w:val="TableParagraph"/>
              <w:spacing w:line="253" w:lineRule="exact"/>
              <w:ind w:right="14"/>
              <w:jc w:val="right"/>
              <w:rPr>
                <w:sz w:val="20"/>
              </w:rPr>
            </w:pPr>
            <w:r>
              <w:rPr>
                <w:w w:val="105"/>
                <w:sz w:val="20"/>
              </w:rPr>
              <w:t>145.0  </w:t>
            </w:r>
          </w:p>
        </w:tc>
        <w:tc>
          <w:tcPr>
            <w:tcW w:w="1078" w:type="dxa"/>
          </w:tcPr>
          <w:p>
            <w:pPr>
              <w:pStyle w:val="TableParagraph"/>
              <w:spacing w:line="253" w:lineRule="exact"/>
              <w:ind w:right="55"/>
              <w:jc w:val="right"/>
              <w:rPr>
                <w:sz w:val="20"/>
              </w:rPr>
            </w:pPr>
            <w:r>
              <w:rPr>
                <w:w w:val="105"/>
                <w:sz w:val="20"/>
              </w:rPr>
              <w:t>130.0  </w:t>
            </w:r>
          </w:p>
        </w:tc>
      </w:tr>
      <w:tr>
        <w:trPr>
          <w:trHeight w:val="275" w:hRule="atLeast"/>
        </w:trPr>
        <w:tc>
          <w:tcPr>
            <w:tcW w:w="1054" w:type="dxa"/>
          </w:tcPr>
          <w:p>
            <w:pPr>
              <w:pStyle w:val="TableParagraph"/>
              <w:spacing w:line="256" w:lineRule="exact"/>
              <w:ind w:left="347" w:right="235"/>
              <w:jc w:val="center"/>
              <w:rPr>
                <w:sz w:val="20"/>
              </w:rPr>
            </w:pPr>
            <w:r>
              <w:rPr>
                <w:w w:val="105"/>
                <w:sz w:val="20"/>
              </w:rPr>
              <w:t>26 </w:t>
            </w:r>
          </w:p>
        </w:tc>
        <w:tc>
          <w:tcPr>
            <w:tcW w:w="1054" w:type="dxa"/>
          </w:tcPr>
          <w:p>
            <w:pPr>
              <w:pStyle w:val="TableParagraph"/>
              <w:spacing w:line="256" w:lineRule="exact"/>
              <w:ind w:left="348" w:right="129"/>
              <w:jc w:val="center"/>
              <w:rPr>
                <w:sz w:val="20"/>
              </w:rPr>
            </w:pPr>
            <w:r>
              <w:rPr>
                <w:w w:val="105"/>
                <w:sz w:val="20"/>
              </w:rPr>
              <w:t>0.9  </w:t>
            </w:r>
          </w:p>
        </w:tc>
        <w:tc>
          <w:tcPr>
            <w:tcW w:w="1056" w:type="dxa"/>
          </w:tcPr>
          <w:p>
            <w:pPr>
              <w:pStyle w:val="TableParagraph"/>
              <w:spacing w:line="256" w:lineRule="exact"/>
              <w:ind w:right="147"/>
              <w:jc w:val="right"/>
              <w:rPr>
                <w:sz w:val="20"/>
              </w:rPr>
            </w:pPr>
            <w:r>
              <w:rPr>
                <w:w w:val="105"/>
                <w:sz w:val="20"/>
              </w:rPr>
              <w:t>0.8  </w:t>
            </w:r>
          </w:p>
        </w:tc>
        <w:tc>
          <w:tcPr>
            <w:tcW w:w="1054" w:type="dxa"/>
          </w:tcPr>
          <w:p>
            <w:pPr>
              <w:pStyle w:val="TableParagraph"/>
              <w:spacing w:line="256" w:lineRule="exact"/>
              <w:ind w:left="348" w:right="233"/>
              <w:jc w:val="center"/>
              <w:rPr>
                <w:sz w:val="20"/>
              </w:rPr>
            </w:pPr>
            <w:r>
              <w:rPr>
                <w:w w:val="105"/>
                <w:sz w:val="20"/>
              </w:rPr>
              <w:t>62 </w:t>
            </w:r>
          </w:p>
        </w:tc>
        <w:tc>
          <w:tcPr>
            <w:tcW w:w="1056" w:type="dxa"/>
          </w:tcPr>
          <w:p>
            <w:pPr>
              <w:pStyle w:val="TableParagraph"/>
              <w:spacing w:line="256" w:lineRule="exact"/>
              <w:ind w:right="94"/>
              <w:jc w:val="right"/>
              <w:rPr>
                <w:sz w:val="20"/>
              </w:rPr>
            </w:pPr>
            <w:r>
              <w:rPr>
                <w:w w:val="105"/>
                <w:sz w:val="20"/>
              </w:rPr>
              <w:t>21.0  </w:t>
            </w:r>
          </w:p>
        </w:tc>
        <w:tc>
          <w:tcPr>
            <w:tcW w:w="1056" w:type="dxa"/>
          </w:tcPr>
          <w:p>
            <w:pPr>
              <w:pStyle w:val="TableParagraph"/>
              <w:spacing w:line="256" w:lineRule="exact"/>
              <w:ind w:left="315"/>
              <w:rPr>
                <w:sz w:val="20"/>
              </w:rPr>
            </w:pPr>
            <w:r>
              <w:rPr>
                <w:w w:val="105"/>
                <w:sz w:val="20"/>
              </w:rPr>
              <w:t>14.0  </w:t>
            </w:r>
          </w:p>
        </w:tc>
        <w:tc>
          <w:tcPr>
            <w:tcW w:w="1210" w:type="dxa"/>
          </w:tcPr>
          <w:p>
            <w:pPr>
              <w:pStyle w:val="TableParagraph"/>
              <w:spacing w:line="256" w:lineRule="exact"/>
              <w:ind w:left="161" w:right="49"/>
              <w:jc w:val="center"/>
              <w:rPr>
                <w:sz w:val="20"/>
              </w:rPr>
            </w:pPr>
            <w:r>
              <w:rPr>
                <w:w w:val="105"/>
                <w:sz w:val="20"/>
              </w:rPr>
              <w:t>98 </w:t>
            </w:r>
          </w:p>
        </w:tc>
        <w:tc>
          <w:tcPr>
            <w:tcW w:w="994" w:type="dxa"/>
          </w:tcPr>
          <w:p>
            <w:pPr>
              <w:pStyle w:val="TableParagraph"/>
              <w:spacing w:line="256" w:lineRule="exact"/>
              <w:ind w:right="14"/>
              <w:jc w:val="right"/>
              <w:rPr>
                <w:sz w:val="20"/>
              </w:rPr>
            </w:pPr>
            <w:r>
              <w:rPr>
                <w:w w:val="105"/>
                <w:sz w:val="20"/>
              </w:rPr>
              <w:t>150.0  </w:t>
            </w:r>
          </w:p>
        </w:tc>
        <w:tc>
          <w:tcPr>
            <w:tcW w:w="1078" w:type="dxa"/>
          </w:tcPr>
          <w:p>
            <w:pPr>
              <w:pStyle w:val="TableParagraph"/>
              <w:spacing w:line="256" w:lineRule="exact"/>
              <w:ind w:right="55"/>
              <w:jc w:val="right"/>
              <w:rPr>
                <w:sz w:val="20"/>
              </w:rPr>
            </w:pPr>
            <w:r>
              <w:rPr>
                <w:w w:val="105"/>
                <w:sz w:val="20"/>
              </w:rPr>
              <w:t>140.0  </w:t>
            </w:r>
          </w:p>
        </w:tc>
      </w:tr>
      <w:tr>
        <w:trPr>
          <w:trHeight w:val="273" w:hRule="atLeast"/>
        </w:trPr>
        <w:tc>
          <w:tcPr>
            <w:tcW w:w="1054" w:type="dxa"/>
          </w:tcPr>
          <w:p>
            <w:pPr>
              <w:pStyle w:val="TableParagraph"/>
              <w:spacing w:line="253" w:lineRule="exact"/>
              <w:ind w:left="347" w:right="235"/>
              <w:jc w:val="center"/>
              <w:rPr>
                <w:sz w:val="20"/>
              </w:rPr>
            </w:pPr>
            <w:r>
              <w:rPr>
                <w:w w:val="105"/>
                <w:sz w:val="20"/>
              </w:rPr>
              <w:t>27 </w:t>
            </w:r>
          </w:p>
        </w:tc>
        <w:tc>
          <w:tcPr>
            <w:tcW w:w="1054" w:type="dxa"/>
          </w:tcPr>
          <w:p>
            <w:pPr>
              <w:pStyle w:val="TableParagraph"/>
              <w:spacing w:line="253" w:lineRule="exact"/>
              <w:ind w:left="348" w:right="129"/>
              <w:jc w:val="center"/>
              <w:rPr>
                <w:sz w:val="20"/>
              </w:rPr>
            </w:pPr>
            <w:r>
              <w:rPr>
                <w:w w:val="105"/>
                <w:sz w:val="20"/>
              </w:rPr>
              <w:t>0.9  </w:t>
            </w:r>
          </w:p>
        </w:tc>
        <w:tc>
          <w:tcPr>
            <w:tcW w:w="1056" w:type="dxa"/>
          </w:tcPr>
          <w:p>
            <w:pPr>
              <w:pStyle w:val="TableParagraph"/>
              <w:spacing w:line="253" w:lineRule="exact"/>
              <w:ind w:right="147"/>
              <w:jc w:val="right"/>
              <w:rPr>
                <w:sz w:val="20"/>
              </w:rPr>
            </w:pPr>
            <w:r>
              <w:rPr>
                <w:w w:val="105"/>
                <w:sz w:val="20"/>
              </w:rPr>
              <w:t>0.9  </w:t>
            </w:r>
          </w:p>
        </w:tc>
        <w:tc>
          <w:tcPr>
            <w:tcW w:w="1054" w:type="dxa"/>
          </w:tcPr>
          <w:p>
            <w:pPr>
              <w:pStyle w:val="TableParagraph"/>
              <w:spacing w:line="253" w:lineRule="exact"/>
              <w:ind w:left="348" w:right="233"/>
              <w:jc w:val="center"/>
              <w:rPr>
                <w:sz w:val="20"/>
              </w:rPr>
            </w:pPr>
            <w:r>
              <w:rPr>
                <w:w w:val="105"/>
                <w:sz w:val="20"/>
              </w:rPr>
              <w:t>63 </w:t>
            </w:r>
          </w:p>
        </w:tc>
        <w:tc>
          <w:tcPr>
            <w:tcW w:w="1056" w:type="dxa"/>
          </w:tcPr>
          <w:p>
            <w:pPr>
              <w:pStyle w:val="TableParagraph"/>
              <w:spacing w:line="253" w:lineRule="exact"/>
              <w:ind w:right="94"/>
              <w:jc w:val="right"/>
              <w:rPr>
                <w:sz w:val="20"/>
              </w:rPr>
            </w:pPr>
            <w:r>
              <w:rPr>
                <w:w w:val="105"/>
                <w:sz w:val="20"/>
              </w:rPr>
              <w:t>22.0  </w:t>
            </w:r>
          </w:p>
        </w:tc>
        <w:tc>
          <w:tcPr>
            <w:tcW w:w="1056" w:type="dxa"/>
          </w:tcPr>
          <w:p>
            <w:pPr>
              <w:pStyle w:val="TableParagraph"/>
              <w:spacing w:line="253" w:lineRule="exact"/>
              <w:ind w:left="315"/>
              <w:rPr>
                <w:sz w:val="20"/>
              </w:rPr>
            </w:pPr>
            <w:r>
              <w:rPr>
                <w:w w:val="105"/>
                <w:sz w:val="20"/>
              </w:rPr>
              <w:t>15.0  </w:t>
            </w:r>
          </w:p>
        </w:tc>
        <w:tc>
          <w:tcPr>
            <w:tcW w:w="1210" w:type="dxa"/>
          </w:tcPr>
          <w:p>
            <w:pPr>
              <w:pStyle w:val="TableParagraph"/>
              <w:spacing w:line="253" w:lineRule="exact"/>
              <w:ind w:left="161" w:right="49"/>
              <w:jc w:val="center"/>
              <w:rPr>
                <w:sz w:val="20"/>
              </w:rPr>
            </w:pPr>
            <w:r>
              <w:rPr>
                <w:w w:val="105"/>
                <w:sz w:val="20"/>
              </w:rPr>
              <w:t>99 </w:t>
            </w:r>
          </w:p>
        </w:tc>
        <w:tc>
          <w:tcPr>
            <w:tcW w:w="994" w:type="dxa"/>
          </w:tcPr>
          <w:p>
            <w:pPr>
              <w:pStyle w:val="TableParagraph"/>
              <w:spacing w:line="253" w:lineRule="exact"/>
              <w:ind w:right="14"/>
              <w:jc w:val="right"/>
              <w:rPr>
                <w:sz w:val="20"/>
              </w:rPr>
            </w:pPr>
            <w:r>
              <w:rPr>
                <w:w w:val="105"/>
                <w:sz w:val="20"/>
              </w:rPr>
              <w:t>155.0  </w:t>
            </w:r>
          </w:p>
        </w:tc>
        <w:tc>
          <w:tcPr>
            <w:tcW w:w="1078" w:type="dxa"/>
          </w:tcPr>
          <w:p>
            <w:pPr>
              <w:pStyle w:val="TableParagraph"/>
              <w:spacing w:line="253" w:lineRule="exact"/>
              <w:ind w:right="55"/>
              <w:jc w:val="right"/>
              <w:rPr>
                <w:sz w:val="20"/>
              </w:rPr>
            </w:pPr>
            <w:r>
              <w:rPr>
                <w:w w:val="105"/>
                <w:sz w:val="20"/>
              </w:rPr>
              <w:t>150.0  </w:t>
            </w:r>
          </w:p>
        </w:tc>
      </w:tr>
      <w:tr>
        <w:trPr>
          <w:trHeight w:val="273" w:hRule="atLeast"/>
        </w:trPr>
        <w:tc>
          <w:tcPr>
            <w:tcW w:w="1054" w:type="dxa"/>
          </w:tcPr>
          <w:p>
            <w:pPr>
              <w:pStyle w:val="TableParagraph"/>
              <w:spacing w:line="253" w:lineRule="exact"/>
              <w:ind w:left="347" w:right="235"/>
              <w:jc w:val="center"/>
              <w:rPr>
                <w:sz w:val="20"/>
              </w:rPr>
            </w:pPr>
            <w:r>
              <w:rPr>
                <w:w w:val="105"/>
                <w:sz w:val="20"/>
              </w:rPr>
              <w:t>28 </w:t>
            </w:r>
          </w:p>
        </w:tc>
        <w:tc>
          <w:tcPr>
            <w:tcW w:w="1054" w:type="dxa"/>
          </w:tcPr>
          <w:p>
            <w:pPr>
              <w:pStyle w:val="TableParagraph"/>
              <w:spacing w:line="253" w:lineRule="exact"/>
              <w:ind w:left="348" w:right="129"/>
              <w:jc w:val="center"/>
              <w:rPr>
                <w:sz w:val="20"/>
              </w:rPr>
            </w:pPr>
            <w:r>
              <w:rPr>
                <w:w w:val="105"/>
                <w:sz w:val="20"/>
              </w:rPr>
              <w:t>1.0  </w:t>
            </w:r>
          </w:p>
        </w:tc>
        <w:tc>
          <w:tcPr>
            <w:tcW w:w="1056" w:type="dxa"/>
          </w:tcPr>
          <w:p>
            <w:pPr>
              <w:pStyle w:val="TableParagraph"/>
              <w:spacing w:line="253" w:lineRule="exact"/>
              <w:ind w:right="147"/>
              <w:jc w:val="right"/>
              <w:rPr>
                <w:sz w:val="20"/>
              </w:rPr>
            </w:pPr>
            <w:r>
              <w:rPr>
                <w:w w:val="105"/>
                <w:sz w:val="20"/>
              </w:rPr>
              <w:t>1.0  </w:t>
            </w:r>
          </w:p>
        </w:tc>
        <w:tc>
          <w:tcPr>
            <w:tcW w:w="1054" w:type="dxa"/>
          </w:tcPr>
          <w:p>
            <w:pPr>
              <w:pStyle w:val="TableParagraph"/>
              <w:spacing w:line="253" w:lineRule="exact"/>
              <w:ind w:left="348" w:right="233"/>
              <w:jc w:val="center"/>
              <w:rPr>
                <w:sz w:val="20"/>
              </w:rPr>
            </w:pPr>
            <w:r>
              <w:rPr>
                <w:w w:val="105"/>
                <w:sz w:val="20"/>
              </w:rPr>
              <w:t>64 </w:t>
            </w:r>
          </w:p>
        </w:tc>
        <w:tc>
          <w:tcPr>
            <w:tcW w:w="1056" w:type="dxa"/>
          </w:tcPr>
          <w:p>
            <w:pPr>
              <w:pStyle w:val="TableParagraph"/>
              <w:spacing w:line="253" w:lineRule="exact"/>
              <w:ind w:right="94"/>
              <w:jc w:val="right"/>
              <w:rPr>
                <w:sz w:val="20"/>
              </w:rPr>
            </w:pPr>
            <w:r>
              <w:rPr>
                <w:w w:val="105"/>
                <w:sz w:val="20"/>
              </w:rPr>
              <w:t>24.0  </w:t>
            </w:r>
          </w:p>
        </w:tc>
        <w:tc>
          <w:tcPr>
            <w:tcW w:w="1056" w:type="dxa"/>
          </w:tcPr>
          <w:p>
            <w:pPr>
              <w:pStyle w:val="TableParagraph"/>
              <w:spacing w:line="253" w:lineRule="exact"/>
              <w:ind w:left="315"/>
              <w:rPr>
                <w:sz w:val="20"/>
              </w:rPr>
            </w:pPr>
            <w:r>
              <w:rPr>
                <w:w w:val="105"/>
                <w:sz w:val="20"/>
              </w:rPr>
              <w:t>16.0  </w:t>
            </w:r>
          </w:p>
        </w:tc>
        <w:tc>
          <w:tcPr>
            <w:tcW w:w="1210" w:type="dxa"/>
          </w:tcPr>
          <w:p>
            <w:pPr>
              <w:pStyle w:val="TableParagraph"/>
              <w:spacing w:line="253" w:lineRule="exact"/>
              <w:ind w:left="163" w:right="49"/>
              <w:jc w:val="center"/>
              <w:rPr>
                <w:sz w:val="20"/>
              </w:rPr>
            </w:pPr>
            <w:r>
              <w:rPr>
                <w:w w:val="105"/>
                <w:sz w:val="20"/>
              </w:rPr>
              <w:t>100 </w:t>
            </w:r>
          </w:p>
        </w:tc>
        <w:tc>
          <w:tcPr>
            <w:tcW w:w="994" w:type="dxa"/>
          </w:tcPr>
          <w:p>
            <w:pPr>
              <w:pStyle w:val="TableParagraph"/>
              <w:spacing w:line="253" w:lineRule="exact"/>
              <w:ind w:right="14"/>
              <w:jc w:val="right"/>
              <w:rPr>
                <w:sz w:val="20"/>
              </w:rPr>
            </w:pPr>
            <w:r>
              <w:rPr>
                <w:w w:val="105"/>
                <w:sz w:val="20"/>
              </w:rPr>
              <w:t>160.0  </w:t>
            </w:r>
          </w:p>
        </w:tc>
        <w:tc>
          <w:tcPr>
            <w:tcW w:w="1078" w:type="dxa"/>
          </w:tcPr>
          <w:p>
            <w:pPr>
              <w:pStyle w:val="TableParagraph"/>
              <w:spacing w:line="253" w:lineRule="exact"/>
              <w:ind w:right="55"/>
              <w:jc w:val="right"/>
              <w:rPr>
                <w:sz w:val="20"/>
              </w:rPr>
            </w:pPr>
            <w:r>
              <w:rPr>
                <w:w w:val="105"/>
                <w:sz w:val="20"/>
              </w:rPr>
              <w:t>160.0  </w:t>
            </w:r>
          </w:p>
        </w:tc>
      </w:tr>
      <w:tr>
        <w:trPr>
          <w:trHeight w:val="275" w:hRule="atLeast"/>
        </w:trPr>
        <w:tc>
          <w:tcPr>
            <w:tcW w:w="1054" w:type="dxa"/>
          </w:tcPr>
          <w:p>
            <w:pPr>
              <w:pStyle w:val="TableParagraph"/>
              <w:spacing w:line="256" w:lineRule="exact"/>
              <w:ind w:left="347" w:right="235"/>
              <w:jc w:val="center"/>
              <w:rPr>
                <w:sz w:val="20"/>
              </w:rPr>
            </w:pPr>
            <w:r>
              <w:rPr>
                <w:w w:val="105"/>
                <w:sz w:val="20"/>
              </w:rPr>
              <w:t>29 </w:t>
            </w:r>
          </w:p>
        </w:tc>
        <w:tc>
          <w:tcPr>
            <w:tcW w:w="1054" w:type="dxa"/>
          </w:tcPr>
          <w:p>
            <w:pPr>
              <w:pStyle w:val="TableParagraph"/>
              <w:spacing w:line="256" w:lineRule="exact"/>
              <w:ind w:left="348" w:right="129"/>
              <w:jc w:val="center"/>
              <w:rPr>
                <w:sz w:val="20"/>
              </w:rPr>
            </w:pPr>
            <w:r>
              <w:rPr>
                <w:w w:val="105"/>
                <w:sz w:val="20"/>
              </w:rPr>
              <w:t>1.0  </w:t>
            </w:r>
          </w:p>
        </w:tc>
        <w:tc>
          <w:tcPr>
            <w:tcW w:w="1056" w:type="dxa"/>
          </w:tcPr>
          <w:p>
            <w:pPr>
              <w:pStyle w:val="TableParagraph"/>
              <w:spacing w:line="256" w:lineRule="exact"/>
              <w:ind w:right="147"/>
              <w:jc w:val="right"/>
              <w:rPr>
                <w:sz w:val="20"/>
              </w:rPr>
            </w:pPr>
            <w:r>
              <w:rPr>
                <w:w w:val="105"/>
                <w:sz w:val="20"/>
              </w:rPr>
              <w:t>1.1  </w:t>
            </w:r>
          </w:p>
        </w:tc>
        <w:tc>
          <w:tcPr>
            <w:tcW w:w="1054" w:type="dxa"/>
          </w:tcPr>
          <w:p>
            <w:pPr>
              <w:pStyle w:val="TableParagraph"/>
              <w:spacing w:line="256" w:lineRule="exact"/>
              <w:ind w:left="348" w:right="233"/>
              <w:jc w:val="center"/>
              <w:rPr>
                <w:sz w:val="20"/>
              </w:rPr>
            </w:pPr>
            <w:r>
              <w:rPr>
                <w:w w:val="105"/>
                <w:sz w:val="20"/>
              </w:rPr>
              <w:t>65 </w:t>
            </w:r>
          </w:p>
        </w:tc>
        <w:tc>
          <w:tcPr>
            <w:tcW w:w="1056" w:type="dxa"/>
          </w:tcPr>
          <w:p>
            <w:pPr>
              <w:pStyle w:val="TableParagraph"/>
              <w:spacing w:line="256" w:lineRule="exact"/>
              <w:ind w:right="94"/>
              <w:jc w:val="right"/>
              <w:rPr>
                <w:sz w:val="20"/>
              </w:rPr>
            </w:pPr>
            <w:r>
              <w:rPr>
                <w:w w:val="105"/>
                <w:sz w:val="20"/>
              </w:rPr>
              <w:t>26.0  </w:t>
            </w:r>
          </w:p>
        </w:tc>
        <w:tc>
          <w:tcPr>
            <w:tcW w:w="1056" w:type="dxa"/>
          </w:tcPr>
          <w:p>
            <w:pPr>
              <w:pStyle w:val="TableParagraph"/>
              <w:spacing w:line="256" w:lineRule="exact"/>
              <w:ind w:left="315"/>
              <w:rPr>
                <w:sz w:val="20"/>
              </w:rPr>
            </w:pPr>
            <w:r>
              <w:rPr>
                <w:w w:val="105"/>
                <w:sz w:val="20"/>
              </w:rPr>
              <w:t>17.0  </w:t>
            </w:r>
          </w:p>
        </w:tc>
        <w:tc>
          <w:tcPr>
            <w:tcW w:w="1210" w:type="dxa"/>
          </w:tcPr>
          <w:p>
            <w:pPr>
              <w:pStyle w:val="TableParagraph"/>
              <w:spacing w:line="256" w:lineRule="exact"/>
              <w:ind w:left="163" w:right="49"/>
              <w:jc w:val="center"/>
              <w:rPr>
                <w:sz w:val="20"/>
              </w:rPr>
            </w:pPr>
            <w:r>
              <w:rPr>
                <w:w w:val="105"/>
                <w:sz w:val="20"/>
              </w:rPr>
              <w:t>101 </w:t>
            </w:r>
          </w:p>
        </w:tc>
        <w:tc>
          <w:tcPr>
            <w:tcW w:w="994" w:type="dxa"/>
          </w:tcPr>
          <w:p>
            <w:pPr>
              <w:pStyle w:val="TableParagraph"/>
              <w:spacing w:line="256" w:lineRule="exact"/>
              <w:ind w:right="14"/>
              <w:jc w:val="right"/>
              <w:rPr>
                <w:sz w:val="20"/>
              </w:rPr>
            </w:pPr>
            <w:r>
              <w:rPr>
                <w:w w:val="105"/>
                <w:sz w:val="20"/>
              </w:rPr>
              <w:t>165.0  </w:t>
            </w:r>
          </w:p>
        </w:tc>
        <w:tc>
          <w:tcPr>
            <w:tcW w:w="1078" w:type="dxa"/>
          </w:tcPr>
          <w:p>
            <w:pPr>
              <w:pStyle w:val="TableParagraph"/>
              <w:spacing w:line="256" w:lineRule="exact"/>
              <w:ind w:right="55"/>
              <w:jc w:val="right"/>
              <w:rPr>
                <w:sz w:val="20"/>
              </w:rPr>
            </w:pPr>
            <w:r>
              <w:rPr>
                <w:w w:val="105"/>
                <w:sz w:val="20"/>
              </w:rPr>
              <w:t>170.0  </w:t>
            </w:r>
          </w:p>
        </w:tc>
      </w:tr>
      <w:tr>
        <w:trPr>
          <w:trHeight w:val="273" w:hRule="atLeast"/>
        </w:trPr>
        <w:tc>
          <w:tcPr>
            <w:tcW w:w="1054" w:type="dxa"/>
          </w:tcPr>
          <w:p>
            <w:pPr>
              <w:pStyle w:val="TableParagraph"/>
              <w:spacing w:line="253" w:lineRule="exact"/>
              <w:ind w:left="347" w:right="235"/>
              <w:jc w:val="center"/>
              <w:rPr>
                <w:sz w:val="20"/>
              </w:rPr>
            </w:pPr>
            <w:r>
              <w:rPr>
                <w:w w:val="105"/>
                <w:sz w:val="20"/>
              </w:rPr>
              <w:t>30 </w:t>
            </w:r>
          </w:p>
        </w:tc>
        <w:tc>
          <w:tcPr>
            <w:tcW w:w="1054" w:type="dxa"/>
          </w:tcPr>
          <w:p>
            <w:pPr>
              <w:pStyle w:val="TableParagraph"/>
              <w:spacing w:line="253" w:lineRule="exact"/>
              <w:ind w:left="348" w:right="129"/>
              <w:jc w:val="center"/>
              <w:rPr>
                <w:sz w:val="20"/>
              </w:rPr>
            </w:pPr>
            <w:r>
              <w:rPr>
                <w:w w:val="105"/>
                <w:sz w:val="20"/>
              </w:rPr>
              <w:t>1.1  </w:t>
            </w:r>
          </w:p>
        </w:tc>
        <w:tc>
          <w:tcPr>
            <w:tcW w:w="1056" w:type="dxa"/>
          </w:tcPr>
          <w:p>
            <w:pPr>
              <w:pStyle w:val="TableParagraph"/>
              <w:spacing w:line="253" w:lineRule="exact"/>
              <w:ind w:right="147"/>
              <w:jc w:val="right"/>
              <w:rPr>
                <w:sz w:val="20"/>
              </w:rPr>
            </w:pPr>
            <w:r>
              <w:rPr>
                <w:w w:val="105"/>
                <w:sz w:val="20"/>
              </w:rPr>
              <w:t>1.2  </w:t>
            </w:r>
          </w:p>
        </w:tc>
        <w:tc>
          <w:tcPr>
            <w:tcW w:w="1054" w:type="dxa"/>
          </w:tcPr>
          <w:p>
            <w:pPr>
              <w:pStyle w:val="TableParagraph"/>
              <w:spacing w:line="253" w:lineRule="exact"/>
              <w:ind w:left="348" w:right="233"/>
              <w:jc w:val="center"/>
              <w:rPr>
                <w:sz w:val="20"/>
              </w:rPr>
            </w:pPr>
            <w:r>
              <w:rPr>
                <w:w w:val="105"/>
                <w:sz w:val="20"/>
              </w:rPr>
              <w:t>66 </w:t>
            </w:r>
          </w:p>
        </w:tc>
        <w:tc>
          <w:tcPr>
            <w:tcW w:w="1056" w:type="dxa"/>
          </w:tcPr>
          <w:p>
            <w:pPr>
              <w:pStyle w:val="TableParagraph"/>
              <w:spacing w:line="253" w:lineRule="exact"/>
              <w:ind w:right="94"/>
              <w:jc w:val="right"/>
              <w:rPr>
                <w:sz w:val="20"/>
              </w:rPr>
            </w:pPr>
            <w:r>
              <w:rPr>
                <w:w w:val="105"/>
                <w:sz w:val="20"/>
              </w:rPr>
              <w:t>28.0  </w:t>
            </w:r>
          </w:p>
        </w:tc>
        <w:tc>
          <w:tcPr>
            <w:tcW w:w="1056" w:type="dxa"/>
          </w:tcPr>
          <w:p>
            <w:pPr>
              <w:pStyle w:val="TableParagraph"/>
              <w:spacing w:line="253" w:lineRule="exact"/>
              <w:ind w:left="315"/>
              <w:rPr>
                <w:sz w:val="20"/>
              </w:rPr>
            </w:pPr>
            <w:r>
              <w:rPr>
                <w:w w:val="105"/>
                <w:sz w:val="20"/>
              </w:rPr>
              <w:t>18.0  </w:t>
            </w:r>
          </w:p>
        </w:tc>
        <w:tc>
          <w:tcPr>
            <w:tcW w:w="1210" w:type="dxa"/>
          </w:tcPr>
          <w:p>
            <w:pPr>
              <w:pStyle w:val="TableParagraph"/>
              <w:spacing w:line="253" w:lineRule="exact"/>
              <w:ind w:left="163" w:right="49"/>
              <w:jc w:val="center"/>
              <w:rPr>
                <w:sz w:val="20"/>
              </w:rPr>
            </w:pPr>
            <w:r>
              <w:rPr>
                <w:w w:val="105"/>
                <w:sz w:val="20"/>
              </w:rPr>
              <w:t>102 </w:t>
            </w:r>
          </w:p>
        </w:tc>
        <w:tc>
          <w:tcPr>
            <w:tcW w:w="994" w:type="dxa"/>
          </w:tcPr>
          <w:p>
            <w:pPr>
              <w:pStyle w:val="TableParagraph"/>
              <w:spacing w:line="253" w:lineRule="exact"/>
              <w:ind w:right="14"/>
              <w:jc w:val="right"/>
              <w:rPr>
                <w:sz w:val="20"/>
              </w:rPr>
            </w:pPr>
            <w:r>
              <w:rPr>
                <w:w w:val="105"/>
                <w:sz w:val="20"/>
              </w:rPr>
              <w:t>170.0  </w:t>
            </w:r>
          </w:p>
        </w:tc>
        <w:tc>
          <w:tcPr>
            <w:tcW w:w="1078" w:type="dxa"/>
          </w:tcPr>
          <w:p>
            <w:pPr>
              <w:pStyle w:val="TableParagraph"/>
              <w:spacing w:line="253" w:lineRule="exact"/>
              <w:ind w:right="55"/>
              <w:jc w:val="right"/>
              <w:rPr>
                <w:sz w:val="20"/>
              </w:rPr>
            </w:pPr>
            <w:r>
              <w:rPr>
                <w:w w:val="105"/>
                <w:sz w:val="20"/>
              </w:rPr>
              <w:t>180.0  </w:t>
            </w:r>
          </w:p>
        </w:tc>
      </w:tr>
      <w:tr>
        <w:trPr>
          <w:trHeight w:val="273" w:hRule="atLeast"/>
        </w:trPr>
        <w:tc>
          <w:tcPr>
            <w:tcW w:w="1054" w:type="dxa"/>
          </w:tcPr>
          <w:p>
            <w:pPr>
              <w:pStyle w:val="TableParagraph"/>
              <w:spacing w:line="253" w:lineRule="exact"/>
              <w:ind w:left="347" w:right="235"/>
              <w:jc w:val="center"/>
              <w:rPr>
                <w:sz w:val="20"/>
              </w:rPr>
            </w:pPr>
            <w:r>
              <w:rPr>
                <w:w w:val="105"/>
                <w:sz w:val="20"/>
              </w:rPr>
              <w:t>31 </w:t>
            </w:r>
          </w:p>
        </w:tc>
        <w:tc>
          <w:tcPr>
            <w:tcW w:w="1054" w:type="dxa"/>
          </w:tcPr>
          <w:p>
            <w:pPr>
              <w:pStyle w:val="TableParagraph"/>
              <w:spacing w:line="253" w:lineRule="exact"/>
              <w:ind w:left="348" w:right="129"/>
              <w:jc w:val="center"/>
              <w:rPr>
                <w:sz w:val="20"/>
              </w:rPr>
            </w:pPr>
            <w:r>
              <w:rPr>
                <w:w w:val="105"/>
                <w:sz w:val="20"/>
              </w:rPr>
              <w:t>1.1  </w:t>
            </w:r>
          </w:p>
        </w:tc>
        <w:tc>
          <w:tcPr>
            <w:tcW w:w="1056" w:type="dxa"/>
          </w:tcPr>
          <w:p>
            <w:pPr>
              <w:pStyle w:val="TableParagraph"/>
              <w:spacing w:line="253" w:lineRule="exact"/>
              <w:ind w:right="147"/>
              <w:jc w:val="right"/>
              <w:rPr>
                <w:sz w:val="20"/>
              </w:rPr>
            </w:pPr>
            <w:r>
              <w:rPr>
                <w:w w:val="105"/>
                <w:sz w:val="20"/>
              </w:rPr>
              <w:t>1.3  </w:t>
            </w:r>
          </w:p>
        </w:tc>
        <w:tc>
          <w:tcPr>
            <w:tcW w:w="1054" w:type="dxa"/>
          </w:tcPr>
          <w:p>
            <w:pPr>
              <w:pStyle w:val="TableParagraph"/>
              <w:spacing w:line="253" w:lineRule="exact"/>
              <w:ind w:left="348" w:right="233"/>
              <w:jc w:val="center"/>
              <w:rPr>
                <w:sz w:val="20"/>
              </w:rPr>
            </w:pPr>
            <w:r>
              <w:rPr>
                <w:w w:val="105"/>
                <w:sz w:val="20"/>
              </w:rPr>
              <w:t>67 </w:t>
            </w:r>
          </w:p>
        </w:tc>
        <w:tc>
          <w:tcPr>
            <w:tcW w:w="1056" w:type="dxa"/>
          </w:tcPr>
          <w:p>
            <w:pPr>
              <w:pStyle w:val="TableParagraph"/>
              <w:spacing w:line="253" w:lineRule="exact"/>
              <w:ind w:right="94"/>
              <w:jc w:val="right"/>
              <w:rPr>
                <w:sz w:val="20"/>
              </w:rPr>
            </w:pPr>
            <w:r>
              <w:rPr>
                <w:w w:val="105"/>
                <w:sz w:val="20"/>
              </w:rPr>
              <w:t>30.0  </w:t>
            </w:r>
          </w:p>
        </w:tc>
        <w:tc>
          <w:tcPr>
            <w:tcW w:w="1056" w:type="dxa"/>
          </w:tcPr>
          <w:p>
            <w:pPr>
              <w:pStyle w:val="TableParagraph"/>
              <w:spacing w:line="253" w:lineRule="exact"/>
              <w:ind w:left="315"/>
              <w:rPr>
                <w:sz w:val="20"/>
              </w:rPr>
            </w:pPr>
            <w:r>
              <w:rPr>
                <w:w w:val="105"/>
                <w:sz w:val="20"/>
              </w:rPr>
              <w:t>19.0  </w:t>
            </w:r>
          </w:p>
        </w:tc>
        <w:tc>
          <w:tcPr>
            <w:tcW w:w="1210" w:type="dxa"/>
          </w:tcPr>
          <w:p>
            <w:pPr>
              <w:pStyle w:val="TableParagraph"/>
              <w:spacing w:line="253" w:lineRule="exact"/>
              <w:ind w:left="163" w:right="49"/>
              <w:jc w:val="center"/>
              <w:rPr>
                <w:sz w:val="20"/>
              </w:rPr>
            </w:pPr>
            <w:r>
              <w:rPr>
                <w:w w:val="105"/>
                <w:sz w:val="20"/>
              </w:rPr>
              <w:t>103 </w:t>
            </w:r>
          </w:p>
        </w:tc>
        <w:tc>
          <w:tcPr>
            <w:tcW w:w="994" w:type="dxa"/>
          </w:tcPr>
          <w:p>
            <w:pPr>
              <w:pStyle w:val="TableParagraph"/>
              <w:spacing w:line="253" w:lineRule="exact"/>
              <w:ind w:right="14"/>
              <w:jc w:val="right"/>
              <w:rPr>
                <w:sz w:val="20"/>
              </w:rPr>
            </w:pPr>
            <w:r>
              <w:rPr>
                <w:w w:val="105"/>
                <w:sz w:val="20"/>
              </w:rPr>
              <w:t>180.0  </w:t>
            </w:r>
          </w:p>
        </w:tc>
        <w:tc>
          <w:tcPr>
            <w:tcW w:w="1078" w:type="dxa"/>
          </w:tcPr>
          <w:p>
            <w:pPr>
              <w:pStyle w:val="TableParagraph"/>
              <w:spacing w:line="253" w:lineRule="exact"/>
              <w:ind w:right="55"/>
              <w:jc w:val="right"/>
              <w:rPr>
                <w:sz w:val="20"/>
              </w:rPr>
            </w:pPr>
            <w:r>
              <w:rPr>
                <w:w w:val="105"/>
                <w:sz w:val="20"/>
              </w:rPr>
              <w:t>190.0  </w:t>
            </w:r>
          </w:p>
        </w:tc>
      </w:tr>
      <w:tr>
        <w:trPr>
          <w:trHeight w:val="275" w:hRule="atLeast"/>
        </w:trPr>
        <w:tc>
          <w:tcPr>
            <w:tcW w:w="1054" w:type="dxa"/>
          </w:tcPr>
          <w:p>
            <w:pPr>
              <w:pStyle w:val="TableParagraph"/>
              <w:spacing w:line="256" w:lineRule="exact"/>
              <w:ind w:left="347" w:right="235"/>
              <w:jc w:val="center"/>
              <w:rPr>
                <w:sz w:val="20"/>
              </w:rPr>
            </w:pPr>
            <w:r>
              <w:rPr>
                <w:w w:val="105"/>
                <w:sz w:val="20"/>
              </w:rPr>
              <w:t>32 </w:t>
            </w:r>
          </w:p>
        </w:tc>
        <w:tc>
          <w:tcPr>
            <w:tcW w:w="1054" w:type="dxa"/>
          </w:tcPr>
          <w:p>
            <w:pPr>
              <w:pStyle w:val="TableParagraph"/>
              <w:spacing w:line="256" w:lineRule="exact"/>
              <w:ind w:left="348" w:right="129"/>
              <w:jc w:val="center"/>
              <w:rPr>
                <w:sz w:val="20"/>
              </w:rPr>
            </w:pPr>
            <w:r>
              <w:rPr>
                <w:w w:val="105"/>
                <w:sz w:val="20"/>
              </w:rPr>
              <w:t>1.2  </w:t>
            </w:r>
          </w:p>
        </w:tc>
        <w:tc>
          <w:tcPr>
            <w:tcW w:w="1056" w:type="dxa"/>
          </w:tcPr>
          <w:p>
            <w:pPr>
              <w:pStyle w:val="TableParagraph"/>
              <w:spacing w:line="256" w:lineRule="exact"/>
              <w:ind w:right="147"/>
              <w:jc w:val="right"/>
              <w:rPr>
                <w:sz w:val="20"/>
              </w:rPr>
            </w:pPr>
            <w:r>
              <w:rPr>
                <w:w w:val="105"/>
                <w:sz w:val="20"/>
              </w:rPr>
              <w:t>1.4  </w:t>
            </w:r>
          </w:p>
        </w:tc>
        <w:tc>
          <w:tcPr>
            <w:tcW w:w="1054" w:type="dxa"/>
          </w:tcPr>
          <w:p>
            <w:pPr>
              <w:pStyle w:val="TableParagraph"/>
              <w:spacing w:line="256" w:lineRule="exact"/>
              <w:ind w:left="348" w:right="233"/>
              <w:jc w:val="center"/>
              <w:rPr>
                <w:sz w:val="20"/>
              </w:rPr>
            </w:pPr>
            <w:r>
              <w:rPr>
                <w:w w:val="105"/>
                <w:sz w:val="20"/>
              </w:rPr>
              <w:t>68 </w:t>
            </w:r>
          </w:p>
        </w:tc>
        <w:tc>
          <w:tcPr>
            <w:tcW w:w="1056" w:type="dxa"/>
          </w:tcPr>
          <w:p>
            <w:pPr>
              <w:pStyle w:val="TableParagraph"/>
              <w:spacing w:line="256" w:lineRule="exact"/>
              <w:ind w:right="94"/>
              <w:jc w:val="right"/>
              <w:rPr>
                <w:sz w:val="20"/>
              </w:rPr>
            </w:pPr>
            <w:r>
              <w:rPr>
                <w:w w:val="105"/>
                <w:sz w:val="20"/>
              </w:rPr>
              <w:t>32.0  </w:t>
            </w:r>
          </w:p>
        </w:tc>
        <w:tc>
          <w:tcPr>
            <w:tcW w:w="1056" w:type="dxa"/>
          </w:tcPr>
          <w:p>
            <w:pPr>
              <w:pStyle w:val="TableParagraph"/>
              <w:spacing w:line="256" w:lineRule="exact"/>
              <w:ind w:left="315"/>
              <w:rPr>
                <w:sz w:val="20"/>
              </w:rPr>
            </w:pPr>
            <w:r>
              <w:rPr>
                <w:w w:val="105"/>
                <w:sz w:val="20"/>
              </w:rPr>
              <w:t>21.0  </w:t>
            </w:r>
          </w:p>
        </w:tc>
        <w:tc>
          <w:tcPr>
            <w:tcW w:w="1210" w:type="dxa"/>
          </w:tcPr>
          <w:p>
            <w:pPr>
              <w:pStyle w:val="TableParagraph"/>
              <w:spacing w:line="256" w:lineRule="exact"/>
              <w:ind w:left="163" w:right="49"/>
              <w:jc w:val="center"/>
              <w:rPr>
                <w:sz w:val="20"/>
              </w:rPr>
            </w:pPr>
            <w:r>
              <w:rPr>
                <w:w w:val="105"/>
                <w:sz w:val="20"/>
              </w:rPr>
              <w:t>104 </w:t>
            </w:r>
          </w:p>
        </w:tc>
        <w:tc>
          <w:tcPr>
            <w:tcW w:w="994" w:type="dxa"/>
          </w:tcPr>
          <w:p>
            <w:pPr>
              <w:pStyle w:val="TableParagraph"/>
              <w:spacing w:line="256" w:lineRule="exact"/>
              <w:ind w:right="14"/>
              <w:jc w:val="right"/>
              <w:rPr>
                <w:sz w:val="20"/>
              </w:rPr>
            </w:pPr>
            <w:r>
              <w:rPr>
                <w:w w:val="105"/>
                <w:sz w:val="20"/>
              </w:rPr>
              <w:t>190.0  </w:t>
            </w:r>
          </w:p>
        </w:tc>
        <w:tc>
          <w:tcPr>
            <w:tcW w:w="1078" w:type="dxa"/>
          </w:tcPr>
          <w:p>
            <w:pPr>
              <w:pStyle w:val="TableParagraph"/>
              <w:spacing w:line="256" w:lineRule="exact"/>
              <w:ind w:right="55"/>
              <w:jc w:val="right"/>
              <w:rPr>
                <w:sz w:val="20"/>
              </w:rPr>
            </w:pPr>
            <w:r>
              <w:rPr>
                <w:w w:val="105"/>
                <w:sz w:val="20"/>
              </w:rPr>
              <w:t>200.0  </w:t>
            </w:r>
          </w:p>
        </w:tc>
      </w:tr>
      <w:tr>
        <w:trPr>
          <w:trHeight w:val="273" w:hRule="atLeast"/>
        </w:trPr>
        <w:tc>
          <w:tcPr>
            <w:tcW w:w="1054" w:type="dxa"/>
          </w:tcPr>
          <w:p>
            <w:pPr>
              <w:pStyle w:val="TableParagraph"/>
              <w:spacing w:line="253" w:lineRule="exact"/>
              <w:ind w:left="347" w:right="235"/>
              <w:jc w:val="center"/>
              <w:rPr>
                <w:sz w:val="20"/>
              </w:rPr>
            </w:pPr>
            <w:r>
              <w:rPr>
                <w:w w:val="105"/>
                <w:sz w:val="20"/>
              </w:rPr>
              <w:t>33 </w:t>
            </w:r>
          </w:p>
        </w:tc>
        <w:tc>
          <w:tcPr>
            <w:tcW w:w="1054" w:type="dxa"/>
          </w:tcPr>
          <w:p>
            <w:pPr>
              <w:pStyle w:val="TableParagraph"/>
              <w:spacing w:line="253" w:lineRule="exact"/>
              <w:ind w:left="348" w:right="129"/>
              <w:jc w:val="center"/>
              <w:rPr>
                <w:sz w:val="20"/>
              </w:rPr>
            </w:pPr>
            <w:r>
              <w:rPr>
                <w:w w:val="105"/>
                <w:sz w:val="20"/>
              </w:rPr>
              <w:t>1.2  </w:t>
            </w:r>
          </w:p>
        </w:tc>
        <w:tc>
          <w:tcPr>
            <w:tcW w:w="1056" w:type="dxa"/>
          </w:tcPr>
          <w:p>
            <w:pPr>
              <w:pStyle w:val="TableParagraph"/>
              <w:spacing w:line="253" w:lineRule="exact"/>
              <w:ind w:right="147"/>
              <w:jc w:val="right"/>
              <w:rPr>
                <w:sz w:val="20"/>
              </w:rPr>
            </w:pPr>
            <w:r>
              <w:rPr>
                <w:w w:val="105"/>
                <w:sz w:val="20"/>
              </w:rPr>
              <w:t>1.5  </w:t>
            </w:r>
          </w:p>
        </w:tc>
        <w:tc>
          <w:tcPr>
            <w:tcW w:w="1054" w:type="dxa"/>
          </w:tcPr>
          <w:p>
            <w:pPr>
              <w:pStyle w:val="TableParagraph"/>
              <w:spacing w:line="253" w:lineRule="exact"/>
              <w:ind w:left="348" w:right="233"/>
              <w:jc w:val="center"/>
              <w:rPr>
                <w:sz w:val="20"/>
              </w:rPr>
            </w:pPr>
            <w:r>
              <w:rPr>
                <w:w w:val="105"/>
                <w:sz w:val="20"/>
              </w:rPr>
              <w:t>69 </w:t>
            </w:r>
          </w:p>
        </w:tc>
        <w:tc>
          <w:tcPr>
            <w:tcW w:w="1056" w:type="dxa"/>
          </w:tcPr>
          <w:p>
            <w:pPr>
              <w:pStyle w:val="TableParagraph"/>
              <w:spacing w:line="253" w:lineRule="exact"/>
              <w:ind w:right="94"/>
              <w:jc w:val="right"/>
              <w:rPr>
                <w:sz w:val="20"/>
              </w:rPr>
            </w:pPr>
            <w:r>
              <w:rPr>
                <w:w w:val="105"/>
                <w:sz w:val="20"/>
              </w:rPr>
              <w:t>35.0  </w:t>
            </w:r>
          </w:p>
        </w:tc>
        <w:tc>
          <w:tcPr>
            <w:tcW w:w="1056" w:type="dxa"/>
          </w:tcPr>
          <w:p>
            <w:pPr>
              <w:pStyle w:val="TableParagraph"/>
              <w:spacing w:line="253" w:lineRule="exact"/>
              <w:ind w:left="315"/>
              <w:rPr>
                <w:sz w:val="20"/>
              </w:rPr>
            </w:pPr>
            <w:r>
              <w:rPr>
                <w:w w:val="105"/>
                <w:sz w:val="20"/>
              </w:rPr>
              <w:t>23.0  </w:t>
            </w:r>
          </w:p>
        </w:tc>
        <w:tc>
          <w:tcPr>
            <w:tcW w:w="1210" w:type="dxa"/>
          </w:tcPr>
          <w:p>
            <w:pPr>
              <w:pStyle w:val="TableParagraph"/>
              <w:spacing w:line="253" w:lineRule="exact"/>
              <w:ind w:left="60" w:right="49"/>
              <w:jc w:val="center"/>
              <w:rPr>
                <w:sz w:val="20"/>
              </w:rPr>
            </w:pPr>
            <w:r>
              <w:rPr>
                <w:w w:val="105"/>
                <w:sz w:val="20"/>
              </w:rPr>
              <w:t>105 及以上</w:t>
            </w:r>
          </w:p>
        </w:tc>
        <w:tc>
          <w:tcPr>
            <w:tcW w:w="994" w:type="dxa"/>
          </w:tcPr>
          <w:p>
            <w:pPr>
              <w:pStyle w:val="TableParagraph"/>
              <w:spacing w:line="253" w:lineRule="exact"/>
              <w:ind w:right="14"/>
              <w:jc w:val="right"/>
              <w:rPr>
                <w:sz w:val="20"/>
              </w:rPr>
            </w:pPr>
            <w:r>
              <w:rPr>
                <w:w w:val="105"/>
                <w:sz w:val="20"/>
              </w:rPr>
              <w:t>200.0  </w:t>
            </w:r>
          </w:p>
        </w:tc>
        <w:tc>
          <w:tcPr>
            <w:tcW w:w="1078" w:type="dxa"/>
          </w:tcPr>
          <w:p>
            <w:pPr>
              <w:pStyle w:val="TableParagraph"/>
              <w:spacing w:line="253" w:lineRule="exact"/>
              <w:ind w:right="55"/>
              <w:jc w:val="right"/>
              <w:rPr>
                <w:sz w:val="20"/>
              </w:rPr>
            </w:pPr>
            <w:r>
              <w:rPr>
                <w:w w:val="105"/>
                <w:sz w:val="20"/>
              </w:rPr>
              <w:t>200.0  </w:t>
            </w:r>
          </w:p>
        </w:tc>
      </w:tr>
      <w:tr>
        <w:trPr>
          <w:trHeight w:val="273" w:hRule="atLeast"/>
        </w:trPr>
        <w:tc>
          <w:tcPr>
            <w:tcW w:w="1054" w:type="dxa"/>
          </w:tcPr>
          <w:p>
            <w:pPr>
              <w:pStyle w:val="TableParagraph"/>
              <w:spacing w:line="253" w:lineRule="exact"/>
              <w:ind w:left="347" w:right="235"/>
              <w:jc w:val="center"/>
              <w:rPr>
                <w:sz w:val="20"/>
              </w:rPr>
            </w:pPr>
            <w:r>
              <w:rPr>
                <w:w w:val="105"/>
                <w:sz w:val="20"/>
              </w:rPr>
              <w:t>34 </w:t>
            </w:r>
          </w:p>
        </w:tc>
        <w:tc>
          <w:tcPr>
            <w:tcW w:w="1054" w:type="dxa"/>
          </w:tcPr>
          <w:p>
            <w:pPr>
              <w:pStyle w:val="TableParagraph"/>
              <w:spacing w:line="253" w:lineRule="exact"/>
              <w:ind w:left="348" w:right="129"/>
              <w:jc w:val="center"/>
              <w:rPr>
                <w:sz w:val="20"/>
              </w:rPr>
            </w:pPr>
            <w:r>
              <w:rPr>
                <w:w w:val="105"/>
                <w:sz w:val="20"/>
              </w:rPr>
              <w:t>1.3  </w:t>
            </w:r>
          </w:p>
        </w:tc>
        <w:tc>
          <w:tcPr>
            <w:tcW w:w="1056" w:type="dxa"/>
          </w:tcPr>
          <w:p>
            <w:pPr>
              <w:pStyle w:val="TableParagraph"/>
              <w:spacing w:line="253" w:lineRule="exact"/>
              <w:ind w:right="147"/>
              <w:jc w:val="right"/>
              <w:rPr>
                <w:sz w:val="20"/>
              </w:rPr>
            </w:pPr>
            <w:r>
              <w:rPr>
                <w:w w:val="105"/>
                <w:sz w:val="20"/>
              </w:rPr>
              <w:t>1.6  </w:t>
            </w:r>
          </w:p>
        </w:tc>
        <w:tc>
          <w:tcPr>
            <w:tcW w:w="1054" w:type="dxa"/>
          </w:tcPr>
          <w:p>
            <w:pPr>
              <w:pStyle w:val="TableParagraph"/>
              <w:spacing w:line="253" w:lineRule="exact"/>
              <w:ind w:left="348" w:right="233"/>
              <w:jc w:val="center"/>
              <w:rPr>
                <w:sz w:val="20"/>
              </w:rPr>
            </w:pPr>
            <w:r>
              <w:rPr>
                <w:w w:val="105"/>
                <w:sz w:val="20"/>
              </w:rPr>
              <w:t>70 </w:t>
            </w:r>
          </w:p>
        </w:tc>
        <w:tc>
          <w:tcPr>
            <w:tcW w:w="1056" w:type="dxa"/>
          </w:tcPr>
          <w:p>
            <w:pPr>
              <w:pStyle w:val="TableParagraph"/>
              <w:spacing w:line="253" w:lineRule="exact"/>
              <w:ind w:right="94"/>
              <w:jc w:val="right"/>
              <w:rPr>
                <w:sz w:val="20"/>
              </w:rPr>
            </w:pPr>
            <w:r>
              <w:rPr>
                <w:w w:val="105"/>
                <w:sz w:val="20"/>
              </w:rPr>
              <w:t>38.0  </w:t>
            </w:r>
          </w:p>
        </w:tc>
        <w:tc>
          <w:tcPr>
            <w:tcW w:w="1056" w:type="dxa"/>
          </w:tcPr>
          <w:p>
            <w:pPr>
              <w:pStyle w:val="TableParagraph"/>
              <w:spacing w:line="253" w:lineRule="exact"/>
              <w:ind w:left="315"/>
              <w:rPr>
                <w:sz w:val="20"/>
              </w:rPr>
            </w:pPr>
            <w:r>
              <w:rPr>
                <w:w w:val="105"/>
                <w:sz w:val="20"/>
              </w:rPr>
              <w:t>25.0  </w:t>
            </w:r>
          </w:p>
        </w:tc>
        <w:tc>
          <w:tcPr>
            <w:tcW w:w="1210" w:type="dxa"/>
          </w:tcPr>
          <w:p>
            <w:pPr>
              <w:pStyle w:val="TableParagraph"/>
              <w:spacing w:line="253" w:lineRule="exact"/>
              <w:ind w:left="112"/>
              <w:jc w:val="center"/>
              <w:rPr>
                <w:sz w:val="20"/>
              </w:rPr>
            </w:pPr>
            <w:r>
              <w:rPr>
                <w:w w:val="105"/>
                <w:sz w:val="20"/>
              </w:rPr>
              <w:t> </w:t>
            </w:r>
          </w:p>
        </w:tc>
        <w:tc>
          <w:tcPr>
            <w:tcW w:w="994" w:type="dxa"/>
          </w:tcPr>
          <w:p>
            <w:pPr>
              <w:pStyle w:val="TableParagraph"/>
              <w:spacing w:line="253" w:lineRule="exact"/>
              <w:ind w:left="108"/>
              <w:rPr>
                <w:sz w:val="20"/>
              </w:rPr>
            </w:pPr>
            <w:r>
              <w:rPr>
                <w:w w:val="105"/>
                <w:sz w:val="20"/>
              </w:rPr>
              <w:t> </w:t>
            </w:r>
          </w:p>
        </w:tc>
        <w:tc>
          <w:tcPr>
            <w:tcW w:w="1078" w:type="dxa"/>
          </w:tcPr>
          <w:p>
            <w:pPr>
              <w:pStyle w:val="TableParagraph"/>
              <w:spacing w:line="253" w:lineRule="exact"/>
              <w:ind w:left="105"/>
              <w:rPr>
                <w:sz w:val="20"/>
              </w:rPr>
            </w:pPr>
            <w:r>
              <w:rPr>
                <w:w w:val="105"/>
                <w:sz w:val="20"/>
              </w:rPr>
              <w:t> </w:t>
            </w:r>
          </w:p>
        </w:tc>
      </w:tr>
      <w:tr>
        <w:trPr>
          <w:trHeight w:val="275" w:hRule="atLeast"/>
        </w:trPr>
        <w:tc>
          <w:tcPr>
            <w:tcW w:w="1054" w:type="dxa"/>
          </w:tcPr>
          <w:p>
            <w:pPr>
              <w:pStyle w:val="TableParagraph"/>
              <w:spacing w:line="256" w:lineRule="exact"/>
              <w:ind w:left="347" w:right="235"/>
              <w:jc w:val="center"/>
              <w:rPr>
                <w:sz w:val="20"/>
              </w:rPr>
            </w:pPr>
            <w:r>
              <w:rPr>
                <w:w w:val="105"/>
                <w:sz w:val="20"/>
              </w:rPr>
              <w:t>35 </w:t>
            </w:r>
          </w:p>
        </w:tc>
        <w:tc>
          <w:tcPr>
            <w:tcW w:w="1054" w:type="dxa"/>
          </w:tcPr>
          <w:p>
            <w:pPr>
              <w:pStyle w:val="TableParagraph"/>
              <w:spacing w:line="256" w:lineRule="exact"/>
              <w:ind w:left="348" w:right="129"/>
              <w:jc w:val="center"/>
              <w:rPr>
                <w:sz w:val="20"/>
              </w:rPr>
            </w:pPr>
            <w:r>
              <w:rPr>
                <w:w w:val="105"/>
                <w:sz w:val="20"/>
              </w:rPr>
              <w:t>1.5  </w:t>
            </w:r>
          </w:p>
        </w:tc>
        <w:tc>
          <w:tcPr>
            <w:tcW w:w="1056" w:type="dxa"/>
          </w:tcPr>
          <w:p>
            <w:pPr>
              <w:pStyle w:val="TableParagraph"/>
              <w:spacing w:line="256" w:lineRule="exact"/>
              <w:ind w:right="147"/>
              <w:jc w:val="right"/>
              <w:rPr>
                <w:sz w:val="20"/>
              </w:rPr>
            </w:pPr>
            <w:r>
              <w:rPr>
                <w:w w:val="105"/>
                <w:sz w:val="20"/>
              </w:rPr>
              <w:t>1.8  </w:t>
            </w:r>
          </w:p>
        </w:tc>
        <w:tc>
          <w:tcPr>
            <w:tcW w:w="1054" w:type="dxa"/>
          </w:tcPr>
          <w:p>
            <w:pPr>
              <w:pStyle w:val="TableParagraph"/>
              <w:spacing w:line="256" w:lineRule="exact"/>
              <w:ind w:left="348" w:right="233"/>
              <w:jc w:val="center"/>
              <w:rPr>
                <w:sz w:val="20"/>
              </w:rPr>
            </w:pPr>
            <w:r>
              <w:rPr>
                <w:w w:val="105"/>
                <w:sz w:val="20"/>
              </w:rPr>
              <w:t>71 </w:t>
            </w:r>
          </w:p>
        </w:tc>
        <w:tc>
          <w:tcPr>
            <w:tcW w:w="1056" w:type="dxa"/>
          </w:tcPr>
          <w:p>
            <w:pPr>
              <w:pStyle w:val="TableParagraph"/>
              <w:spacing w:line="256" w:lineRule="exact"/>
              <w:ind w:right="94"/>
              <w:jc w:val="right"/>
              <w:rPr>
                <w:sz w:val="20"/>
              </w:rPr>
            </w:pPr>
            <w:r>
              <w:rPr>
                <w:w w:val="105"/>
                <w:sz w:val="20"/>
              </w:rPr>
              <w:t>41.0  </w:t>
            </w:r>
          </w:p>
        </w:tc>
        <w:tc>
          <w:tcPr>
            <w:tcW w:w="1056" w:type="dxa"/>
          </w:tcPr>
          <w:p>
            <w:pPr>
              <w:pStyle w:val="TableParagraph"/>
              <w:spacing w:line="256" w:lineRule="exact"/>
              <w:ind w:left="315"/>
              <w:rPr>
                <w:sz w:val="20"/>
              </w:rPr>
            </w:pPr>
            <w:r>
              <w:rPr>
                <w:w w:val="105"/>
                <w:sz w:val="20"/>
              </w:rPr>
              <w:t>27.0  </w:t>
            </w:r>
          </w:p>
        </w:tc>
        <w:tc>
          <w:tcPr>
            <w:tcW w:w="1210" w:type="dxa"/>
          </w:tcPr>
          <w:p>
            <w:pPr>
              <w:pStyle w:val="TableParagraph"/>
              <w:spacing w:line="256" w:lineRule="exact"/>
              <w:ind w:left="112"/>
              <w:jc w:val="center"/>
              <w:rPr>
                <w:sz w:val="20"/>
              </w:rPr>
            </w:pPr>
            <w:r>
              <w:rPr>
                <w:w w:val="105"/>
                <w:sz w:val="20"/>
              </w:rPr>
              <w:t> </w:t>
            </w:r>
          </w:p>
        </w:tc>
        <w:tc>
          <w:tcPr>
            <w:tcW w:w="994" w:type="dxa"/>
          </w:tcPr>
          <w:p>
            <w:pPr>
              <w:pStyle w:val="TableParagraph"/>
              <w:spacing w:line="256" w:lineRule="exact"/>
              <w:ind w:left="108"/>
              <w:rPr>
                <w:sz w:val="20"/>
              </w:rPr>
            </w:pPr>
            <w:r>
              <w:rPr>
                <w:w w:val="105"/>
                <w:sz w:val="20"/>
              </w:rPr>
              <w:t> </w:t>
            </w:r>
          </w:p>
        </w:tc>
        <w:tc>
          <w:tcPr>
            <w:tcW w:w="1078" w:type="dxa"/>
          </w:tcPr>
          <w:p>
            <w:pPr>
              <w:pStyle w:val="TableParagraph"/>
              <w:spacing w:line="256" w:lineRule="exact"/>
              <w:ind w:left="105"/>
              <w:rPr>
                <w:sz w:val="20"/>
              </w:rPr>
            </w:pPr>
            <w:r>
              <w:rPr>
                <w:w w:val="105"/>
                <w:sz w:val="20"/>
              </w:rPr>
              <w:t> </w:t>
            </w:r>
          </w:p>
        </w:tc>
      </w:tr>
    </w:tbl>
    <w:p>
      <w:pPr>
        <w:pStyle w:val="BodyText"/>
        <w:spacing w:before="10"/>
        <w:rPr>
          <w:sz w:val="23"/>
        </w:rPr>
      </w:pPr>
    </w:p>
    <w:p>
      <w:pPr>
        <w:pStyle w:val="BodyText"/>
        <w:ind w:left="119"/>
      </w:pPr>
      <w:r>
        <w:rPr>
          <w:w w:val="105"/>
        </w:rPr>
        <w:t> </w:t>
      </w:r>
      <w:r>
        <w:rPr>
          <w:w w:val="105"/>
        </w:rPr>
        <w:t>注: </w:t>
      </w:r>
    </w:p>
    <w:p>
      <w:pPr>
        <w:pStyle w:val="ListParagraph"/>
        <w:numPr>
          <w:ilvl w:val="0"/>
          <w:numId w:val="14"/>
        </w:numPr>
        <w:tabs>
          <w:tab w:pos="687" w:val="left" w:leader="none"/>
        </w:tabs>
        <w:spacing w:line="240" w:lineRule="auto" w:before="50" w:after="0"/>
        <w:ind w:left="686" w:right="0" w:hanging="283"/>
        <w:jc w:val="left"/>
        <w:rPr>
          <w:sz w:val="20"/>
        </w:rPr>
      </w:pPr>
      <w:r>
        <w:rPr>
          <w:spacing w:val="-3"/>
          <w:w w:val="105"/>
          <w:sz w:val="20"/>
        </w:rPr>
        <w:t>年龄指风险保险费扣除日被保险人当时的年龄；</w:t>
      </w:r>
      <w:r>
        <w:rPr>
          <w:w w:val="105"/>
          <w:sz w:val="20"/>
        </w:rPr>
        <w:t> </w:t>
      </w:r>
    </w:p>
    <w:p>
      <w:pPr>
        <w:pStyle w:val="ListParagraph"/>
        <w:numPr>
          <w:ilvl w:val="0"/>
          <w:numId w:val="14"/>
        </w:numPr>
        <w:tabs>
          <w:tab w:pos="687" w:val="left" w:leader="none"/>
        </w:tabs>
        <w:spacing w:line="240" w:lineRule="auto" w:before="50" w:after="0"/>
        <w:ind w:left="686" w:right="0" w:hanging="283"/>
        <w:jc w:val="left"/>
        <w:rPr>
          <w:sz w:val="20"/>
        </w:rPr>
      </w:pPr>
      <w:r>
        <w:rPr>
          <w:spacing w:val="-3"/>
          <w:w w:val="105"/>
          <w:sz w:val="20"/>
        </w:rPr>
        <w:t>上表所载年风险保险费仅适用于标准体，次标准体的年风险保险费将根据其风险程度相应增加。</w:t>
      </w:r>
      <w:r>
        <w:rPr>
          <w:w w:val="105"/>
          <w:sz w:val="20"/>
        </w:rPr>
        <w:t> </w:t>
      </w:r>
    </w:p>
    <w:sectPr>
      <w:pgSz w:w="11900" w:h="16840"/>
      <w:pgMar w:header="0" w:footer="440" w:top="1120" w:bottom="6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等线">
    <w:altName w:val="等线"/>
    <w:charset w:val="86"/>
    <w:family w:val="auto"/>
    <w:pitch w:val="variable"/>
  </w:font>
  <w:font w:name="Yu Gothic">
    <w:altName w:val="Yu Gothic"/>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479889pt;margin-top:808.999817pt;width:74.4pt;height:11.6pt;mso-position-horizontal-relative:page;mso-position-vertical-relative:page;z-index:-98104"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7</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817pt;width:78.95pt;height:11.6pt;mso-position-horizontal-relative:page;mso-position-vertical-relative:page;z-index:-9808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686" w:hanging="284"/>
        <w:jc w:val="left"/>
      </w:pPr>
      <w:rPr>
        <w:rFonts w:hint="default" w:ascii="宋体" w:hAnsi="宋体" w:eastAsia="宋体" w:cs="宋体"/>
        <w:spacing w:val="-1"/>
        <w:w w:val="105"/>
        <w:sz w:val="20"/>
        <w:szCs w:val="20"/>
      </w:rPr>
    </w:lvl>
    <w:lvl w:ilvl="1">
      <w:start w:val="0"/>
      <w:numFmt w:val="bullet"/>
      <w:lvlText w:val="•"/>
      <w:lvlJc w:val="left"/>
      <w:pPr>
        <w:ind w:left="1610" w:hanging="284"/>
      </w:pPr>
      <w:rPr>
        <w:rFonts w:hint="default"/>
      </w:rPr>
    </w:lvl>
    <w:lvl w:ilvl="2">
      <w:start w:val="0"/>
      <w:numFmt w:val="bullet"/>
      <w:lvlText w:val="•"/>
      <w:lvlJc w:val="left"/>
      <w:pPr>
        <w:ind w:left="2540" w:hanging="284"/>
      </w:pPr>
      <w:rPr>
        <w:rFonts w:hint="default"/>
      </w:rPr>
    </w:lvl>
    <w:lvl w:ilvl="3">
      <w:start w:val="0"/>
      <w:numFmt w:val="bullet"/>
      <w:lvlText w:val="•"/>
      <w:lvlJc w:val="left"/>
      <w:pPr>
        <w:ind w:left="3470" w:hanging="284"/>
      </w:pPr>
      <w:rPr>
        <w:rFonts w:hint="default"/>
      </w:rPr>
    </w:lvl>
    <w:lvl w:ilvl="4">
      <w:start w:val="0"/>
      <w:numFmt w:val="bullet"/>
      <w:lvlText w:val="•"/>
      <w:lvlJc w:val="left"/>
      <w:pPr>
        <w:ind w:left="4400" w:hanging="284"/>
      </w:pPr>
      <w:rPr>
        <w:rFonts w:hint="default"/>
      </w:rPr>
    </w:lvl>
    <w:lvl w:ilvl="5">
      <w:start w:val="0"/>
      <w:numFmt w:val="bullet"/>
      <w:lvlText w:val="•"/>
      <w:lvlJc w:val="left"/>
      <w:pPr>
        <w:ind w:left="5330" w:hanging="284"/>
      </w:pPr>
      <w:rPr>
        <w:rFonts w:hint="default"/>
      </w:rPr>
    </w:lvl>
    <w:lvl w:ilvl="6">
      <w:start w:val="0"/>
      <w:numFmt w:val="bullet"/>
      <w:lvlText w:val="•"/>
      <w:lvlJc w:val="left"/>
      <w:pPr>
        <w:ind w:left="6260" w:hanging="284"/>
      </w:pPr>
      <w:rPr>
        <w:rFonts w:hint="default"/>
      </w:rPr>
    </w:lvl>
    <w:lvl w:ilvl="7">
      <w:start w:val="0"/>
      <w:numFmt w:val="bullet"/>
      <w:lvlText w:val="•"/>
      <w:lvlJc w:val="left"/>
      <w:pPr>
        <w:ind w:left="7190" w:hanging="284"/>
      </w:pPr>
      <w:rPr>
        <w:rFonts w:hint="default"/>
      </w:rPr>
    </w:lvl>
    <w:lvl w:ilvl="8">
      <w:start w:val="0"/>
      <w:numFmt w:val="bullet"/>
      <w:lvlText w:val="•"/>
      <w:lvlJc w:val="left"/>
      <w:pPr>
        <w:ind w:left="8120" w:hanging="284"/>
      </w:pPr>
      <w:rPr>
        <w:rFonts w:hint="default"/>
      </w:rPr>
    </w:lvl>
  </w:abstractNum>
  <w:abstractNum w:abstractNumId="12">
    <w:multiLevelType w:val="hybridMultilevel"/>
    <w:lvl w:ilvl="0">
      <w:start w:val="5"/>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11">
    <w:multiLevelType w:val="hybridMultilevel"/>
    <w:lvl w:ilvl="0">
      <w:start w:val="4"/>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10">
    <w:multiLevelType w:val="hybridMultilevel"/>
    <w:lvl w:ilvl="0">
      <w:start w:val="3"/>
      <w:numFmt w:val="decimal"/>
      <w:lvlText w:val="%1"/>
      <w:lvlJc w:val="left"/>
      <w:pPr>
        <w:ind w:left="549" w:hanging="321"/>
        <w:jc w:val="left"/>
      </w:pPr>
      <w:rPr>
        <w:rFonts w:hint="default"/>
      </w:rPr>
    </w:lvl>
    <w:lvl w:ilvl="1">
      <w:start w:val="1"/>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3933" w:hanging="321"/>
      </w:pPr>
      <w:rPr>
        <w:rFonts w:hint="default"/>
      </w:rPr>
    </w:lvl>
    <w:lvl w:ilvl="3">
      <w:start w:val="0"/>
      <w:numFmt w:val="bullet"/>
      <w:lvlText w:val="•"/>
      <w:lvlJc w:val="left"/>
      <w:pPr>
        <w:ind w:left="4786" w:hanging="321"/>
      </w:pPr>
      <w:rPr>
        <w:rFonts w:hint="default"/>
      </w:rPr>
    </w:lvl>
    <w:lvl w:ilvl="4">
      <w:start w:val="0"/>
      <w:numFmt w:val="bullet"/>
      <w:lvlText w:val="•"/>
      <w:lvlJc w:val="left"/>
      <w:pPr>
        <w:ind w:left="5640" w:hanging="321"/>
      </w:pPr>
      <w:rPr>
        <w:rFonts w:hint="default"/>
      </w:rPr>
    </w:lvl>
    <w:lvl w:ilvl="5">
      <w:start w:val="0"/>
      <w:numFmt w:val="bullet"/>
      <w:lvlText w:val="•"/>
      <w:lvlJc w:val="left"/>
      <w:pPr>
        <w:ind w:left="6493" w:hanging="321"/>
      </w:pPr>
      <w:rPr>
        <w:rFonts w:hint="default"/>
      </w:rPr>
    </w:lvl>
    <w:lvl w:ilvl="6">
      <w:start w:val="0"/>
      <w:numFmt w:val="bullet"/>
      <w:lvlText w:val="•"/>
      <w:lvlJc w:val="left"/>
      <w:pPr>
        <w:ind w:left="7346" w:hanging="321"/>
      </w:pPr>
      <w:rPr>
        <w:rFonts w:hint="default"/>
      </w:rPr>
    </w:lvl>
    <w:lvl w:ilvl="7">
      <w:start w:val="0"/>
      <w:numFmt w:val="bullet"/>
      <w:lvlText w:val="•"/>
      <w:lvlJc w:val="left"/>
      <w:pPr>
        <w:ind w:left="8200" w:hanging="321"/>
      </w:pPr>
      <w:rPr>
        <w:rFonts w:hint="default"/>
      </w:rPr>
    </w:lvl>
    <w:lvl w:ilvl="8">
      <w:start w:val="0"/>
      <w:numFmt w:val="bullet"/>
      <w:lvlText w:val="•"/>
      <w:lvlJc w:val="left"/>
      <w:pPr>
        <w:ind w:left="9053" w:hanging="321"/>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3933" w:hanging="321"/>
      </w:pPr>
      <w:rPr>
        <w:rFonts w:hint="default"/>
      </w:rPr>
    </w:lvl>
    <w:lvl w:ilvl="3">
      <w:start w:val="0"/>
      <w:numFmt w:val="bullet"/>
      <w:lvlText w:val="•"/>
      <w:lvlJc w:val="left"/>
      <w:pPr>
        <w:ind w:left="4786" w:hanging="321"/>
      </w:pPr>
      <w:rPr>
        <w:rFonts w:hint="default"/>
      </w:rPr>
    </w:lvl>
    <w:lvl w:ilvl="4">
      <w:start w:val="0"/>
      <w:numFmt w:val="bullet"/>
      <w:lvlText w:val="•"/>
      <w:lvlJc w:val="left"/>
      <w:pPr>
        <w:ind w:left="5640" w:hanging="321"/>
      </w:pPr>
      <w:rPr>
        <w:rFonts w:hint="default"/>
      </w:rPr>
    </w:lvl>
    <w:lvl w:ilvl="5">
      <w:start w:val="0"/>
      <w:numFmt w:val="bullet"/>
      <w:lvlText w:val="•"/>
      <w:lvlJc w:val="left"/>
      <w:pPr>
        <w:ind w:left="6493" w:hanging="321"/>
      </w:pPr>
      <w:rPr>
        <w:rFonts w:hint="default"/>
      </w:rPr>
    </w:lvl>
    <w:lvl w:ilvl="6">
      <w:start w:val="0"/>
      <w:numFmt w:val="bullet"/>
      <w:lvlText w:val="•"/>
      <w:lvlJc w:val="left"/>
      <w:pPr>
        <w:ind w:left="7346" w:hanging="321"/>
      </w:pPr>
      <w:rPr>
        <w:rFonts w:hint="default"/>
      </w:rPr>
    </w:lvl>
    <w:lvl w:ilvl="7">
      <w:start w:val="0"/>
      <w:numFmt w:val="bullet"/>
      <w:lvlText w:val="•"/>
      <w:lvlJc w:val="left"/>
      <w:pPr>
        <w:ind w:left="8200" w:hanging="321"/>
      </w:pPr>
      <w:rPr>
        <w:rFonts w:hint="default"/>
      </w:rPr>
    </w:lvl>
    <w:lvl w:ilvl="8">
      <w:start w:val="0"/>
      <w:numFmt w:val="bullet"/>
      <w:lvlText w:val="•"/>
      <w:lvlJc w:val="left"/>
      <w:pPr>
        <w:ind w:left="9053" w:hanging="321"/>
      </w:pPr>
      <w:rPr>
        <w:rFonts w:hint="default"/>
      </w:rPr>
    </w:lvl>
  </w:abstractNum>
  <w:abstractNum w:abstractNumId="7">
    <w:multiLevelType w:val="hybridMultilevel"/>
    <w:lvl w:ilvl="0">
      <w:start w:val="8"/>
      <w:numFmt w:val="decimal"/>
      <w:lvlText w:val="%1"/>
      <w:lvlJc w:val="left"/>
      <w:pPr>
        <w:ind w:left="1954" w:hanging="370"/>
        <w:jc w:val="left"/>
      </w:pPr>
      <w:rPr>
        <w:rFonts w:hint="default"/>
      </w:rPr>
    </w:lvl>
    <w:lvl w:ilvl="1">
      <w:start w:val="1"/>
      <w:numFmt w:val="decimal"/>
      <w:lvlText w:val="%1.%2"/>
      <w:lvlJc w:val="left"/>
      <w:pPr>
        <w:ind w:left="1954" w:hanging="370"/>
        <w:jc w:val="left"/>
      </w:pPr>
      <w:rPr>
        <w:rFonts w:hint="default" w:ascii="宋体" w:hAnsi="宋体" w:eastAsia="宋体" w:cs="宋体"/>
        <w:spacing w:val="-1"/>
        <w:w w:val="105"/>
        <w:sz w:val="20"/>
        <w:szCs w:val="20"/>
      </w:rPr>
    </w:lvl>
    <w:lvl w:ilvl="2">
      <w:start w:val="0"/>
      <w:numFmt w:val="bullet"/>
      <w:lvlText w:val="•"/>
      <w:lvlJc w:val="left"/>
      <w:pPr>
        <w:ind w:left="2870" w:hanging="370"/>
      </w:pPr>
      <w:rPr>
        <w:rFonts w:hint="default"/>
      </w:rPr>
    </w:lvl>
    <w:lvl w:ilvl="3">
      <w:start w:val="0"/>
      <w:numFmt w:val="bullet"/>
      <w:lvlText w:val="•"/>
      <w:lvlJc w:val="left"/>
      <w:pPr>
        <w:ind w:left="3325" w:hanging="370"/>
      </w:pPr>
      <w:rPr>
        <w:rFonts w:hint="default"/>
      </w:rPr>
    </w:lvl>
    <w:lvl w:ilvl="4">
      <w:start w:val="0"/>
      <w:numFmt w:val="bullet"/>
      <w:lvlText w:val="•"/>
      <w:lvlJc w:val="left"/>
      <w:pPr>
        <w:ind w:left="3780" w:hanging="370"/>
      </w:pPr>
      <w:rPr>
        <w:rFonts w:hint="default"/>
      </w:rPr>
    </w:lvl>
    <w:lvl w:ilvl="5">
      <w:start w:val="0"/>
      <w:numFmt w:val="bullet"/>
      <w:lvlText w:val="•"/>
      <w:lvlJc w:val="left"/>
      <w:pPr>
        <w:ind w:left="4235" w:hanging="370"/>
      </w:pPr>
      <w:rPr>
        <w:rFonts w:hint="default"/>
      </w:rPr>
    </w:lvl>
    <w:lvl w:ilvl="6">
      <w:start w:val="0"/>
      <w:numFmt w:val="bullet"/>
      <w:lvlText w:val="•"/>
      <w:lvlJc w:val="left"/>
      <w:pPr>
        <w:ind w:left="4690" w:hanging="370"/>
      </w:pPr>
      <w:rPr>
        <w:rFonts w:hint="default"/>
      </w:rPr>
    </w:lvl>
    <w:lvl w:ilvl="7">
      <w:start w:val="0"/>
      <w:numFmt w:val="bullet"/>
      <w:lvlText w:val="•"/>
      <w:lvlJc w:val="left"/>
      <w:pPr>
        <w:ind w:left="5145" w:hanging="370"/>
      </w:pPr>
      <w:rPr>
        <w:rFonts w:hint="default"/>
      </w:rPr>
    </w:lvl>
    <w:lvl w:ilvl="8">
      <w:start w:val="0"/>
      <w:numFmt w:val="bullet"/>
      <w:lvlText w:val="•"/>
      <w:lvlJc w:val="left"/>
      <w:pPr>
        <w:ind w:left="5600" w:hanging="370"/>
      </w:pPr>
      <w:rPr>
        <w:rFonts w:hint="default"/>
      </w:rPr>
    </w:lvl>
  </w:abstractNum>
  <w:abstractNum w:abstractNumId="6">
    <w:multiLevelType w:val="hybridMultilevel"/>
    <w:lvl w:ilvl="0">
      <w:start w:val="7"/>
      <w:numFmt w:val="decimal"/>
      <w:lvlText w:val="%1"/>
      <w:lvlJc w:val="left"/>
      <w:pPr>
        <w:ind w:left="1902" w:hanging="318"/>
        <w:jc w:val="left"/>
      </w:pPr>
      <w:rPr>
        <w:rFonts w:hint="default"/>
      </w:rPr>
    </w:lvl>
    <w:lvl w:ilvl="1">
      <w:start w:val="2"/>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822" w:hanging="318"/>
      </w:pPr>
      <w:rPr>
        <w:rFonts w:hint="default"/>
      </w:rPr>
    </w:lvl>
    <w:lvl w:ilvl="3">
      <w:start w:val="0"/>
      <w:numFmt w:val="bullet"/>
      <w:lvlText w:val="•"/>
      <w:lvlJc w:val="left"/>
      <w:pPr>
        <w:ind w:left="3283" w:hanging="318"/>
      </w:pPr>
      <w:rPr>
        <w:rFonts w:hint="default"/>
      </w:rPr>
    </w:lvl>
    <w:lvl w:ilvl="4">
      <w:start w:val="0"/>
      <w:numFmt w:val="bullet"/>
      <w:lvlText w:val="•"/>
      <w:lvlJc w:val="left"/>
      <w:pPr>
        <w:ind w:left="3744" w:hanging="318"/>
      </w:pPr>
      <w:rPr>
        <w:rFonts w:hint="default"/>
      </w:rPr>
    </w:lvl>
    <w:lvl w:ilvl="5">
      <w:start w:val="0"/>
      <w:numFmt w:val="bullet"/>
      <w:lvlText w:val="•"/>
      <w:lvlJc w:val="left"/>
      <w:pPr>
        <w:ind w:left="4205" w:hanging="318"/>
      </w:pPr>
      <w:rPr>
        <w:rFonts w:hint="default"/>
      </w:rPr>
    </w:lvl>
    <w:lvl w:ilvl="6">
      <w:start w:val="0"/>
      <w:numFmt w:val="bullet"/>
      <w:lvlText w:val="•"/>
      <w:lvlJc w:val="left"/>
      <w:pPr>
        <w:ind w:left="4666" w:hanging="318"/>
      </w:pPr>
      <w:rPr>
        <w:rFonts w:hint="default"/>
      </w:rPr>
    </w:lvl>
    <w:lvl w:ilvl="7">
      <w:start w:val="0"/>
      <w:numFmt w:val="bullet"/>
      <w:lvlText w:val="•"/>
      <w:lvlJc w:val="left"/>
      <w:pPr>
        <w:ind w:left="5127" w:hanging="318"/>
      </w:pPr>
      <w:rPr>
        <w:rFonts w:hint="default"/>
      </w:rPr>
    </w:lvl>
    <w:lvl w:ilvl="8">
      <w:start w:val="0"/>
      <w:numFmt w:val="bullet"/>
      <w:lvlText w:val="•"/>
      <w:lvlJc w:val="left"/>
      <w:pPr>
        <w:ind w:left="5588" w:hanging="318"/>
      </w:pPr>
      <w:rPr>
        <w:rFonts w:hint="default"/>
      </w:rPr>
    </w:lvl>
  </w:abstractNum>
  <w:abstractNum w:abstractNumId="5">
    <w:multiLevelType w:val="hybridMultilevel"/>
    <w:lvl w:ilvl="0">
      <w:start w:val="5"/>
      <w:numFmt w:val="decimal"/>
      <w:lvlText w:val="%1."/>
      <w:lvlJc w:val="left"/>
      <w:pPr>
        <w:ind w:left="1704" w:hanging="332"/>
        <w:jc w:val="left"/>
      </w:pPr>
      <w:rPr>
        <w:rFonts w:hint="default" w:ascii="Microsoft JhengHei" w:hAnsi="Microsoft JhengHei" w:eastAsia="Microsoft JhengHei" w:cs="Microsoft JhengHei"/>
        <w:b/>
        <w:bCs/>
        <w:spacing w:val="-3"/>
        <w:w w:val="90"/>
        <w:sz w:val="20"/>
        <w:szCs w:val="20"/>
      </w:rPr>
    </w:lvl>
    <w:lvl w:ilvl="1">
      <w:start w:val="1"/>
      <w:numFmt w:val="decimal"/>
      <w:lvlText w:val="%1.%2"/>
      <w:lvlJc w:val="left"/>
      <w:pPr>
        <w:ind w:left="1954" w:hanging="370"/>
        <w:jc w:val="left"/>
      </w:pPr>
      <w:rPr>
        <w:rFonts w:hint="default" w:ascii="宋体" w:hAnsi="宋体" w:eastAsia="宋体" w:cs="宋体"/>
        <w:spacing w:val="-1"/>
        <w:w w:val="105"/>
        <w:sz w:val="20"/>
        <w:szCs w:val="20"/>
      </w:rPr>
    </w:lvl>
    <w:lvl w:ilvl="2">
      <w:start w:val="0"/>
      <w:numFmt w:val="bullet"/>
      <w:lvlText w:val="•"/>
      <w:lvlJc w:val="left"/>
      <w:pPr>
        <w:ind w:left="2465" w:hanging="370"/>
      </w:pPr>
      <w:rPr>
        <w:rFonts w:hint="default"/>
      </w:rPr>
    </w:lvl>
    <w:lvl w:ilvl="3">
      <w:start w:val="0"/>
      <w:numFmt w:val="bullet"/>
      <w:lvlText w:val="•"/>
      <w:lvlJc w:val="left"/>
      <w:pPr>
        <w:ind w:left="2971" w:hanging="370"/>
      </w:pPr>
      <w:rPr>
        <w:rFonts w:hint="default"/>
      </w:rPr>
    </w:lvl>
    <w:lvl w:ilvl="4">
      <w:start w:val="0"/>
      <w:numFmt w:val="bullet"/>
      <w:lvlText w:val="•"/>
      <w:lvlJc w:val="left"/>
      <w:pPr>
        <w:ind w:left="3477" w:hanging="370"/>
      </w:pPr>
      <w:rPr>
        <w:rFonts w:hint="default"/>
      </w:rPr>
    </w:lvl>
    <w:lvl w:ilvl="5">
      <w:start w:val="0"/>
      <w:numFmt w:val="bullet"/>
      <w:lvlText w:val="•"/>
      <w:lvlJc w:val="left"/>
      <w:pPr>
        <w:ind w:left="3982" w:hanging="370"/>
      </w:pPr>
      <w:rPr>
        <w:rFonts w:hint="default"/>
      </w:rPr>
    </w:lvl>
    <w:lvl w:ilvl="6">
      <w:start w:val="0"/>
      <w:numFmt w:val="bullet"/>
      <w:lvlText w:val="•"/>
      <w:lvlJc w:val="left"/>
      <w:pPr>
        <w:ind w:left="4488" w:hanging="370"/>
      </w:pPr>
      <w:rPr>
        <w:rFonts w:hint="default"/>
      </w:rPr>
    </w:lvl>
    <w:lvl w:ilvl="7">
      <w:start w:val="0"/>
      <w:numFmt w:val="bullet"/>
      <w:lvlText w:val="•"/>
      <w:lvlJc w:val="left"/>
      <w:pPr>
        <w:ind w:left="4994" w:hanging="370"/>
      </w:pPr>
      <w:rPr>
        <w:rFonts w:hint="default"/>
      </w:rPr>
    </w:lvl>
    <w:lvl w:ilvl="8">
      <w:start w:val="0"/>
      <w:numFmt w:val="bullet"/>
      <w:lvlText w:val="•"/>
      <w:lvlJc w:val="left"/>
      <w:pPr>
        <w:ind w:left="5499" w:hanging="370"/>
      </w:pPr>
      <w:rPr>
        <w:rFonts w:hint="default"/>
      </w:rPr>
    </w:lvl>
  </w:abstractNum>
  <w:abstractNum w:abstractNumId="4">
    <w:multiLevelType w:val="hybridMultilevel"/>
    <w:lvl w:ilvl="0">
      <w:start w:val="4"/>
      <w:numFmt w:val="decimal"/>
      <w:lvlText w:val="%1"/>
      <w:lvlJc w:val="left"/>
      <w:pPr>
        <w:ind w:left="1954" w:hanging="370"/>
        <w:jc w:val="left"/>
      </w:pPr>
      <w:rPr>
        <w:rFonts w:hint="default"/>
      </w:rPr>
    </w:lvl>
    <w:lvl w:ilvl="1">
      <w:start w:val="1"/>
      <w:numFmt w:val="decimal"/>
      <w:lvlText w:val="%1.%2"/>
      <w:lvlJc w:val="left"/>
      <w:pPr>
        <w:ind w:left="1954" w:hanging="370"/>
        <w:jc w:val="left"/>
      </w:pPr>
      <w:rPr>
        <w:rFonts w:hint="default" w:ascii="宋体" w:hAnsi="宋体" w:eastAsia="宋体" w:cs="宋体"/>
        <w:spacing w:val="-1"/>
        <w:w w:val="105"/>
        <w:sz w:val="20"/>
        <w:szCs w:val="20"/>
      </w:rPr>
    </w:lvl>
    <w:lvl w:ilvl="2">
      <w:start w:val="0"/>
      <w:numFmt w:val="bullet"/>
      <w:lvlText w:val="•"/>
      <w:lvlJc w:val="left"/>
      <w:pPr>
        <w:ind w:left="2870" w:hanging="370"/>
      </w:pPr>
      <w:rPr>
        <w:rFonts w:hint="default"/>
      </w:rPr>
    </w:lvl>
    <w:lvl w:ilvl="3">
      <w:start w:val="0"/>
      <w:numFmt w:val="bullet"/>
      <w:lvlText w:val="•"/>
      <w:lvlJc w:val="left"/>
      <w:pPr>
        <w:ind w:left="3325" w:hanging="370"/>
      </w:pPr>
      <w:rPr>
        <w:rFonts w:hint="default"/>
      </w:rPr>
    </w:lvl>
    <w:lvl w:ilvl="4">
      <w:start w:val="0"/>
      <w:numFmt w:val="bullet"/>
      <w:lvlText w:val="•"/>
      <w:lvlJc w:val="left"/>
      <w:pPr>
        <w:ind w:left="3780" w:hanging="370"/>
      </w:pPr>
      <w:rPr>
        <w:rFonts w:hint="default"/>
      </w:rPr>
    </w:lvl>
    <w:lvl w:ilvl="5">
      <w:start w:val="0"/>
      <w:numFmt w:val="bullet"/>
      <w:lvlText w:val="•"/>
      <w:lvlJc w:val="left"/>
      <w:pPr>
        <w:ind w:left="4235" w:hanging="370"/>
      </w:pPr>
      <w:rPr>
        <w:rFonts w:hint="default"/>
      </w:rPr>
    </w:lvl>
    <w:lvl w:ilvl="6">
      <w:start w:val="0"/>
      <w:numFmt w:val="bullet"/>
      <w:lvlText w:val="•"/>
      <w:lvlJc w:val="left"/>
      <w:pPr>
        <w:ind w:left="4690" w:hanging="370"/>
      </w:pPr>
      <w:rPr>
        <w:rFonts w:hint="default"/>
      </w:rPr>
    </w:lvl>
    <w:lvl w:ilvl="7">
      <w:start w:val="0"/>
      <w:numFmt w:val="bullet"/>
      <w:lvlText w:val="•"/>
      <w:lvlJc w:val="left"/>
      <w:pPr>
        <w:ind w:left="5145" w:hanging="370"/>
      </w:pPr>
      <w:rPr>
        <w:rFonts w:hint="default"/>
      </w:rPr>
    </w:lvl>
    <w:lvl w:ilvl="8">
      <w:start w:val="0"/>
      <w:numFmt w:val="bullet"/>
      <w:lvlText w:val="•"/>
      <w:lvlJc w:val="left"/>
      <w:pPr>
        <w:ind w:left="5600" w:hanging="370"/>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584" w:hanging="318"/>
        <w:jc w:val="left"/>
      </w:pPr>
      <w:rPr>
        <w:rFonts w:hint="default" w:ascii="宋体" w:hAnsi="宋体" w:eastAsia="宋体" w:cs="宋体"/>
        <w:spacing w:val="-1"/>
        <w:w w:val="105"/>
        <w:sz w:val="19"/>
        <w:szCs w:val="19"/>
      </w:rPr>
    </w:lvl>
    <w:lvl w:ilvl="2">
      <w:start w:val="0"/>
      <w:numFmt w:val="bullet"/>
      <w:lvlText w:val="•"/>
      <w:lvlJc w:val="left"/>
      <w:pPr>
        <w:ind w:left="2087" w:hanging="318"/>
      </w:pPr>
      <w:rPr>
        <w:rFonts w:hint="default"/>
      </w:rPr>
    </w:lvl>
    <w:lvl w:ilvl="3">
      <w:start w:val="0"/>
      <w:numFmt w:val="bullet"/>
      <w:lvlText w:val="•"/>
      <w:lvlJc w:val="left"/>
      <w:pPr>
        <w:ind w:left="2275" w:hanging="318"/>
      </w:pPr>
      <w:rPr>
        <w:rFonts w:hint="default"/>
      </w:rPr>
    </w:lvl>
    <w:lvl w:ilvl="4">
      <w:start w:val="0"/>
      <w:numFmt w:val="bullet"/>
      <w:lvlText w:val="•"/>
      <w:lvlJc w:val="left"/>
      <w:pPr>
        <w:ind w:left="2463" w:hanging="318"/>
      </w:pPr>
      <w:rPr>
        <w:rFonts w:hint="default"/>
      </w:rPr>
    </w:lvl>
    <w:lvl w:ilvl="5">
      <w:start w:val="0"/>
      <w:numFmt w:val="bullet"/>
      <w:lvlText w:val="•"/>
      <w:lvlJc w:val="left"/>
      <w:pPr>
        <w:ind w:left="2651" w:hanging="318"/>
      </w:pPr>
      <w:rPr>
        <w:rFonts w:hint="default"/>
      </w:rPr>
    </w:lvl>
    <w:lvl w:ilvl="6">
      <w:start w:val="0"/>
      <w:numFmt w:val="bullet"/>
      <w:lvlText w:val="•"/>
      <w:lvlJc w:val="left"/>
      <w:pPr>
        <w:ind w:left="2839" w:hanging="318"/>
      </w:pPr>
      <w:rPr>
        <w:rFonts w:hint="default"/>
      </w:rPr>
    </w:lvl>
    <w:lvl w:ilvl="7">
      <w:start w:val="0"/>
      <w:numFmt w:val="bullet"/>
      <w:lvlText w:val="•"/>
      <w:lvlJc w:val="left"/>
      <w:pPr>
        <w:ind w:left="3027" w:hanging="318"/>
      </w:pPr>
      <w:rPr>
        <w:rFonts w:hint="default"/>
      </w:rPr>
    </w:lvl>
    <w:lvl w:ilvl="8">
      <w:start w:val="0"/>
      <w:numFmt w:val="bullet"/>
      <w:lvlText w:val="•"/>
      <w:lvlJc w:val="left"/>
      <w:pPr>
        <w:ind w:left="3215" w:hanging="318"/>
      </w:pPr>
      <w:rPr>
        <w:rFonts w:hint="default"/>
      </w:rPr>
    </w:lvl>
  </w:abstractNum>
  <w:abstractNum w:abstractNumId="1">
    <w:multiLevelType w:val="hybridMultilevel"/>
    <w:lvl w:ilvl="0">
      <w:start w:val="1"/>
      <w:numFmt w:val="decimal"/>
      <w:lvlText w:val="%1"/>
      <w:lvlJc w:val="left"/>
      <w:pPr>
        <w:ind w:left="1954" w:hanging="370"/>
        <w:jc w:val="left"/>
      </w:pPr>
      <w:rPr>
        <w:rFonts w:hint="default"/>
      </w:rPr>
    </w:lvl>
    <w:lvl w:ilvl="1">
      <w:start w:val="1"/>
      <w:numFmt w:val="decimal"/>
      <w:lvlText w:val="%1.%2"/>
      <w:lvlJc w:val="left"/>
      <w:pPr>
        <w:ind w:left="1954" w:hanging="370"/>
        <w:jc w:val="left"/>
      </w:pPr>
      <w:rPr>
        <w:rFonts w:hint="default" w:ascii="宋体" w:hAnsi="宋体" w:eastAsia="宋体" w:cs="宋体"/>
        <w:spacing w:val="-1"/>
        <w:w w:val="105"/>
        <w:sz w:val="20"/>
        <w:szCs w:val="20"/>
      </w:rPr>
    </w:lvl>
    <w:lvl w:ilvl="2">
      <w:start w:val="0"/>
      <w:numFmt w:val="bullet"/>
      <w:lvlText w:val="•"/>
      <w:lvlJc w:val="left"/>
      <w:pPr>
        <w:ind w:left="2286" w:hanging="370"/>
      </w:pPr>
      <w:rPr>
        <w:rFonts w:hint="default"/>
      </w:rPr>
    </w:lvl>
    <w:lvl w:ilvl="3">
      <w:start w:val="0"/>
      <w:numFmt w:val="bullet"/>
      <w:lvlText w:val="•"/>
      <w:lvlJc w:val="left"/>
      <w:pPr>
        <w:ind w:left="2449" w:hanging="370"/>
      </w:pPr>
      <w:rPr>
        <w:rFonts w:hint="default"/>
      </w:rPr>
    </w:lvl>
    <w:lvl w:ilvl="4">
      <w:start w:val="0"/>
      <w:numFmt w:val="bullet"/>
      <w:lvlText w:val="•"/>
      <w:lvlJc w:val="left"/>
      <w:pPr>
        <w:ind w:left="2612" w:hanging="370"/>
      </w:pPr>
      <w:rPr>
        <w:rFonts w:hint="default"/>
      </w:rPr>
    </w:lvl>
    <w:lvl w:ilvl="5">
      <w:start w:val="0"/>
      <w:numFmt w:val="bullet"/>
      <w:lvlText w:val="•"/>
      <w:lvlJc w:val="left"/>
      <w:pPr>
        <w:ind w:left="2775" w:hanging="370"/>
      </w:pPr>
      <w:rPr>
        <w:rFonts w:hint="default"/>
      </w:rPr>
    </w:lvl>
    <w:lvl w:ilvl="6">
      <w:start w:val="0"/>
      <w:numFmt w:val="bullet"/>
      <w:lvlText w:val="•"/>
      <w:lvlJc w:val="left"/>
      <w:pPr>
        <w:ind w:left="2938" w:hanging="370"/>
      </w:pPr>
      <w:rPr>
        <w:rFonts w:hint="default"/>
      </w:rPr>
    </w:lvl>
    <w:lvl w:ilvl="7">
      <w:start w:val="0"/>
      <w:numFmt w:val="bullet"/>
      <w:lvlText w:val="•"/>
      <w:lvlJc w:val="left"/>
      <w:pPr>
        <w:ind w:left="3101" w:hanging="370"/>
      </w:pPr>
      <w:rPr>
        <w:rFonts w:hint="default"/>
      </w:rPr>
    </w:lvl>
    <w:lvl w:ilvl="8">
      <w:start w:val="0"/>
      <w:numFmt w:val="bullet"/>
      <w:lvlText w:val="•"/>
      <w:lvlJc w:val="left"/>
      <w:pPr>
        <w:ind w:left="3264" w:hanging="370"/>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80" w:hanging="420"/>
      </w:pPr>
      <w:rPr>
        <w:rFonts w:hint="default"/>
      </w:rPr>
    </w:lvl>
    <w:lvl w:ilvl="2">
      <w:start w:val="0"/>
      <w:numFmt w:val="bullet"/>
      <w:lvlText w:val="•"/>
      <w:lvlJc w:val="left"/>
      <w:pPr>
        <w:ind w:left="3520" w:hanging="420"/>
      </w:pPr>
      <w:rPr>
        <w:rFonts w:hint="default"/>
      </w:rPr>
    </w:lvl>
    <w:lvl w:ilvl="3">
      <w:start w:val="0"/>
      <w:numFmt w:val="bullet"/>
      <w:lvlText w:val="•"/>
      <w:lvlJc w:val="left"/>
      <w:pPr>
        <w:ind w:left="4460" w:hanging="420"/>
      </w:pPr>
      <w:rPr>
        <w:rFonts w:hint="default"/>
      </w:rPr>
    </w:lvl>
    <w:lvl w:ilvl="4">
      <w:start w:val="0"/>
      <w:numFmt w:val="bullet"/>
      <w:lvlText w:val="•"/>
      <w:lvlJc w:val="left"/>
      <w:pPr>
        <w:ind w:left="5400" w:hanging="420"/>
      </w:pPr>
      <w:rPr>
        <w:rFonts w:hint="default"/>
      </w:rPr>
    </w:lvl>
    <w:lvl w:ilvl="5">
      <w:start w:val="0"/>
      <w:numFmt w:val="bullet"/>
      <w:lvlText w:val="•"/>
      <w:lvlJc w:val="left"/>
      <w:pPr>
        <w:ind w:left="6340" w:hanging="420"/>
      </w:pPr>
      <w:rPr>
        <w:rFonts w:hint="default"/>
      </w:rPr>
    </w:lvl>
    <w:lvl w:ilvl="6">
      <w:start w:val="0"/>
      <w:numFmt w:val="bullet"/>
      <w:lvlText w:val="•"/>
      <w:lvlJc w:val="left"/>
      <w:pPr>
        <w:ind w:left="7280" w:hanging="420"/>
      </w:pPr>
      <w:rPr>
        <w:rFonts w:hint="default"/>
      </w:rPr>
    </w:lvl>
    <w:lvl w:ilvl="7">
      <w:start w:val="0"/>
      <w:numFmt w:val="bullet"/>
      <w:lvlText w:val="•"/>
      <w:lvlJc w:val="left"/>
      <w:pPr>
        <w:ind w:left="8220" w:hanging="420"/>
      </w:pPr>
      <w:rPr>
        <w:rFonts w:hint="default"/>
      </w:rPr>
    </w:lvl>
    <w:lvl w:ilvl="8">
      <w:start w:val="0"/>
      <w:numFmt w:val="bullet"/>
      <w:lvlText w:val="•"/>
      <w:lvlJc w:val="left"/>
      <w:pPr>
        <w:ind w:left="9160"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917"/>
      <w:outlineLvl w:val="1"/>
    </w:pPr>
    <w:rPr>
      <w:rFonts w:ascii="宋体" w:hAnsi="宋体" w:eastAsia="宋体" w:cs="宋体"/>
      <w:sz w:val="44"/>
      <w:szCs w:val="44"/>
    </w:rPr>
  </w:style>
  <w:style w:styleId="Heading2" w:type="paragraph">
    <w:name w:val="Heading 2"/>
    <w:basedOn w:val="Normal"/>
    <w:uiPriority w:val="1"/>
    <w:qFormat/>
    <w:pPr>
      <w:spacing w:before="431"/>
      <w:ind w:left="113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41" w:lineRule="exact"/>
      <w:ind w:left="111"/>
      <w:outlineLvl w:val="3"/>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1954" w:hanging="37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yuchen</dc:creator>
  <dc:title>&lt;4D6963726F736F667420576F7264202D20325FBAEBBFB5B8BDBCD3B6EECDE2B8F8B8B6D6D8B4F3BCB2B2A1B1A3CFD5CCF5BFEE2028B6FECEACC2EB29&gt;</dc:title>
  <dcterms:created xsi:type="dcterms:W3CDTF">2018-10-20T04:16:49Z</dcterms:created>
  <dcterms:modified xsi:type="dcterms:W3CDTF">2018-10-20T04:16:49Z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