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16"/>
        </w:rPr>
      </w:pPr>
    </w:p>
    <w:p>
      <w:pPr>
        <w:spacing w:after="0"/>
        <w:rPr>
          <w:rFonts w:ascii="Times New Roman"/>
          <w:sz w:val="16"/>
        </w:rPr>
        <w:sectPr>
          <w:type w:val="continuous"/>
          <w:pgSz w:w="11910" w:h="16840"/>
          <w:pgMar w:top="560" w:bottom="280" w:left="920" w:right="600"/>
        </w:sectPr>
      </w:pPr>
    </w:p>
    <w:p>
      <w:pPr>
        <w:spacing w:before="39"/>
        <w:ind w:left="5023" w:right="0" w:firstLine="0"/>
        <w:jc w:val="left"/>
        <w:rPr>
          <w:sz w:val="20"/>
        </w:rPr>
      </w:pPr>
      <w:r>
        <w:rPr>
          <w:sz w:val="20"/>
        </w:rPr>
        <w:t>信泰人寿[2016</w:t>
      </w:r>
      <w:r>
        <w:rPr>
          <w:spacing w:val="-9"/>
          <w:sz w:val="20"/>
        </w:rPr>
        <w:t>]疾病保险 </w:t>
      </w:r>
      <w:r>
        <w:rPr>
          <w:sz w:val="20"/>
        </w:rPr>
        <w:t>051</w:t>
      </w:r>
      <w:r>
        <w:rPr>
          <w:spacing w:val="-28"/>
          <w:sz w:val="20"/>
        </w:rPr>
        <w:t> 号</w:t>
      </w:r>
    </w:p>
    <w:p>
      <w:pPr>
        <w:pStyle w:val="BodyText"/>
        <w:spacing w:before="0"/>
        <w:rPr>
          <w:sz w:val="20"/>
        </w:rPr>
      </w:pPr>
    </w:p>
    <w:p>
      <w:pPr>
        <w:spacing w:line="381" w:lineRule="auto" w:before="131"/>
        <w:ind w:left="4429" w:right="0" w:hanging="2258"/>
        <w:jc w:val="left"/>
        <w:rPr>
          <w:rFonts w:ascii="黑体" w:eastAsia="黑体" w:hint="eastAsia"/>
          <w:b/>
          <w:sz w:val="30"/>
        </w:rPr>
      </w:pPr>
      <w:r>
        <w:rPr/>
        <w:pict>
          <v:line style="position:absolute;mso-position-horizontal-relative:page;mso-position-vertical-relative:paragraph;z-index:1048" from="51pt,2.709827pt" to="544.2pt,2.709827pt" stroked="true" strokeweight=".71997pt" strokecolor="#000000">
            <v:stroke dashstyle="solid"/>
            <w10:wrap type="none"/>
          </v:line>
        </w:pict>
      </w:r>
      <w:r>
        <w:rPr>
          <w:rFonts w:ascii="黑体" w:eastAsia="黑体" w:hint="eastAsia"/>
          <w:b/>
          <w:spacing w:val="-8"/>
          <w:sz w:val="30"/>
        </w:rPr>
        <w:t>信泰恒泰重大疾病保险 </w:t>
      </w:r>
      <w:r>
        <w:rPr>
          <w:rFonts w:ascii="黑体" w:eastAsia="黑体" w:hint="eastAsia"/>
          <w:b/>
          <w:sz w:val="30"/>
        </w:rPr>
        <w:t>A</w:t>
      </w:r>
      <w:r>
        <w:rPr>
          <w:rFonts w:ascii="黑体" w:eastAsia="黑体" w:hint="eastAsia"/>
          <w:b/>
          <w:spacing w:val="-43"/>
          <w:sz w:val="30"/>
        </w:rPr>
        <w:t> 款</w:t>
      </w:r>
      <w:r>
        <w:rPr>
          <w:rFonts w:ascii="黑体" w:eastAsia="黑体" w:hint="eastAsia"/>
          <w:b/>
          <w:sz w:val="30"/>
        </w:rPr>
        <w:t>（尊享版）条款</w:t>
      </w:r>
      <w:r>
        <w:rPr>
          <w:rFonts w:ascii="黑体" w:eastAsia="黑体" w:hint="eastAsia"/>
          <w:b/>
          <w:w w:val="95"/>
          <w:sz w:val="30"/>
        </w:rPr>
        <w:t>阅读指引</w:t>
      </w:r>
    </w:p>
    <w:p>
      <w:pPr>
        <w:pStyle w:val="BodyText"/>
        <w:spacing w:before="8"/>
        <w:rPr>
          <w:rFonts w:ascii="黑体"/>
          <w:b/>
          <w:sz w:val="22"/>
        </w:rPr>
      </w:pPr>
      <w:r>
        <w:rPr/>
        <w:br w:type="column"/>
      </w:r>
      <w:r>
        <w:rPr>
          <w:rFonts w:ascii="黑体"/>
          <w:b/>
          <w:sz w:val="22"/>
        </w:rPr>
      </w:r>
    </w:p>
    <w:p>
      <w:pPr>
        <w:spacing w:before="1"/>
        <w:ind w:left="31" w:right="0" w:firstLine="0"/>
        <w:jc w:val="left"/>
        <w:rPr>
          <w:sz w:val="20"/>
        </w:rPr>
      </w:pPr>
      <w:r>
        <w:rPr/>
        <w:drawing>
          <wp:anchor distT="0" distB="0" distL="0" distR="0" allowOverlap="1" layoutInCell="1" locked="0" behindDoc="0" simplePos="0" relativeHeight="0">
            <wp:simplePos x="0" y="0"/>
            <wp:positionH relativeFrom="page">
              <wp:posOffset>5933694</wp:posOffset>
            </wp:positionH>
            <wp:positionV relativeFrom="paragraph">
              <wp:posOffset>-737997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920" w:right="600"/>
          <w:cols w:num="2" w:equalWidth="0">
            <w:col w:w="7892" w:space="40"/>
            <w:col w:w="2458"/>
          </w:cols>
        </w:sectPr>
      </w:pPr>
    </w:p>
    <w:p>
      <w:pPr>
        <w:pStyle w:val="BodyText"/>
        <w:spacing w:before="10"/>
        <w:rPr>
          <w:sz w:val="18"/>
        </w:rPr>
      </w:pPr>
    </w:p>
    <w:p>
      <w:pPr>
        <w:pStyle w:val="BodyText"/>
        <w:spacing w:before="36"/>
        <w:ind w:left="2196"/>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2"/>
        <w:tabs>
          <w:tab w:pos="1286" w:val="left" w:leader="none"/>
        </w:tabs>
        <w:spacing w:before="111"/>
        <w:ind w:left="277"/>
      </w:pPr>
      <w:r>
        <w:rPr/>
        <w:pict>
          <v:group style="position:absolute;margin-left:53.040001pt;margin-top:3.177993pt;width:507pt;height:589.950pt;mso-position-horizontal-relative:page;mso-position-vertical-relative:paragraph;z-index:-52600" coordorigin="1061,64" coordsize="10140,11799">
            <v:shape style="position:absolute;left:1060;top:63;width:10140;height:11799" type="#_x0000_t75" stroked="false">
              <v:imagedata r:id="rId6" o:title=""/>
            </v:shape>
            <v:rect style="position:absolute;left:1149;top:6447;width:9959;height:5339" filled="true" fillcolor="#ffffff" stroked="false">
              <v:fill type="solid"/>
            </v:rect>
            <v:rect style="position:absolute;left:1149;top:6447;width:9959;height:5339" filled="false" stroked="true" strokeweight=".75pt" strokecolor="#000000">
              <v:stroke dashstyle="dot"/>
            </v:rect>
            <w10:wrap type="none"/>
          </v:group>
        </w:pict>
      </w:r>
      <w:r>
        <w:rPr>
          <w:rFonts w:ascii="Arial" w:hAnsi="Arial" w:eastAsia="Arial"/>
          <w:w w:val="105"/>
          <w:position w:val="-11"/>
          <w:sz w:val="52"/>
        </w:rPr>
        <w:t></w:t>
        <w:tab/>
      </w:r>
      <w:r>
        <w:rPr>
          <w:w w:val="95"/>
        </w:rPr>
        <w:t>您拥有的重要权益</w:t>
      </w:r>
    </w:p>
    <w:p>
      <w:pPr>
        <w:pStyle w:val="Heading2"/>
        <w:numPr>
          <w:ilvl w:val="0"/>
          <w:numId w:val="1"/>
        </w:numPr>
        <w:tabs>
          <w:tab w:pos="1669" w:val="left" w:leader="none"/>
          <w:tab w:pos="1670" w:val="left" w:leader="none"/>
          <w:tab w:pos="9988" w:val="right" w:leader="dot"/>
        </w:tabs>
        <w:spacing w:line="240" w:lineRule="auto" w:before="24" w:after="0"/>
        <w:ind w:left="1669"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本合同为被保险人提供的保障在保险责任条款中列明</w:t>
        <w:tab/>
        <w:t>2.4</w:t>
      </w:r>
    </w:p>
    <w:p>
      <w:pPr>
        <w:pStyle w:val="ListParagraph"/>
        <w:numPr>
          <w:ilvl w:val="0"/>
          <w:numId w:val="1"/>
        </w:numPr>
        <w:tabs>
          <w:tab w:pos="1669" w:val="left" w:leader="none"/>
          <w:tab w:pos="1670" w:val="left" w:leader="none"/>
          <w:tab w:pos="9754" w:val="right" w:leader="dot"/>
        </w:tabs>
        <w:spacing w:line="240" w:lineRule="auto" w:before="22" w:after="0"/>
        <w:ind w:left="1669" w:right="0" w:hanging="420"/>
        <w:jc w:val="left"/>
        <w:rPr>
          <w:sz w:val="21"/>
        </w:rPr>
      </w:pPr>
      <w:r>
        <w:rPr>
          <w:sz w:val="21"/>
        </w:rPr>
        <w:t>您有解除本合同的权利</w:t>
        <w:tab/>
        <w:t>8</w:t>
      </w:r>
    </w:p>
    <w:p>
      <w:pPr>
        <w:pStyle w:val="Heading2"/>
        <w:tabs>
          <w:tab w:pos="1286" w:val="left" w:leader="none"/>
        </w:tabs>
        <w:spacing w:before="25"/>
        <w:ind w:left="277"/>
      </w:pPr>
      <w:r>
        <w:rPr>
          <w:rFonts w:ascii="Arial" w:hAnsi="Arial" w:eastAsia="Arial"/>
          <w:w w:val="105"/>
          <w:position w:val="-11"/>
          <w:sz w:val="52"/>
        </w:rPr>
        <w:t></w:t>
        <w:tab/>
      </w:r>
      <w:r>
        <w:rPr>
          <w:w w:val="95"/>
        </w:rPr>
        <w:t>您需要特别注意的事项</w:t>
      </w:r>
    </w:p>
    <w:p>
      <w:pPr>
        <w:pStyle w:val="Heading2"/>
        <w:numPr>
          <w:ilvl w:val="0"/>
          <w:numId w:val="1"/>
        </w:numPr>
        <w:tabs>
          <w:tab w:pos="1669" w:val="left" w:leader="none"/>
          <w:tab w:pos="1670" w:val="left" w:leader="none"/>
          <w:tab w:pos="9981" w:val="right" w:leader="dot"/>
        </w:tabs>
        <w:spacing w:line="256" w:lineRule="auto" w:before="24" w:after="0"/>
        <w:ind w:left="1669" w:right="279" w:hanging="420"/>
        <w:jc w:val="left"/>
        <w:rPr>
          <w:b w:val="0"/>
        </w:rPr>
      </w:pPr>
      <w:r>
        <w:rPr>
          <w:rFonts w:ascii="黑体" w:eastAsia="黑体" w:hint="eastAsia"/>
          <w:w w:val="95"/>
        </w:rPr>
        <w:t>发Th责任免除情形之一导致被保险人身故或初次被专科医Th确诊本合同定义的重大疾</w:t>
      </w:r>
      <w:r>
        <w:rPr>
          <w:rFonts w:ascii="黑体" w:eastAsia="黑体" w:hint="eastAsia"/>
          <w:spacing w:val="5"/>
          <w:w w:val="95"/>
        </w:rPr>
        <w:t>病</w:t>
      </w:r>
      <w:r>
        <w:rPr>
          <w:rFonts w:ascii="黑体" w:eastAsia="黑体" w:hint="eastAsia"/>
          <w:w w:val="95"/>
        </w:rPr>
        <w:t>、特   </w:t>
      </w:r>
      <w:r>
        <w:rPr>
          <w:rFonts w:ascii="黑体" w:eastAsia="黑体" w:hint="eastAsia"/>
        </w:rPr>
        <w:t>定轻症疾病的，我们不承担给付保险金的责任</w:t>
        <w:tab/>
      </w:r>
      <w:r>
        <w:rPr>
          <w:b w:val="0"/>
        </w:rPr>
        <w:t>2.5</w:t>
      </w:r>
    </w:p>
    <w:p>
      <w:pPr>
        <w:pStyle w:val="ListParagraph"/>
        <w:numPr>
          <w:ilvl w:val="0"/>
          <w:numId w:val="1"/>
        </w:numPr>
        <w:tabs>
          <w:tab w:pos="1669" w:val="left" w:leader="none"/>
          <w:tab w:pos="1670" w:val="left" w:leader="none"/>
          <w:tab w:pos="9964" w:val="right" w:leader="dot"/>
        </w:tabs>
        <w:spacing w:line="240" w:lineRule="auto" w:before="24" w:after="0"/>
        <w:ind w:left="1669" w:right="0" w:hanging="420"/>
        <w:jc w:val="left"/>
        <w:rPr>
          <w:sz w:val="21"/>
        </w:rPr>
      </w:pPr>
      <w:r>
        <w:rPr>
          <w:sz w:val="21"/>
        </w:rPr>
        <w:t>您应当按约支付保险费</w:t>
        <w:tab/>
        <w:t>3.1</w:t>
      </w:r>
    </w:p>
    <w:p>
      <w:pPr>
        <w:pStyle w:val="Heading2"/>
        <w:numPr>
          <w:ilvl w:val="0"/>
          <w:numId w:val="1"/>
        </w:numPr>
        <w:tabs>
          <w:tab w:pos="1669" w:val="left" w:leader="none"/>
          <w:tab w:pos="1670" w:val="left" w:leader="none"/>
          <w:tab w:pos="9981" w:val="right" w:leader="dot"/>
        </w:tabs>
        <w:spacing w:line="240" w:lineRule="auto" w:before="22" w:after="0"/>
        <w:ind w:left="1669"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669" w:val="left" w:leader="none"/>
          <w:tab w:pos="1670" w:val="left" w:leader="none"/>
          <w:tab w:pos="9971" w:val="right" w:leader="dot"/>
        </w:tabs>
        <w:spacing w:line="240" w:lineRule="auto" w:before="22" w:after="0"/>
        <w:ind w:left="1669" w:right="0" w:hanging="420"/>
        <w:jc w:val="left"/>
        <w:rPr>
          <w:sz w:val="21"/>
        </w:rPr>
      </w:pPr>
      <w:r>
        <w:rPr>
          <w:rFonts w:ascii="黑体" w:eastAsia="黑体" w:hint="eastAsia"/>
          <w:b/>
          <w:sz w:val="21"/>
        </w:rPr>
        <w:t>您有如实告知的义务</w:t>
        <w:tab/>
      </w:r>
      <w:r>
        <w:rPr>
          <w:sz w:val="21"/>
        </w:rPr>
        <w:t>5.2</w:t>
      </w:r>
    </w:p>
    <w:p>
      <w:pPr>
        <w:pStyle w:val="Heading2"/>
        <w:numPr>
          <w:ilvl w:val="0"/>
          <w:numId w:val="1"/>
        </w:numPr>
        <w:tabs>
          <w:tab w:pos="1669" w:val="left" w:leader="none"/>
          <w:tab w:pos="1670" w:val="left" w:leader="none"/>
          <w:tab w:pos="9777" w:val="right" w:leader="dot"/>
        </w:tabs>
        <w:spacing w:line="240" w:lineRule="auto" w:before="22" w:after="0"/>
        <w:ind w:left="1669"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保险事故发生后，请您及时通知我们</w:t>
        <w:tab/>
        <w:t>7.2</w:t>
      </w:r>
    </w:p>
    <w:p>
      <w:pPr>
        <w:pStyle w:val="Heading2"/>
        <w:numPr>
          <w:ilvl w:val="0"/>
          <w:numId w:val="1"/>
        </w:numPr>
        <w:tabs>
          <w:tab w:pos="1669" w:val="left" w:leader="none"/>
          <w:tab w:pos="1670" w:val="left" w:leader="none"/>
          <w:tab w:pos="9771" w:val="right" w:leader="dot"/>
        </w:tabs>
        <w:spacing w:line="240" w:lineRule="auto" w:before="22" w:after="0"/>
        <w:ind w:left="1669"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669" w:val="left" w:leader="none"/>
          <w:tab w:pos="1670" w:val="left" w:leader="none"/>
          <w:tab w:pos="9863" w:val="right" w:leader="dot"/>
        </w:tabs>
        <w:spacing w:line="240" w:lineRule="auto" w:before="22" w:after="0"/>
        <w:ind w:left="1669"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669" w:val="left" w:leader="none"/>
          <w:tab w:pos="1670" w:val="left" w:leader="none"/>
          <w:tab w:pos="9863" w:val="right" w:leader="dot"/>
        </w:tabs>
        <w:spacing w:line="240" w:lineRule="auto" w:before="22" w:after="0"/>
        <w:ind w:left="1669" w:right="0" w:hanging="420"/>
        <w:jc w:val="left"/>
        <w:rPr>
          <w:sz w:val="21"/>
        </w:rPr>
      </w:pPr>
      <w:r>
        <w:rPr>
          <w:sz w:val="21"/>
        </w:rPr>
        <w:t>我们对条款中出现的一些重要术语进行了解释，请您注意</w:t>
        <w:tab/>
        <w:t>11</w:t>
      </w:r>
    </w:p>
    <w:p>
      <w:pPr>
        <w:tabs>
          <w:tab w:pos="1287" w:val="left" w:leader="none"/>
        </w:tabs>
        <w:spacing w:before="24"/>
        <w:ind w:left="277"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287" w:val="left" w:leader="none"/>
        </w:tabs>
        <w:spacing w:line="451" w:lineRule="exact" w:before="26"/>
        <w:ind w:left="277" w:right="0" w:firstLine="0"/>
        <w:jc w:val="left"/>
        <w:rPr>
          <w:b/>
          <w:sz w:val="21"/>
        </w:rPr>
      </w:pPr>
      <w:r>
        <w:rPr>
          <w:rFonts w:ascii="Arial" w:hAnsi="Arial" w:eastAsia="Arial"/>
          <w:b/>
          <w:w w:val="110"/>
          <w:position w:val="-11"/>
          <w:sz w:val="52"/>
        </w:rPr>
        <w:t></w:t>
        <w:tab/>
      </w:r>
      <w:r>
        <w:rPr>
          <w:b/>
          <w:w w:val="95"/>
          <w:sz w:val="21"/>
        </w:rPr>
        <w:t>条款目录</w:t>
      </w:r>
    </w:p>
    <w:p>
      <w:pPr>
        <w:tabs>
          <w:tab w:pos="3375" w:val="left" w:leader="none"/>
        </w:tabs>
        <w:spacing w:line="216" w:lineRule="exact" w:before="0"/>
        <w:ind w:left="259" w:right="0" w:firstLine="0"/>
        <w:jc w:val="left"/>
        <w:rPr>
          <w:b/>
          <w:sz w:val="21"/>
        </w:rPr>
      </w:pPr>
      <w:r>
        <w:rPr/>
        <w:pict>
          <v:shapetype id="_x0000_t202" o:spt="202" coordsize="21600,21600" path="m,l,21600r21600,l21600,xe">
            <v:stroke joinstyle="miter"/>
            <v:path gradientshapeok="t" o:connecttype="rect"/>
          </v:shapetype>
          <v:shape style="position:absolute;margin-left:66.980003pt;margin-top:12.546824pt;width:412.1pt;height:60.8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26"/>
                    <w:gridCol w:w="3179"/>
                    <w:gridCol w:w="938"/>
                    <w:gridCol w:w="1783"/>
                  </w:tblGrid>
                  <w:tr>
                    <w:trPr>
                      <w:trHeight w:val="232" w:hRule="atLeast"/>
                    </w:trPr>
                    <w:tc>
                      <w:tcPr>
                        <w:tcW w:w="418" w:type="dxa"/>
                      </w:tcPr>
                      <w:p>
                        <w:pPr>
                          <w:pStyle w:val="TableParagraph"/>
                          <w:spacing w:line="210" w:lineRule="exact"/>
                          <w:ind w:left="50"/>
                          <w:rPr>
                            <w:sz w:val="21"/>
                          </w:rPr>
                        </w:pPr>
                        <w:r>
                          <w:rPr>
                            <w:sz w:val="21"/>
                          </w:rPr>
                          <w:t>1.1</w:t>
                        </w:r>
                      </w:p>
                    </w:tc>
                    <w:tc>
                      <w:tcPr>
                        <w:tcW w:w="1926" w:type="dxa"/>
                      </w:tcPr>
                      <w:p>
                        <w:pPr>
                          <w:pStyle w:val="TableParagraph"/>
                          <w:spacing w:line="210" w:lineRule="exact"/>
                          <w:ind w:left="52"/>
                          <w:rPr>
                            <w:sz w:val="21"/>
                          </w:rPr>
                        </w:pPr>
                        <w:r>
                          <w:rPr>
                            <w:sz w:val="21"/>
                          </w:rPr>
                          <w:t>合同的构成</w:t>
                        </w:r>
                      </w:p>
                    </w:tc>
                    <w:tc>
                      <w:tcPr>
                        <w:tcW w:w="3179" w:type="dxa"/>
                      </w:tcPr>
                      <w:p>
                        <w:pPr>
                          <w:pStyle w:val="TableParagraph"/>
                          <w:spacing w:line="213" w:lineRule="exact"/>
                          <w:ind w:left="402"/>
                          <w:rPr>
                            <w:b/>
                            <w:sz w:val="21"/>
                          </w:rPr>
                        </w:pPr>
                        <w:r>
                          <w:rPr>
                            <w:b/>
                            <w:w w:val="95"/>
                            <w:sz w:val="21"/>
                          </w:rPr>
                          <w:t>6．现金价值权益</w:t>
                        </w:r>
                      </w:p>
                    </w:tc>
                    <w:tc>
                      <w:tcPr>
                        <w:tcW w:w="938" w:type="dxa"/>
                      </w:tcPr>
                      <w:p>
                        <w:pPr>
                          <w:pStyle w:val="TableParagraph"/>
                          <w:spacing w:line="213" w:lineRule="exact"/>
                          <w:ind w:left="0" w:right="52"/>
                          <w:jc w:val="right"/>
                          <w:rPr>
                            <w:sz w:val="21"/>
                          </w:rPr>
                        </w:pPr>
                        <w:r>
                          <w:rPr>
                            <w:sz w:val="21"/>
                          </w:rPr>
                          <w:t>11.1</w:t>
                        </w:r>
                      </w:p>
                    </w:tc>
                    <w:tc>
                      <w:tcPr>
                        <w:tcW w:w="1783" w:type="dxa"/>
                      </w:tcPr>
                      <w:p>
                        <w:pPr>
                          <w:pStyle w:val="TableParagraph"/>
                          <w:spacing w:line="213" w:lineRule="exact"/>
                          <w:ind w:left="49"/>
                          <w:rPr>
                            <w:sz w:val="21"/>
                          </w:rPr>
                        </w:pPr>
                        <w:r>
                          <w:rPr>
                            <w:sz w:val="21"/>
                          </w:rPr>
                          <w:t>保单年度</w:t>
                        </w:r>
                      </w:p>
                    </w:tc>
                  </w:tr>
                  <w:tr>
                    <w:trPr>
                      <w:trHeight w:val="249" w:hRule="atLeast"/>
                    </w:trPr>
                    <w:tc>
                      <w:tcPr>
                        <w:tcW w:w="418" w:type="dxa"/>
                      </w:tcPr>
                      <w:p>
                        <w:pPr>
                          <w:pStyle w:val="TableParagraph"/>
                          <w:spacing w:line="227" w:lineRule="exact"/>
                          <w:ind w:left="50"/>
                          <w:rPr>
                            <w:sz w:val="21"/>
                          </w:rPr>
                        </w:pPr>
                        <w:r>
                          <w:rPr>
                            <w:sz w:val="21"/>
                          </w:rPr>
                          <w:t>1.2</w:t>
                        </w:r>
                      </w:p>
                    </w:tc>
                    <w:tc>
                      <w:tcPr>
                        <w:tcW w:w="1926" w:type="dxa"/>
                      </w:tcPr>
                      <w:p>
                        <w:pPr>
                          <w:pStyle w:val="TableParagraph"/>
                          <w:spacing w:line="227" w:lineRule="exact"/>
                          <w:ind w:left="52"/>
                          <w:rPr>
                            <w:sz w:val="21"/>
                          </w:rPr>
                        </w:pPr>
                        <w:r>
                          <w:rPr>
                            <w:sz w:val="21"/>
                          </w:rPr>
                          <w:t>合同成立与生效</w:t>
                        </w:r>
                      </w:p>
                    </w:tc>
                    <w:tc>
                      <w:tcPr>
                        <w:tcW w:w="3179" w:type="dxa"/>
                      </w:tcPr>
                      <w:p>
                        <w:pPr>
                          <w:pStyle w:val="TableParagraph"/>
                          <w:spacing w:line="230" w:lineRule="exact"/>
                          <w:ind w:left="612"/>
                          <w:rPr>
                            <w:sz w:val="21"/>
                          </w:rPr>
                        </w:pPr>
                        <w:r>
                          <w:rPr>
                            <w:sz w:val="21"/>
                          </w:rPr>
                          <w:t>6.1 保单借款</w:t>
                        </w:r>
                      </w:p>
                    </w:tc>
                    <w:tc>
                      <w:tcPr>
                        <w:tcW w:w="938" w:type="dxa"/>
                      </w:tcPr>
                      <w:p>
                        <w:pPr>
                          <w:pStyle w:val="TableParagraph"/>
                          <w:spacing w:line="230" w:lineRule="exact"/>
                          <w:ind w:left="0" w:right="52"/>
                          <w:jc w:val="right"/>
                          <w:rPr>
                            <w:sz w:val="21"/>
                          </w:rPr>
                        </w:pPr>
                        <w:r>
                          <w:rPr>
                            <w:sz w:val="21"/>
                          </w:rPr>
                          <w:t>11.2</w:t>
                        </w:r>
                      </w:p>
                    </w:tc>
                    <w:tc>
                      <w:tcPr>
                        <w:tcW w:w="1783" w:type="dxa"/>
                      </w:tcPr>
                      <w:p>
                        <w:pPr>
                          <w:pStyle w:val="TableParagraph"/>
                          <w:spacing w:line="230" w:lineRule="exact"/>
                          <w:ind w:left="49"/>
                          <w:rPr>
                            <w:sz w:val="21"/>
                          </w:rPr>
                        </w:pPr>
                        <w:r>
                          <w:rPr>
                            <w:sz w:val="21"/>
                          </w:rPr>
                          <w:t>保险费约定支付日</w:t>
                        </w:r>
                      </w:p>
                    </w:tc>
                  </w:tr>
                  <w:tr>
                    <w:trPr>
                      <w:trHeight w:val="250" w:hRule="atLeast"/>
                    </w:trPr>
                    <w:tc>
                      <w:tcPr>
                        <w:tcW w:w="418" w:type="dxa"/>
                      </w:tcPr>
                      <w:p>
                        <w:pPr>
                          <w:pStyle w:val="TableParagraph"/>
                          <w:spacing w:line="227" w:lineRule="exact"/>
                          <w:ind w:left="50"/>
                          <w:rPr>
                            <w:sz w:val="21"/>
                          </w:rPr>
                        </w:pPr>
                        <w:r>
                          <w:rPr>
                            <w:sz w:val="21"/>
                          </w:rPr>
                          <w:t>1.3</w:t>
                        </w:r>
                      </w:p>
                    </w:tc>
                    <w:tc>
                      <w:tcPr>
                        <w:tcW w:w="1926" w:type="dxa"/>
                      </w:tcPr>
                      <w:p>
                        <w:pPr>
                          <w:pStyle w:val="TableParagraph"/>
                          <w:spacing w:line="227" w:lineRule="exact"/>
                          <w:ind w:left="52"/>
                          <w:rPr>
                            <w:sz w:val="21"/>
                          </w:rPr>
                        </w:pPr>
                        <w:r>
                          <w:rPr>
                            <w:sz w:val="21"/>
                          </w:rPr>
                          <w:t>投保年龄</w:t>
                        </w:r>
                      </w:p>
                    </w:tc>
                    <w:tc>
                      <w:tcPr>
                        <w:tcW w:w="3179" w:type="dxa"/>
                      </w:tcPr>
                      <w:p>
                        <w:pPr>
                          <w:pStyle w:val="TableParagraph"/>
                          <w:spacing w:line="230" w:lineRule="exact"/>
                          <w:ind w:left="612"/>
                          <w:rPr>
                            <w:sz w:val="21"/>
                          </w:rPr>
                        </w:pPr>
                        <w:r>
                          <w:rPr>
                            <w:sz w:val="21"/>
                          </w:rPr>
                          <w:t>6.2 保险费的自动垫交</w:t>
                        </w:r>
                      </w:p>
                    </w:tc>
                    <w:tc>
                      <w:tcPr>
                        <w:tcW w:w="938" w:type="dxa"/>
                      </w:tcPr>
                      <w:p>
                        <w:pPr>
                          <w:pStyle w:val="TableParagraph"/>
                          <w:spacing w:line="230" w:lineRule="exact"/>
                          <w:ind w:left="0" w:right="52"/>
                          <w:jc w:val="right"/>
                          <w:rPr>
                            <w:sz w:val="21"/>
                          </w:rPr>
                        </w:pPr>
                        <w:r>
                          <w:rPr>
                            <w:sz w:val="21"/>
                          </w:rPr>
                          <w:t>11.3</w:t>
                        </w:r>
                      </w:p>
                    </w:tc>
                    <w:tc>
                      <w:tcPr>
                        <w:tcW w:w="1783" w:type="dxa"/>
                      </w:tcPr>
                      <w:p>
                        <w:pPr>
                          <w:pStyle w:val="TableParagraph"/>
                          <w:spacing w:line="230" w:lineRule="exact"/>
                          <w:ind w:left="49"/>
                          <w:rPr>
                            <w:sz w:val="21"/>
                          </w:rPr>
                        </w:pPr>
                        <w:r>
                          <w:rPr>
                            <w:sz w:val="21"/>
                          </w:rPr>
                          <w:t>周岁</w:t>
                        </w:r>
                      </w:p>
                    </w:tc>
                  </w:tr>
                  <w:tr>
                    <w:trPr>
                      <w:trHeight w:val="250" w:hRule="atLeast"/>
                    </w:trPr>
                    <w:tc>
                      <w:tcPr>
                        <w:tcW w:w="418" w:type="dxa"/>
                      </w:tcPr>
                      <w:p>
                        <w:pPr>
                          <w:pStyle w:val="TableParagraph"/>
                          <w:spacing w:line="227" w:lineRule="exact"/>
                          <w:ind w:left="50"/>
                          <w:rPr>
                            <w:sz w:val="21"/>
                          </w:rPr>
                        </w:pPr>
                        <w:r>
                          <w:rPr>
                            <w:sz w:val="21"/>
                          </w:rPr>
                          <w:t>1.4</w:t>
                        </w:r>
                      </w:p>
                    </w:tc>
                    <w:tc>
                      <w:tcPr>
                        <w:tcW w:w="1926" w:type="dxa"/>
                      </w:tcPr>
                      <w:p>
                        <w:pPr>
                          <w:pStyle w:val="TableParagraph"/>
                          <w:spacing w:line="227" w:lineRule="exact"/>
                          <w:ind w:left="52"/>
                          <w:rPr>
                            <w:sz w:val="21"/>
                          </w:rPr>
                        </w:pPr>
                        <w:r>
                          <w:rPr>
                            <w:sz w:val="21"/>
                          </w:rPr>
                          <w:t>保险期间</w:t>
                        </w:r>
                      </w:p>
                    </w:tc>
                    <w:tc>
                      <w:tcPr>
                        <w:tcW w:w="3179" w:type="dxa"/>
                      </w:tcPr>
                      <w:p>
                        <w:pPr>
                          <w:pStyle w:val="TableParagraph"/>
                          <w:spacing w:line="230" w:lineRule="exact"/>
                          <w:ind w:left="402"/>
                          <w:rPr>
                            <w:b/>
                            <w:sz w:val="21"/>
                          </w:rPr>
                        </w:pPr>
                        <w:r>
                          <w:rPr>
                            <w:b/>
                            <w:w w:val="95"/>
                            <w:sz w:val="21"/>
                          </w:rPr>
                          <w:t>7．如何申请领取保险金</w:t>
                        </w:r>
                      </w:p>
                    </w:tc>
                    <w:tc>
                      <w:tcPr>
                        <w:tcW w:w="938" w:type="dxa"/>
                      </w:tcPr>
                      <w:p>
                        <w:pPr>
                          <w:pStyle w:val="TableParagraph"/>
                          <w:spacing w:line="230" w:lineRule="exact"/>
                          <w:ind w:left="0" w:right="52"/>
                          <w:jc w:val="right"/>
                          <w:rPr>
                            <w:sz w:val="21"/>
                          </w:rPr>
                        </w:pPr>
                        <w:r>
                          <w:rPr>
                            <w:sz w:val="21"/>
                          </w:rPr>
                          <w:t>11.4</w:t>
                        </w:r>
                      </w:p>
                    </w:tc>
                    <w:tc>
                      <w:tcPr>
                        <w:tcW w:w="1783" w:type="dxa"/>
                      </w:tcPr>
                      <w:p>
                        <w:pPr>
                          <w:pStyle w:val="TableParagraph"/>
                          <w:spacing w:line="230" w:lineRule="exact"/>
                          <w:ind w:left="49"/>
                          <w:rPr>
                            <w:sz w:val="21"/>
                          </w:rPr>
                        </w:pPr>
                        <w:r>
                          <w:rPr>
                            <w:sz w:val="21"/>
                          </w:rPr>
                          <w:t>专科医生</w:t>
                        </w:r>
                      </w:p>
                    </w:tc>
                  </w:tr>
                  <w:tr>
                    <w:trPr>
                      <w:trHeight w:val="232" w:hRule="atLeast"/>
                    </w:trPr>
                    <w:tc>
                      <w:tcPr>
                        <w:tcW w:w="418" w:type="dxa"/>
                      </w:tcPr>
                      <w:p>
                        <w:pPr>
                          <w:pStyle w:val="TableParagraph"/>
                          <w:spacing w:line="213" w:lineRule="exact"/>
                          <w:ind w:left="50"/>
                          <w:rPr>
                            <w:sz w:val="21"/>
                          </w:rPr>
                        </w:pPr>
                        <w:r>
                          <w:rPr>
                            <w:sz w:val="21"/>
                          </w:rPr>
                          <w:t>1.5</w:t>
                        </w:r>
                      </w:p>
                    </w:tc>
                    <w:tc>
                      <w:tcPr>
                        <w:tcW w:w="1926" w:type="dxa"/>
                      </w:tcPr>
                      <w:p>
                        <w:pPr>
                          <w:pStyle w:val="TableParagraph"/>
                          <w:spacing w:line="213" w:lineRule="exact"/>
                          <w:ind w:left="52"/>
                          <w:rPr>
                            <w:sz w:val="21"/>
                          </w:rPr>
                        </w:pPr>
                        <w:r>
                          <w:rPr>
                            <w:sz w:val="21"/>
                          </w:rPr>
                          <w:t>犹豫期</w:t>
                        </w:r>
                      </w:p>
                    </w:tc>
                    <w:tc>
                      <w:tcPr>
                        <w:tcW w:w="3179" w:type="dxa"/>
                      </w:tcPr>
                      <w:p>
                        <w:pPr>
                          <w:pStyle w:val="TableParagraph"/>
                          <w:spacing w:line="213" w:lineRule="exact"/>
                          <w:ind w:left="612"/>
                          <w:rPr>
                            <w:sz w:val="21"/>
                          </w:rPr>
                        </w:pPr>
                        <w:r>
                          <w:rPr>
                            <w:sz w:val="21"/>
                          </w:rPr>
                          <w:t>7.1 受益人</w:t>
                        </w:r>
                      </w:p>
                    </w:tc>
                    <w:tc>
                      <w:tcPr>
                        <w:tcW w:w="938" w:type="dxa"/>
                      </w:tcPr>
                      <w:p>
                        <w:pPr>
                          <w:pStyle w:val="TableParagraph"/>
                          <w:spacing w:line="213" w:lineRule="exact"/>
                          <w:ind w:left="0" w:right="52"/>
                          <w:jc w:val="right"/>
                          <w:rPr>
                            <w:sz w:val="21"/>
                          </w:rPr>
                        </w:pPr>
                        <w:r>
                          <w:rPr>
                            <w:sz w:val="21"/>
                          </w:rPr>
                          <w:t>11.5</w:t>
                        </w:r>
                      </w:p>
                    </w:tc>
                    <w:tc>
                      <w:tcPr>
                        <w:tcW w:w="1783" w:type="dxa"/>
                      </w:tcPr>
                      <w:p>
                        <w:pPr>
                          <w:pStyle w:val="TableParagraph"/>
                          <w:spacing w:line="213" w:lineRule="exact"/>
                          <w:ind w:left="49"/>
                          <w:rPr>
                            <w:sz w:val="21"/>
                          </w:rPr>
                        </w:pPr>
                        <w:r>
                          <w:rPr>
                            <w:sz w:val="21"/>
                          </w:rPr>
                          <w:t>意外伤害</w:t>
                        </w:r>
                      </w:p>
                    </w:tc>
                  </w:tr>
                </w:tbl>
                <w:p>
                  <w:pPr>
                    <w:pStyle w:val="BodyText"/>
                    <w:spacing w:before="0"/>
                  </w:pPr>
                </w:p>
              </w:txbxContent>
            </v:textbox>
            <w10:wrap type="none"/>
          </v:shape>
        </w:pict>
      </w:r>
      <w:r>
        <w:rPr>
          <w:b/>
          <w:position w:val="1"/>
          <w:sz w:val="21"/>
        </w:rPr>
        <w:t>1．您与我们的合同</w:t>
        <w:tab/>
      </w:r>
      <w:r>
        <w:rPr>
          <w:sz w:val="21"/>
        </w:rPr>
        <w:t>5.3</w:t>
      </w:r>
      <w:r>
        <w:rPr>
          <w:spacing w:val="-1"/>
          <w:sz w:val="21"/>
        </w:rPr>
        <w:t> </w:t>
      </w:r>
      <w:r>
        <w:rPr>
          <w:sz w:val="21"/>
        </w:rPr>
        <w:t>本公司合同解除权的限制</w:t>
      </w:r>
      <w:r>
        <w:rPr>
          <w:spacing w:val="-16"/>
          <w:sz w:val="21"/>
        </w:rPr>
        <w:t> </w:t>
      </w:r>
      <w:r>
        <w:rPr>
          <w:b/>
          <w:sz w:val="21"/>
        </w:rPr>
        <w:t>11．释义</w:t>
      </w:r>
    </w:p>
    <w:p>
      <w:pPr>
        <w:spacing w:after="0" w:line="216" w:lineRule="exact"/>
        <w:jc w:val="left"/>
        <w:rPr>
          <w:sz w:val="21"/>
        </w:rPr>
        <w:sectPr>
          <w:type w:val="continuous"/>
          <w:pgSz w:w="11910" w:h="16840"/>
          <w:pgMar w:top="560" w:bottom="280" w:left="920" w:right="600"/>
        </w:sect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Heading2"/>
        <w:spacing w:line="263" w:lineRule="exact" w:before="172"/>
        <w:ind w:left="259"/>
      </w:pPr>
      <w:r>
        <w:rPr>
          <w:w w:val="95"/>
        </w:rPr>
        <w:t>2．我们提供的保障</w:t>
      </w:r>
    </w:p>
    <w:p>
      <w:pPr>
        <w:pStyle w:val="ListParagraph"/>
        <w:numPr>
          <w:ilvl w:val="1"/>
          <w:numId w:val="2"/>
        </w:numPr>
        <w:tabs>
          <w:tab w:pos="890" w:val="left" w:leader="none"/>
        </w:tabs>
        <w:spacing w:line="250" w:lineRule="exact" w:before="0" w:after="0"/>
        <w:ind w:left="889" w:right="0" w:hanging="420"/>
        <w:jc w:val="left"/>
        <w:rPr>
          <w:sz w:val="21"/>
        </w:rPr>
      </w:pPr>
      <w:r>
        <w:rPr>
          <w:sz w:val="21"/>
        </w:rPr>
        <w:t>基本保险金额</w:t>
      </w:r>
    </w:p>
    <w:p>
      <w:pPr>
        <w:pStyle w:val="ListParagraph"/>
        <w:numPr>
          <w:ilvl w:val="1"/>
          <w:numId w:val="2"/>
        </w:numPr>
        <w:tabs>
          <w:tab w:pos="890" w:val="left" w:leader="none"/>
        </w:tabs>
        <w:spacing w:line="250" w:lineRule="exact" w:before="0" w:after="0"/>
        <w:ind w:left="889" w:right="0" w:hanging="420"/>
        <w:jc w:val="left"/>
        <w:rPr>
          <w:sz w:val="21"/>
        </w:rPr>
      </w:pPr>
      <w:r>
        <w:rPr>
          <w:sz w:val="21"/>
        </w:rPr>
        <w:t>未成年人身故保险金限制</w:t>
      </w:r>
    </w:p>
    <w:p>
      <w:pPr>
        <w:pStyle w:val="ListParagraph"/>
        <w:numPr>
          <w:ilvl w:val="1"/>
          <w:numId w:val="2"/>
        </w:numPr>
        <w:tabs>
          <w:tab w:pos="890" w:val="left" w:leader="none"/>
        </w:tabs>
        <w:spacing w:line="262" w:lineRule="exact" w:before="0" w:after="0"/>
        <w:ind w:left="889" w:right="0" w:hanging="420"/>
        <w:jc w:val="left"/>
        <w:rPr>
          <w:sz w:val="21"/>
        </w:rPr>
      </w:pPr>
      <w:r>
        <w:rPr>
          <w:sz w:val="21"/>
        </w:rPr>
        <w:t>重大疾病分组</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ListParagraph"/>
        <w:numPr>
          <w:ilvl w:val="1"/>
          <w:numId w:val="3"/>
        </w:numPr>
        <w:tabs>
          <w:tab w:pos="557" w:val="left" w:leader="none"/>
        </w:tabs>
        <w:spacing w:line="262" w:lineRule="exact" w:before="178" w:after="0"/>
        <w:ind w:left="556" w:right="0" w:hanging="420"/>
        <w:jc w:val="left"/>
        <w:rPr>
          <w:sz w:val="21"/>
        </w:rPr>
      </w:pPr>
      <w:r>
        <w:rPr>
          <w:sz w:val="21"/>
        </w:rPr>
        <w:t>保险事故通知</w:t>
      </w:r>
    </w:p>
    <w:p>
      <w:pPr>
        <w:pStyle w:val="ListParagraph"/>
        <w:numPr>
          <w:ilvl w:val="1"/>
          <w:numId w:val="3"/>
        </w:numPr>
        <w:tabs>
          <w:tab w:pos="557" w:val="left" w:leader="none"/>
        </w:tabs>
        <w:spacing w:line="250" w:lineRule="exact" w:before="0" w:after="0"/>
        <w:ind w:left="556" w:right="0" w:hanging="420"/>
        <w:jc w:val="left"/>
        <w:rPr>
          <w:sz w:val="21"/>
        </w:rPr>
      </w:pPr>
      <w:r>
        <w:rPr>
          <w:sz w:val="21"/>
        </w:rPr>
        <w:t>保险金申请</w:t>
      </w:r>
    </w:p>
    <w:p>
      <w:pPr>
        <w:pStyle w:val="ListParagraph"/>
        <w:numPr>
          <w:ilvl w:val="1"/>
          <w:numId w:val="3"/>
        </w:numPr>
        <w:tabs>
          <w:tab w:pos="557" w:val="left" w:leader="none"/>
        </w:tabs>
        <w:spacing w:line="250" w:lineRule="exact" w:before="0" w:after="0"/>
        <w:ind w:left="556" w:right="0" w:hanging="420"/>
        <w:jc w:val="left"/>
        <w:rPr>
          <w:sz w:val="21"/>
        </w:rPr>
      </w:pPr>
      <w:r>
        <w:rPr>
          <w:sz w:val="21"/>
        </w:rPr>
        <w:t>保险金给付</w:t>
      </w:r>
    </w:p>
    <w:p>
      <w:pPr>
        <w:pStyle w:val="ListParagraph"/>
        <w:numPr>
          <w:ilvl w:val="1"/>
          <w:numId w:val="3"/>
        </w:numPr>
        <w:tabs>
          <w:tab w:pos="557" w:val="left" w:leader="none"/>
        </w:tabs>
        <w:spacing w:line="263" w:lineRule="exact" w:before="0" w:after="0"/>
        <w:ind w:left="556" w:right="0" w:hanging="420"/>
        <w:jc w:val="left"/>
        <w:rPr>
          <w:sz w:val="21"/>
        </w:rPr>
      </w:pPr>
      <w:r>
        <w:rPr>
          <w:sz w:val="21"/>
        </w:rPr>
        <w:t>诉讼时效</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0"/>
        <w:rPr>
          <w:sz w:val="20"/>
        </w:rPr>
      </w:pPr>
    </w:p>
    <w:p>
      <w:pPr>
        <w:pStyle w:val="ListParagraph"/>
        <w:numPr>
          <w:ilvl w:val="1"/>
          <w:numId w:val="4"/>
        </w:numPr>
        <w:tabs>
          <w:tab w:pos="784" w:val="left" w:leader="none"/>
        </w:tabs>
        <w:spacing w:line="263" w:lineRule="exact" w:before="178" w:after="0"/>
        <w:ind w:left="783" w:right="0" w:hanging="524"/>
        <w:jc w:val="left"/>
        <w:rPr>
          <w:sz w:val="21"/>
        </w:rPr>
      </w:pPr>
      <w:r>
        <w:rPr>
          <w:sz w:val="21"/>
        </w:rPr>
        <w:t>现金价值</w:t>
      </w:r>
    </w:p>
    <w:p>
      <w:pPr>
        <w:pStyle w:val="ListParagraph"/>
        <w:numPr>
          <w:ilvl w:val="1"/>
          <w:numId w:val="4"/>
        </w:numPr>
        <w:tabs>
          <w:tab w:pos="785" w:val="left" w:leader="none"/>
        </w:tabs>
        <w:spacing w:line="250" w:lineRule="exact" w:before="0" w:after="0"/>
        <w:ind w:left="784" w:right="0" w:hanging="525"/>
        <w:jc w:val="left"/>
        <w:rPr>
          <w:sz w:val="21"/>
        </w:rPr>
      </w:pPr>
      <w:r>
        <w:rPr>
          <w:spacing w:val="-1"/>
          <w:sz w:val="21"/>
        </w:rPr>
        <w:t>毒品</w:t>
      </w:r>
    </w:p>
    <w:p>
      <w:pPr>
        <w:pStyle w:val="ListParagraph"/>
        <w:numPr>
          <w:ilvl w:val="1"/>
          <w:numId w:val="4"/>
        </w:numPr>
        <w:tabs>
          <w:tab w:pos="785" w:val="left" w:leader="none"/>
        </w:tabs>
        <w:spacing w:line="250" w:lineRule="exact" w:before="0" w:after="0"/>
        <w:ind w:left="784" w:right="0" w:hanging="525"/>
        <w:jc w:val="left"/>
        <w:rPr>
          <w:sz w:val="21"/>
        </w:rPr>
      </w:pPr>
      <w:r>
        <w:rPr>
          <w:spacing w:val="-1"/>
          <w:sz w:val="21"/>
        </w:rPr>
        <w:t>酒后驾驶</w:t>
      </w:r>
    </w:p>
    <w:p>
      <w:pPr>
        <w:pStyle w:val="ListParagraph"/>
        <w:numPr>
          <w:ilvl w:val="1"/>
          <w:numId w:val="4"/>
        </w:numPr>
        <w:tabs>
          <w:tab w:pos="784" w:val="left" w:leader="none"/>
        </w:tabs>
        <w:spacing w:line="262" w:lineRule="exact" w:before="0" w:after="0"/>
        <w:ind w:left="783" w:right="0" w:hanging="524"/>
        <w:jc w:val="left"/>
        <w:rPr>
          <w:sz w:val="21"/>
        </w:rPr>
      </w:pPr>
      <w:r>
        <w:rPr>
          <w:sz w:val="21"/>
        </w:rPr>
        <w:t>无合法有效驾驶证驾驶</w:t>
      </w:r>
    </w:p>
    <w:p>
      <w:pPr>
        <w:spacing w:after="0" w:line="262" w:lineRule="exact"/>
        <w:jc w:val="left"/>
        <w:rPr>
          <w:sz w:val="21"/>
        </w:rPr>
        <w:sectPr>
          <w:type w:val="continuous"/>
          <w:pgSz w:w="11910" w:h="16840"/>
          <w:pgMar w:top="560" w:bottom="280" w:left="920" w:right="600"/>
          <w:cols w:num="3" w:equalWidth="0">
            <w:col w:w="3200" w:space="40"/>
            <w:col w:w="1817" w:space="1090"/>
            <w:col w:w="4243"/>
          </w:cols>
        </w:sectPr>
      </w:pPr>
    </w:p>
    <w:p>
      <w:pPr>
        <w:pStyle w:val="ListParagraph"/>
        <w:numPr>
          <w:ilvl w:val="1"/>
          <w:numId w:val="5"/>
        </w:numPr>
        <w:tabs>
          <w:tab w:pos="890" w:val="left" w:leader="none"/>
        </w:tabs>
        <w:spacing w:line="232" w:lineRule="exact" w:before="0" w:after="0"/>
        <w:ind w:left="889" w:right="0" w:hanging="420"/>
        <w:jc w:val="left"/>
        <w:rPr>
          <w:sz w:val="21"/>
        </w:rPr>
      </w:pPr>
      <w:r>
        <w:rPr>
          <w:sz w:val="21"/>
        </w:rPr>
        <w:t>保险责任</w:t>
      </w:r>
    </w:p>
    <w:p>
      <w:pPr>
        <w:pStyle w:val="ListParagraph"/>
        <w:numPr>
          <w:ilvl w:val="1"/>
          <w:numId w:val="5"/>
        </w:numPr>
        <w:tabs>
          <w:tab w:pos="890" w:val="left" w:leader="none"/>
        </w:tabs>
        <w:spacing w:line="250" w:lineRule="exact" w:before="0" w:after="0"/>
        <w:ind w:left="889" w:right="0" w:hanging="420"/>
        <w:jc w:val="left"/>
        <w:rPr>
          <w:sz w:val="21"/>
        </w:rPr>
      </w:pPr>
      <w:r>
        <w:rPr>
          <w:sz w:val="21"/>
        </w:rPr>
        <w:t>责任免除</w:t>
      </w:r>
    </w:p>
    <w:p>
      <w:pPr>
        <w:pStyle w:val="Heading2"/>
        <w:spacing w:line="250" w:lineRule="exact" w:before="0"/>
        <w:ind w:left="259"/>
      </w:pPr>
      <w:r>
        <w:rPr>
          <w:w w:val="95"/>
        </w:rPr>
        <w:t>3．如何支付保险费</w:t>
      </w:r>
    </w:p>
    <w:p>
      <w:pPr>
        <w:pStyle w:val="ListParagraph"/>
        <w:numPr>
          <w:ilvl w:val="1"/>
          <w:numId w:val="6"/>
        </w:numPr>
        <w:tabs>
          <w:tab w:pos="890" w:val="left" w:leader="none"/>
        </w:tabs>
        <w:spacing w:line="250" w:lineRule="exact" w:before="0" w:after="0"/>
        <w:ind w:left="889" w:right="0" w:hanging="420"/>
        <w:jc w:val="left"/>
        <w:rPr>
          <w:sz w:val="21"/>
        </w:rPr>
      </w:pPr>
      <w:r>
        <w:rPr>
          <w:sz w:val="21"/>
        </w:rPr>
        <w:t>保险费的支付</w:t>
      </w:r>
    </w:p>
    <w:p>
      <w:pPr>
        <w:pStyle w:val="ListParagraph"/>
        <w:numPr>
          <w:ilvl w:val="1"/>
          <w:numId w:val="6"/>
        </w:numPr>
        <w:tabs>
          <w:tab w:pos="890" w:val="left" w:leader="none"/>
        </w:tabs>
        <w:spacing w:line="250" w:lineRule="exact" w:before="0" w:after="0"/>
        <w:ind w:left="889" w:right="0" w:hanging="420"/>
        <w:jc w:val="left"/>
        <w:rPr>
          <w:sz w:val="21"/>
        </w:rPr>
      </w:pPr>
      <w:r>
        <w:rPr>
          <w:sz w:val="21"/>
        </w:rPr>
        <w:t>宽限期</w:t>
      </w:r>
    </w:p>
    <w:p>
      <w:pPr>
        <w:pStyle w:val="Heading2"/>
        <w:spacing w:line="250" w:lineRule="exact" w:before="0"/>
        <w:ind w:left="259"/>
      </w:pPr>
      <w:r>
        <w:rPr>
          <w:w w:val="95"/>
        </w:rPr>
        <w:t>4．合同效力的中止</w:t>
      </w:r>
    </w:p>
    <w:p>
      <w:pPr>
        <w:pStyle w:val="ListParagraph"/>
        <w:numPr>
          <w:ilvl w:val="1"/>
          <w:numId w:val="7"/>
        </w:numPr>
        <w:tabs>
          <w:tab w:pos="890" w:val="left" w:leader="none"/>
        </w:tabs>
        <w:spacing w:line="250" w:lineRule="exact" w:before="0" w:after="0"/>
        <w:ind w:left="889" w:right="0" w:hanging="420"/>
        <w:jc w:val="left"/>
        <w:rPr>
          <w:sz w:val="21"/>
        </w:rPr>
      </w:pPr>
      <w:r>
        <w:rPr>
          <w:sz w:val="21"/>
        </w:rPr>
        <w:t>合同效力的中止</w:t>
      </w:r>
    </w:p>
    <w:p>
      <w:pPr>
        <w:pStyle w:val="ListParagraph"/>
        <w:numPr>
          <w:ilvl w:val="1"/>
          <w:numId w:val="7"/>
        </w:numPr>
        <w:tabs>
          <w:tab w:pos="890" w:val="left" w:leader="none"/>
        </w:tabs>
        <w:spacing w:line="250" w:lineRule="exact" w:before="0" w:after="0"/>
        <w:ind w:left="889" w:right="0" w:hanging="420"/>
        <w:jc w:val="left"/>
        <w:rPr>
          <w:sz w:val="21"/>
        </w:rPr>
      </w:pPr>
      <w:r>
        <w:rPr>
          <w:sz w:val="21"/>
        </w:rPr>
        <w:t>合同效力的恢复</w:t>
      </w:r>
    </w:p>
    <w:p>
      <w:pPr>
        <w:pStyle w:val="Heading2"/>
        <w:spacing w:line="250" w:lineRule="exact" w:before="0"/>
        <w:ind w:left="259"/>
      </w:pPr>
      <w:r>
        <w:rPr>
          <w:w w:val="95"/>
        </w:rPr>
        <w:t>5．明确说明与如实告知</w:t>
      </w:r>
    </w:p>
    <w:p>
      <w:pPr>
        <w:pStyle w:val="ListParagraph"/>
        <w:numPr>
          <w:ilvl w:val="1"/>
          <w:numId w:val="8"/>
        </w:numPr>
        <w:tabs>
          <w:tab w:pos="889" w:val="left" w:leader="none"/>
        </w:tabs>
        <w:spacing w:line="250" w:lineRule="exact" w:before="0" w:after="0"/>
        <w:ind w:left="888" w:right="0" w:hanging="419"/>
        <w:jc w:val="left"/>
        <w:rPr>
          <w:sz w:val="21"/>
        </w:rPr>
      </w:pPr>
      <w:r>
        <w:rPr>
          <w:sz w:val="21"/>
        </w:rPr>
        <w:t>明确说明</w:t>
      </w:r>
    </w:p>
    <w:p>
      <w:pPr>
        <w:pStyle w:val="ListParagraph"/>
        <w:numPr>
          <w:ilvl w:val="1"/>
          <w:numId w:val="8"/>
        </w:numPr>
        <w:tabs>
          <w:tab w:pos="889" w:val="left" w:leader="none"/>
        </w:tabs>
        <w:spacing w:line="262" w:lineRule="exact" w:before="0" w:after="0"/>
        <w:ind w:left="888" w:right="0" w:hanging="419"/>
        <w:jc w:val="left"/>
        <w:rPr>
          <w:sz w:val="21"/>
        </w:rPr>
      </w:pPr>
      <w:r>
        <w:rPr>
          <w:sz w:val="21"/>
        </w:rPr>
        <w:t>如实告知</w:t>
      </w:r>
    </w:p>
    <w:p>
      <w:pPr>
        <w:spacing w:line="218" w:lineRule="auto" w:before="0"/>
        <w:ind w:left="469" w:right="0" w:hanging="210"/>
        <w:jc w:val="left"/>
        <w:rPr>
          <w:sz w:val="21"/>
        </w:rPr>
      </w:pPr>
      <w:r>
        <w:rPr/>
        <w:br w:type="column"/>
      </w:r>
      <w:r>
        <w:rPr>
          <w:b/>
          <w:w w:val="95"/>
          <w:sz w:val="21"/>
        </w:rPr>
        <w:t>8．您解除合同的手续及风险</w:t>
      </w:r>
      <w:r>
        <w:rPr>
          <w:sz w:val="21"/>
        </w:rPr>
        <w:t>您解除合同的手续及风险</w:t>
      </w:r>
    </w:p>
    <w:p>
      <w:pPr>
        <w:pStyle w:val="Heading2"/>
        <w:spacing w:line="238" w:lineRule="exact" w:before="0"/>
        <w:ind w:left="259"/>
      </w:pPr>
      <w:r>
        <w:rPr>
          <w:w w:val="95"/>
        </w:rPr>
        <w:t>9．其他需要注意的事项</w:t>
      </w:r>
    </w:p>
    <w:p>
      <w:pPr>
        <w:pStyle w:val="ListParagraph"/>
        <w:numPr>
          <w:ilvl w:val="1"/>
          <w:numId w:val="9"/>
        </w:numPr>
        <w:tabs>
          <w:tab w:pos="890" w:val="left" w:leader="none"/>
        </w:tabs>
        <w:spacing w:line="250" w:lineRule="exact" w:before="0" w:after="0"/>
        <w:ind w:left="889" w:right="0" w:hanging="420"/>
        <w:jc w:val="left"/>
        <w:rPr>
          <w:sz w:val="21"/>
        </w:rPr>
      </w:pPr>
      <w:r>
        <w:rPr>
          <w:sz w:val="21"/>
        </w:rPr>
        <w:t>年龄确定与错误处理</w:t>
      </w:r>
    </w:p>
    <w:p>
      <w:pPr>
        <w:pStyle w:val="ListParagraph"/>
        <w:numPr>
          <w:ilvl w:val="1"/>
          <w:numId w:val="9"/>
        </w:numPr>
        <w:tabs>
          <w:tab w:pos="890" w:val="left" w:leader="none"/>
        </w:tabs>
        <w:spacing w:line="250" w:lineRule="exact" w:before="0" w:after="0"/>
        <w:ind w:left="889" w:right="0" w:hanging="420"/>
        <w:jc w:val="left"/>
        <w:rPr>
          <w:sz w:val="21"/>
        </w:rPr>
      </w:pPr>
      <w:r>
        <w:rPr>
          <w:sz w:val="21"/>
        </w:rPr>
        <w:t>地址变更</w:t>
      </w:r>
    </w:p>
    <w:p>
      <w:pPr>
        <w:pStyle w:val="ListParagraph"/>
        <w:numPr>
          <w:ilvl w:val="1"/>
          <w:numId w:val="9"/>
        </w:numPr>
        <w:tabs>
          <w:tab w:pos="890" w:val="left" w:leader="none"/>
        </w:tabs>
        <w:spacing w:line="250" w:lineRule="exact" w:before="0" w:after="0"/>
        <w:ind w:left="889" w:right="0" w:hanging="420"/>
        <w:jc w:val="left"/>
        <w:rPr>
          <w:sz w:val="21"/>
        </w:rPr>
      </w:pPr>
      <w:r>
        <w:rPr>
          <w:sz w:val="21"/>
        </w:rPr>
        <w:t>未还款项的扣除</w:t>
      </w:r>
    </w:p>
    <w:p>
      <w:pPr>
        <w:pStyle w:val="ListParagraph"/>
        <w:numPr>
          <w:ilvl w:val="1"/>
          <w:numId w:val="9"/>
        </w:numPr>
        <w:tabs>
          <w:tab w:pos="890" w:val="left" w:leader="none"/>
        </w:tabs>
        <w:spacing w:line="250" w:lineRule="exact" w:before="0" w:after="0"/>
        <w:ind w:left="889" w:right="0" w:hanging="420"/>
        <w:jc w:val="left"/>
        <w:rPr>
          <w:sz w:val="21"/>
        </w:rPr>
      </w:pPr>
      <w:r>
        <w:rPr>
          <w:sz w:val="21"/>
        </w:rPr>
        <w:t>合同内容的变更</w:t>
      </w:r>
    </w:p>
    <w:p>
      <w:pPr>
        <w:pStyle w:val="ListParagraph"/>
        <w:numPr>
          <w:ilvl w:val="1"/>
          <w:numId w:val="9"/>
        </w:numPr>
        <w:tabs>
          <w:tab w:pos="890" w:val="left" w:leader="none"/>
        </w:tabs>
        <w:spacing w:line="250" w:lineRule="exact" w:before="0" w:after="0"/>
        <w:ind w:left="889" w:right="0" w:hanging="420"/>
        <w:jc w:val="left"/>
        <w:rPr>
          <w:sz w:val="21"/>
        </w:rPr>
      </w:pPr>
      <w:r>
        <w:rPr>
          <w:sz w:val="21"/>
        </w:rPr>
        <w:t>争议处理</w:t>
      </w:r>
    </w:p>
    <w:p>
      <w:pPr>
        <w:pStyle w:val="Heading2"/>
        <w:spacing w:line="250" w:lineRule="exact" w:before="0"/>
        <w:ind w:left="259"/>
      </w:pPr>
      <w:r>
        <w:rPr>
          <w:w w:val="95"/>
        </w:rPr>
        <w:t>10．疾病定义</w:t>
      </w:r>
    </w:p>
    <w:p>
      <w:pPr>
        <w:pStyle w:val="ListParagraph"/>
        <w:numPr>
          <w:ilvl w:val="1"/>
          <w:numId w:val="10"/>
        </w:numPr>
        <w:tabs>
          <w:tab w:pos="994" w:val="left" w:leader="none"/>
        </w:tabs>
        <w:spacing w:line="250" w:lineRule="exact" w:before="0" w:after="0"/>
        <w:ind w:left="993" w:right="0" w:hanging="524"/>
        <w:jc w:val="left"/>
        <w:rPr>
          <w:sz w:val="21"/>
        </w:rPr>
      </w:pPr>
      <w:r>
        <w:rPr>
          <w:sz w:val="21"/>
        </w:rPr>
        <w:t>重大疾病定义</w:t>
      </w:r>
    </w:p>
    <w:p>
      <w:pPr>
        <w:pStyle w:val="ListParagraph"/>
        <w:numPr>
          <w:ilvl w:val="1"/>
          <w:numId w:val="10"/>
        </w:numPr>
        <w:tabs>
          <w:tab w:pos="994" w:val="left" w:leader="none"/>
        </w:tabs>
        <w:spacing w:line="262" w:lineRule="exact" w:before="0" w:after="0"/>
        <w:ind w:left="993" w:right="0" w:hanging="524"/>
        <w:jc w:val="left"/>
        <w:rPr>
          <w:sz w:val="21"/>
        </w:rPr>
      </w:pPr>
      <w:r>
        <w:rPr>
          <w:sz w:val="21"/>
        </w:rPr>
        <w:t>特定轻症疾病定义</w:t>
      </w:r>
    </w:p>
    <w:p>
      <w:pPr>
        <w:pStyle w:val="ListParagraph"/>
        <w:numPr>
          <w:ilvl w:val="1"/>
          <w:numId w:val="11"/>
        </w:numPr>
        <w:tabs>
          <w:tab w:pos="890" w:val="left" w:leader="none"/>
        </w:tabs>
        <w:spacing w:line="239" w:lineRule="exact" w:before="0" w:after="0"/>
        <w:ind w:left="889" w:right="0" w:hanging="630"/>
        <w:jc w:val="left"/>
        <w:rPr>
          <w:sz w:val="21"/>
        </w:rPr>
      </w:pPr>
      <w:r>
        <w:rPr>
          <w:sz w:val="21"/>
        </w:rPr>
        <w:br w:type="column"/>
        <w:t>无有效行驶证</w:t>
      </w:r>
    </w:p>
    <w:p>
      <w:pPr>
        <w:pStyle w:val="ListParagraph"/>
        <w:numPr>
          <w:ilvl w:val="1"/>
          <w:numId w:val="11"/>
        </w:numPr>
        <w:tabs>
          <w:tab w:pos="890" w:val="left" w:leader="none"/>
        </w:tabs>
        <w:spacing w:line="250" w:lineRule="exact" w:before="0" w:after="0"/>
        <w:ind w:left="889" w:right="0" w:hanging="630"/>
        <w:jc w:val="left"/>
        <w:rPr>
          <w:sz w:val="21"/>
        </w:rPr>
      </w:pPr>
      <w:r>
        <w:rPr>
          <w:sz w:val="21"/>
        </w:rPr>
        <w:t>遗传性疾病</w:t>
      </w:r>
    </w:p>
    <w:p>
      <w:pPr>
        <w:pStyle w:val="ListParagraph"/>
        <w:numPr>
          <w:ilvl w:val="1"/>
          <w:numId w:val="11"/>
        </w:numPr>
        <w:tabs>
          <w:tab w:pos="890" w:val="left" w:leader="none"/>
        </w:tabs>
        <w:spacing w:line="250" w:lineRule="exact" w:before="0" w:after="0"/>
        <w:ind w:left="889" w:right="0" w:hanging="630"/>
        <w:jc w:val="left"/>
        <w:rPr>
          <w:sz w:val="21"/>
        </w:rPr>
      </w:pPr>
      <w:r>
        <w:rPr>
          <w:sz w:val="21"/>
        </w:rPr>
        <w:t>先天性畸形、变形或染色体异常</w:t>
      </w:r>
    </w:p>
    <w:p>
      <w:pPr>
        <w:pStyle w:val="ListParagraph"/>
        <w:numPr>
          <w:ilvl w:val="1"/>
          <w:numId w:val="11"/>
        </w:numPr>
        <w:tabs>
          <w:tab w:pos="890" w:val="left" w:leader="none"/>
        </w:tabs>
        <w:spacing w:line="250" w:lineRule="exact" w:before="0" w:after="0"/>
        <w:ind w:left="889" w:right="0" w:hanging="630"/>
        <w:jc w:val="left"/>
        <w:rPr>
          <w:sz w:val="21"/>
        </w:rPr>
      </w:pPr>
      <w:r>
        <w:rPr>
          <w:sz w:val="21"/>
        </w:rPr>
        <w:t>感染艾滋病病毒或患艾滋病</w:t>
      </w:r>
    </w:p>
    <w:p>
      <w:pPr>
        <w:pStyle w:val="ListParagraph"/>
        <w:numPr>
          <w:ilvl w:val="1"/>
          <w:numId w:val="11"/>
        </w:numPr>
        <w:tabs>
          <w:tab w:pos="890" w:val="left" w:leader="none"/>
        </w:tabs>
        <w:spacing w:line="250" w:lineRule="exact" w:before="0" w:after="0"/>
        <w:ind w:left="889" w:right="0" w:hanging="630"/>
        <w:jc w:val="left"/>
        <w:rPr>
          <w:sz w:val="21"/>
        </w:rPr>
      </w:pPr>
      <w:r>
        <w:rPr>
          <w:sz w:val="21"/>
        </w:rPr>
        <w:t>本合同约定利率</w:t>
      </w:r>
    </w:p>
    <w:p>
      <w:pPr>
        <w:pStyle w:val="ListParagraph"/>
        <w:numPr>
          <w:ilvl w:val="1"/>
          <w:numId w:val="11"/>
        </w:numPr>
        <w:tabs>
          <w:tab w:pos="890" w:val="left" w:leader="none"/>
        </w:tabs>
        <w:spacing w:line="250" w:lineRule="exact" w:before="0" w:after="0"/>
        <w:ind w:left="889" w:right="0" w:hanging="630"/>
        <w:jc w:val="left"/>
        <w:rPr>
          <w:sz w:val="21"/>
        </w:rPr>
      </w:pPr>
      <w:r>
        <w:rPr>
          <w:sz w:val="21"/>
        </w:rPr>
        <w:t>本公司认可的医疗机构</w:t>
      </w:r>
    </w:p>
    <w:p>
      <w:pPr>
        <w:pStyle w:val="ListParagraph"/>
        <w:numPr>
          <w:ilvl w:val="1"/>
          <w:numId w:val="11"/>
        </w:numPr>
        <w:tabs>
          <w:tab w:pos="890" w:val="left" w:leader="none"/>
        </w:tabs>
        <w:spacing w:line="250" w:lineRule="exact" w:before="0" w:after="0"/>
        <w:ind w:left="889" w:right="0" w:hanging="630"/>
        <w:jc w:val="left"/>
        <w:rPr>
          <w:sz w:val="21"/>
        </w:rPr>
      </w:pPr>
      <w:r>
        <w:rPr>
          <w:sz w:val="21"/>
        </w:rPr>
        <w:t>永久不可逆</w:t>
      </w:r>
    </w:p>
    <w:p>
      <w:pPr>
        <w:pStyle w:val="ListParagraph"/>
        <w:numPr>
          <w:ilvl w:val="1"/>
          <w:numId w:val="11"/>
        </w:numPr>
        <w:tabs>
          <w:tab w:pos="890" w:val="left" w:leader="none"/>
        </w:tabs>
        <w:spacing w:line="250" w:lineRule="exact" w:before="0" w:after="0"/>
        <w:ind w:left="889" w:right="0" w:hanging="630"/>
        <w:jc w:val="left"/>
        <w:rPr>
          <w:sz w:val="21"/>
        </w:rPr>
      </w:pPr>
      <w:r>
        <w:rPr>
          <w:sz w:val="21"/>
        </w:rPr>
        <w:t>肢体机能完全丧失</w:t>
      </w:r>
    </w:p>
    <w:p>
      <w:pPr>
        <w:pStyle w:val="ListParagraph"/>
        <w:numPr>
          <w:ilvl w:val="1"/>
          <w:numId w:val="11"/>
        </w:numPr>
        <w:tabs>
          <w:tab w:pos="890" w:val="left" w:leader="none"/>
        </w:tabs>
        <w:spacing w:line="250" w:lineRule="exact" w:before="0" w:after="0"/>
        <w:ind w:left="889" w:right="0" w:hanging="630"/>
        <w:jc w:val="left"/>
        <w:rPr>
          <w:sz w:val="21"/>
        </w:rPr>
      </w:pPr>
      <w:r>
        <w:rPr>
          <w:sz w:val="21"/>
        </w:rPr>
        <w:t>语言能力或咀嚼吞咽能力完全丧失</w:t>
      </w:r>
    </w:p>
    <w:p>
      <w:pPr>
        <w:pStyle w:val="ListParagraph"/>
        <w:numPr>
          <w:ilvl w:val="1"/>
          <w:numId w:val="11"/>
        </w:numPr>
        <w:tabs>
          <w:tab w:pos="890" w:val="left" w:leader="none"/>
        </w:tabs>
        <w:spacing w:line="263" w:lineRule="exact" w:before="0" w:after="0"/>
        <w:ind w:left="889" w:right="0" w:hanging="630"/>
        <w:jc w:val="left"/>
        <w:rPr>
          <w:sz w:val="21"/>
        </w:rPr>
      </w:pPr>
      <w:r>
        <w:rPr>
          <w:sz w:val="21"/>
        </w:rPr>
        <w:t>六项基本日常生活活动</w:t>
      </w:r>
    </w:p>
    <w:p>
      <w:pPr>
        <w:spacing w:after="0" w:line="263" w:lineRule="exact"/>
        <w:jc w:val="left"/>
        <w:rPr>
          <w:sz w:val="21"/>
        </w:rPr>
        <w:sectPr>
          <w:type w:val="continuous"/>
          <w:pgSz w:w="11910" w:h="16840"/>
          <w:pgMar w:top="560" w:bottom="280" w:left="920" w:right="600"/>
          <w:cols w:num="3" w:equalWidth="0">
            <w:col w:w="2472" w:space="435"/>
            <w:col w:w="2893" w:space="347"/>
            <w:col w:w="4243"/>
          </w:cols>
        </w:sectPr>
      </w:pPr>
    </w:p>
    <w:p>
      <w:pPr>
        <w:pStyle w:val="BodyText"/>
        <w:spacing w:before="0"/>
        <w:rPr>
          <w:sz w:val="20"/>
        </w:rPr>
      </w:pPr>
    </w:p>
    <w:p>
      <w:pPr>
        <w:pStyle w:val="BodyText"/>
        <w:spacing w:before="0"/>
        <w:rPr>
          <w:sz w:val="20"/>
        </w:rPr>
      </w:pPr>
    </w:p>
    <w:p>
      <w:pPr>
        <w:pStyle w:val="BodyText"/>
        <w:spacing w:before="8"/>
        <w:rPr>
          <w:sz w:val="18"/>
        </w:rPr>
      </w:pPr>
    </w:p>
    <w:p>
      <w:pPr>
        <w:spacing w:before="8"/>
        <w:ind w:left="2172" w:right="0" w:firstLine="0"/>
        <w:jc w:val="left"/>
        <w:rPr>
          <w:rFonts w:ascii="黑体" w:eastAsia="黑体" w:hint="eastAsia"/>
          <w:b/>
          <w:sz w:val="30"/>
        </w:rPr>
      </w:pPr>
      <w:r>
        <w:rPr>
          <w:rFonts w:ascii="黑体" w:eastAsia="黑体" w:hint="eastAsia"/>
          <w:b/>
          <w:sz w:val="30"/>
        </w:rPr>
        <w:t>信泰恒泰重大疾病保险 A 款（尊享版）条款</w:t>
      </w:r>
    </w:p>
    <w:p>
      <w:pPr>
        <w:pStyle w:val="BodyText"/>
        <w:spacing w:before="0"/>
        <w:rPr>
          <w:rFonts w:ascii="黑体"/>
          <w:b/>
          <w:sz w:val="30"/>
        </w:rPr>
      </w:pPr>
    </w:p>
    <w:p>
      <w:pPr>
        <w:pStyle w:val="BodyText"/>
        <w:spacing w:line="273" w:lineRule="auto" w:before="222"/>
        <w:ind w:left="100" w:right="213"/>
      </w:pPr>
      <w:r>
        <w:rPr/>
        <w:t>在本条款中，“您”指投保人，“我们”、“本公司”均指信泰人寿保险股份有限公司。“本合同”指您与我们之间订立的“信泰恒泰重大疾病保险A 款（尊享版）合同”。</w:t>
      </w:r>
    </w:p>
    <w:p>
      <w:pPr>
        <w:pStyle w:val="BodyText"/>
        <w:spacing w:before="0"/>
        <w:rPr>
          <w:sz w:val="20"/>
        </w:rPr>
      </w:pPr>
    </w:p>
    <w:p>
      <w:pPr>
        <w:pStyle w:val="BodyText"/>
        <w:spacing w:before="10"/>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30"/>
        <w:gridCol w:w="7243"/>
      </w:tblGrid>
      <w:tr>
        <w:trPr>
          <w:trHeight w:val="535" w:hRule="atLeast"/>
        </w:trPr>
        <w:tc>
          <w:tcPr>
            <w:tcW w:w="706" w:type="dxa"/>
            <w:tcBorders>
              <w:bottom w:val="single" w:sz="8" w:space="0" w:color="000000"/>
            </w:tcBorders>
          </w:tcPr>
          <w:p>
            <w:pPr>
              <w:pStyle w:val="TableParagraph"/>
              <w:ind w:left="107"/>
              <w:rPr>
                <w:rFonts w:ascii="Wingdings" w:hAnsi="Wingdings"/>
                <w:sz w:val="40"/>
              </w:rPr>
            </w:pPr>
            <w:r>
              <w:rPr>
                <w:rFonts w:ascii="Wingdings" w:hAnsi="Wingdings"/>
                <w:sz w:val="40"/>
              </w:rPr>
              <w:t></w:t>
            </w:r>
          </w:p>
        </w:tc>
        <w:tc>
          <w:tcPr>
            <w:tcW w:w="2030" w:type="dxa"/>
            <w:tcBorders>
              <w:bottom w:val="single" w:sz="8" w:space="0" w:color="000000"/>
            </w:tcBorders>
          </w:tcPr>
          <w:p>
            <w:pPr>
              <w:pStyle w:val="TableParagraph"/>
              <w:spacing w:before="29"/>
              <w:ind w:left="242"/>
              <w:rPr>
                <w:b/>
                <w:sz w:val="24"/>
              </w:rPr>
            </w:pPr>
            <w:r>
              <w:rPr>
                <w:b/>
                <w:w w:val="95"/>
                <w:sz w:val="24"/>
              </w:rPr>
              <w:t>您与我们的合同</w:t>
            </w:r>
          </w:p>
        </w:tc>
        <w:tc>
          <w:tcPr>
            <w:tcW w:w="7243" w:type="dxa"/>
            <w:tcBorders>
              <w:bottom w:val="single" w:sz="8" w:space="0" w:color="000000"/>
            </w:tcBorders>
          </w:tcPr>
          <w:p>
            <w:pPr>
              <w:pStyle w:val="TableParagraph"/>
              <w:ind w:left="0"/>
              <w:rPr>
                <w:rFonts w:ascii="Times New Roman"/>
                <w:sz w:val="20"/>
              </w:rPr>
            </w:pPr>
          </w:p>
        </w:tc>
      </w:tr>
      <w:tr>
        <w:trPr>
          <w:trHeight w:val="1187" w:hRule="atLeast"/>
        </w:trPr>
        <w:tc>
          <w:tcPr>
            <w:tcW w:w="706" w:type="dxa"/>
            <w:tcBorders>
              <w:top w:val="single" w:sz="8" w:space="0" w:color="000000"/>
            </w:tcBorders>
          </w:tcPr>
          <w:p>
            <w:pPr>
              <w:pStyle w:val="TableParagraph"/>
              <w:spacing w:before="7"/>
              <w:ind w:left="0"/>
              <w:rPr>
                <w:sz w:val="14"/>
              </w:rPr>
            </w:pPr>
          </w:p>
          <w:p>
            <w:pPr>
              <w:pStyle w:val="TableParagraph"/>
              <w:spacing w:before="1"/>
              <w:ind w:left="107"/>
              <w:rPr>
                <w:b/>
                <w:sz w:val="21"/>
              </w:rPr>
            </w:pPr>
            <w:r>
              <w:rPr>
                <w:b/>
                <w:sz w:val="21"/>
              </w:rPr>
              <w:t>1.1</w:t>
            </w:r>
          </w:p>
        </w:tc>
        <w:tc>
          <w:tcPr>
            <w:tcW w:w="2030" w:type="dxa"/>
            <w:tcBorders>
              <w:top w:val="single" w:sz="8" w:space="0" w:color="000000"/>
            </w:tcBorders>
          </w:tcPr>
          <w:p>
            <w:pPr>
              <w:pStyle w:val="TableParagraph"/>
              <w:spacing w:before="7"/>
              <w:ind w:left="0"/>
              <w:rPr>
                <w:sz w:val="14"/>
              </w:rPr>
            </w:pPr>
          </w:p>
          <w:p>
            <w:pPr>
              <w:pStyle w:val="TableParagraph"/>
              <w:spacing w:before="1"/>
              <w:ind w:left="241"/>
              <w:rPr>
                <w:b/>
                <w:sz w:val="21"/>
              </w:rPr>
            </w:pPr>
            <w:r>
              <w:rPr>
                <w:b/>
                <w:w w:val="95"/>
                <w:sz w:val="21"/>
              </w:rPr>
              <w:t>合同的构成</w:t>
            </w:r>
          </w:p>
        </w:tc>
        <w:tc>
          <w:tcPr>
            <w:tcW w:w="7243" w:type="dxa"/>
            <w:tcBorders>
              <w:top w:val="single" w:sz="8" w:space="0" w:color="000000"/>
            </w:tcBorders>
          </w:tcPr>
          <w:p>
            <w:pPr>
              <w:pStyle w:val="TableParagraph"/>
              <w:spacing w:before="7"/>
              <w:ind w:left="0"/>
              <w:rPr>
                <w:sz w:val="14"/>
              </w:rPr>
            </w:pPr>
          </w:p>
          <w:p>
            <w:pPr>
              <w:pStyle w:val="TableParagraph"/>
              <w:spacing w:line="273" w:lineRule="auto" w:before="1"/>
              <w:ind w:left="101" w:right="97"/>
              <w:jc w:val="both"/>
              <w:rPr>
                <w:sz w:val="21"/>
              </w:rPr>
            </w:pPr>
            <w:r>
              <w:rPr>
                <w:sz w:val="21"/>
              </w:rPr>
              <w:t>信泰恒泰重大疾病保险 A 款（尊享版）合同（以下简称本合同）由保险单或其他保险凭证及所附保险条款、投保单、现金价值表、与本合同有关的其他投保文件、合法有效的声明、批注、批单及其他书面协议共同构成。</w:t>
            </w:r>
          </w:p>
        </w:tc>
      </w:tr>
      <w:tr>
        <w:trPr>
          <w:trHeight w:val="1138"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line="273" w:lineRule="auto" w:before="33"/>
              <w:ind w:left="101" w:right="97"/>
              <w:jc w:val="both"/>
              <w:rPr>
                <w:sz w:val="21"/>
              </w:rPr>
            </w:pPr>
            <w:r>
              <w:rPr>
                <w:sz w:val="21"/>
              </w:rPr>
              <w:t>若上述构成本合同的文件原件需留本公司存档，则其复印件或电子影像件亦视为本合同的构成部分，其效力与原件相同；若其复印件或电子影像件的内容与原件内容不一致，则以原件内容为准。</w:t>
            </w:r>
          </w:p>
        </w:tc>
      </w:tr>
      <w:tr>
        <w:trPr>
          <w:trHeight w:val="827" w:hRule="atLeast"/>
        </w:trPr>
        <w:tc>
          <w:tcPr>
            <w:tcW w:w="706" w:type="dxa"/>
          </w:tcPr>
          <w:p>
            <w:pPr>
              <w:pStyle w:val="TableParagraph"/>
              <w:spacing w:before="142"/>
              <w:ind w:left="108"/>
              <w:rPr>
                <w:b/>
                <w:sz w:val="21"/>
              </w:rPr>
            </w:pPr>
            <w:r>
              <w:rPr>
                <w:b/>
                <w:sz w:val="21"/>
              </w:rPr>
              <w:t>1.2</w:t>
            </w:r>
          </w:p>
        </w:tc>
        <w:tc>
          <w:tcPr>
            <w:tcW w:w="2030" w:type="dxa"/>
          </w:tcPr>
          <w:p>
            <w:pPr>
              <w:pStyle w:val="TableParagraph"/>
              <w:spacing w:before="142"/>
              <w:ind w:left="241"/>
              <w:rPr>
                <w:b/>
                <w:sz w:val="21"/>
              </w:rPr>
            </w:pPr>
            <w:r>
              <w:rPr>
                <w:b/>
                <w:w w:val="95"/>
                <w:sz w:val="21"/>
              </w:rPr>
              <w:t>合同成立与生效</w:t>
            </w:r>
          </w:p>
        </w:tc>
        <w:tc>
          <w:tcPr>
            <w:tcW w:w="7243" w:type="dxa"/>
          </w:tcPr>
          <w:p>
            <w:pPr>
              <w:pStyle w:val="TableParagraph"/>
              <w:spacing w:line="273" w:lineRule="auto" w:before="142"/>
              <w:ind w:left="101" w:right="97"/>
              <w:rPr>
                <w:sz w:val="21"/>
              </w:rPr>
            </w:pPr>
            <w:r>
              <w:rPr>
                <w:sz w:val="21"/>
              </w:rPr>
              <w:t>您提出保险申请，我们同意承保，本合同成立，本合同成立日载明于保险单或批单上。</w:t>
            </w:r>
          </w:p>
        </w:tc>
      </w:tr>
      <w:tr>
        <w:trPr>
          <w:trHeight w:val="1030"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line="273" w:lineRule="auto" w:before="33"/>
              <w:ind w:left="101" w:right="97"/>
              <w:jc w:val="both"/>
              <w:rPr>
                <w:sz w:val="21"/>
              </w:rPr>
            </w:pPr>
            <w:r>
              <w:rPr>
                <w:sz w:val="21"/>
              </w:rPr>
              <w:t>自本合同成立、我们收取首期保险费并签发保险单的次日零时起，本合同生效，本合同生效日载明于保险单上。除另有约定外，本合同生效日为我们开始承担保险责任的日期。</w:t>
            </w:r>
          </w:p>
        </w:tc>
      </w:tr>
      <w:tr>
        <w:trPr>
          <w:trHeight w:val="710"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line="273" w:lineRule="auto" w:before="33"/>
              <w:ind w:left="101" w:right="97"/>
              <w:rPr>
                <w:sz w:val="21"/>
              </w:rPr>
            </w:pPr>
            <w:r>
              <w:rPr>
                <w:sz w:val="21"/>
              </w:rPr>
              <w:t>本合同生效日以后每年的对应日为保单周年日。若当月无对应的同一日，则该月最后一日作为对应日。</w:t>
            </w:r>
          </w:p>
        </w:tc>
      </w:tr>
      <w:tr>
        <w:trPr>
          <w:trHeight w:val="561"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before="39"/>
              <w:ind w:left="101"/>
              <w:rPr>
                <w:sz w:val="21"/>
              </w:rPr>
            </w:pPr>
            <w:r>
              <w:rPr>
                <w:b/>
                <w:sz w:val="21"/>
              </w:rPr>
              <w:t>保单年度 </w:t>
            </w:r>
            <w:r>
              <w:rPr>
                <w:position w:val="10"/>
                <w:sz w:val="10"/>
              </w:rPr>
              <w:t>11.1</w:t>
            </w:r>
            <w:r>
              <w:rPr>
                <w:sz w:val="21"/>
              </w:rPr>
              <w:t>、</w:t>
            </w:r>
            <w:r>
              <w:rPr>
                <w:b/>
                <w:sz w:val="21"/>
              </w:rPr>
              <w:t>保险费约定支付日 </w:t>
            </w:r>
            <w:r>
              <w:rPr>
                <w:position w:val="10"/>
                <w:sz w:val="10"/>
              </w:rPr>
              <w:t>11.2 </w:t>
            </w:r>
            <w:r>
              <w:rPr>
                <w:sz w:val="21"/>
              </w:rPr>
              <w:t>均以本合同生效日计算。</w:t>
            </w:r>
          </w:p>
        </w:tc>
      </w:tr>
      <w:tr>
        <w:trPr>
          <w:trHeight w:val="990" w:hRule="atLeast"/>
        </w:trPr>
        <w:tc>
          <w:tcPr>
            <w:tcW w:w="706" w:type="dxa"/>
          </w:tcPr>
          <w:p>
            <w:pPr>
              <w:pStyle w:val="TableParagraph"/>
              <w:ind w:left="0"/>
              <w:rPr>
                <w:sz w:val="15"/>
              </w:rPr>
            </w:pPr>
          </w:p>
          <w:p>
            <w:pPr>
              <w:pStyle w:val="TableParagraph"/>
              <w:ind w:left="107"/>
              <w:rPr>
                <w:b/>
                <w:sz w:val="21"/>
              </w:rPr>
            </w:pPr>
            <w:r>
              <w:rPr>
                <w:b/>
                <w:sz w:val="21"/>
              </w:rPr>
              <w:t>1.3</w:t>
            </w:r>
          </w:p>
        </w:tc>
        <w:tc>
          <w:tcPr>
            <w:tcW w:w="2030" w:type="dxa"/>
          </w:tcPr>
          <w:p>
            <w:pPr>
              <w:pStyle w:val="TableParagraph"/>
              <w:ind w:left="0"/>
              <w:rPr>
                <w:sz w:val="15"/>
              </w:rPr>
            </w:pPr>
          </w:p>
          <w:p>
            <w:pPr>
              <w:pStyle w:val="TableParagraph"/>
              <w:ind w:left="241"/>
              <w:rPr>
                <w:b/>
                <w:sz w:val="21"/>
              </w:rPr>
            </w:pPr>
            <w:r>
              <w:rPr>
                <w:b/>
                <w:w w:val="95"/>
                <w:sz w:val="21"/>
              </w:rPr>
              <w:t>投保年龄</w:t>
            </w:r>
          </w:p>
        </w:tc>
        <w:tc>
          <w:tcPr>
            <w:tcW w:w="7243" w:type="dxa"/>
          </w:tcPr>
          <w:p>
            <w:pPr>
              <w:pStyle w:val="TableParagraph"/>
              <w:ind w:left="0"/>
              <w:rPr>
                <w:sz w:val="15"/>
              </w:rPr>
            </w:pPr>
          </w:p>
          <w:p>
            <w:pPr>
              <w:pStyle w:val="TableParagraph"/>
              <w:spacing w:line="273" w:lineRule="auto"/>
              <w:ind w:left="101" w:right="44"/>
              <w:rPr>
                <w:sz w:val="21"/>
              </w:rPr>
            </w:pPr>
            <w:r>
              <w:rPr>
                <w:sz w:val="21"/>
              </w:rPr>
              <w:t>投保时被保险人的年龄为投保年龄。投保年龄以</w:t>
            </w:r>
            <w:r>
              <w:rPr>
                <w:b/>
                <w:sz w:val="21"/>
              </w:rPr>
              <w:t>周岁 </w:t>
            </w:r>
            <w:r>
              <w:rPr>
                <w:position w:val="11"/>
                <w:sz w:val="10"/>
              </w:rPr>
              <w:t>11.3 </w:t>
            </w:r>
            <w:r>
              <w:rPr>
                <w:sz w:val="21"/>
              </w:rPr>
              <w:t>计算，本合同接受的投保年龄为出生满二十八日至六十周岁。</w:t>
            </w:r>
          </w:p>
        </w:tc>
      </w:tr>
      <w:tr>
        <w:trPr>
          <w:trHeight w:val="1559" w:hRule="atLeast"/>
        </w:trPr>
        <w:tc>
          <w:tcPr>
            <w:tcW w:w="706" w:type="dxa"/>
          </w:tcPr>
          <w:p>
            <w:pPr>
              <w:pStyle w:val="TableParagraph"/>
              <w:spacing w:before="142"/>
              <w:ind w:left="107"/>
              <w:rPr>
                <w:b/>
                <w:sz w:val="21"/>
              </w:rPr>
            </w:pPr>
            <w:r>
              <w:rPr>
                <w:b/>
                <w:sz w:val="21"/>
              </w:rPr>
              <w:t>1.4</w:t>
            </w:r>
          </w:p>
        </w:tc>
        <w:tc>
          <w:tcPr>
            <w:tcW w:w="2030" w:type="dxa"/>
          </w:tcPr>
          <w:p>
            <w:pPr>
              <w:pStyle w:val="TableParagraph"/>
              <w:spacing w:before="142"/>
              <w:ind w:left="242"/>
              <w:rPr>
                <w:b/>
                <w:sz w:val="21"/>
              </w:rPr>
            </w:pPr>
            <w:r>
              <w:rPr>
                <w:b/>
                <w:w w:val="95"/>
                <w:sz w:val="21"/>
              </w:rPr>
              <w:t>保险期间</w:t>
            </w:r>
          </w:p>
        </w:tc>
        <w:tc>
          <w:tcPr>
            <w:tcW w:w="7243" w:type="dxa"/>
          </w:tcPr>
          <w:p>
            <w:pPr>
              <w:pStyle w:val="TableParagraph"/>
              <w:spacing w:before="142"/>
              <w:ind w:left="101"/>
              <w:rPr>
                <w:sz w:val="21"/>
              </w:rPr>
            </w:pPr>
            <w:r>
              <w:rPr>
                <w:sz w:val="21"/>
              </w:rPr>
              <w:t>本合同保险期间分为以下二种：</w:t>
            </w:r>
          </w:p>
          <w:p>
            <w:pPr>
              <w:pStyle w:val="TableParagraph"/>
              <w:spacing w:before="37"/>
              <w:ind w:left="101"/>
              <w:rPr>
                <w:sz w:val="21"/>
              </w:rPr>
            </w:pPr>
            <w:r>
              <w:rPr>
                <w:sz w:val="21"/>
              </w:rPr>
              <w:t>（一）自本合同生效日起至被保险人年满八十周岁的保单周年日止；</w:t>
            </w:r>
          </w:p>
          <w:p>
            <w:pPr>
              <w:pStyle w:val="TableParagraph"/>
              <w:spacing w:before="37"/>
              <w:ind w:left="101"/>
              <w:rPr>
                <w:sz w:val="21"/>
              </w:rPr>
            </w:pPr>
            <w:r>
              <w:rPr>
                <w:sz w:val="21"/>
              </w:rPr>
              <w:t>（二）终身，即自本合同生效日起至被保险人身故止。</w:t>
            </w:r>
          </w:p>
          <w:p>
            <w:pPr>
              <w:pStyle w:val="TableParagraph"/>
              <w:spacing w:before="37"/>
              <w:ind w:left="101"/>
              <w:rPr>
                <w:sz w:val="21"/>
              </w:rPr>
            </w:pPr>
            <w:r>
              <w:rPr>
                <w:sz w:val="21"/>
              </w:rPr>
              <w:t>本合同保险期间由您在投保时与我们约定并载明于保险单上。</w:t>
            </w:r>
          </w:p>
        </w:tc>
      </w:tr>
      <w:tr>
        <w:trPr>
          <w:trHeight w:val="1130" w:hRule="atLeast"/>
        </w:trPr>
        <w:tc>
          <w:tcPr>
            <w:tcW w:w="706" w:type="dxa"/>
          </w:tcPr>
          <w:p>
            <w:pPr>
              <w:pStyle w:val="TableParagraph"/>
              <w:spacing w:before="142"/>
              <w:ind w:left="107"/>
              <w:rPr>
                <w:b/>
                <w:sz w:val="21"/>
              </w:rPr>
            </w:pPr>
            <w:r>
              <w:rPr>
                <w:b/>
                <w:sz w:val="21"/>
              </w:rPr>
              <w:t>1.5</w:t>
            </w:r>
          </w:p>
        </w:tc>
        <w:tc>
          <w:tcPr>
            <w:tcW w:w="2030" w:type="dxa"/>
          </w:tcPr>
          <w:p>
            <w:pPr>
              <w:pStyle w:val="TableParagraph"/>
              <w:spacing w:before="142"/>
              <w:ind w:left="241"/>
              <w:rPr>
                <w:b/>
                <w:sz w:val="21"/>
              </w:rPr>
            </w:pPr>
            <w:r>
              <w:rPr>
                <w:b/>
                <w:w w:val="95"/>
                <w:sz w:val="21"/>
              </w:rPr>
              <w:t>犹豫期</w:t>
            </w:r>
          </w:p>
        </w:tc>
        <w:tc>
          <w:tcPr>
            <w:tcW w:w="7243" w:type="dxa"/>
          </w:tcPr>
          <w:p>
            <w:pPr>
              <w:pStyle w:val="TableParagraph"/>
              <w:spacing w:line="273" w:lineRule="auto" w:before="142"/>
              <w:ind w:left="101" w:right="97"/>
              <w:jc w:val="both"/>
              <w:rPr>
                <w:sz w:val="21"/>
              </w:rPr>
            </w:pPr>
            <w:r>
              <w:rPr>
                <w:sz w:val="21"/>
              </w:rPr>
              <w:t>除另有约定外，自您书面签收本合同之日起十日内为犹豫期。保险监督管理部门对犹豫期另有规定的，从其规定。在犹豫期内，请您认真审阅本合同， 您可以在此期间申请解除本合同。</w:t>
            </w:r>
          </w:p>
        </w:tc>
      </w:tr>
      <w:tr>
        <w:trPr>
          <w:trHeight w:val="350"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before="25"/>
              <w:ind w:left="101"/>
              <w:rPr>
                <w:sz w:val="21"/>
              </w:rPr>
            </w:pPr>
            <w:r>
              <w:rPr>
                <w:sz w:val="21"/>
              </w:rPr>
              <w:t>申请解除本合同时，您需要填写申请书，并提供您的保险合同及有效身份证</w:t>
            </w:r>
          </w:p>
        </w:tc>
      </w:tr>
      <w:tr>
        <w:trPr>
          <w:trHeight w:val="311"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line="261" w:lineRule="exact"/>
              <w:ind w:left="101"/>
              <w:rPr>
                <w:sz w:val="21"/>
              </w:rPr>
            </w:pPr>
            <w:r>
              <w:rPr>
                <w:sz w:val="21"/>
              </w:rPr>
              <w:t>件。自我们收到解除合同的书面申请之日起，本合同终止，我们将在扣除工</w:t>
            </w:r>
          </w:p>
        </w:tc>
      </w:tr>
      <w:tr>
        <w:trPr>
          <w:trHeight w:val="311" w:hRule="atLeast"/>
        </w:trPr>
        <w:tc>
          <w:tcPr>
            <w:tcW w:w="706"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243" w:type="dxa"/>
          </w:tcPr>
          <w:p>
            <w:pPr>
              <w:pStyle w:val="TableParagraph"/>
              <w:spacing w:line="261" w:lineRule="exact"/>
              <w:ind w:left="101"/>
              <w:rPr>
                <w:b/>
                <w:sz w:val="21"/>
              </w:rPr>
            </w:pPr>
            <w:r>
              <w:rPr>
                <w:sz w:val="21"/>
              </w:rPr>
              <w:t>本费后退还您所支付的全部保险费，</w:t>
            </w:r>
            <w:r>
              <w:rPr>
                <w:b/>
                <w:sz w:val="21"/>
              </w:rPr>
              <w:t>但我们对本合同终止前发生的保险事故</w:t>
            </w:r>
          </w:p>
        </w:tc>
      </w:tr>
      <w:tr>
        <w:trPr>
          <w:trHeight w:val="260" w:hRule="atLeast"/>
        </w:trPr>
        <w:tc>
          <w:tcPr>
            <w:tcW w:w="706" w:type="dxa"/>
          </w:tcPr>
          <w:p>
            <w:pPr>
              <w:pStyle w:val="TableParagraph"/>
              <w:ind w:left="0"/>
              <w:rPr>
                <w:rFonts w:ascii="Times New Roman"/>
                <w:sz w:val="18"/>
              </w:rPr>
            </w:pPr>
          </w:p>
        </w:tc>
        <w:tc>
          <w:tcPr>
            <w:tcW w:w="2030" w:type="dxa"/>
          </w:tcPr>
          <w:p>
            <w:pPr>
              <w:pStyle w:val="TableParagraph"/>
              <w:ind w:left="0"/>
              <w:rPr>
                <w:rFonts w:ascii="Times New Roman"/>
                <w:sz w:val="18"/>
              </w:rPr>
            </w:pPr>
          </w:p>
        </w:tc>
        <w:tc>
          <w:tcPr>
            <w:tcW w:w="7243" w:type="dxa"/>
          </w:tcPr>
          <w:p>
            <w:pPr>
              <w:pStyle w:val="TableParagraph"/>
              <w:spacing w:line="241" w:lineRule="exact"/>
              <w:ind w:left="101"/>
              <w:rPr>
                <w:sz w:val="21"/>
              </w:rPr>
            </w:pPr>
            <w:r>
              <w:rPr>
                <w:b/>
                <w:w w:val="95"/>
                <w:sz w:val="21"/>
              </w:rPr>
              <w:t>不承担保险责任</w:t>
            </w:r>
            <w:r>
              <w:rPr>
                <w:w w:val="95"/>
                <w:sz w:val="21"/>
              </w:rPr>
              <w:t>。</w:t>
            </w:r>
          </w:p>
        </w:tc>
      </w:tr>
    </w:tbl>
    <w:p>
      <w:pPr>
        <w:spacing w:after="0" w:line="241" w:lineRule="exact"/>
        <w:rPr>
          <w:sz w:val="21"/>
        </w:rPr>
        <w:sectPr>
          <w:headerReference w:type="default" r:id="rId7"/>
          <w:footerReference w:type="default" r:id="rId8"/>
          <w:pgSz w:w="11910" w:h="16840"/>
          <w:pgMar w:header="608" w:footer="408" w:top="800" w:bottom="600" w:left="920" w:right="800"/>
          <w:pgNumType w:start="1"/>
        </w:sectPr>
      </w:pPr>
    </w:p>
    <w:p>
      <w:pPr>
        <w:pStyle w:val="BodyText"/>
        <w:spacing w:before="13"/>
        <w:rPr>
          <w:sz w:val="24"/>
        </w:rPr>
      </w:pPr>
    </w:p>
    <w:p>
      <w:pPr>
        <w:tabs>
          <w:tab w:pos="1047" w:val="left" w:leader="none"/>
        </w:tabs>
        <w:spacing w:before="62"/>
        <w:ind w:left="207" w:right="0" w:firstLine="0"/>
        <w:jc w:val="left"/>
        <w:rPr>
          <w:b/>
          <w:sz w:val="24"/>
        </w:rPr>
      </w:pPr>
      <w:r>
        <w:rPr/>
        <w:pict>
          <v:line style="position:absolute;mso-position-horizontal-relative:page;mso-position-vertical-relative:paragraph;z-index:1120;mso-wrap-distance-left:0;mso-wrap-distance-right:0" from="51pt,31.620075pt" to="549.96pt,31.620075pt" stroked="true" strokeweight=".96pt" strokecolor="#000000">
            <v:stroke dashstyle="solid"/>
            <w10:wrap type="topAndBottom"/>
          </v:line>
        </w:pict>
      </w:r>
      <w:r>
        <w:rPr>
          <w:rFonts w:ascii="Arial" w:hAnsi="Arial" w:eastAsia="Arial"/>
          <w:b/>
          <w:position w:val="-3"/>
          <w:sz w:val="40"/>
        </w:rPr>
        <w:t></w:t>
        <w:tab/>
      </w:r>
      <w:r>
        <w:rPr>
          <w:b/>
          <w:w w:val="95"/>
          <w:sz w:val="24"/>
        </w:rPr>
        <w:t>我们提供的保障</w:t>
      </w:r>
    </w:p>
    <w:p>
      <w:pPr>
        <w:pStyle w:val="ListParagraph"/>
        <w:numPr>
          <w:ilvl w:val="1"/>
          <w:numId w:val="12"/>
        </w:numPr>
        <w:tabs>
          <w:tab w:pos="1047" w:val="left" w:leader="none"/>
          <w:tab w:pos="1048" w:val="left" w:leader="none"/>
          <w:tab w:pos="2937" w:val="left" w:leader="none"/>
        </w:tabs>
        <w:spacing w:line="240" w:lineRule="auto" w:before="163" w:after="0"/>
        <w:ind w:left="1048" w:right="0" w:hanging="840"/>
        <w:jc w:val="left"/>
        <w:rPr>
          <w:sz w:val="21"/>
        </w:rPr>
      </w:pPr>
      <w:r>
        <w:rPr>
          <w:b/>
          <w:sz w:val="21"/>
        </w:rPr>
        <w:t>基本保险金额</w:t>
        <w:tab/>
      </w:r>
      <w:r>
        <w:rPr>
          <w:sz w:val="21"/>
        </w:rPr>
        <w:t>本合同的基本保险金额由您在投保时与我们约定，并载明于保险单上。</w:t>
      </w:r>
    </w:p>
    <w:p>
      <w:pPr>
        <w:pStyle w:val="BodyText"/>
        <w:spacing w:before="12"/>
        <w:rPr>
          <w:sz w:val="23"/>
        </w:rPr>
      </w:pPr>
    </w:p>
    <w:p>
      <w:pPr>
        <w:spacing w:after="0"/>
        <w:rPr>
          <w:sz w:val="23"/>
        </w:rPr>
        <w:sectPr>
          <w:pgSz w:w="11910" w:h="16840"/>
          <w:pgMar w:header="608" w:footer="408" w:top="800" w:bottom="600" w:left="920" w:right="800"/>
        </w:sectPr>
      </w:pPr>
    </w:p>
    <w:p>
      <w:pPr>
        <w:pStyle w:val="Heading2"/>
        <w:numPr>
          <w:ilvl w:val="1"/>
          <w:numId w:val="12"/>
        </w:numPr>
        <w:tabs>
          <w:tab w:pos="1047" w:val="left" w:leader="none"/>
          <w:tab w:pos="1048" w:val="left" w:leader="none"/>
        </w:tabs>
        <w:spacing w:line="273" w:lineRule="auto" w:before="36" w:after="0"/>
        <w:ind w:left="1048" w:right="0" w:hanging="840"/>
        <w:jc w:val="left"/>
      </w:pPr>
      <w:r>
        <w:rPr>
          <w:w w:val="95"/>
        </w:rPr>
        <w:t>未成年人身故保险金限制</w:t>
      </w:r>
    </w:p>
    <w:p>
      <w:pPr>
        <w:pStyle w:val="BodyText"/>
        <w:spacing w:line="273" w:lineRule="auto" w:before="36"/>
        <w:ind w:left="208" w:right="202"/>
        <w:jc w:val="both"/>
      </w:pPr>
      <w:r>
        <w:rPr/>
        <w:br w:type="column"/>
      </w:r>
      <w:r>
        <w:rPr/>
        <w:t>为未成年子女投保的人身保险，因被保险人身故给付的保险金总和不得超过国务院保险监督管理机构规定的限额，身故给付的保险金总和约定也不得超过前述限额。</w:t>
      </w:r>
    </w:p>
    <w:p>
      <w:pPr>
        <w:spacing w:after="0" w:line="273" w:lineRule="auto"/>
        <w:jc w:val="both"/>
        <w:sectPr>
          <w:type w:val="continuous"/>
          <w:pgSz w:w="11910" w:h="16840"/>
          <w:pgMar w:top="560" w:bottom="280" w:left="920" w:right="800"/>
          <w:cols w:num="2" w:equalWidth="0">
            <w:col w:w="2522" w:space="208"/>
            <w:col w:w="7460"/>
          </w:cols>
        </w:sectPr>
      </w:pPr>
    </w:p>
    <w:p>
      <w:pPr>
        <w:pStyle w:val="BodyText"/>
        <w:spacing w:before="9"/>
      </w:pPr>
    </w:p>
    <w:p>
      <w:pPr>
        <w:pStyle w:val="ListParagraph"/>
        <w:numPr>
          <w:ilvl w:val="1"/>
          <w:numId w:val="12"/>
        </w:numPr>
        <w:tabs>
          <w:tab w:pos="1047" w:val="left" w:leader="none"/>
          <w:tab w:pos="1048" w:val="left" w:leader="none"/>
          <w:tab w:pos="2937" w:val="left" w:leader="none"/>
        </w:tabs>
        <w:spacing w:line="273" w:lineRule="auto" w:before="36" w:after="0"/>
        <w:ind w:left="2938" w:right="199" w:hanging="2730"/>
        <w:jc w:val="left"/>
        <w:rPr>
          <w:sz w:val="21"/>
        </w:rPr>
      </w:pPr>
      <w:r>
        <w:rPr>
          <w:b/>
          <w:sz w:val="21"/>
        </w:rPr>
        <w:t>重大疾病分组</w:t>
        <w:tab/>
      </w:r>
      <w:r>
        <w:rPr>
          <w:sz w:val="21"/>
        </w:rPr>
        <w:t>本合同</w:t>
      </w:r>
      <w:r>
        <w:rPr>
          <w:spacing w:val="2"/>
          <w:sz w:val="21"/>
        </w:rPr>
        <w:t>所</w:t>
      </w:r>
      <w:r>
        <w:rPr>
          <w:sz w:val="21"/>
        </w:rPr>
        <w:t>保</w:t>
      </w:r>
      <w:r>
        <w:rPr>
          <w:spacing w:val="2"/>
          <w:sz w:val="21"/>
        </w:rPr>
        <w:t>障</w:t>
      </w:r>
      <w:r>
        <w:rPr>
          <w:sz w:val="21"/>
        </w:rPr>
        <w:t>的</w:t>
      </w:r>
      <w:r>
        <w:rPr>
          <w:spacing w:val="2"/>
          <w:sz w:val="21"/>
        </w:rPr>
        <w:t>重</w:t>
      </w:r>
      <w:r>
        <w:rPr>
          <w:sz w:val="21"/>
        </w:rPr>
        <w:t>大疾病共一百种</w:t>
      </w:r>
      <w:r>
        <w:rPr>
          <w:spacing w:val="2"/>
          <w:sz w:val="21"/>
        </w:rPr>
        <w:t>，</w:t>
      </w:r>
      <w:r>
        <w:rPr>
          <w:sz w:val="21"/>
        </w:rPr>
        <w:t>分为</w:t>
      </w:r>
      <w:r>
        <w:rPr>
          <w:spacing w:val="-24"/>
          <w:sz w:val="21"/>
        </w:rPr>
        <w:t> </w:t>
      </w:r>
      <w:r>
        <w:rPr>
          <w:sz w:val="21"/>
        </w:rPr>
        <w:t>A、B、C</w:t>
      </w:r>
      <w:r>
        <w:rPr>
          <w:spacing w:val="-20"/>
          <w:sz w:val="21"/>
        </w:rPr>
        <w:t> </w:t>
      </w:r>
      <w:r>
        <w:rPr>
          <w:sz w:val="21"/>
        </w:rPr>
        <w:t>三组（</w:t>
      </w:r>
      <w:r>
        <w:rPr>
          <w:b/>
          <w:sz w:val="21"/>
        </w:rPr>
        <w:t>重</w:t>
      </w:r>
      <w:r>
        <w:rPr>
          <w:b/>
          <w:spacing w:val="2"/>
          <w:sz w:val="21"/>
        </w:rPr>
        <w:t>大疾</w:t>
      </w:r>
      <w:r>
        <w:rPr>
          <w:b/>
          <w:sz w:val="21"/>
        </w:rPr>
        <w:t>病</w:t>
      </w:r>
      <w:r>
        <w:rPr>
          <w:b/>
          <w:spacing w:val="2"/>
          <w:sz w:val="21"/>
        </w:rPr>
        <w:t>的</w:t>
      </w:r>
      <w:r>
        <w:rPr>
          <w:b/>
          <w:sz w:val="21"/>
        </w:rPr>
        <w:t>定</w:t>
      </w:r>
      <w:r>
        <w:rPr>
          <w:b/>
          <w:spacing w:val="2"/>
          <w:sz w:val="21"/>
        </w:rPr>
        <w:t>义详</w:t>
      </w:r>
      <w:r>
        <w:rPr>
          <w:b/>
          <w:sz w:val="21"/>
        </w:rPr>
        <w:t>见本合同</w:t>
      </w:r>
      <w:r>
        <w:rPr>
          <w:b/>
          <w:spacing w:val="-56"/>
          <w:sz w:val="21"/>
        </w:rPr>
        <w:t> </w:t>
      </w:r>
      <w:r>
        <w:rPr>
          <w:b/>
          <w:sz w:val="21"/>
        </w:rPr>
        <w:t>10.1</w:t>
      </w:r>
      <w:r>
        <w:rPr>
          <w:b/>
          <w:spacing w:val="-57"/>
          <w:sz w:val="21"/>
        </w:rPr>
        <w:t> </w:t>
      </w:r>
      <w:r>
        <w:rPr>
          <w:b/>
          <w:sz w:val="21"/>
        </w:rPr>
        <w:t>部分）</w:t>
      </w:r>
      <w:r>
        <w:rPr>
          <w:sz w:val="21"/>
        </w:rPr>
        <w:t>。</w:t>
      </w:r>
    </w:p>
    <w:p>
      <w:pPr>
        <w:pStyle w:val="BodyText"/>
        <w:spacing w:before="1" w:after="1"/>
        <w:rPr>
          <w:sz w:val="19"/>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4"/>
        <w:gridCol w:w="2344"/>
        <w:gridCol w:w="2345"/>
      </w:tblGrid>
      <w:tr>
        <w:trPr>
          <w:trHeight w:val="311" w:hRule="atLeast"/>
        </w:trPr>
        <w:tc>
          <w:tcPr>
            <w:tcW w:w="2344" w:type="dxa"/>
          </w:tcPr>
          <w:p>
            <w:pPr>
              <w:pStyle w:val="TableParagraph"/>
              <w:spacing w:line="258" w:lineRule="exact"/>
              <w:ind w:left="941" w:right="884"/>
              <w:jc w:val="center"/>
              <w:rPr>
                <w:sz w:val="21"/>
              </w:rPr>
            </w:pPr>
            <w:r>
              <w:rPr>
                <w:spacing w:val="50"/>
                <w:sz w:val="21"/>
              </w:rPr>
              <w:t>A</w:t>
            </w:r>
            <w:r>
              <w:rPr>
                <w:sz w:val="21"/>
              </w:rPr>
              <w:t>组</w:t>
            </w:r>
            <w:r>
              <w:rPr>
                <w:spacing w:val="-53"/>
                <w:sz w:val="21"/>
              </w:rPr>
              <w:t> </w:t>
            </w:r>
          </w:p>
        </w:tc>
        <w:tc>
          <w:tcPr>
            <w:tcW w:w="2344" w:type="dxa"/>
          </w:tcPr>
          <w:p>
            <w:pPr>
              <w:pStyle w:val="TableParagraph"/>
              <w:spacing w:line="258" w:lineRule="exact"/>
              <w:ind w:left="941" w:right="882"/>
              <w:jc w:val="center"/>
              <w:rPr>
                <w:sz w:val="21"/>
              </w:rPr>
            </w:pPr>
            <w:r>
              <w:rPr>
                <w:spacing w:val="50"/>
                <w:sz w:val="21"/>
              </w:rPr>
              <w:t>B</w:t>
            </w:r>
            <w:r>
              <w:rPr>
                <w:sz w:val="21"/>
              </w:rPr>
              <w:t>组</w:t>
            </w:r>
            <w:r>
              <w:rPr>
                <w:spacing w:val="-53"/>
                <w:sz w:val="21"/>
              </w:rPr>
              <w:t> </w:t>
            </w:r>
          </w:p>
        </w:tc>
        <w:tc>
          <w:tcPr>
            <w:tcW w:w="2345" w:type="dxa"/>
          </w:tcPr>
          <w:p>
            <w:pPr>
              <w:pStyle w:val="TableParagraph"/>
              <w:spacing w:line="258" w:lineRule="exact"/>
              <w:ind w:left="940" w:right="880"/>
              <w:jc w:val="center"/>
              <w:rPr>
                <w:sz w:val="21"/>
              </w:rPr>
            </w:pPr>
            <w:r>
              <w:rPr>
                <w:spacing w:val="50"/>
                <w:sz w:val="21"/>
              </w:rPr>
              <w:t>C</w:t>
            </w:r>
            <w:r>
              <w:rPr>
                <w:sz w:val="21"/>
              </w:rPr>
              <w:t>组</w:t>
            </w:r>
            <w:r>
              <w:rPr>
                <w:spacing w:val="-53"/>
                <w:sz w:val="21"/>
              </w:rPr>
              <w:t> </w:t>
            </w:r>
          </w:p>
        </w:tc>
      </w:tr>
      <w:tr>
        <w:trPr>
          <w:trHeight w:val="311" w:hRule="atLeast"/>
        </w:trPr>
        <w:tc>
          <w:tcPr>
            <w:tcW w:w="2344" w:type="dxa"/>
          </w:tcPr>
          <w:p>
            <w:pPr>
              <w:pStyle w:val="TableParagraph"/>
              <w:spacing w:line="260" w:lineRule="exact"/>
              <w:rPr>
                <w:sz w:val="21"/>
              </w:rPr>
            </w:pPr>
            <w:r>
              <w:rPr>
                <w:sz w:val="21"/>
              </w:rPr>
              <w:t>1.恶性肿瘤</w:t>
            </w:r>
          </w:p>
        </w:tc>
        <w:tc>
          <w:tcPr>
            <w:tcW w:w="2344" w:type="dxa"/>
          </w:tcPr>
          <w:p>
            <w:pPr>
              <w:pStyle w:val="TableParagraph"/>
              <w:spacing w:line="260" w:lineRule="exact"/>
              <w:rPr>
                <w:sz w:val="21"/>
              </w:rPr>
            </w:pPr>
            <w:r>
              <w:rPr>
                <w:sz w:val="21"/>
              </w:rPr>
              <w:t>27.急性心肌梗塞</w:t>
            </w:r>
          </w:p>
        </w:tc>
        <w:tc>
          <w:tcPr>
            <w:tcW w:w="2345" w:type="dxa"/>
          </w:tcPr>
          <w:p>
            <w:pPr>
              <w:pStyle w:val="TableParagraph"/>
              <w:spacing w:line="260" w:lineRule="exact"/>
              <w:rPr>
                <w:sz w:val="21"/>
              </w:rPr>
            </w:pPr>
            <w:r>
              <w:rPr>
                <w:sz w:val="21"/>
              </w:rPr>
              <w:t>66.多个肢体缺失</w:t>
            </w:r>
          </w:p>
        </w:tc>
      </w:tr>
      <w:tr>
        <w:trPr>
          <w:trHeight w:val="624" w:hRule="atLeast"/>
        </w:trPr>
        <w:tc>
          <w:tcPr>
            <w:tcW w:w="2344" w:type="dxa"/>
          </w:tcPr>
          <w:p>
            <w:pPr>
              <w:pStyle w:val="TableParagraph"/>
              <w:spacing w:line="260" w:lineRule="exact"/>
              <w:rPr>
                <w:sz w:val="21"/>
              </w:rPr>
            </w:pPr>
            <w:r>
              <w:rPr>
                <w:sz w:val="21"/>
              </w:rPr>
              <w:t>2.重大器官移植术或造</w:t>
            </w:r>
          </w:p>
          <w:p>
            <w:pPr>
              <w:pStyle w:val="TableParagraph"/>
              <w:spacing w:before="37"/>
              <w:rPr>
                <w:sz w:val="21"/>
              </w:rPr>
            </w:pPr>
            <w:r>
              <w:rPr>
                <w:sz w:val="21"/>
              </w:rPr>
              <w:t>血干细胞移植术</w:t>
            </w:r>
          </w:p>
        </w:tc>
        <w:tc>
          <w:tcPr>
            <w:tcW w:w="2344" w:type="dxa"/>
          </w:tcPr>
          <w:p>
            <w:pPr>
              <w:pStyle w:val="TableParagraph"/>
              <w:spacing w:before="141"/>
              <w:rPr>
                <w:sz w:val="21"/>
              </w:rPr>
            </w:pPr>
            <w:r>
              <w:rPr>
                <w:sz w:val="21"/>
              </w:rPr>
              <w:t>28.脑中风后遗症</w:t>
            </w:r>
          </w:p>
        </w:tc>
        <w:tc>
          <w:tcPr>
            <w:tcW w:w="2345" w:type="dxa"/>
          </w:tcPr>
          <w:p>
            <w:pPr>
              <w:pStyle w:val="TableParagraph"/>
              <w:spacing w:before="141"/>
              <w:rPr>
                <w:sz w:val="21"/>
              </w:rPr>
            </w:pPr>
            <w:r>
              <w:rPr>
                <w:sz w:val="21"/>
              </w:rPr>
              <w:t>67.双耳失聪</w:t>
            </w:r>
          </w:p>
        </w:tc>
      </w:tr>
      <w:tr>
        <w:trPr>
          <w:trHeight w:val="935" w:hRule="atLeast"/>
        </w:trPr>
        <w:tc>
          <w:tcPr>
            <w:tcW w:w="2344" w:type="dxa"/>
          </w:tcPr>
          <w:p>
            <w:pPr>
              <w:pStyle w:val="TableParagraph"/>
              <w:spacing w:line="258" w:lineRule="exact"/>
              <w:rPr>
                <w:sz w:val="21"/>
              </w:rPr>
            </w:pPr>
            <w:r>
              <w:rPr>
                <w:sz w:val="21"/>
              </w:rPr>
              <w:t>3.终末期肾病（或称慢</w:t>
            </w:r>
          </w:p>
          <w:p>
            <w:pPr>
              <w:pStyle w:val="TableParagraph"/>
              <w:spacing w:line="273" w:lineRule="auto" w:before="37"/>
              <w:ind w:right="335"/>
              <w:rPr>
                <w:sz w:val="21"/>
              </w:rPr>
            </w:pPr>
            <w:r>
              <w:rPr>
                <w:sz w:val="21"/>
              </w:rPr>
              <w:t>性肾功能衰竭尿毒症期）</w:t>
            </w:r>
          </w:p>
        </w:tc>
        <w:tc>
          <w:tcPr>
            <w:tcW w:w="2344" w:type="dxa"/>
          </w:tcPr>
          <w:p>
            <w:pPr>
              <w:pStyle w:val="TableParagraph"/>
              <w:spacing w:line="258" w:lineRule="exact"/>
              <w:rPr>
                <w:sz w:val="21"/>
              </w:rPr>
            </w:pPr>
            <w:r>
              <w:rPr>
                <w:sz w:val="21"/>
              </w:rPr>
              <w:t>29.冠状动脉搭桥术（或</w:t>
            </w:r>
          </w:p>
          <w:p>
            <w:pPr>
              <w:pStyle w:val="TableParagraph"/>
              <w:spacing w:line="273" w:lineRule="auto" w:before="37"/>
              <w:ind w:right="335"/>
              <w:rPr>
                <w:sz w:val="21"/>
              </w:rPr>
            </w:pPr>
            <w:r>
              <w:rPr>
                <w:sz w:val="21"/>
              </w:rPr>
              <w:t>称冠状动脉旁路移植术）</w:t>
            </w:r>
          </w:p>
        </w:tc>
        <w:tc>
          <w:tcPr>
            <w:tcW w:w="2345" w:type="dxa"/>
          </w:tcPr>
          <w:p>
            <w:pPr>
              <w:pStyle w:val="TableParagraph"/>
              <w:spacing w:before="7"/>
              <w:ind w:left="0"/>
              <w:rPr>
                <w:sz w:val="22"/>
              </w:rPr>
            </w:pPr>
          </w:p>
          <w:p>
            <w:pPr>
              <w:pStyle w:val="TableParagraph"/>
              <w:ind w:left="107"/>
              <w:rPr>
                <w:sz w:val="21"/>
              </w:rPr>
            </w:pPr>
            <w:r>
              <w:rPr>
                <w:sz w:val="21"/>
              </w:rPr>
              <w:t>68.双目失明</w:t>
            </w:r>
          </w:p>
        </w:tc>
      </w:tr>
      <w:tr>
        <w:trPr>
          <w:trHeight w:val="623" w:hRule="atLeast"/>
        </w:trPr>
        <w:tc>
          <w:tcPr>
            <w:tcW w:w="2344" w:type="dxa"/>
          </w:tcPr>
          <w:p>
            <w:pPr>
              <w:pStyle w:val="TableParagraph"/>
              <w:spacing w:line="260" w:lineRule="exact"/>
              <w:rPr>
                <w:sz w:val="21"/>
              </w:rPr>
            </w:pPr>
            <w:r>
              <w:rPr>
                <w:sz w:val="21"/>
              </w:rPr>
              <w:t>4.急性或亚急性重症肝</w:t>
            </w:r>
          </w:p>
          <w:p>
            <w:pPr>
              <w:pStyle w:val="TableParagraph"/>
              <w:spacing w:before="37"/>
              <w:rPr>
                <w:sz w:val="21"/>
              </w:rPr>
            </w:pPr>
            <w:r>
              <w:rPr>
                <w:sz w:val="21"/>
              </w:rPr>
              <w:t>炎</w:t>
            </w:r>
          </w:p>
        </w:tc>
        <w:tc>
          <w:tcPr>
            <w:tcW w:w="2344" w:type="dxa"/>
          </w:tcPr>
          <w:p>
            <w:pPr>
              <w:pStyle w:val="TableParagraph"/>
              <w:spacing w:before="141"/>
              <w:rPr>
                <w:sz w:val="21"/>
              </w:rPr>
            </w:pPr>
            <w:r>
              <w:rPr>
                <w:sz w:val="21"/>
              </w:rPr>
              <w:t>30.良性脑肿瘤</w:t>
            </w:r>
          </w:p>
        </w:tc>
        <w:tc>
          <w:tcPr>
            <w:tcW w:w="2345" w:type="dxa"/>
          </w:tcPr>
          <w:p>
            <w:pPr>
              <w:pStyle w:val="TableParagraph"/>
              <w:spacing w:before="141"/>
              <w:rPr>
                <w:sz w:val="21"/>
              </w:rPr>
            </w:pPr>
            <w:r>
              <w:rPr>
                <w:sz w:val="21"/>
              </w:rPr>
              <w:t>69.严重Ⅲ度烧伤</w:t>
            </w:r>
          </w:p>
        </w:tc>
      </w:tr>
      <w:tr>
        <w:trPr>
          <w:trHeight w:val="624" w:hRule="atLeast"/>
        </w:trPr>
        <w:tc>
          <w:tcPr>
            <w:tcW w:w="2344" w:type="dxa"/>
          </w:tcPr>
          <w:p>
            <w:pPr>
              <w:pStyle w:val="TableParagraph"/>
              <w:spacing w:line="260" w:lineRule="exact"/>
              <w:rPr>
                <w:sz w:val="21"/>
              </w:rPr>
            </w:pPr>
            <w:r>
              <w:rPr>
                <w:sz w:val="21"/>
              </w:rPr>
              <w:t>5.慢性肝功能衰竭失代</w:t>
            </w:r>
          </w:p>
          <w:p>
            <w:pPr>
              <w:pStyle w:val="TableParagraph"/>
              <w:spacing w:before="37"/>
              <w:rPr>
                <w:sz w:val="21"/>
              </w:rPr>
            </w:pPr>
            <w:r>
              <w:rPr>
                <w:sz w:val="21"/>
              </w:rPr>
              <w:t>偿期</w:t>
            </w:r>
          </w:p>
        </w:tc>
        <w:tc>
          <w:tcPr>
            <w:tcW w:w="2344" w:type="dxa"/>
          </w:tcPr>
          <w:p>
            <w:pPr>
              <w:pStyle w:val="TableParagraph"/>
              <w:spacing w:line="260" w:lineRule="exact"/>
              <w:rPr>
                <w:sz w:val="21"/>
              </w:rPr>
            </w:pPr>
            <w:r>
              <w:rPr>
                <w:sz w:val="21"/>
              </w:rPr>
              <w:t>31.脑炎后遗症或脑膜</w:t>
            </w:r>
          </w:p>
          <w:p>
            <w:pPr>
              <w:pStyle w:val="TableParagraph"/>
              <w:spacing w:before="37"/>
              <w:rPr>
                <w:sz w:val="21"/>
              </w:rPr>
            </w:pPr>
            <w:r>
              <w:rPr>
                <w:sz w:val="21"/>
              </w:rPr>
              <w:t>炎后遗症</w:t>
            </w:r>
          </w:p>
        </w:tc>
        <w:tc>
          <w:tcPr>
            <w:tcW w:w="2345" w:type="dxa"/>
          </w:tcPr>
          <w:p>
            <w:pPr>
              <w:pStyle w:val="TableParagraph"/>
              <w:spacing w:before="141"/>
              <w:ind w:left="107"/>
              <w:rPr>
                <w:sz w:val="21"/>
              </w:rPr>
            </w:pPr>
            <w:r>
              <w:rPr>
                <w:sz w:val="21"/>
              </w:rPr>
              <w:t>70.语言能力丧失</w:t>
            </w:r>
          </w:p>
        </w:tc>
      </w:tr>
      <w:tr>
        <w:trPr>
          <w:trHeight w:val="935" w:hRule="atLeast"/>
        </w:trPr>
        <w:tc>
          <w:tcPr>
            <w:tcW w:w="2344" w:type="dxa"/>
          </w:tcPr>
          <w:p>
            <w:pPr>
              <w:pStyle w:val="TableParagraph"/>
              <w:spacing w:before="7"/>
              <w:ind w:left="0"/>
              <w:rPr>
                <w:sz w:val="22"/>
              </w:rPr>
            </w:pPr>
          </w:p>
          <w:p>
            <w:pPr>
              <w:pStyle w:val="TableParagraph"/>
              <w:rPr>
                <w:sz w:val="21"/>
              </w:rPr>
            </w:pPr>
            <w:r>
              <w:rPr>
                <w:sz w:val="21"/>
              </w:rPr>
              <w:t>6.重型再生障碍性贫血</w:t>
            </w:r>
          </w:p>
        </w:tc>
        <w:tc>
          <w:tcPr>
            <w:tcW w:w="2344" w:type="dxa"/>
          </w:tcPr>
          <w:p>
            <w:pPr>
              <w:pStyle w:val="TableParagraph"/>
              <w:spacing w:before="7"/>
              <w:ind w:left="0"/>
              <w:rPr>
                <w:sz w:val="22"/>
              </w:rPr>
            </w:pPr>
          </w:p>
          <w:p>
            <w:pPr>
              <w:pStyle w:val="TableParagraph"/>
              <w:rPr>
                <w:sz w:val="21"/>
              </w:rPr>
            </w:pPr>
            <w:r>
              <w:rPr>
                <w:sz w:val="21"/>
              </w:rPr>
              <w:t>32.深度昏迷</w:t>
            </w:r>
          </w:p>
        </w:tc>
        <w:tc>
          <w:tcPr>
            <w:tcW w:w="2345" w:type="dxa"/>
          </w:tcPr>
          <w:p>
            <w:pPr>
              <w:pStyle w:val="TableParagraph"/>
              <w:spacing w:line="258" w:lineRule="exact"/>
              <w:ind w:left="107"/>
              <w:rPr>
                <w:sz w:val="21"/>
              </w:rPr>
            </w:pPr>
            <w:r>
              <w:rPr>
                <w:sz w:val="21"/>
              </w:rPr>
              <w:t>71.经输血导致的人类</w:t>
            </w:r>
          </w:p>
          <w:p>
            <w:pPr>
              <w:pStyle w:val="TableParagraph"/>
              <w:spacing w:line="273" w:lineRule="auto" w:before="37"/>
              <w:ind w:left="107" w:right="19"/>
              <w:rPr>
                <w:sz w:val="21"/>
              </w:rPr>
            </w:pPr>
            <w:r>
              <w:rPr>
                <w:sz w:val="21"/>
              </w:rPr>
              <w:t>免疫缺陷病毒（HIV）感染</w:t>
            </w:r>
          </w:p>
        </w:tc>
      </w:tr>
      <w:tr>
        <w:trPr>
          <w:trHeight w:val="935" w:hRule="atLeast"/>
        </w:trPr>
        <w:tc>
          <w:tcPr>
            <w:tcW w:w="2344" w:type="dxa"/>
          </w:tcPr>
          <w:p>
            <w:pPr>
              <w:pStyle w:val="TableParagraph"/>
              <w:spacing w:line="260" w:lineRule="exact"/>
              <w:rPr>
                <w:sz w:val="21"/>
              </w:rPr>
            </w:pPr>
            <w:r>
              <w:rPr>
                <w:sz w:val="21"/>
              </w:rPr>
              <w:t>7.系统性红斑狼疮-Ⅲ</w:t>
            </w:r>
          </w:p>
          <w:p>
            <w:pPr>
              <w:pStyle w:val="TableParagraph"/>
              <w:spacing w:line="273" w:lineRule="auto" w:before="37"/>
              <w:ind w:right="125"/>
              <w:rPr>
                <w:sz w:val="21"/>
              </w:rPr>
            </w:pPr>
            <w:r>
              <w:rPr>
                <w:sz w:val="21"/>
              </w:rPr>
              <w:t>型或Ⅲ型以上狼疮性肾炎</w:t>
            </w:r>
          </w:p>
        </w:tc>
        <w:tc>
          <w:tcPr>
            <w:tcW w:w="2344" w:type="dxa"/>
          </w:tcPr>
          <w:p>
            <w:pPr>
              <w:pStyle w:val="TableParagraph"/>
              <w:spacing w:before="8"/>
              <w:ind w:left="0"/>
              <w:rPr>
                <w:sz w:val="22"/>
              </w:rPr>
            </w:pPr>
          </w:p>
          <w:p>
            <w:pPr>
              <w:pStyle w:val="TableParagraph"/>
              <w:spacing w:before="1"/>
              <w:rPr>
                <w:sz w:val="21"/>
              </w:rPr>
            </w:pPr>
            <w:r>
              <w:rPr>
                <w:sz w:val="21"/>
              </w:rPr>
              <w:t>33.瘫痪</w:t>
            </w:r>
          </w:p>
        </w:tc>
        <w:tc>
          <w:tcPr>
            <w:tcW w:w="2345" w:type="dxa"/>
          </w:tcPr>
          <w:p>
            <w:pPr>
              <w:pStyle w:val="TableParagraph"/>
              <w:spacing w:before="8"/>
              <w:ind w:left="0"/>
              <w:rPr>
                <w:sz w:val="22"/>
              </w:rPr>
            </w:pPr>
          </w:p>
          <w:p>
            <w:pPr>
              <w:pStyle w:val="TableParagraph"/>
              <w:spacing w:before="1"/>
              <w:rPr>
                <w:sz w:val="21"/>
              </w:rPr>
            </w:pPr>
            <w:r>
              <w:rPr>
                <w:sz w:val="21"/>
              </w:rPr>
              <w:t>72.急性坏死性胰腺炎</w:t>
            </w:r>
          </w:p>
        </w:tc>
      </w:tr>
      <w:tr>
        <w:trPr>
          <w:trHeight w:val="312" w:hRule="atLeast"/>
        </w:trPr>
        <w:tc>
          <w:tcPr>
            <w:tcW w:w="2344" w:type="dxa"/>
          </w:tcPr>
          <w:p>
            <w:pPr>
              <w:pStyle w:val="TableParagraph"/>
              <w:spacing w:line="260" w:lineRule="exact"/>
              <w:rPr>
                <w:sz w:val="21"/>
              </w:rPr>
            </w:pPr>
            <w:r>
              <w:rPr>
                <w:sz w:val="21"/>
              </w:rPr>
              <w:t>8.系统性硬皮病</w:t>
            </w:r>
          </w:p>
        </w:tc>
        <w:tc>
          <w:tcPr>
            <w:tcW w:w="2344" w:type="dxa"/>
          </w:tcPr>
          <w:p>
            <w:pPr>
              <w:pStyle w:val="TableParagraph"/>
              <w:spacing w:line="260" w:lineRule="exact"/>
              <w:rPr>
                <w:sz w:val="21"/>
              </w:rPr>
            </w:pPr>
            <w:r>
              <w:rPr>
                <w:sz w:val="21"/>
              </w:rPr>
              <w:t>34.心脏瓣膜手术</w:t>
            </w:r>
          </w:p>
        </w:tc>
        <w:tc>
          <w:tcPr>
            <w:tcW w:w="2345" w:type="dxa"/>
          </w:tcPr>
          <w:p>
            <w:pPr>
              <w:pStyle w:val="TableParagraph"/>
              <w:spacing w:line="260" w:lineRule="exact"/>
              <w:rPr>
                <w:sz w:val="21"/>
              </w:rPr>
            </w:pPr>
            <w:r>
              <w:rPr>
                <w:sz w:val="21"/>
              </w:rPr>
              <w:t>73.严重坏死性筋膜炎</w:t>
            </w:r>
          </w:p>
        </w:tc>
      </w:tr>
      <w:tr>
        <w:trPr>
          <w:trHeight w:val="623" w:hRule="atLeast"/>
        </w:trPr>
        <w:tc>
          <w:tcPr>
            <w:tcW w:w="2344" w:type="dxa"/>
          </w:tcPr>
          <w:p>
            <w:pPr>
              <w:pStyle w:val="TableParagraph"/>
              <w:spacing w:line="258" w:lineRule="exact"/>
              <w:rPr>
                <w:sz w:val="21"/>
              </w:rPr>
            </w:pPr>
            <w:r>
              <w:rPr>
                <w:sz w:val="21"/>
              </w:rPr>
              <w:t>9.肝豆状核变性(或称</w:t>
            </w:r>
          </w:p>
          <w:p>
            <w:pPr>
              <w:pStyle w:val="TableParagraph"/>
              <w:spacing w:before="37"/>
              <w:rPr>
                <w:sz w:val="21"/>
              </w:rPr>
            </w:pPr>
            <w:r>
              <w:rPr>
                <w:sz w:val="21"/>
              </w:rPr>
              <w:t>Wilson 病)</w:t>
            </w:r>
          </w:p>
        </w:tc>
        <w:tc>
          <w:tcPr>
            <w:tcW w:w="2344" w:type="dxa"/>
          </w:tcPr>
          <w:p>
            <w:pPr>
              <w:pStyle w:val="TableParagraph"/>
              <w:spacing w:before="139"/>
              <w:rPr>
                <w:sz w:val="21"/>
              </w:rPr>
            </w:pPr>
            <w:r>
              <w:rPr>
                <w:sz w:val="21"/>
              </w:rPr>
              <w:t>35.严重阿尔茨海默病</w:t>
            </w:r>
          </w:p>
        </w:tc>
        <w:tc>
          <w:tcPr>
            <w:tcW w:w="2345" w:type="dxa"/>
          </w:tcPr>
          <w:p>
            <w:pPr>
              <w:pStyle w:val="TableParagraph"/>
              <w:spacing w:before="139"/>
              <w:rPr>
                <w:sz w:val="21"/>
              </w:rPr>
            </w:pPr>
            <w:r>
              <w:rPr>
                <w:sz w:val="21"/>
              </w:rPr>
              <w:t>74.严重克隆病</w:t>
            </w:r>
          </w:p>
        </w:tc>
      </w:tr>
      <w:tr>
        <w:trPr>
          <w:trHeight w:val="935" w:hRule="atLeast"/>
        </w:trPr>
        <w:tc>
          <w:tcPr>
            <w:tcW w:w="2344" w:type="dxa"/>
          </w:tcPr>
          <w:p>
            <w:pPr>
              <w:pStyle w:val="TableParagraph"/>
              <w:spacing w:before="8"/>
              <w:ind w:left="0"/>
              <w:rPr>
                <w:sz w:val="22"/>
              </w:rPr>
            </w:pPr>
          </w:p>
          <w:p>
            <w:pPr>
              <w:pStyle w:val="TableParagraph"/>
              <w:spacing w:before="1"/>
              <w:rPr>
                <w:sz w:val="21"/>
              </w:rPr>
            </w:pPr>
            <w:r>
              <w:rPr>
                <w:sz w:val="21"/>
              </w:rPr>
              <w:t>10.急性脊髓灰质炎</w:t>
            </w:r>
          </w:p>
        </w:tc>
        <w:tc>
          <w:tcPr>
            <w:tcW w:w="2344" w:type="dxa"/>
          </w:tcPr>
          <w:p>
            <w:pPr>
              <w:pStyle w:val="TableParagraph"/>
              <w:spacing w:before="8"/>
              <w:ind w:left="0"/>
              <w:rPr>
                <w:sz w:val="22"/>
              </w:rPr>
            </w:pPr>
          </w:p>
          <w:p>
            <w:pPr>
              <w:pStyle w:val="TableParagraph"/>
              <w:spacing w:before="1"/>
              <w:rPr>
                <w:sz w:val="21"/>
              </w:rPr>
            </w:pPr>
            <w:r>
              <w:rPr>
                <w:sz w:val="21"/>
              </w:rPr>
              <w:t>36.严重脑损伤</w:t>
            </w:r>
          </w:p>
        </w:tc>
        <w:tc>
          <w:tcPr>
            <w:tcW w:w="2345" w:type="dxa"/>
          </w:tcPr>
          <w:p>
            <w:pPr>
              <w:pStyle w:val="TableParagraph"/>
              <w:spacing w:line="260" w:lineRule="exact"/>
              <w:ind w:left="107"/>
              <w:rPr>
                <w:sz w:val="21"/>
              </w:rPr>
            </w:pPr>
            <w:r>
              <w:rPr>
                <w:sz w:val="21"/>
              </w:rPr>
              <w:t>75.因职业关系导致的</w:t>
            </w:r>
          </w:p>
          <w:p>
            <w:pPr>
              <w:pStyle w:val="TableParagraph"/>
              <w:spacing w:before="37"/>
              <w:ind w:left="107"/>
              <w:rPr>
                <w:sz w:val="21"/>
              </w:rPr>
            </w:pPr>
            <w:r>
              <w:rPr>
                <w:sz w:val="21"/>
              </w:rPr>
              <w:t>人类免疫缺陷病毒</w:t>
            </w:r>
          </w:p>
          <w:p>
            <w:pPr>
              <w:pStyle w:val="TableParagraph"/>
              <w:spacing w:before="37"/>
              <w:ind w:left="107"/>
              <w:rPr>
                <w:sz w:val="21"/>
              </w:rPr>
            </w:pPr>
            <w:r>
              <w:rPr>
                <w:sz w:val="21"/>
              </w:rPr>
              <w:t>（HIV）感染</w:t>
            </w:r>
          </w:p>
        </w:tc>
      </w:tr>
      <w:tr>
        <w:trPr>
          <w:trHeight w:val="624" w:hRule="atLeast"/>
        </w:trPr>
        <w:tc>
          <w:tcPr>
            <w:tcW w:w="2344" w:type="dxa"/>
          </w:tcPr>
          <w:p>
            <w:pPr>
              <w:pStyle w:val="TableParagraph"/>
              <w:spacing w:line="260" w:lineRule="exact"/>
              <w:rPr>
                <w:sz w:val="21"/>
              </w:rPr>
            </w:pPr>
            <w:r>
              <w:rPr>
                <w:sz w:val="21"/>
              </w:rPr>
              <w:t>11.严重自身免疫性肝</w:t>
            </w:r>
          </w:p>
          <w:p>
            <w:pPr>
              <w:pStyle w:val="TableParagraph"/>
              <w:spacing w:before="37"/>
              <w:rPr>
                <w:sz w:val="21"/>
              </w:rPr>
            </w:pPr>
            <w:r>
              <w:rPr>
                <w:sz w:val="21"/>
              </w:rPr>
              <w:t>炎</w:t>
            </w:r>
          </w:p>
        </w:tc>
        <w:tc>
          <w:tcPr>
            <w:tcW w:w="2344" w:type="dxa"/>
          </w:tcPr>
          <w:p>
            <w:pPr>
              <w:pStyle w:val="TableParagraph"/>
              <w:spacing w:before="140"/>
              <w:rPr>
                <w:sz w:val="21"/>
              </w:rPr>
            </w:pPr>
            <w:r>
              <w:rPr>
                <w:sz w:val="21"/>
              </w:rPr>
              <w:t>37.帕金森综合征</w:t>
            </w:r>
          </w:p>
        </w:tc>
        <w:tc>
          <w:tcPr>
            <w:tcW w:w="2345" w:type="dxa"/>
          </w:tcPr>
          <w:p>
            <w:pPr>
              <w:pStyle w:val="TableParagraph"/>
              <w:spacing w:before="140"/>
              <w:rPr>
                <w:sz w:val="21"/>
              </w:rPr>
            </w:pPr>
            <w:r>
              <w:rPr>
                <w:sz w:val="21"/>
              </w:rPr>
              <w:t>76.埃博拉病毒感染</w:t>
            </w:r>
          </w:p>
        </w:tc>
      </w:tr>
      <w:tr>
        <w:trPr>
          <w:trHeight w:val="623" w:hRule="atLeast"/>
        </w:trPr>
        <w:tc>
          <w:tcPr>
            <w:tcW w:w="2344" w:type="dxa"/>
          </w:tcPr>
          <w:p>
            <w:pPr>
              <w:pStyle w:val="TableParagraph"/>
              <w:spacing w:line="258" w:lineRule="exact"/>
              <w:rPr>
                <w:sz w:val="21"/>
              </w:rPr>
            </w:pPr>
            <w:r>
              <w:rPr>
                <w:sz w:val="21"/>
              </w:rPr>
              <w:t>12.特发性慢性肾上腺</w:t>
            </w:r>
          </w:p>
          <w:p>
            <w:pPr>
              <w:pStyle w:val="TableParagraph"/>
              <w:spacing w:before="37"/>
              <w:rPr>
                <w:sz w:val="21"/>
              </w:rPr>
            </w:pPr>
            <w:r>
              <w:rPr>
                <w:sz w:val="21"/>
              </w:rPr>
              <w:t>皮质功能减退</w:t>
            </w:r>
          </w:p>
        </w:tc>
        <w:tc>
          <w:tcPr>
            <w:tcW w:w="2344" w:type="dxa"/>
          </w:tcPr>
          <w:p>
            <w:pPr>
              <w:pStyle w:val="TableParagraph"/>
              <w:spacing w:line="258" w:lineRule="exact"/>
              <w:rPr>
                <w:sz w:val="21"/>
              </w:rPr>
            </w:pPr>
            <w:r>
              <w:rPr>
                <w:sz w:val="21"/>
              </w:rPr>
              <w:t>38.严重原发性肺动脉</w:t>
            </w:r>
          </w:p>
          <w:p>
            <w:pPr>
              <w:pStyle w:val="TableParagraph"/>
              <w:spacing w:before="37"/>
              <w:rPr>
                <w:sz w:val="21"/>
              </w:rPr>
            </w:pPr>
            <w:r>
              <w:rPr>
                <w:sz w:val="21"/>
              </w:rPr>
              <w:t>高压</w:t>
            </w:r>
          </w:p>
        </w:tc>
        <w:tc>
          <w:tcPr>
            <w:tcW w:w="2345" w:type="dxa"/>
          </w:tcPr>
          <w:p>
            <w:pPr>
              <w:pStyle w:val="TableParagraph"/>
              <w:spacing w:before="139"/>
              <w:ind w:left="107"/>
              <w:rPr>
                <w:sz w:val="21"/>
              </w:rPr>
            </w:pPr>
            <w:r>
              <w:rPr>
                <w:sz w:val="21"/>
              </w:rPr>
              <w:t>77.严重象皮病</w:t>
            </w:r>
          </w:p>
        </w:tc>
      </w:tr>
      <w:tr>
        <w:trPr>
          <w:trHeight w:val="623" w:hRule="atLeast"/>
        </w:trPr>
        <w:tc>
          <w:tcPr>
            <w:tcW w:w="2344" w:type="dxa"/>
          </w:tcPr>
          <w:p>
            <w:pPr>
              <w:pStyle w:val="TableParagraph"/>
              <w:spacing w:before="140"/>
              <w:rPr>
                <w:sz w:val="21"/>
              </w:rPr>
            </w:pPr>
            <w:r>
              <w:rPr>
                <w:sz w:val="21"/>
              </w:rPr>
              <w:t>13.肾髓质囊性病</w:t>
            </w:r>
          </w:p>
        </w:tc>
        <w:tc>
          <w:tcPr>
            <w:tcW w:w="2344" w:type="dxa"/>
          </w:tcPr>
          <w:p>
            <w:pPr>
              <w:pStyle w:val="TableParagraph"/>
              <w:spacing w:before="140"/>
              <w:ind w:left="105"/>
              <w:rPr>
                <w:sz w:val="21"/>
              </w:rPr>
            </w:pPr>
            <w:r>
              <w:rPr>
                <w:sz w:val="21"/>
              </w:rPr>
              <w:t>39.严重运动神经元病</w:t>
            </w:r>
          </w:p>
        </w:tc>
        <w:tc>
          <w:tcPr>
            <w:tcW w:w="2345" w:type="dxa"/>
          </w:tcPr>
          <w:p>
            <w:pPr>
              <w:pStyle w:val="TableParagraph"/>
              <w:spacing w:line="260" w:lineRule="exact"/>
              <w:ind w:left="107"/>
              <w:rPr>
                <w:sz w:val="21"/>
              </w:rPr>
            </w:pPr>
            <w:r>
              <w:rPr>
                <w:sz w:val="21"/>
              </w:rPr>
              <w:t>78.严重慢性复发性胰</w:t>
            </w:r>
          </w:p>
          <w:p>
            <w:pPr>
              <w:pStyle w:val="TableParagraph"/>
              <w:spacing w:before="37"/>
              <w:ind w:left="107"/>
              <w:rPr>
                <w:sz w:val="21"/>
              </w:rPr>
            </w:pPr>
            <w:r>
              <w:rPr>
                <w:sz w:val="21"/>
              </w:rPr>
              <w:t>腺炎</w:t>
            </w:r>
          </w:p>
        </w:tc>
      </w:tr>
      <w:tr>
        <w:trPr>
          <w:trHeight w:val="624" w:hRule="atLeast"/>
        </w:trPr>
        <w:tc>
          <w:tcPr>
            <w:tcW w:w="2344" w:type="dxa"/>
          </w:tcPr>
          <w:p>
            <w:pPr>
              <w:pStyle w:val="TableParagraph"/>
              <w:spacing w:line="260" w:lineRule="exact"/>
              <w:rPr>
                <w:sz w:val="21"/>
              </w:rPr>
            </w:pPr>
            <w:r>
              <w:rPr>
                <w:sz w:val="21"/>
              </w:rPr>
              <w:t>14.胰岛素依赖型糖尿</w:t>
            </w:r>
          </w:p>
          <w:p>
            <w:pPr>
              <w:pStyle w:val="TableParagraph"/>
              <w:spacing w:before="37"/>
              <w:rPr>
                <w:sz w:val="21"/>
              </w:rPr>
            </w:pPr>
            <w:r>
              <w:rPr>
                <w:sz w:val="21"/>
              </w:rPr>
              <w:t>病</w:t>
            </w:r>
          </w:p>
        </w:tc>
        <w:tc>
          <w:tcPr>
            <w:tcW w:w="2344" w:type="dxa"/>
          </w:tcPr>
          <w:p>
            <w:pPr>
              <w:pStyle w:val="TableParagraph"/>
              <w:spacing w:before="140"/>
              <w:rPr>
                <w:sz w:val="21"/>
              </w:rPr>
            </w:pPr>
            <w:r>
              <w:rPr>
                <w:sz w:val="21"/>
              </w:rPr>
              <w:t>40.主动脉手术</w:t>
            </w:r>
          </w:p>
        </w:tc>
        <w:tc>
          <w:tcPr>
            <w:tcW w:w="2345" w:type="dxa"/>
          </w:tcPr>
          <w:p>
            <w:pPr>
              <w:pStyle w:val="TableParagraph"/>
              <w:spacing w:before="140"/>
              <w:rPr>
                <w:sz w:val="21"/>
              </w:rPr>
            </w:pPr>
            <w:r>
              <w:rPr>
                <w:sz w:val="21"/>
              </w:rPr>
              <w:t>79.胰腺移植</w:t>
            </w:r>
          </w:p>
        </w:tc>
      </w:tr>
      <w:tr>
        <w:trPr>
          <w:trHeight w:val="623" w:hRule="atLeast"/>
        </w:trPr>
        <w:tc>
          <w:tcPr>
            <w:tcW w:w="2344" w:type="dxa"/>
          </w:tcPr>
          <w:p>
            <w:pPr>
              <w:pStyle w:val="TableParagraph"/>
              <w:spacing w:line="258" w:lineRule="exact"/>
              <w:rPr>
                <w:sz w:val="21"/>
              </w:rPr>
            </w:pPr>
            <w:r>
              <w:rPr>
                <w:sz w:val="21"/>
              </w:rPr>
              <w:t>15.原发性硬化性胆管</w:t>
            </w:r>
          </w:p>
          <w:p>
            <w:pPr>
              <w:pStyle w:val="TableParagraph"/>
              <w:spacing w:before="37"/>
              <w:rPr>
                <w:sz w:val="21"/>
              </w:rPr>
            </w:pPr>
            <w:r>
              <w:rPr>
                <w:sz w:val="21"/>
              </w:rPr>
              <w:t>炎</w:t>
            </w:r>
          </w:p>
        </w:tc>
        <w:tc>
          <w:tcPr>
            <w:tcW w:w="2344" w:type="dxa"/>
          </w:tcPr>
          <w:p>
            <w:pPr>
              <w:pStyle w:val="TableParagraph"/>
              <w:spacing w:before="139"/>
              <w:rPr>
                <w:sz w:val="21"/>
              </w:rPr>
            </w:pPr>
            <w:r>
              <w:rPr>
                <w:sz w:val="21"/>
              </w:rPr>
              <w:t>41.严重植物人状态</w:t>
            </w:r>
          </w:p>
        </w:tc>
        <w:tc>
          <w:tcPr>
            <w:tcW w:w="2345" w:type="dxa"/>
          </w:tcPr>
          <w:p>
            <w:pPr>
              <w:pStyle w:val="TableParagraph"/>
              <w:spacing w:before="139"/>
              <w:rPr>
                <w:sz w:val="21"/>
              </w:rPr>
            </w:pPr>
            <w:r>
              <w:rPr>
                <w:sz w:val="21"/>
              </w:rPr>
              <w:t>80.严重溃疡性结肠炎</w:t>
            </w:r>
          </w:p>
        </w:tc>
      </w:tr>
      <w:tr>
        <w:trPr>
          <w:trHeight w:val="311" w:hRule="atLeast"/>
        </w:trPr>
        <w:tc>
          <w:tcPr>
            <w:tcW w:w="2344" w:type="dxa"/>
            <w:tcBorders>
              <w:bottom w:val="nil"/>
            </w:tcBorders>
          </w:tcPr>
          <w:p>
            <w:pPr>
              <w:pStyle w:val="TableParagraph"/>
              <w:spacing w:line="260" w:lineRule="exact"/>
              <w:rPr>
                <w:sz w:val="21"/>
              </w:rPr>
            </w:pPr>
            <w:r>
              <w:rPr>
                <w:sz w:val="21"/>
              </w:rPr>
              <w:t>16.侵蚀性葡萄胎</w:t>
            </w:r>
          </w:p>
        </w:tc>
        <w:tc>
          <w:tcPr>
            <w:tcW w:w="2344" w:type="dxa"/>
            <w:tcBorders>
              <w:bottom w:val="nil"/>
            </w:tcBorders>
          </w:tcPr>
          <w:p>
            <w:pPr>
              <w:pStyle w:val="TableParagraph"/>
              <w:spacing w:line="260" w:lineRule="exact"/>
              <w:ind w:left="105"/>
              <w:rPr>
                <w:sz w:val="21"/>
              </w:rPr>
            </w:pPr>
            <w:r>
              <w:rPr>
                <w:sz w:val="21"/>
              </w:rPr>
              <w:t>42.肺源性心脏病</w:t>
            </w:r>
          </w:p>
        </w:tc>
        <w:tc>
          <w:tcPr>
            <w:tcW w:w="2345" w:type="dxa"/>
            <w:tcBorders>
              <w:bottom w:val="nil"/>
            </w:tcBorders>
          </w:tcPr>
          <w:p>
            <w:pPr>
              <w:pStyle w:val="TableParagraph"/>
              <w:spacing w:line="260" w:lineRule="exact"/>
              <w:rPr>
                <w:sz w:val="21"/>
              </w:rPr>
            </w:pPr>
            <w:r>
              <w:rPr>
                <w:sz w:val="21"/>
              </w:rPr>
              <w:t>81.严重瑞氏综合症</w:t>
            </w:r>
          </w:p>
        </w:tc>
      </w:tr>
    </w:tbl>
    <w:p>
      <w:pPr>
        <w:spacing w:after="0" w:line="260" w:lineRule="exact"/>
        <w:rPr>
          <w:sz w:val="21"/>
        </w:rPr>
        <w:sectPr>
          <w:type w:val="continuous"/>
          <w:pgSz w:w="11910" w:h="16840"/>
          <w:pgMar w:top="560" w:bottom="280" w:left="920" w:right="800"/>
        </w:sectPr>
      </w:pPr>
    </w:p>
    <w:p>
      <w:pPr>
        <w:pStyle w:val="BodyText"/>
        <w:spacing w:before="12"/>
        <w:rPr>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4"/>
        <w:gridCol w:w="2344"/>
        <w:gridCol w:w="2345"/>
      </w:tblGrid>
      <w:tr>
        <w:trPr>
          <w:trHeight w:val="624" w:hRule="atLeast"/>
        </w:trPr>
        <w:tc>
          <w:tcPr>
            <w:tcW w:w="2344" w:type="dxa"/>
          </w:tcPr>
          <w:p>
            <w:pPr>
              <w:pStyle w:val="TableParagraph"/>
              <w:spacing w:before="141"/>
              <w:rPr>
                <w:sz w:val="21"/>
              </w:rPr>
            </w:pPr>
            <w:r>
              <w:rPr>
                <w:sz w:val="21"/>
              </w:rPr>
              <w:t>17.失去一肢及一眼</w:t>
            </w:r>
          </w:p>
        </w:tc>
        <w:tc>
          <w:tcPr>
            <w:tcW w:w="2344" w:type="dxa"/>
          </w:tcPr>
          <w:p>
            <w:pPr>
              <w:pStyle w:val="TableParagraph"/>
              <w:spacing w:before="141"/>
              <w:rPr>
                <w:sz w:val="21"/>
              </w:rPr>
            </w:pPr>
            <w:r>
              <w:rPr>
                <w:sz w:val="21"/>
              </w:rPr>
              <w:t>43.严重心肌炎</w:t>
            </w:r>
          </w:p>
        </w:tc>
        <w:tc>
          <w:tcPr>
            <w:tcW w:w="2345" w:type="dxa"/>
          </w:tcPr>
          <w:p>
            <w:pPr>
              <w:pStyle w:val="TableParagraph"/>
              <w:spacing w:line="260" w:lineRule="exact"/>
              <w:rPr>
                <w:sz w:val="21"/>
              </w:rPr>
            </w:pPr>
            <w:r>
              <w:rPr>
                <w:sz w:val="21"/>
              </w:rPr>
              <w:t>82.严重慢性呼吸功能</w:t>
            </w:r>
          </w:p>
          <w:p>
            <w:pPr>
              <w:pStyle w:val="TableParagraph"/>
              <w:spacing w:before="37"/>
              <w:rPr>
                <w:sz w:val="21"/>
              </w:rPr>
            </w:pPr>
            <w:r>
              <w:rPr>
                <w:sz w:val="21"/>
              </w:rPr>
              <w:t>衰竭</w:t>
            </w:r>
          </w:p>
        </w:tc>
      </w:tr>
      <w:tr>
        <w:trPr>
          <w:trHeight w:val="623" w:hRule="atLeast"/>
        </w:trPr>
        <w:tc>
          <w:tcPr>
            <w:tcW w:w="2344" w:type="dxa"/>
          </w:tcPr>
          <w:p>
            <w:pPr>
              <w:pStyle w:val="TableParagraph"/>
              <w:spacing w:before="139"/>
              <w:rPr>
                <w:sz w:val="21"/>
              </w:rPr>
            </w:pPr>
            <w:r>
              <w:rPr>
                <w:sz w:val="21"/>
              </w:rPr>
              <w:t>18.肺淋巴管肌瘤病</w:t>
            </w:r>
          </w:p>
        </w:tc>
        <w:tc>
          <w:tcPr>
            <w:tcW w:w="2344" w:type="dxa"/>
          </w:tcPr>
          <w:p>
            <w:pPr>
              <w:pStyle w:val="TableParagraph"/>
              <w:spacing w:line="259" w:lineRule="exact"/>
              <w:rPr>
                <w:sz w:val="21"/>
              </w:rPr>
            </w:pPr>
            <w:r>
              <w:rPr>
                <w:sz w:val="21"/>
              </w:rPr>
              <w:t>44.严重感染性心内膜</w:t>
            </w:r>
          </w:p>
          <w:p>
            <w:pPr>
              <w:pStyle w:val="TableParagraph"/>
              <w:spacing w:before="37"/>
              <w:rPr>
                <w:sz w:val="21"/>
              </w:rPr>
            </w:pPr>
            <w:r>
              <w:rPr>
                <w:sz w:val="21"/>
              </w:rPr>
              <w:t>炎</w:t>
            </w:r>
          </w:p>
        </w:tc>
        <w:tc>
          <w:tcPr>
            <w:tcW w:w="2345" w:type="dxa"/>
          </w:tcPr>
          <w:p>
            <w:pPr>
              <w:pStyle w:val="TableParagraph"/>
              <w:spacing w:before="139"/>
              <w:rPr>
                <w:sz w:val="21"/>
              </w:rPr>
            </w:pPr>
            <w:r>
              <w:rPr>
                <w:sz w:val="21"/>
              </w:rPr>
              <w:t>83.严重多发性硬化</w:t>
            </w:r>
          </w:p>
        </w:tc>
      </w:tr>
      <w:tr>
        <w:trPr>
          <w:trHeight w:val="623" w:hRule="atLeast"/>
        </w:trPr>
        <w:tc>
          <w:tcPr>
            <w:tcW w:w="2344" w:type="dxa"/>
          </w:tcPr>
          <w:p>
            <w:pPr>
              <w:pStyle w:val="TableParagraph"/>
              <w:spacing w:before="141"/>
              <w:rPr>
                <w:sz w:val="21"/>
              </w:rPr>
            </w:pPr>
            <w:r>
              <w:rPr>
                <w:sz w:val="21"/>
              </w:rPr>
              <w:t>19.肺泡蛋白质沉积症</w:t>
            </w:r>
          </w:p>
        </w:tc>
        <w:tc>
          <w:tcPr>
            <w:tcW w:w="2344" w:type="dxa"/>
          </w:tcPr>
          <w:p>
            <w:pPr>
              <w:pStyle w:val="TableParagraph"/>
              <w:spacing w:before="141"/>
              <w:rPr>
                <w:sz w:val="21"/>
              </w:rPr>
            </w:pPr>
            <w:r>
              <w:rPr>
                <w:sz w:val="21"/>
              </w:rPr>
              <w:t>45.嗜铬细胞瘤</w:t>
            </w:r>
          </w:p>
        </w:tc>
        <w:tc>
          <w:tcPr>
            <w:tcW w:w="2345" w:type="dxa"/>
          </w:tcPr>
          <w:p>
            <w:pPr>
              <w:pStyle w:val="TableParagraph"/>
              <w:spacing w:line="260" w:lineRule="exact"/>
              <w:rPr>
                <w:sz w:val="21"/>
              </w:rPr>
            </w:pPr>
            <w:r>
              <w:rPr>
                <w:sz w:val="21"/>
              </w:rPr>
              <w:t>84.严重类风湿性关节</w:t>
            </w:r>
          </w:p>
          <w:p>
            <w:pPr>
              <w:pStyle w:val="TableParagraph"/>
              <w:spacing w:before="37"/>
              <w:rPr>
                <w:sz w:val="21"/>
              </w:rPr>
            </w:pPr>
            <w:r>
              <w:rPr>
                <w:sz w:val="21"/>
              </w:rPr>
              <w:t>炎</w:t>
            </w:r>
          </w:p>
        </w:tc>
      </w:tr>
      <w:tr>
        <w:trPr>
          <w:trHeight w:val="312" w:hRule="atLeast"/>
        </w:trPr>
        <w:tc>
          <w:tcPr>
            <w:tcW w:w="2344" w:type="dxa"/>
          </w:tcPr>
          <w:p>
            <w:pPr>
              <w:pStyle w:val="TableParagraph"/>
              <w:spacing w:line="260" w:lineRule="exact"/>
              <w:rPr>
                <w:sz w:val="21"/>
              </w:rPr>
            </w:pPr>
            <w:r>
              <w:rPr>
                <w:sz w:val="21"/>
              </w:rPr>
              <w:t>20.小肠移植</w:t>
            </w:r>
          </w:p>
        </w:tc>
        <w:tc>
          <w:tcPr>
            <w:tcW w:w="2344" w:type="dxa"/>
          </w:tcPr>
          <w:p>
            <w:pPr>
              <w:pStyle w:val="TableParagraph"/>
              <w:spacing w:line="260" w:lineRule="exact"/>
              <w:ind w:left="105"/>
              <w:rPr>
                <w:sz w:val="21"/>
              </w:rPr>
            </w:pPr>
            <w:r>
              <w:rPr>
                <w:sz w:val="21"/>
              </w:rPr>
              <w:t>46.严重冠心病</w:t>
            </w:r>
          </w:p>
        </w:tc>
        <w:tc>
          <w:tcPr>
            <w:tcW w:w="2345" w:type="dxa"/>
          </w:tcPr>
          <w:p>
            <w:pPr>
              <w:pStyle w:val="TableParagraph"/>
              <w:spacing w:line="260" w:lineRule="exact"/>
              <w:rPr>
                <w:sz w:val="21"/>
              </w:rPr>
            </w:pPr>
            <w:r>
              <w:rPr>
                <w:sz w:val="21"/>
              </w:rPr>
              <w:t>85.骨生长不全症</w:t>
            </w:r>
          </w:p>
        </w:tc>
      </w:tr>
      <w:tr>
        <w:trPr>
          <w:trHeight w:val="623" w:hRule="atLeast"/>
        </w:trPr>
        <w:tc>
          <w:tcPr>
            <w:tcW w:w="2344" w:type="dxa"/>
          </w:tcPr>
          <w:p>
            <w:pPr>
              <w:pStyle w:val="TableParagraph"/>
              <w:spacing w:before="139"/>
              <w:rPr>
                <w:sz w:val="21"/>
              </w:rPr>
            </w:pPr>
            <w:r>
              <w:rPr>
                <w:sz w:val="21"/>
              </w:rPr>
              <w:t>21.原发性骨髓纤维化</w:t>
            </w:r>
          </w:p>
        </w:tc>
        <w:tc>
          <w:tcPr>
            <w:tcW w:w="2344" w:type="dxa"/>
          </w:tcPr>
          <w:p>
            <w:pPr>
              <w:pStyle w:val="TableParagraph"/>
              <w:spacing w:line="258" w:lineRule="exact"/>
              <w:rPr>
                <w:sz w:val="21"/>
              </w:rPr>
            </w:pPr>
            <w:r>
              <w:rPr>
                <w:sz w:val="21"/>
              </w:rPr>
              <w:t>47.破裂脑动脉瘤夹闭</w:t>
            </w:r>
          </w:p>
          <w:p>
            <w:pPr>
              <w:pStyle w:val="TableParagraph"/>
              <w:spacing w:before="37"/>
              <w:rPr>
                <w:sz w:val="21"/>
              </w:rPr>
            </w:pPr>
            <w:r>
              <w:rPr>
                <w:sz w:val="21"/>
              </w:rPr>
              <w:t>手术</w:t>
            </w:r>
          </w:p>
        </w:tc>
        <w:tc>
          <w:tcPr>
            <w:tcW w:w="2345" w:type="dxa"/>
          </w:tcPr>
          <w:p>
            <w:pPr>
              <w:pStyle w:val="TableParagraph"/>
              <w:spacing w:line="258" w:lineRule="exact"/>
              <w:rPr>
                <w:sz w:val="21"/>
              </w:rPr>
            </w:pPr>
            <w:r>
              <w:rPr>
                <w:sz w:val="21"/>
              </w:rPr>
              <w:t>86.严重幼年型类风湿</w:t>
            </w:r>
          </w:p>
          <w:p>
            <w:pPr>
              <w:pStyle w:val="TableParagraph"/>
              <w:spacing w:before="37"/>
              <w:rPr>
                <w:sz w:val="21"/>
              </w:rPr>
            </w:pPr>
            <w:r>
              <w:rPr>
                <w:sz w:val="21"/>
              </w:rPr>
              <w:t>性关节炎</w:t>
            </w:r>
          </w:p>
        </w:tc>
      </w:tr>
      <w:tr>
        <w:trPr>
          <w:trHeight w:val="623" w:hRule="atLeast"/>
        </w:trPr>
        <w:tc>
          <w:tcPr>
            <w:tcW w:w="2344" w:type="dxa"/>
          </w:tcPr>
          <w:p>
            <w:pPr>
              <w:pStyle w:val="TableParagraph"/>
              <w:spacing w:line="260" w:lineRule="exact"/>
              <w:rPr>
                <w:sz w:val="21"/>
              </w:rPr>
            </w:pPr>
            <w:r>
              <w:rPr>
                <w:sz w:val="21"/>
              </w:rPr>
              <w:t>22.重症骨髓增生异常</w:t>
            </w:r>
          </w:p>
          <w:p>
            <w:pPr>
              <w:pStyle w:val="TableParagraph"/>
              <w:spacing w:before="37"/>
              <w:rPr>
                <w:sz w:val="21"/>
              </w:rPr>
            </w:pPr>
            <w:r>
              <w:rPr>
                <w:sz w:val="21"/>
              </w:rPr>
              <w:t>综合征</w:t>
            </w:r>
          </w:p>
        </w:tc>
        <w:tc>
          <w:tcPr>
            <w:tcW w:w="2344" w:type="dxa"/>
          </w:tcPr>
          <w:p>
            <w:pPr>
              <w:pStyle w:val="TableParagraph"/>
              <w:spacing w:line="260" w:lineRule="exact"/>
              <w:rPr>
                <w:sz w:val="21"/>
              </w:rPr>
            </w:pPr>
            <w:r>
              <w:rPr>
                <w:sz w:val="21"/>
              </w:rPr>
              <w:t>48.克-雅氏病（CJD、人</w:t>
            </w:r>
          </w:p>
          <w:p>
            <w:pPr>
              <w:pStyle w:val="TableParagraph"/>
              <w:spacing w:before="37"/>
              <w:rPr>
                <w:sz w:val="21"/>
              </w:rPr>
            </w:pPr>
            <w:r>
              <w:rPr>
                <w:sz w:val="21"/>
              </w:rPr>
              <w:t>类疯牛病）</w:t>
            </w:r>
          </w:p>
        </w:tc>
        <w:tc>
          <w:tcPr>
            <w:tcW w:w="2345" w:type="dxa"/>
          </w:tcPr>
          <w:p>
            <w:pPr>
              <w:pStyle w:val="TableParagraph"/>
              <w:spacing w:before="141"/>
              <w:rPr>
                <w:sz w:val="21"/>
              </w:rPr>
            </w:pPr>
            <w:r>
              <w:rPr>
                <w:sz w:val="21"/>
              </w:rPr>
              <w:t>87.严重哮喘</w:t>
            </w:r>
          </w:p>
        </w:tc>
      </w:tr>
      <w:tr>
        <w:trPr>
          <w:trHeight w:val="624" w:hRule="atLeast"/>
        </w:trPr>
        <w:tc>
          <w:tcPr>
            <w:tcW w:w="2344" w:type="dxa"/>
          </w:tcPr>
          <w:p>
            <w:pPr>
              <w:pStyle w:val="TableParagraph"/>
              <w:spacing w:before="141"/>
              <w:rPr>
                <w:sz w:val="21"/>
              </w:rPr>
            </w:pPr>
            <w:r>
              <w:rPr>
                <w:sz w:val="21"/>
              </w:rPr>
              <w:t>23.胆道重建术</w:t>
            </w:r>
          </w:p>
        </w:tc>
        <w:tc>
          <w:tcPr>
            <w:tcW w:w="2344" w:type="dxa"/>
          </w:tcPr>
          <w:p>
            <w:pPr>
              <w:pStyle w:val="TableParagraph"/>
              <w:spacing w:before="141"/>
              <w:rPr>
                <w:sz w:val="21"/>
              </w:rPr>
            </w:pPr>
            <w:r>
              <w:rPr>
                <w:sz w:val="21"/>
              </w:rPr>
              <w:t>49.独立能力丧失</w:t>
            </w:r>
          </w:p>
        </w:tc>
        <w:tc>
          <w:tcPr>
            <w:tcW w:w="2345" w:type="dxa"/>
          </w:tcPr>
          <w:p>
            <w:pPr>
              <w:pStyle w:val="TableParagraph"/>
              <w:spacing w:line="260" w:lineRule="exact"/>
              <w:rPr>
                <w:sz w:val="21"/>
              </w:rPr>
            </w:pPr>
            <w:r>
              <w:rPr>
                <w:sz w:val="21"/>
              </w:rPr>
              <w:t>88.严重肠道疾病并发</w:t>
            </w:r>
          </w:p>
          <w:p>
            <w:pPr>
              <w:pStyle w:val="TableParagraph"/>
              <w:spacing w:before="37"/>
              <w:rPr>
                <w:sz w:val="21"/>
              </w:rPr>
            </w:pPr>
            <w:r>
              <w:rPr>
                <w:sz w:val="21"/>
              </w:rPr>
              <w:t>症</w:t>
            </w:r>
          </w:p>
        </w:tc>
      </w:tr>
      <w:tr>
        <w:trPr>
          <w:trHeight w:val="311" w:hRule="atLeast"/>
        </w:trPr>
        <w:tc>
          <w:tcPr>
            <w:tcW w:w="2344" w:type="dxa"/>
          </w:tcPr>
          <w:p>
            <w:pPr>
              <w:pStyle w:val="TableParagraph"/>
              <w:spacing w:line="258" w:lineRule="exact"/>
              <w:rPr>
                <w:sz w:val="21"/>
              </w:rPr>
            </w:pPr>
            <w:r>
              <w:rPr>
                <w:sz w:val="21"/>
              </w:rPr>
              <w:t>24.范可尼综合征</w:t>
            </w:r>
          </w:p>
        </w:tc>
        <w:tc>
          <w:tcPr>
            <w:tcW w:w="2344" w:type="dxa"/>
          </w:tcPr>
          <w:p>
            <w:pPr>
              <w:pStyle w:val="TableParagraph"/>
              <w:spacing w:line="258" w:lineRule="exact"/>
              <w:ind w:left="105"/>
              <w:rPr>
                <w:sz w:val="21"/>
              </w:rPr>
            </w:pPr>
            <w:r>
              <w:rPr>
                <w:sz w:val="21"/>
              </w:rPr>
              <w:t>50.严重原发性心肌病</w:t>
            </w:r>
          </w:p>
        </w:tc>
        <w:tc>
          <w:tcPr>
            <w:tcW w:w="2345" w:type="dxa"/>
          </w:tcPr>
          <w:p>
            <w:pPr>
              <w:pStyle w:val="TableParagraph"/>
              <w:spacing w:line="258" w:lineRule="exact"/>
              <w:rPr>
                <w:sz w:val="21"/>
              </w:rPr>
            </w:pPr>
            <w:r>
              <w:rPr>
                <w:sz w:val="21"/>
              </w:rPr>
              <w:t>89.严重肌营养不良症</w:t>
            </w:r>
          </w:p>
        </w:tc>
      </w:tr>
      <w:tr>
        <w:trPr>
          <w:trHeight w:val="623" w:hRule="atLeast"/>
        </w:trPr>
        <w:tc>
          <w:tcPr>
            <w:tcW w:w="2344" w:type="dxa"/>
          </w:tcPr>
          <w:p>
            <w:pPr>
              <w:pStyle w:val="TableParagraph"/>
              <w:spacing w:line="260" w:lineRule="exact"/>
              <w:rPr>
                <w:sz w:val="21"/>
              </w:rPr>
            </w:pPr>
            <w:r>
              <w:rPr>
                <w:sz w:val="21"/>
              </w:rPr>
              <w:t>25.严重Ⅲ度冻伤导致</w:t>
            </w:r>
          </w:p>
          <w:p>
            <w:pPr>
              <w:pStyle w:val="TableParagraph"/>
              <w:spacing w:before="37"/>
              <w:rPr>
                <w:sz w:val="21"/>
              </w:rPr>
            </w:pPr>
            <w:r>
              <w:rPr>
                <w:sz w:val="21"/>
              </w:rPr>
              <w:t>截肢</w:t>
            </w:r>
          </w:p>
        </w:tc>
        <w:tc>
          <w:tcPr>
            <w:tcW w:w="2344" w:type="dxa"/>
          </w:tcPr>
          <w:p>
            <w:pPr>
              <w:pStyle w:val="TableParagraph"/>
              <w:spacing w:before="141"/>
              <w:rPr>
                <w:sz w:val="21"/>
              </w:rPr>
            </w:pPr>
            <w:r>
              <w:rPr>
                <w:sz w:val="21"/>
              </w:rPr>
              <w:t>51.严重川崎病</w:t>
            </w:r>
          </w:p>
        </w:tc>
        <w:tc>
          <w:tcPr>
            <w:tcW w:w="2345" w:type="dxa"/>
          </w:tcPr>
          <w:p>
            <w:pPr>
              <w:pStyle w:val="TableParagraph"/>
              <w:spacing w:before="141"/>
              <w:rPr>
                <w:sz w:val="21"/>
              </w:rPr>
            </w:pPr>
            <w:r>
              <w:rPr>
                <w:sz w:val="21"/>
              </w:rPr>
              <w:t>90.全身性重症肌无力</w:t>
            </w:r>
          </w:p>
        </w:tc>
      </w:tr>
      <w:tr>
        <w:trPr>
          <w:trHeight w:val="624" w:hRule="atLeast"/>
        </w:trPr>
        <w:tc>
          <w:tcPr>
            <w:tcW w:w="2344" w:type="dxa"/>
          </w:tcPr>
          <w:p>
            <w:pPr>
              <w:pStyle w:val="TableParagraph"/>
              <w:spacing w:line="260" w:lineRule="exact"/>
              <w:rPr>
                <w:sz w:val="21"/>
              </w:rPr>
            </w:pPr>
            <w:r>
              <w:rPr>
                <w:sz w:val="21"/>
              </w:rPr>
              <w:t>26.多处臂丛神经根性</w:t>
            </w:r>
          </w:p>
          <w:p>
            <w:pPr>
              <w:pStyle w:val="TableParagraph"/>
              <w:spacing w:before="37"/>
              <w:rPr>
                <w:sz w:val="21"/>
              </w:rPr>
            </w:pPr>
            <w:r>
              <w:rPr>
                <w:sz w:val="21"/>
              </w:rPr>
              <w:t>撕脱</w:t>
            </w:r>
          </w:p>
        </w:tc>
        <w:tc>
          <w:tcPr>
            <w:tcW w:w="2344" w:type="dxa"/>
          </w:tcPr>
          <w:p>
            <w:pPr>
              <w:pStyle w:val="TableParagraph"/>
              <w:spacing w:line="260" w:lineRule="exact"/>
              <w:rPr>
                <w:sz w:val="21"/>
              </w:rPr>
            </w:pPr>
            <w:r>
              <w:rPr>
                <w:sz w:val="21"/>
              </w:rPr>
              <w:t>52.严重细菌性脑脊髓</w:t>
            </w:r>
          </w:p>
          <w:p>
            <w:pPr>
              <w:pStyle w:val="TableParagraph"/>
              <w:spacing w:before="37"/>
              <w:rPr>
                <w:sz w:val="21"/>
              </w:rPr>
            </w:pPr>
            <w:r>
              <w:rPr>
                <w:sz w:val="21"/>
              </w:rPr>
              <w:t>膜炎</w:t>
            </w:r>
          </w:p>
        </w:tc>
        <w:tc>
          <w:tcPr>
            <w:tcW w:w="2345" w:type="dxa"/>
          </w:tcPr>
          <w:p>
            <w:pPr>
              <w:pStyle w:val="TableParagraph"/>
              <w:spacing w:line="260" w:lineRule="exact"/>
              <w:rPr>
                <w:sz w:val="21"/>
              </w:rPr>
            </w:pPr>
            <w:r>
              <w:rPr>
                <w:sz w:val="21"/>
              </w:rPr>
              <w:t>91.进行性核上性麻痹</w:t>
            </w:r>
          </w:p>
        </w:tc>
      </w:tr>
      <w:tr>
        <w:trPr>
          <w:trHeight w:val="623" w:hRule="atLeast"/>
        </w:trPr>
        <w:tc>
          <w:tcPr>
            <w:tcW w:w="2344" w:type="dxa"/>
          </w:tcPr>
          <w:p>
            <w:pPr>
              <w:pStyle w:val="TableParagraph"/>
              <w:spacing w:line="258" w:lineRule="exact"/>
              <w:ind w:left="941" w:right="932"/>
              <w:jc w:val="center"/>
              <w:rPr>
                <w:sz w:val="21"/>
              </w:rPr>
            </w:pPr>
            <w:r>
              <w:rPr>
                <w:sz w:val="21"/>
              </w:rPr>
              <w:t>----</w:t>
            </w:r>
          </w:p>
        </w:tc>
        <w:tc>
          <w:tcPr>
            <w:tcW w:w="2344" w:type="dxa"/>
          </w:tcPr>
          <w:p>
            <w:pPr>
              <w:pStyle w:val="TableParagraph"/>
              <w:spacing w:before="139"/>
              <w:rPr>
                <w:sz w:val="21"/>
              </w:rPr>
            </w:pPr>
            <w:r>
              <w:rPr>
                <w:sz w:val="21"/>
              </w:rPr>
              <w:t>53.重症手足口病</w:t>
            </w:r>
          </w:p>
        </w:tc>
        <w:tc>
          <w:tcPr>
            <w:tcW w:w="2345" w:type="dxa"/>
          </w:tcPr>
          <w:p>
            <w:pPr>
              <w:pStyle w:val="TableParagraph"/>
              <w:spacing w:line="258" w:lineRule="exact"/>
              <w:rPr>
                <w:sz w:val="21"/>
              </w:rPr>
            </w:pPr>
            <w:r>
              <w:rPr>
                <w:sz w:val="21"/>
              </w:rPr>
              <w:t>92.溶血性链球菌引起</w:t>
            </w:r>
          </w:p>
          <w:p>
            <w:pPr>
              <w:pStyle w:val="TableParagraph"/>
              <w:spacing w:before="37"/>
              <w:rPr>
                <w:sz w:val="21"/>
              </w:rPr>
            </w:pPr>
            <w:r>
              <w:rPr>
                <w:sz w:val="21"/>
              </w:rPr>
              <w:t>的坏疽</w:t>
            </w:r>
          </w:p>
        </w:tc>
      </w:tr>
      <w:tr>
        <w:trPr>
          <w:trHeight w:val="623"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ind w:left="105"/>
              <w:rPr>
                <w:sz w:val="21"/>
              </w:rPr>
            </w:pPr>
            <w:r>
              <w:rPr>
                <w:sz w:val="21"/>
              </w:rPr>
              <w:t>54.非阿尔茨海默病所</w:t>
            </w:r>
          </w:p>
          <w:p>
            <w:pPr>
              <w:pStyle w:val="TableParagraph"/>
              <w:spacing w:before="37"/>
              <w:rPr>
                <w:sz w:val="21"/>
              </w:rPr>
            </w:pPr>
            <w:r>
              <w:rPr>
                <w:sz w:val="21"/>
              </w:rPr>
              <w:t>致严重痴呆</w:t>
            </w:r>
          </w:p>
        </w:tc>
        <w:tc>
          <w:tcPr>
            <w:tcW w:w="2345" w:type="dxa"/>
          </w:tcPr>
          <w:p>
            <w:pPr>
              <w:pStyle w:val="TableParagraph"/>
              <w:spacing w:line="260" w:lineRule="exact"/>
              <w:rPr>
                <w:sz w:val="21"/>
              </w:rPr>
            </w:pPr>
            <w:r>
              <w:rPr>
                <w:sz w:val="21"/>
              </w:rPr>
              <w:t>93.器官移植导致的HIV</w:t>
            </w:r>
          </w:p>
          <w:p>
            <w:pPr>
              <w:pStyle w:val="TableParagraph"/>
              <w:spacing w:before="37"/>
              <w:rPr>
                <w:sz w:val="21"/>
              </w:rPr>
            </w:pPr>
            <w:r>
              <w:rPr>
                <w:sz w:val="21"/>
              </w:rPr>
              <w:t>感染</w:t>
            </w:r>
          </w:p>
        </w:tc>
      </w:tr>
      <w:tr>
        <w:trPr>
          <w:trHeight w:val="312"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ind w:left="105"/>
              <w:rPr>
                <w:sz w:val="21"/>
              </w:rPr>
            </w:pPr>
            <w:r>
              <w:rPr>
                <w:sz w:val="21"/>
              </w:rPr>
              <w:t>55.主动脉夹层瘤</w:t>
            </w:r>
          </w:p>
        </w:tc>
        <w:tc>
          <w:tcPr>
            <w:tcW w:w="2345" w:type="dxa"/>
          </w:tcPr>
          <w:p>
            <w:pPr>
              <w:pStyle w:val="TableParagraph"/>
              <w:spacing w:line="260" w:lineRule="exact"/>
              <w:rPr>
                <w:sz w:val="21"/>
              </w:rPr>
            </w:pPr>
            <w:r>
              <w:rPr>
                <w:sz w:val="21"/>
              </w:rPr>
              <w:t>94.出血性登革热</w:t>
            </w:r>
          </w:p>
        </w:tc>
      </w:tr>
      <w:tr>
        <w:trPr>
          <w:trHeight w:val="623" w:hRule="atLeast"/>
        </w:trPr>
        <w:tc>
          <w:tcPr>
            <w:tcW w:w="2344" w:type="dxa"/>
          </w:tcPr>
          <w:p>
            <w:pPr>
              <w:pStyle w:val="TableParagraph"/>
              <w:spacing w:line="258" w:lineRule="exact"/>
              <w:ind w:left="940" w:right="932"/>
              <w:jc w:val="center"/>
              <w:rPr>
                <w:sz w:val="21"/>
              </w:rPr>
            </w:pPr>
            <w:r>
              <w:rPr>
                <w:sz w:val="21"/>
              </w:rPr>
              <w:t>----</w:t>
            </w:r>
          </w:p>
        </w:tc>
        <w:tc>
          <w:tcPr>
            <w:tcW w:w="2344" w:type="dxa"/>
          </w:tcPr>
          <w:p>
            <w:pPr>
              <w:pStyle w:val="TableParagraph"/>
              <w:spacing w:line="258" w:lineRule="exact"/>
              <w:ind w:left="105"/>
              <w:rPr>
                <w:sz w:val="21"/>
              </w:rPr>
            </w:pPr>
            <w:r>
              <w:rPr>
                <w:sz w:val="21"/>
              </w:rPr>
              <w:t>56.严重慢性缩窄型心</w:t>
            </w:r>
          </w:p>
          <w:p>
            <w:pPr>
              <w:pStyle w:val="TableParagraph"/>
              <w:spacing w:before="37"/>
              <w:rPr>
                <w:sz w:val="21"/>
              </w:rPr>
            </w:pPr>
            <w:r>
              <w:rPr>
                <w:sz w:val="21"/>
              </w:rPr>
              <w:t>包炎</w:t>
            </w:r>
          </w:p>
        </w:tc>
        <w:tc>
          <w:tcPr>
            <w:tcW w:w="2345" w:type="dxa"/>
          </w:tcPr>
          <w:p>
            <w:pPr>
              <w:pStyle w:val="TableParagraph"/>
              <w:spacing w:before="139"/>
              <w:rPr>
                <w:sz w:val="21"/>
              </w:rPr>
            </w:pPr>
            <w:r>
              <w:rPr>
                <w:sz w:val="21"/>
              </w:rPr>
              <w:t>95.肺孢子菌肺炎</w:t>
            </w:r>
          </w:p>
        </w:tc>
      </w:tr>
      <w:tr>
        <w:trPr>
          <w:trHeight w:val="311"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ind w:left="105"/>
              <w:rPr>
                <w:sz w:val="21"/>
              </w:rPr>
            </w:pPr>
            <w:r>
              <w:rPr>
                <w:sz w:val="21"/>
              </w:rPr>
              <w:t>57.结核性脊髓炎</w:t>
            </w:r>
          </w:p>
        </w:tc>
        <w:tc>
          <w:tcPr>
            <w:tcW w:w="2345" w:type="dxa"/>
          </w:tcPr>
          <w:p>
            <w:pPr>
              <w:pStyle w:val="TableParagraph"/>
              <w:spacing w:line="260" w:lineRule="exact"/>
              <w:rPr>
                <w:sz w:val="21"/>
              </w:rPr>
            </w:pPr>
            <w:r>
              <w:rPr>
                <w:sz w:val="21"/>
              </w:rPr>
              <w:t>96.弥漫性血管内凝血</w:t>
            </w:r>
          </w:p>
        </w:tc>
      </w:tr>
      <w:tr>
        <w:trPr>
          <w:trHeight w:val="624"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ind w:left="105"/>
              <w:rPr>
                <w:sz w:val="21"/>
              </w:rPr>
            </w:pPr>
            <w:r>
              <w:rPr>
                <w:sz w:val="21"/>
              </w:rPr>
              <w:t>58.肾上腺脑白质营养</w:t>
            </w:r>
          </w:p>
          <w:p>
            <w:pPr>
              <w:pStyle w:val="TableParagraph"/>
              <w:spacing w:before="37"/>
              <w:rPr>
                <w:sz w:val="21"/>
              </w:rPr>
            </w:pPr>
            <w:r>
              <w:rPr>
                <w:sz w:val="21"/>
              </w:rPr>
              <w:t>不良</w:t>
            </w:r>
          </w:p>
        </w:tc>
        <w:tc>
          <w:tcPr>
            <w:tcW w:w="2345" w:type="dxa"/>
          </w:tcPr>
          <w:p>
            <w:pPr>
              <w:pStyle w:val="TableParagraph"/>
              <w:spacing w:before="140"/>
              <w:rPr>
                <w:sz w:val="21"/>
              </w:rPr>
            </w:pPr>
            <w:r>
              <w:rPr>
                <w:sz w:val="21"/>
              </w:rPr>
              <w:t>97.狂犬病</w:t>
            </w:r>
          </w:p>
        </w:tc>
      </w:tr>
      <w:tr>
        <w:trPr>
          <w:trHeight w:val="623" w:hRule="atLeast"/>
        </w:trPr>
        <w:tc>
          <w:tcPr>
            <w:tcW w:w="2344" w:type="dxa"/>
          </w:tcPr>
          <w:p>
            <w:pPr>
              <w:pStyle w:val="TableParagraph"/>
              <w:spacing w:line="258" w:lineRule="exact"/>
              <w:ind w:left="940" w:right="932"/>
              <w:jc w:val="center"/>
              <w:rPr>
                <w:sz w:val="21"/>
              </w:rPr>
            </w:pPr>
            <w:r>
              <w:rPr>
                <w:sz w:val="21"/>
              </w:rPr>
              <w:t>----</w:t>
            </w:r>
          </w:p>
        </w:tc>
        <w:tc>
          <w:tcPr>
            <w:tcW w:w="2344" w:type="dxa"/>
          </w:tcPr>
          <w:p>
            <w:pPr>
              <w:pStyle w:val="TableParagraph"/>
              <w:spacing w:line="258" w:lineRule="exact"/>
              <w:ind w:left="105"/>
              <w:rPr>
                <w:sz w:val="21"/>
              </w:rPr>
            </w:pPr>
            <w:r>
              <w:rPr>
                <w:sz w:val="21"/>
              </w:rPr>
              <w:t>59.胸主动脉瘤开胸手</w:t>
            </w:r>
          </w:p>
          <w:p>
            <w:pPr>
              <w:pStyle w:val="TableParagraph"/>
              <w:spacing w:before="37"/>
              <w:rPr>
                <w:sz w:val="21"/>
              </w:rPr>
            </w:pPr>
            <w:r>
              <w:rPr>
                <w:sz w:val="21"/>
              </w:rPr>
              <w:t>术</w:t>
            </w:r>
          </w:p>
        </w:tc>
        <w:tc>
          <w:tcPr>
            <w:tcW w:w="2345" w:type="dxa"/>
          </w:tcPr>
          <w:p>
            <w:pPr>
              <w:pStyle w:val="TableParagraph"/>
              <w:spacing w:before="139"/>
              <w:rPr>
                <w:sz w:val="21"/>
              </w:rPr>
            </w:pPr>
            <w:r>
              <w:rPr>
                <w:sz w:val="21"/>
              </w:rPr>
              <w:t>98.大面积植皮手术</w:t>
            </w:r>
          </w:p>
        </w:tc>
      </w:tr>
      <w:tr>
        <w:trPr>
          <w:trHeight w:val="311"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ind w:left="105"/>
              <w:rPr>
                <w:sz w:val="21"/>
              </w:rPr>
            </w:pPr>
            <w:r>
              <w:rPr>
                <w:sz w:val="21"/>
              </w:rPr>
              <w:t>60.皮质基底节变性</w:t>
            </w:r>
          </w:p>
        </w:tc>
        <w:tc>
          <w:tcPr>
            <w:tcW w:w="2345" w:type="dxa"/>
          </w:tcPr>
          <w:p>
            <w:pPr>
              <w:pStyle w:val="TableParagraph"/>
              <w:spacing w:line="260" w:lineRule="exact"/>
              <w:rPr>
                <w:sz w:val="21"/>
              </w:rPr>
            </w:pPr>
            <w:r>
              <w:rPr>
                <w:sz w:val="21"/>
              </w:rPr>
              <w:t>99.严重气性坏疽</w:t>
            </w:r>
          </w:p>
        </w:tc>
      </w:tr>
      <w:tr>
        <w:trPr>
          <w:trHeight w:val="624"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ind w:left="105"/>
              <w:rPr>
                <w:sz w:val="21"/>
              </w:rPr>
            </w:pPr>
            <w:r>
              <w:rPr>
                <w:sz w:val="21"/>
              </w:rPr>
              <w:t>61.进行性多灶性白质</w:t>
            </w:r>
          </w:p>
          <w:p>
            <w:pPr>
              <w:pStyle w:val="TableParagraph"/>
              <w:spacing w:before="37"/>
              <w:rPr>
                <w:sz w:val="21"/>
              </w:rPr>
            </w:pPr>
            <w:r>
              <w:rPr>
                <w:sz w:val="21"/>
              </w:rPr>
              <w:t>脑病</w:t>
            </w:r>
          </w:p>
        </w:tc>
        <w:tc>
          <w:tcPr>
            <w:tcW w:w="2345" w:type="dxa"/>
          </w:tcPr>
          <w:p>
            <w:pPr>
              <w:pStyle w:val="TableParagraph"/>
              <w:spacing w:before="140"/>
              <w:rPr>
                <w:sz w:val="21"/>
              </w:rPr>
            </w:pPr>
            <w:r>
              <w:rPr>
                <w:sz w:val="21"/>
              </w:rPr>
              <w:t>100.破伤风</w:t>
            </w:r>
          </w:p>
        </w:tc>
      </w:tr>
      <w:tr>
        <w:trPr>
          <w:trHeight w:val="623" w:hRule="atLeast"/>
        </w:trPr>
        <w:tc>
          <w:tcPr>
            <w:tcW w:w="2344" w:type="dxa"/>
          </w:tcPr>
          <w:p>
            <w:pPr>
              <w:pStyle w:val="TableParagraph"/>
              <w:spacing w:line="258" w:lineRule="exact"/>
              <w:ind w:left="940" w:right="932"/>
              <w:jc w:val="center"/>
              <w:rPr>
                <w:sz w:val="21"/>
              </w:rPr>
            </w:pPr>
            <w:r>
              <w:rPr>
                <w:sz w:val="21"/>
              </w:rPr>
              <w:t>----</w:t>
            </w:r>
          </w:p>
        </w:tc>
        <w:tc>
          <w:tcPr>
            <w:tcW w:w="2344" w:type="dxa"/>
          </w:tcPr>
          <w:p>
            <w:pPr>
              <w:pStyle w:val="TableParagraph"/>
              <w:spacing w:line="258" w:lineRule="exact"/>
              <w:ind w:left="105"/>
              <w:rPr>
                <w:sz w:val="21"/>
              </w:rPr>
            </w:pPr>
            <w:r>
              <w:rPr>
                <w:sz w:val="21"/>
              </w:rPr>
              <w:t>62.进行性风疹性全脑</w:t>
            </w:r>
          </w:p>
          <w:p>
            <w:pPr>
              <w:pStyle w:val="TableParagraph"/>
              <w:spacing w:before="37"/>
              <w:rPr>
                <w:sz w:val="21"/>
              </w:rPr>
            </w:pPr>
            <w:r>
              <w:rPr>
                <w:sz w:val="21"/>
              </w:rPr>
              <w:t>炎</w:t>
            </w:r>
          </w:p>
        </w:tc>
        <w:tc>
          <w:tcPr>
            <w:tcW w:w="2345" w:type="dxa"/>
          </w:tcPr>
          <w:p>
            <w:pPr>
              <w:pStyle w:val="TableParagraph"/>
              <w:spacing w:line="258" w:lineRule="exact"/>
              <w:ind w:left="940" w:right="934"/>
              <w:jc w:val="center"/>
              <w:rPr>
                <w:sz w:val="21"/>
              </w:rPr>
            </w:pPr>
            <w:r>
              <w:rPr>
                <w:sz w:val="21"/>
              </w:rPr>
              <w:t>----</w:t>
            </w:r>
          </w:p>
        </w:tc>
      </w:tr>
      <w:tr>
        <w:trPr>
          <w:trHeight w:val="311"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rPr>
                <w:sz w:val="21"/>
              </w:rPr>
            </w:pPr>
            <w:r>
              <w:rPr>
                <w:sz w:val="21"/>
              </w:rPr>
              <w:t>63.血管性痴呆</w:t>
            </w:r>
          </w:p>
        </w:tc>
        <w:tc>
          <w:tcPr>
            <w:tcW w:w="2345" w:type="dxa"/>
          </w:tcPr>
          <w:p>
            <w:pPr>
              <w:pStyle w:val="TableParagraph"/>
              <w:spacing w:line="260" w:lineRule="exact"/>
              <w:ind w:left="940" w:right="933"/>
              <w:jc w:val="center"/>
              <w:rPr>
                <w:sz w:val="21"/>
              </w:rPr>
            </w:pPr>
            <w:r>
              <w:rPr>
                <w:sz w:val="21"/>
              </w:rPr>
              <w:t>----</w:t>
            </w:r>
          </w:p>
        </w:tc>
      </w:tr>
      <w:tr>
        <w:trPr>
          <w:trHeight w:val="312" w:hRule="atLeast"/>
        </w:trPr>
        <w:tc>
          <w:tcPr>
            <w:tcW w:w="2344" w:type="dxa"/>
          </w:tcPr>
          <w:p>
            <w:pPr>
              <w:pStyle w:val="TableParagraph"/>
              <w:spacing w:line="260" w:lineRule="exact"/>
              <w:ind w:left="940" w:right="932"/>
              <w:jc w:val="center"/>
              <w:rPr>
                <w:sz w:val="21"/>
              </w:rPr>
            </w:pPr>
            <w:r>
              <w:rPr>
                <w:sz w:val="21"/>
              </w:rPr>
              <w:t>----</w:t>
            </w:r>
          </w:p>
        </w:tc>
        <w:tc>
          <w:tcPr>
            <w:tcW w:w="2344" w:type="dxa"/>
          </w:tcPr>
          <w:p>
            <w:pPr>
              <w:pStyle w:val="TableParagraph"/>
              <w:spacing w:line="260" w:lineRule="exact"/>
              <w:rPr>
                <w:sz w:val="21"/>
              </w:rPr>
            </w:pPr>
            <w:r>
              <w:rPr>
                <w:sz w:val="21"/>
              </w:rPr>
              <w:t>64.颞额叶痴呆</w:t>
            </w:r>
          </w:p>
        </w:tc>
        <w:tc>
          <w:tcPr>
            <w:tcW w:w="2345" w:type="dxa"/>
          </w:tcPr>
          <w:p>
            <w:pPr>
              <w:pStyle w:val="TableParagraph"/>
              <w:spacing w:line="260" w:lineRule="exact"/>
              <w:ind w:left="940" w:right="933"/>
              <w:jc w:val="center"/>
              <w:rPr>
                <w:sz w:val="21"/>
              </w:rPr>
            </w:pPr>
            <w:r>
              <w:rPr>
                <w:sz w:val="21"/>
              </w:rPr>
              <w:t>----</w:t>
            </w:r>
          </w:p>
        </w:tc>
      </w:tr>
      <w:tr>
        <w:trPr>
          <w:trHeight w:val="310" w:hRule="atLeast"/>
        </w:trPr>
        <w:tc>
          <w:tcPr>
            <w:tcW w:w="2344" w:type="dxa"/>
          </w:tcPr>
          <w:p>
            <w:pPr>
              <w:pStyle w:val="TableParagraph"/>
              <w:spacing w:line="258" w:lineRule="exact"/>
              <w:ind w:left="940" w:right="932"/>
              <w:jc w:val="center"/>
              <w:rPr>
                <w:sz w:val="21"/>
              </w:rPr>
            </w:pPr>
            <w:r>
              <w:rPr>
                <w:sz w:val="21"/>
              </w:rPr>
              <w:t>----</w:t>
            </w:r>
          </w:p>
        </w:tc>
        <w:tc>
          <w:tcPr>
            <w:tcW w:w="2344" w:type="dxa"/>
          </w:tcPr>
          <w:p>
            <w:pPr>
              <w:pStyle w:val="TableParagraph"/>
              <w:spacing w:line="258" w:lineRule="exact"/>
              <w:rPr>
                <w:sz w:val="21"/>
              </w:rPr>
            </w:pPr>
            <w:r>
              <w:rPr>
                <w:sz w:val="21"/>
              </w:rPr>
              <w:t>65.路易体痴呆</w:t>
            </w:r>
          </w:p>
        </w:tc>
        <w:tc>
          <w:tcPr>
            <w:tcW w:w="2345" w:type="dxa"/>
          </w:tcPr>
          <w:p>
            <w:pPr>
              <w:pStyle w:val="TableParagraph"/>
              <w:spacing w:line="258" w:lineRule="exact"/>
              <w:ind w:left="940" w:right="933"/>
              <w:jc w:val="center"/>
              <w:rPr>
                <w:sz w:val="21"/>
              </w:rPr>
            </w:pPr>
            <w:r>
              <w:rPr>
                <w:sz w:val="21"/>
              </w:rPr>
              <w:t>----</w:t>
            </w:r>
          </w:p>
        </w:tc>
      </w:tr>
    </w:tbl>
    <w:p>
      <w:pPr>
        <w:pStyle w:val="BodyText"/>
        <w:spacing w:before="7"/>
        <w:rPr>
          <w:sz w:val="13"/>
        </w:rPr>
      </w:pPr>
    </w:p>
    <w:p>
      <w:pPr>
        <w:pStyle w:val="ListParagraph"/>
        <w:numPr>
          <w:ilvl w:val="1"/>
          <w:numId w:val="12"/>
        </w:numPr>
        <w:tabs>
          <w:tab w:pos="1048" w:val="left" w:leader="none"/>
          <w:tab w:pos="1049" w:val="left" w:leader="none"/>
          <w:tab w:pos="2937" w:val="left" w:leader="none"/>
        </w:tabs>
        <w:spacing w:line="240" w:lineRule="auto" w:before="36" w:after="0"/>
        <w:ind w:left="1048" w:right="0" w:hanging="840"/>
        <w:jc w:val="left"/>
        <w:rPr>
          <w:sz w:val="21"/>
        </w:rPr>
      </w:pPr>
      <w:r>
        <w:rPr>
          <w:b/>
          <w:sz w:val="21"/>
        </w:rPr>
        <w:t>保险责任</w:t>
        <w:tab/>
      </w:r>
      <w:r>
        <w:rPr>
          <w:sz w:val="21"/>
        </w:rPr>
        <w:t>在本合同保险期间内，本公司承担下列保险责任：</w:t>
      </w:r>
    </w:p>
    <w:p>
      <w:pPr>
        <w:pStyle w:val="BodyText"/>
        <w:spacing w:before="2"/>
        <w:rPr>
          <w:sz w:val="20"/>
        </w:rPr>
      </w:pPr>
    </w:p>
    <w:p>
      <w:pPr>
        <w:pStyle w:val="Heading2"/>
        <w:tabs>
          <w:tab w:pos="2937" w:val="left" w:leader="none"/>
        </w:tabs>
        <w:spacing w:line="273" w:lineRule="auto" w:before="0"/>
        <w:ind w:right="98" w:hanging="1890"/>
      </w:pPr>
      <w:r>
        <w:rPr>
          <w:b w:val="0"/>
        </w:rPr>
        <w:t>等待期</w:t>
        <w:tab/>
      </w:r>
      <w:r>
        <w:rPr/>
        <w:t>自</w:t>
      </w:r>
      <w:r>
        <w:rPr>
          <w:spacing w:val="2"/>
        </w:rPr>
        <w:t>本合</w:t>
      </w:r>
      <w:r>
        <w:rPr/>
        <w:t>同</w:t>
      </w:r>
      <w:r>
        <w:rPr>
          <w:spacing w:val="2"/>
        </w:rPr>
        <w:t>生效</w:t>
      </w:r>
      <w:r>
        <w:rPr/>
        <w:t>日</w:t>
      </w:r>
      <w:r>
        <w:rPr>
          <w:spacing w:val="2"/>
        </w:rPr>
        <w:t>或最</w:t>
      </w:r>
      <w:r>
        <w:rPr/>
        <w:t>后</w:t>
      </w:r>
      <w:r>
        <w:rPr>
          <w:spacing w:val="2"/>
        </w:rPr>
        <w:t>复效</w:t>
      </w:r>
      <w:r>
        <w:rPr/>
        <w:t>日</w:t>
      </w:r>
      <w:r>
        <w:rPr>
          <w:spacing w:val="2"/>
        </w:rPr>
        <w:t>（以</w:t>
      </w:r>
      <w:r>
        <w:rPr/>
        <w:t>较</w:t>
      </w:r>
      <w:r>
        <w:rPr>
          <w:spacing w:val="2"/>
        </w:rPr>
        <w:t>迟</w:t>
      </w:r>
      <w:r>
        <w:rPr/>
        <w:t>者</w:t>
      </w:r>
      <w:r>
        <w:rPr>
          <w:spacing w:val="2"/>
        </w:rPr>
        <w:t>为</w:t>
      </w:r>
      <w:r>
        <w:rPr/>
        <w:t>准）</w:t>
      </w:r>
      <w:r>
        <w:rPr>
          <w:spacing w:val="2"/>
        </w:rPr>
        <w:t>起一</w:t>
      </w:r>
      <w:r>
        <w:rPr/>
        <w:t>百</w:t>
      </w:r>
      <w:r>
        <w:rPr>
          <w:spacing w:val="2"/>
        </w:rPr>
        <w:t>八十</w:t>
      </w:r>
      <w:r>
        <w:rPr/>
        <w:t>日</w:t>
      </w:r>
      <w:r>
        <w:rPr>
          <w:spacing w:val="2"/>
        </w:rPr>
        <w:t>内（</w:t>
      </w:r>
      <w:r>
        <w:rPr/>
        <w:t>含</w:t>
      </w:r>
      <w:r>
        <w:rPr>
          <w:spacing w:val="2"/>
        </w:rPr>
        <w:t>第</w:t>
      </w:r>
      <w:r>
        <w:rPr/>
        <w:t>一百 </w:t>
      </w:r>
      <w:r>
        <w:rPr>
          <w:w w:val="95"/>
        </w:rPr>
        <w:t>八十日）的这段期间为本合同的等待期。</w:t>
      </w:r>
    </w:p>
    <w:p>
      <w:pPr>
        <w:spacing w:line="264" w:lineRule="auto" w:before="7"/>
        <w:ind w:left="2937" w:right="121" w:firstLine="0"/>
        <w:jc w:val="both"/>
        <w:rPr>
          <w:b/>
          <w:sz w:val="21"/>
        </w:rPr>
      </w:pPr>
      <w:r>
        <w:rPr>
          <w:sz w:val="21"/>
        </w:rPr>
        <w:t>被保险人因疾病初次被</w:t>
      </w:r>
      <w:r>
        <w:rPr>
          <w:b/>
          <w:spacing w:val="-11"/>
          <w:sz w:val="21"/>
        </w:rPr>
        <w:t>专科医生 </w:t>
      </w:r>
      <w:r>
        <w:rPr>
          <w:position w:val="11"/>
          <w:sz w:val="10"/>
        </w:rPr>
        <w:t>11.4 </w:t>
      </w:r>
      <w:r>
        <w:rPr>
          <w:spacing w:val="10"/>
          <w:sz w:val="21"/>
        </w:rPr>
        <w:t>确诊本合同</w:t>
      </w:r>
      <w:r>
        <w:rPr>
          <w:rFonts w:ascii="Times New Roman" w:eastAsia="Times New Roman"/>
          <w:sz w:val="21"/>
        </w:rPr>
        <w:t>A</w:t>
      </w:r>
      <w:r>
        <w:rPr>
          <w:spacing w:val="-49"/>
          <w:sz w:val="21"/>
        </w:rPr>
        <w:t>、</w:t>
      </w:r>
      <w:r>
        <w:rPr>
          <w:rFonts w:ascii="Times New Roman" w:eastAsia="Times New Roman"/>
          <w:sz w:val="21"/>
        </w:rPr>
        <w:t>B</w:t>
      </w:r>
      <w:r>
        <w:rPr>
          <w:spacing w:val="-49"/>
          <w:sz w:val="21"/>
        </w:rPr>
        <w:t>、</w:t>
      </w:r>
      <w:r>
        <w:rPr>
          <w:rFonts w:ascii="Times New Roman" w:eastAsia="Times New Roman"/>
          <w:sz w:val="21"/>
        </w:rPr>
        <w:t>C </w:t>
      </w:r>
      <w:r>
        <w:rPr>
          <w:sz w:val="21"/>
        </w:rPr>
        <w:t>任意一组中的重大疾病（不论一种或多种</w:t>
      </w:r>
      <w:r>
        <w:rPr>
          <w:spacing w:val="1"/>
          <w:sz w:val="21"/>
        </w:rPr>
        <w:t>）</w:t>
      </w:r>
      <w:r>
        <w:rPr>
          <w:sz w:val="21"/>
        </w:rPr>
        <w:t>，且该确诊发生在上述等待期内的，</w:t>
      </w:r>
      <w:r>
        <w:rPr>
          <w:b/>
          <w:sz w:val="21"/>
        </w:rPr>
        <w:t>我们向您返还本</w:t>
      </w:r>
      <w:r>
        <w:rPr>
          <w:b/>
          <w:w w:val="95"/>
          <w:sz w:val="21"/>
        </w:rPr>
        <w:t>合同累计已交保险费，本合同终止。</w:t>
      </w:r>
    </w:p>
    <w:p>
      <w:pPr>
        <w:spacing w:after="0" w:line="264" w:lineRule="auto"/>
        <w:jc w:val="both"/>
        <w:rPr>
          <w:sz w:val="21"/>
        </w:rPr>
        <w:sectPr>
          <w:pgSz w:w="11910" w:h="16840"/>
          <w:pgMar w:header="608" w:footer="408" w:top="800" w:bottom="600" w:left="920" w:right="880"/>
        </w:sectPr>
      </w:pPr>
    </w:p>
    <w:p>
      <w:pPr>
        <w:pStyle w:val="BodyText"/>
        <w:spacing w:before="1"/>
        <w:rPr>
          <w:b/>
        </w:rPr>
      </w:pPr>
    </w:p>
    <w:p>
      <w:pPr>
        <w:spacing w:line="273" w:lineRule="auto" w:before="35"/>
        <w:ind w:left="2937" w:right="327" w:firstLine="0"/>
        <w:jc w:val="left"/>
        <w:rPr>
          <w:b/>
          <w:sz w:val="21"/>
        </w:rPr>
      </w:pPr>
      <w:r>
        <w:rPr>
          <w:sz w:val="21"/>
        </w:rPr>
        <w:t>被保险人在本合同等待期内因疾病导致身故的，</w:t>
      </w:r>
      <w:r>
        <w:rPr>
          <w:b/>
          <w:sz w:val="21"/>
        </w:rPr>
        <w:t>我们向您返还本合同累计已</w:t>
      </w:r>
      <w:r>
        <w:rPr>
          <w:b/>
          <w:w w:val="95"/>
          <w:sz w:val="21"/>
        </w:rPr>
        <w:t>交保险费，本合同终止。</w:t>
      </w:r>
    </w:p>
    <w:p>
      <w:pPr>
        <w:pStyle w:val="BodyText"/>
        <w:spacing w:before="11"/>
        <w:rPr>
          <w:b/>
          <w:sz w:val="17"/>
        </w:rPr>
      </w:pPr>
    </w:p>
    <w:p>
      <w:pPr>
        <w:pStyle w:val="BodyText"/>
        <w:tabs>
          <w:tab w:pos="2937" w:val="left" w:leader="none"/>
        </w:tabs>
        <w:spacing w:before="0"/>
        <w:ind w:left="1047"/>
      </w:pPr>
      <w:r>
        <w:rPr/>
        <w:t>重大疾病保险金</w:t>
        <w:tab/>
        <w:t>被保险人因疾病初次被专</w:t>
      </w:r>
      <w:r>
        <w:rPr>
          <w:spacing w:val="2"/>
        </w:rPr>
        <w:t>科</w:t>
      </w:r>
      <w:r>
        <w:rPr/>
        <w:t>医生确诊本合同</w:t>
      </w:r>
      <w:r>
        <w:rPr>
          <w:rFonts w:ascii="Times New Roman" w:eastAsia="Times New Roman"/>
        </w:rPr>
        <w:t>A</w:t>
      </w:r>
      <w:r>
        <w:rPr/>
        <w:t>、</w:t>
      </w:r>
      <w:r>
        <w:rPr>
          <w:rFonts w:ascii="Times New Roman" w:eastAsia="Times New Roman"/>
        </w:rPr>
        <w:t>B</w:t>
      </w:r>
      <w:r>
        <w:rPr/>
        <w:t>、</w:t>
      </w:r>
      <w:r>
        <w:rPr>
          <w:rFonts w:ascii="Times New Roman" w:eastAsia="Times New Roman"/>
        </w:rPr>
        <w:t>C</w:t>
      </w:r>
      <w:r>
        <w:rPr/>
        <w:t>任意一组</w:t>
      </w:r>
      <w:r>
        <w:rPr>
          <w:spacing w:val="2"/>
        </w:rPr>
        <w:t>中</w:t>
      </w:r>
      <w:r>
        <w:rPr/>
        <w:t>的重大疾病</w:t>
      </w:r>
    </w:p>
    <w:p>
      <w:pPr>
        <w:spacing w:line="271" w:lineRule="auto" w:before="21"/>
        <w:ind w:left="2937" w:right="100" w:firstLine="0"/>
        <w:jc w:val="left"/>
        <w:rPr>
          <w:b/>
          <w:sz w:val="21"/>
        </w:rPr>
      </w:pPr>
      <w:r>
        <w:rPr>
          <w:sz w:val="21"/>
        </w:rPr>
        <w:t>（不论一种或多种），且该确诊发生在本合同等待期结束后的，或被保险人 因</w:t>
      </w:r>
      <w:r>
        <w:rPr>
          <w:b/>
          <w:sz w:val="21"/>
        </w:rPr>
        <w:t>意外伤害</w:t>
      </w:r>
      <w:r>
        <w:rPr>
          <w:position w:val="11"/>
          <w:sz w:val="10"/>
        </w:rPr>
        <w:t>11.5</w:t>
      </w:r>
      <w:r>
        <w:rPr>
          <w:sz w:val="21"/>
        </w:rPr>
        <w:t>初次被专科医生确诊本合同</w:t>
      </w:r>
      <w:r>
        <w:rPr>
          <w:rFonts w:ascii="Times New Roman" w:eastAsia="Times New Roman"/>
          <w:sz w:val="21"/>
        </w:rPr>
        <w:t>A</w:t>
      </w:r>
      <w:r>
        <w:rPr>
          <w:spacing w:val="-41"/>
          <w:sz w:val="21"/>
        </w:rPr>
        <w:t>、</w:t>
      </w:r>
      <w:r>
        <w:rPr>
          <w:rFonts w:ascii="Times New Roman" w:eastAsia="Times New Roman"/>
          <w:sz w:val="21"/>
        </w:rPr>
        <w:t>B</w:t>
      </w:r>
      <w:r>
        <w:rPr>
          <w:spacing w:val="-40"/>
          <w:sz w:val="21"/>
        </w:rPr>
        <w:t>、</w:t>
      </w:r>
      <w:r>
        <w:rPr>
          <w:rFonts w:ascii="Times New Roman" w:eastAsia="Times New Roman"/>
          <w:sz w:val="21"/>
        </w:rPr>
        <w:t>C</w:t>
      </w:r>
      <w:r>
        <w:rPr>
          <w:spacing w:val="-4"/>
          <w:sz w:val="21"/>
        </w:rPr>
        <w:t>任意一组中的重大疾病</w:t>
      </w:r>
      <w:r>
        <w:rPr>
          <w:sz w:val="21"/>
        </w:rPr>
        <w:t>（不论一种或多种</w:t>
      </w:r>
      <w:r>
        <w:rPr>
          <w:spacing w:val="-10"/>
          <w:sz w:val="21"/>
        </w:rPr>
        <w:t>）</w:t>
      </w:r>
      <w:r>
        <w:rPr>
          <w:spacing w:val="-6"/>
          <w:sz w:val="21"/>
        </w:rPr>
        <w:t>的，</w:t>
      </w:r>
      <w:r>
        <w:rPr>
          <w:b/>
          <w:sz w:val="21"/>
        </w:rPr>
        <w:t>我们按本合同基本保险金额给付第一次重大疾病保险金， </w:t>
      </w:r>
      <w:r>
        <w:rPr>
          <w:b/>
          <w:spacing w:val="-1"/>
          <w:sz w:val="21"/>
        </w:rPr>
        <w:t>该组重大疾病保险责任终止，其余两组重大疾病保险责任继续有效。</w:t>
      </w:r>
      <w:r>
        <w:rPr>
          <w:sz w:val="21"/>
        </w:rPr>
        <w:t>若被保险人初次被专科医生同时确诊两种以上分别属于不同组别的重大疾病，</w:t>
      </w:r>
      <w:r>
        <w:rPr>
          <w:b/>
          <w:sz w:val="21"/>
        </w:rPr>
        <w:t>则我 们按受益人选定的其中一种疾病及其所属组别给付第一次重大疾病保险金， </w:t>
      </w:r>
      <w:r>
        <w:rPr>
          <w:b/>
          <w:spacing w:val="-3"/>
          <w:sz w:val="21"/>
        </w:rPr>
        <w:t>该组重大疾病保险责任终止，其余两组重大疾病除同时被确诊的重大疾病外， </w:t>
      </w:r>
      <w:r>
        <w:rPr>
          <w:b/>
          <w:spacing w:val="-3"/>
          <w:w w:val="95"/>
          <w:sz w:val="21"/>
        </w:rPr>
        <w:t>保险责任继续有效。</w:t>
      </w:r>
    </w:p>
    <w:p>
      <w:pPr>
        <w:spacing w:line="273" w:lineRule="auto" w:before="88"/>
        <w:ind w:left="2937" w:right="126" w:firstLine="0"/>
        <w:jc w:val="left"/>
        <w:rPr>
          <w:b/>
          <w:sz w:val="21"/>
        </w:rPr>
      </w:pPr>
      <w:r>
        <w:rPr>
          <w:sz w:val="21"/>
        </w:rPr>
        <w:t>被保险人初次被专科医生确诊本合同保险责任仍继续有效的其余两组任意一组中的重大疾病（无论一种或多种），且该确诊发生在第一次重大疾病保险金所对应的重大疾病确诊之日起三百六十五日后（不含第三百六十五日）的， </w:t>
      </w:r>
      <w:r>
        <w:rPr>
          <w:b/>
          <w:sz w:val="21"/>
        </w:rPr>
        <w:t>我们按本合同基本保险金额给付第二次重大疾病保险金，该组重大疾病保险</w:t>
      </w:r>
      <w:r>
        <w:rPr>
          <w:b/>
          <w:w w:val="95"/>
          <w:sz w:val="21"/>
        </w:rPr>
        <w:t>责任终止。</w:t>
      </w:r>
    </w:p>
    <w:p>
      <w:pPr>
        <w:spacing w:line="273" w:lineRule="auto" w:before="85"/>
        <w:ind w:left="2937" w:right="222" w:firstLine="0"/>
        <w:jc w:val="both"/>
        <w:rPr>
          <w:b/>
          <w:sz w:val="21"/>
        </w:rPr>
      </w:pPr>
      <w:r>
        <w:rPr>
          <w:sz w:val="21"/>
        </w:rPr>
        <w:t>被保险人初次被专科医生确诊本合同保险责任仍继续有效的剩余一组中的重大疾病（无论一种或多种），且该确诊发生在第二次重大疾病保险金所对应的重大疾病确诊之日起三百六十五日后（不含第三百六十五日）的，</w:t>
      </w:r>
      <w:r>
        <w:rPr>
          <w:b/>
          <w:sz w:val="21"/>
        </w:rPr>
        <w:t>我们按</w:t>
      </w:r>
      <w:r>
        <w:rPr>
          <w:b/>
          <w:w w:val="95"/>
          <w:sz w:val="21"/>
        </w:rPr>
        <w:t>本合同基本保险金额给付第三次重大疾病保险金，本合同终止。</w:t>
      </w:r>
    </w:p>
    <w:p>
      <w:pPr>
        <w:pStyle w:val="Heading2"/>
        <w:spacing w:line="273" w:lineRule="auto" w:before="85"/>
        <w:ind w:right="311" w:hanging="1"/>
      </w:pPr>
      <w:r>
        <w:rPr/>
        <w:t>我们给付第一次重大疾病保险金后，本合同现金价值</w:t>
      </w:r>
      <w:r>
        <w:rPr>
          <w:b w:val="0"/>
          <w:position w:val="11"/>
          <w:sz w:val="10"/>
        </w:rPr>
        <w:t>11.6</w:t>
      </w:r>
      <w:r>
        <w:rPr/>
        <w:t>减少为零，我们不再</w:t>
      </w:r>
      <w:r>
        <w:rPr>
          <w:w w:val="95"/>
        </w:rPr>
        <w:t>承担本合同“特定轻症疾病保险金”、“身故保险金”的责任。</w:t>
      </w:r>
    </w:p>
    <w:p>
      <w:pPr>
        <w:pStyle w:val="BodyText"/>
        <w:spacing w:before="0"/>
        <w:rPr>
          <w:b/>
          <w:sz w:val="20"/>
        </w:rPr>
      </w:pPr>
    </w:p>
    <w:p>
      <w:pPr>
        <w:spacing w:after="0"/>
        <w:rPr>
          <w:sz w:val="20"/>
        </w:rPr>
        <w:sectPr>
          <w:pgSz w:w="11910" w:h="16840"/>
          <w:pgMar w:header="608" w:footer="408" w:top="800" w:bottom="600" w:left="920" w:right="780"/>
        </w:sectPr>
      </w:pPr>
    </w:p>
    <w:p>
      <w:pPr>
        <w:pStyle w:val="BodyText"/>
        <w:spacing w:before="3"/>
        <w:rPr>
          <w:b/>
          <w:sz w:val="15"/>
        </w:rPr>
      </w:pPr>
    </w:p>
    <w:p>
      <w:pPr>
        <w:pStyle w:val="BodyText"/>
        <w:spacing w:line="273" w:lineRule="auto" w:before="0"/>
        <w:ind w:left="1048"/>
      </w:pPr>
      <w:r>
        <w:rPr/>
        <w:t>特定轻症疾病保险金</w:t>
      </w:r>
    </w:p>
    <w:p>
      <w:pPr>
        <w:pStyle w:val="BodyText"/>
        <w:spacing w:before="3"/>
        <w:rPr>
          <w:sz w:val="15"/>
        </w:rPr>
      </w:pPr>
      <w:r>
        <w:rPr/>
        <w:br w:type="column"/>
      </w:r>
      <w:r>
        <w:rPr>
          <w:sz w:val="15"/>
        </w:rPr>
      </w:r>
    </w:p>
    <w:p>
      <w:pPr>
        <w:spacing w:line="261" w:lineRule="auto" w:before="0"/>
        <w:ind w:left="380" w:right="126" w:hanging="1"/>
        <w:jc w:val="left"/>
        <w:rPr>
          <w:b/>
          <w:sz w:val="21"/>
        </w:rPr>
      </w:pPr>
      <w:r>
        <w:rPr>
          <w:sz w:val="21"/>
        </w:rPr>
        <w:t>被保险人因疾病初次被专科医生确诊本合同</w:t>
      </w:r>
      <w:r>
        <w:rPr>
          <w:rFonts w:ascii="Times New Roman" w:eastAsia="Times New Roman"/>
          <w:sz w:val="21"/>
        </w:rPr>
        <w:t>10.2</w:t>
      </w:r>
      <w:r>
        <w:rPr>
          <w:spacing w:val="-6"/>
          <w:sz w:val="21"/>
        </w:rPr>
        <w:t>定义的特定轻症疾病</w:t>
      </w:r>
      <w:r>
        <w:rPr>
          <w:sz w:val="21"/>
        </w:rPr>
        <w:t>（不论一种或多种），且该确诊发生在本合同等待期结束后的，或被保险人因意外伤 害初次被专科医生确诊本合同</w:t>
      </w:r>
      <w:r>
        <w:rPr>
          <w:rFonts w:ascii="Times New Roman" w:eastAsia="Times New Roman"/>
          <w:sz w:val="21"/>
        </w:rPr>
        <w:t>10.2</w:t>
      </w:r>
      <w:r>
        <w:rPr>
          <w:spacing w:val="-9"/>
          <w:sz w:val="21"/>
        </w:rPr>
        <w:t>定义的特定轻症疾病</w:t>
      </w:r>
      <w:r>
        <w:rPr>
          <w:sz w:val="21"/>
        </w:rPr>
        <w:t>（不论一种或多种</w:t>
      </w:r>
      <w:r>
        <w:rPr>
          <w:spacing w:val="-80"/>
          <w:sz w:val="21"/>
        </w:rPr>
        <w:t>）</w:t>
      </w:r>
      <w:r>
        <w:rPr>
          <w:sz w:val="21"/>
        </w:rPr>
        <w:t>的， </w:t>
      </w:r>
      <w:r>
        <w:rPr>
          <w:b/>
          <w:w w:val="95"/>
          <w:sz w:val="21"/>
        </w:rPr>
        <w:t>我们按本合同基本保险金额的</w:t>
      </w:r>
      <w:r>
        <w:rPr>
          <w:rFonts w:ascii="Times New Roman" w:eastAsia="Times New Roman"/>
          <w:b/>
          <w:w w:val="95"/>
          <w:sz w:val="21"/>
        </w:rPr>
        <w:t>20%</w:t>
      </w:r>
      <w:r>
        <w:rPr>
          <w:b/>
          <w:spacing w:val="-3"/>
          <w:w w:val="95"/>
          <w:sz w:val="21"/>
        </w:rPr>
        <w:t>给付特定轻症疾病保险金，本项责任终止。</w:t>
      </w:r>
    </w:p>
    <w:p>
      <w:pPr>
        <w:spacing w:after="0" w:line="261" w:lineRule="auto"/>
        <w:jc w:val="left"/>
        <w:rPr>
          <w:sz w:val="21"/>
        </w:rPr>
        <w:sectPr>
          <w:type w:val="continuous"/>
          <w:pgSz w:w="11910" w:h="16840"/>
          <w:pgMar w:top="560" w:bottom="280" w:left="920" w:right="780"/>
          <w:cols w:num="2" w:equalWidth="0">
            <w:col w:w="2519" w:space="40"/>
            <w:col w:w="7651"/>
          </w:cols>
        </w:sectPr>
      </w:pPr>
    </w:p>
    <w:p>
      <w:pPr>
        <w:pStyle w:val="BodyText"/>
        <w:spacing w:before="8"/>
        <w:rPr>
          <w:b/>
          <w:sz w:val="14"/>
        </w:rPr>
      </w:pPr>
    </w:p>
    <w:p>
      <w:pPr>
        <w:pStyle w:val="BodyText"/>
        <w:spacing w:line="273" w:lineRule="auto"/>
        <w:ind w:left="2938" w:right="219" w:hanging="1890"/>
        <w:jc w:val="both"/>
        <w:rPr>
          <w:b/>
        </w:rPr>
      </w:pPr>
      <w:r>
        <w:rPr/>
        <w:t>身故保险金       被保险人在本合同等待期结束后、年满十八周岁的保单周年日前（不含年满十八周岁的保单周年日）因疾病导致身故的，或被保险人自本合同生效日或最后复效日（以较迟者为准）起至年满十八周岁的保单周年日前（不含年满十八周岁的保单周年日）因遭受意外伤害导致身故的，</w:t>
      </w:r>
      <w:r>
        <w:rPr>
          <w:b/>
        </w:rPr>
        <w:t>我们按本合同累计已交保险费的 200%给付身故保险金，本合同终止。</w:t>
      </w:r>
    </w:p>
    <w:p>
      <w:pPr>
        <w:spacing w:line="273" w:lineRule="auto" w:before="102"/>
        <w:ind w:left="2938" w:right="222" w:firstLine="0"/>
        <w:jc w:val="both"/>
        <w:rPr>
          <w:b/>
          <w:sz w:val="21"/>
        </w:rPr>
      </w:pPr>
      <w:r>
        <w:rPr>
          <w:sz w:val="21"/>
        </w:rPr>
        <w:t>被保险人在本合同等待期结束后且年满十八周岁的保单周年日后（含年满十八周岁的保单周年日）因疾病导致身故的，或被保险人在年满十八周岁的保单周年日后（含年满十八周岁的保单周年日）因遭受意外伤害导致身故的， </w:t>
      </w:r>
      <w:r>
        <w:rPr>
          <w:b/>
          <w:w w:val="95"/>
          <w:sz w:val="21"/>
        </w:rPr>
        <w:t>我们按本合同基本保险金额给付身故保险金，本合同终止。</w:t>
      </w:r>
    </w:p>
    <w:p>
      <w:pPr>
        <w:pStyle w:val="BodyText"/>
        <w:spacing w:before="5"/>
        <w:rPr>
          <w:b/>
          <w:sz w:val="22"/>
        </w:rPr>
      </w:pPr>
    </w:p>
    <w:p>
      <w:pPr>
        <w:spacing w:after="0"/>
        <w:rPr>
          <w:sz w:val="22"/>
        </w:rPr>
        <w:sectPr>
          <w:type w:val="continuous"/>
          <w:pgSz w:w="11910" w:h="16840"/>
          <w:pgMar w:top="560" w:bottom="280" w:left="920" w:right="780"/>
        </w:sectPr>
      </w:pPr>
    </w:p>
    <w:p>
      <w:pPr>
        <w:pStyle w:val="BodyText"/>
        <w:spacing w:line="273" w:lineRule="auto"/>
        <w:ind w:left="1048"/>
      </w:pPr>
      <w:r>
        <w:rPr/>
        <w:t>被保险人重大疾病豁免保险费</w:t>
      </w:r>
    </w:p>
    <w:p>
      <w:pPr>
        <w:pStyle w:val="BodyText"/>
        <w:spacing w:line="273" w:lineRule="auto"/>
        <w:ind w:left="379" w:right="222"/>
        <w:jc w:val="both"/>
      </w:pPr>
      <w:r>
        <w:rPr/>
        <w:br w:type="column"/>
      </w:r>
      <w:r>
        <w:rPr/>
        <w:t>被保险人获赔第一次重大疾病保险金的，自被保险人第一次重大疾病保险金所对应的重大疾病确诊之日起的下一个保险费约定支付日开始，我们将豁免本合同以后各期应交保险费。若您在投保本合同时还投保了《信泰附加恒泰两全保险A 款合同》的，我们将同时豁免该附加合同以后各期应交保险费。</w:t>
      </w:r>
    </w:p>
    <w:p>
      <w:pPr>
        <w:spacing w:after="0" w:line="273" w:lineRule="auto"/>
        <w:jc w:val="both"/>
        <w:sectPr>
          <w:type w:val="continuous"/>
          <w:pgSz w:w="11910" w:h="16840"/>
          <w:pgMar w:top="560" w:bottom="280" w:left="920" w:right="780"/>
          <w:cols w:num="2" w:equalWidth="0">
            <w:col w:w="2519" w:space="40"/>
            <w:col w:w="7651"/>
          </w:cols>
        </w:sectPr>
      </w:pPr>
    </w:p>
    <w:p>
      <w:pPr>
        <w:pStyle w:val="BodyText"/>
        <w:spacing w:before="2"/>
        <w:rPr>
          <w:sz w:val="15"/>
        </w:rPr>
      </w:pPr>
    </w:p>
    <w:p>
      <w:pPr>
        <w:pStyle w:val="ListParagraph"/>
        <w:numPr>
          <w:ilvl w:val="1"/>
          <w:numId w:val="12"/>
        </w:numPr>
        <w:tabs>
          <w:tab w:pos="1047" w:val="left" w:leader="none"/>
          <w:tab w:pos="1048" w:val="left" w:leader="none"/>
          <w:tab w:pos="2937" w:val="left" w:leader="none"/>
        </w:tabs>
        <w:spacing w:line="240" w:lineRule="auto" w:before="36" w:after="0"/>
        <w:ind w:left="1047" w:right="0" w:hanging="839"/>
        <w:jc w:val="left"/>
        <w:rPr>
          <w:rFonts w:ascii="黑体" w:eastAsia="黑体" w:hint="eastAsia"/>
          <w:sz w:val="21"/>
        </w:rPr>
      </w:pPr>
      <w:r>
        <w:rPr>
          <w:b/>
          <w:sz w:val="21"/>
        </w:rPr>
        <w:t>责任免除</w:t>
        <w:tab/>
      </w:r>
      <w:r>
        <w:rPr>
          <w:rFonts w:ascii="黑体" w:eastAsia="黑体" w:hint="eastAsia"/>
          <w:sz w:val="21"/>
        </w:rPr>
        <w:t>因下列</w:t>
      </w:r>
      <w:r>
        <w:rPr>
          <w:rFonts w:ascii="黑体" w:eastAsia="黑体" w:hint="eastAsia"/>
          <w:spacing w:val="2"/>
          <w:sz w:val="21"/>
        </w:rPr>
        <w:t>情</w:t>
      </w:r>
      <w:r>
        <w:rPr>
          <w:rFonts w:ascii="黑体" w:eastAsia="黑体" w:hint="eastAsia"/>
          <w:sz w:val="21"/>
        </w:rPr>
        <w:t>形</w:t>
      </w:r>
      <w:r>
        <w:rPr>
          <w:rFonts w:ascii="黑体" w:eastAsia="黑体" w:hint="eastAsia"/>
          <w:spacing w:val="2"/>
          <w:sz w:val="21"/>
        </w:rPr>
        <w:t>之</w:t>
      </w:r>
      <w:r>
        <w:rPr>
          <w:rFonts w:ascii="黑体" w:eastAsia="黑体" w:hint="eastAsia"/>
          <w:sz w:val="21"/>
        </w:rPr>
        <w:t>一导致被</w:t>
      </w:r>
      <w:r>
        <w:rPr>
          <w:rFonts w:ascii="黑体" w:eastAsia="黑体" w:hint="eastAsia"/>
          <w:spacing w:val="2"/>
          <w:sz w:val="21"/>
        </w:rPr>
        <w:t>保</w:t>
      </w:r>
      <w:r>
        <w:rPr>
          <w:rFonts w:ascii="黑体" w:eastAsia="黑体" w:hint="eastAsia"/>
          <w:sz w:val="21"/>
        </w:rPr>
        <w:t>险</w:t>
      </w:r>
      <w:r>
        <w:rPr>
          <w:rFonts w:ascii="黑体" w:eastAsia="黑体" w:hint="eastAsia"/>
          <w:spacing w:val="2"/>
          <w:sz w:val="21"/>
        </w:rPr>
        <w:t>人</w:t>
      </w:r>
      <w:r>
        <w:rPr>
          <w:rFonts w:ascii="黑体" w:eastAsia="黑体" w:hint="eastAsia"/>
          <w:sz w:val="21"/>
        </w:rPr>
        <w:t>身故或初次被</w:t>
      </w:r>
      <w:r>
        <w:rPr>
          <w:rFonts w:ascii="黑体" w:eastAsia="黑体" w:hint="eastAsia"/>
          <w:spacing w:val="2"/>
          <w:sz w:val="21"/>
        </w:rPr>
        <w:t>专</w:t>
      </w:r>
      <w:r>
        <w:rPr>
          <w:rFonts w:ascii="黑体" w:eastAsia="黑体" w:hint="eastAsia"/>
          <w:sz w:val="21"/>
        </w:rPr>
        <w:t>科</w:t>
      </w:r>
      <w:r>
        <w:rPr>
          <w:rFonts w:ascii="黑体" w:eastAsia="黑体" w:hint="eastAsia"/>
          <w:spacing w:val="2"/>
          <w:sz w:val="21"/>
        </w:rPr>
        <w:t>医</w:t>
      </w:r>
      <w:r>
        <w:rPr>
          <w:rFonts w:ascii="黑体" w:eastAsia="黑体" w:hint="eastAsia"/>
          <w:sz w:val="21"/>
        </w:rPr>
        <w:t>Th确诊本合同</w:t>
      </w:r>
      <w:r>
        <w:rPr>
          <w:rFonts w:ascii="黑体" w:eastAsia="黑体" w:hint="eastAsia"/>
          <w:spacing w:val="2"/>
          <w:sz w:val="21"/>
        </w:rPr>
        <w:t>定</w:t>
      </w:r>
      <w:r>
        <w:rPr>
          <w:rFonts w:ascii="黑体" w:eastAsia="黑体" w:hint="eastAsia"/>
          <w:sz w:val="21"/>
        </w:rPr>
        <w:t>义</w:t>
      </w:r>
      <w:r>
        <w:rPr>
          <w:rFonts w:ascii="黑体" w:eastAsia="黑体" w:hint="eastAsia"/>
          <w:spacing w:val="2"/>
          <w:sz w:val="21"/>
        </w:rPr>
        <w:t>的</w:t>
      </w:r>
      <w:r>
        <w:rPr>
          <w:rFonts w:ascii="黑体" w:eastAsia="黑体" w:hint="eastAsia"/>
          <w:sz w:val="21"/>
        </w:rPr>
        <w:t>重大</w:t>
      </w:r>
    </w:p>
    <w:p>
      <w:pPr>
        <w:spacing w:after="0" w:line="240" w:lineRule="auto"/>
        <w:jc w:val="left"/>
        <w:rPr>
          <w:rFonts w:ascii="黑体" w:eastAsia="黑体" w:hint="eastAsia"/>
          <w:sz w:val="21"/>
        </w:rPr>
        <w:sectPr>
          <w:type w:val="continuous"/>
          <w:pgSz w:w="11910" w:h="16840"/>
          <w:pgMar w:top="560" w:bottom="280" w:left="920" w:right="780"/>
        </w:sectPr>
      </w:pPr>
    </w:p>
    <w:p>
      <w:pPr>
        <w:pStyle w:val="BodyText"/>
        <w:spacing w:before="1"/>
        <w:rPr>
          <w:rFonts w:ascii="黑体"/>
        </w:rPr>
      </w:pPr>
    </w:p>
    <w:p>
      <w:pPr>
        <w:pStyle w:val="BodyText"/>
        <w:ind w:left="2938"/>
        <w:jc w:val="both"/>
        <w:rPr>
          <w:rFonts w:ascii="黑体" w:eastAsia="黑体" w:hint="eastAsia"/>
        </w:rPr>
      </w:pPr>
      <w:r>
        <w:rPr>
          <w:rFonts w:ascii="黑体" w:eastAsia="黑体" w:hint="eastAsia"/>
        </w:rPr>
        <w:t>疾病、特定轻症疾病的，本公司不承担给付保险金的责任：</w:t>
      </w:r>
    </w:p>
    <w:p>
      <w:pPr>
        <w:pStyle w:val="BodyText"/>
        <w:spacing w:before="130"/>
        <w:ind w:left="2938"/>
        <w:jc w:val="both"/>
        <w:rPr>
          <w:rFonts w:ascii="黑体" w:eastAsia="黑体" w:hint="eastAsia"/>
        </w:rPr>
      </w:pPr>
      <w:r>
        <w:rPr>
          <w:rFonts w:ascii="黑体" w:eastAsia="黑体" w:hint="eastAsia"/>
        </w:rPr>
        <w:t>（1）投保人对被保险人的故意杀害、故意伤害；</w:t>
      </w:r>
    </w:p>
    <w:p>
      <w:pPr>
        <w:pStyle w:val="BodyText"/>
        <w:spacing w:before="130"/>
        <w:ind w:left="2938"/>
        <w:jc w:val="both"/>
        <w:rPr>
          <w:rFonts w:ascii="黑体" w:eastAsia="黑体" w:hint="eastAsia"/>
        </w:rPr>
      </w:pPr>
      <w:r>
        <w:rPr>
          <w:rFonts w:ascii="黑体" w:eastAsia="黑体" w:hint="eastAsia"/>
        </w:rPr>
        <w:t>（2）被保险人故意犯罪、故意自伤或者抗拒依法采取的刑事强制措施；</w:t>
      </w:r>
    </w:p>
    <w:p>
      <w:pPr>
        <w:spacing w:before="131"/>
        <w:ind w:left="2938" w:right="0" w:firstLine="0"/>
        <w:jc w:val="both"/>
        <w:rPr>
          <w:rFonts w:ascii="黑体" w:eastAsia="黑体" w:hint="eastAsia"/>
          <w:sz w:val="21"/>
        </w:rPr>
      </w:pPr>
      <w:r>
        <w:rPr>
          <w:rFonts w:ascii="黑体" w:eastAsia="黑体" w:hint="eastAsia"/>
          <w:spacing w:val="-1"/>
          <w:sz w:val="21"/>
        </w:rPr>
        <w:t>（3）被保险人主动吸食或注射</w:t>
      </w:r>
      <w:r>
        <w:rPr>
          <w:rFonts w:ascii="黑体" w:eastAsia="黑体" w:hint="eastAsia"/>
          <w:b/>
          <w:w w:val="99"/>
          <w:sz w:val="21"/>
        </w:rPr>
        <w:t>毒品</w:t>
      </w:r>
      <w:r>
        <w:rPr>
          <w:rFonts w:ascii="黑体" w:eastAsia="黑体" w:hint="eastAsia"/>
          <w:b/>
          <w:spacing w:val="-54"/>
          <w:sz w:val="21"/>
        </w:rPr>
        <w:t> </w:t>
      </w:r>
      <w:r>
        <w:rPr>
          <w:rFonts w:ascii="黑体" w:eastAsia="黑体" w:hint="eastAsia"/>
          <w:w w:val="103"/>
          <w:position w:val="11"/>
          <w:sz w:val="10"/>
        </w:rPr>
        <w:t>11.7</w:t>
      </w:r>
      <w:r>
        <w:rPr>
          <w:rFonts w:ascii="黑体" w:eastAsia="黑体" w:hint="eastAsia"/>
          <w:sz w:val="21"/>
        </w:rPr>
        <w:t>；</w:t>
      </w:r>
    </w:p>
    <w:p>
      <w:pPr>
        <w:pStyle w:val="BodyText"/>
        <w:spacing w:line="273" w:lineRule="auto" w:before="130"/>
        <w:ind w:left="3462" w:right="211" w:hanging="525"/>
        <w:rPr>
          <w:rFonts w:ascii="黑体" w:eastAsia="黑体" w:hint="eastAsia"/>
        </w:rPr>
      </w:pPr>
      <w:r>
        <w:rPr>
          <w:rFonts w:ascii="黑体" w:eastAsia="黑体" w:hint="eastAsia"/>
        </w:rPr>
        <w:t>（4）被保险人自本合同成立日或者最后复效日（以较迟者为准）起二年内自杀，但被保险人自杀时为无民事行为能力人的除外；</w:t>
      </w:r>
    </w:p>
    <w:p>
      <w:pPr>
        <w:spacing w:before="101"/>
        <w:ind w:left="2937" w:right="0" w:firstLine="0"/>
        <w:jc w:val="both"/>
        <w:rPr>
          <w:rFonts w:ascii="黑体" w:eastAsia="黑体" w:hint="eastAsia"/>
          <w:sz w:val="10"/>
        </w:rPr>
      </w:pPr>
      <w:r>
        <w:rPr>
          <w:rFonts w:ascii="黑体" w:eastAsia="黑体" w:hint="eastAsia"/>
          <w:spacing w:val="1"/>
          <w:sz w:val="21"/>
        </w:rPr>
        <w:t>（5）</w:t>
      </w:r>
      <w:r>
        <w:rPr>
          <w:rFonts w:ascii="黑体" w:eastAsia="黑体" w:hint="eastAsia"/>
          <w:spacing w:val="-8"/>
          <w:sz w:val="21"/>
        </w:rPr>
        <w:t>被保险人</w:t>
      </w:r>
      <w:r>
        <w:rPr>
          <w:rFonts w:ascii="黑体" w:eastAsia="黑体" w:hint="eastAsia"/>
          <w:b/>
          <w:spacing w:val="-16"/>
          <w:sz w:val="21"/>
        </w:rPr>
        <w:t>酒后驾驶 </w:t>
      </w:r>
      <w:r>
        <w:rPr>
          <w:rFonts w:ascii="黑体" w:eastAsia="黑体" w:hint="eastAsia"/>
          <w:spacing w:val="-4"/>
          <w:position w:val="10"/>
          <w:sz w:val="10"/>
        </w:rPr>
        <w:t>11.8</w:t>
      </w:r>
      <w:r>
        <w:rPr>
          <w:rFonts w:ascii="黑体" w:eastAsia="黑体" w:hint="eastAsia"/>
          <w:spacing w:val="-8"/>
          <w:sz w:val="21"/>
        </w:rPr>
        <w:t>、</w:t>
      </w:r>
      <w:r>
        <w:rPr>
          <w:rFonts w:ascii="黑体" w:eastAsia="黑体" w:hint="eastAsia"/>
          <w:b/>
          <w:spacing w:val="-12"/>
          <w:sz w:val="21"/>
        </w:rPr>
        <w:t>无合法有效驾驶证驾驶 </w:t>
      </w:r>
      <w:r>
        <w:rPr>
          <w:rFonts w:ascii="黑体" w:eastAsia="黑体" w:hint="eastAsia"/>
          <w:spacing w:val="-4"/>
          <w:position w:val="10"/>
          <w:sz w:val="10"/>
        </w:rPr>
        <w:t>11.9 </w:t>
      </w:r>
      <w:r>
        <w:rPr>
          <w:rFonts w:ascii="黑体" w:eastAsia="黑体" w:hint="eastAsia"/>
          <w:spacing w:val="-7"/>
          <w:sz w:val="21"/>
        </w:rPr>
        <w:t>或驾驶</w:t>
      </w:r>
      <w:r>
        <w:rPr>
          <w:rFonts w:ascii="黑体" w:eastAsia="黑体" w:hint="eastAsia"/>
          <w:b/>
          <w:spacing w:val="-13"/>
          <w:sz w:val="21"/>
        </w:rPr>
        <w:t>无有效行驶证 </w:t>
      </w:r>
      <w:r>
        <w:rPr>
          <w:rFonts w:ascii="黑体" w:eastAsia="黑体" w:hint="eastAsia"/>
          <w:spacing w:val="-5"/>
          <w:position w:val="10"/>
          <w:sz w:val="10"/>
        </w:rPr>
        <w:t>11.10</w:t>
      </w:r>
    </w:p>
    <w:p>
      <w:pPr>
        <w:pStyle w:val="BodyText"/>
        <w:spacing w:before="37"/>
        <w:ind w:left="940" w:right="3147"/>
        <w:jc w:val="center"/>
        <w:rPr>
          <w:rFonts w:ascii="黑体" w:eastAsia="黑体" w:hint="eastAsia"/>
        </w:rPr>
      </w:pPr>
      <w:r>
        <w:rPr>
          <w:rFonts w:ascii="黑体" w:eastAsia="黑体" w:hint="eastAsia"/>
        </w:rPr>
        <w:t>的机动车；</w:t>
      </w:r>
    </w:p>
    <w:p>
      <w:pPr>
        <w:pStyle w:val="BodyText"/>
        <w:spacing w:before="131"/>
        <w:ind w:left="2938"/>
        <w:jc w:val="both"/>
        <w:rPr>
          <w:rFonts w:ascii="黑体" w:eastAsia="黑体" w:hint="eastAsia"/>
        </w:rPr>
      </w:pPr>
      <w:r>
        <w:rPr>
          <w:rFonts w:ascii="黑体" w:eastAsia="黑体" w:hint="eastAsia"/>
        </w:rPr>
        <w:t>（6）战争、军事冲突、暴乱或武装叛乱；</w:t>
      </w:r>
    </w:p>
    <w:p>
      <w:pPr>
        <w:pStyle w:val="BodyText"/>
        <w:spacing w:before="130"/>
        <w:ind w:left="2938"/>
        <w:jc w:val="both"/>
        <w:rPr>
          <w:rFonts w:ascii="黑体" w:eastAsia="黑体" w:hint="eastAsia"/>
        </w:rPr>
      </w:pPr>
      <w:r>
        <w:rPr>
          <w:rFonts w:ascii="黑体" w:eastAsia="黑体" w:hint="eastAsia"/>
        </w:rPr>
        <w:t>（7）核爆炸、核辐射或核污染；</w:t>
      </w:r>
    </w:p>
    <w:p>
      <w:pPr>
        <w:spacing w:before="130"/>
        <w:ind w:left="2938" w:right="0" w:firstLine="0"/>
        <w:jc w:val="both"/>
        <w:rPr>
          <w:rFonts w:ascii="黑体" w:eastAsia="黑体" w:hint="eastAsia"/>
          <w:sz w:val="21"/>
        </w:rPr>
      </w:pPr>
      <w:r>
        <w:rPr>
          <w:rFonts w:ascii="黑体" w:eastAsia="黑体" w:hint="eastAsia"/>
          <w:spacing w:val="-1"/>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b/>
          <w:spacing w:val="-52"/>
          <w:sz w:val="21"/>
        </w:rPr>
        <w:t> </w:t>
      </w:r>
      <w:r>
        <w:rPr>
          <w:rFonts w:ascii="黑体" w:eastAsia="黑体" w:hint="eastAsia"/>
          <w:w w:val="103"/>
          <w:position w:val="10"/>
          <w:sz w:val="10"/>
        </w:rPr>
        <w:t>1</w:t>
      </w:r>
      <w:r>
        <w:rPr>
          <w:rFonts w:ascii="黑体" w:eastAsia="黑体" w:hint="eastAsia"/>
          <w:spacing w:val="0"/>
          <w:w w:val="103"/>
          <w:position w:val="10"/>
          <w:sz w:val="10"/>
        </w:rPr>
        <w:t>1</w:t>
      </w:r>
      <w:r>
        <w:rPr>
          <w:rFonts w:ascii="黑体" w:eastAsia="黑体" w:hint="eastAsia"/>
          <w:w w:val="103"/>
          <w:position w:val="10"/>
          <w:sz w:val="10"/>
        </w:rPr>
        <w:t>.</w:t>
      </w:r>
      <w:r>
        <w:rPr>
          <w:rFonts w:ascii="黑体" w:eastAsia="黑体" w:hint="eastAsia"/>
          <w:spacing w:val="-1"/>
          <w:w w:val="103"/>
          <w:position w:val="10"/>
          <w:sz w:val="10"/>
        </w:rPr>
        <w:t>11</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b/>
          <w:spacing w:val="-51"/>
          <w:sz w:val="21"/>
        </w:rPr>
        <w:t> </w:t>
      </w:r>
      <w:r>
        <w:rPr>
          <w:rFonts w:ascii="黑体" w:eastAsia="黑体" w:hint="eastAsia"/>
          <w:w w:val="103"/>
          <w:position w:val="10"/>
          <w:sz w:val="10"/>
        </w:rPr>
        <w:t>11</w:t>
      </w:r>
      <w:r>
        <w:rPr>
          <w:rFonts w:ascii="黑体" w:eastAsia="黑体" w:hint="eastAsia"/>
          <w:spacing w:val="-1"/>
          <w:w w:val="103"/>
          <w:position w:val="10"/>
          <w:sz w:val="10"/>
        </w:rPr>
        <w:t>.</w:t>
      </w:r>
      <w:r>
        <w:rPr>
          <w:rFonts w:ascii="黑体" w:eastAsia="黑体" w:hint="eastAsia"/>
          <w:spacing w:val="0"/>
          <w:w w:val="103"/>
          <w:position w:val="10"/>
          <w:sz w:val="10"/>
        </w:rPr>
        <w:t>1</w:t>
      </w:r>
      <w:r>
        <w:rPr>
          <w:rFonts w:ascii="黑体" w:eastAsia="黑体" w:hint="eastAsia"/>
          <w:spacing w:val="-1"/>
          <w:w w:val="103"/>
          <w:position w:val="10"/>
          <w:sz w:val="10"/>
        </w:rPr>
        <w:t>2</w:t>
      </w:r>
      <w:r>
        <w:rPr>
          <w:rFonts w:ascii="黑体" w:eastAsia="黑体" w:hint="eastAsia"/>
          <w:sz w:val="21"/>
        </w:rPr>
        <w:t>；</w:t>
      </w:r>
    </w:p>
    <w:p>
      <w:pPr>
        <w:spacing w:before="131"/>
        <w:ind w:left="2938" w:right="0" w:firstLine="0"/>
        <w:jc w:val="both"/>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0"/>
        </w:rPr>
        <w:t>11.13</w:t>
      </w:r>
      <w:r>
        <w:rPr>
          <w:rFonts w:ascii="黑体" w:eastAsia="黑体" w:hint="eastAsia"/>
          <w:sz w:val="21"/>
        </w:rPr>
        <w:t>。</w:t>
      </w:r>
    </w:p>
    <w:p>
      <w:pPr>
        <w:pStyle w:val="BodyText"/>
        <w:spacing w:line="273" w:lineRule="auto" w:before="130"/>
        <w:ind w:left="2938" w:right="209"/>
        <w:rPr>
          <w:rFonts w:ascii="黑体" w:eastAsia="黑体" w:hint="eastAsia"/>
        </w:rPr>
      </w:pPr>
      <w:r>
        <w:rPr>
          <w:rFonts w:ascii="黑体" w:eastAsia="黑体" w:hint="eastAsia"/>
        </w:rPr>
        <w:t>发Th上述第（1）项情形导致被保险人身故的，本合同终止，我们向被保险人的继承人退还本合同的现金价值。</w:t>
      </w:r>
    </w:p>
    <w:p>
      <w:pPr>
        <w:pStyle w:val="BodyText"/>
        <w:spacing w:line="273" w:lineRule="auto" w:before="101"/>
        <w:ind w:left="2938" w:right="202"/>
        <w:jc w:val="both"/>
        <w:rPr>
          <w:rFonts w:ascii="黑体" w:eastAsia="黑体" w:hint="eastAsia"/>
        </w:rPr>
      </w:pPr>
      <w:r>
        <w:rPr>
          <w:rFonts w:ascii="黑体" w:eastAsia="黑体" w:hint="eastAsia"/>
        </w:rPr>
        <w:t>发Th上述第（1）项情形导致被保险人初次被专科医Th确诊本合同定义的重大疾病、特定轻症疾病的，本合同终止，我们向被保险人退还本合同的现金价值。</w:t>
      </w:r>
    </w:p>
    <w:p>
      <w:pPr>
        <w:pStyle w:val="BodyText"/>
        <w:spacing w:line="273" w:lineRule="auto" w:before="102"/>
        <w:ind w:left="2938" w:right="202"/>
        <w:rPr>
          <w:rFonts w:ascii="黑体" w:eastAsia="黑体" w:hint="eastAsia"/>
        </w:rPr>
      </w:pPr>
      <w:r>
        <w:rPr>
          <w:rFonts w:ascii="黑体" w:eastAsia="黑体" w:hint="eastAsia"/>
        </w:rPr>
        <w:t>发Th上述其他情形导致被保险人身故或初次被专科医Th确诊本合同定义的重大疾病、特定轻症疾病的，本合同终止，我们向您退还本合同的现金价值。</w:t>
      </w:r>
    </w:p>
    <w:p>
      <w:pPr>
        <w:pStyle w:val="BodyText"/>
        <w:spacing w:before="0"/>
        <w:rPr>
          <w:rFonts w:ascii="黑体"/>
          <w:sz w:val="20"/>
        </w:rPr>
      </w:pPr>
    </w:p>
    <w:p>
      <w:pPr>
        <w:tabs>
          <w:tab w:pos="1047" w:val="left" w:leader="none"/>
        </w:tabs>
        <w:spacing w:before="229"/>
        <w:ind w:left="207" w:right="0" w:firstLine="0"/>
        <w:jc w:val="left"/>
        <w:rPr>
          <w:b/>
          <w:sz w:val="24"/>
        </w:rPr>
      </w:pPr>
      <w:r>
        <w:rPr/>
        <w:pict>
          <v:line style="position:absolute;mso-position-horizontal-relative:page;mso-position-vertical-relative:paragraph;z-index:1144;mso-wrap-distance-left:0;mso-wrap-distance-right:0" from="51pt,40.03006pt" to="549.96pt,40.03006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13"/>
        </w:numPr>
        <w:tabs>
          <w:tab w:pos="1047" w:val="left" w:leader="none"/>
          <w:tab w:pos="1048" w:val="left" w:leader="none"/>
          <w:tab w:pos="2937" w:val="left" w:leader="none"/>
        </w:tabs>
        <w:spacing w:line="273" w:lineRule="auto" w:before="162" w:after="0"/>
        <w:ind w:left="2938" w:right="202" w:hanging="2730"/>
        <w:jc w:val="left"/>
        <w:rPr>
          <w:sz w:val="21"/>
        </w:rPr>
      </w:pPr>
      <w:r>
        <w:rPr>
          <w:b/>
          <w:sz w:val="21"/>
        </w:rPr>
        <w:t>保险费的支付</w:t>
        <w:tab/>
      </w:r>
      <w:r>
        <w:rPr>
          <w:sz w:val="21"/>
        </w:rPr>
        <w:t>本合同</w:t>
      </w:r>
      <w:r>
        <w:rPr>
          <w:spacing w:val="2"/>
          <w:sz w:val="21"/>
        </w:rPr>
        <w:t>保</w:t>
      </w:r>
      <w:r>
        <w:rPr>
          <w:sz w:val="21"/>
        </w:rPr>
        <w:t>险</w:t>
      </w:r>
      <w:r>
        <w:rPr>
          <w:spacing w:val="2"/>
          <w:sz w:val="21"/>
        </w:rPr>
        <w:t>费</w:t>
      </w:r>
      <w:r>
        <w:rPr>
          <w:sz w:val="21"/>
        </w:rPr>
        <w:t>的支付方</w:t>
      </w:r>
      <w:r>
        <w:rPr>
          <w:spacing w:val="2"/>
          <w:sz w:val="21"/>
        </w:rPr>
        <w:t>式</w:t>
      </w:r>
      <w:r>
        <w:rPr>
          <w:sz w:val="21"/>
        </w:rPr>
        <w:t>为</w:t>
      </w:r>
      <w:r>
        <w:rPr>
          <w:spacing w:val="2"/>
          <w:sz w:val="21"/>
        </w:rPr>
        <w:t>一</w:t>
      </w:r>
      <w:r>
        <w:rPr>
          <w:sz w:val="21"/>
        </w:rPr>
        <w:t>次支付全部保</w:t>
      </w:r>
      <w:r>
        <w:rPr>
          <w:spacing w:val="2"/>
          <w:sz w:val="21"/>
        </w:rPr>
        <w:t>险</w:t>
      </w:r>
      <w:r>
        <w:rPr>
          <w:sz w:val="21"/>
        </w:rPr>
        <w:t>费</w:t>
      </w:r>
      <w:r>
        <w:rPr>
          <w:spacing w:val="2"/>
          <w:sz w:val="21"/>
        </w:rPr>
        <w:t>或</w:t>
      </w:r>
      <w:r>
        <w:rPr>
          <w:sz w:val="21"/>
        </w:rPr>
        <w:t>分期支付保险</w:t>
      </w:r>
      <w:r>
        <w:rPr>
          <w:spacing w:val="2"/>
          <w:sz w:val="21"/>
        </w:rPr>
        <w:t>费</w:t>
      </w:r>
      <w:r>
        <w:rPr>
          <w:sz w:val="21"/>
        </w:rPr>
        <w:t>。</w:t>
      </w:r>
      <w:r>
        <w:rPr>
          <w:spacing w:val="2"/>
          <w:sz w:val="21"/>
        </w:rPr>
        <w:t>分</w:t>
      </w:r>
      <w:r>
        <w:rPr>
          <w:sz w:val="21"/>
        </w:rPr>
        <w:t>期支 付保险费的，交费期间为五年、十年、十五年、二十年。</w:t>
      </w:r>
    </w:p>
    <w:p>
      <w:pPr>
        <w:pStyle w:val="BodyText"/>
        <w:spacing w:before="163"/>
        <w:ind w:left="2938"/>
      </w:pPr>
      <w:r>
        <w:rPr/>
        <w:t>本合同保险费的交费方式由您和我们约定，并载明于保险单上。</w:t>
      </w:r>
    </w:p>
    <w:p>
      <w:pPr>
        <w:pStyle w:val="BodyText"/>
        <w:spacing w:before="9"/>
        <w:rPr>
          <w:sz w:val="14"/>
        </w:rPr>
      </w:pPr>
    </w:p>
    <w:p>
      <w:pPr>
        <w:pStyle w:val="BodyText"/>
        <w:spacing w:line="273" w:lineRule="auto" w:before="0"/>
        <w:ind w:left="2938" w:right="202"/>
      </w:pPr>
      <w:r>
        <w:rPr/>
        <w:t>在支付首期保险费后，您应当按照本合同约定，在每个保险费约定支付日支付其余各期保险费。</w:t>
      </w:r>
    </w:p>
    <w:p>
      <w:pPr>
        <w:pStyle w:val="BodyText"/>
        <w:spacing w:before="0"/>
        <w:rPr>
          <w:sz w:val="20"/>
        </w:rPr>
      </w:pPr>
    </w:p>
    <w:p>
      <w:pPr>
        <w:pStyle w:val="BodyText"/>
        <w:spacing w:before="4"/>
        <w:rPr>
          <w:sz w:val="16"/>
        </w:rPr>
      </w:pPr>
    </w:p>
    <w:p>
      <w:pPr>
        <w:pStyle w:val="ListParagraph"/>
        <w:numPr>
          <w:ilvl w:val="1"/>
          <w:numId w:val="13"/>
        </w:numPr>
        <w:tabs>
          <w:tab w:pos="1048" w:val="left" w:leader="none"/>
          <w:tab w:pos="2937" w:val="left" w:leader="none"/>
        </w:tabs>
        <w:spacing w:line="273" w:lineRule="auto" w:before="0" w:after="0"/>
        <w:ind w:left="2938" w:right="202" w:hanging="2730"/>
        <w:jc w:val="both"/>
        <w:rPr>
          <w:sz w:val="21"/>
        </w:rPr>
      </w:pPr>
      <w:r>
        <w:rPr>
          <w:b/>
          <w:sz w:val="21"/>
        </w:rPr>
        <w:t>宽限期</w:t>
        <w:tab/>
      </w:r>
      <w:r>
        <w:rPr>
          <w:sz w:val="21"/>
        </w:rPr>
        <w:t>分期支</w:t>
      </w:r>
      <w:r>
        <w:rPr>
          <w:spacing w:val="2"/>
          <w:sz w:val="21"/>
        </w:rPr>
        <w:t>付</w:t>
      </w:r>
      <w:r>
        <w:rPr>
          <w:sz w:val="21"/>
        </w:rPr>
        <w:t>保</w:t>
      </w:r>
      <w:r>
        <w:rPr>
          <w:spacing w:val="2"/>
          <w:sz w:val="21"/>
        </w:rPr>
        <w:t>险</w:t>
      </w:r>
      <w:r>
        <w:rPr>
          <w:sz w:val="21"/>
        </w:rPr>
        <w:t>费的，您</w:t>
      </w:r>
      <w:r>
        <w:rPr>
          <w:spacing w:val="2"/>
          <w:sz w:val="21"/>
        </w:rPr>
        <w:t>支</w:t>
      </w:r>
      <w:r>
        <w:rPr>
          <w:sz w:val="21"/>
        </w:rPr>
        <w:t>付</w:t>
      </w:r>
      <w:r>
        <w:rPr>
          <w:spacing w:val="2"/>
          <w:sz w:val="21"/>
        </w:rPr>
        <w:t>首</w:t>
      </w:r>
      <w:r>
        <w:rPr>
          <w:sz w:val="21"/>
        </w:rPr>
        <w:t>期保险费后，</w:t>
      </w:r>
      <w:r>
        <w:rPr>
          <w:spacing w:val="2"/>
          <w:sz w:val="21"/>
        </w:rPr>
        <w:t>除</w:t>
      </w:r>
      <w:r>
        <w:rPr>
          <w:sz w:val="21"/>
        </w:rPr>
        <w:t>本</w:t>
      </w:r>
      <w:r>
        <w:rPr>
          <w:spacing w:val="2"/>
          <w:sz w:val="21"/>
        </w:rPr>
        <w:t>合</w:t>
      </w:r>
      <w:r>
        <w:rPr>
          <w:sz w:val="21"/>
        </w:rPr>
        <w:t>同另有约定外</w:t>
      </w:r>
      <w:r>
        <w:rPr>
          <w:spacing w:val="2"/>
          <w:sz w:val="21"/>
        </w:rPr>
        <w:t>，</w:t>
      </w:r>
      <w:r>
        <w:rPr>
          <w:sz w:val="21"/>
        </w:rPr>
        <w:t>您</w:t>
      </w:r>
      <w:r>
        <w:rPr>
          <w:spacing w:val="2"/>
          <w:sz w:val="21"/>
        </w:rPr>
        <w:t>到</w:t>
      </w:r>
      <w:r>
        <w:rPr>
          <w:sz w:val="21"/>
        </w:rPr>
        <w:t>期未 支付保</w:t>
      </w:r>
      <w:r>
        <w:rPr>
          <w:spacing w:val="2"/>
          <w:sz w:val="21"/>
        </w:rPr>
        <w:t>险</w:t>
      </w:r>
      <w:r>
        <w:rPr>
          <w:sz w:val="21"/>
        </w:rPr>
        <w:t>费</w:t>
      </w:r>
      <w:r>
        <w:rPr>
          <w:spacing w:val="2"/>
          <w:sz w:val="21"/>
        </w:rPr>
        <w:t>的</w:t>
      </w:r>
      <w:r>
        <w:rPr>
          <w:sz w:val="21"/>
        </w:rPr>
        <w:t>，自保险</w:t>
      </w:r>
      <w:r>
        <w:rPr>
          <w:spacing w:val="2"/>
          <w:sz w:val="21"/>
        </w:rPr>
        <w:t>费</w:t>
      </w:r>
      <w:r>
        <w:rPr>
          <w:sz w:val="21"/>
        </w:rPr>
        <w:t>约</w:t>
      </w:r>
      <w:r>
        <w:rPr>
          <w:spacing w:val="2"/>
          <w:sz w:val="21"/>
        </w:rPr>
        <w:t>定</w:t>
      </w:r>
      <w:r>
        <w:rPr>
          <w:sz w:val="21"/>
        </w:rPr>
        <w:t>支付日的次日</w:t>
      </w:r>
      <w:r>
        <w:rPr>
          <w:spacing w:val="2"/>
          <w:sz w:val="21"/>
        </w:rPr>
        <w:t>零</w:t>
      </w:r>
      <w:r>
        <w:rPr>
          <w:sz w:val="21"/>
        </w:rPr>
        <w:t>时</w:t>
      </w:r>
      <w:r>
        <w:rPr>
          <w:spacing w:val="2"/>
          <w:sz w:val="21"/>
        </w:rPr>
        <w:t>起</w:t>
      </w:r>
      <w:r>
        <w:rPr>
          <w:sz w:val="21"/>
        </w:rPr>
        <w:t>六十日为宽限</w:t>
      </w:r>
      <w:r>
        <w:rPr>
          <w:spacing w:val="2"/>
          <w:sz w:val="21"/>
        </w:rPr>
        <w:t>期</w:t>
      </w:r>
      <w:r>
        <w:rPr>
          <w:sz w:val="21"/>
        </w:rPr>
        <w:t>。</w:t>
      </w:r>
      <w:r>
        <w:rPr>
          <w:spacing w:val="2"/>
          <w:sz w:val="21"/>
        </w:rPr>
        <w:t>宽</w:t>
      </w:r>
      <w:r>
        <w:rPr>
          <w:sz w:val="21"/>
        </w:rPr>
        <w:t>限期内发生</w:t>
      </w:r>
      <w:r>
        <w:rPr>
          <w:spacing w:val="2"/>
          <w:sz w:val="21"/>
        </w:rPr>
        <w:t>的</w:t>
      </w:r>
      <w:r>
        <w:rPr>
          <w:sz w:val="21"/>
        </w:rPr>
        <w:t>保</w:t>
      </w:r>
      <w:r>
        <w:rPr>
          <w:spacing w:val="2"/>
          <w:sz w:val="21"/>
        </w:rPr>
        <w:t>险</w:t>
      </w:r>
      <w:r>
        <w:rPr>
          <w:sz w:val="21"/>
        </w:rPr>
        <w:t>事故，我</w:t>
      </w:r>
      <w:r>
        <w:rPr>
          <w:spacing w:val="2"/>
          <w:sz w:val="21"/>
        </w:rPr>
        <w:t>们</w:t>
      </w:r>
      <w:r>
        <w:rPr>
          <w:sz w:val="21"/>
        </w:rPr>
        <w:t>仍</w:t>
      </w:r>
      <w:r>
        <w:rPr>
          <w:spacing w:val="2"/>
          <w:sz w:val="21"/>
        </w:rPr>
        <w:t>会</w:t>
      </w:r>
      <w:r>
        <w:rPr>
          <w:sz w:val="21"/>
        </w:rPr>
        <w:t>承担保险责任</w:t>
      </w:r>
      <w:r>
        <w:rPr>
          <w:spacing w:val="2"/>
          <w:sz w:val="21"/>
        </w:rPr>
        <w:t>，</w:t>
      </w:r>
      <w:r>
        <w:rPr>
          <w:sz w:val="21"/>
        </w:rPr>
        <w:t>但</w:t>
      </w:r>
      <w:r>
        <w:rPr>
          <w:spacing w:val="2"/>
          <w:sz w:val="21"/>
        </w:rPr>
        <w:t>在</w:t>
      </w:r>
      <w:r>
        <w:rPr>
          <w:sz w:val="21"/>
        </w:rPr>
        <w:t>给付保险金时</w:t>
      </w:r>
      <w:r>
        <w:rPr>
          <w:spacing w:val="2"/>
          <w:sz w:val="21"/>
        </w:rPr>
        <w:t>会</w:t>
      </w:r>
      <w:r>
        <w:rPr>
          <w:sz w:val="21"/>
        </w:rPr>
        <w:t>扣</w:t>
      </w:r>
      <w:r>
        <w:rPr>
          <w:spacing w:val="2"/>
          <w:sz w:val="21"/>
        </w:rPr>
        <w:t>减</w:t>
      </w:r>
      <w:r>
        <w:rPr>
          <w:sz w:val="21"/>
        </w:rPr>
        <w:t>您欠交的保险费。</w:t>
      </w:r>
    </w:p>
    <w:p>
      <w:pPr>
        <w:pStyle w:val="BodyText"/>
        <w:spacing w:line="273" w:lineRule="auto" w:before="163"/>
        <w:ind w:left="2938" w:right="202"/>
      </w:pPr>
      <w:r>
        <w:rPr/>
        <w:t>您在宽限期届满后仍未支付保险费的，本合同自宽限期届满的次日零时起效力中止。</w:t>
      </w:r>
    </w:p>
    <w:p>
      <w:pPr>
        <w:pStyle w:val="BodyText"/>
        <w:spacing w:before="0"/>
        <w:rPr>
          <w:sz w:val="20"/>
        </w:rPr>
      </w:pPr>
    </w:p>
    <w:p>
      <w:pPr>
        <w:pStyle w:val="BodyText"/>
        <w:spacing w:before="3"/>
        <w:rPr>
          <w:sz w:val="22"/>
        </w:rPr>
      </w:pPr>
    </w:p>
    <w:p>
      <w:pPr>
        <w:pStyle w:val="Heading1"/>
        <w:tabs>
          <w:tab w:pos="1047" w:val="left" w:leader="none"/>
        </w:tabs>
        <w:spacing w:before="1"/>
      </w:pPr>
      <w:r>
        <w:rPr/>
        <w:pict>
          <v:line style="position:absolute;mso-position-horizontal-relative:page;mso-position-vertical-relative:paragraph;z-index:1168;mso-wrap-distance-left:0;mso-wrap-distance-right:0" from="51pt,28.630062pt" to="549.96pt,28.630062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14"/>
        </w:numPr>
        <w:tabs>
          <w:tab w:pos="1047" w:val="left" w:leader="none"/>
          <w:tab w:pos="1048" w:val="left" w:leader="none"/>
          <w:tab w:pos="2937" w:val="left" w:leader="none"/>
        </w:tabs>
        <w:spacing w:line="240" w:lineRule="auto" w:before="162" w:after="0"/>
        <w:ind w:left="2938" w:right="0" w:hanging="2730"/>
        <w:jc w:val="left"/>
        <w:rPr>
          <w:sz w:val="21"/>
        </w:rPr>
      </w:pPr>
      <w:r>
        <w:rPr>
          <w:b/>
          <w:sz w:val="21"/>
        </w:rPr>
        <w:t>合同效力的中止</w:t>
        <w:tab/>
      </w:r>
      <w:r>
        <w:rPr>
          <w:sz w:val="21"/>
        </w:rPr>
        <w:t>在本合同效力中止期间，我们不承担保险责任。</w:t>
      </w:r>
    </w:p>
    <w:p>
      <w:pPr>
        <w:spacing w:after="0" w:line="240" w:lineRule="auto"/>
        <w:jc w:val="left"/>
        <w:rPr>
          <w:sz w:val="21"/>
        </w:rPr>
        <w:sectPr>
          <w:pgSz w:w="11910" w:h="16840"/>
          <w:pgMar w:header="608" w:footer="408" w:top="800" w:bottom="600" w:left="920" w:right="800"/>
        </w:sectPr>
      </w:pPr>
    </w:p>
    <w:p>
      <w:pPr>
        <w:pStyle w:val="BodyText"/>
        <w:spacing w:before="0"/>
        <w:rPr>
          <w:sz w:val="20"/>
        </w:rPr>
      </w:pPr>
    </w:p>
    <w:p>
      <w:pPr>
        <w:pStyle w:val="BodyText"/>
        <w:spacing w:before="12"/>
        <w:rPr>
          <w:sz w:val="24"/>
        </w:rPr>
      </w:pPr>
    </w:p>
    <w:p>
      <w:pPr>
        <w:pStyle w:val="ListParagraph"/>
        <w:numPr>
          <w:ilvl w:val="1"/>
          <w:numId w:val="14"/>
        </w:numPr>
        <w:tabs>
          <w:tab w:pos="1048" w:val="left" w:leader="none"/>
        </w:tabs>
        <w:spacing w:line="273" w:lineRule="auto" w:before="35" w:after="0"/>
        <w:ind w:left="2938" w:right="202" w:hanging="2730"/>
        <w:jc w:val="both"/>
        <w:rPr>
          <w:sz w:val="21"/>
        </w:rPr>
      </w:pPr>
      <w:r>
        <w:rPr>
          <w:b/>
          <w:spacing w:val="5"/>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6"/>
          <w:sz w:val="21"/>
        </w:rPr>
        <w:t>本合同约定利率 </w:t>
      </w:r>
      <w:r>
        <w:rPr>
          <w:position w:val="11"/>
          <w:sz w:val="10"/>
        </w:rPr>
        <w:t>11.14</w:t>
      </w:r>
      <w:r>
        <w:rPr>
          <w:spacing w:val="-37"/>
          <w:position w:val="11"/>
          <w:sz w:val="10"/>
        </w:rPr>
        <w:t> </w:t>
      </w:r>
      <w:r>
        <w:rPr>
          <w:sz w:val="21"/>
        </w:rPr>
        <w:t>为上限确定。</w:t>
      </w:r>
    </w:p>
    <w:p>
      <w:pPr>
        <w:pStyle w:val="BodyText"/>
        <w:spacing w:line="273" w:lineRule="auto" w:before="98"/>
        <w:ind w:left="2938" w:right="106"/>
        <w:jc w:val="both"/>
      </w:pPr>
      <w:r>
        <w:rPr/>
        <w:t>自本合同效力中止之日起满二年您和我们未达成协议的，我们有权解除合同。我们解除合同的，向您退还合同效力中止时的本合同现金价值。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192;mso-wrap-distance-left:0;mso-wrap-distance-right:0" from="51pt,35.330093pt" to="549.96pt,35.330093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15"/>
        </w:numPr>
        <w:tabs>
          <w:tab w:pos="1047" w:val="left" w:leader="none"/>
          <w:tab w:pos="1048" w:val="left" w:leader="none"/>
          <w:tab w:pos="2937" w:val="left" w:leader="none"/>
        </w:tabs>
        <w:spacing w:line="240" w:lineRule="auto" w:before="162" w:after="0"/>
        <w:ind w:left="1048" w:right="0" w:hanging="840"/>
        <w:jc w:val="left"/>
        <w:rPr>
          <w:sz w:val="21"/>
        </w:rPr>
      </w:pPr>
      <w:r>
        <w:rPr>
          <w:b/>
          <w:sz w:val="21"/>
        </w:rPr>
        <w:t>明确说明</w:t>
        <w:tab/>
      </w:r>
      <w:r>
        <w:rPr>
          <w:sz w:val="21"/>
        </w:rPr>
        <w:t>订立本合同时，我们将向您说明本合同的内容。</w:t>
      </w:r>
    </w:p>
    <w:p>
      <w:pPr>
        <w:pStyle w:val="BodyText"/>
        <w:spacing w:line="273" w:lineRule="auto" w:before="130"/>
        <w:ind w:left="2938" w:right="210"/>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ListParagraph"/>
        <w:numPr>
          <w:ilvl w:val="1"/>
          <w:numId w:val="15"/>
        </w:numPr>
        <w:tabs>
          <w:tab w:pos="1047" w:val="left" w:leader="none"/>
          <w:tab w:pos="1048" w:val="left" w:leader="none"/>
          <w:tab w:pos="2937" w:val="left" w:leader="none"/>
        </w:tabs>
        <w:spacing w:line="240" w:lineRule="auto" w:before="0" w:after="0"/>
        <w:ind w:left="1048" w:right="0" w:hanging="840"/>
        <w:jc w:val="left"/>
        <w:rPr>
          <w:sz w:val="21"/>
        </w:rPr>
      </w:pPr>
      <w:r>
        <w:rPr>
          <w:b/>
          <w:sz w:val="21"/>
        </w:rPr>
        <w:t>如实告知</w:t>
        <w:tab/>
      </w:r>
      <w:r>
        <w:rPr>
          <w:spacing w:val="-1"/>
          <w:sz w:val="21"/>
        </w:rPr>
        <w:t>订立本合</w:t>
      </w:r>
      <w:r>
        <w:rPr>
          <w:sz w:val="21"/>
        </w:rPr>
        <w:t>同时，我们就您和被保险人的有关情况提出询问，您应当如实告知。</w:t>
      </w:r>
    </w:p>
    <w:p>
      <w:pPr>
        <w:pStyle w:val="BodyText"/>
        <w:spacing w:line="273" w:lineRule="auto" w:before="132"/>
        <w:ind w:left="2938" w:right="202"/>
        <w:jc w:val="both"/>
      </w:pPr>
      <w:r>
        <w:rPr/>
        <w:t>若您故意或者因重大过失未履行前款规定的如实告知义务，足以影响我们决定是否同意承保或提高保险费率的，我们有权解除本合同。</w:t>
      </w:r>
    </w:p>
    <w:p>
      <w:pPr>
        <w:pStyle w:val="BodyText"/>
        <w:spacing w:line="273" w:lineRule="auto" w:before="101"/>
        <w:ind w:left="2938" w:right="202"/>
        <w:jc w:val="both"/>
      </w:pPr>
      <w:r>
        <w:rPr/>
        <w:t>若您故意不履行如实告知义务，对于本合同解除前发生的保险事故，我们不承担给付保险金的责任，并不退还保险费。</w:t>
      </w:r>
    </w:p>
    <w:p>
      <w:pPr>
        <w:pStyle w:val="BodyText"/>
        <w:spacing w:line="273" w:lineRule="auto" w:before="101"/>
        <w:ind w:left="2938" w:right="202"/>
        <w:jc w:val="both"/>
      </w:pPr>
      <w:r>
        <w:rPr/>
        <w:t>若您因重大过失未履行如实告知义务，对保险事故的发生有严重影响的，对于本合同解除前发生的保险事故，我们不承担给付保险金的责任，但退还您所支付的保险费。</w:t>
      </w:r>
    </w:p>
    <w:p>
      <w:pPr>
        <w:pStyle w:val="BodyText"/>
        <w:spacing w:line="273" w:lineRule="auto" w:before="102"/>
        <w:ind w:left="2938" w:right="202"/>
        <w:jc w:val="both"/>
      </w:pPr>
      <w:r>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header="608" w:footer="408" w:top="800" w:bottom="600" w:left="920" w:right="800"/>
        </w:sectPr>
      </w:pPr>
    </w:p>
    <w:p>
      <w:pPr>
        <w:pStyle w:val="Heading2"/>
        <w:numPr>
          <w:ilvl w:val="1"/>
          <w:numId w:val="15"/>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ind w:left="208" w:right="106"/>
      </w:pPr>
      <w:r>
        <w:rPr/>
        <w:br w:type="column"/>
      </w:r>
      <w:r>
        <w:rPr>
          <w:spacing w:val="-11"/>
        </w:rPr>
        <w:t>本合同 </w:t>
      </w:r>
      <w:r>
        <w:rPr/>
        <w:t>5.2</w:t>
      </w:r>
      <w:r>
        <w:rPr>
          <w:spacing w:val="-5"/>
        </w:rPr>
        <w:t> 规定的本合同解除权，自我们知道有解除或终止事由之日起，超过三十日不行使而消灭。自本合同成立日起超过二年的，我们不得解除合同； 发生保险事故的，我们承担给付保险金的责任。</w:t>
      </w:r>
    </w:p>
    <w:p>
      <w:pPr>
        <w:spacing w:after="0" w:line="273" w:lineRule="auto"/>
        <w:sectPr>
          <w:type w:val="continuous"/>
          <w:pgSz w:w="11910" w:h="16840"/>
          <w:pgMar w:top="560" w:bottom="280" w:left="920" w:right="800"/>
          <w:cols w:num="2" w:equalWidth="0">
            <w:col w:w="2522" w:space="208"/>
            <w:col w:w="7460"/>
          </w:cols>
        </w:sectPr>
      </w:pPr>
    </w:p>
    <w:p>
      <w:pPr>
        <w:pStyle w:val="BodyText"/>
        <w:spacing w:before="6"/>
        <w:rPr>
          <w:sz w:val="25"/>
        </w:rPr>
      </w:pPr>
    </w:p>
    <w:p>
      <w:pPr>
        <w:tabs>
          <w:tab w:pos="1047" w:val="left" w:leader="none"/>
        </w:tabs>
        <w:spacing w:before="64"/>
        <w:ind w:left="207" w:right="0" w:firstLine="0"/>
        <w:jc w:val="left"/>
        <w:rPr>
          <w:b/>
          <w:sz w:val="24"/>
        </w:rPr>
      </w:pPr>
      <w:r>
        <w:rPr/>
        <w:pict>
          <v:line style="position:absolute;mso-position-horizontal-relative:page;mso-position-vertical-relative:paragraph;z-index:1216;mso-wrap-distance-left:0;mso-wrap-distance-right:0" from="51pt,31.780062pt" to="549.96pt,31.780062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16"/>
        </w:numPr>
        <w:tabs>
          <w:tab w:pos="1048" w:val="left" w:leader="none"/>
        </w:tabs>
        <w:spacing w:line="273" w:lineRule="auto" w:before="162" w:after="0"/>
        <w:ind w:left="2938" w:right="202" w:hanging="2730"/>
        <w:jc w:val="both"/>
        <w:rPr>
          <w:sz w:val="21"/>
        </w:rPr>
      </w:pPr>
      <w:r>
        <w:rPr>
          <w:b/>
          <w:spacing w:val="3"/>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0"/>
          <w:sz w:val="21"/>
        </w:rPr>
        <w:t>现金价值的 </w:t>
      </w:r>
      <w:r>
        <w:rPr>
          <w:sz w:val="21"/>
        </w:rPr>
        <w:t>80%，每次借款期限不超过六个月。</w:t>
      </w:r>
    </w:p>
    <w:p>
      <w:pPr>
        <w:pStyle w:val="BodyText"/>
        <w:spacing w:line="273" w:lineRule="auto" w:before="85"/>
        <w:ind w:left="2938" w:right="20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p>
    <w:p>
      <w:pPr>
        <w:spacing w:after="0" w:line="273" w:lineRule="auto"/>
        <w:jc w:val="both"/>
        <w:sectPr>
          <w:type w:val="continuous"/>
          <w:pgSz w:w="11910" w:h="16840"/>
          <w:pgMar w:top="560" w:bottom="280" w:left="920" w:right="800"/>
        </w:sectPr>
      </w:pPr>
    </w:p>
    <w:p>
      <w:pPr>
        <w:pStyle w:val="BodyText"/>
        <w:spacing w:before="1"/>
      </w:pPr>
    </w:p>
    <w:p>
      <w:pPr>
        <w:pStyle w:val="BodyText"/>
        <w:ind w:left="2938"/>
      </w:pPr>
      <w:r>
        <w:rPr/>
        <w:t>未偿还的，借款金额、借款期限和利率将按前述方法重新确定。</w:t>
      </w:r>
    </w:p>
    <w:p>
      <w:pPr>
        <w:pStyle w:val="BodyText"/>
        <w:spacing w:line="273" w:lineRule="auto" w:before="114"/>
        <w:ind w:left="2938" w:right="202"/>
      </w:pPr>
      <w:r>
        <w:rPr/>
        <w:t>当借款本金及利息加上其他各项欠款及利息达到本合同现金价值时，本合同终止。</w:t>
      </w:r>
    </w:p>
    <w:p>
      <w:pPr>
        <w:pStyle w:val="BodyText"/>
        <w:spacing w:before="8"/>
        <w:rPr>
          <w:sz w:val="27"/>
        </w:rPr>
      </w:pPr>
    </w:p>
    <w:p>
      <w:pPr>
        <w:spacing w:after="0"/>
        <w:rPr>
          <w:sz w:val="27"/>
        </w:rPr>
        <w:sectPr>
          <w:pgSz w:w="11910" w:h="16840"/>
          <w:pgMar w:header="608" w:footer="408" w:top="800" w:bottom="600" w:left="920" w:right="800"/>
        </w:sectPr>
      </w:pPr>
    </w:p>
    <w:p>
      <w:pPr>
        <w:pStyle w:val="Heading2"/>
        <w:numPr>
          <w:ilvl w:val="1"/>
          <w:numId w:val="16"/>
        </w:numPr>
        <w:tabs>
          <w:tab w:pos="1047" w:val="left" w:leader="none"/>
          <w:tab w:pos="1048" w:val="left" w:leader="none"/>
        </w:tabs>
        <w:spacing w:line="273" w:lineRule="auto" w:before="36" w:after="0"/>
        <w:ind w:left="1048" w:right="0" w:hanging="840"/>
        <w:jc w:val="left"/>
      </w:pPr>
      <w:r>
        <w:rPr>
          <w:w w:val="95"/>
        </w:rPr>
        <w:t>保险费的自动垫</w:t>
      </w:r>
      <w:r>
        <w:rPr/>
        <w:t>交</w:t>
      </w:r>
    </w:p>
    <w:p>
      <w:pPr>
        <w:pStyle w:val="BodyText"/>
        <w:spacing w:line="273" w:lineRule="auto" w:before="36"/>
        <w:ind w:left="208" w:right="106"/>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同继续有效，所垫交的保险费视同保单借款，并按本合同约定利率计算利息； 不足以垫交到期应付保险费的，不进行保险费的自动垫交。</w:t>
      </w:r>
    </w:p>
    <w:p>
      <w:pPr>
        <w:pStyle w:val="BodyText"/>
        <w:spacing w:line="273" w:lineRule="auto" w:before="85"/>
        <w:ind w:left="208" w:right="202"/>
      </w:pPr>
      <w:r>
        <w:rPr/>
        <w:t>当所垫交的保险费及利息加上其他各项欠款及利息达到本合同现金价值时， 本合同终止。</w:t>
      </w:r>
    </w:p>
    <w:p>
      <w:pPr>
        <w:pStyle w:val="BodyText"/>
        <w:spacing w:line="273" w:lineRule="auto" w:before="85"/>
        <w:ind w:left="208" w:right="202"/>
      </w:pPr>
      <w:r>
        <w:rPr/>
        <w:t>您在保险费自动垫交开始后申请结束保险费的自动垫交的，须补交所垫交的保险费及利息。</w:t>
      </w:r>
    </w:p>
    <w:p>
      <w:pPr>
        <w:pStyle w:val="BodyText"/>
        <w:spacing w:line="273" w:lineRule="auto" w:before="85"/>
        <w:ind w:left="208" w:right="202"/>
      </w:pPr>
      <w:r>
        <w:rPr/>
        <w:t>若本合同有附加保险合同，则保险费的自动垫交也包括附加保险合同的到期应付保险费。</w:t>
      </w:r>
    </w:p>
    <w:p>
      <w:pPr>
        <w:spacing w:after="0" w:line="273" w:lineRule="auto"/>
        <w:sectPr>
          <w:type w:val="continuous"/>
          <w:pgSz w:w="11910" w:h="16840"/>
          <w:pgMar w:top="560" w:bottom="280" w:left="920" w:right="800"/>
          <w:cols w:num="2" w:equalWidth="0">
            <w:col w:w="2522" w:space="208"/>
            <w:col w:w="7460"/>
          </w:cols>
        </w:sectPr>
      </w:pPr>
    </w:p>
    <w:p>
      <w:pPr>
        <w:pStyle w:val="BodyText"/>
        <w:spacing w:before="0"/>
        <w:rPr>
          <w:sz w:val="20"/>
        </w:rPr>
      </w:pPr>
    </w:p>
    <w:p>
      <w:pPr>
        <w:pStyle w:val="Heading1"/>
        <w:tabs>
          <w:tab w:pos="1047" w:val="left" w:leader="none"/>
        </w:tabs>
        <w:spacing w:before="213"/>
      </w:pPr>
      <w:r>
        <w:rPr/>
        <w:pict>
          <v:line style="position:absolute;mso-position-horizontal-relative:page;mso-position-vertical-relative:paragraph;z-index:1240;mso-wrap-distance-left:0;mso-wrap-distance-right:0" from="51pt,39.170074pt" to="549.96pt,39.170074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2"/>
        <w:numPr>
          <w:ilvl w:val="1"/>
          <w:numId w:val="17"/>
        </w:numPr>
        <w:tabs>
          <w:tab w:pos="1047" w:val="left" w:leader="none"/>
          <w:tab w:pos="1048" w:val="left" w:leader="none"/>
        </w:tabs>
        <w:spacing w:line="240" w:lineRule="auto" w:before="163" w:after="0"/>
        <w:ind w:left="2938" w:right="0" w:hanging="2730"/>
        <w:jc w:val="left"/>
      </w:pPr>
      <w:r>
        <w:rPr>
          <w:w w:val="95"/>
        </w:rPr>
        <w:t>受益人</w:t>
      </w:r>
    </w:p>
    <w:p>
      <w:pPr>
        <w:pStyle w:val="BodyText"/>
        <w:spacing w:before="12"/>
        <w:rPr>
          <w:b/>
          <w:sz w:val="23"/>
        </w:rPr>
      </w:pPr>
    </w:p>
    <w:p>
      <w:pPr>
        <w:spacing w:after="0"/>
        <w:rPr>
          <w:sz w:val="23"/>
        </w:rPr>
        <w:sectPr>
          <w:type w:val="continuous"/>
          <w:pgSz w:w="11910" w:h="16840"/>
          <w:pgMar w:top="560" w:bottom="280" w:left="920" w:right="800"/>
        </w:sectPr>
      </w:pPr>
    </w:p>
    <w:p>
      <w:pPr>
        <w:pStyle w:val="BodyText"/>
        <w:spacing w:line="273" w:lineRule="auto" w:before="36"/>
        <w:ind w:left="1048"/>
      </w:pPr>
      <w:r>
        <w:rPr/>
        <w:t>重大疾病保险金、特定轻症疾病保险金受益人</w:t>
      </w:r>
    </w:p>
    <w:p>
      <w:pPr>
        <w:pStyle w:val="BodyText"/>
        <w:spacing w:before="36"/>
        <w:ind w:left="169"/>
      </w:pPr>
      <w:r>
        <w:rPr/>
        <w:br w:type="column"/>
      </w:r>
      <w:r>
        <w:rPr/>
        <w:t>本合同重大疾病保险金、特定轻症疾病保险金受益人为被保险人。</w:t>
      </w:r>
    </w:p>
    <w:p>
      <w:pPr>
        <w:spacing w:after="0"/>
        <w:sectPr>
          <w:type w:val="continuous"/>
          <w:pgSz w:w="11910" w:h="16840"/>
          <w:pgMar w:top="560" w:bottom="280" w:left="920" w:right="800"/>
          <w:cols w:num="2" w:equalWidth="0">
            <w:col w:w="2729" w:space="40"/>
            <w:col w:w="7421"/>
          </w:cols>
        </w:sectPr>
      </w:pPr>
    </w:p>
    <w:p>
      <w:pPr>
        <w:pStyle w:val="BodyText"/>
        <w:spacing w:before="9"/>
      </w:pPr>
    </w:p>
    <w:p>
      <w:pPr>
        <w:spacing w:after="0"/>
        <w:sectPr>
          <w:type w:val="continuous"/>
          <w:pgSz w:w="11910" w:h="16840"/>
          <w:pgMar w:top="560" w:bottom="280" w:left="920" w:right="800"/>
        </w:sectPr>
      </w:pPr>
    </w:p>
    <w:p>
      <w:pPr>
        <w:pStyle w:val="BodyText"/>
        <w:spacing w:line="273" w:lineRule="auto" w:before="36"/>
        <w:ind w:left="1048"/>
      </w:pPr>
      <w:r>
        <w:rPr/>
        <w:t>身故保险金受益人</w:t>
      </w:r>
    </w:p>
    <w:p>
      <w:pPr>
        <w:pStyle w:val="BodyText"/>
        <w:spacing w:before="36"/>
        <w:ind w:left="379"/>
      </w:pPr>
      <w:r>
        <w:rPr/>
        <w:br w:type="column"/>
      </w:r>
      <w:r>
        <w:rPr/>
        <w:t>被保险人或者您可以指定一人或者数人为身故保险金受益人。</w:t>
      </w:r>
    </w:p>
    <w:p>
      <w:pPr>
        <w:pStyle w:val="BodyText"/>
        <w:spacing w:line="273" w:lineRule="auto" w:before="115"/>
        <w:ind w:left="379" w:right="106"/>
      </w:pPr>
      <w:r>
        <w:rPr/>
        <w:t>身故保险金受益人为数人的，被保险人或者您可以确定受益顺序和受益份额； 未确定受益顺序的，受益人按同一顺序享有受益权；未确定受益份额的，受益人按照相等份额享有受益权。</w:t>
      </w:r>
    </w:p>
    <w:p>
      <w:pPr>
        <w:pStyle w:val="BodyText"/>
        <w:spacing w:line="273" w:lineRule="auto" w:before="85"/>
        <w:ind w:left="379" w:right="202"/>
      </w:pPr>
      <w:r>
        <w:rPr/>
        <w:t>被保险人为无民事行为能力人或者限制民事行为能力人的，可以由其监护人指定受益人。</w:t>
      </w:r>
    </w:p>
    <w:p>
      <w:pPr>
        <w:pStyle w:val="BodyText"/>
        <w:spacing w:line="273" w:lineRule="auto" w:before="85"/>
        <w:ind w:left="379" w:right="202"/>
      </w:pPr>
      <w:r>
        <w:rPr/>
        <w:t>被保险人或者您可以变更身故保险金受益人并书面通知我们。我们收到变更受益人的书面通知后，在保险单或者其他保险凭证上批注或者附贴批单。</w:t>
      </w:r>
    </w:p>
    <w:p>
      <w:pPr>
        <w:pStyle w:val="BodyText"/>
        <w:spacing w:before="85"/>
        <w:ind w:left="379"/>
      </w:pPr>
      <w:r>
        <w:rPr/>
        <w:t>您指定和变更身故保险金受益人时须经被保险人同意。</w:t>
      </w:r>
    </w:p>
    <w:p>
      <w:pPr>
        <w:pStyle w:val="BodyText"/>
        <w:spacing w:line="273" w:lineRule="auto" w:before="114"/>
        <w:ind w:left="379" w:right="202"/>
      </w:pPr>
      <w:r>
        <w:rPr/>
        <w:t>被保险人身故后，有下列情形之一的，保险金作为被保险人的遗产，由我们依照《中华人民共和国继承法》的规定履行给付保险金的义务：</w:t>
      </w:r>
    </w:p>
    <w:p>
      <w:pPr>
        <w:pStyle w:val="BodyText"/>
        <w:spacing w:before="85"/>
        <w:ind w:left="379"/>
      </w:pPr>
      <w:r>
        <w:rPr/>
        <w:t>（1）没有指定受益人，或者受益人指定不明无法确定的；</w:t>
      </w:r>
    </w:p>
    <w:p>
      <w:pPr>
        <w:pStyle w:val="BodyText"/>
        <w:spacing w:before="115"/>
        <w:ind w:left="379"/>
      </w:pPr>
      <w:r>
        <w:rPr/>
        <w:t>（2）受益人先于被保险人身故，没有其他受益人的；</w:t>
      </w:r>
    </w:p>
    <w:p>
      <w:pPr>
        <w:pStyle w:val="BodyText"/>
        <w:spacing w:before="115"/>
        <w:ind w:left="379"/>
      </w:pPr>
      <w:r>
        <w:rPr/>
        <w:t>（3）受益人依法丧失受益权或者放弃受益权，没有其他受益人的。</w:t>
      </w:r>
    </w:p>
    <w:p>
      <w:pPr>
        <w:pStyle w:val="BodyText"/>
        <w:spacing w:line="273" w:lineRule="auto" w:before="115"/>
        <w:ind w:left="379" w:right="202"/>
      </w:pPr>
      <w:r>
        <w:rPr/>
        <w:t>受益人与被保险人在同一事件中身故，且不能确定身故先后顺序的，推定受益人身故在先。</w:t>
      </w:r>
    </w:p>
    <w:p>
      <w:pPr>
        <w:pStyle w:val="BodyText"/>
        <w:spacing w:before="86"/>
        <w:ind w:left="379"/>
      </w:pPr>
      <w:r>
        <w:rPr/>
        <w:t>受益人故意造成被保险人身故、伤残、疾病的，或者故意杀害被保险人未遂</w:t>
      </w:r>
    </w:p>
    <w:p>
      <w:pPr>
        <w:spacing w:after="0"/>
        <w:sectPr>
          <w:type w:val="continuous"/>
          <w:pgSz w:w="11910" w:h="16840"/>
          <w:pgMar w:top="560" w:bottom="280" w:left="920" w:right="800"/>
          <w:cols w:num="2" w:equalWidth="0">
            <w:col w:w="2519" w:space="40"/>
            <w:col w:w="7631"/>
          </w:cols>
        </w:sectPr>
      </w:pPr>
    </w:p>
    <w:p>
      <w:pPr>
        <w:pStyle w:val="BodyText"/>
        <w:spacing w:before="1"/>
      </w:pPr>
    </w:p>
    <w:p>
      <w:pPr>
        <w:pStyle w:val="BodyText"/>
        <w:ind w:left="2938"/>
      </w:pPr>
      <w:r>
        <w:rPr/>
        <w:t>的，该受益人丧失受益权。</w:t>
      </w:r>
    </w:p>
    <w:p>
      <w:pPr>
        <w:pStyle w:val="BodyText"/>
        <w:spacing w:before="0"/>
        <w:rPr>
          <w:sz w:val="20"/>
        </w:rPr>
      </w:pPr>
    </w:p>
    <w:p>
      <w:pPr>
        <w:pStyle w:val="ListParagraph"/>
        <w:numPr>
          <w:ilvl w:val="1"/>
          <w:numId w:val="17"/>
        </w:numPr>
        <w:tabs>
          <w:tab w:pos="1047" w:val="left" w:leader="none"/>
          <w:tab w:pos="1048" w:val="left" w:leader="none"/>
          <w:tab w:pos="2937" w:val="left" w:leader="none"/>
        </w:tabs>
        <w:spacing w:line="240" w:lineRule="auto" w:before="164" w:after="0"/>
        <w:ind w:left="1047" w:right="0" w:hanging="839"/>
        <w:jc w:val="left"/>
        <w:rPr>
          <w:sz w:val="21"/>
        </w:rPr>
      </w:pPr>
      <w:r>
        <w:rPr>
          <w:b/>
          <w:sz w:val="21"/>
        </w:rPr>
        <w:t>保险事故通知</w:t>
        <w:tab/>
      </w:r>
      <w:r>
        <w:rPr>
          <w:sz w:val="21"/>
        </w:rPr>
        <w:t>您或受益人知道保险事故后应当在十日内通知我们。</w:t>
      </w:r>
    </w:p>
    <w:p>
      <w:pPr>
        <w:pStyle w:val="BodyText"/>
        <w:spacing w:line="273" w:lineRule="auto" w:before="130"/>
        <w:ind w:left="2938" w:right="106"/>
      </w:pPr>
      <w:r>
        <w:rPr/>
        <w:t>您或受益人故意或者因重大过失未及时通知，致使保险事故的性质、原因、损失程度等难以确定的，我们对无法确定的部分，不承担给付保险金的责任， 但我们通过其他途径已经及时知道或者应当及时知道保险事故发生或者虽您或受益人未及时通知但不影响本公司确定保险事故的性质、原因、损失程度的除外。</w:t>
      </w:r>
    </w:p>
    <w:p>
      <w:pPr>
        <w:pStyle w:val="Heading2"/>
        <w:numPr>
          <w:ilvl w:val="1"/>
          <w:numId w:val="17"/>
        </w:numPr>
        <w:tabs>
          <w:tab w:pos="1047" w:val="left" w:leader="none"/>
          <w:tab w:pos="1048" w:val="left" w:leader="none"/>
        </w:tabs>
        <w:spacing w:line="240" w:lineRule="auto" w:before="7" w:after="0"/>
        <w:ind w:left="1048" w:right="0" w:hanging="840"/>
        <w:jc w:val="left"/>
      </w:pPr>
      <w:r>
        <w:rPr>
          <w:w w:val="95"/>
        </w:rPr>
        <w:t>保险金申请</w:t>
      </w:r>
    </w:p>
    <w:p>
      <w:pPr>
        <w:pStyle w:val="BodyText"/>
        <w:spacing w:before="12"/>
        <w:rPr>
          <w:b/>
          <w:sz w:val="25"/>
        </w:rPr>
      </w:pPr>
    </w:p>
    <w:p>
      <w:pPr>
        <w:spacing w:after="0"/>
        <w:rPr>
          <w:sz w:val="25"/>
        </w:rPr>
        <w:sectPr>
          <w:pgSz w:w="11910" w:h="16840"/>
          <w:pgMar w:header="608" w:footer="408" w:top="800" w:bottom="600" w:left="920" w:right="800"/>
        </w:sectPr>
      </w:pPr>
    </w:p>
    <w:p>
      <w:pPr>
        <w:pStyle w:val="BodyText"/>
        <w:spacing w:line="273" w:lineRule="auto"/>
        <w:ind w:left="1048"/>
      </w:pPr>
      <w:r>
        <w:rPr/>
        <w:t>重大疾病保险金、特定轻症疾病保险金申请</w:t>
      </w:r>
    </w:p>
    <w:p>
      <w:pPr>
        <w:pStyle w:val="BodyText"/>
        <w:spacing w:line="273" w:lineRule="auto"/>
        <w:ind w:left="169" w:right="208"/>
      </w:pPr>
      <w:r>
        <w:rPr/>
        <w:br w:type="column"/>
      </w:r>
      <w:r>
        <w:rPr/>
        <w:t>在申请重大疾病保险金、特定轻症疾病保险金时，申请人须填写保险金给付申请书，并提供下列证明和资料：</w:t>
      </w:r>
    </w:p>
    <w:p>
      <w:pPr>
        <w:pStyle w:val="BodyText"/>
        <w:spacing w:before="100"/>
        <w:ind w:left="169"/>
      </w:pPr>
      <w:r>
        <w:rPr/>
        <w:t>（1）保险合同；</w:t>
      </w:r>
    </w:p>
    <w:p>
      <w:pPr>
        <w:pStyle w:val="BodyText"/>
        <w:spacing w:before="130"/>
        <w:ind w:left="169"/>
      </w:pPr>
      <w:r>
        <w:rPr/>
        <w:t>（2）申请人的有效身份证件；</w:t>
      </w:r>
    </w:p>
    <w:p>
      <w:pPr>
        <w:spacing w:line="273" w:lineRule="auto" w:before="132"/>
        <w:ind w:left="694" w:right="207" w:hanging="525"/>
        <w:jc w:val="left"/>
        <w:rPr>
          <w:sz w:val="21"/>
        </w:rPr>
      </w:pPr>
      <w:r>
        <w:rPr>
          <w:sz w:val="21"/>
        </w:rPr>
        <w:t>（3）由</w:t>
      </w:r>
      <w:r>
        <w:rPr>
          <w:b/>
          <w:sz w:val="21"/>
        </w:rPr>
        <w:t>本公司认可的医疗机构 </w:t>
      </w:r>
      <w:r>
        <w:rPr>
          <w:position w:val="11"/>
          <w:sz w:val="10"/>
        </w:rPr>
        <w:t>11.15 </w:t>
      </w:r>
      <w:r>
        <w:rPr>
          <w:sz w:val="21"/>
        </w:rPr>
        <w:t>出具的附有病理检查、血液检查及其他科学方法报告的诊断证明书；</w:t>
      </w:r>
    </w:p>
    <w:p>
      <w:pPr>
        <w:pStyle w:val="BodyText"/>
        <w:spacing w:before="101"/>
        <w:ind w:left="170"/>
      </w:pPr>
      <w:r>
        <w:rPr/>
        <w:t>（4）所能提供的与确认保险事故的性质、原因等有关的其他证明和资料。</w:t>
      </w:r>
    </w:p>
    <w:p>
      <w:pPr>
        <w:spacing w:after="0"/>
        <w:sectPr>
          <w:type w:val="continuous"/>
          <w:pgSz w:w="11910" w:h="16840"/>
          <w:pgMar w:top="560" w:bottom="280" w:left="920" w:right="800"/>
          <w:cols w:num="2" w:equalWidth="0">
            <w:col w:w="2729" w:space="40"/>
            <w:col w:w="7421"/>
          </w:cols>
        </w:sectPr>
      </w:pPr>
    </w:p>
    <w:p>
      <w:pPr>
        <w:pStyle w:val="BodyText"/>
        <w:spacing w:before="5"/>
        <w:rPr>
          <w:sz w:val="17"/>
        </w:rPr>
      </w:pPr>
    </w:p>
    <w:p>
      <w:pPr>
        <w:pStyle w:val="BodyText"/>
        <w:tabs>
          <w:tab w:pos="2937" w:val="left" w:leader="none"/>
        </w:tabs>
        <w:spacing w:line="273" w:lineRule="auto" w:before="36"/>
        <w:ind w:left="2938" w:right="206" w:hanging="1890"/>
      </w:pPr>
      <w:r>
        <w:rPr/>
        <w:t>身故保险金申请</w:t>
        <w:tab/>
        <w:t>在申请</w:t>
      </w:r>
      <w:r>
        <w:rPr>
          <w:spacing w:val="2"/>
        </w:rPr>
        <w:t>身</w:t>
      </w:r>
      <w:r>
        <w:rPr/>
        <w:t>故</w:t>
      </w:r>
      <w:r>
        <w:rPr>
          <w:spacing w:val="2"/>
        </w:rPr>
        <w:t>保</w:t>
      </w:r>
      <w:r>
        <w:rPr/>
        <w:t>险金时，</w:t>
      </w:r>
      <w:r>
        <w:rPr>
          <w:spacing w:val="2"/>
        </w:rPr>
        <w:t>申</w:t>
      </w:r>
      <w:r>
        <w:rPr/>
        <w:t>请</w:t>
      </w:r>
      <w:r>
        <w:rPr>
          <w:spacing w:val="2"/>
        </w:rPr>
        <w:t>人</w:t>
      </w:r>
      <w:r>
        <w:rPr/>
        <w:t>须填写保险金</w:t>
      </w:r>
      <w:r>
        <w:rPr>
          <w:spacing w:val="2"/>
        </w:rPr>
        <w:t>给</w:t>
      </w:r>
      <w:r>
        <w:rPr/>
        <w:t>付</w:t>
      </w:r>
      <w:r>
        <w:rPr>
          <w:spacing w:val="2"/>
        </w:rPr>
        <w:t>申</w:t>
      </w:r>
      <w:r>
        <w:rPr/>
        <w:t>请书，并提供</w:t>
      </w:r>
      <w:r>
        <w:rPr>
          <w:spacing w:val="2"/>
        </w:rPr>
        <w:t>下</w:t>
      </w:r>
      <w:r>
        <w:rPr/>
        <w:t>列</w:t>
      </w:r>
      <w:r>
        <w:rPr>
          <w:spacing w:val="2"/>
        </w:rPr>
        <w:t>证</w:t>
      </w:r>
      <w:r>
        <w:rPr/>
        <w:t>明和 资料：</w:t>
      </w:r>
    </w:p>
    <w:p>
      <w:pPr>
        <w:pStyle w:val="BodyText"/>
        <w:spacing w:before="85"/>
        <w:ind w:left="2938"/>
      </w:pPr>
      <w:r>
        <w:rPr/>
        <w:t>（1）保险合同；</w:t>
      </w:r>
    </w:p>
    <w:p>
      <w:pPr>
        <w:pStyle w:val="BodyText"/>
        <w:spacing w:before="114"/>
        <w:ind w:left="2938"/>
      </w:pPr>
      <w:r>
        <w:rPr/>
        <w:t>（2）申请人的有效身份证件；</w:t>
      </w:r>
    </w:p>
    <w:p>
      <w:pPr>
        <w:pStyle w:val="BodyText"/>
        <w:spacing w:line="273" w:lineRule="auto" w:before="114"/>
        <w:ind w:left="3413" w:right="211" w:hanging="476"/>
      </w:pPr>
      <w:r>
        <w:rPr/>
        <w:t>（3）国家卫生行政部门认定的医疗机构、公安部门或其他相关机构出具的被保险人的死亡证明；</w:t>
      </w:r>
    </w:p>
    <w:p>
      <w:pPr>
        <w:pStyle w:val="BodyText"/>
        <w:spacing w:before="85"/>
        <w:ind w:left="2938"/>
      </w:pPr>
      <w:r>
        <w:rPr/>
        <w:t>（4）被保险人户籍注销证明；</w:t>
      </w:r>
    </w:p>
    <w:p>
      <w:pPr>
        <w:pStyle w:val="BodyText"/>
        <w:spacing w:line="340" w:lineRule="auto" w:before="115"/>
        <w:ind w:left="2938" w:right="314"/>
      </w:pPr>
      <w:r>
        <w:rPr/>
        <w:t>（5）所能提供的与确认保险事故的性质、原因等有关的其他证明和资料。保险金作为被保险人遗产时，必须提供可证明合法继承权的相关权利文件。</w:t>
      </w:r>
    </w:p>
    <w:p>
      <w:pPr>
        <w:pStyle w:val="BodyText"/>
        <w:spacing w:before="5"/>
        <w:rPr>
          <w:sz w:val="19"/>
        </w:rPr>
      </w:pPr>
    </w:p>
    <w:p>
      <w:pPr>
        <w:pStyle w:val="BodyText"/>
        <w:tabs>
          <w:tab w:pos="2937" w:val="left" w:leader="none"/>
        </w:tabs>
        <w:spacing w:line="273" w:lineRule="auto" w:before="0"/>
        <w:ind w:left="2938" w:right="206" w:hanging="1890"/>
      </w:pPr>
      <w:r>
        <w:rPr/>
        <w:t>豁免保险费申请</w:t>
        <w:tab/>
        <w:t>在申请</w:t>
      </w:r>
      <w:r>
        <w:rPr>
          <w:spacing w:val="2"/>
        </w:rPr>
        <w:t>豁</w:t>
      </w:r>
      <w:r>
        <w:rPr/>
        <w:t>免</w:t>
      </w:r>
      <w:r>
        <w:rPr>
          <w:spacing w:val="2"/>
        </w:rPr>
        <w:t>保</w:t>
      </w:r>
      <w:r>
        <w:rPr/>
        <w:t>险费时，</w:t>
      </w:r>
      <w:r>
        <w:rPr>
          <w:spacing w:val="2"/>
        </w:rPr>
        <w:t>申</w:t>
      </w:r>
      <w:r>
        <w:rPr/>
        <w:t>请</w:t>
      </w:r>
      <w:r>
        <w:rPr>
          <w:spacing w:val="2"/>
        </w:rPr>
        <w:t>人</w:t>
      </w:r>
      <w:r>
        <w:rPr/>
        <w:t>须填写保险费</w:t>
      </w:r>
      <w:r>
        <w:rPr>
          <w:spacing w:val="2"/>
        </w:rPr>
        <w:t>豁</w:t>
      </w:r>
      <w:r>
        <w:rPr/>
        <w:t>免</w:t>
      </w:r>
      <w:r>
        <w:rPr>
          <w:spacing w:val="2"/>
        </w:rPr>
        <w:t>申</w:t>
      </w:r>
      <w:r>
        <w:rPr/>
        <w:t>请书，并提供</w:t>
      </w:r>
      <w:r>
        <w:rPr>
          <w:spacing w:val="2"/>
        </w:rPr>
        <w:t>下</w:t>
      </w:r>
      <w:r>
        <w:rPr/>
        <w:t>列</w:t>
      </w:r>
      <w:r>
        <w:rPr>
          <w:spacing w:val="2"/>
        </w:rPr>
        <w:t>证</w:t>
      </w:r>
      <w:r>
        <w:rPr/>
        <w:t>明和 资料：</w:t>
      </w:r>
    </w:p>
    <w:p>
      <w:pPr>
        <w:pStyle w:val="BodyText"/>
        <w:spacing w:before="7"/>
        <w:ind w:left="2938"/>
      </w:pPr>
      <w:r>
        <w:rPr/>
        <w:t>（1）保险合同；</w:t>
      </w:r>
    </w:p>
    <w:p>
      <w:pPr>
        <w:pStyle w:val="BodyText"/>
        <w:spacing w:before="131"/>
        <w:ind w:left="2938"/>
      </w:pPr>
      <w:r>
        <w:rPr/>
        <w:t>（2）申请人的有效身份证件；</w:t>
      </w:r>
    </w:p>
    <w:p>
      <w:pPr>
        <w:pStyle w:val="BodyText"/>
        <w:spacing w:line="273" w:lineRule="auto" w:before="130"/>
        <w:ind w:left="3462" w:right="211" w:hanging="525"/>
      </w:pPr>
      <w:r>
        <w:rPr/>
        <w:t>（3）由本公司认可的医疗机构出具的附有病理检查、血液检查及其他科学方法报告的诊断证明书；</w:t>
      </w:r>
    </w:p>
    <w:p>
      <w:pPr>
        <w:pStyle w:val="BodyText"/>
        <w:spacing w:before="101"/>
        <w:ind w:left="2938"/>
      </w:pPr>
      <w:r>
        <w:rPr/>
        <w:t>（4）所能提供的与确认保险事故的性质、原因等有关的其他证明和资料。</w:t>
      </w:r>
    </w:p>
    <w:p>
      <w:pPr>
        <w:pStyle w:val="BodyText"/>
        <w:spacing w:before="12"/>
        <w:rPr>
          <w:sz w:val="26"/>
        </w:rPr>
      </w:pPr>
    </w:p>
    <w:p>
      <w:pPr>
        <w:pStyle w:val="BodyText"/>
        <w:spacing w:line="273" w:lineRule="auto" w:before="0"/>
        <w:ind w:left="2938" w:right="202"/>
      </w:pPr>
      <w:r>
        <w:rPr/>
        <w:t>申请人提供的证明和资料不完整的，我们将及时一次性通知申请人补充提供有关证明和资料。</w:t>
      </w:r>
    </w:p>
    <w:p>
      <w:pPr>
        <w:pStyle w:val="BodyText"/>
        <w:spacing w:before="4"/>
        <w:rPr>
          <w:sz w:val="24"/>
        </w:rPr>
      </w:pPr>
    </w:p>
    <w:p>
      <w:pPr>
        <w:pStyle w:val="ListParagraph"/>
        <w:numPr>
          <w:ilvl w:val="1"/>
          <w:numId w:val="17"/>
        </w:numPr>
        <w:tabs>
          <w:tab w:pos="1049" w:val="left" w:leader="none"/>
        </w:tabs>
        <w:spacing w:line="273" w:lineRule="auto" w:before="1" w:after="0"/>
        <w:ind w:left="2938" w:right="202" w:hanging="2730"/>
        <w:jc w:val="both"/>
        <w:rPr>
          <w:sz w:val="21"/>
        </w:rPr>
      </w:pPr>
      <w:r>
        <w:rPr>
          <w:b/>
          <w:spacing w:val="3"/>
          <w:sz w:val="21"/>
        </w:rPr>
        <w:t>保险金给付       </w:t>
      </w:r>
      <w:r>
        <w:rPr>
          <w:sz w:val="21"/>
        </w:rPr>
        <w:t>我们在收到保险金给付申请书及合同约定的证明和资料后，将在五日内作出核定；情形复杂的，在三十日内作出核定。对属于保险责任的，我们在与受</w:t>
      </w:r>
      <w:r>
        <w:rPr>
          <w:spacing w:val="-1"/>
          <w:sz w:val="21"/>
        </w:rPr>
        <w:t>益人达成给付保险金的协议后十日内,履行给付保险金义务。</w:t>
      </w:r>
    </w:p>
    <w:p>
      <w:pPr>
        <w:spacing w:after="0" w:line="273" w:lineRule="auto"/>
        <w:jc w:val="both"/>
        <w:rPr>
          <w:sz w:val="21"/>
        </w:rPr>
        <w:sectPr>
          <w:type w:val="continuous"/>
          <w:pgSz w:w="11910" w:h="16840"/>
          <w:pgMar w:top="560" w:bottom="280" w:left="920" w:right="800"/>
        </w:sectPr>
      </w:pPr>
    </w:p>
    <w:p>
      <w:pPr>
        <w:pStyle w:val="BodyText"/>
        <w:spacing w:before="1"/>
      </w:pPr>
    </w:p>
    <w:p>
      <w:pPr>
        <w:pStyle w:val="BodyText"/>
        <w:spacing w:line="273" w:lineRule="auto"/>
        <w:ind w:left="2938" w:right="202"/>
        <w:jc w:val="both"/>
      </w:pPr>
      <w:r>
        <w:rPr/>
        <w:t>我们未及时履行前款规定义务的，除支付保险金外，应当赔偿受益人因此受到的损失。</w:t>
      </w:r>
    </w:p>
    <w:p>
      <w:pPr>
        <w:pStyle w:val="BodyText"/>
        <w:spacing w:line="273" w:lineRule="auto" w:before="100"/>
        <w:ind w:left="2938" w:right="202"/>
        <w:jc w:val="both"/>
      </w:pPr>
      <w:r>
        <w:rPr/>
        <w:t>对不属于保险责任的，我们自作出核定之日起三日内向受益人发出拒绝给付保险金通知书，并说明理由。</w:t>
      </w:r>
    </w:p>
    <w:p>
      <w:pPr>
        <w:pStyle w:val="BodyText"/>
        <w:spacing w:line="273" w:lineRule="auto" w:before="100"/>
        <w:ind w:left="2938" w:right="20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7"/>
        </w:numPr>
        <w:tabs>
          <w:tab w:pos="1048" w:val="left" w:leader="none"/>
          <w:tab w:pos="1049" w:val="left" w:leader="none"/>
          <w:tab w:pos="2937" w:val="left" w:leader="none"/>
        </w:tabs>
        <w:spacing w:line="273" w:lineRule="auto" w:before="0" w:after="0"/>
        <w:ind w:left="2938" w:right="202" w:hanging="2730"/>
        <w:jc w:val="left"/>
        <w:rPr>
          <w:sz w:val="21"/>
        </w:rPr>
      </w:pPr>
      <w:r>
        <w:rPr>
          <w:b/>
          <w:sz w:val="21"/>
        </w:rPr>
        <w:t>诉讼时效</w:t>
        <w:tab/>
      </w:r>
      <w:r>
        <w:rPr>
          <w:sz w:val="21"/>
        </w:rPr>
        <w:t>受益人</w:t>
      </w:r>
      <w:r>
        <w:rPr>
          <w:spacing w:val="2"/>
          <w:sz w:val="21"/>
        </w:rPr>
        <w:t>向</w:t>
      </w:r>
      <w:r>
        <w:rPr>
          <w:sz w:val="21"/>
        </w:rPr>
        <w:t>本</w:t>
      </w:r>
      <w:r>
        <w:rPr>
          <w:spacing w:val="2"/>
          <w:sz w:val="21"/>
        </w:rPr>
        <w:t>公</w:t>
      </w:r>
      <w:r>
        <w:rPr>
          <w:sz w:val="21"/>
        </w:rPr>
        <w:t>司请求给</w:t>
      </w:r>
      <w:r>
        <w:rPr>
          <w:spacing w:val="2"/>
          <w:sz w:val="21"/>
        </w:rPr>
        <w:t>付</w:t>
      </w:r>
      <w:r>
        <w:rPr>
          <w:sz w:val="21"/>
        </w:rPr>
        <w:t>保</w:t>
      </w:r>
      <w:r>
        <w:rPr>
          <w:spacing w:val="2"/>
          <w:sz w:val="21"/>
        </w:rPr>
        <w:t>险</w:t>
      </w:r>
      <w:r>
        <w:rPr>
          <w:sz w:val="21"/>
        </w:rPr>
        <w:t>金的诉讼时效</w:t>
      </w:r>
      <w:r>
        <w:rPr>
          <w:spacing w:val="2"/>
          <w:sz w:val="21"/>
        </w:rPr>
        <w:t>期</w:t>
      </w:r>
      <w:r>
        <w:rPr>
          <w:sz w:val="21"/>
        </w:rPr>
        <w:t>间</w:t>
      </w:r>
      <w:r>
        <w:rPr>
          <w:spacing w:val="2"/>
          <w:sz w:val="21"/>
        </w:rPr>
        <w:t>为</w:t>
      </w:r>
      <w:r>
        <w:rPr>
          <w:sz w:val="21"/>
        </w:rPr>
        <w:t>二年，自其知</w:t>
      </w:r>
      <w:r>
        <w:rPr>
          <w:spacing w:val="2"/>
          <w:sz w:val="21"/>
        </w:rPr>
        <w:t>道</w:t>
      </w:r>
      <w:r>
        <w:rPr>
          <w:sz w:val="21"/>
        </w:rPr>
        <w:t>或</w:t>
      </w:r>
      <w:r>
        <w:rPr>
          <w:spacing w:val="2"/>
          <w:sz w:val="21"/>
        </w:rPr>
        <w:t>者</w:t>
      </w:r>
      <w:r>
        <w:rPr>
          <w:sz w:val="21"/>
        </w:rPr>
        <w:t>应当 知道保险事故发生之日起计算。</w:t>
      </w:r>
    </w:p>
    <w:p>
      <w:pPr>
        <w:pStyle w:val="BodyText"/>
        <w:spacing w:before="0"/>
        <w:rPr>
          <w:sz w:val="20"/>
        </w:rPr>
      </w:pPr>
    </w:p>
    <w:p>
      <w:pPr>
        <w:pStyle w:val="BodyText"/>
        <w:spacing w:before="8"/>
        <w:rPr>
          <w:sz w:val="17"/>
        </w:rPr>
      </w:pPr>
    </w:p>
    <w:p>
      <w:pPr>
        <w:pStyle w:val="Heading1"/>
        <w:tabs>
          <w:tab w:pos="1047" w:val="left" w:leader="none"/>
        </w:tabs>
      </w:pPr>
      <w:r>
        <w:rPr/>
        <w:pict>
          <v:line style="position:absolute;mso-position-horizontal-relative:page;mso-position-vertical-relative:paragraph;z-index:1264;mso-wrap-distance-left:0;mso-wrap-distance-right:0" from="51pt,28.520063pt" to="549.96pt,28.520063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0"/>
        <w:rPr>
          <w:b/>
          <w:sz w:val="9"/>
        </w:rPr>
      </w:pPr>
    </w:p>
    <w:p>
      <w:pPr>
        <w:spacing w:after="0"/>
        <w:rPr>
          <w:sz w:val="9"/>
        </w:rPr>
        <w:sectPr>
          <w:pgSz w:w="11910" w:h="16840"/>
          <w:pgMar w:header="608" w:footer="408" w:top="800" w:bottom="600" w:left="920" w:right="800"/>
        </w:sectPr>
      </w:pPr>
    </w:p>
    <w:p>
      <w:pPr>
        <w:pStyle w:val="Heading2"/>
        <w:spacing w:line="273" w:lineRule="auto" w:before="35"/>
        <w:ind w:left="1048"/>
      </w:pPr>
      <w:r>
        <w:rPr/>
        <w:t>您解除合同 </w:t>
      </w:r>
      <w:r>
        <w:rPr>
          <w:w w:val="95"/>
        </w:rPr>
        <w:t>的手续及风险</w:t>
      </w:r>
    </w:p>
    <w:p>
      <w:pPr>
        <w:pStyle w:val="BodyText"/>
        <w:ind w:left="586"/>
      </w:pPr>
      <w:r>
        <w:rPr/>
        <w:br w:type="column"/>
      </w:r>
      <w:r>
        <w:rPr/>
        <w:t>您申请解除本合同的，请填写解除合同申请书并向我们提供下列资料：</w:t>
      </w:r>
    </w:p>
    <w:p>
      <w:pPr>
        <w:pStyle w:val="BodyText"/>
        <w:spacing w:before="130"/>
        <w:ind w:left="586"/>
      </w:pPr>
      <w:r>
        <w:rPr/>
        <w:t>（1）保险合同；</w:t>
      </w:r>
    </w:p>
    <w:p>
      <w:pPr>
        <w:pStyle w:val="BodyText"/>
        <w:spacing w:before="130"/>
        <w:ind w:left="586"/>
      </w:pPr>
      <w:r>
        <w:rPr/>
        <w:t>（2）您的有效身份证件。</w:t>
      </w:r>
    </w:p>
    <w:p>
      <w:pPr>
        <w:pStyle w:val="BodyText"/>
        <w:spacing w:line="273" w:lineRule="auto" w:before="131"/>
        <w:ind w:left="586" w:right="202"/>
      </w:pPr>
      <w:r>
        <w:rPr/>
        <w:t>自我们收到解除合同申请书时起，本合同终止，我们自收到解除合同申请书之日起三十日内向您退还本合同的现金价值。</w:t>
      </w:r>
    </w:p>
    <w:p>
      <w:pPr>
        <w:pStyle w:val="Heading2"/>
        <w:spacing w:line="355" w:lineRule="auto"/>
        <w:ind w:left="586" w:right="1346"/>
      </w:pPr>
      <w:r>
        <w:rPr>
          <w:w w:val="95"/>
        </w:rPr>
        <w:t>若已发生过保险金给付的，您不得行使本条规定的合同解除权。 您解除合同会遭受一定损失。</w:t>
      </w:r>
    </w:p>
    <w:p>
      <w:pPr>
        <w:spacing w:after="0" w:line="355" w:lineRule="auto"/>
        <w:sectPr>
          <w:type w:val="continuous"/>
          <w:pgSz w:w="11910" w:h="16840"/>
          <w:pgMar w:top="560" w:bottom="280" w:left="920" w:right="800"/>
          <w:cols w:num="2" w:equalWidth="0">
            <w:col w:w="2312" w:space="40"/>
            <w:col w:w="7838"/>
          </w:cols>
        </w:sectPr>
      </w:pPr>
    </w:p>
    <w:p>
      <w:pPr>
        <w:pStyle w:val="BodyText"/>
        <w:spacing w:before="3"/>
        <w:rPr>
          <w:b/>
          <w:sz w:val="20"/>
        </w:rPr>
      </w:pPr>
    </w:p>
    <w:p>
      <w:pPr>
        <w:tabs>
          <w:tab w:pos="1047" w:val="left" w:leader="none"/>
        </w:tabs>
        <w:spacing w:before="62"/>
        <w:ind w:left="207" w:right="0" w:firstLine="0"/>
        <w:jc w:val="left"/>
        <w:rPr>
          <w:b/>
          <w:sz w:val="24"/>
        </w:rPr>
      </w:pPr>
      <w:r>
        <w:rPr/>
        <w:pict>
          <v:line style="position:absolute;mso-position-horizontal-relative:page;mso-position-vertical-relative:paragraph;z-index:1288;mso-wrap-distance-left:0;mso-wrap-distance-right:0" from="51pt,31.680077pt" to="549.96pt,31.680077pt" stroked="true" strokeweight=".96pt" strokecolor="#000000">
            <v:stroke dashstyle="solid"/>
            <w10:wrap type="topAndBottom"/>
          </v:line>
        </w:pict>
      </w:r>
      <w:r>
        <w:rPr>
          <w:rFonts w:ascii="Arial" w:hAnsi="Arial" w:eastAsia="Arial"/>
          <w:b/>
          <w:position w:val="-3"/>
          <w:sz w:val="40"/>
        </w:rPr>
        <w:t></w:t>
        <w:tab/>
      </w:r>
      <w:r>
        <w:rPr>
          <w:b/>
          <w:w w:val="95"/>
          <w:sz w:val="24"/>
        </w:rPr>
        <w:t>其他需要注意的事项</w:t>
      </w:r>
    </w:p>
    <w:p>
      <w:pPr>
        <w:pStyle w:val="BodyText"/>
        <w:spacing w:before="10"/>
        <w:rPr>
          <w:b/>
          <w:sz w:val="17"/>
        </w:rPr>
      </w:pPr>
    </w:p>
    <w:p>
      <w:pPr>
        <w:spacing w:after="0"/>
        <w:rPr>
          <w:sz w:val="17"/>
        </w:rPr>
        <w:sectPr>
          <w:type w:val="continuous"/>
          <w:pgSz w:w="11910" w:h="16840"/>
          <w:pgMar w:top="560" w:bottom="280" w:left="920" w:right="800"/>
        </w:sectPr>
      </w:pPr>
    </w:p>
    <w:p>
      <w:pPr>
        <w:pStyle w:val="ListParagraph"/>
        <w:numPr>
          <w:ilvl w:val="1"/>
          <w:numId w:val="18"/>
        </w:numPr>
        <w:tabs>
          <w:tab w:pos="1047" w:val="left" w:leader="none"/>
          <w:tab w:pos="1048" w:val="left" w:leader="none"/>
        </w:tabs>
        <w:spacing w:line="273" w:lineRule="auto" w:before="35" w:after="0"/>
        <w:ind w:left="1048" w:right="0" w:hanging="840"/>
        <w:jc w:val="left"/>
        <w:rPr>
          <w:b/>
          <w:sz w:val="21"/>
        </w:rPr>
      </w:pPr>
      <w:r>
        <w:rPr>
          <w:b/>
          <w:w w:val="95"/>
          <w:sz w:val="21"/>
        </w:rPr>
        <w:t>年龄确定与错误</w:t>
      </w:r>
      <w:r>
        <w:rPr>
          <w:b/>
          <w:sz w:val="21"/>
        </w:rPr>
        <w:t>处理</w:t>
      </w:r>
    </w:p>
    <w:p>
      <w:pPr>
        <w:pStyle w:val="BodyText"/>
        <w:spacing w:line="273" w:lineRule="auto"/>
        <w:ind w:left="208" w:right="202"/>
      </w:pPr>
      <w:r>
        <w:rPr/>
        <w:br w:type="column"/>
      </w:r>
      <w:r>
        <w:rPr/>
        <w:t>您在申请投保时，应将与有效身份证件相符的被保险人的出生日期在投保单或批单上填明，若发生错误按照下列方式办理：</w:t>
      </w:r>
    </w:p>
    <w:p>
      <w:pPr>
        <w:pStyle w:val="BodyText"/>
        <w:spacing w:line="273" w:lineRule="auto" w:before="101"/>
        <w:ind w:left="732" w:right="211" w:hanging="525"/>
        <w:jc w:val="both"/>
      </w:pPr>
      <w:r>
        <w:rPr/>
        <w:t>（1）您申报的被保险人年龄不真实，并且其真实年龄不符合本合同约定投保年龄限制的，我们有权解除合同，并向您退还本合同的现金价值。我们行使合同解除权适用“本公司合同解除权的限制”的规定。</w:t>
      </w:r>
    </w:p>
    <w:p>
      <w:pPr>
        <w:pStyle w:val="BodyText"/>
        <w:spacing w:line="273" w:lineRule="auto" w:before="102"/>
        <w:ind w:left="732" w:right="211" w:hanging="525"/>
        <w:jc w:val="both"/>
      </w:pPr>
      <w:r>
        <w:rPr/>
        <w:t>（2）您申报的被保险人年龄不真实，致使投保人实付保险费少于应付保险费的，我们有权更正并要求您补交保险费。若已经发生保险事故，在给付保险金时按实付保险费和应付保险费的比例给付。</w:t>
      </w:r>
    </w:p>
    <w:p>
      <w:pPr>
        <w:pStyle w:val="BodyText"/>
        <w:spacing w:line="273" w:lineRule="auto" w:before="101"/>
        <w:ind w:left="732" w:right="210" w:hanging="525"/>
        <w:jc w:val="both"/>
      </w:pPr>
      <w:r>
        <w:rPr/>
        <w:t>（3）您申报的被保险人年龄不真实，致使您实付保险费多于应付保险费的， 我们将多收的保险费退还给您。</w:t>
      </w:r>
    </w:p>
    <w:p>
      <w:pPr>
        <w:spacing w:after="0" w:line="273" w:lineRule="auto"/>
        <w:jc w:val="both"/>
        <w:sectPr>
          <w:type w:val="continuous"/>
          <w:pgSz w:w="11910" w:h="16840"/>
          <w:pgMar w:top="560" w:bottom="280" w:left="920" w:right="800"/>
          <w:cols w:num="2" w:equalWidth="0">
            <w:col w:w="2522" w:space="208"/>
            <w:col w:w="7460"/>
          </w:cols>
        </w:sectPr>
      </w:pPr>
    </w:p>
    <w:p>
      <w:pPr>
        <w:pStyle w:val="BodyText"/>
        <w:spacing w:before="9"/>
      </w:pPr>
    </w:p>
    <w:p>
      <w:pPr>
        <w:pStyle w:val="ListParagraph"/>
        <w:numPr>
          <w:ilvl w:val="1"/>
          <w:numId w:val="18"/>
        </w:numPr>
        <w:tabs>
          <w:tab w:pos="1047" w:val="left" w:leader="none"/>
          <w:tab w:pos="1048" w:val="left" w:leader="none"/>
          <w:tab w:pos="2937" w:val="left" w:leader="none"/>
        </w:tabs>
        <w:spacing w:line="273" w:lineRule="auto" w:before="36" w:after="0"/>
        <w:ind w:left="2938" w:right="106" w:hanging="2730"/>
        <w:jc w:val="left"/>
        <w:rPr>
          <w:sz w:val="21"/>
        </w:rPr>
      </w:pPr>
      <w:r>
        <w:rPr>
          <w:b/>
          <w:sz w:val="21"/>
        </w:rPr>
        <w:t>地址变更</w:t>
        <w:tab/>
      </w:r>
      <w:r>
        <w:rPr>
          <w:sz w:val="21"/>
        </w:rPr>
        <w:t>您的通</w:t>
      </w:r>
      <w:r>
        <w:rPr>
          <w:spacing w:val="2"/>
          <w:sz w:val="21"/>
        </w:rPr>
        <w:t>讯</w:t>
      </w:r>
      <w:r>
        <w:rPr>
          <w:sz w:val="21"/>
        </w:rPr>
        <w:t>地</w:t>
      </w:r>
      <w:r>
        <w:rPr>
          <w:spacing w:val="2"/>
          <w:sz w:val="21"/>
        </w:rPr>
        <w:t>址</w:t>
      </w:r>
      <w:r>
        <w:rPr>
          <w:sz w:val="21"/>
        </w:rPr>
        <w:t>变更时，</w:t>
      </w:r>
      <w:r>
        <w:rPr>
          <w:spacing w:val="2"/>
          <w:sz w:val="21"/>
        </w:rPr>
        <w:t>应</w:t>
      </w:r>
      <w:r>
        <w:rPr>
          <w:sz w:val="21"/>
        </w:rPr>
        <w:t>及</w:t>
      </w:r>
      <w:r>
        <w:rPr>
          <w:spacing w:val="2"/>
          <w:sz w:val="21"/>
        </w:rPr>
        <w:t>时</w:t>
      </w:r>
      <w:r>
        <w:rPr>
          <w:sz w:val="21"/>
        </w:rPr>
        <w:t>以书面形式或</w:t>
      </w:r>
      <w:r>
        <w:rPr>
          <w:spacing w:val="2"/>
          <w:sz w:val="21"/>
        </w:rPr>
        <w:t>双</w:t>
      </w:r>
      <w:r>
        <w:rPr>
          <w:sz w:val="21"/>
        </w:rPr>
        <w:t>方</w:t>
      </w:r>
      <w:r>
        <w:rPr>
          <w:spacing w:val="2"/>
          <w:sz w:val="21"/>
        </w:rPr>
        <w:t>认</w:t>
      </w:r>
      <w:r>
        <w:rPr>
          <w:sz w:val="21"/>
        </w:rPr>
        <w:t>可的其他形式</w:t>
      </w:r>
      <w:r>
        <w:rPr>
          <w:spacing w:val="2"/>
          <w:sz w:val="21"/>
        </w:rPr>
        <w:t>通</w:t>
      </w:r>
      <w:r>
        <w:rPr>
          <w:sz w:val="21"/>
        </w:rPr>
        <w:t>知</w:t>
      </w:r>
      <w:r>
        <w:rPr>
          <w:spacing w:val="2"/>
          <w:sz w:val="21"/>
        </w:rPr>
        <w:t>我</w:t>
      </w:r>
      <w:r>
        <w:rPr>
          <w:sz w:val="21"/>
        </w:rPr>
        <w:t>们。 您不作上述通知的</w:t>
      </w:r>
      <w:r>
        <w:rPr>
          <w:spacing w:val="-3"/>
          <w:sz w:val="21"/>
        </w:rPr>
        <w:t>，</w:t>
      </w:r>
      <w:r>
        <w:rPr>
          <w:sz w:val="21"/>
        </w:rPr>
        <w:t>我们将按本合同注明的最后通讯地址向您发送有关通知， 并视为已送达。</w:t>
      </w:r>
    </w:p>
    <w:p>
      <w:pPr>
        <w:pStyle w:val="BodyText"/>
        <w:spacing w:before="9"/>
        <w:rPr>
          <w:sz w:val="24"/>
        </w:rPr>
      </w:pPr>
    </w:p>
    <w:p>
      <w:pPr>
        <w:pStyle w:val="ListParagraph"/>
        <w:numPr>
          <w:ilvl w:val="1"/>
          <w:numId w:val="18"/>
        </w:numPr>
        <w:tabs>
          <w:tab w:pos="1048" w:val="left" w:leader="none"/>
        </w:tabs>
        <w:spacing w:line="273" w:lineRule="auto" w:before="0" w:after="0"/>
        <w:ind w:left="2938" w:right="314" w:hanging="2730"/>
        <w:jc w:val="both"/>
        <w:rPr>
          <w:sz w:val="21"/>
        </w:rPr>
      </w:pPr>
      <w:r>
        <w:rPr>
          <w:b/>
          <w:spacing w:val="10"/>
          <w:sz w:val="21"/>
        </w:rPr>
        <w:t>未还款项的扣除  </w:t>
      </w:r>
      <w:r>
        <w:rPr>
          <w:sz w:val="21"/>
        </w:rPr>
        <w:t>除本合同另有约定外，我们在给付各项保险金、退还现金价值或保险费时， 若您有欠交的保险费、未偿还的保单借款及利息或其他未还清款项，我们将扣除上述欠款及相应利息。</w:t>
      </w:r>
    </w:p>
    <w:p>
      <w:pPr>
        <w:spacing w:after="0" w:line="273" w:lineRule="auto"/>
        <w:jc w:val="both"/>
        <w:rPr>
          <w:sz w:val="21"/>
        </w:rPr>
        <w:sectPr>
          <w:type w:val="continuous"/>
          <w:pgSz w:w="11910" w:h="16840"/>
          <w:pgMar w:top="560" w:bottom="280" w:left="920" w:right="800"/>
        </w:sectPr>
      </w:pPr>
    </w:p>
    <w:p>
      <w:pPr>
        <w:pStyle w:val="BodyText"/>
        <w:spacing w:before="0"/>
        <w:rPr>
          <w:sz w:val="20"/>
        </w:rPr>
      </w:pPr>
    </w:p>
    <w:p>
      <w:pPr>
        <w:pStyle w:val="BodyText"/>
        <w:spacing w:before="1"/>
        <w:rPr>
          <w:sz w:val="25"/>
        </w:rPr>
      </w:pPr>
    </w:p>
    <w:p>
      <w:pPr>
        <w:pStyle w:val="ListParagraph"/>
        <w:numPr>
          <w:ilvl w:val="1"/>
          <w:numId w:val="18"/>
        </w:numPr>
        <w:tabs>
          <w:tab w:pos="1047" w:val="left" w:leader="none"/>
          <w:tab w:pos="1048" w:val="left" w:leader="none"/>
          <w:tab w:pos="2937" w:val="left" w:leader="none"/>
        </w:tabs>
        <w:spacing w:line="273" w:lineRule="auto" w:before="36" w:after="0"/>
        <w:ind w:left="2938" w:right="202" w:hanging="2730"/>
        <w:jc w:val="left"/>
        <w:rPr>
          <w:sz w:val="21"/>
        </w:rPr>
      </w:pPr>
      <w:r>
        <w:rPr>
          <w:b/>
          <w:sz w:val="21"/>
        </w:rPr>
        <w:t>合同内容的变更</w:t>
        <w:tab/>
      </w:r>
      <w:r>
        <w:rPr>
          <w:sz w:val="21"/>
        </w:rPr>
        <w:t>您和我</w:t>
      </w:r>
      <w:r>
        <w:rPr>
          <w:spacing w:val="2"/>
          <w:sz w:val="21"/>
        </w:rPr>
        <w:t>们</w:t>
      </w:r>
      <w:r>
        <w:rPr>
          <w:sz w:val="21"/>
        </w:rPr>
        <w:t>可</w:t>
      </w:r>
      <w:r>
        <w:rPr>
          <w:spacing w:val="2"/>
          <w:sz w:val="21"/>
        </w:rPr>
        <w:t>以</w:t>
      </w:r>
      <w:r>
        <w:rPr>
          <w:sz w:val="21"/>
        </w:rPr>
        <w:t>协商变更</w:t>
      </w:r>
      <w:r>
        <w:rPr>
          <w:spacing w:val="2"/>
          <w:sz w:val="21"/>
        </w:rPr>
        <w:t>本</w:t>
      </w:r>
      <w:r>
        <w:rPr>
          <w:sz w:val="21"/>
        </w:rPr>
        <w:t>合</w:t>
      </w:r>
      <w:r>
        <w:rPr>
          <w:spacing w:val="2"/>
          <w:sz w:val="21"/>
        </w:rPr>
        <w:t>同</w:t>
      </w:r>
      <w:r>
        <w:rPr>
          <w:sz w:val="21"/>
        </w:rPr>
        <w:t>内容。变更本</w:t>
      </w:r>
      <w:r>
        <w:rPr>
          <w:spacing w:val="2"/>
          <w:sz w:val="21"/>
        </w:rPr>
        <w:t>合</w:t>
      </w:r>
      <w:r>
        <w:rPr>
          <w:sz w:val="21"/>
        </w:rPr>
        <w:t>同</w:t>
      </w:r>
      <w:r>
        <w:rPr>
          <w:spacing w:val="2"/>
          <w:sz w:val="21"/>
        </w:rPr>
        <w:t>的</w:t>
      </w:r>
      <w:r>
        <w:rPr>
          <w:sz w:val="21"/>
        </w:rPr>
        <w:t>，由我们在保</w:t>
      </w:r>
      <w:r>
        <w:rPr>
          <w:spacing w:val="2"/>
          <w:sz w:val="21"/>
        </w:rPr>
        <w:t>险</w:t>
      </w:r>
      <w:r>
        <w:rPr>
          <w:sz w:val="21"/>
        </w:rPr>
        <w:t>单</w:t>
      </w:r>
      <w:r>
        <w:rPr>
          <w:spacing w:val="2"/>
          <w:sz w:val="21"/>
        </w:rPr>
        <w:t>或</w:t>
      </w:r>
      <w:r>
        <w:rPr>
          <w:sz w:val="21"/>
        </w:rPr>
        <w:t>者其 他保险凭证上批注或者附贴批单，或者由您和我们订立书面的变更协议。</w:t>
      </w:r>
    </w:p>
    <w:p>
      <w:pPr>
        <w:pStyle w:val="BodyText"/>
        <w:spacing w:before="0"/>
        <w:rPr>
          <w:sz w:val="20"/>
        </w:rPr>
      </w:pPr>
    </w:p>
    <w:p>
      <w:pPr>
        <w:pStyle w:val="ListParagraph"/>
        <w:numPr>
          <w:ilvl w:val="1"/>
          <w:numId w:val="18"/>
        </w:numPr>
        <w:tabs>
          <w:tab w:pos="1047" w:val="left" w:leader="none"/>
          <w:tab w:pos="1048" w:val="left" w:leader="none"/>
          <w:tab w:pos="2937" w:val="left" w:leader="none"/>
        </w:tabs>
        <w:spacing w:line="240" w:lineRule="auto" w:before="143" w:after="0"/>
        <w:ind w:left="1048" w:right="0" w:hanging="840"/>
        <w:jc w:val="left"/>
        <w:rPr>
          <w:sz w:val="21"/>
        </w:rPr>
      </w:pPr>
      <w:r>
        <w:rPr>
          <w:b/>
          <w:sz w:val="21"/>
        </w:rPr>
        <w:t>争议处理</w:t>
        <w:tab/>
      </w:r>
      <w:r>
        <w:rPr>
          <w:sz w:val="21"/>
        </w:rPr>
        <w:t>本合同争议的解决方式，由当事人从下列两种方式中选择一种：</w:t>
      </w:r>
    </w:p>
    <w:p>
      <w:pPr>
        <w:pStyle w:val="BodyText"/>
        <w:spacing w:line="273" w:lineRule="auto" w:before="130"/>
        <w:ind w:left="3462" w:right="210" w:hanging="525"/>
      </w:pPr>
      <w:r>
        <w:rPr/>
        <w:t>（1）因履行本合同发生的争议，由当事人协商解决，协商不成的，提交本合同约定的仲裁委员会仲裁；</w:t>
      </w:r>
    </w:p>
    <w:p>
      <w:pPr>
        <w:pStyle w:val="BodyText"/>
        <w:spacing w:line="273" w:lineRule="auto" w:before="102"/>
        <w:ind w:left="3462" w:right="210" w:hanging="525"/>
      </w:pPr>
      <w:r>
        <w:rPr/>
        <w:t>（2）因履行本合同发生的争议，由当事人协商解决，协商不成的，依法向有管辖权的人民法院提起诉讼。</w:t>
      </w:r>
    </w:p>
    <w:p>
      <w:pPr>
        <w:pStyle w:val="BodyText"/>
        <w:spacing w:before="0"/>
        <w:rPr>
          <w:sz w:val="20"/>
        </w:rPr>
      </w:pPr>
    </w:p>
    <w:p>
      <w:pPr>
        <w:pStyle w:val="BodyText"/>
        <w:spacing w:before="2"/>
        <w:rPr>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0"/>
        <w:gridCol w:w="7249"/>
      </w:tblGrid>
      <w:tr>
        <w:trPr>
          <w:trHeight w:val="524" w:hRule="atLeast"/>
        </w:trPr>
        <w:tc>
          <w:tcPr>
            <w:tcW w:w="740" w:type="dxa"/>
            <w:tcBorders>
              <w:bottom w:val="single" w:sz="8" w:space="0" w:color="000000"/>
            </w:tcBorders>
          </w:tcPr>
          <w:p>
            <w:pPr>
              <w:pStyle w:val="TableParagraph"/>
              <w:spacing w:line="422" w:lineRule="exact"/>
              <w:ind w:left="107"/>
              <w:rPr>
                <w:rFonts w:ascii="Arial" w:hAnsi="Arial"/>
                <w:b/>
                <w:sz w:val="40"/>
              </w:rPr>
            </w:pPr>
            <w:r>
              <w:rPr>
                <w:rFonts w:ascii="Arial" w:hAnsi="Arial"/>
                <w:b/>
                <w:w w:val="118"/>
                <w:sz w:val="40"/>
              </w:rPr>
              <w:t></w:t>
            </w:r>
          </w:p>
        </w:tc>
        <w:tc>
          <w:tcPr>
            <w:tcW w:w="1990" w:type="dxa"/>
            <w:tcBorders>
              <w:bottom w:val="single" w:sz="8" w:space="0" w:color="000000"/>
            </w:tcBorders>
          </w:tcPr>
          <w:p>
            <w:pPr>
              <w:pStyle w:val="TableParagraph"/>
              <w:spacing w:before="18"/>
              <w:ind w:left="208"/>
              <w:rPr>
                <w:b/>
                <w:sz w:val="24"/>
              </w:rPr>
            </w:pPr>
            <w:r>
              <w:rPr>
                <w:b/>
                <w:w w:val="95"/>
                <w:sz w:val="24"/>
              </w:rPr>
              <w:t>疾病定义</w:t>
            </w:r>
          </w:p>
        </w:tc>
        <w:tc>
          <w:tcPr>
            <w:tcW w:w="7249" w:type="dxa"/>
            <w:tcBorders>
              <w:bottom w:val="single" w:sz="8" w:space="0" w:color="000000"/>
            </w:tcBorders>
          </w:tcPr>
          <w:p>
            <w:pPr>
              <w:pStyle w:val="TableParagraph"/>
              <w:ind w:left="0"/>
              <w:rPr>
                <w:rFonts w:ascii="Times New Roman"/>
                <w:sz w:val="20"/>
              </w:rPr>
            </w:pPr>
          </w:p>
        </w:tc>
      </w:tr>
      <w:tr>
        <w:trPr>
          <w:trHeight w:val="1567" w:hRule="atLeast"/>
        </w:trPr>
        <w:tc>
          <w:tcPr>
            <w:tcW w:w="740" w:type="dxa"/>
            <w:tcBorders>
              <w:top w:val="single" w:sz="8" w:space="0" w:color="000000"/>
            </w:tcBorders>
          </w:tcPr>
          <w:p>
            <w:pPr>
              <w:pStyle w:val="TableParagraph"/>
              <w:spacing w:before="9"/>
              <w:ind w:left="0"/>
              <w:rPr>
                <w:sz w:val="14"/>
              </w:rPr>
            </w:pPr>
          </w:p>
          <w:p>
            <w:pPr>
              <w:pStyle w:val="TableParagraph"/>
              <w:ind w:left="107"/>
              <w:rPr>
                <w:b/>
                <w:sz w:val="21"/>
              </w:rPr>
            </w:pPr>
            <w:r>
              <w:rPr>
                <w:b/>
                <w:sz w:val="21"/>
              </w:rPr>
              <w:t>10.1</w:t>
            </w:r>
          </w:p>
        </w:tc>
        <w:tc>
          <w:tcPr>
            <w:tcW w:w="1990" w:type="dxa"/>
            <w:tcBorders>
              <w:top w:val="single" w:sz="8" w:space="0" w:color="000000"/>
            </w:tcBorders>
          </w:tcPr>
          <w:p>
            <w:pPr>
              <w:pStyle w:val="TableParagraph"/>
              <w:spacing w:before="9"/>
              <w:ind w:left="0"/>
              <w:rPr>
                <w:sz w:val="14"/>
              </w:rPr>
            </w:pPr>
          </w:p>
          <w:p>
            <w:pPr>
              <w:pStyle w:val="TableParagraph"/>
              <w:ind w:left="208"/>
              <w:rPr>
                <w:b/>
                <w:sz w:val="21"/>
              </w:rPr>
            </w:pPr>
            <w:r>
              <w:rPr>
                <w:b/>
                <w:w w:val="95"/>
                <w:sz w:val="21"/>
              </w:rPr>
              <w:t>重大疾病定义</w:t>
            </w:r>
          </w:p>
        </w:tc>
        <w:tc>
          <w:tcPr>
            <w:tcW w:w="7249" w:type="dxa"/>
            <w:tcBorders>
              <w:top w:val="single" w:sz="8" w:space="0" w:color="000000"/>
            </w:tcBorders>
          </w:tcPr>
          <w:p>
            <w:pPr>
              <w:pStyle w:val="TableParagraph"/>
              <w:spacing w:before="9"/>
              <w:ind w:left="0"/>
              <w:rPr>
                <w:sz w:val="14"/>
              </w:rPr>
            </w:pPr>
          </w:p>
          <w:p>
            <w:pPr>
              <w:pStyle w:val="TableParagraph"/>
              <w:ind w:left="108"/>
              <w:rPr>
                <w:sz w:val="21"/>
              </w:rPr>
            </w:pPr>
            <w:r>
              <w:rPr>
                <w:sz w:val="21"/>
              </w:rPr>
              <w:t>本合同 10.1 部分带有★标志的重大疾病共 25 种，其定义来自于中国保险行</w:t>
            </w:r>
          </w:p>
          <w:p>
            <w:pPr>
              <w:pStyle w:val="TableParagraph"/>
              <w:spacing w:line="273" w:lineRule="auto" w:before="37"/>
              <w:ind w:left="108" w:right="97"/>
              <w:jc w:val="both"/>
              <w:rPr>
                <w:sz w:val="21"/>
              </w:rPr>
            </w:pPr>
            <w:r>
              <w:rPr>
                <w:spacing w:val="-2"/>
                <w:sz w:val="21"/>
              </w:rPr>
              <w:t>业协会制定的《重大疾病保险的疾病定义使用规范》；其余 </w:t>
            </w:r>
            <w:r>
              <w:rPr>
                <w:sz w:val="21"/>
              </w:rPr>
              <w:t>75</w:t>
            </w:r>
            <w:r>
              <w:rPr>
                <w:spacing w:val="-9"/>
                <w:sz w:val="21"/>
              </w:rPr>
              <w:t> 种重大疾病定</w:t>
            </w:r>
            <w:r>
              <w:rPr>
                <w:spacing w:val="-4"/>
                <w:sz w:val="21"/>
              </w:rPr>
              <w:t>义为非中国保险行业协会制定的重大疾病定义。被保险人发生符合以下疾病定义所述条件的疾病，应当由专科医生明确诊断。</w:t>
            </w:r>
          </w:p>
        </w:tc>
      </w:tr>
      <w:tr>
        <w:trPr>
          <w:trHeight w:val="1408" w:hRule="atLeast"/>
        </w:trPr>
        <w:tc>
          <w:tcPr>
            <w:tcW w:w="740" w:type="dxa"/>
          </w:tcPr>
          <w:p>
            <w:pPr>
              <w:pStyle w:val="TableParagraph"/>
              <w:ind w:left="0"/>
              <w:rPr>
                <w:rFonts w:ascii="Times New Roman"/>
                <w:sz w:val="20"/>
              </w:rPr>
            </w:pPr>
          </w:p>
        </w:tc>
        <w:tc>
          <w:tcPr>
            <w:tcW w:w="1990" w:type="dxa"/>
          </w:tcPr>
          <w:p>
            <w:pPr>
              <w:pStyle w:val="TableParagraph"/>
              <w:spacing w:before="99"/>
              <w:ind w:left="208"/>
              <w:rPr>
                <w:b/>
                <w:sz w:val="21"/>
              </w:rPr>
            </w:pPr>
            <w:r>
              <w:rPr>
                <w:w w:val="95"/>
                <w:sz w:val="21"/>
              </w:rPr>
              <w:t>1.恶性肿瘤</w:t>
            </w:r>
            <w:r>
              <w:rPr>
                <w:b/>
                <w:w w:val="95"/>
                <w:sz w:val="21"/>
              </w:rPr>
              <w:t>★</w:t>
            </w:r>
          </w:p>
        </w:tc>
        <w:tc>
          <w:tcPr>
            <w:tcW w:w="7249" w:type="dxa"/>
          </w:tcPr>
          <w:p>
            <w:pPr>
              <w:pStyle w:val="TableParagraph"/>
              <w:spacing w:line="273" w:lineRule="auto" w:before="99"/>
              <w:ind w:left="108" w:right="9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tc>
      </w:tr>
      <w:tr>
        <w:trPr>
          <w:trHeight w:val="406"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33"/>
              <w:ind w:left="108"/>
              <w:rPr>
                <w:b/>
                <w:sz w:val="21"/>
              </w:rPr>
            </w:pPr>
            <w:r>
              <w:rPr>
                <w:b/>
                <w:w w:val="95"/>
                <w:sz w:val="21"/>
              </w:rPr>
              <w:t>下列疾病不在保障范围内：</w:t>
            </w:r>
          </w:p>
        </w:tc>
      </w:tr>
      <w:tr>
        <w:trPr>
          <w:trHeight w:val="406"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33"/>
              <w:ind w:left="108"/>
              <w:rPr>
                <w:b/>
                <w:sz w:val="21"/>
              </w:rPr>
            </w:pPr>
            <w:r>
              <w:rPr>
                <w:b/>
                <w:w w:val="95"/>
                <w:sz w:val="21"/>
              </w:rPr>
              <w:t>（1）原位癌；</w:t>
            </w:r>
          </w:p>
        </w:tc>
      </w:tr>
      <w:tr>
        <w:trPr>
          <w:trHeight w:val="405"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33"/>
              <w:ind w:left="108"/>
              <w:rPr>
                <w:b/>
                <w:sz w:val="21"/>
              </w:rPr>
            </w:pPr>
            <w:r>
              <w:rPr>
                <w:b/>
                <w:sz w:val="21"/>
              </w:rPr>
              <w:t>（2）相当于 Binet 分期方案 A 期程度的慢性淋巴细胞白血病；</w:t>
            </w:r>
          </w:p>
        </w:tc>
      </w:tr>
      <w:tr>
        <w:trPr>
          <w:trHeight w:val="406"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33"/>
              <w:ind w:left="108"/>
              <w:rPr>
                <w:b/>
                <w:sz w:val="21"/>
              </w:rPr>
            </w:pPr>
            <w:r>
              <w:rPr>
                <w:b/>
                <w:sz w:val="21"/>
              </w:rPr>
              <w:t>（3）相当于 Ann Arbor 分期方案 I 期程度的何杰金氏病；</w:t>
            </w:r>
          </w:p>
        </w:tc>
      </w:tr>
      <w:tr>
        <w:trPr>
          <w:trHeight w:val="406"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33"/>
              <w:ind w:left="108"/>
              <w:rPr>
                <w:b/>
                <w:sz w:val="21"/>
              </w:rPr>
            </w:pPr>
            <w:r>
              <w:rPr>
                <w:b/>
                <w:w w:val="95"/>
                <w:sz w:val="21"/>
              </w:rPr>
              <w:t>（4）皮肤癌（不包括恶性黑色素瘤及已发生转移的皮肤癌）；</w:t>
            </w:r>
          </w:p>
        </w:tc>
      </w:tr>
      <w:tr>
        <w:trPr>
          <w:trHeight w:val="413"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33"/>
              <w:ind w:left="108"/>
              <w:rPr>
                <w:b/>
                <w:sz w:val="21"/>
              </w:rPr>
            </w:pPr>
            <w:r>
              <w:rPr>
                <w:b/>
                <w:w w:val="99"/>
                <w:sz w:val="21"/>
              </w:rPr>
              <w:t>（</w:t>
            </w:r>
            <w:r>
              <w:rPr>
                <w:b/>
                <w:w w:val="99"/>
                <w:sz w:val="21"/>
              </w:rPr>
              <w:t>5</w:t>
            </w:r>
            <w:r>
              <w:rPr>
                <w:b/>
                <w:spacing w:val="0"/>
                <w:w w:val="99"/>
                <w:sz w:val="21"/>
              </w:rPr>
              <w:t>）</w:t>
            </w:r>
            <w:r>
              <w:rPr>
                <w:b/>
                <w:spacing w:val="0"/>
                <w:w w:val="99"/>
                <w:sz w:val="21"/>
              </w:rPr>
              <w:t>TN</w:t>
            </w:r>
            <w:r>
              <w:rPr>
                <w:b/>
                <w:w w:val="99"/>
                <w:sz w:val="21"/>
              </w:rPr>
              <w:t>M</w:t>
            </w:r>
            <w:r>
              <w:rPr>
                <w:b/>
                <w:spacing w:val="-55"/>
                <w:sz w:val="21"/>
              </w:rPr>
              <w:t> </w:t>
            </w:r>
            <w:r>
              <w:rPr>
                <w:b/>
                <w:w w:val="99"/>
                <w:sz w:val="21"/>
              </w:rPr>
              <w:t>分期为</w:t>
            </w:r>
            <w:r>
              <w:rPr>
                <w:b/>
                <w:spacing w:val="-52"/>
                <w:sz w:val="21"/>
              </w:rPr>
              <w:t> </w:t>
            </w:r>
            <w:r>
              <w:rPr>
                <w:b/>
                <w:spacing w:val="0"/>
                <w:w w:val="99"/>
                <w:sz w:val="21"/>
              </w:rPr>
              <w:t>T</w:t>
            </w:r>
            <w:r>
              <w:rPr>
                <w:b/>
                <w:w w:val="103"/>
                <w:position w:val="-2"/>
                <w:sz w:val="10"/>
              </w:rPr>
              <w:t>1</w:t>
            </w:r>
            <w:r>
              <w:rPr>
                <w:b/>
                <w:spacing w:val="-1"/>
                <w:w w:val="99"/>
                <w:sz w:val="21"/>
              </w:rPr>
              <w:t>N</w:t>
            </w:r>
            <w:r>
              <w:rPr>
                <w:b/>
                <w:w w:val="103"/>
                <w:position w:val="-2"/>
                <w:sz w:val="10"/>
              </w:rPr>
              <w:t>0</w:t>
            </w:r>
            <w:r>
              <w:rPr>
                <w:b/>
                <w:spacing w:val="0"/>
                <w:w w:val="99"/>
                <w:sz w:val="21"/>
              </w:rPr>
              <w:t>M</w:t>
            </w:r>
            <w:r>
              <w:rPr>
                <w:b/>
                <w:w w:val="103"/>
                <w:position w:val="-2"/>
                <w:sz w:val="10"/>
              </w:rPr>
              <w:t>0</w:t>
            </w:r>
            <w:r>
              <w:rPr>
                <w:b/>
                <w:spacing w:val="-37"/>
                <w:position w:val="-2"/>
                <w:sz w:val="10"/>
              </w:rPr>
              <w:t> </w:t>
            </w:r>
            <w:r>
              <w:rPr>
                <w:b/>
                <w:w w:val="99"/>
                <w:sz w:val="21"/>
              </w:rPr>
              <w:t>期或更轻分期的前列腺癌；</w:t>
            </w:r>
          </w:p>
        </w:tc>
      </w:tr>
      <w:tr>
        <w:trPr>
          <w:trHeight w:val="464"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before="25"/>
              <w:ind w:left="108"/>
              <w:rPr>
                <w:b/>
                <w:sz w:val="21"/>
              </w:rPr>
            </w:pPr>
            <w:r>
              <w:rPr>
                <w:b/>
                <w:w w:val="95"/>
                <w:sz w:val="21"/>
              </w:rPr>
              <w:t>（6）感染艾滋病病毒或患艾滋病期间所患恶性肿瘤。</w:t>
            </w:r>
          </w:p>
        </w:tc>
      </w:tr>
      <w:tr>
        <w:trPr>
          <w:trHeight w:val="784" w:hRule="atLeast"/>
        </w:trPr>
        <w:tc>
          <w:tcPr>
            <w:tcW w:w="740" w:type="dxa"/>
          </w:tcPr>
          <w:p>
            <w:pPr>
              <w:pStyle w:val="TableParagraph"/>
              <w:ind w:left="0"/>
              <w:rPr>
                <w:rFonts w:ascii="Times New Roman"/>
                <w:sz w:val="20"/>
              </w:rPr>
            </w:pPr>
          </w:p>
        </w:tc>
        <w:tc>
          <w:tcPr>
            <w:tcW w:w="1990" w:type="dxa"/>
          </w:tcPr>
          <w:p>
            <w:pPr>
              <w:pStyle w:val="TableParagraph"/>
              <w:spacing w:line="273" w:lineRule="auto" w:before="99"/>
              <w:ind w:left="208" w:right="309"/>
              <w:rPr>
                <w:sz w:val="21"/>
              </w:rPr>
            </w:pPr>
            <w:r>
              <w:rPr>
                <w:sz w:val="21"/>
              </w:rPr>
              <w:t>2.重大器官移植术或造血干细胞</w:t>
            </w:r>
          </w:p>
        </w:tc>
        <w:tc>
          <w:tcPr>
            <w:tcW w:w="7249" w:type="dxa"/>
          </w:tcPr>
          <w:p>
            <w:pPr>
              <w:pStyle w:val="TableParagraph"/>
              <w:spacing w:line="273" w:lineRule="auto" w:before="99"/>
              <w:ind w:left="108" w:right="97"/>
              <w:rPr>
                <w:sz w:val="21"/>
              </w:rPr>
            </w:pPr>
            <w:r>
              <w:rPr>
                <w:sz w:val="21"/>
              </w:rPr>
              <w:t>重大器官移植术，指因相应器官功能衰竭，已经实施了肾脏、肝脏、心脏或肺脏的异体移植手术。</w:t>
            </w:r>
          </w:p>
        </w:tc>
      </w:tr>
      <w:tr>
        <w:trPr>
          <w:trHeight w:val="1096" w:hRule="atLeast"/>
        </w:trPr>
        <w:tc>
          <w:tcPr>
            <w:tcW w:w="740" w:type="dxa"/>
          </w:tcPr>
          <w:p>
            <w:pPr>
              <w:pStyle w:val="TableParagraph"/>
              <w:ind w:left="0"/>
              <w:rPr>
                <w:rFonts w:ascii="Times New Roman"/>
                <w:sz w:val="20"/>
              </w:rPr>
            </w:pPr>
          </w:p>
        </w:tc>
        <w:tc>
          <w:tcPr>
            <w:tcW w:w="1990" w:type="dxa"/>
          </w:tcPr>
          <w:p>
            <w:pPr>
              <w:pStyle w:val="TableParagraph"/>
              <w:spacing w:line="214" w:lineRule="exact"/>
              <w:ind w:left="208"/>
              <w:rPr>
                <w:b/>
                <w:sz w:val="21"/>
              </w:rPr>
            </w:pPr>
            <w:r>
              <w:rPr>
                <w:w w:val="95"/>
                <w:sz w:val="21"/>
              </w:rPr>
              <w:t>移植术</w:t>
            </w:r>
            <w:r>
              <w:rPr>
                <w:b/>
                <w:w w:val="95"/>
                <w:sz w:val="21"/>
              </w:rPr>
              <w:t>★</w:t>
            </w:r>
          </w:p>
        </w:tc>
        <w:tc>
          <w:tcPr>
            <w:tcW w:w="7249" w:type="dxa"/>
          </w:tcPr>
          <w:p>
            <w:pPr>
              <w:pStyle w:val="TableParagraph"/>
              <w:spacing w:line="273" w:lineRule="auto" w:before="33"/>
              <w:ind w:left="108" w:right="9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62" w:hRule="atLeast"/>
        </w:trPr>
        <w:tc>
          <w:tcPr>
            <w:tcW w:w="740" w:type="dxa"/>
          </w:tcPr>
          <w:p>
            <w:pPr>
              <w:pStyle w:val="TableParagraph"/>
              <w:ind w:left="0"/>
              <w:rPr>
                <w:rFonts w:ascii="Times New Roman"/>
                <w:sz w:val="20"/>
              </w:rPr>
            </w:pPr>
          </w:p>
        </w:tc>
        <w:tc>
          <w:tcPr>
            <w:tcW w:w="1990" w:type="dxa"/>
          </w:tcPr>
          <w:p>
            <w:pPr>
              <w:pStyle w:val="TableParagraph"/>
              <w:spacing w:line="273" w:lineRule="auto" w:before="99"/>
              <w:ind w:left="208" w:right="106"/>
              <w:rPr>
                <w:b/>
                <w:sz w:val="21"/>
              </w:rPr>
            </w:pPr>
            <w:r>
              <w:rPr>
                <w:sz w:val="21"/>
              </w:rPr>
              <w:t>3.</w:t>
            </w:r>
            <w:r>
              <w:rPr>
                <w:spacing w:val="-2"/>
                <w:sz w:val="21"/>
              </w:rPr>
              <w:t>终末期肾病</w:t>
            </w:r>
            <w:r>
              <w:rPr>
                <w:sz w:val="21"/>
              </w:rPr>
              <w:t>（或称慢性肾功能衰 </w:t>
            </w:r>
            <w:r>
              <w:rPr>
                <w:w w:val="95"/>
                <w:sz w:val="21"/>
              </w:rPr>
              <w:t>竭尿毒症期）</w:t>
            </w:r>
            <w:r>
              <w:rPr>
                <w:b/>
                <w:w w:val="95"/>
                <w:sz w:val="21"/>
              </w:rPr>
              <w:t>★</w:t>
            </w:r>
          </w:p>
        </w:tc>
        <w:tc>
          <w:tcPr>
            <w:tcW w:w="7249" w:type="dxa"/>
          </w:tcPr>
          <w:p>
            <w:pPr>
              <w:pStyle w:val="TableParagraph"/>
              <w:spacing w:line="273" w:lineRule="auto" w:before="99"/>
              <w:ind w:left="108" w:right="89"/>
              <w:rPr>
                <w:sz w:val="21"/>
              </w:rPr>
            </w:pPr>
            <w:r>
              <w:rPr>
                <w:sz w:val="21"/>
              </w:rPr>
              <w:t>指双肾功能慢性不可逆性衰竭，达到尿毒症期，经诊断后已经进行了至少 90 天的规律性透析治疗或实施了肾脏移植手术。</w:t>
            </w:r>
          </w:p>
        </w:tc>
      </w:tr>
      <w:tr>
        <w:trPr>
          <w:trHeight w:val="784" w:hRule="atLeast"/>
        </w:trPr>
        <w:tc>
          <w:tcPr>
            <w:tcW w:w="740" w:type="dxa"/>
          </w:tcPr>
          <w:p>
            <w:pPr>
              <w:pStyle w:val="TableParagraph"/>
              <w:ind w:left="0"/>
              <w:rPr>
                <w:rFonts w:ascii="Times New Roman"/>
                <w:sz w:val="20"/>
              </w:rPr>
            </w:pPr>
          </w:p>
        </w:tc>
        <w:tc>
          <w:tcPr>
            <w:tcW w:w="1990" w:type="dxa"/>
          </w:tcPr>
          <w:p>
            <w:pPr>
              <w:pStyle w:val="TableParagraph"/>
              <w:spacing w:line="273" w:lineRule="auto" w:before="99"/>
              <w:ind w:left="208" w:right="309"/>
              <w:rPr>
                <w:b/>
                <w:sz w:val="21"/>
              </w:rPr>
            </w:pPr>
            <w:r>
              <w:rPr>
                <w:sz w:val="21"/>
              </w:rPr>
              <w:t>4.急性或亚急性</w:t>
            </w:r>
            <w:r>
              <w:rPr>
                <w:w w:val="95"/>
                <w:sz w:val="21"/>
              </w:rPr>
              <w:t>重症肝炎</w:t>
            </w:r>
            <w:r>
              <w:rPr>
                <w:b/>
                <w:w w:val="95"/>
                <w:sz w:val="21"/>
              </w:rPr>
              <w:t>★</w:t>
            </w:r>
          </w:p>
        </w:tc>
        <w:tc>
          <w:tcPr>
            <w:tcW w:w="7249" w:type="dxa"/>
          </w:tcPr>
          <w:p>
            <w:pPr>
              <w:pStyle w:val="TableParagraph"/>
              <w:spacing w:line="273" w:lineRule="auto" w:before="99"/>
              <w:ind w:left="108" w:right="97"/>
              <w:rPr>
                <w:sz w:val="21"/>
              </w:rPr>
            </w:pPr>
            <w:r>
              <w:rPr>
                <w:sz w:val="21"/>
              </w:rPr>
              <w:t>指因肝炎病毒感染引起肝脏组织弥漫性坏死，导致急性肝功能衰竭，且经血清学或病毒学检查证实，并须满足下列全部条件：</w:t>
            </w:r>
          </w:p>
        </w:tc>
      </w:tr>
      <w:tr>
        <w:trPr>
          <w:trHeight w:val="307" w:hRule="atLeast"/>
        </w:trPr>
        <w:tc>
          <w:tcPr>
            <w:tcW w:w="740"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249" w:type="dxa"/>
          </w:tcPr>
          <w:p>
            <w:pPr>
              <w:pStyle w:val="TableParagraph"/>
              <w:spacing w:line="255" w:lineRule="exact" w:before="33"/>
              <w:ind w:left="108"/>
              <w:rPr>
                <w:sz w:val="21"/>
              </w:rPr>
            </w:pPr>
            <w:r>
              <w:rPr>
                <w:sz w:val="21"/>
              </w:rPr>
              <w:t>（1）重度黄疸或黄疸迅速加重；</w:t>
            </w:r>
          </w:p>
        </w:tc>
      </w:tr>
    </w:tbl>
    <w:p>
      <w:pPr>
        <w:spacing w:after="0" w:line="255" w:lineRule="exact"/>
        <w:rPr>
          <w:sz w:val="21"/>
        </w:rPr>
        <w:sectPr>
          <w:pgSz w:w="11910" w:h="16840"/>
          <w:pgMar w:header="608" w:footer="408" w:top="800" w:bottom="600" w:left="920" w:right="800"/>
        </w:sectPr>
      </w:pPr>
    </w:p>
    <w:p>
      <w:pPr>
        <w:pStyle w:val="BodyText"/>
        <w:spacing w:before="1"/>
      </w:pPr>
    </w:p>
    <w:p>
      <w:pPr>
        <w:pStyle w:val="BodyText"/>
        <w:ind w:left="2938"/>
      </w:pPr>
      <w:r>
        <w:rPr/>
        <w:t>（2）肝性脑病；</w:t>
      </w:r>
    </w:p>
    <w:p>
      <w:pPr>
        <w:pStyle w:val="BodyText"/>
        <w:spacing w:before="130"/>
        <w:ind w:left="2938"/>
      </w:pPr>
      <w:r>
        <w:rPr/>
        <w:t>（3）B 超或其它影像学检查显示肝脏体积急速萎缩；</w:t>
      </w:r>
    </w:p>
    <w:p>
      <w:pPr>
        <w:pStyle w:val="BodyText"/>
        <w:spacing w:before="130"/>
        <w:ind w:left="2938"/>
      </w:pPr>
      <w:r>
        <w:rPr/>
        <w:t>（4）肝功能指标进行性恶化。</w:t>
      </w:r>
    </w:p>
    <w:p>
      <w:pPr>
        <w:pStyle w:val="BodyText"/>
        <w:spacing w:before="5"/>
        <w:rPr>
          <w:sz w:val="17"/>
        </w:rPr>
      </w:pPr>
    </w:p>
    <w:p>
      <w:pPr>
        <w:spacing w:after="0"/>
        <w:rPr>
          <w:sz w:val="17"/>
        </w:rPr>
        <w:sectPr>
          <w:pgSz w:w="11910" w:h="16840"/>
          <w:pgMar w:header="608" w:footer="408" w:top="800" w:bottom="600" w:left="920" w:right="800"/>
        </w:sectPr>
      </w:pPr>
    </w:p>
    <w:p>
      <w:pPr>
        <w:pStyle w:val="BodyText"/>
        <w:spacing w:line="273" w:lineRule="auto" w:before="36"/>
        <w:ind w:left="1048"/>
        <w:rPr>
          <w:b/>
        </w:rPr>
      </w:pPr>
      <w:r>
        <w:rPr/>
        <w:t>5.慢性肝功能衰</w:t>
      </w:r>
      <w:r>
        <w:rPr>
          <w:w w:val="95"/>
        </w:rPr>
        <w:t>竭失代偿期</w:t>
      </w:r>
      <w:r>
        <w:rPr>
          <w:b/>
          <w:w w:val="95"/>
        </w:rPr>
        <w:t>★</w:t>
      </w:r>
    </w:p>
    <w:p>
      <w:pPr>
        <w:pStyle w:val="BodyText"/>
        <w:spacing w:before="36"/>
        <w:ind w:left="379"/>
      </w:pPr>
      <w:r>
        <w:rPr/>
        <w:br w:type="column"/>
      </w:r>
      <w:r>
        <w:rPr/>
        <w:t>指因慢性肝脏疾病导致肝功能衰竭。须满足下列全部条件：</w:t>
      </w:r>
    </w:p>
    <w:p>
      <w:pPr>
        <w:pStyle w:val="BodyText"/>
        <w:spacing w:before="132"/>
        <w:ind w:left="379"/>
      </w:pPr>
      <w:r>
        <w:rPr/>
        <w:t>（1）持续性黄疸；</w:t>
      </w:r>
    </w:p>
    <w:p>
      <w:pPr>
        <w:pStyle w:val="BodyText"/>
        <w:spacing w:before="130"/>
        <w:ind w:left="379"/>
      </w:pPr>
      <w:r>
        <w:rPr/>
        <w:t>（2）腹水；</w:t>
      </w:r>
    </w:p>
    <w:p>
      <w:pPr>
        <w:pStyle w:val="BodyText"/>
        <w:spacing w:before="130"/>
        <w:ind w:left="379"/>
      </w:pPr>
      <w:r>
        <w:rPr/>
        <w:t>（3）肝性脑病；</w:t>
      </w:r>
    </w:p>
    <w:p>
      <w:pPr>
        <w:spacing w:line="355" w:lineRule="auto" w:before="132"/>
        <w:ind w:left="379" w:right="2099" w:firstLine="0"/>
        <w:jc w:val="left"/>
        <w:rPr>
          <w:b/>
          <w:sz w:val="21"/>
        </w:rPr>
      </w:pPr>
      <w:r>
        <w:rPr>
          <w:sz w:val="21"/>
        </w:rPr>
        <w:t>（4）充血性脾肿大伴脾功能亢进或食管胃底静脉曲张。</w:t>
      </w:r>
      <w:r>
        <w:rPr>
          <w:b/>
          <w:w w:val="95"/>
          <w:sz w:val="21"/>
        </w:rPr>
        <w:t>因酗酒或药物滥用导致的肝功能衰竭不在保障范围内。</w:t>
      </w:r>
    </w:p>
    <w:p>
      <w:pPr>
        <w:spacing w:after="0" w:line="355" w:lineRule="auto"/>
        <w:jc w:val="left"/>
        <w:rPr>
          <w:sz w:val="21"/>
        </w:rPr>
        <w:sectPr>
          <w:type w:val="continuous"/>
          <w:pgSz w:w="11910" w:h="16840"/>
          <w:pgMar w:top="560" w:bottom="280" w:left="920" w:right="800"/>
          <w:cols w:num="2" w:equalWidth="0">
            <w:col w:w="2519" w:space="40"/>
            <w:col w:w="7631"/>
          </w:cols>
        </w:sectPr>
      </w:pPr>
    </w:p>
    <w:p>
      <w:pPr>
        <w:pStyle w:val="BodyText"/>
        <w:spacing w:before="0"/>
        <w:rPr>
          <w:b/>
          <w:sz w:val="17"/>
        </w:rPr>
      </w:pPr>
    </w:p>
    <w:p>
      <w:pPr>
        <w:spacing w:after="0"/>
        <w:rPr>
          <w:sz w:val="17"/>
        </w:rPr>
        <w:sectPr>
          <w:type w:val="continuous"/>
          <w:pgSz w:w="11910" w:h="16840"/>
          <w:pgMar w:top="560" w:bottom="280" w:left="920" w:right="800"/>
        </w:sectPr>
      </w:pPr>
    </w:p>
    <w:p>
      <w:pPr>
        <w:pStyle w:val="BodyText"/>
        <w:spacing w:line="273" w:lineRule="auto"/>
        <w:ind w:left="1048"/>
        <w:rPr>
          <w:b/>
        </w:rPr>
      </w:pPr>
      <w:r>
        <w:rPr/>
        <w:t>6.重型再生障碍</w:t>
      </w:r>
      <w:r>
        <w:rPr>
          <w:w w:val="95"/>
        </w:rPr>
        <w:t>性贫血</w:t>
      </w:r>
      <w:r>
        <w:rPr>
          <w:b/>
          <w:w w:val="95"/>
        </w:rPr>
        <w:t>★</w:t>
      </w:r>
    </w:p>
    <w:p>
      <w:pPr>
        <w:pStyle w:val="BodyText"/>
        <w:spacing w:line="273" w:lineRule="auto"/>
        <w:ind w:left="379" w:right="202"/>
      </w:pPr>
      <w:r>
        <w:rPr/>
        <w:br w:type="column"/>
      </w:r>
      <w:r>
        <w:rPr/>
        <w:t>指因骨髓造血功能慢性持续性衰竭导致的贫血、中性粒细胞减少及血小板减少。须满足下列全部条件：</w:t>
      </w:r>
    </w:p>
    <w:p>
      <w:pPr>
        <w:pStyle w:val="BodyText"/>
        <w:spacing w:before="100"/>
        <w:ind w:left="379"/>
      </w:pPr>
      <w:r>
        <w:rPr/>
        <w:t>（1）骨髓穿刺检查或骨髓活检结果支持诊断；</w:t>
      </w:r>
    </w:p>
    <w:p>
      <w:pPr>
        <w:pStyle w:val="BodyText"/>
        <w:spacing w:before="130"/>
        <w:ind w:left="379"/>
      </w:pPr>
      <w:r>
        <w:rPr/>
        <w:t>（2）外周血象须具备以下三项条件：</w:t>
      </w:r>
    </w:p>
    <w:p>
      <w:pPr>
        <w:pStyle w:val="BodyText"/>
        <w:spacing w:before="132"/>
        <w:ind w:left="799"/>
      </w:pPr>
      <w:r>
        <w:rPr>
          <w:spacing w:val="-1"/>
        </w:rPr>
        <w:t>① 中性粒细胞绝对值</w:t>
      </w:r>
      <w:r>
        <w:rPr/>
        <w:t>≤0.5×1</w:t>
      </w:r>
      <w:r>
        <w:rPr>
          <w:spacing w:val="-1"/>
        </w:rPr>
        <w:t>0</w:t>
      </w:r>
      <w:r>
        <w:rPr>
          <w:spacing w:val="-1"/>
          <w:w w:val="103"/>
          <w:position w:val="11"/>
          <w:sz w:val="10"/>
        </w:rPr>
        <w:t>9</w:t>
      </w:r>
      <w:r>
        <w:rPr>
          <w:spacing w:val="0"/>
        </w:rPr>
        <w:t>/</w:t>
      </w:r>
      <w:r>
        <w:rPr/>
        <w:t>L</w:t>
      </w:r>
      <w:r>
        <w:rPr>
          <w:spacing w:val="-1"/>
        </w:rPr>
        <w:t> ；</w:t>
      </w:r>
    </w:p>
    <w:p>
      <w:pPr>
        <w:pStyle w:val="BodyText"/>
        <w:spacing w:before="37"/>
        <w:ind w:left="800"/>
      </w:pPr>
      <w:r>
        <w:rPr/>
        <w:t>② 网织红细胞＜1%；</w:t>
      </w:r>
    </w:p>
    <w:p>
      <w:pPr>
        <w:pStyle w:val="BodyText"/>
        <w:spacing w:before="36"/>
        <w:ind w:left="800"/>
      </w:pPr>
      <w:r>
        <w:rPr>
          <w:spacing w:val="-1"/>
        </w:rPr>
        <w:t>③ 血小板绝对值</w:t>
      </w:r>
      <w:r>
        <w:rPr/>
        <w:t>≤20×1</w:t>
      </w:r>
      <w:r>
        <w:rPr>
          <w:spacing w:val="-2"/>
        </w:rPr>
        <w:t>0</w:t>
      </w:r>
      <w:r>
        <w:rPr>
          <w:w w:val="103"/>
          <w:position w:val="11"/>
          <w:sz w:val="10"/>
        </w:rPr>
        <w:t>9</w:t>
      </w:r>
      <w:r>
        <w:rPr/>
        <w:t>/</w:t>
      </w:r>
      <w:r>
        <w:rPr>
          <w:spacing w:val="-1"/>
        </w:rPr>
        <w:t>L</w:t>
      </w:r>
      <w:r>
        <w:rPr/>
        <w:t>。</w:t>
      </w:r>
    </w:p>
    <w:p>
      <w:pPr>
        <w:spacing w:after="0"/>
        <w:sectPr>
          <w:type w:val="continuous"/>
          <w:pgSz w:w="11910" w:h="16840"/>
          <w:pgMar w:top="560" w:bottom="280" w:left="920" w:right="800"/>
          <w:cols w:num="2" w:equalWidth="0">
            <w:col w:w="2519" w:space="40"/>
            <w:col w:w="7631"/>
          </w:cols>
        </w:sectPr>
      </w:pP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ind w:left="1047"/>
        <w:jc w:val="both"/>
      </w:pPr>
      <w:r>
        <w:rPr/>
        <w:t>7.系统性红斑狼疮-III</w:t>
      </w:r>
      <w:r>
        <w:rPr>
          <w:spacing w:val="-16"/>
        </w:rPr>
        <w:t> 型或 </w:t>
      </w:r>
      <w:r>
        <w:rPr/>
        <w:t>III 型以上狼疮性肾炎</w:t>
      </w:r>
    </w:p>
    <w:p>
      <w:pPr>
        <w:pStyle w:val="BodyText"/>
        <w:spacing w:line="273" w:lineRule="auto"/>
        <w:ind w:left="328" w:right="202"/>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 III、IV、V、VI 型。诊断须由有资格的风湿和免疫病专科医生确认。</w:t>
      </w:r>
    </w:p>
    <w:p>
      <w:pPr>
        <w:pStyle w:val="BodyText"/>
        <w:spacing w:before="100"/>
        <w:ind w:left="328"/>
        <w:jc w:val="both"/>
      </w:pPr>
      <w:r>
        <w:rPr/>
        <w:t>世界卫生组织（WHO）对狼疮性肾炎的分类标准：</w:t>
      </w:r>
    </w:p>
    <w:p>
      <w:pPr>
        <w:pStyle w:val="ListParagraph"/>
        <w:numPr>
          <w:ilvl w:val="0"/>
          <w:numId w:val="19"/>
        </w:numPr>
        <w:tabs>
          <w:tab w:pos="539" w:val="left" w:leader="none"/>
        </w:tabs>
        <w:spacing w:line="240" w:lineRule="auto" w:before="130" w:after="0"/>
        <w:ind w:left="538" w:right="0" w:hanging="210"/>
        <w:jc w:val="both"/>
        <w:rPr>
          <w:sz w:val="21"/>
        </w:rPr>
      </w:pPr>
      <w:r>
        <w:rPr>
          <w:sz w:val="21"/>
        </w:rPr>
        <w:t>型–正常肾小球型；</w:t>
      </w:r>
    </w:p>
    <w:p>
      <w:pPr>
        <w:pStyle w:val="ListParagraph"/>
        <w:numPr>
          <w:ilvl w:val="0"/>
          <w:numId w:val="19"/>
        </w:numPr>
        <w:tabs>
          <w:tab w:pos="643" w:val="left" w:leader="none"/>
        </w:tabs>
        <w:spacing w:line="240" w:lineRule="auto" w:before="132" w:after="0"/>
        <w:ind w:left="642" w:right="0" w:hanging="314"/>
        <w:jc w:val="both"/>
        <w:rPr>
          <w:sz w:val="21"/>
        </w:rPr>
      </w:pPr>
      <w:r>
        <w:rPr>
          <w:sz w:val="21"/>
        </w:rPr>
        <w:t>型–系膜增生型；</w:t>
      </w:r>
    </w:p>
    <w:p>
      <w:pPr>
        <w:pStyle w:val="ListParagraph"/>
        <w:numPr>
          <w:ilvl w:val="0"/>
          <w:numId w:val="19"/>
        </w:numPr>
        <w:tabs>
          <w:tab w:pos="749" w:val="left" w:leader="none"/>
        </w:tabs>
        <w:spacing w:line="240" w:lineRule="auto" w:before="131" w:after="0"/>
        <w:ind w:left="748" w:right="0" w:hanging="420"/>
        <w:jc w:val="both"/>
        <w:rPr>
          <w:sz w:val="21"/>
        </w:rPr>
      </w:pPr>
      <w:r>
        <w:rPr>
          <w:sz w:val="21"/>
        </w:rPr>
        <w:t>型–局灶及节段增生型；</w:t>
      </w:r>
    </w:p>
    <w:p>
      <w:pPr>
        <w:pStyle w:val="ListParagraph"/>
        <w:numPr>
          <w:ilvl w:val="0"/>
          <w:numId w:val="19"/>
        </w:numPr>
        <w:tabs>
          <w:tab w:pos="643" w:val="left" w:leader="none"/>
        </w:tabs>
        <w:spacing w:line="240" w:lineRule="auto" w:before="131" w:after="0"/>
        <w:ind w:left="642" w:right="0" w:hanging="314"/>
        <w:jc w:val="both"/>
        <w:rPr>
          <w:sz w:val="21"/>
        </w:rPr>
      </w:pPr>
      <w:r>
        <w:rPr>
          <w:sz w:val="21"/>
        </w:rPr>
        <w:t>型–弥漫增生型；</w:t>
      </w:r>
    </w:p>
    <w:p>
      <w:pPr>
        <w:pStyle w:val="ListParagraph"/>
        <w:numPr>
          <w:ilvl w:val="0"/>
          <w:numId w:val="19"/>
        </w:numPr>
        <w:tabs>
          <w:tab w:pos="539" w:val="left" w:leader="none"/>
        </w:tabs>
        <w:spacing w:line="240" w:lineRule="auto" w:before="132" w:after="0"/>
        <w:ind w:left="538" w:right="0" w:hanging="210"/>
        <w:jc w:val="both"/>
        <w:rPr>
          <w:sz w:val="21"/>
        </w:rPr>
      </w:pPr>
      <w:r>
        <w:rPr>
          <w:sz w:val="21"/>
        </w:rPr>
        <w:t>型–膜型；</w:t>
      </w:r>
    </w:p>
    <w:p>
      <w:pPr>
        <w:pStyle w:val="ListParagraph"/>
        <w:numPr>
          <w:ilvl w:val="0"/>
          <w:numId w:val="19"/>
        </w:numPr>
        <w:tabs>
          <w:tab w:pos="643" w:val="left" w:leader="none"/>
        </w:tabs>
        <w:spacing w:line="240" w:lineRule="auto" w:before="130" w:after="0"/>
        <w:ind w:left="642" w:right="0" w:hanging="314"/>
        <w:jc w:val="both"/>
        <w:rPr>
          <w:sz w:val="21"/>
        </w:rPr>
      </w:pPr>
      <w:r>
        <w:rPr>
          <w:sz w:val="21"/>
        </w:rPr>
        <w:t>型–肾小球硬化型。</w:t>
      </w:r>
    </w:p>
    <w:p>
      <w:pPr>
        <w:spacing w:after="0" w:line="240" w:lineRule="auto"/>
        <w:jc w:val="both"/>
        <w:rPr>
          <w:sz w:val="21"/>
        </w:rPr>
        <w:sectPr>
          <w:type w:val="continuous"/>
          <w:pgSz w:w="11910" w:h="16840"/>
          <w:pgMar w:top="560" w:bottom="280" w:left="920" w:right="800"/>
          <w:cols w:num="2" w:equalWidth="0">
            <w:col w:w="2570" w:space="40"/>
            <w:col w:w="7580"/>
          </w:cols>
        </w:sectPr>
      </w:pPr>
    </w:p>
    <w:p>
      <w:pPr>
        <w:pStyle w:val="BodyText"/>
        <w:spacing w:before="8"/>
        <w:rPr>
          <w:sz w:val="24"/>
        </w:rPr>
      </w:pPr>
    </w:p>
    <w:p>
      <w:pPr>
        <w:pStyle w:val="BodyText"/>
        <w:tabs>
          <w:tab w:pos="2937" w:val="left" w:leader="none"/>
        </w:tabs>
        <w:spacing w:line="273" w:lineRule="auto" w:before="36"/>
        <w:ind w:left="2937" w:right="106" w:hanging="1890"/>
      </w:pPr>
      <w:r>
        <w:rPr/>
        <w:t>8.系统性硬皮病</w:t>
        <w:tab/>
        <w:t>指一种</w:t>
      </w:r>
      <w:r>
        <w:rPr>
          <w:spacing w:val="2"/>
        </w:rPr>
        <w:t>以</w:t>
      </w:r>
      <w:r>
        <w:rPr/>
        <w:t>局</w:t>
      </w:r>
      <w:r>
        <w:rPr>
          <w:spacing w:val="2"/>
        </w:rPr>
        <w:t>限</w:t>
      </w:r>
      <w:r>
        <w:rPr/>
        <w:t>性或弥漫</w:t>
      </w:r>
      <w:r>
        <w:rPr>
          <w:spacing w:val="2"/>
        </w:rPr>
        <w:t>性</w:t>
      </w:r>
      <w:r>
        <w:rPr/>
        <w:t>皮</w:t>
      </w:r>
      <w:r>
        <w:rPr>
          <w:spacing w:val="2"/>
        </w:rPr>
        <w:t>肤</w:t>
      </w:r>
      <w:r>
        <w:rPr/>
        <w:t>增厚和皮肤、</w:t>
      </w:r>
      <w:r>
        <w:rPr>
          <w:spacing w:val="2"/>
        </w:rPr>
        <w:t>血</w:t>
      </w:r>
      <w:r>
        <w:rPr/>
        <w:t>管</w:t>
      </w:r>
      <w:r>
        <w:rPr>
          <w:spacing w:val="2"/>
        </w:rPr>
        <w:t>、</w:t>
      </w:r>
      <w:r>
        <w:rPr/>
        <w:t>内脏器官异常</w:t>
      </w:r>
      <w:r>
        <w:rPr>
          <w:spacing w:val="2"/>
        </w:rPr>
        <w:t>纤</w:t>
      </w:r>
      <w:r>
        <w:rPr/>
        <w:t>维</w:t>
      </w:r>
      <w:r>
        <w:rPr>
          <w:spacing w:val="2"/>
        </w:rPr>
        <w:t>化</w:t>
      </w:r>
      <w:r>
        <w:rPr/>
        <w:t>为特 </w:t>
      </w:r>
      <w:r>
        <w:rPr>
          <w:spacing w:val="-1"/>
        </w:rPr>
        <w:t>征的结缔</w:t>
      </w:r>
      <w:r>
        <w:rPr/>
        <w:t>组织病。本病须经专科医师明确诊断，并须满足下列至少一项条件：</w:t>
      </w:r>
    </w:p>
    <w:p>
      <w:pPr>
        <w:pStyle w:val="BodyText"/>
        <w:spacing w:before="101"/>
        <w:ind w:left="2937"/>
      </w:pPr>
      <w:r>
        <w:rPr/>
        <w:t>（1）肺脏：肺部病变进而发展为肺间质纤维化和肺动脉高压；</w:t>
      </w:r>
    </w:p>
    <w:p>
      <w:pPr>
        <w:pStyle w:val="BodyText"/>
        <w:spacing w:before="130"/>
        <w:ind w:left="2937"/>
      </w:pPr>
      <w:r>
        <w:rPr/>
        <w:t>（2）心脏：心功能受损达到美国纽约心脏病学会心功能状态分级 IV 级；</w:t>
      </w:r>
    </w:p>
    <w:p>
      <w:pPr>
        <w:pStyle w:val="BodyText"/>
        <w:spacing w:before="131"/>
        <w:ind w:left="2937"/>
      </w:pPr>
      <w:r>
        <w:rPr/>
        <w:t>（3）肾脏：肾脏受损导致双肾功能慢性不可逆衰竭，达到尿毒症期。</w:t>
      </w:r>
    </w:p>
    <w:p>
      <w:pPr>
        <w:pStyle w:val="BodyText"/>
        <w:spacing w:before="7"/>
        <w:rPr>
          <w:sz w:val="24"/>
        </w:rPr>
      </w:pPr>
    </w:p>
    <w:p>
      <w:pPr>
        <w:spacing w:after="0"/>
        <w:rPr>
          <w:sz w:val="24"/>
        </w:rPr>
        <w:sectPr>
          <w:type w:val="continuous"/>
          <w:pgSz w:w="11910" w:h="16840"/>
          <w:pgMar w:top="560" w:bottom="280" w:left="920" w:right="800"/>
        </w:sectPr>
      </w:pPr>
    </w:p>
    <w:p>
      <w:pPr>
        <w:pStyle w:val="BodyText"/>
        <w:spacing w:line="273" w:lineRule="auto" w:before="36"/>
        <w:ind w:left="1047"/>
      </w:pPr>
      <w:r>
        <w:rPr/>
        <w:t>9.肝豆状核变性 </w:t>
      </w:r>
      <w:r>
        <w:rPr>
          <w:spacing w:val="-14"/>
        </w:rPr>
        <w:t>(或称 </w:t>
      </w:r>
      <w:r>
        <w:rPr/>
        <w:t>Wilson</w:t>
      </w:r>
      <w:r>
        <w:rPr>
          <w:spacing w:val="-19"/>
        </w:rPr>
        <w:t> 病)</w:t>
      </w:r>
    </w:p>
    <w:p>
      <w:pPr>
        <w:pStyle w:val="BodyText"/>
        <w:spacing w:line="273" w:lineRule="auto" w:before="36"/>
        <w:ind w:left="275" w:right="202"/>
      </w:pPr>
      <w:r>
        <w:rPr/>
        <w:br w:type="column"/>
      </w:r>
      <w:r>
        <w:rPr/>
        <w:t>指一种常染色体隐性遗传的铜代谢缺陷病，以不同程度的肝细胞损害、脑退行性病变和角膜边缘有铜盐沉着环为其临床特征，并须满足下列全部条件：</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（1）典型症状；</w:t>
      </w:r>
    </w:p>
    <w:p>
      <w:pPr>
        <w:pStyle w:val="BodyText"/>
        <w:spacing w:before="130"/>
        <w:ind w:left="2938"/>
      </w:pPr>
      <w:r>
        <w:rPr/>
        <w:t>（2）角膜色素环（K-F 环）；</w:t>
      </w:r>
    </w:p>
    <w:p>
      <w:pPr>
        <w:pStyle w:val="BodyText"/>
        <w:spacing w:before="130"/>
        <w:ind w:left="2938"/>
      </w:pPr>
      <w:r>
        <w:rPr/>
        <w:t>（3）血清铜和血清铜蓝蛋白降低，尿铜增加；</w:t>
      </w:r>
    </w:p>
    <w:p>
      <w:pPr>
        <w:pStyle w:val="BodyText"/>
        <w:spacing w:before="131"/>
        <w:ind w:left="2938"/>
      </w:pPr>
      <w:r>
        <w:rPr/>
        <w:t>（4）经肝脏活检确诊。</w:t>
      </w:r>
    </w:p>
    <w:p>
      <w:pPr>
        <w:pStyle w:val="BodyText"/>
        <w:spacing w:before="8"/>
        <w:rPr>
          <w:sz w:val="24"/>
        </w:rPr>
      </w:pPr>
    </w:p>
    <w:p>
      <w:pPr>
        <w:spacing w:after="0"/>
        <w:rPr>
          <w:sz w:val="24"/>
        </w:rPr>
        <w:sectPr>
          <w:pgSz w:w="11910" w:h="16840"/>
          <w:pgMar w:header="608" w:footer="408" w:top="800" w:bottom="600" w:left="920" w:right="800"/>
        </w:sectPr>
      </w:pPr>
    </w:p>
    <w:p>
      <w:pPr>
        <w:pStyle w:val="BodyText"/>
        <w:spacing w:line="273" w:lineRule="auto"/>
        <w:ind w:left="1048"/>
      </w:pPr>
      <w:r>
        <w:rPr>
          <w:spacing w:val="-1"/>
        </w:rPr>
        <w:t>10.</w:t>
      </w:r>
      <w:r>
        <w:rPr/>
        <w:t>急性脊髓灰质炎</w:t>
      </w:r>
    </w:p>
    <w:p>
      <w:pPr>
        <w:pStyle w:val="BodyText"/>
        <w:spacing w:line="273" w:lineRule="auto"/>
        <w:ind w:left="275" w:right="202"/>
        <w:jc w:val="both"/>
      </w:pPr>
      <w:r>
        <w:rPr/>
        <w:br w:type="column"/>
      </w:r>
      <w:r>
        <w:rPr/>
        <w:t>是指由于急性脊髓灰质炎病毒感染所导致的运动功能障碍或呼吸功能减弱的瘫痪性疾病。诊断必须由本公司认可的神经科专科医生确诊并提供相关的脊髓灰质炎病毒感染的证据（例如：脑脊液检查或血清学抗体检查报告）。</w:t>
      </w:r>
    </w:p>
    <w:p>
      <w:pPr>
        <w:pStyle w:val="Heading2"/>
        <w:spacing w:line="273" w:lineRule="auto"/>
        <w:ind w:left="275" w:right="186"/>
        <w:jc w:val="both"/>
      </w:pPr>
      <w:r>
        <w:rPr/>
        <w:t>未导致肢体瘫痪及其它病因所致的瘫痪，例如格林一巴利综合症(急性感染性</w:t>
      </w:r>
      <w:r>
        <w:rPr>
          <w:w w:val="95"/>
        </w:rPr>
        <w:t>多神经炎)则不在此保障范围以内。</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6"/>
        <w:rPr>
          <w:b/>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11.</w:t>
      </w:r>
      <w:r>
        <w:rPr/>
        <w:t>严重自身免疫性肝炎</w:t>
      </w:r>
    </w:p>
    <w:p>
      <w:pPr>
        <w:pStyle w:val="BodyText"/>
        <w:spacing w:line="273" w:lineRule="auto"/>
        <w:ind w:left="275" w:right="202"/>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101"/>
        <w:ind w:left="275"/>
      </w:pPr>
      <w:r>
        <w:rPr/>
        <w:t>（1）高γ球蛋白血症；</w:t>
      </w:r>
    </w:p>
    <w:p>
      <w:pPr>
        <w:pStyle w:val="BodyText"/>
        <w:spacing w:line="273" w:lineRule="auto" w:before="132"/>
        <w:ind w:left="275" w:right="206"/>
      </w:pPr>
      <w:r>
        <w:rPr>
          <w:spacing w:val="-4"/>
        </w:rPr>
        <w:t>（2）</w:t>
      </w:r>
      <w:r>
        <w:rPr>
          <w:spacing w:val="-5"/>
        </w:rPr>
        <w:t>血液中存在高水平的自身免疫抗体，如 </w:t>
      </w:r>
      <w:r>
        <w:rPr>
          <w:spacing w:val="-4"/>
        </w:rPr>
        <w:t>ANA（</w:t>
      </w:r>
      <w:r>
        <w:rPr/>
        <w:t>抗核抗体</w:t>
      </w:r>
      <w:r>
        <w:rPr>
          <w:spacing w:val="-10"/>
        </w:rPr>
        <w:t>）</w:t>
      </w:r>
      <w:r>
        <w:rPr>
          <w:spacing w:val="-9"/>
        </w:rPr>
        <w:t>、</w:t>
      </w:r>
      <w:r>
        <w:rPr>
          <w:spacing w:val="-4"/>
        </w:rPr>
        <w:t>SMA（</w:t>
      </w:r>
      <w:r>
        <w:rPr/>
        <w:t>抗平滑肌抗体）</w:t>
      </w:r>
      <w:r>
        <w:rPr>
          <w:spacing w:val="-20"/>
        </w:rPr>
        <w:t>、抗 </w:t>
      </w:r>
      <w:r>
        <w:rPr/>
        <w:t>LKM1</w:t>
      </w:r>
      <w:r>
        <w:rPr>
          <w:spacing w:val="-12"/>
        </w:rPr>
        <w:t> 抗体或抗</w:t>
      </w:r>
      <w:r>
        <w:rPr/>
        <w:t>-SLA/LP</w:t>
      </w:r>
      <w:r>
        <w:rPr>
          <w:spacing w:val="-15"/>
        </w:rPr>
        <w:t> 抗体；</w:t>
      </w:r>
    </w:p>
    <w:p>
      <w:pPr>
        <w:pStyle w:val="BodyText"/>
        <w:spacing w:before="101"/>
        <w:ind w:left="275"/>
        <w:jc w:val="both"/>
      </w:pPr>
      <w:r>
        <w:rPr/>
        <w:t>（3）肝脏活检证实免疫性肝炎；</w:t>
      </w:r>
    </w:p>
    <w:p>
      <w:pPr>
        <w:pStyle w:val="BodyText"/>
        <w:spacing w:before="130"/>
        <w:ind w:left="275"/>
        <w:jc w:val="both"/>
      </w:pPr>
      <w:r>
        <w:rPr/>
        <w:t>（4）临床已经出现腹水、食道静脉曲张和脾肿大等肝硬化表现。</w:t>
      </w:r>
    </w:p>
    <w:p>
      <w:pPr>
        <w:spacing w:after="0"/>
        <w:jc w:val="both"/>
        <w:sectPr>
          <w:type w:val="continuous"/>
          <w:pgSz w:w="11910" w:h="16840"/>
          <w:pgMar w:top="56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12.</w:t>
      </w:r>
      <w:r>
        <w:rPr/>
        <w:t>特发性慢性肾上腺皮质功能减退</w:t>
      </w:r>
    </w:p>
    <w:p>
      <w:pPr>
        <w:pStyle w:val="BodyText"/>
        <w:spacing w:line="273" w:lineRule="auto"/>
        <w:ind w:left="275" w:right="202"/>
      </w:pPr>
      <w:r>
        <w:rPr/>
        <w:br w:type="column"/>
      </w:r>
      <w:r>
        <w:rPr/>
        <w:t>指自身免疫性肾上腺炎（既往称：特发性肾上腺皮质萎缩）导致肾上腺萎缩和慢性肾上腺皮质功能减退。必须满足所有以下条件：</w:t>
      </w:r>
    </w:p>
    <w:p>
      <w:pPr>
        <w:pStyle w:val="BodyText"/>
        <w:spacing w:before="101"/>
        <w:ind w:left="275"/>
      </w:pPr>
      <w:r>
        <w:rPr/>
        <w:t>（1）必须由专科医生明确诊断，符合所有以下诊断标准：</w:t>
      </w:r>
    </w:p>
    <w:p>
      <w:pPr>
        <w:pStyle w:val="BodyText"/>
        <w:spacing w:before="130"/>
        <w:ind w:left="275"/>
      </w:pPr>
      <w:r>
        <w:rPr/>
        <w:t>①血浆促肾上腺皮质激素(ACTH)水平测定，&gt;100pg/ml；</w:t>
      </w:r>
    </w:p>
    <w:p>
      <w:pPr>
        <w:pStyle w:val="BodyText"/>
        <w:spacing w:line="273" w:lineRule="auto" w:before="131"/>
        <w:ind w:left="275" w:right="208"/>
      </w:pPr>
      <w:r>
        <w:rPr>
          <w:spacing w:val="-8"/>
        </w:rPr>
        <w:t>②血浆肾素活性、血管紧张素 </w:t>
      </w:r>
      <w:r>
        <w:rPr/>
        <w:t>II</w:t>
      </w:r>
      <w:r>
        <w:rPr>
          <w:spacing w:val="-5"/>
        </w:rPr>
        <w:t> 和醛固酮测定，显示为原发性肾上腺皮质功能减退症；</w:t>
      </w:r>
    </w:p>
    <w:p>
      <w:pPr>
        <w:pStyle w:val="BodyText"/>
        <w:spacing w:before="101"/>
        <w:ind w:left="275"/>
      </w:pPr>
      <w:r>
        <w:rPr/>
        <w:t>③促肾上腺皮质激素(ACTH)刺激试验显示为原发性肾上腺皮质功能减退症。</w:t>
      </w:r>
    </w:p>
    <w:p>
      <w:pPr>
        <w:pStyle w:val="BodyText"/>
        <w:spacing w:before="130"/>
        <w:ind w:left="275"/>
      </w:pPr>
      <w:r>
        <w:rPr/>
        <w:t>（2）已经采用皮质类固醇替代治疗 180 天以上。</w:t>
      </w:r>
    </w:p>
    <w:p>
      <w:pPr>
        <w:pStyle w:val="Heading2"/>
        <w:spacing w:line="273" w:lineRule="auto" w:before="131"/>
        <w:ind w:left="275" w:right="171"/>
      </w:pPr>
      <w:r>
        <w:rPr/>
        <w:t>肾上腺结核、HIV 感染或艾滋病、感染、肿瘤所致的原发性肾上腺皮质功能</w:t>
      </w:r>
      <w:r>
        <w:rPr>
          <w:w w:val="95"/>
        </w:rPr>
        <w:t>减退和继发性肾上腺皮质功能减退不在本保障范围内。</w:t>
      </w:r>
    </w:p>
    <w:p>
      <w:pPr>
        <w:spacing w:after="0" w:line="273" w:lineRule="auto"/>
        <w:sectPr>
          <w:type w:val="continuous"/>
          <w:pgSz w:w="11910" w:h="16840"/>
          <w:pgMar w:top="560" w:bottom="280" w:left="920" w:right="800"/>
          <w:cols w:num="2" w:equalWidth="0">
            <w:col w:w="2623" w:space="40"/>
            <w:col w:w="7527"/>
          </w:cols>
        </w:sectPr>
      </w:pPr>
    </w:p>
    <w:p>
      <w:pPr>
        <w:pStyle w:val="BodyText"/>
        <w:spacing w:before="4"/>
        <w:rPr>
          <w:b/>
          <w:sz w:val="22"/>
        </w:rPr>
      </w:pPr>
    </w:p>
    <w:p>
      <w:pPr>
        <w:pStyle w:val="BodyText"/>
        <w:tabs>
          <w:tab w:pos="2938" w:val="left" w:leader="none"/>
        </w:tabs>
        <w:spacing w:before="36"/>
        <w:ind w:left="1048"/>
      </w:pPr>
      <w:r>
        <w:rPr/>
        <w:t>13.脊髓质囊性病</w:t>
        <w:tab/>
      </w:r>
      <w:r>
        <w:rPr>
          <w:spacing w:val="-1"/>
        </w:rPr>
        <w:t>脊髓质囊性病的诊断必须同时符合下列要求：</w:t>
      </w:r>
    </w:p>
    <w:p>
      <w:pPr>
        <w:pStyle w:val="BodyText"/>
        <w:spacing w:before="132"/>
        <w:ind w:left="2938"/>
      </w:pPr>
      <w:r>
        <w:rPr/>
        <w:t>（1）同时存在脊髓质囊肿、肾小管萎缩和间质纤维化的病理改变；</w:t>
      </w:r>
    </w:p>
    <w:p>
      <w:pPr>
        <w:pStyle w:val="BodyText"/>
        <w:spacing w:before="130"/>
        <w:ind w:left="2938"/>
      </w:pPr>
      <w:r>
        <w:rPr/>
        <w:t>（2）贫血、多尿及肾功能衰竭等临床表现；</w:t>
      </w:r>
    </w:p>
    <w:p>
      <w:pPr>
        <w:pStyle w:val="BodyText"/>
        <w:spacing w:before="130"/>
        <w:ind w:left="2938"/>
      </w:pPr>
      <w:r>
        <w:rPr/>
        <w:t>（3）诊断须由肾组织活检确定。</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8"/>
      </w:pPr>
      <w:r>
        <w:rPr/>
        <w:t>14.胰岛素依赖型</w:t>
      </w:r>
      <w:r>
        <w:rPr>
          <w:spacing w:val="-3"/>
        </w:rPr>
        <w:t>糖尿病</w:t>
      </w:r>
      <w:r>
        <w:rPr/>
        <w:t>（</w:t>
      </w:r>
      <w:r>
        <w:rPr>
          <w:spacing w:val="-1"/>
        </w:rPr>
        <w:t>糖尿病 </w:t>
      </w:r>
      <w:r>
        <w:rPr/>
        <w:t>I型）</w:t>
      </w:r>
    </w:p>
    <w:p>
      <w:pPr>
        <w:pStyle w:val="BodyText"/>
        <w:spacing w:line="273" w:lineRule="auto"/>
        <w:ind w:left="176" w:right="106"/>
      </w:pPr>
      <w:r>
        <w:rPr/>
        <w:br w:type="column"/>
      </w:r>
      <w:r>
        <w:rPr/>
        <w:t>指因严重的胰岛素缺乏导致的一组糖、脂肪、蛋白质代谢异常综合症，并且 </w:t>
      </w:r>
      <w:r>
        <w:rPr>
          <w:spacing w:val="-1"/>
        </w:rPr>
        <w:t>须依赖外源性胰岛素进行机体的葡萄糖代谢和维持生命。须经血胰岛素测定、血C</w:t>
      </w:r>
      <w:r>
        <w:rPr/>
        <w:t> 肽测定或尿C 肽测定结果证实，并已经接受了持续的胰岛素治疗180 天以上。</w:t>
      </w:r>
    </w:p>
    <w:p>
      <w:pPr>
        <w:spacing w:after="0" w:line="273" w:lineRule="auto"/>
        <w:sectPr>
          <w:type w:val="continuous"/>
          <w:pgSz w:w="11910" w:h="16840"/>
          <w:pgMar w:top="560" w:bottom="280" w:left="920" w:right="800"/>
          <w:cols w:num="2" w:equalWidth="0">
            <w:col w:w="2722" w:space="40"/>
            <w:col w:w="7428"/>
          </w:cols>
        </w:sectPr>
      </w:pPr>
    </w:p>
    <w:p>
      <w:pPr>
        <w:pStyle w:val="BodyText"/>
        <w:spacing w:before="1"/>
      </w:pPr>
    </w:p>
    <w:p>
      <w:pPr>
        <w:spacing w:after="0"/>
        <w:sectPr>
          <w:pgSz w:w="11910" w:h="16840"/>
          <w:pgMar w:header="608" w:footer="408" w:top="800" w:bottom="600" w:left="920" w:right="900"/>
        </w:sectPr>
      </w:pPr>
    </w:p>
    <w:p>
      <w:pPr>
        <w:pStyle w:val="BodyText"/>
        <w:spacing w:line="273" w:lineRule="auto"/>
        <w:ind w:left="1048"/>
      </w:pPr>
      <w:r>
        <w:rPr>
          <w:spacing w:val="-1"/>
        </w:rPr>
        <w:t>15.</w:t>
      </w:r>
      <w:r>
        <w:rPr/>
        <w:t>原发性硬化性胆管炎</w:t>
      </w:r>
    </w:p>
    <w:p>
      <w:pPr>
        <w:pStyle w:val="BodyText"/>
        <w:spacing w:line="273" w:lineRule="auto"/>
        <w:ind w:left="275" w:right="102"/>
        <w:jc w:val="both"/>
      </w:pPr>
      <w:r>
        <w:rPr/>
        <w:br w:type="column"/>
      </w:r>
      <w:r>
        <w:rPr/>
        <w:t>原发性硬化性胆管炎指一种胆汁淤积综合征，其特征是肝内、肝外胆道因非细菌性炎症、慢性纤维化逐渐狭窄，并最终导致完全阻塞而发展为胆汁於积性肝硬化。</w:t>
      </w:r>
    </w:p>
    <w:p>
      <w:pPr>
        <w:pStyle w:val="BodyText"/>
        <w:spacing w:before="100"/>
        <w:ind w:left="275"/>
        <w:jc w:val="both"/>
      </w:pPr>
      <w:r>
        <w:rPr/>
        <w:t>须满足下列全部条件：</w:t>
      </w:r>
    </w:p>
    <w:p>
      <w:pPr>
        <w:pStyle w:val="BodyText"/>
        <w:spacing w:before="130"/>
        <w:ind w:left="275"/>
        <w:jc w:val="both"/>
      </w:pPr>
      <w:r>
        <w:rPr/>
        <w:t>（1）持续性黄疸病史；</w:t>
      </w:r>
    </w:p>
    <w:p>
      <w:pPr>
        <w:pStyle w:val="BodyText"/>
        <w:spacing w:before="132"/>
        <w:ind w:left="275"/>
        <w:jc w:val="both"/>
      </w:pPr>
      <w:r>
        <w:rPr/>
        <w:t>（2）总胆红素和直接胆红素同时升高，血清 ALP〉200U/L；</w:t>
      </w:r>
    </w:p>
    <w:p>
      <w:pPr>
        <w:pStyle w:val="BodyText"/>
        <w:spacing w:before="131"/>
        <w:ind w:left="275"/>
        <w:jc w:val="both"/>
      </w:pPr>
      <w:r>
        <w:rPr/>
        <w:t>（3）经内镜逆行胰胆管造影（ERCP）影像学检查确诊；</w:t>
      </w:r>
    </w:p>
    <w:p>
      <w:pPr>
        <w:pStyle w:val="BodyText"/>
        <w:spacing w:before="131"/>
        <w:ind w:left="275"/>
        <w:jc w:val="both"/>
      </w:pPr>
      <w:r>
        <w:rPr/>
        <w:t>（4）出现胆汁於积性肝硬化或门脉高压。</w:t>
      </w:r>
    </w:p>
    <w:p>
      <w:pPr>
        <w:pStyle w:val="Heading2"/>
        <w:spacing w:before="132"/>
        <w:ind w:left="275"/>
        <w:jc w:val="both"/>
      </w:pPr>
      <w:r>
        <w:rPr>
          <w:w w:val="95"/>
        </w:rPr>
        <w:t>因肿瘤或胆管损伤等继发性的硬化性胆管炎不在保障范围内。</w:t>
      </w:r>
    </w:p>
    <w:p>
      <w:pPr>
        <w:spacing w:after="0"/>
        <w:jc w:val="both"/>
        <w:sectPr>
          <w:type w:val="continuous"/>
          <w:pgSz w:w="11910" w:h="16840"/>
          <w:pgMar w:top="560" w:bottom="280" w:left="920" w:right="900"/>
          <w:cols w:num="2" w:equalWidth="0">
            <w:col w:w="2623" w:space="40"/>
            <w:col w:w="7427"/>
          </w:cols>
        </w:sectPr>
      </w:pPr>
    </w:p>
    <w:p>
      <w:pPr>
        <w:pStyle w:val="BodyText"/>
        <w:spacing w:before="8"/>
        <w:rPr>
          <w:b/>
          <w:sz w:val="24"/>
        </w:rPr>
      </w:pPr>
    </w:p>
    <w:p>
      <w:pPr>
        <w:spacing w:after="0"/>
        <w:rPr>
          <w:sz w:val="24"/>
        </w:rPr>
        <w:sectPr>
          <w:type w:val="continuous"/>
          <w:pgSz w:w="11910" w:h="16840"/>
          <w:pgMar w:top="560" w:bottom="280" w:left="920" w:right="900"/>
        </w:sectPr>
      </w:pPr>
    </w:p>
    <w:p>
      <w:pPr>
        <w:pStyle w:val="BodyText"/>
        <w:spacing w:line="273" w:lineRule="auto"/>
        <w:ind w:left="1048"/>
      </w:pPr>
      <w:r>
        <w:rPr>
          <w:spacing w:val="-1"/>
        </w:rPr>
        <w:t>16.</w:t>
      </w:r>
      <w:r>
        <w:rPr/>
        <w:t>侵蚀性葡萄胎(或称恶性葡萄胎)</w:t>
      </w:r>
    </w:p>
    <w:p>
      <w:pPr>
        <w:pStyle w:val="BodyText"/>
        <w:spacing w:line="273" w:lineRule="auto"/>
        <w:ind w:left="275" w:right="102"/>
      </w:pPr>
      <w:r>
        <w:rPr/>
        <w:br w:type="column"/>
      </w:r>
      <w:r>
        <w:rPr/>
        <w:t>该类疾病是指异常增生的绒毛组织浸润性生长侵入子宫肌层或转移至其他器官或组织的葡萄胎，并已经进行化疗或手术治疗的。</w:t>
      </w:r>
    </w:p>
    <w:p>
      <w:pPr>
        <w:spacing w:after="0" w:line="273" w:lineRule="auto"/>
        <w:sectPr>
          <w:type w:val="continuous"/>
          <w:pgSz w:w="11910" w:h="16840"/>
          <w:pgMar w:top="560" w:bottom="280" w:left="920" w:right="900"/>
          <w:cols w:num="2" w:equalWidth="0">
            <w:col w:w="2623" w:space="40"/>
            <w:col w:w="7427"/>
          </w:cols>
        </w:sectPr>
      </w:pPr>
    </w:p>
    <w:p>
      <w:pPr>
        <w:pStyle w:val="BodyText"/>
        <w:spacing w:before="2"/>
        <w:rPr>
          <w:sz w:val="15"/>
        </w:rPr>
      </w:pPr>
    </w:p>
    <w:p>
      <w:pPr>
        <w:spacing w:after="0"/>
        <w:rPr>
          <w:sz w:val="15"/>
        </w:rPr>
        <w:sectPr>
          <w:type w:val="continuous"/>
          <w:pgSz w:w="11910" w:h="16840"/>
          <w:pgMar w:top="560" w:bottom="280" w:left="920" w:right="900"/>
        </w:sectPr>
      </w:pPr>
    </w:p>
    <w:p>
      <w:pPr>
        <w:pStyle w:val="BodyText"/>
        <w:spacing w:line="273" w:lineRule="auto" w:before="36"/>
        <w:ind w:left="1048"/>
      </w:pPr>
      <w:r>
        <w:rPr>
          <w:spacing w:val="-1"/>
        </w:rPr>
        <w:t>17.</w:t>
      </w:r>
      <w:r>
        <w:rPr/>
        <w:t>失去一肢及一眼</w:t>
      </w:r>
    </w:p>
    <w:p>
      <w:pPr>
        <w:pStyle w:val="BodyText"/>
        <w:spacing w:line="273" w:lineRule="auto" w:before="36"/>
        <w:ind w:left="275" w:right="102"/>
      </w:pPr>
      <w:r>
        <w:rPr/>
        <w:br w:type="column"/>
      </w:r>
      <w:r>
        <w:rPr/>
        <w:t>因疾病或意外伤害导致单眼视力丧失及任何一肢自腕关节或踝关节近端（靠近躯干端）以上完全性断离。</w:t>
      </w:r>
    </w:p>
    <w:p>
      <w:pPr>
        <w:spacing w:line="273" w:lineRule="auto" w:before="102"/>
        <w:ind w:left="275" w:right="105" w:firstLine="0"/>
        <w:jc w:val="left"/>
        <w:rPr>
          <w:sz w:val="21"/>
        </w:rPr>
      </w:pPr>
      <w:r>
        <w:rPr>
          <w:sz w:val="21"/>
        </w:rPr>
        <w:t>单眼视力丧失指单眼视力</w:t>
      </w:r>
      <w:r>
        <w:rPr>
          <w:b/>
          <w:spacing w:val="-8"/>
          <w:sz w:val="21"/>
        </w:rPr>
        <w:t>永久不可逆 </w:t>
      </w:r>
      <w:r>
        <w:rPr>
          <w:position w:val="11"/>
          <w:sz w:val="10"/>
        </w:rPr>
        <w:t>11.16 </w:t>
      </w:r>
      <w:r>
        <w:rPr>
          <w:spacing w:val="-6"/>
          <w:sz w:val="21"/>
        </w:rPr>
        <w:t>性丧失，患眼须满足下列至少一项条件：</w:t>
      </w:r>
    </w:p>
    <w:p>
      <w:pPr>
        <w:pStyle w:val="BodyText"/>
        <w:spacing w:before="100"/>
        <w:ind w:left="275"/>
      </w:pPr>
      <w:r>
        <w:rPr/>
        <w:t>（1）眼球缺失或摘除；</w:t>
      </w:r>
    </w:p>
    <w:p>
      <w:pPr>
        <w:pStyle w:val="BodyText"/>
        <w:spacing w:line="273" w:lineRule="auto" w:before="130"/>
        <w:ind w:left="275" w:right="108"/>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102"/>
        <w:ind w:left="275"/>
      </w:pPr>
      <w:r>
        <w:rPr/>
        <w:t>（3）视野半径小于 5 度。</w:t>
      </w:r>
    </w:p>
    <w:p>
      <w:pPr>
        <w:pStyle w:val="Heading2"/>
        <w:spacing w:before="130"/>
        <w:ind w:left="275"/>
        <w:rPr>
          <w:b w:val="0"/>
        </w:rPr>
      </w:pPr>
      <w:r>
        <w:rPr/>
        <w:t>被保险人在 3 周岁之前因疾病导致单眼视力丧失不在保障范围内</w:t>
      </w:r>
      <w:r>
        <w:rPr>
          <w:b w:val="0"/>
        </w:rPr>
        <w:t>。</w:t>
      </w:r>
    </w:p>
    <w:p>
      <w:pPr>
        <w:spacing w:after="0"/>
        <w:sectPr>
          <w:type w:val="continuous"/>
          <w:pgSz w:w="11910" w:h="16840"/>
          <w:pgMar w:top="560" w:bottom="280" w:left="920" w:right="900"/>
          <w:cols w:num="2" w:equalWidth="0">
            <w:col w:w="2623" w:space="40"/>
            <w:col w:w="7427"/>
          </w:cols>
        </w:sectPr>
      </w:pPr>
    </w:p>
    <w:p>
      <w:pPr>
        <w:pStyle w:val="BodyText"/>
        <w:spacing w:before="8"/>
        <w:rPr>
          <w:sz w:val="24"/>
        </w:rPr>
      </w:pPr>
    </w:p>
    <w:p>
      <w:pPr>
        <w:spacing w:after="0"/>
        <w:rPr>
          <w:sz w:val="24"/>
        </w:rPr>
        <w:sectPr>
          <w:type w:val="continuous"/>
          <w:pgSz w:w="11910" w:h="16840"/>
          <w:pgMar w:top="560" w:bottom="280" w:left="920" w:right="900"/>
        </w:sectPr>
      </w:pPr>
    </w:p>
    <w:p>
      <w:pPr>
        <w:pStyle w:val="BodyText"/>
        <w:spacing w:line="273" w:lineRule="auto"/>
        <w:ind w:left="1047"/>
      </w:pPr>
      <w:r>
        <w:rPr/>
        <w:t>18.肺淋巴管肌瘤病</w:t>
      </w:r>
    </w:p>
    <w:p>
      <w:pPr>
        <w:pStyle w:val="BodyText"/>
        <w:spacing w:line="273" w:lineRule="auto"/>
        <w:ind w:left="275" w:right="102"/>
      </w:pPr>
      <w:r>
        <w:rPr/>
        <w:br w:type="column"/>
      </w:r>
      <w:r>
        <w:rPr/>
        <w:t>肺淋巴管肌瘤病是一种弥漫性肺部疾病，主要病理改变为肺间质、支气管、血管和淋巴管内出现未成熟的平滑肌异常增生，同时需满足下列条件：</w:t>
      </w:r>
    </w:p>
    <w:p>
      <w:pPr>
        <w:pStyle w:val="BodyText"/>
        <w:spacing w:before="102"/>
        <w:ind w:left="275"/>
      </w:pPr>
      <w:r>
        <w:rPr/>
        <w:t>（1）经组织病理学诊断；</w:t>
      </w:r>
    </w:p>
    <w:p>
      <w:pPr>
        <w:pStyle w:val="BodyText"/>
        <w:spacing w:before="130"/>
        <w:ind w:left="275"/>
      </w:pPr>
      <w:r>
        <w:rPr/>
        <w:t>（2）CT 显示双肺弥漫性囊性改变；</w:t>
      </w:r>
    </w:p>
    <w:p>
      <w:pPr>
        <w:pStyle w:val="BodyText"/>
        <w:spacing w:before="130"/>
        <w:ind w:left="275"/>
      </w:pPr>
      <w:r>
        <w:rPr/>
        <w:t>（3）血气提示低氧血症。</w:t>
      </w:r>
    </w:p>
    <w:p>
      <w:pPr>
        <w:spacing w:after="0"/>
        <w:sectPr>
          <w:type w:val="continuous"/>
          <w:pgSz w:w="11910" w:h="16840"/>
          <w:pgMar w:top="560" w:bottom="280" w:left="920" w:right="900"/>
          <w:cols w:num="2" w:equalWidth="0">
            <w:col w:w="2623" w:space="40"/>
            <w:col w:w="7427"/>
          </w:cols>
        </w:sectPr>
      </w:pPr>
    </w:p>
    <w:p>
      <w:pPr>
        <w:pStyle w:val="BodyText"/>
        <w:spacing w:before="9"/>
        <w:rPr>
          <w:sz w:val="24"/>
        </w:rPr>
      </w:pPr>
    </w:p>
    <w:p>
      <w:pPr>
        <w:spacing w:after="0"/>
        <w:rPr>
          <w:sz w:val="24"/>
        </w:rPr>
        <w:sectPr>
          <w:type w:val="continuous"/>
          <w:pgSz w:w="11910" w:h="16840"/>
          <w:pgMar w:top="560" w:bottom="280" w:left="920" w:right="900"/>
        </w:sectPr>
      </w:pPr>
    </w:p>
    <w:p>
      <w:pPr>
        <w:pStyle w:val="BodyText"/>
        <w:spacing w:line="273" w:lineRule="auto"/>
        <w:ind w:left="1047"/>
      </w:pPr>
      <w:r>
        <w:rPr/>
        <w:t>19.肺泡蛋白质沉积症</w:t>
      </w:r>
    </w:p>
    <w:p>
      <w:pPr>
        <w:pStyle w:val="BodyText"/>
        <w:spacing w:line="273" w:lineRule="auto"/>
        <w:ind w:left="275" w:right="108"/>
        <w:jc w:val="both"/>
      </w:pPr>
      <w:r>
        <w:rPr/>
        <w:br w:type="column"/>
      </w:r>
      <w:r>
        <w:rPr/>
        <w:t>指肺泡和细支气管腔内充满不可溶性富磷脂蛋白的疾病，胸部 X 线呈双肺弥漫性肺部磨玻璃影，病理学检查肺泡内充满有过碘酸雪夫（PAS）染色阳性的蛋白样物质，并且接受了肺灌洗治疗。</w:t>
      </w:r>
    </w:p>
    <w:p>
      <w:pPr>
        <w:spacing w:after="0" w:line="273" w:lineRule="auto"/>
        <w:jc w:val="both"/>
        <w:sectPr>
          <w:type w:val="continuous"/>
          <w:pgSz w:w="11910" w:h="16840"/>
          <w:pgMar w:top="560" w:bottom="280" w:left="920" w:right="900"/>
          <w:cols w:num="2" w:equalWidth="0">
            <w:col w:w="2623" w:space="40"/>
            <w:col w:w="7427"/>
          </w:cols>
        </w:sectPr>
      </w:pPr>
    </w:p>
    <w:p>
      <w:pPr>
        <w:pStyle w:val="BodyText"/>
        <w:spacing w:before="4"/>
        <w:rPr>
          <w:sz w:val="22"/>
        </w:rPr>
      </w:pPr>
    </w:p>
    <w:p>
      <w:pPr>
        <w:pStyle w:val="BodyText"/>
        <w:tabs>
          <w:tab w:pos="2937" w:val="left" w:leader="none"/>
        </w:tabs>
        <w:spacing w:line="273" w:lineRule="auto" w:before="36"/>
        <w:ind w:left="2937" w:right="106" w:hanging="1890"/>
      </w:pPr>
      <w:r>
        <w:rPr/>
        <w:t>20.小肠移植</w:t>
        <w:tab/>
        <w:t>指因肠</w:t>
      </w:r>
      <w:r>
        <w:rPr>
          <w:spacing w:val="2"/>
        </w:rPr>
        <w:t>道</w:t>
      </w:r>
      <w:r>
        <w:rPr/>
        <w:t>疾</w:t>
      </w:r>
      <w:r>
        <w:rPr>
          <w:spacing w:val="2"/>
        </w:rPr>
        <w:t>病</w:t>
      </w:r>
      <w:r>
        <w:rPr/>
        <w:t>或外伤，</w:t>
      </w:r>
      <w:r>
        <w:rPr>
          <w:spacing w:val="2"/>
        </w:rPr>
        <w:t>已</w:t>
      </w:r>
      <w:r>
        <w:rPr/>
        <w:t>经</w:t>
      </w:r>
      <w:r>
        <w:rPr>
          <w:spacing w:val="2"/>
        </w:rPr>
        <w:t>实</w:t>
      </w:r>
      <w:r>
        <w:rPr/>
        <w:t>施了在全身麻</w:t>
      </w:r>
      <w:r>
        <w:rPr>
          <w:spacing w:val="2"/>
        </w:rPr>
        <w:t>醉</w:t>
      </w:r>
      <w:r>
        <w:rPr/>
        <w:t>下</w:t>
      </w:r>
      <w:r>
        <w:rPr>
          <w:spacing w:val="2"/>
        </w:rPr>
        <w:t>进</w:t>
      </w:r>
      <w:r>
        <w:rPr/>
        <w:t>行的胰腺的异</w:t>
      </w:r>
      <w:r>
        <w:rPr>
          <w:spacing w:val="2"/>
        </w:rPr>
        <w:t>体</w:t>
      </w:r>
      <w:r>
        <w:rPr/>
        <w:t>器</w:t>
      </w:r>
      <w:r>
        <w:rPr>
          <w:spacing w:val="2"/>
        </w:rPr>
        <w:t>官</w:t>
      </w:r>
      <w:r>
        <w:rPr/>
        <w:t>移植 手术。此手术必须由专科医生认为是医学上必需的情况下进行。</w:t>
      </w:r>
    </w:p>
    <w:p>
      <w:pPr>
        <w:pStyle w:val="BodyText"/>
        <w:spacing w:before="6"/>
        <w:rPr>
          <w:sz w:val="22"/>
        </w:rPr>
      </w:pPr>
    </w:p>
    <w:p>
      <w:pPr>
        <w:spacing w:after="0"/>
        <w:rPr>
          <w:sz w:val="22"/>
        </w:rPr>
        <w:sectPr>
          <w:type w:val="continuous"/>
          <w:pgSz w:w="11910" w:h="16840"/>
          <w:pgMar w:top="560" w:bottom="280" w:left="920" w:right="900"/>
        </w:sectPr>
      </w:pPr>
    </w:p>
    <w:p>
      <w:pPr>
        <w:pStyle w:val="BodyText"/>
        <w:spacing w:line="273" w:lineRule="auto"/>
        <w:ind w:left="1047"/>
      </w:pPr>
      <w:r>
        <w:rPr/>
        <w:t>21.原发性骨髓纤维化</w:t>
      </w:r>
    </w:p>
    <w:p>
      <w:pPr>
        <w:pStyle w:val="BodyText"/>
        <w:spacing w:line="273" w:lineRule="auto"/>
        <w:ind w:left="275" w:right="102"/>
        <w:jc w:val="both"/>
      </w:pPr>
      <w:r>
        <w:rPr/>
        <w:br w:type="column"/>
      </w:r>
      <w:r>
        <w:rPr/>
        <w:t>原发性骨髓纤维化为是一种原因不明的克隆性造血干细胞异常所致的慢性骨髓增生性疾病，表现为进行性贫血、脾肿大等症状。本病必须根据骨髓的活组织检查和周围血象检查由血液科专科医生明确诊断。</w:t>
      </w:r>
    </w:p>
    <w:p>
      <w:pPr>
        <w:pStyle w:val="BodyText"/>
        <w:spacing w:before="101"/>
        <w:ind w:left="275"/>
        <w:jc w:val="both"/>
      </w:pPr>
      <w:r>
        <w:rPr/>
        <w:t>诊断标准需要满足下列所有三项条件：</w:t>
      </w:r>
    </w:p>
    <w:p>
      <w:pPr>
        <w:pStyle w:val="BodyText"/>
        <w:spacing w:before="132"/>
        <w:ind w:left="275"/>
        <w:jc w:val="both"/>
      </w:pPr>
      <w:r>
        <w:rPr/>
        <w:t>（1）骨髓活检可见巨核细胞增生及异型性表现，通常伴随网硬蛋白和（或）</w:t>
      </w:r>
    </w:p>
    <w:p>
      <w:pPr>
        <w:spacing w:after="0"/>
        <w:jc w:val="both"/>
        <w:sectPr>
          <w:type w:val="continuous"/>
          <w:pgSz w:w="11910" w:h="16840"/>
          <w:pgMar w:top="560" w:bottom="280" w:left="920" w:right="900"/>
          <w:cols w:num="2" w:equalWidth="0">
            <w:col w:w="2623" w:space="40"/>
            <w:col w:w="7427"/>
          </w:cols>
        </w:sectPr>
      </w:pPr>
    </w:p>
    <w:p>
      <w:pPr>
        <w:pStyle w:val="BodyText"/>
        <w:spacing w:before="1"/>
      </w:pPr>
    </w:p>
    <w:p>
      <w:pPr>
        <w:pStyle w:val="BodyText"/>
        <w:ind w:left="2938"/>
      </w:pPr>
      <w:r>
        <w:rPr/>
        <w:t>胶原纤维化；</w:t>
      </w:r>
    </w:p>
    <w:p>
      <w:pPr>
        <w:pStyle w:val="BodyText"/>
        <w:spacing w:before="130"/>
        <w:ind w:left="2938"/>
      </w:pPr>
      <w:r>
        <w:rPr/>
        <w:t>（2）Ph 染色体阴性，不符合 PV、CML、MDS 或其他髓系肿瘤表现；</w:t>
      </w:r>
    </w:p>
    <w:p>
      <w:pPr>
        <w:pStyle w:val="BodyText"/>
        <w:spacing w:line="273" w:lineRule="auto" w:before="130"/>
        <w:ind w:left="2938" w:right="213"/>
      </w:pPr>
      <w:r>
        <w:rPr/>
        <w:t>（3）</w:t>
      </w:r>
      <w:r>
        <w:rPr>
          <w:spacing w:val="-14"/>
        </w:rPr>
        <w:t>存在 </w:t>
      </w:r>
      <w:r>
        <w:rPr/>
        <w:t>JAK2/V617F</w:t>
      </w:r>
      <w:r>
        <w:rPr>
          <w:spacing w:val="-11"/>
        </w:rPr>
        <w:t> 或其他克隆性标记如 </w:t>
      </w:r>
      <w:r>
        <w:rPr/>
        <w:t>MPL、W515K/L；或不存在克隆性标记，也不存在继发性骨髓纤维化的疾病。</w:t>
      </w:r>
    </w:p>
    <w:p>
      <w:pPr>
        <w:pStyle w:val="BodyText"/>
        <w:spacing w:before="102"/>
        <w:ind w:left="2938"/>
      </w:pPr>
      <w:r>
        <w:rPr/>
        <w:t>并且需要满足下列所有条件中的两条：</w:t>
      </w:r>
    </w:p>
    <w:p>
      <w:pPr>
        <w:pStyle w:val="BodyText"/>
        <w:spacing w:before="131"/>
        <w:ind w:left="2938"/>
      </w:pPr>
      <w:r>
        <w:rPr/>
        <w:t>（1）外周血出现幼红、幼粒细胞；</w:t>
      </w:r>
    </w:p>
    <w:p>
      <w:pPr>
        <w:pStyle w:val="BodyText"/>
        <w:spacing w:before="131"/>
        <w:ind w:left="2938"/>
      </w:pPr>
      <w:r>
        <w:rPr/>
        <w:t>（2）血清乳酸脱氢酶（LDH）水平增高；</w:t>
      </w:r>
    </w:p>
    <w:p>
      <w:pPr>
        <w:pStyle w:val="BodyText"/>
        <w:spacing w:before="132"/>
        <w:ind w:left="2938"/>
      </w:pPr>
      <w:r>
        <w:rPr/>
        <w:t>（3）贫血；</w:t>
      </w:r>
    </w:p>
    <w:p>
      <w:pPr>
        <w:pStyle w:val="BodyText"/>
        <w:spacing w:before="130"/>
        <w:ind w:left="2938"/>
      </w:pPr>
      <w:r>
        <w:rPr/>
        <w:t>（4）脾大。</w:t>
      </w:r>
    </w:p>
    <w:p>
      <w:pPr>
        <w:pStyle w:val="BodyText"/>
        <w:spacing w:before="7"/>
        <w:rPr>
          <w:sz w:val="24"/>
        </w:rPr>
      </w:pPr>
    </w:p>
    <w:p>
      <w:pPr>
        <w:spacing w:after="0"/>
        <w:rPr>
          <w:sz w:val="24"/>
        </w:rPr>
        <w:sectPr>
          <w:pgSz w:w="11910" w:h="16840"/>
          <w:pgMar w:header="608" w:footer="408" w:top="800" w:bottom="600" w:left="920" w:right="800"/>
        </w:sectPr>
      </w:pPr>
    </w:p>
    <w:p>
      <w:pPr>
        <w:pStyle w:val="BodyText"/>
        <w:spacing w:line="273" w:lineRule="auto" w:before="36"/>
        <w:ind w:left="1048"/>
      </w:pPr>
      <w:r>
        <w:rPr>
          <w:spacing w:val="-1"/>
        </w:rPr>
        <w:t>22.</w:t>
      </w:r>
      <w:r>
        <w:rPr/>
        <w:t>重症骨髓增生异常综合征</w:t>
      </w:r>
    </w:p>
    <w:p>
      <w:pPr>
        <w:pStyle w:val="BodyText"/>
        <w:spacing w:line="273" w:lineRule="auto" w:before="36"/>
        <w:ind w:left="275" w:right="202"/>
        <w:jc w:val="both"/>
      </w:pPr>
      <w:r>
        <w:rPr/>
        <w:br w:type="column"/>
      </w:r>
      <w:r>
        <w:rPr/>
        <w:t>骨髓增生异常综合征是起源于造血干细胞的一组骨髓克隆增生异常的疾病， 表现为无效造血、难治性血细胞减少，有转化为急性髓系白血病的风险。被保险人根据外周血和骨髓活检被专科医生明确诊断为骨髓增生异常综合征， 并须满足下列全部条件：</w:t>
      </w:r>
    </w:p>
    <w:p>
      <w:pPr>
        <w:pStyle w:val="BodyText"/>
        <w:spacing w:before="102"/>
        <w:ind w:left="275"/>
      </w:pPr>
      <w:r>
        <w:rPr/>
        <w:t>（1）FAB 分类为难治性贫血伴原始细胞增多（RAEB）；</w:t>
      </w:r>
    </w:p>
    <w:p>
      <w:pPr>
        <w:pStyle w:val="BodyText"/>
        <w:spacing w:line="273" w:lineRule="auto" w:before="130"/>
        <w:ind w:left="275" w:right="209"/>
        <w:jc w:val="both"/>
      </w:pPr>
      <w:r>
        <w:rPr/>
        <w:t>（2）根据“骨髓增生异常综合征修订国际预后积分系统（IPSS-R）”积分＞ 3.5，属于中危及以上组。</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6"/>
        <w:rPr>
          <w:sz w:val="22"/>
        </w:rPr>
      </w:pPr>
    </w:p>
    <w:p>
      <w:pPr>
        <w:pStyle w:val="BodyText"/>
        <w:spacing w:line="273" w:lineRule="auto"/>
        <w:ind w:left="2938" w:right="202" w:hanging="1890"/>
        <w:jc w:val="both"/>
      </w:pPr>
      <w:r>
        <w:rPr/>
        <w:t>23.胆道重建术    因疾病或胆道损伤导致实际接受涉及胆总管小肠吻合术的胆道重建手术。诊断及治疗均须在本公司认可的医院内由专科医生认为是医疗必须的情况下进行。</w:t>
      </w:r>
    </w:p>
    <w:p>
      <w:pPr>
        <w:pStyle w:val="Heading2"/>
      </w:pPr>
      <w:r>
        <w:rPr>
          <w:w w:val="95"/>
        </w:rPr>
        <w:t>因胆道闭锁等先天性疾病而导致进行的胆道手术并不在本保障范围內。</w:t>
      </w:r>
    </w:p>
    <w:p>
      <w:pPr>
        <w:pStyle w:val="BodyText"/>
        <w:spacing w:before="4"/>
        <w:rPr>
          <w:b/>
          <w:sz w:val="27"/>
        </w:rPr>
      </w:pPr>
    </w:p>
    <w:p>
      <w:pPr>
        <w:pStyle w:val="BodyText"/>
        <w:spacing w:line="273" w:lineRule="auto" w:before="0"/>
        <w:ind w:left="2938" w:right="201" w:hanging="1890"/>
        <w:jc w:val="both"/>
      </w:pPr>
      <w:r>
        <w:rPr/>
        <w:t>24.</w:t>
      </w:r>
      <w:r>
        <w:rPr>
          <w:spacing w:val="-3"/>
        </w:rPr>
        <w:t>范可尼综合征  也称 </w:t>
      </w:r>
      <w:r>
        <w:rPr/>
        <w:t>Fanconi</w:t>
      </w:r>
      <w:r>
        <w:rPr>
          <w:spacing w:val="-6"/>
        </w:rPr>
        <w:t> 综合征，指近端肾小管的功能异常引起的一组症候群。须经专科医生诊断，且须满足下列至少两项条件：</w:t>
      </w:r>
    </w:p>
    <w:p>
      <w:pPr>
        <w:pStyle w:val="BodyText"/>
        <w:spacing w:before="102"/>
        <w:ind w:left="2938"/>
      </w:pPr>
      <w:r>
        <w:rPr/>
        <w:t>（1）尿液检查出现肾性糖尿、全氨基酸糖尿或磷酸盐尿；</w:t>
      </w:r>
    </w:p>
    <w:p>
      <w:pPr>
        <w:pStyle w:val="BodyText"/>
        <w:spacing w:before="130"/>
        <w:ind w:left="2938"/>
      </w:pPr>
      <w:r>
        <w:rPr/>
        <w:t>（2）血液检查出现低磷血症、低尿酸血症或近端肾小管酸中毒；</w:t>
      </w:r>
    </w:p>
    <w:p>
      <w:pPr>
        <w:pStyle w:val="BodyText"/>
        <w:spacing w:before="130"/>
        <w:ind w:left="2938"/>
      </w:pPr>
      <w:r>
        <w:rPr/>
        <w:t>（3）出现骨质疏松、骨骼畸形或尿路结石；</w:t>
      </w:r>
    </w:p>
    <w:p>
      <w:pPr>
        <w:pStyle w:val="BodyText"/>
        <w:spacing w:line="273" w:lineRule="auto" w:before="131"/>
        <w:ind w:left="2938" w:right="210"/>
      </w:pPr>
      <w:r>
        <w:rPr/>
        <w:t>（4）通过骨髓片、白细胞、直肠黏膜中的结晶分析或裂隙灯检查角膜有胱氨酸结晶。</w:t>
      </w:r>
    </w:p>
    <w:p>
      <w:pPr>
        <w:pStyle w:val="Heading2"/>
        <w:spacing w:before="100"/>
      </w:pPr>
      <w:r>
        <w:rPr/>
        <w:t>被保险人在 3 周岁之前罹患该疾病不在保障范围内。</w:t>
      </w:r>
    </w:p>
    <w:p>
      <w:pPr>
        <w:pStyle w:val="BodyText"/>
        <w:spacing w:before="8"/>
        <w:rPr>
          <w:b/>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25.</w:t>
      </w:r>
      <w:r>
        <w:rPr/>
        <w:t>严重Ⅲ度冻伤导致截肢</w:t>
      </w:r>
    </w:p>
    <w:p>
      <w:pPr>
        <w:pStyle w:val="BodyText"/>
        <w:spacing w:line="273" w:lineRule="auto" w:before="36"/>
        <w:ind w:left="275" w:right="106"/>
      </w:pPr>
      <w:r>
        <w:rPr/>
        <w:br w:type="column"/>
      </w:r>
      <w:r>
        <w:rPr/>
        <w:t>冻伤是由于寒冷潮湿作用引起的人体局部或全身损伤。指冻伤程度达到Ⅲ度， 且导致一个或一个以上肢体自腕关节或踝关节近端（靠近躯干端）以上完全性断离。</w:t>
      </w:r>
    </w:p>
    <w:p>
      <w:pPr>
        <w:spacing w:after="0" w:line="273" w:lineRule="auto"/>
        <w:sectPr>
          <w:type w:val="continuous"/>
          <w:pgSz w:w="11910" w:h="16840"/>
          <w:pgMar w:top="560" w:bottom="280" w:left="920" w:right="800"/>
          <w:cols w:num="2" w:equalWidth="0">
            <w:col w:w="2623" w:space="40"/>
            <w:col w:w="7527"/>
          </w:cols>
        </w:sectPr>
      </w:pP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26.</w:t>
      </w:r>
      <w:r>
        <w:rPr/>
        <w:t>多处臂丛神经根性撕脱</w:t>
      </w:r>
    </w:p>
    <w:p>
      <w:pPr>
        <w:pStyle w:val="BodyText"/>
        <w:spacing w:line="273" w:lineRule="auto"/>
        <w:ind w:left="275" w:right="202"/>
        <w:jc w:val="both"/>
      </w:pPr>
      <w:r>
        <w:rPr/>
        <w:br w:type="column"/>
      </w:r>
      <w:r>
        <w:rPr/>
        <w:t>由于疾病或意外导致至少两根臂丛神经根性撕脱，所造成的手臂感觉功能与运动功能完全永久性丧失。该病必须由本公司认可的医院的专科医生确诊， 并且有完整的电生理检查结果证实。</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60" w:bottom="280" w:left="920" w:right="800"/>
        </w:sectPr>
      </w:pPr>
    </w:p>
    <w:p>
      <w:pPr>
        <w:pStyle w:val="BodyText"/>
        <w:ind w:left="1048"/>
      </w:pPr>
      <w:r>
        <w:rPr>
          <w:spacing w:val="-1"/>
        </w:rPr>
        <w:t>27.急性心肌梗塞</w:t>
      </w:r>
    </w:p>
    <w:p>
      <w:pPr>
        <w:pStyle w:val="Heading2"/>
        <w:spacing w:before="37"/>
        <w:ind w:left="0" w:right="314"/>
        <w:jc w:val="center"/>
      </w:pPr>
      <w:r>
        <w:rPr>
          <w:w w:val="99"/>
        </w:rPr>
        <w:t>★</w:t>
      </w:r>
    </w:p>
    <w:p>
      <w:pPr>
        <w:pStyle w:val="BodyText"/>
        <w:ind w:left="275"/>
      </w:pPr>
      <w:r>
        <w:rPr/>
        <w:br w:type="column"/>
      </w:r>
      <w:r>
        <w:rPr/>
        <w:t>指因冠状动脉阻塞导致的相应区域供血不足造成部分心肌坏死。须满足下列</w:t>
      </w:r>
    </w:p>
    <w:p>
      <w:pPr>
        <w:spacing w:after="0"/>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至少三项条件：</w:t>
      </w:r>
    </w:p>
    <w:p>
      <w:pPr>
        <w:pStyle w:val="BodyText"/>
        <w:spacing w:before="130"/>
        <w:ind w:left="2938"/>
      </w:pPr>
      <w:r>
        <w:rPr/>
        <w:t>（1）典型临床表现，例如急性胸痛等；</w:t>
      </w:r>
    </w:p>
    <w:p>
      <w:pPr>
        <w:pStyle w:val="BodyText"/>
        <w:spacing w:before="130"/>
        <w:ind w:left="2938"/>
      </w:pPr>
      <w:r>
        <w:rPr/>
        <w:t>（2）新近的心电图改变提示急性心肌梗塞；</w:t>
      </w:r>
    </w:p>
    <w:p>
      <w:pPr>
        <w:pStyle w:val="BodyText"/>
        <w:spacing w:line="273" w:lineRule="auto" w:before="131"/>
        <w:ind w:left="2938" w:right="211"/>
      </w:pPr>
      <w:r>
        <w:rPr/>
        <w:t>（3）心肌酶或肌钙蛋白有诊断意义的升高，或呈符合急性心肌梗塞的动态性变化；</w:t>
      </w:r>
    </w:p>
    <w:p>
      <w:pPr>
        <w:pStyle w:val="BodyText"/>
        <w:spacing w:before="101"/>
        <w:ind w:left="2938"/>
      </w:pPr>
      <w:r>
        <w:rPr>
          <w:spacing w:val="-19"/>
        </w:rPr>
        <w:t>（4）发病 </w:t>
      </w:r>
      <w:r>
        <w:rPr/>
        <w:t>90</w:t>
      </w:r>
      <w:r>
        <w:rPr>
          <w:spacing w:val="-17"/>
        </w:rPr>
        <w:t> 天后，经检查证实左心室功能降低，如左心室射血分数低于 </w:t>
      </w:r>
      <w:r>
        <w:rPr/>
        <w:t>50%。</w:t>
      </w:r>
    </w:p>
    <w:p>
      <w:pPr>
        <w:pStyle w:val="BodyText"/>
        <w:spacing w:before="6"/>
        <w:rPr>
          <w:sz w:val="17"/>
        </w:rPr>
      </w:pPr>
    </w:p>
    <w:p>
      <w:pPr>
        <w:spacing w:after="0"/>
        <w:rPr>
          <w:sz w:val="17"/>
        </w:rPr>
        <w:sectPr>
          <w:pgSz w:w="11910" w:h="16840"/>
          <w:pgMar w:header="608" w:footer="408" w:top="800" w:bottom="600" w:left="920" w:right="800"/>
        </w:sectPr>
      </w:pPr>
    </w:p>
    <w:p>
      <w:pPr>
        <w:pStyle w:val="BodyText"/>
        <w:ind w:left="1048"/>
      </w:pPr>
      <w:r>
        <w:rPr>
          <w:spacing w:val="-1"/>
        </w:rPr>
        <w:t>28.脑中风后遗症</w:t>
      </w:r>
    </w:p>
    <w:p>
      <w:pPr>
        <w:pStyle w:val="Heading2"/>
        <w:spacing w:before="36"/>
        <w:ind w:left="0" w:right="314"/>
        <w:jc w:val="center"/>
      </w:pPr>
      <w:r>
        <w:rPr>
          <w:w w:val="99"/>
        </w:rPr>
        <w:t>★</w:t>
      </w:r>
    </w:p>
    <w:p>
      <w:pPr>
        <w:pStyle w:val="BodyText"/>
        <w:spacing w:line="273" w:lineRule="auto"/>
        <w:ind w:left="275" w:right="202"/>
        <w:jc w:val="both"/>
      </w:pPr>
      <w:r>
        <w:rPr/>
        <w:br w:type="column"/>
      </w:r>
      <w:r>
        <w:rPr/>
        <w:t>指因脑血管的突发病变引起脑血管出血、栓塞或梗塞，并导致神经系统永久性的功能障碍。神经系统永久性的功能障碍，指疾病确诊 180 天后，仍遗留下列一种或一种以上障碍：</w:t>
      </w:r>
    </w:p>
    <w:p>
      <w:pPr>
        <w:spacing w:before="7"/>
        <w:ind w:left="275" w:right="0" w:firstLine="0"/>
        <w:jc w:val="left"/>
        <w:rPr>
          <w:sz w:val="21"/>
        </w:rPr>
      </w:pPr>
      <w:r>
        <w:rPr>
          <w:spacing w:val="-1"/>
          <w:sz w:val="21"/>
        </w:rPr>
        <w:t>（1）一肢或一肢以上</w:t>
      </w:r>
      <w:r>
        <w:rPr>
          <w:b/>
          <w:w w:val="99"/>
          <w:sz w:val="21"/>
        </w:rPr>
        <w:t>肢体机能完全丧失</w:t>
      </w:r>
      <w:r>
        <w:rPr>
          <w:b/>
          <w:spacing w:val="-51"/>
          <w:sz w:val="21"/>
        </w:rPr>
        <w:t> </w:t>
      </w:r>
      <w:r>
        <w:rPr>
          <w:w w:val="103"/>
          <w:position w:val="10"/>
          <w:sz w:val="10"/>
        </w:rPr>
        <w:t>11</w:t>
      </w:r>
      <w:r>
        <w:rPr>
          <w:spacing w:val="-1"/>
          <w:w w:val="103"/>
          <w:position w:val="10"/>
          <w:sz w:val="10"/>
        </w:rPr>
        <w:t>.</w:t>
      </w:r>
      <w:r>
        <w:rPr>
          <w:spacing w:val="0"/>
          <w:w w:val="103"/>
          <w:position w:val="10"/>
          <w:sz w:val="10"/>
        </w:rPr>
        <w:t>1</w:t>
      </w:r>
      <w:r>
        <w:rPr>
          <w:spacing w:val="-1"/>
          <w:w w:val="103"/>
          <w:position w:val="10"/>
          <w:sz w:val="10"/>
        </w:rPr>
        <w:t>7</w:t>
      </w:r>
      <w:r>
        <w:rPr>
          <w:sz w:val="21"/>
        </w:rPr>
        <w:t>；</w:t>
      </w:r>
    </w:p>
    <w:p>
      <w:pPr>
        <w:spacing w:before="37"/>
        <w:ind w:left="275" w:right="0" w:firstLine="0"/>
        <w:jc w:val="left"/>
        <w:rPr>
          <w:sz w:val="21"/>
        </w:rPr>
      </w:pPr>
      <w:r>
        <w:rPr>
          <w:spacing w:val="-1"/>
          <w:sz w:val="21"/>
        </w:rPr>
        <w:t>（2</w:t>
      </w:r>
      <w:r>
        <w:rPr>
          <w:sz w:val="21"/>
        </w:rPr>
        <w:t>）</w:t>
      </w:r>
      <w:r>
        <w:rPr>
          <w:b/>
          <w:w w:val="99"/>
          <w:sz w:val="21"/>
        </w:rPr>
        <w:t>语言能力或咀嚼吞咽能力完全丧失</w:t>
      </w:r>
      <w:r>
        <w:rPr>
          <w:b/>
          <w:spacing w:val="-51"/>
          <w:sz w:val="21"/>
        </w:rPr>
        <w:t> </w:t>
      </w:r>
      <w:r>
        <w:rPr>
          <w:w w:val="103"/>
          <w:position w:val="10"/>
          <w:sz w:val="10"/>
        </w:rPr>
        <w:t>11.18</w:t>
      </w:r>
      <w:r>
        <w:rPr>
          <w:sz w:val="21"/>
        </w:rPr>
        <w:t>；</w:t>
      </w:r>
    </w:p>
    <w:p>
      <w:pPr>
        <w:spacing w:line="273" w:lineRule="auto" w:before="37"/>
        <w:ind w:left="275" w:right="201" w:firstLine="0"/>
        <w:jc w:val="left"/>
        <w:rPr>
          <w:sz w:val="21"/>
        </w:rPr>
      </w:pPr>
      <w:r>
        <w:rPr>
          <w:sz w:val="21"/>
        </w:rPr>
        <w:t>（3）自主生活能力完全丧失，无法独立完成</w:t>
      </w:r>
      <w:r>
        <w:rPr>
          <w:b/>
          <w:sz w:val="21"/>
        </w:rPr>
        <w:t>六项基本日常生活活动 </w:t>
      </w:r>
      <w:r>
        <w:rPr>
          <w:position w:val="10"/>
          <w:sz w:val="10"/>
        </w:rPr>
        <w:t>11.19 </w:t>
      </w:r>
      <w:r>
        <w:rPr>
          <w:sz w:val="21"/>
        </w:rPr>
        <w:t>中的三项或三项以上。</w:t>
      </w:r>
    </w:p>
    <w:p>
      <w:pPr>
        <w:spacing w:after="0" w:line="273" w:lineRule="auto"/>
        <w:jc w:val="left"/>
        <w:rPr>
          <w:sz w:val="21"/>
        </w:rPr>
        <w:sectPr>
          <w:type w:val="continuous"/>
          <w:pgSz w:w="11910" w:h="16840"/>
          <w:pgMar w:top="56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before="36"/>
        <w:ind w:left="1048"/>
        <w:rPr>
          <w:b/>
        </w:rPr>
      </w:pPr>
      <w:r>
        <w:rPr/>
        <w:t>29.冠状动脉搭桥</w:t>
      </w:r>
      <w:r>
        <w:rPr>
          <w:spacing w:val="-7"/>
        </w:rPr>
        <w:t>术</w:t>
      </w:r>
      <w:r>
        <w:rPr/>
        <w:t>（或称冠状动脉</w:t>
      </w:r>
      <w:r>
        <w:rPr>
          <w:w w:val="95"/>
        </w:rPr>
        <w:t>旁路移植术）</w:t>
      </w:r>
      <w:r>
        <w:rPr>
          <w:b/>
          <w:w w:val="95"/>
        </w:rPr>
        <w:t>★</w:t>
      </w:r>
    </w:p>
    <w:p>
      <w:pPr>
        <w:pStyle w:val="BodyText"/>
        <w:spacing w:line="273" w:lineRule="auto" w:before="36"/>
        <w:ind w:left="176" w:right="202"/>
      </w:pPr>
      <w:r>
        <w:rPr/>
        <w:br w:type="column"/>
      </w:r>
      <w:r>
        <w:rPr/>
        <w:t>指为治疗严重的冠心病，实际实施了开胸进行的冠状动脉血管旁路移植的手术。</w:t>
      </w:r>
    </w:p>
    <w:p>
      <w:pPr>
        <w:pStyle w:val="Heading2"/>
        <w:spacing w:line="273" w:lineRule="auto" w:before="8"/>
        <w:ind w:left="176" w:right="170"/>
      </w:pPr>
      <w:r>
        <w:rPr/>
        <w:t>冠状动脉支架植入术、心导管球囊扩张术、激光射频技术及其它非开胸的介</w:t>
      </w:r>
      <w:r>
        <w:rPr>
          <w:w w:val="95"/>
        </w:rPr>
        <w:t>入手术、腔镜手术不在保障范围内。</w:t>
      </w:r>
    </w:p>
    <w:p>
      <w:pPr>
        <w:spacing w:after="0" w:line="273" w:lineRule="auto"/>
        <w:sectPr>
          <w:type w:val="continuous"/>
          <w:pgSz w:w="11910" w:h="16840"/>
          <w:pgMar w:top="560" w:bottom="280" w:left="920" w:right="800"/>
          <w:cols w:num="2" w:equalWidth="0">
            <w:col w:w="2722" w:space="40"/>
            <w:col w:w="7428"/>
          </w:cols>
        </w:sectPr>
      </w:pPr>
    </w:p>
    <w:p>
      <w:pPr>
        <w:pStyle w:val="BodyText"/>
        <w:spacing w:before="3"/>
        <w:rPr>
          <w:b/>
          <w:sz w:val="15"/>
        </w:rPr>
      </w:pPr>
    </w:p>
    <w:p>
      <w:pPr>
        <w:pStyle w:val="BodyText"/>
        <w:spacing w:line="273" w:lineRule="auto"/>
        <w:ind w:left="2938" w:right="202" w:hanging="1890"/>
        <w:jc w:val="both"/>
      </w:pPr>
      <w:r>
        <w:rPr/>
        <w:t>30.良性脑肿瘤</w:t>
      </w:r>
      <w:r>
        <w:rPr>
          <w:b/>
        </w:rPr>
        <w:t>★  </w: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2"/>
        <w:ind w:left="2938"/>
      </w:pPr>
      <w:r>
        <w:rPr/>
        <w:t>（1）实际实施了开颅进行的脑肿瘤完全切除或部分切除的手术；</w:t>
      </w:r>
    </w:p>
    <w:p>
      <w:pPr>
        <w:pStyle w:val="BodyText"/>
        <w:spacing w:before="130"/>
        <w:ind w:left="2938"/>
      </w:pPr>
      <w:r>
        <w:rPr/>
        <w:t>（2）实际实施了对脑肿瘤进行的放射治疗。</w:t>
      </w:r>
    </w:p>
    <w:p>
      <w:pPr>
        <w:pStyle w:val="Heading2"/>
        <w:spacing w:before="130"/>
      </w:pPr>
      <w:r>
        <w:rPr>
          <w:w w:val="95"/>
        </w:rPr>
        <w:t>脑垂体瘤、脑囊肿、脑血管性疾病不在保障范围内。</w:t>
      </w:r>
    </w:p>
    <w:p>
      <w:pPr>
        <w:pStyle w:val="BodyText"/>
        <w:spacing w:before="7"/>
        <w:rPr>
          <w:b/>
          <w:sz w:val="17"/>
        </w:rPr>
      </w:pPr>
    </w:p>
    <w:p>
      <w:pPr>
        <w:spacing w:after="0"/>
        <w:rPr>
          <w:sz w:val="17"/>
        </w:rPr>
        <w:sectPr>
          <w:type w:val="continuous"/>
          <w:pgSz w:w="11910" w:h="16840"/>
          <w:pgMar w:top="560" w:bottom="280" w:left="920" w:right="800"/>
        </w:sectPr>
      </w:pPr>
    </w:p>
    <w:p>
      <w:pPr>
        <w:pStyle w:val="BodyText"/>
        <w:spacing w:line="273" w:lineRule="auto"/>
        <w:ind w:left="1048"/>
        <w:rPr>
          <w:b/>
        </w:rPr>
      </w:pPr>
      <w:r>
        <w:rPr>
          <w:spacing w:val="-1"/>
        </w:rPr>
        <w:t>31.</w:t>
      </w:r>
      <w:r>
        <w:rPr/>
        <w:t>脑炎后遗症或</w:t>
      </w:r>
      <w:r>
        <w:rPr>
          <w:w w:val="95"/>
        </w:rPr>
        <w:t>脑膜炎后遗症</w:t>
      </w:r>
      <w:r>
        <w:rPr>
          <w:b/>
          <w:w w:val="95"/>
        </w:rPr>
        <w:t>★</w:t>
      </w:r>
    </w:p>
    <w:p>
      <w:pPr>
        <w:pStyle w:val="BodyText"/>
        <w:spacing w:line="273" w:lineRule="auto"/>
        <w:ind w:left="275" w:right="202"/>
      </w:pPr>
      <w:r>
        <w:rPr/>
        <w:br w:type="column"/>
      </w:r>
      <w:r>
        <w:rPr/>
        <w:t>指因患脑炎或脑膜炎导致的神经系统永久性的功能障碍。神经系统永久性的功能障碍，指疾病确诊 180 天后，仍遗留下列一种或一种以上障碍：</w:t>
      </w:r>
    </w:p>
    <w:p>
      <w:pPr>
        <w:pStyle w:val="BodyText"/>
        <w:spacing w:before="100"/>
        <w:ind w:left="275"/>
      </w:pPr>
      <w:r>
        <w:rPr/>
        <w:t>（1）一肢或一肢以上肢体机能完全丧失；</w:t>
      </w:r>
    </w:p>
    <w:p>
      <w:pPr>
        <w:pStyle w:val="BodyText"/>
        <w:spacing w:before="130"/>
        <w:ind w:left="275"/>
      </w:pPr>
      <w:r>
        <w:rPr/>
        <w:t>（2）语言能力或咀嚼吞咽能力完全丧失；</w:t>
      </w:r>
    </w:p>
    <w:p>
      <w:pPr>
        <w:pStyle w:val="BodyText"/>
        <w:spacing w:line="273" w:lineRule="auto" w:before="132"/>
        <w:ind w:left="799" w:right="210" w:hanging="525"/>
      </w:pPr>
      <w:r>
        <w:rPr>
          <w:spacing w:val="-5"/>
        </w:rPr>
        <w:t>（3）</w:t>
      </w:r>
      <w:r>
        <w:rPr>
          <w:spacing w:val="-14"/>
        </w:rPr>
        <w:t>自主生活能力完全丧失，无法独立完成六项基本日常生活活动中的三项或三项以上。</w:t>
      </w:r>
    </w:p>
    <w:p>
      <w:pPr>
        <w:spacing w:after="0" w:line="273" w:lineRule="auto"/>
        <w:sectPr>
          <w:type w:val="continuous"/>
          <w:pgSz w:w="11910" w:h="16840"/>
          <w:pgMar w:top="560" w:bottom="280" w:left="920" w:right="800"/>
          <w:cols w:num="2" w:equalWidth="0">
            <w:col w:w="2623" w:space="40"/>
            <w:col w:w="7527"/>
          </w:cols>
        </w:sectPr>
      </w:pPr>
    </w:p>
    <w:p>
      <w:pPr>
        <w:pStyle w:val="BodyText"/>
        <w:spacing w:before="3"/>
        <w:rPr>
          <w:sz w:val="15"/>
        </w:rPr>
      </w:pPr>
    </w:p>
    <w:p>
      <w:pPr>
        <w:pStyle w:val="BodyText"/>
        <w:spacing w:line="273" w:lineRule="auto"/>
        <w:ind w:left="2938" w:right="204" w:hanging="1890"/>
        <w:jc w:val="both"/>
      </w:pPr>
      <w:r>
        <w:rPr/>
        <w:t>32.深度昏迷</w:t>
      </w:r>
      <w:r>
        <w:rPr>
          <w:b/>
          <w:spacing w:val="10"/>
        </w:rPr>
        <w:t>★    </w:t>
      </w:r>
      <w:r>
        <w:rPr/>
        <w:t>指因疾病或意外伤害导致意识丧失,对外界刺激和体内需求均无反应,昏迷程度按照格拉斯哥昏迷分级（Glasgow coma scale）</w:t>
      </w:r>
      <w:r>
        <w:rPr>
          <w:spacing w:val="-11"/>
        </w:rPr>
        <w:t>结果为 </w:t>
      </w:r>
      <w:r>
        <w:rPr/>
        <w:t>5</w:t>
      </w:r>
      <w:r>
        <w:rPr>
          <w:spacing w:val="-24"/>
        </w:rPr>
        <w:t> 分或 </w:t>
      </w:r>
      <w:r>
        <w:rPr/>
        <w:t>5</w:t>
      </w:r>
      <w:r>
        <w:rPr>
          <w:spacing w:val="-9"/>
        </w:rPr>
        <w:t> 分以下， </w:t>
      </w:r>
      <w:r>
        <w:rPr>
          <w:spacing w:val="-3"/>
        </w:rPr>
        <w:t>且已经持续使用呼吸机及其它生命维持系统 </w:t>
      </w:r>
      <w:r>
        <w:rPr/>
        <w:t>96</w:t>
      </w:r>
      <w:r>
        <w:rPr>
          <w:spacing w:val="-10"/>
        </w:rPr>
        <w:t> 小时以上。</w:t>
      </w:r>
    </w:p>
    <w:p>
      <w:pPr>
        <w:pStyle w:val="Heading2"/>
      </w:pPr>
      <w:r>
        <w:rPr>
          <w:w w:val="95"/>
        </w:rPr>
        <w:t>因酗酒或药物滥用导致的深度昏迷不在保障范围内。</w:t>
      </w:r>
    </w:p>
    <w:p>
      <w:pPr>
        <w:pStyle w:val="BodyText"/>
        <w:spacing w:before="2"/>
        <w:rPr>
          <w:b/>
          <w:sz w:val="20"/>
        </w:rPr>
      </w:pPr>
    </w:p>
    <w:p>
      <w:pPr>
        <w:pStyle w:val="BodyText"/>
        <w:spacing w:line="273" w:lineRule="auto" w:before="0"/>
        <w:ind w:left="2938" w:right="202" w:hanging="1890"/>
        <w:jc w:val="both"/>
      </w:pPr>
      <w:r>
        <w:rPr/>
        <w:t>33.瘫痪</w:t>
      </w:r>
      <w:r>
        <w:rPr>
          <w:b/>
          <w:spacing w:val="5"/>
        </w:rPr>
        <w:t>★        </w:t>
      </w:r>
      <w:r>
        <w:rPr/>
        <w:t>指因疾病或意外伤害导致两肢或两肢以上肢体机能永久完全丧失。肢体机能</w:t>
      </w:r>
      <w:r>
        <w:rPr>
          <w:spacing w:val="-4"/>
        </w:rPr>
        <w:t>永久完全丧失，指疾病确诊 </w:t>
      </w:r>
      <w:r>
        <w:rPr/>
        <w:t>180</w:t>
      </w:r>
      <w:r>
        <w:rPr>
          <w:spacing w:val="-9"/>
        </w:rPr>
        <w:t> 天后或意外伤害发生 </w:t>
      </w:r>
      <w:r>
        <w:rPr/>
        <w:t>180</w:t>
      </w:r>
      <w:r>
        <w:rPr>
          <w:spacing w:val="-6"/>
        </w:rPr>
        <w:t> 天后，每肢三大关节中的两大关节仍然完全僵硬，或不能随意识活动。</w:t>
      </w:r>
    </w:p>
    <w:p>
      <w:pPr>
        <w:spacing w:after="0" w:line="273" w:lineRule="auto"/>
        <w:jc w:val="both"/>
        <w:sectPr>
          <w:type w:val="continuous"/>
          <w:pgSz w:w="11910" w:h="16840"/>
          <w:pgMar w:top="560" w:bottom="280" w:left="920" w:right="800"/>
        </w:sectPr>
      </w:pPr>
    </w:p>
    <w:p>
      <w:pPr>
        <w:pStyle w:val="BodyText"/>
        <w:spacing w:before="1"/>
      </w:pPr>
    </w:p>
    <w:p>
      <w:pPr>
        <w:spacing w:after="0"/>
        <w:sectPr>
          <w:pgSz w:w="11910" w:h="16840"/>
          <w:pgMar w:header="608" w:footer="408" w:top="800" w:bottom="600" w:left="920" w:right="800"/>
        </w:sectPr>
      </w:pPr>
    </w:p>
    <w:p>
      <w:pPr>
        <w:pStyle w:val="BodyText"/>
        <w:ind w:left="1048"/>
      </w:pPr>
      <w:r>
        <w:rPr>
          <w:spacing w:val="-1"/>
        </w:rPr>
        <w:t>34.心脏瓣膜手术</w:t>
      </w:r>
    </w:p>
    <w:p>
      <w:pPr>
        <w:pStyle w:val="Heading2"/>
        <w:spacing w:before="36"/>
        <w:ind w:left="0" w:right="314"/>
        <w:jc w:val="center"/>
      </w:pPr>
      <w:r>
        <w:rPr>
          <w:w w:val="99"/>
        </w:rPr>
        <w:t>★</w:t>
      </w:r>
    </w:p>
    <w:p>
      <w:pPr>
        <w:pStyle w:val="BodyText"/>
        <w:ind w:left="275"/>
      </w:pPr>
      <w:r>
        <w:rPr/>
        <w:br w:type="column"/>
      </w:r>
      <w:r>
        <w:rPr/>
        <w:t>指为治疗心脏瓣膜疾病，实际实施了开胸进行的心脏瓣膜置换或修复的手术。</w:t>
      </w:r>
    </w:p>
    <w:p>
      <w:pPr>
        <w:spacing w:after="0"/>
        <w:sectPr>
          <w:type w:val="continuous"/>
          <w:pgSz w:w="11910" w:h="16840"/>
          <w:pgMar w:top="560" w:bottom="280" w:left="920" w:right="800"/>
          <w:cols w:num="2" w:equalWidth="0">
            <w:col w:w="2623" w:space="40"/>
            <w:col w:w="7527"/>
          </w:cols>
        </w:sectPr>
      </w:pP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before="36"/>
        <w:ind w:left="1048"/>
        <w:rPr>
          <w:b/>
        </w:rPr>
      </w:pPr>
      <w:r>
        <w:rPr>
          <w:spacing w:val="-1"/>
        </w:rPr>
        <w:t>35.</w:t>
      </w:r>
      <w:r>
        <w:rPr/>
        <w:t>严重阿尔茨海</w:t>
      </w:r>
      <w:r>
        <w:rPr>
          <w:w w:val="95"/>
        </w:rPr>
        <w:t>默病</w:t>
      </w:r>
      <w:r>
        <w:rPr>
          <w:b/>
          <w:w w:val="95"/>
        </w:rPr>
        <w:t>★</w:t>
      </w:r>
    </w:p>
    <w:p>
      <w:pPr>
        <w:pStyle w:val="BodyText"/>
        <w:spacing w:line="273" w:lineRule="auto" w:before="36"/>
        <w:ind w:left="275"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ind w:left="275"/>
        <w:jc w:val="both"/>
      </w:pPr>
      <w:r>
        <w:rPr>
          <w:w w:val="95"/>
        </w:rPr>
        <w:t>神经官能症和精神疾病不在保障范围内。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9"/>
        <w:rPr>
          <w:b/>
          <w:sz w:val="24"/>
        </w:rPr>
      </w:pPr>
    </w:p>
    <w:p>
      <w:pPr>
        <w:pStyle w:val="BodyText"/>
        <w:spacing w:line="273" w:lineRule="auto"/>
        <w:ind w:left="2938" w:right="202" w:hanging="1890"/>
        <w:jc w:val="both"/>
      </w:pPr>
      <w:r>
        <w:rPr/>
        <w:t>36.严重脑损伤</w:t>
      </w:r>
      <w:r>
        <w:rPr>
          <w:b/>
        </w:rPr>
        <w:t>★  </w:t>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before="101"/>
        <w:ind w:left="2938"/>
      </w:pPr>
      <w:r>
        <w:rPr/>
        <w:t>（1）一肢或一肢以上肢体机能完全丧失；</w:t>
      </w:r>
    </w:p>
    <w:p>
      <w:pPr>
        <w:pStyle w:val="BodyText"/>
        <w:spacing w:before="130"/>
        <w:ind w:left="2938"/>
      </w:pPr>
      <w:r>
        <w:rPr/>
        <w:t>（2）语言能力或咀嚼吞咽能力完全丧失；</w:t>
      </w:r>
    </w:p>
    <w:p>
      <w:pPr>
        <w:pStyle w:val="BodyText"/>
        <w:spacing w:line="273" w:lineRule="auto" w:before="131"/>
        <w:ind w:left="3462" w:right="211" w:hanging="525"/>
      </w:pPr>
      <w:r>
        <w:rPr/>
        <w:t>（3）自主生活能力完全丧失，无法独立完成六项基本日常生活活动中的三项或三项以上。</w:t>
      </w:r>
    </w:p>
    <w:p>
      <w:pPr>
        <w:pStyle w:val="BodyText"/>
        <w:spacing w:before="2"/>
        <w:rPr>
          <w:sz w:val="15"/>
        </w:rPr>
      </w:pPr>
    </w:p>
    <w:p>
      <w:pPr>
        <w:spacing w:after="0"/>
        <w:rPr>
          <w:sz w:val="15"/>
        </w:rPr>
        <w:sectPr>
          <w:type w:val="continuous"/>
          <w:pgSz w:w="11910" w:h="16840"/>
          <w:pgMar w:top="560" w:bottom="280" w:left="920" w:right="800"/>
        </w:sectPr>
      </w:pPr>
    </w:p>
    <w:p>
      <w:pPr>
        <w:pStyle w:val="BodyText"/>
        <w:spacing w:before="36"/>
        <w:ind w:left="1048"/>
      </w:pPr>
      <w:r>
        <w:rPr>
          <w:spacing w:val="-1"/>
        </w:rPr>
        <w:t>37.帕金森综合征</w:t>
      </w:r>
    </w:p>
    <w:p>
      <w:pPr>
        <w:pStyle w:val="Heading2"/>
        <w:spacing w:before="37"/>
        <w:ind w:left="0" w:right="314"/>
        <w:jc w:val="center"/>
      </w:pPr>
      <w:r>
        <w:rPr>
          <w:w w:val="99"/>
        </w:rPr>
        <w:t>★</w:t>
      </w:r>
    </w:p>
    <w:p>
      <w:pPr>
        <w:pStyle w:val="BodyText"/>
        <w:spacing w:line="273" w:lineRule="auto" w:before="36"/>
        <w:ind w:left="275" w:right="202"/>
      </w:pPr>
      <w:r>
        <w:rPr/>
        <w:br w:type="column"/>
      </w:r>
      <w:r>
        <w:rPr/>
        <w:t>是一种中枢神经系统的退行性疾病，临床表现为震颤麻痹、共济失调等。须满足下列全部条件：</w:t>
      </w:r>
    </w:p>
    <w:p>
      <w:pPr>
        <w:pStyle w:val="BodyText"/>
        <w:spacing w:before="85"/>
        <w:ind w:left="275"/>
      </w:pPr>
      <w:r>
        <w:rPr/>
        <w:t>（1）药物治疗无法控制病情；</w:t>
      </w:r>
    </w:p>
    <w:p>
      <w:pPr>
        <w:pStyle w:val="BodyText"/>
        <w:spacing w:line="273" w:lineRule="auto" w:before="114"/>
        <w:ind w:left="275" w:right="211"/>
      </w:pPr>
      <w:r>
        <w:rPr/>
        <w:t>（2）自主生活能力完全丧失，无法独立完成六项基本日常生活活动中的三项或三项以上。</w:t>
      </w:r>
    </w:p>
    <w:p>
      <w:pPr>
        <w:pStyle w:val="Heading2"/>
        <w:spacing w:before="85"/>
        <w:ind w:left="275"/>
      </w:pPr>
      <w:r>
        <w:rPr>
          <w:w w:val="95"/>
        </w:rPr>
        <w:t>继发性帕金森综合征不在保障范围内。</w:t>
      </w:r>
    </w:p>
    <w:p>
      <w:pPr>
        <w:spacing w:after="0"/>
        <w:sectPr>
          <w:type w:val="continuous"/>
          <w:pgSz w:w="11910" w:h="16840"/>
          <w:pgMar w:top="560" w:bottom="280" w:left="920" w:right="800"/>
          <w:cols w:num="2" w:equalWidth="0">
            <w:col w:w="2623" w:space="40"/>
            <w:col w:w="7527"/>
          </w:cols>
        </w:sectPr>
      </w:pPr>
    </w:p>
    <w:p>
      <w:pPr>
        <w:pStyle w:val="BodyText"/>
        <w:spacing w:before="5"/>
        <w:rPr>
          <w:b/>
          <w:sz w:val="23"/>
        </w:rPr>
      </w:pPr>
    </w:p>
    <w:p>
      <w:pPr>
        <w:spacing w:after="0"/>
        <w:rPr>
          <w:sz w:val="23"/>
        </w:rPr>
        <w:sectPr>
          <w:type w:val="continuous"/>
          <w:pgSz w:w="11910" w:h="16840"/>
          <w:pgMar w:top="560" w:bottom="280" w:left="920" w:right="800"/>
        </w:sectPr>
      </w:pPr>
    </w:p>
    <w:p>
      <w:pPr>
        <w:pStyle w:val="BodyText"/>
        <w:spacing w:line="273" w:lineRule="auto"/>
        <w:ind w:left="1048"/>
        <w:rPr>
          <w:b/>
        </w:rPr>
      </w:pPr>
      <w:r>
        <w:rPr>
          <w:spacing w:val="-1"/>
        </w:rPr>
        <w:t>38.</w:t>
      </w:r>
      <w:r>
        <w:rPr/>
        <w:t>严重原发性肺</w:t>
      </w:r>
      <w:r>
        <w:rPr>
          <w:w w:val="95"/>
        </w:rPr>
        <w:t>动脉高压</w:t>
      </w:r>
      <w:r>
        <w:rPr>
          <w:b/>
          <w:w w:val="95"/>
        </w:rPr>
        <w:t>★</w:t>
      </w:r>
    </w:p>
    <w:p>
      <w:pPr>
        <w:pStyle w:val="BodyText"/>
        <w:spacing w:line="273" w:lineRule="auto"/>
        <w:ind w:left="275" w:right="202"/>
        <w:jc w:val="both"/>
      </w:pPr>
      <w:r>
        <w:rPr/>
        <w:br w:type="column"/>
      </w: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ind w:left="1048"/>
        <w:rPr>
          <w:b/>
        </w:rPr>
      </w:pPr>
      <w:r>
        <w:rPr>
          <w:spacing w:val="-1"/>
        </w:rPr>
        <w:t>39.</w:t>
      </w:r>
      <w:r>
        <w:rPr/>
        <w:t>严重运动神经</w:t>
      </w:r>
      <w:r>
        <w:rPr>
          <w:w w:val="95"/>
        </w:rPr>
        <w:t>元病</w:t>
      </w:r>
      <w:r>
        <w:rPr>
          <w:b/>
          <w:w w:val="95"/>
        </w:rPr>
        <w:t>★</w:t>
      </w:r>
    </w:p>
    <w:p>
      <w:pPr>
        <w:pStyle w:val="BodyText"/>
        <w:spacing w:line="273" w:lineRule="auto"/>
        <w:ind w:left="275" w:right="106"/>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rPr>
          <w:sz w:val="15"/>
        </w:rPr>
      </w:pPr>
    </w:p>
    <w:p>
      <w:pPr>
        <w:pStyle w:val="BodyText"/>
        <w:spacing w:line="273" w:lineRule="auto"/>
        <w:ind w:left="2938" w:right="202" w:hanging="1890"/>
        <w:jc w:val="both"/>
      </w:pPr>
      <w:r>
        <w:rPr/>
        <w:t>40.主动脉手术</w:t>
      </w:r>
      <w:r>
        <w:rPr>
          <w:b/>
        </w:rPr>
        <w:t>★  </w:t>
      </w:r>
      <w:r>
        <w:rPr/>
        <w:t>指为治疗主动脉疾病，实际实施了开胸或开腹进行的切除、置换、修补病损主动脉血管的手术。主动脉指胸主动脉和腹主动脉，不包括胸主动脉和腹主动脉的分支血管。</w:t>
      </w:r>
    </w:p>
    <w:p>
      <w:pPr>
        <w:pStyle w:val="Heading2"/>
        <w:spacing w:before="102"/>
      </w:pPr>
      <w:r>
        <w:rPr>
          <w:w w:val="95"/>
        </w:rPr>
        <w:t>动脉内血管成形术不在保障范围内。</w:t>
      </w:r>
    </w:p>
    <w:p>
      <w:pPr>
        <w:pStyle w:val="BodyText"/>
        <w:spacing w:before="8"/>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41.</w:t>
      </w:r>
      <w:r>
        <w:rPr/>
        <w:t>严重植物人状态</w:t>
      </w:r>
    </w:p>
    <w:p>
      <w:pPr>
        <w:pStyle w:val="BodyText"/>
        <w:spacing w:line="273" w:lineRule="auto"/>
        <w:ind w:left="275" w:right="202"/>
        <w:jc w:val="both"/>
      </w:pPr>
      <w:r>
        <w:rPr/>
        <w:br w:type="column"/>
      </w:r>
      <w:r>
        <w:rPr>
          <w:spacing w:val="5"/>
        </w:rPr>
        <w:t>植物人状态是指由于严重颅脑外伤造成大脑和/</w:t>
      </w:r>
      <w:r>
        <w:rPr>
          <w:spacing w:val="3"/>
        </w:rPr>
        <w:t>或脑干严重损害导致完全永</w:t>
      </w:r>
      <w:r>
        <w:rPr/>
        <w:t>久性的对自身和环境的意识丧失和中枢神经系统功能丧失，仅残存植物神经功能的疾病状态。对自身和环境的意识丧失的完全永久性指严重颅脑外伤后</w:t>
      </w:r>
      <w:r>
        <w:rPr>
          <w:spacing w:val="-4"/>
        </w:rPr>
        <w:t>对自身和环境的意识丧失持续 </w:t>
      </w:r>
      <w:r>
        <w:rPr/>
        <w:t>12</w:t>
      </w:r>
      <w:r>
        <w:rPr>
          <w:spacing w:val="-8"/>
        </w:rPr>
        <w:t> 个月以上。诊断必须明确并且具有严重颅脑外伤和脑损害的证据。</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0"/>
        <w:rPr>
          <w:sz w:val="20"/>
        </w:rPr>
      </w:pPr>
    </w:p>
    <w:p>
      <w:pPr>
        <w:pStyle w:val="BodyText"/>
        <w:spacing w:before="5"/>
        <w:rPr>
          <w:sz w:val="18"/>
        </w:rPr>
      </w:pPr>
    </w:p>
    <w:p>
      <w:pPr>
        <w:pStyle w:val="BodyText"/>
        <w:spacing w:line="273" w:lineRule="auto" w:before="36"/>
        <w:ind w:left="2938" w:right="115" w:hanging="1890"/>
        <w:jc w:val="both"/>
      </w:pPr>
      <w:r>
        <w:rPr/>
        <w:t>42.肺源性心脏病  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0"/>
        <w:rPr>
          <w:sz w:val="25"/>
        </w:rPr>
      </w:pPr>
    </w:p>
    <w:p>
      <w:pPr>
        <w:pStyle w:val="BodyText"/>
        <w:spacing w:line="273" w:lineRule="auto" w:before="1"/>
        <w:ind w:left="2938" w:right="166" w:hanging="1890"/>
        <w:jc w:val="both"/>
      </w:pPr>
      <w:r>
        <w:rPr/>
        <w:t>43.严重心肌炎    指心肌局限性或弥漫性的急性或慢性炎症病变，导致心脏功能障碍，达到美国纽约心脏病学会心功能状态分级IV 级，且持续至少 180 天。</w:t>
      </w:r>
    </w:p>
    <w:p>
      <w:pPr>
        <w:pStyle w:val="BodyText"/>
        <w:spacing w:before="6"/>
        <w:rPr>
          <w:sz w:val="22"/>
        </w:rPr>
      </w:pPr>
    </w:p>
    <w:p>
      <w:pPr>
        <w:spacing w:after="0"/>
        <w:rPr>
          <w:sz w:val="22"/>
        </w:rPr>
        <w:sectPr>
          <w:pgSz w:w="11910" w:h="16840"/>
          <w:pgMar w:header="608" w:footer="408" w:top="800" w:bottom="600" w:left="920" w:right="840"/>
        </w:sectPr>
      </w:pPr>
    </w:p>
    <w:p>
      <w:pPr>
        <w:pStyle w:val="BodyText"/>
        <w:spacing w:line="273" w:lineRule="auto"/>
        <w:ind w:left="1048"/>
      </w:pPr>
      <w:r>
        <w:rPr>
          <w:spacing w:val="-1"/>
        </w:rPr>
        <w:t>44.</w:t>
      </w:r>
      <w:r>
        <w:rPr/>
        <w:t>严重感染性心内膜炎</w:t>
      </w:r>
    </w:p>
    <w:p>
      <w:pPr>
        <w:pStyle w:val="BodyText"/>
        <w:spacing w:line="256" w:lineRule="auto"/>
        <w:ind w:left="275" w:right="168"/>
      </w:pPr>
      <w:r>
        <w:rPr/>
        <w:br w:type="column"/>
      </w:r>
      <w:r>
        <w:rPr/>
        <w:t>指因感染性微生物造成心脏内膜发炎，经由专科医生确诊，并符合下</w:t>
      </w:r>
      <w:r>
        <w:rPr>
          <w:rFonts w:ascii="Times New Roman" w:eastAsia="Times New Roman"/>
          <w:w w:val="110"/>
        </w:rPr>
        <w:t>列</w:t>
      </w:r>
      <w:r>
        <w:rPr/>
        <w:t>所有条件:</w:t>
      </w:r>
    </w:p>
    <w:p>
      <w:pPr>
        <w:pStyle w:val="BodyText"/>
        <w:spacing w:before="115"/>
        <w:ind w:left="275"/>
      </w:pPr>
      <w:r>
        <w:rPr/>
        <w:t>（1）以下方法之一血液培养测试结果为阳性，证实存在感染性微生物：</w:t>
      </w:r>
    </w:p>
    <w:p>
      <w:pPr>
        <w:pStyle w:val="BodyText"/>
        <w:spacing w:before="130"/>
        <w:ind w:left="275"/>
      </w:pPr>
      <w:r>
        <w:rPr/>
        <w:t>① 微生物：在赘生物或心脏内脓疡经培养或组织检查证实有微生物；</w:t>
      </w:r>
    </w:p>
    <w:p>
      <w:pPr>
        <w:pStyle w:val="BodyText"/>
        <w:spacing w:before="131"/>
        <w:ind w:left="275"/>
      </w:pPr>
      <w:r>
        <w:rPr/>
        <w:t>② 病</w:t>
      </w:r>
      <w:r>
        <w:rPr>
          <w:rFonts w:ascii="Times New Roman" w:hAnsi="Times New Roman" w:eastAsia="Times New Roman"/>
          <w:w w:val="110"/>
        </w:rPr>
        <w:t>理</w:t>
      </w:r>
      <w:r>
        <w:rPr/>
        <w:t>性病灶：组织检查证实赘生物或心脏内脓疡有活动性心内膜炎；</w:t>
      </w:r>
    </w:p>
    <w:p>
      <w:pPr>
        <w:pStyle w:val="BodyText"/>
        <w:spacing w:before="114"/>
        <w:ind w:left="275"/>
      </w:pPr>
      <w:r>
        <w:rPr/>
        <w:t>③ 分别两次血液培养证实有微生物，且与心内膜炎符合；</w:t>
      </w:r>
    </w:p>
    <w:p>
      <w:pPr>
        <w:pStyle w:val="BodyText"/>
        <w:spacing w:line="273" w:lineRule="auto" w:before="130"/>
        <w:ind w:left="275" w:right="171"/>
      </w:pPr>
      <w:r>
        <w:rPr/>
        <w:t>（2）出现明显的心功能衰竭（指按照美国纽约心脏病学会提出的心功能状态分级的标准判定，心功能状态已达Ⅳ级）。</w:t>
      </w:r>
    </w:p>
    <w:p>
      <w:pPr>
        <w:spacing w:after="0" w:line="273" w:lineRule="auto"/>
        <w:sectPr>
          <w:type w:val="continuous"/>
          <w:pgSz w:w="11910" w:h="16840"/>
          <w:pgMar w:top="560" w:bottom="280" w:left="920" w:right="840"/>
          <w:cols w:num="2" w:equalWidth="0">
            <w:col w:w="2623" w:space="40"/>
            <w:col w:w="7487"/>
          </w:cols>
        </w:sectPr>
      </w:pPr>
    </w:p>
    <w:p>
      <w:pPr>
        <w:pStyle w:val="BodyText"/>
        <w:spacing w:before="5"/>
        <w:rPr>
          <w:sz w:val="22"/>
        </w:rPr>
      </w:pPr>
    </w:p>
    <w:p>
      <w:pPr>
        <w:pStyle w:val="BodyText"/>
        <w:spacing w:line="273" w:lineRule="auto" w:before="36"/>
        <w:ind w:left="2937" w:right="162" w:hanging="1890"/>
        <w:jc w:val="both"/>
      </w:pPr>
      <w:r>
        <w:rPr/>
        <w:t>45.嗜铬细胞瘤    指发生在肾上腺或肾上腺外嗜铬组织的以分泌过多的儿茶酚胺为表现的神经内分泌肿瘤。嗜铬细胞瘤必须由内分泌专科医生诊断，并且满足以下所有条件：</w:t>
      </w:r>
    </w:p>
    <w:p>
      <w:pPr>
        <w:pStyle w:val="BodyText"/>
        <w:spacing w:before="101"/>
        <w:ind w:left="2937"/>
      </w:pPr>
      <w:r>
        <w:rPr/>
        <w:t>（1）临床有高血压症候群表现；</w:t>
      </w:r>
    </w:p>
    <w:p>
      <w:pPr>
        <w:pStyle w:val="BodyText"/>
        <w:spacing w:before="131"/>
        <w:ind w:left="2937"/>
      </w:pPr>
      <w:r>
        <w:rPr/>
        <w:t>（2）已经实施了嗜铬细胞瘤切除手术。</w:t>
      </w:r>
    </w:p>
    <w:p>
      <w:pPr>
        <w:pStyle w:val="BodyText"/>
        <w:spacing w:before="3"/>
        <w:rPr>
          <w:sz w:val="27"/>
        </w:rPr>
      </w:pPr>
    </w:p>
    <w:p>
      <w:pPr>
        <w:pStyle w:val="BodyText"/>
        <w:spacing w:line="273" w:lineRule="auto" w:before="1"/>
        <w:ind w:left="2937" w:right="162" w:hanging="1890"/>
        <w:jc w:val="both"/>
      </w:pPr>
      <w:r>
        <w:rPr/>
        <w:t>46.严重冠心病    指经根据冠状动脉造影检查结果明确诊断为三支主要血管（左冠状动脉主干和右冠状动脉，或前降支、左旋支和右冠状动脉）严重狭窄性病变（至少一支血管管腔直径减少 75％以上和其他两支血管管腔直径减少 60％以上）。</w:t>
      </w:r>
    </w:p>
    <w:p>
      <w:pPr>
        <w:pStyle w:val="Heading2"/>
        <w:ind w:left="2937"/>
      </w:pPr>
      <w:r>
        <w:rPr>
          <w:w w:val="95"/>
        </w:rPr>
        <w:t>前降支、左旋支及右冠状动脉的分支血管的狭窄不作为本保障的衡量指标。</w:t>
      </w:r>
    </w:p>
    <w:p>
      <w:pPr>
        <w:pStyle w:val="BodyText"/>
        <w:spacing w:before="8"/>
        <w:rPr>
          <w:b/>
          <w:sz w:val="24"/>
        </w:rPr>
      </w:pPr>
    </w:p>
    <w:p>
      <w:pPr>
        <w:spacing w:after="0"/>
        <w:rPr>
          <w:sz w:val="24"/>
        </w:rPr>
        <w:sectPr>
          <w:type w:val="continuous"/>
          <w:pgSz w:w="11910" w:h="16840"/>
          <w:pgMar w:top="560" w:bottom="280" w:left="920" w:right="840"/>
        </w:sectPr>
      </w:pPr>
    </w:p>
    <w:p>
      <w:pPr>
        <w:pStyle w:val="BodyText"/>
        <w:spacing w:line="273" w:lineRule="auto" w:before="36"/>
        <w:ind w:left="1047"/>
      </w:pPr>
      <w:r>
        <w:rPr/>
        <w:t>47.破裂脑动脉瘤夹闭手术</w:t>
      </w:r>
    </w:p>
    <w:p>
      <w:pPr>
        <w:pStyle w:val="BodyText"/>
        <w:spacing w:line="273" w:lineRule="auto" w:before="36"/>
        <w:ind w:left="275" w:right="162"/>
      </w:pPr>
      <w:r>
        <w:rPr/>
        <w:br w:type="column"/>
      </w:r>
      <w:r>
        <w:rPr/>
        <w:t>指因脑动脉瘤破裂造成蛛网膜下腔出血，被保险人实际接受了在全麻下进行的开颅动脉瘤夹闭手术。</w:t>
      </w:r>
    </w:p>
    <w:p>
      <w:pPr>
        <w:pStyle w:val="Heading2"/>
        <w:spacing w:line="273" w:lineRule="auto"/>
        <w:ind w:left="275" w:right="130"/>
      </w:pPr>
      <w:r>
        <w:rPr/>
        <w:t>脑动脉瘤（未破裂）预防性手术、颅骨打孔手术、动脉瘤栓塞手术、血管内</w:t>
      </w:r>
      <w:r>
        <w:rPr>
          <w:w w:val="95"/>
        </w:rPr>
        <w:t>手术及其他颅脑手术不在本保障范围内。</w:t>
      </w:r>
    </w:p>
    <w:p>
      <w:pPr>
        <w:spacing w:after="0" w:line="273" w:lineRule="auto"/>
        <w:sectPr>
          <w:type w:val="continuous"/>
          <w:pgSz w:w="11910" w:h="16840"/>
          <w:pgMar w:top="560" w:bottom="280" w:left="920" w:right="840"/>
          <w:cols w:num="2" w:equalWidth="0">
            <w:col w:w="2623" w:space="40"/>
            <w:col w:w="7487"/>
          </w:cols>
        </w:sectPr>
      </w:pPr>
    </w:p>
    <w:p>
      <w:pPr>
        <w:pStyle w:val="BodyText"/>
        <w:spacing w:before="6"/>
        <w:rPr>
          <w:b/>
          <w:sz w:val="22"/>
        </w:rPr>
      </w:pPr>
    </w:p>
    <w:p>
      <w:pPr>
        <w:spacing w:after="0"/>
        <w:rPr>
          <w:sz w:val="22"/>
        </w:rPr>
        <w:sectPr>
          <w:type w:val="continuous"/>
          <w:pgSz w:w="11910" w:h="16840"/>
          <w:pgMar w:top="560" w:bottom="280" w:left="920" w:right="840"/>
        </w:sectPr>
      </w:pPr>
    </w:p>
    <w:p>
      <w:pPr>
        <w:pStyle w:val="BodyText"/>
        <w:ind w:left="1047"/>
      </w:pPr>
      <w:r>
        <w:rPr/>
        <w:t>48.克-雅氏病</w:t>
      </w:r>
    </w:p>
    <w:p>
      <w:pPr>
        <w:pStyle w:val="BodyText"/>
        <w:spacing w:line="273" w:lineRule="auto" w:before="37"/>
        <w:ind w:left="1047"/>
      </w:pPr>
      <w:r>
        <w:rPr/>
        <w:t>（CJD、人类疯牛病）</w:t>
      </w:r>
    </w:p>
    <w:p>
      <w:pPr>
        <w:pStyle w:val="BodyText"/>
        <w:spacing w:line="273" w:lineRule="auto"/>
        <w:ind w:left="275" w:right="162"/>
        <w:jc w:val="both"/>
      </w:pPr>
      <w:r>
        <w:rPr/>
        <w:br w:type="column"/>
      </w:r>
      <w:r>
        <w:rPr/>
        <w:t>是一种传染性海绵状脑病，临床表现为快速进行性痴呆、肌阵挛和特征性脑电图变化。本病须经三级医院的专科医生根据 WHO 诊断标准明确诊断，并且被保险人自主生活能力完全丧失，无法独立完成六项基本日常生活活动中的三项或三项以上。</w:t>
      </w:r>
    </w:p>
    <w:p>
      <w:pPr>
        <w:pStyle w:val="Heading2"/>
        <w:ind w:left="275"/>
        <w:jc w:val="both"/>
      </w:pPr>
      <w:r>
        <w:rPr>
          <w:w w:val="95"/>
        </w:rPr>
        <w:t>疑似病例不在本保障范围内。</w:t>
      </w:r>
    </w:p>
    <w:p>
      <w:pPr>
        <w:spacing w:after="0"/>
        <w:jc w:val="both"/>
        <w:sectPr>
          <w:type w:val="continuous"/>
          <w:pgSz w:w="11910" w:h="16840"/>
          <w:pgMar w:top="560" w:bottom="280" w:left="920" w:right="840"/>
          <w:cols w:num="2" w:equalWidth="0">
            <w:col w:w="2623" w:space="40"/>
            <w:col w:w="7487"/>
          </w:cols>
        </w:sectPr>
      </w:pPr>
    </w:p>
    <w:p>
      <w:pPr>
        <w:pStyle w:val="BodyText"/>
        <w:spacing w:before="9"/>
        <w:rPr>
          <w:b/>
          <w:sz w:val="24"/>
        </w:rPr>
      </w:pPr>
    </w:p>
    <w:p>
      <w:pPr>
        <w:pStyle w:val="BodyText"/>
        <w:spacing w:line="273" w:lineRule="auto"/>
        <w:ind w:left="2937" w:right="166" w:hanging="1890"/>
        <w:jc w:val="both"/>
      </w:pPr>
      <w:r>
        <w:rPr/>
        <w:t>49.独立能力丧失  指严重疾病或外伤造成被保险人永久不可逆的身体功能损害，导致自主生活</w:t>
      </w:r>
      <w:r>
        <w:rPr>
          <w:spacing w:val="-5"/>
        </w:rPr>
        <w:t>能力完全丧失，被保险人年龄在 </w:t>
      </w:r>
      <w:r>
        <w:rPr/>
        <w:t>6</w:t>
      </w:r>
      <w:r>
        <w:rPr>
          <w:spacing w:val="-5"/>
        </w:rPr>
        <w:t> 周岁以上且至少持续 </w:t>
      </w:r>
      <w:r>
        <w:rPr/>
        <w:t>180 天以上无法独立完成六项基本日常生活活动中的三项或三项以上。</w:t>
      </w:r>
    </w:p>
    <w:p>
      <w:pPr>
        <w:spacing w:after="0" w:line="273" w:lineRule="auto"/>
        <w:jc w:val="both"/>
        <w:sectPr>
          <w:type w:val="continuous"/>
          <w:pgSz w:w="11910" w:h="16840"/>
          <w:pgMar w:top="560" w:bottom="280" w:left="920" w:right="840"/>
        </w:sectPr>
      </w:pPr>
    </w:p>
    <w:p>
      <w:pPr>
        <w:pStyle w:val="BodyText"/>
        <w:spacing w:before="1"/>
      </w:pPr>
    </w:p>
    <w:p>
      <w:pPr>
        <w:spacing w:after="0"/>
        <w:sectPr>
          <w:pgSz w:w="11910" w:h="16840"/>
          <w:pgMar w:header="608" w:footer="408" w:top="800" w:bottom="600" w:left="920" w:right="800"/>
        </w:sectPr>
      </w:pPr>
    </w:p>
    <w:p>
      <w:pPr>
        <w:pStyle w:val="BodyText"/>
        <w:spacing w:line="273" w:lineRule="auto"/>
        <w:ind w:left="1048"/>
      </w:pPr>
      <w:r>
        <w:rPr>
          <w:spacing w:val="-1"/>
        </w:rPr>
        <w:t>50.</w:t>
      </w:r>
      <w:r>
        <w:rPr/>
        <w:t>严重原发性心肌病</w:t>
      </w:r>
    </w:p>
    <w:p>
      <w:pPr>
        <w:pStyle w:val="BodyText"/>
        <w:spacing w:line="273" w:lineRule="auto"/>
        <w:ind w:left="275" w:right="202"/>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状态已达Ⅳ级），且有相关住院医疗记录显示Ⅳ级心功能衰竭状态已持续至少 180 日。本病须经专科医生明确诊断。</w:t>
      </w:r>
    </w:p>
    <w:p>
      <w:pPr>
        <w:pStyle w:val="Heading2"/>
        <w:spacing w:before="100"/>
        <w:ind w:left="275"/>
        <w:jc w:val="both"/>
      </w:pPr>
      <w:r>
        <w:rPr>
          <w:w w:val="95"/>
        </w:rPr>
        <w:t>继发于全身性疾病或其它器官系统疾病造成的心肌病变不在保障范围内。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7"/>
        <w:rPr>
          <w:b/>
          <w:sz w:val="24"/>
        </w:rPr>
      </w:pPr>
    </w:p>
    <w:p>
      <w:pPr>
        <w:pStyle w:val="BodyText"/>
        <w:tabs>
          <w:tab w:pos="2937" w:val="left" w:leader="none"/>
        </w:tabs>
        <w:spacing w:line="273" w:lineRule="auto" w:before="36"/>
        <w:ind w:left="2938" w:right="206" w:hanging="1890"/>
      </w:pPr>
      <w:r>
        <w:rPr/>
        <w:t>51.严重川崎病</w:t>
        <w:tab/>
        <w:t>指一种</w:t>
      </w:r>
      <w:r>
        <w:rPr>
          <w:spacing w:val="2"/>
        </w:rPr>
        <w:t>原</w:t>
      </w:r>
      <w:r>
        <w:rPr/>
        <w:t>因</w:t>
      </w:r>
      <w:r>
        <w:rPr>
          <w:spacing w:val="2"/>
        </w:rPr>
        <w:t>未</w:t>
      </w:r>
      <w:r>
        <w:rPr/>
        <w:t>明的血管</w:t>
      </w:r>
      <w:r>
        <w:rPr>
          <w:spacing w:val="2"/>
        </w:rPr>
        <w:t>炎</w:t>
      </w:r>
      <w:r>
        <w:rPr/>
        <w:t>综</w:t>
      </w:r>
      <w:r>
        <w:rPr>
          <w:spacing w:val="2"/>
        </w:rPr>
        <w:t>合</w:t>
      </w:r>
      <w:r>
        <w:rPr/>
        <w:t>征，临床表现</w:t>
      </w:r>
      <w:r>
        <w:rPr>
          <w:spacing w:val="2"/>
        </w:rPr>
        <w:t>为</w:t>
      </w:r>
      <w:r>
        <w:rPr/>
        <w:t>急</w:t>
      </w:r>
      <w:r>
        <w:rPr>
          <w:spacing w:val="2"/>
        </w:rPr>
        <w:t>性</w:t>
      </w:r>
      <w:r>
        <w:rPr/>
        <w:t>发热，皮肤粘</w:t>
      </w:r>
      <w:r>
        <w:rPr>
          <w:spacing w:val="2"/>
        </w:rPr>
        <w:t>膜</w:t>
      </w:r>
      <w:r>
        <w:rPr/>
        <w:t>病</w:t>
      </w:r>
      <w:r>
        <w:rPr>
          <w:spacing w:val="2"/>
        </w:rPr>
        <w:t>损</w:t>
      </w:r>
      <w:r>
        <w:rPr/>
        <w:t>和淋 巴结肿大。须由血管造影或超声心动图检查证实，满足下列至少一项条件：</w:t>
      </w:r>
    </w:p>
    <w:p>
      <w:pPr>
        <w:pStyle w:val="BodyText"/>
        <w:spacing w:before="102"/>
        <w:ind w:left="2938"/>
      </w:pPr>
      <w:r>
        <w:rPr/>
        <w:t>（1）伴有冠状动脉瘤，且冠状动脉瘤于最初急性发病后持续至少一百八十天；</w:t>
      </w:r>
    </w:p>
    <w:p>
      <w:pPr>
        <w:pStyle w:val="BodyText"/>
        <w:spacing w:before="130"/>
        <w:ind w:left="2938"/>
      </w:pPr>
      <w:r>
        <w:rPr/>
        <w:t>（2）伴有冠状动脉瘤，且实际接受了对冠状动脉瘤进行的手术治疗。</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52.</w:t>
      </w:r>
      <w:r>
        <w:rPr/>
        <w:t>严重细菌性脑脊髓膜炎</w:t>
      </w:r>
    </w:p>
    <w:p>
      <w:pPr>
        <w:pStyle w:val="BodyText"/>
        <w:spacing w:line="273" w:lineRule="auto"/>
        <w:ind w:left="275" w:right="202"/>
        <w:jc w:val="both"/>
      </w:pPr>
      <w:r>
        <w:rPr/>
        <w:br w:type="column"/>
      </w:r>
      <w:r>
        <w:rPr/>
        <w:t>指因脑膜炎双球菌感染引起脑脊髓膜化脓性病变，且导致永久性神经损害， </w:t>
      </w:r>
      <w:r>
        <w:rPr>
          <w:spacing w:val="-19"/>
        </w:rPr>
        <w:t>持续 </w:t>
      </w:r>
      <w:r>
        <w:rPr/>
        <w:t>90</w:t>
      </w:r>
      <w:r>
        <w:rPr>
          <w:spacing w:val="-8"/>
        </w:rPr>
        <w:t> 天以上，并且脑脊液检查显示脑膜炎双球菌阳性。永久性神经损害是</w:t>
      </w:r>
      <w:r>
        <w:rPr>
          <w:spacing w:val="-4"/>
        </w:rPr>
        <w:t>指由细菌性脑脊髓膜炎引起的耳聋、失明、动眼神经麻痹、瘫痪、脑积水、智力中度以上的损害（</w:t>
      </w:r>
      <w:r>
        <w:rPr>
          <w:spacing w:val="5"/>
        </w:rPr>
        <w:t>指智商的降低</w:t>
      </w:r>
      <w:r>
        <w:rPr/>
        <w:t>IQ35-50），</w:t>
      </w:r>
      <w:r>
        <w:rPr>
          <w:spacing w:val="-7"/>
        </w:rPr>
        <w:t>且上述症状持续 </w:t>
      </w:r>
      <w:r>
        <w:rPr/>
        <w:t>90</w:t>
      </w:r>
      <w:r>
        <w:rPr>
          <w:spacing w:val="-2"/>
        </w:rPr>
        <w:t> 天以上仍无改善迹象。</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4"/>
        <w:rPr>
          <w:sz w:val="22"/>
        </w:rPr>
      </w:pPr>
    </w:p>
    <w:p>
      <w:pPr>
        <w:pStyle w:val="BodyText"/>
        <w:tabs>
          <w:tab w:pos="2938" w:val="left" w:leader="none"/>
        </w:tabs>
        <w:spacing w:line="273" w:lineRule="auto"/>
        <w:ind w:left="2938" w:right="206" w:hanging="1890"/>
      </w:pPr>
      <w:r>
        <w:rPr/>
        <w:t>53.重症手足口病</w:t>
        <w:tab/>
        <w:t>由肠道</w:t>
      </w:r>
      <w:r>
        <w:rPr>
          <w:spacing w:val="2"/>
        </w:rPr>
        <w:t>病</w:t>
      </w:r>
      <w:r>
        <w:rPr/>
        <w:t>毒</w:t>
      </w:r>
      <w:r>
        <w:rPr>
          <w:spacing w:val="2"/>
        </w:rPr>
        <w:t>引</w:t>
      </w:r>
      <w:r>
        <w:rPr/>
        <w:t>起的急性</w:t>
      </w:r>
      <w:r>
        <w:rPr>
          <w:spacing w:val="2"/>
        </w:rPr>
        <w:t>传</w:t>
      </w:r>
      <w:r>
        <w:rPr/>
        <w:t>染</w:t>
      </w:r>
      <w:r>
        <w:rPr>
          <w:spacing w:val="2"/>
        </w:rPr>
        <w:t>病</w:t>
      </w:r>
      <w:r>
        <w:rPr/>
        <w:t>，主要症状表</w:t>
      </w:r>
      <w:r>
        <w:rPr>
          <w:spacing w:val="2"/>
        </w:rPr>
        <w:t>现</w:t>
      </w:r>
      <w:r>
        <w:rPr/>
        <w:t>为</w:t>
      </w:r>
      <w:r>
        <w:rPr>
          <w:spacing w:val="2"/>
        </w:rPr>
        <w:t>手</w:t>
      </w:r>
      <w:r>
        <w:rPr/>
        <w:t>、足、口腔等</w:t>
      </w:r>
      <w:r>
        <w:rPr>
          <w:spacing w:val="2"/>
        </w:rPr>
        <w:t>部</w:t>
      </w:r>
      <w:r>
        <w:rPr/>
        <w:t>位</w:t>
      </w:r>
      <w:r>
        <w:rPr>
          <w:spacing w:val="2"/>
        </w:rPr>
        <w:t>的</w:t>
      </w:r>
      <w:r>
        <w:rPr/>
        <w:t>斑丘 疹、疱疹。重症手足口病必须符合下列全部条件：</w:t>
      </w:r>
    </w:p>
    <w:p>
      <w:pPr>
        <w:pStyle w:val="BodyText"/>
        <w:spacing w:before="100"/>
        <w:ind w:left="2938"/>
      </w:pPr>
      <w:r>
        <w:rPr/>
        <w:t>（1）经专科医生诊断为手足口病；</w:t>
      </w:r>
    </w:p>
    <w:p>
      <w:pPr>
        <w:pStyle w:val="BodyText"/>
        <w:spacing w:before="131"/>
        <w:ind w:left="2938"/>
      </w:pPr>
      <w:r>
        <w:rPr/>
        <w:t>（2）伴有所列危重并发症之一：脑膜炎、脑炎、脑脊髓炎、肺水肿或心肌炎；</w:t>
      </w:r>
    </w:p>
    <w:p>
      <w:pPr>
        <w:pStyle w:val="BodyText"/>
        <w:spacing w:before="130"/>
        <w:ind w:left="2938"/>
      </w:pPr>
      <w:r>
        <w:rPr/>
        <w:t>（3）接受了住院治疗。</w:t>
      </w:r>
    </w:p>
    <w:p>
      <w:pPr>
        <w:pStyle w:val="BodyText"/>
        <w:spacing w:before="8"/>
        <w:rPr>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54.</w:t>
      </w:r>
      <w:r>
        <w:rPr/>
        <w:t>非阿尔茨海默病所致严重痴呆</w:t>
      </w:r>
    </w:p>
    <w:p>
      <w:pPr>
        <w:pStyle w:val="BodyText"/>
        <w:spacing w:line="273" w:lineRule="auto" w:before="36"/>
        <w:ind w:left="275" w:right="20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ind w:left="275"/>
        <w:jc w:val="both"/>
      </w:pPr>
      <w:r>
        <w:rPr>
          <w:w w:val="95"/>
        </w:rPr>
        <w:t>神经官能症和精神疾病不在保障范围内。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8"/>
        <w:rPr>
          <w:b/>
          <w:sz w:val="24"/>
        </w:rPr>
      </w:pPr>
    </w:p>
    <w:p>
      <w:pPr>
        <w:pStyle w:val="BodyText"/>
        <w:tabs>
          <w:tab w:pos="2938" w:val="left" w:leader="none"/>
        </w:tabs>
        <w:spacing w:line="273" w:lineRule="auto"/>
        <w:ind w:left="2938" w:right="206" w:hanging="1890"/>
      </w:pPr>
      <w:r>
        <w:rPr/>
        <w:t>55.主动脉夹层瘤</w:t>
        <w:tab/>
        <w:t>指主动</w:t>
      </w:r>
      <w:r>
        <w:rPr>
          <w:spacing w:val="2"/>
        </w:rPr>
        <w:t>脉</w:t>
      </w:r>
      <w:r>
        <w:rPr/>
        <w:t>腔</w:t>
      </w:r>
      <w:r>
        <w:rPr>
          <w:spacing w:val="2"/>
        </w:rPr>
        <w:t>内</w:t>
      </w:r>
      <w:r>
        <w:rPr/>
        <w:t>的血流通</w:t>
      </w:r>
      <w:r>
        <w:rPr>
          <w:spacing w:val="2"/>
        </w:rPr>
        <w:t>过</w:t>
      </w:r>
      <w:r>
        <w:rPr/>
        <w:t>主</w:t>
      </w:r>
      <w:r>
        <w:rPr>
          <w:spacing w:val="2"/>
        </w:rPr>
        <w:t>动</w:t>
      </w:r>
      <w:r>
        <w:rPr/>
        <w:t>脉内膜的破裂</w:t>
      </w:r>
      <w:r>
        <w:rPr>
          <w:spacing w:val="2"/>
        </w:rPr>
        <w:t>口</w:t>
      </w:r>
      <w:r>
        <w:rPr/>
        <w:t>进</w:t>
      </w:r>
      <w:r>
        <w:rPr>
          <w:spacing w:val="2"/>
        </w:rPr>
        <w:t>入</w:t>
      </w:r>
      <w:r>
        <w:rPr/>
        <w:t>主动脉内壁而</w:t>
      </w:r>
      <w:r>
        <w:rPr>
          <w:spacing w:val="2"/>
        </w:rPr>
        <w:t>形</w:t>
      </w:r>
      <w:r>
        <w:rPr/>
        <w:t>成</w:t>
      </w:r>
      <w:r>
        <w:rPr>
          <w:spacing w:val="2"/>
        </w:rPr>
        <w:t>血</w:t>
      </w:r>
      <w:r>
        <w:rPr/>
        <w:t>肿。 </w:t>
      </w:r>
      <w:r>
        <w:rPr>
          <w:spacing w:val="-1"/>
        </w:rPr>
        <w:t>被保险人需通过断层扫描（CT）、核磁共振检查（MRI）、磁共振</w:t>
      </w:r>
      <w:r>
        <w:rPr/>
        <w:t>血管检验法</w:t>
      </w:r>
    </w:p>
    <w:p>
      <w:pPr>
        <w:pStyle w:val="BodyText"/>
        <w:spacing w:before="7"/>
        <w:ind w:left="2938"/>
      </w:pPr>
      <w:r>
        <w:rPr/>
        <w:t>（MRA）或血管扫描等检查，并且实施了胸腹切开的直视主动脉手术。</w:t>
      </w: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56.</w:t>
      </w:r>
      <w:r>
        <w:rPr/>
        <w:t>严重慢性缩窄型心包炎</w:t>
      </w:r>
    </w:p>
    <w:p>
      <w:pPr>
        <w:pStyle w:val="BodyText"/>
        <w:spacing w:line="273" w:lineRule="auto"/>
        <w:ind w:left="275" w:right="106"/>
      </w:pPr>
      <w:r>
        <w:rPr/>
        <w:br w:type="column"/>
      </w:r>
      <w:r>
        <w:rPr/>
        <w:t>由于慢性心包炎症导致心包脏层和壁层广泛瘢痕粘连、增厚和钙化，心包腔闭塞，形成一个纤维瘢痕外壳，使心脏和大血管根部受压，妨碍心脏的舒张。必需经心脏科专科医生明确诊断为慢性缩窄性心包炎，并且满足如下全部条件：</w:t>
      </w:r>
    </w:p>
    <w:p>
      <w:pPr>
        <w:pStyle w:val="BodyText"/>
        <w:spacing w:line="273" w:lineRule="auto" w:before="101"/>
        <w:ind w:left="275" w:right="211"/>
      </w:pPr>
      <w:r>
        <w:rPr/>
        <w:t>（1）已经造成永久不可逆性的体力活动能力受限，达到美国纽约心脏病学会心功能状态分级IV 级，并持续 180 天以上；</w:t>
      </w:r>
    </w:p>
    <w:p>
      <w:pPr>
        <w:pStyle w:val="BodyText"/>
        <w:spacing w:line="273" w:lineRule="auto" w:before="102"/>
        <w:ind w:left="275" w:right="211"/>
      </w:pPr>
      <w:r>
        <w:rPr/>
        <w:t>（2）已经接受了开胸进行的心包剥脱或心包切除手术。经胸腔镜、胸壁打孔进行的手术、心包粘连松解手术不在保障范围内。</w:t>
      </w:r>
    </w:p>
    <w:p>
      <w:pPr>
        <w:spacing w:after="0" w:line="273" w:lineRule="auto"/>
        <w:sectPr>
          <w:type w:val="continuous"/>
          <w:pgSz w:w="11910" w:h="16840"/>
          <w:pgMar w:top="560" w:bottom="280" w:left="920" w:right="800"/>
          <w:cols w:num="2" w:equalWidth="0">
            <w:col w:w="2623" w:space="40"/>
            <w:col w:w="7527"/>
          </w:cols>
        </w:sectPr>
      </w:pPr>
    </w:p>
    <w:p>
      <w:pPr>
        <w:pStyle w:val="BodyText"/>
        <w:spacing w:before="0"/>
        <w:rPr>
          <w:sz w:val="20"/>
        </w:rPr>
      </w:pPr>
    </w:p>
    <w:p>
      <w:pPr>
        <w:pStyle w:val="BodyText"/>
        <w:spacing w:before="5"/>
        <w:rPr>
          <w:sz w:val="18"/>
        </w:rPr>
      </w:pPr>
    </w:p>
    <w:p>
      <w:pPr>
        <w:pStyle w:val="BodyText"/>
        <w:tabs>
          <w:tab w:pos="2938" w:val="left" w:leader="none"/>
        </w:tabs>
        <w:spacing w:line="273" w:lineRule="auto" w:before="36"/>
        <w:ind w:left="2938" w:right="206" w:hanging="1890"/>
      </w:pPr>
      <w:r>
        <w:rPr/>
        <w:t>57.结核性脊髓炎</w:t>
        <w:tab/>
        <w:t>因结核</w:t>
      </w:r>
      <w:r>
        <w:rPr>
          <w:spacing w:val="2"/>
        </w:rPr>
        <w:t>杆</w:t>
      </w:r>
      <w:r>
        <w:rPr/>
        <w:t>菌</w:t>
      </w:r>
      <w:r>
        <w:rPr>
          <w:spacing w:val="2"/>
        </w:rPr>
        <w:t>引</w:t>
      </w:r>
      <w:r>
        <w:rPr/>
        <w:t>起的脊髓</w:t>
      </w:r>
      <w:r>
        <w:rPr>
          <w:spacing w:val="2"/>
        </w:rPr>
        <w:t>炎</w:t>
      </w:r>
      <w:r>
        <w:rPr/>
        <w:t>，</w:t>
      </w:r>
      <w:r>
        <w:rPr>
          <w:spacing w:val="2"/>
        </w:rPr>
        <w:t>导</w:t>
      </w:r>
      <w:r>
        <w:rPr/>
        <w:t>致永久性神经</w:t>
      </w:r>
      <w:r>
        <w:rPr>
          <w:spacing w:val="2"/>
        </w:rPr>
        <w:t>系</w:t>
      </w:r>
      <w:r>
        <w:rPr/>
        <w:t>统</w:t>
      </w:r>
      <w:r>
        <w:rPr>
          <w:spacing w:val="2"/>
        </w:rPr>
        <w:t>功</w:t>
      </w:r>
      <w:r>
        <w:rPr/>
        <w:t>能中度障碍，</w:t>
      </w:r>
      <w:r>
        <w:rPr>
          <w:spacing w:val="2"/>
        </w:rPr>
        <w:t>即</w:t>
      </w:r>
      <w:r>
        <w:rPr/>
        <w:t>疾</w:t>
      </w:r>
      <w:r>
        <w:rPr>
          <w:spacing w:val="2"/>
        </w:rPr>
        <w:t>病</w:t>
      </w:r>
      <w:r>
        <w:rPr/>
        <w:t>首次 确诊</w:t>
      </w:r>
      <w:r>
        <w:rPr>
          <w:spacing w:val="-55"/>
        </w:rPr>
        <w:t> </w:t>
      </w:r>
      <w:r>
        <w:rPr/>
        <w:t>180</w:t>
      </w:r>
      <w:r>
        <w:rPr>
          <w:spacing w:val="-1"/>
        </w:rPr>
        <w:t> </w:t>
      </w:r>
      <w:r>
        <w:rPr/>
        <w:t>天后，仍遗留下列一种或一种以上障碍：</w:t>
      </w:r>
    </w:p>
    <w:p>
      <w:pPr>
        <w:pStyle w:val="BodyText"/>
        <w:spacing w:before="101"/>
        <w:ind w:left="2938"/>
      </w:pPr>
      <w:r>
        <w:rPr/>
        <w:t>（1）一肢或一肢以上肢体肌力Ⅲ级或Ⅲ级以下的运动功能障碍；</w:t>
      </w:r>
    </w:p>
    <w:p>
      <w:pPr>
        <w:pStyle w:val="BodyText"/>
        <w:spacing w:line="273" w:lineRule="auto" w:before="130"/>
        <w:ind w:left="2938" w:right="211"/>
      </w:pPr>
      <w:r>
        <w:rPr/>
        <w:t>（2）自主生活能力部分丧失，无法独立完成六项基本日常生活活动中的二项或二项以上。</w:t>
      </w:r>
    </w:p>
    <w:p>
      <w:pPr>
        <w:pStyle w:val="BodyText"/>
        <w:spacing w:line="273" w:lineRule="auto" w:before="102"/>
        <w:ind w:left="2938" w:right="202"/>
      </w:pPr>
      <w:r>
        <w:rPr/>
        <w:t>该诊断必须由本公司认可医院的神经专科医生证实，并必须由适当的检查证明为结核性脊髓炎。</w:t>
      </w:r>
    </w:p>
    <w:p>
      <w:pPr>
        <w:pStyle w:val="BodyText"/>
        <w:spacing w:before="4"/>
        <w:rPr>
          <w:sz w:val="22"/>
        </w:rPr>
      </w:pPr>
    </w:p>
    <w:p>
      <w:pPr>
        <w:spacing w:after="0"/>
        <w:rPr>
          <w:sz w:val="22"/>
        </w:rPr>
        <w:sectPr>
          <w:pgSz w:w="11910" w:h="16840"/>
          <w:pgMar w:header="608" w:footer="408" w:top="800" w:bottom="600" w:left="920" w:right="800"/>
        </w:sectPr>
      </w:pPr>
    </w:p>
    <w:p>
      <w:pPr>
        <w:pStyle w:val="BodyText"/>
        <w:spacing w:line="273" w:lineRule="auto" w:before="36"/>
        <w:ind w:left="1048"/>
      </w:pPr>
      <w:r>
        <w:rPr>
          <w:spacing w:val="-1"/>
        </w:rPr>
        <w:t>58.</w:t>
      </w:r>
      <w:r>
        <w:rPr/>
        <w:t>肾上腺脑白质营养不良</w:t>
      </w:r>
    </w:p>
    <w:p>
      <w:pPr>
        <w:pStyle w:val="BodyText"/>
        <w:spacing w:line="273" w:lineRule="auto" w:before="36"/>
        <w:ind w:left="275" w:right="202"/>
        <w:jc w:val="both"/>
      </w:pPr>
      <w:r>
        <w:rPr/>
        <w:br w:type="column"/>
      </w:r>
      <w:r>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 180 天。</w:t>
      </w:r>
    </w:p>
    <w:p>
      <w:pPr>
        <w:pStyle w:val="Heading2"/>
        <w:spacing w:before="102"/>
        <w:ind w:left="275"/>
        <w:jc w:val="both"/>
      </w:pPr>
      <w:r>
        <w:rPr>
          <w:w w:val="95"/>
        </w:rPr>
        <w:t>保险人在三周岁之前罹患该疾病不在保障范围内。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7"/>
        <w:rPr>
          <w:b/>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59.</w:t>
      </w:r>
      <w:r>
        <w:rPr/>
        <w:t>胸主动脉瘤开胸手术</w:t>
      </w:r>
    </w:p>
    <w:p>
      <w:pPr>
        <w:pStyle w:val="BodyText"/>
        <w:spacing w:line="273" w:lineRule="auto" w:before="36"/>
        <w:ind w:left="275" w:right="106"/>
      </w:pPr>
      <w:r>
        <w:rPr/>
        <w:br w:type="column"/>
      </w:r>
      <w:r>
        <w:rPr/>
        <w:t>指由于各种原因造成的胸主动脉一处或多处向外膨出，出现的像“瘤子一样” 的改变。被保险人需通过断层扫描（CT）、核磁共振检查（MRI）、磁共振血管检验法（MRA）或血管扫描等检查确诊，并且实施了胸腹切开的直视主动脉手术。</w:t>
      </w:r>
    </w:p>
    <w:p>
      <w:pPr>
        <w:spacing w:after="0" w:line="273" w:lineRule="auto"/>
        <w:sectPr>
          <w:type w:val="continuous"/>
          <w:pgSz w:w="11910" w:h="16840"/>
          <w:pgMar w:top="56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60.</w:t>
      </w:r>
      <w:r>
        <w:rPr/>
        <w:t>皮质基底节变性</w:t>
      </w:r>
    </w:p>
    <w:p>
      <w:pPr>
        <w:pStyle w:val="BodyText"/>
        <w:spacing w:line="273" w:lineRule="auto"/>
        <w:ind w:left="275" w:right="106"/>
      </w:pPr>
      <w:r>
        <w:rPr/>
        <w:br w:type="column"/>
      </w:r>
      <w:r>
        <w:rPr/>
        <w:t>指一种慢性进展性神经变性疾病，以不对称发作的无动性强直综合征、失用、肌张力障碍及姿势异常为其临床特征。须经临床医生明确诊断，被保险人自主生活能力完全丧失，无法独立完成六项基本日常生活活动中的三项或三项以上，日常生活必须持续受到他人监护。</w:t>
      </w:r>
    </w:p>
    <w:p>
      <w:pPr>
        <w:spacing w:after="0" w:line="273" w:lineRule="auto"/>
        <w:sectPr>
          <w:type w:val="continuous"/>
          <w:pgSz w:w="11910" w:h="16840"/>
          <w:pgMar w:top="56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61.</w:t>
      </w:r>
      <w:r>
        <w:rPr/>
        <w:t>进行性多灶性白质脑病</w:t>
      </w:r>
    </w:p>
    <w:p>
      <w:pPr>
        <w:pStyle w:val="BodyText"/>
        <w:spacing w:line="273" w:lineRule="auto" w:before="36"/>
        <w:ind w:left="275" w:right="210"/>
        <w:jc w:val="both"/>
      </w:pPr>
      <w:r>
        <w:rPr/>
        <w:br w:type="column"/>
      </w:r>
      <w:r>
        <w:rPr/>
        <w:t>指一种亚急性脱髓鞘疾病，其病原体多为乳头多瘤空泡病毒（JCV）。主要见于自身免疫功能低下的患者，因机会性感染致病。疾病确诊 180 天后，仍遗留下列一种或一种以上障碍：</w:t>
      </w:r>
    </w:p>
    <w:p>
      <w:pPr>
        <w:pStyle w:val="BodyText"/>
        <w:spacing w:before="101"/>
        <w:ind w:left="275"/>
      </w:pPr>
      <w:r>
        <w:rPr/>
        <w:t>（1）一肢或一肢以上肢体机能完全丧失；</w:t>
      </w:r>
    </w:p>
    <w:p>
      <w:pPr>
        <w:pStyle w:val="BodyText"/>
        <w:spacing w:before="131"/>
        <w:ind w:left="275"/>
      </w:pPr>
      <w:r>
        <w:rPr/>
        <w:t>（2）语言能力或咀嚼吞咽能力完全丧失；</w:t>
      </w:r>
    </w:p>
    <w:p>
      <w:pPr>
        <w:pStyle w:val="BodyText"/>
        <w:spacing w:line="273" w:lineRule="auto" w:before="130"/>
        <w:ind w:left="275" w:right="211"/>
      </w:pPr>
      <w:r>
        <w:rPr/>
        <w:t>（3）自主生活能力完全丧失，无法独立完成六项基本日常生活活动中的三项或三项以上。</w:t>
      </w:r>
    </w:p>
    <w:p>
      <w:pPr>
        <w:pStyle w:val="Heading2"/>
        <w:spacing w:line="273" w:lineRule="auto"/>
        <w:ind w:left="275" w:right="169"/>
      </w:pPr>
      <w:r>
        <w:rPr/>
        <w:t>感染艾滋病病毒或患艾滋病期间所患进行性多灶性白质脑病不在保障范围内。</w:t>
      </w:r>
    </w:p>
    <w:p>
      <w:pPr>
        <w:spacing w:after="0" w:line="273" w:lineRule="auto"/>
        <w:sectPr>
          <w:type w:val="continuous"/>
          <w:pgSz w:w="11910" w:h="16840"/>
          <w:pgMar w:top="560" w:bottom="280" w:left="920" w:right="800"/>
          <w:cols w:num="2" w:equalWidth="0">
            <w:col w:w="2623" w:space="40"/>
            <w:col w:w="7527"/>
          </w:cols>
        </w:sectPr>
      </w:pPr>
    </w:p>
    <w:p>
      <w:pPr>
        <w:pStyle w:val="BodyText"/>
        <w:spacing w:before="6"/>
        <w:rPr>
          <w:b/>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62.</w:t>
      </w:r>
      <w:r>
        <w:rPr/>
        <w:t>进行性风疹性全脑炎</w:t>
      </w:r>
    </w:p>
    <w:p>
      <w:pPr>
        <w:pStyle w:val="BodyText"/>
        <w:spacing w:line="273" w:lineRule="auto"/>
        <w:ind w:left="275" w:right="172"/>
      </w:pPr>
      <w:r>
        <w:rPr/>
        <w:br w:type="column"/>
      </w:r>
      <w:r>
        <w:rPr/>
        <w:t>指由风疹病毒感染引起的儿童和青少年的慢性脑炎。疾病确诊 180 天后，仍遗留下列一种或一种以上障碍：</w:t>
      </w:r>
    </w:p>
    <w:p>
      <w:pPr>
        <w:pStyle w:val="BodyText"/>
        <w:spacing w:before="101"/>
        <w:ind w:left="275"/>
      </w:pPr>
      <w:r>
        <w:rPr/>
        <w:t>（1）一肢或一肢以上肢体机能完全丧失；</w:t>
      </w:r>
    </w:p>
    <w:p>
      <w:pPr>
        <w:pStyle w:val="BodyText"/>
        <w:spacing w:before="132"/>
        <w:ind w:left="275"/>
      </w:pPr>
      <w:r>
        <w:rPr/>
        <w:t>（2）语言能力或咀嚼吞咽能力完全丧失；</w:t>
      </w:r>
    </w:p>
    <w:p>
      <w:pPr>
        <w:pStyle w:val="BodyText"/>
        <w:spacing w:line="273" w:lineRule="auto" w:before="131"/>
        <w:ind w:left="275" w:right="211"/>
      </w:pPr>
      <w:r>
        <w:rPr/>
        <w:t>（3）自主生活能力完全丧失，无法独立完成六项基本日常生活活动中的三项或三项以上。</w:t>
      </w:r>
    </w:p>
    <w:p>
      <w:pPr>
        <w:spacing w:after="0" w:line="273" w:lineRule="auto"/>
        <w:sectPr>
          <w:type w:val="continuous"/>
          <w:pgSz w:w="11910" w:h="16840"/>
          <w:pgMar w:top="560" w:bottom="280" w:left="920" w:right="800"/>
          <w:cols w:num="2" w:equalWidth="0">
            <w:col w:w="2623" w:space="40"/>
            <w:col w:w="7527"/>
          </w:cols>
        </w:sectPr>
      </w:pPr>
    </w:p>
    <w:p>
      <w:pPr>
        <w:pStyle w:val="BodyText"/>
        <w:spacing w:before="5"/>
        <w:rPr>
          <w:sz w:val="22"/>
        </w:rPr>
      </w:pPr>
    </w:p>
    <w:p>
      <w:pPr>
        <w:pStyle w:val="BodyText"/>
        <w:tabs>
          <w:tab w:pos="2937" w:val="left" w:leader="none"/>
        </w:tabs>
        <w:ind w:left="1048"/>
      </w:pPr>
      <w:r>
        <w:rPr/>
        <w:t>63.血管性痴呆</w:t>
        <w:tab/>
        <w:t>指由缺</w:t>
      </w:r>
      <w:r>
        <w:rPr>
          <w:spacing w:val="2"/>
        </w:rPr>
        <w:t>血</w:t>
      </w:r>
      <w:r>
        <w:rPr/>
        <w:t>性</w:t>
      </w:r>
      <w:r>
        <w:rPr>
          <w:spacing w:val="2"/>
        </w:rPr>
        <w:t>卒</w:t>
      </w:r>
      <w:r>
        <w:rPr/>
        <w:t>中、出血</w:t>
      </w:r>
      <w:r>
        <w:rPr>
          <w:spacing w:val="2"/>
        </w:rPr>
        <w:t>性</w:t>
      </w:r>
      <w:r>
        <w:rPr/>
        <w:t>卒</w:t>
      </w:r>
      <w:r>
        <w:rPr>
          <w:spacing w:val="2"/>
        </w:rPr>
        <w:t>中</w:t>
      </w:r>
      <w:r>
        <w:rPr/>
        <w:t>和造成记忆、</w:t>
      </w:r>
      <w:r>
        <w:rPr>
          <w:spacing w:val="2"/>
        </w:rPr>
        <w:t>认</w:t>
      </w:r>
      <w:r>
        <w:rPr/>
        <w:t>知</w:t>
      </w:r>
      <w:r>
        <w:rPr>
          <w:spacing w:val="2"/>
        </w:rPr>
        <w:t>和</w:t>
      </w:r>
      <w:r>
        <w:rPr/>
        <w:t>行为等脑区低</w:t>
      </w:r>
      <w:r>
        <w:rPr>
          <w:spacing w:val="2"/>
        </w:rPr>
        <w:t>灌</w:t>
      </w:r>
      <w:r>
        <w:rPr/>
        <w:t>注</w:t>
      </w:r>
      <w:r>
        <w:rPr>
          <w:spacing w:val="2"/>
        </w:rPr>
        <w:t>的</w:t>
      </w:r>
      <w:r>
        <w:rPr/>
        <w:t>脑血</w:t>
      </w:r>
    </w:p>
    <w:p>
      <w:pPr>
        <w:spacing w:after="0"/>
        <w:sectPr>
          <w:type w:val="continuous"/>
          <w:pgSz w:w="11910" w:h="16840"/>
          <w:pgMar w:top="560" w:bottom="280" w:left="920" w:right="800"/>
        </w:sectPr>
      </w:pPr>
    </w:p>
    <w:p>
      <w:pPr>
        <w:pStyle w:val="BodyText"/>
        <w:spacing w:before="1"/>
      </w:pPr>
    </w:p>
    <w:p>
      <w:pPr>
        <w:pStyle w:val="BodyText"/>
        <w:spacing w:line="273" w:lineRule="auto"/>
        <w:ind w:left="2938" w:right="202"/>
        <w:jc w:val="both"/>
      </w:pPr>
      <w:r>
        <w:rPr/>
        <w:t>管疾病所致的严重认知功能障碍综合征。被保险人自主生活能力完全丧失， 无法独立完成六项基本日常生活活动中的三项或三项以上，日常生活必须持续受到他人监护。导致痴呆的疾病必须明确诊断，并且有完整的临床、实验室和影像学检查结果证实。</w:t>
      </w:r>
    </w:p>
    <w:p>
      <w:pPr>
        <w:pStyle w:val="Heading2"/>
        <w:spacing w:before="100"/>
      </w:pPr>
      <w:r>
        <w:rPr>
          <w:w w:val="95"/>
        </w:rPr>
        <w:t>神经官能症，精神疾病及酒精中毒所致脑损害不在保障范围内。</w:t>
      </w:r>
    </w:p>
    <w:p>
      <w:pPr>
        <w:pStyle w:val="BodyText"/>
        <w:spacing w:before="3"/>
        <w:rPr>
          <w:b/>
          <w:sz w:val="27"/>
        </w:rPr>
      </w:pPr>
    </w:p>
    <w:p>
      <w:pPr>
        <w:pStyle w:val="BodyText"/>
        <w:spacing w:line="273" w:lineRule="auto" w:before="0"/>
        <w:ind w:left="2938" w:right="202" w:hanging="1890"/>
        <w:jc w:val="both"/>
      </w:pPr>
      <w:r>
        <w:rPr/>
        <w:t>64.颞额叶痴呆    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2"/>
        <w:spacing w:before="102"/>
      </w:pPr>
      <w:r>
        <w:rPr>
          <w:w w:val="95"/>
        </w:rPr>
        <w:t>神经官能症，精神疾病及酒精中毒所致脑损害不在保障范围内。</w:t>
      </w:r>
    </w:p>
    <w:p>
      <w:pPr>
        <w:pStyle w:val="BodyText"/>
        <w:spacing w:before="4"/>
        <w:rPr>
          <w:b/>
          <w:sz w:val="27"/>
        </w:rPr>
      </w:pPr>
    </w:p>
    <w:p>
      <w:pPr>
        <w:pStyle w:val="BodyText"/>
        <w:spacing w:line="273" w:lineRule="auto" w:before="0"/>
        <w:ind w:left="2938" w:right="202" w:hanging="1890"/>
        <w:jc w:val="both"/>
      </w:pPr>
      <w:r>
        <w:rPr/>
        <w:t>65.路易体痴呆    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2"/>
        <w:spacing w:before="102"/>
        <w:jc w:val="both"/>
      </w:pPr>
      <w:r>
        <w:rPr>
          <w:w w:val="95"/>
        </w:rPr>
        <w:t>神经官能症，精神疾病及酒精中毒所致脑损害不在保障范围内。</w:t>
      </w:r>
    </w:p>
    <w:p>
      <w:pPr>
        <w:pStyle w:val="BodyText"/>
        <w:spacing w:before="8"/>
        <w:rPr>
          <w:b/>
          <w:sz w:val="24"/>
        </w:rPr>
      </w:pPr>
    </w:p>
    <w:p>
      <w:pPr>
        <w:spacing w:after="0"/>
        <w:rPr>
          <w:sz w:val="24"/>
        </w:rPr>
        <w:sectPr>
          <w:pgSz w:w="11910" w:h="16840"/>
          <w:pgMar w:header="608" w:footer="408" w:top="800" w:bottom="600" w:left="920" w:right="800"/>
        </w:sectPr>
      </w:pPr>
    </w:p>
    <w:p>
      <w:pPr>
        <w:pStyle w:val="BodyText"/>
        <w:ind w:left="1048"/>
      </w:pPr>
      <w:r>
        <w:rPr>
          <w:spacing w:val="-1"/>
        </w:rPr>
        <w:t>66.多个肢体缺失</w:t>
      </w:r>
    </w:p>
    <w:p>
      <w:pPr>
        <w:pStyle w:val="Heading2"/>
        <w:spacing w:before="37"/>
        <w:ind w:left="0" w:right="314"/>
        <w:jc w:val="center"/>
      </w:pPr>
      <w:r>
        <w:rPr>
          <w:w w:val="99"/>
        </w:rPr>
        <w:t>★</w:t>
      </w:r>
    </w:p>
    <w:p>
      <w:pPr>
        <w:pStyle w:val="BodyText"/>
        <w:spacing w:line="273" w:lineRule="auto"/>
        <w:ind w:left="275" w:right="20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rPr>
          <w:sz w:val="15"/>
        </w:rPr>
      </w:pPr>
    </w:p>
    <w:p>
      <w:pPr>
        <w:pStyle w:val="BodyText"/>
        <w:spacing w:line="273" w:lineRule="auto" w:before="36"/>
        <w:ind w:left="2938" w:right="204" w:hanging="1890"/>
        <w:jc w:val="both"/>
      </w:pPr>
      <w:r>
        <w:rPr/>
        <w:t>67.双耳失聪</w:t>
      </w:r>
      <w:r>
        <w:rPr>
          <w:b/>
          <w:spacing w:val="1"/>
        </w:rPr>
        <w:t>★    </w:t>
      </w:r>
      <w:r>
        <w:rPr>
          <w:spacing w:val="-2"/>
        </w:rPr>
        <w:t>指因疾病或意外伤害导致双耳听力永久不可逆性丧失，在 </w:t>
      </w:r>
      <w:r>
        <w:rPr/>
        <w:t>500</w:t>
      </w:r>
      <w:r>
        <w:rPr>
          <w:spacing w:val="-12"/>
        </w:rPr>
        <w:t> 赫兹、</w:t>
      </w:r>
      <w:r>
        <w:rPr/>
        <w:t>1000</w:t>
      </w:r>
      <w:r>
        <w:rPr>
          <w:spacing w:val="-26"/>
        </w:rPr>
        <w:t> 赫</w:t>
      </w:r>
      <w:r>
        <w:rPr>
          <w:spacing w:val="-30"/>
        </w:rPr>
        <w:t>兹和 </w:t>
      </w:r>
      <w:r>
        <w:rPr/>
        <w:t>2000</w:t>
      </w:r>
      <w:r>
        <w:rPr>
          <w:spacing w:val="-8"/>
        </w:rPr>
        <w:t> 赫兹语音频率下，平均听阈大于 </w:t>
      </w:r>
      <w:r>
        <w:rPr/>
        <w:t>90</w:t>
      </w:r>
      <w:r>
        <w:rPr>
          <w:spacing w:val="-5"/>
        </w:rPr>
        <w:t> 分贝，且经纯音听力测试、声导抗检测或听觉诱发电位检测等证实。</w:t>
      </w:r>
    </w:p>
    <w:p>
      <w:pPr>
        <w:pStyle w:val="BodyText"/>
        <w:spacing w:before="12"/>
        <w:rPr>
          <w:sz w:val="17"/>
        </w:rPr>
      </w:pPr>
    </w:p>
    <w:p>
      <w:pPr>
        <w:pStyle w:val="BodyText"/>
        <w:spacing w:line="273" w:lineRule="auto" w:before="0"/>
        <w:ind w:left="2938" w:right="202" w:hanging="1890"/>
        <w:jc w:val="both"/>
      </w:pPr>
      <w:r>
        <w:rPr/>
        <w:t>68.双目失明</w:t>
      </w:r>
      <w:r>
        <w:rPr>
          <w:b/>
        </w:rPr>
        <w:t>★    </w:t>
      </w:r>
      <w:r>
        <w:rPr/>
        <w:t>指因疾病或意外伤害导致双眼视力永久不可逆性丧失，双眼中较好眼须满足下列至少一项条件：</w:t>
      </w:r>
    </w:p>
    <w:p>
      <w:pPr>
        <w:pStyle w:val="BodyText"/>
        <w:spacing w:before="85"/>
        <w:ind w:left="2938"/>
      </w:pPr>
      <w:r>
        <w:rPr/>
        <w:t>（1）眼球缺失或摘除；</w:t>
      </w:r>
    </w:p>
    <w:p>
      <w:pPr>
        <w:pStyle w:val="BodyText"/>
        <w:spacing w:line="273" w:lineRule="auto" w:before="114"/>
        <w:ind w:left="3462" w:right="208" w:hanging="525"/>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85"/>
        <w:ind w:left="2938"/>
      </w:pPr>
      <w:r>
        <w:rPr/>
        <w:t>（3）视野半径小于 5 度。</w:t>
      </w:r>
    </w:p>
    <w:p>
      <w:pPr>
        <w:pStyle w:val="Heading2"/>
        <w:spacing w:before="115"/>
      </w:pPr>
      <w:r>
        <w:rPr/>
        <w:t>被保险人在年满 3 周岁之前发生的双目失明不在保障范围内。</w:t>
      </w:r>
    </w:p>
    <w:p>
      <w:pPr>
        <w:pStyle w:val="BodyText"/>
        <w:spacing w:before="7"/>
        <w:rPr>
          <w:b/>
          <w:sz w:val="23"/>
        </w:rPr>
      </w:pPr>
    </w:p>
    <w:p>
      <w:pPr>
        <w:spacing w:after="0"/>
        <w:rPr>
          <w:sz w:val="23"/>
        </w:rPr>
        <w:sectPr>
          <w:type w:val="continuous"/>
          <w:pgSz w:w="11910" w:h="16840"/>
          <w:pgMar w:top="560" w:bottom="280" w:left="920" w:right="800"/>
        </w:sectPr>
      </w:pPr>
    </w:p>
    <w:p>
      <w:pPr>
        <w:pStyle w:val="BodyText"/>
        <w:ind w:left="1048"/>
      </w:pPr>
      <w:r>
        <w:rPr>
          <w:spacing w:val="-1"/>
        </w:rPr>
        <w:t>69.严重Ⅲ度烧伤</w:t>
      </w:r>
    </w:p>
    <w:p>
      <w:pPr>
        <w:pStyle w:val="Heading2"/>
        <w:spacing w:before="37"/>
        <w:ind w:left="0" w:right="314"/>
        <w:jc w:val="center"/>
      </w:pPr>
      <w:r>
        <w:rPr>
          <w:w w:val="99"/>
        </w:rPr>
        <w:t>★</w:t>
      </w:r>
    </w:p>
    <w:p>
      <w:pPr>
        <w:pStyle w:val="BodyText"/>
        <w:spacing w:line="273" w:lineRule="auto"/>
        <w:ind w:left="275" w:right="106"/>
      </w:pPr>
      <w:r>
        <w:rPr/>
        <w:br w:type="column"/>
      </w:r>
      <w:r>
        <w:rPr>
          <w:spacing w:val="-12"/>
        </w:rPr>
        <w:t>指烧伤程度为Ⅲ度，且Ⅲ度烧伤的面积达到全身体表面积的 </w:t>
      </w:r>
      <w:r>
        <w:rPr/>
        <w:t>20％</w:t>
      </w:r>
      <w:r>
        <w:rPr>
          <w:spacing w:val="-28"/>
        </w:rPr>
        <w:t>或 </w:t>
      </w:r>
      <w:r>
        <w:rPr/>
        <w:t>20％以上。体表面积根据《中国新九分法》计算。</w:t>
      </w:r>
    </w:p>
    <w:p>
      <w:pPr>
        <w:spacing w:after="0" w:line="273" w:lineRule="auto"/>
        <w:sectPr>
          <w:type w:val="continuous"/>
          <w:pgSz w:w="11910" w:h="16840"/>
          <w:pgMar w:top="560" w:bottom="280" w:left="920" w:right="800"/>
          <w:cols w:num="2" w:equalWidth="0">
            <w:col w:w="2623" w:space="40"/>
            <w:col w:w="7527"/>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before="36"/>
        <w:ind w:left="1048"/>
      </w:pPr>
      <w:r>
        <w:rPr>
          <w:spacing w:val="-1"/>
        </w:rPr>
        <w:t>70.语言能力丧失</w:t>
      </w:r>
    </w:p>
    <w:p>
      <w:pPr>
        <w:pStyle w:val="Heading2"/>
        <w:spacing w:before="37"/>
        <w:ind w:left="0" w:right="314"/>
        <w:jc w:val="center"/>
      </w:pPr>
      <w:r>
        <w:rPr>
          <w:w w:val="99"/>
        </w:rPr>
        <w:t>★</w:t>
      </w:r>
    </w:p>
    <w:p>
      <w:pPr>
        <w:pStyle w:val="BodyText"/>
        <w:spacing w:line="273" w:lineRule="auto" w:before="36"/>
        <w:ind w:left="275" w:right="209"/>
      </w:pPr>
      <w:r>
        <w:rPr/>
        <w:br w:type="column"/>
      </w:r>
      <w:r>
        <w:rPr>
          <w:spacing w:val="-4"/>
        </w:rPr>
        <w:t>指因疾病或意外伤害导致完全丧失语言能力，经过积极治疗至少 </w:t>
      </w:r>
      <w:r>
        <w:rPr/>
        <w:t>12</w:t>
      </w:r>
      <w:r>
        <w:rPr>
          <w:spacing w:val="-10"/>
        </w:rPr>
        <w:t> 个月</w:t>
      </w:r>
      <w:r>
        <w:rPr/>
        <w:t>（声带完全切除不受此时间限制），仍无法通过现有医疗手段恢复。</w:t>
      </w:r>
    </w:p>
    <w:p>
      <w:pPr>
        <w:pStyle w:val="Heading2"/>
        <w:spacing w:before="86"/>
        <w:ind w:left="275"/>
      </w:pPr>
      <w:r>
        <w:rPr>
          <w:w w:val="95"/>
        </w:rPr>
        <w:t>精神心理因素所致的语言能力丧失不在保障范围内。</w:t>
      </w:r>
    </w:p>
    <w:p>
      <w:pPr>
        <w:spacing w:after="0"/>
        <w:sectPr>
          <w:type w:val="continuous"/>
          <w:pgSz w:w="11910" w:h="16840"/>
          <w:pgMar w:top="560" w:bottom="280" w:left="920" w:right="800"/>
          <w:cols w:num="2" w:equalWidth="0">
            <w:col w:w="2623" w:space="40"/>
            <w:col w:w="7527"/>
          </w:cols>
        </w:sectPr>
      </w:pPr>
    </w:p>
    <w:p>
      <w:pPr>
        <w:pStyle w:val="BodyText"/>
        <w:spacing w:before="5"/>
        <w:rPr>
          <w:b/>
          <w:sz w:val="23"/>
        </w:rPr>
      </w:pPr>
    </w:p>
    <w:p>
      <w:pPr>
        <w:spacing w:after="0"/>
        <w:rPr>
          <w:sz w:val="23"/>
        </w:rPr>
        <w:sectPr>
          <w:type w:val="continuous"/>
          <w:pgSz w:w="11910" w:h="16840"/>
          <w:pgMar w:top="560" w:bottom="280" w:left="920" w:right="800"/>
        </w:sectPr>
      </w:pPr>
    </w:p>
    <w:p>
      <w:pPr>
        <w:pStyle w:val="BodyText"/>
        <w:spacing w:line="273" w:lineRule="auto" w:before="36"/>
        <w:ind w:left="1048"/>
      </w:pPr>
      <w:r>
        <w:rPr>
          <w:spacing w:val="-1"/>
        </w:rPr>
        <w:t>71.</w:t>
      </w:r>
      <w:r>
        <w:rPr/>
        <w:t>经输血导致的人类免疫缺陷病</w:t>
      </w:r>
      <w:r>
        <w:rPr>
          <w:spacing w:val="-1"/>
        </w:rPr>
        <w:t>毒（HIV）感染</w:t>
      </w:r>
    </w:p>
    <w:p>
      <w:pPr>
        <w:pStyle w:val="BodyText"/>
        <w:spacing w:before="36"/>
        <w:ind w:left="275"/>
      </w:pPr>
      <w:r>
        <w:rPr/>
        <w:br w:type="column"/>
      </w:r>
      <w:r>
        <w:rPr/>
        <w:t>指因医疗输血而感染上人类免疫缺陷病毒（HIV），且须满足下列全部条件：</w:t>
      </w:r>
    </w:p>
    <w:p>
      <w:pPr>
        <w:pStyle w:val="BodyText"/>
        <w:spacing w:before="130"/>
        <w:ind w:left="275"/>
      </w:pPr>
      <w:r>
        <w:rPr/>
        <w:t>（1）在保障起始日或复效日之后，被保险人因治疗必需而接受输血，并且因</w:t>
      </w:r>
    </w:p>
    <w:p>
      <w:pPr>
        <w:spacing w:after="0"/>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输血而感染人类免疫缺陷病毒；</w:t>
      </w:r>
    </w:p>
    <w:p>
      <w:pPr>
        <w:pStyle w:val="BodyText"/>
        <w:spacing w:line="273" w:lineRule="auto" w:before="130"/>
        <w:ind w:left="2938" w:right="211"/>
      </w:pPr>
      <w:r>
        <w:rPr/>
        <w:t>（2）提供输血治疗的输血中心或医院出具该项输血感染属医疗责任事故的报告，或者法院终审裁定为医疗责任并且不准上诉；</w:t>
      </w:r>
    </w:p>
    <w:p>
      <w:pPr>
        <w:pStyle w:val="BodyText"/>
        <w:spacing w:before="101"/>
        <w:ind w:left="2938"/>
      </w:pPr>
      <w:r>
        <w:rPr/>
        <w:t>（3）提供输血治疗的输血中心或医院必须拥有合法经营执照；</w:t>
      </w:r>
    </w:p>
    <w:p>
      <w:pPr>
        <w:pStyle w:val="BodyText"/>
        <w:spacing w:before="131"/>
        <w:ind w:left="2938"/>
      </w:pPr>
      <w:r>
        <w:rPr/>
        <w:t>（4）受感染的被保险人不是血友病患者。</w:t>
      </w:r>
    </w:p>
    <w:p>
      <w:pPr>
        <w:pStyle w:val="Heading2"/>
        <w:spacing w:before="130"/>
      </w:pPr>
      <w:r>
        <w:rPr>
          <w:w w:val="95"/>
        </w:rPr>
        <w:t>任何因其他传播方式导致的人类免疫缺陷病毒感染不在保障范围内。</w:t>
      </w:r>
    </w:p>
    <w:p>
      <w:pPr>
        <w:pStyle w:val="BodyText"/>
        <w:spacing w:before="8"/>
        <w:rPr>
          <w:b/>
          <w:sz w:val="24"/>
        </w:rPr>
      </w:pPr>
    </w:p>
    <w:p>
      <w:pPr>
        <w:spacing w:after="0"/>
        <w:rPr>
          <w:sz w:val="24"/>
        </w:rPr>
        <w:sectPr>
          <w:pgSz w:w="11910" w:h="16840"/>
          <w:pgMar w:header="608" w:footer="408" w:top="800" w:bottom="600" w:left="920" w:right="800"/>
        </w:sectPr>
      </w:pPr>
    </w:p>
    <w:p>
      <w:pPr>
        <w:pStyle w:val="BodyText"/>
        <w:spacing w:line="273" w:lineRule="auto"/>
        <w:ind w:left="1048"/>
      </w:pPr>
      <w:r>
        <w:rPr>
          <w:spacing w:val="-1"/>
        </w:rPr>
        <w:t>72.</w:t>
      </w:r>
      <w:r>
        <w:rPr/>
        <w:t>急性坏死性胰腺炎</w:t>
      </w:r>
    </w:p>
    <w:p>
      <w:pPr>
        <w:pStyle w:val="BodyText"/>
        <w:spacing w:line="273" w:lineRule="auto"/>
        <w:ind w:left="275" w:right="202"/>
        <w:jc w:val="both"/>
      </w:pPr>
      <w:r>
        <w:rPr/>
        <w:br w:type="column"/>
      </w:r>
      <w:r>
        <w:rPr/>
        <w:t>指胰酶在胰腺内激活后引起胰腺组织自身消化的急性化学性炎症。本病须经专科医生明确诊断，并已经实际实施了坏死组织清除、病灶切除或胰腺部分切除的手术治疗。</w:t>
      </w:r>
    </w:p>
    <w:p>
      <w:pPr>
        <w:pStyle w:val="Heading2"/>
        <w:spacing w:before="102"/>
        <w:ind w:left="275"/>
        <w:jc w:val="both"/>
      </w:pPr>
      <w:r>
        <w:rPr>
          <w:w w:val="95"/>
        </w:rPr>
        <w:t>因酒精作用所致的急性胰腺炎不在保障范围内。</w:t>
      </w:r>
    </w:p>
    <w:p>
      <w:pPr>
        <w:spacing w:after="0"/>
        <w:jc w:val="both"/>
        <w:sectPr>
          <w:type w:val="continuous"/>
          <w:pgSz w:w="11910" w:h="16840"/>
          <w:pgMar w:top="560" w:bottom="280" w:left="920" w:right="800"/>
          <w:cols w:num="2" w:equalWidth="0">
            <w:col w:w="2623" w:space="40"/>
            <w:col w:w="7527"/>
          </w:cols>
        </w:sectPr>
      </w:pPr>
    </w:p>
    <w:p>
      <w:pPr>
        <w:pStyle w:val="BodyText"/>
        <w:spacing w:before="8"/>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73.</w:t>
      </w:r>
      <w:r>
        <w:rPr/>
        <w:t>严重坏死性筋膜炎</w:t>
      </w:r>
    </w:p>
    <w:p>
      <w:pPr>
        <w:pStyle w:val="BodyText"/>
        <w:ind w:left="275"/>
      </w:pPr>
      <w:r>
        <w:rPr/>
        <w:br w:type="column"/>
      </w:r>
      <w:r>
        <w:rPr/>
        <w:t>坏死性筋膜炎的诊断须同时符合下列要求：</w:t>
      </w:r>
    </w:p>
    <w:p>
      <w:pPr>
        <w:pStyle w:val="BodyText"/>
        <w:spacing w:before="131"/>
        <w:ind w:left="275"/>
      </w:pPr>
      <w:r>
        <w:rPr/>
        <w:t>（1）符合坏死性筋膜炎的一般临床表现；</w:t>
      </w:r>
    </w:p>
    <w:p>
      <w:pPr>
        <w:pStyle w:val="BodyText"/>
        <w:spacing w:before="130"/>
        <w:ind w:left="275"/>
      </w:pPr>
      <w:r>
        <w:rPr/>
        <w:t>（2）细菌培养检出致病菌；</w:t>
      </w:r>
    </w:p>
    <w:p>
      <w:pPr>
        <w:pStyle w:val="BodyText"/>
        <w:spacing w:line="273" w:lineRule="auto" w:before="130"/>
        <w:ind w:left="275" w:right="211"/>
      </w:pPr>
      <w:r>
        <w:rPr/>
        <w:t>（3）出现广泛性肌肉及软组织坏死，并导致身体受影响部位功能永久不可逆性丧失。</w:t>
      </w:r>
    </w:p>
    <w:p>
      <w:pPr>
        <w:spacing w:after="0" w:line="273" w:lineRule="auto"/>
        <w:sectPr>
          <w:type w:val="continuous"/>
          <w:pgSz w:w="11910" w:h="16840"/>
          <w:pgMar w:top="560" w:bottom="280" w:left="920" w:right="800"/>
          <w:cols w:num="2" w:equalWidth="0">
            <w:col w:w="2623" w:space="40"/>
            <w:col w:w="7527"/>
          </w:cols>
        </w:sectPr>
      </w:pPr>
    </w:p>
    <w:p>
      <w:pPr>
        <w:pStyle w:val="BodyText"/>
        <w:spacing w:before="5"/>
        <w:rPr>
          <w:sz w:val="22"/>
        </w:rPr>
      </w:pPr>
    </w:p>
    <w:p>
      <w:pPr>
        <w:pStyle w:val="BodyText"/>
        <w:tabs>
          <w:tab w:pos="2937" w:val="left" w:leader="none"/>
        </w:tabs>
        <w:spacing w:line="273" w:lineRule="auto" w:before="36"/>
        <w:ind w:left="2938" w:right="206" w:hanging="1890"/>
      </w:pPr>
      <w:r>
        <w:rPr/>
        <w:t>74.严重克隆病</w:t>
        <w:tab/>
        <w:t>指一种</w:t>
      </w:r>
      <w:r>
        <w:rPr>
          <w:spacing w:val="2"/>
        </w:rPr>
        <w:t>胃</w:t>
      </w:r>
      <w:r>
        <w:rPr/>
        <w:t>肠</w:t>
      </w:r>
      <w:r>
        <w:rPr>
          <w:spacing w:val="2"/>
        </w:rPr>
        <w:t>道</w:t>
      </w:r>
      <w:r>
        <w:rPr/>
        <w:t>慢性炎性</w:t>
      </w:r>
      <w:r>
        <w:rPr>
          <w:spacing w:val="2"/>
        </w:rPr>
        <w:t>肉</w:t>
      </w:r>
      <w:r>
        <w:rPr/>
        <w:t>芽</w:t>
      </w:r>
      <w:r>
        <w:rPr>
          <w:spacing w:val="2"/>
        </w:rPr>
        <w:t>肿</w:t>
      </w:r>
      <w:r>
        <w:rPr/>
        <w:t>性疾病，须有</w:t>
      </w:r>
      <w:r>
        <w:rPr>
          <w:spacing w:val="2"/>
        </w:rPr>
        <w:t>结</w:t>
      </w:r>
      <w:r>
        <w:rPr/>
        <w:t>肠</w:t>
      </w:r>
      <w:r>
        <w:rPr>
          <w:spacing w:val="2"/>
        </w:rPr>
        <w:t>镜</w:t>
      </w:r>
      <w:r>
        <w:rPr/>
        <w:t>检查和组织病</w:t>
      </w:r>
      <w:r>
        <w:rPr>
          <w:spacing w:val="2"/>
        </w:rPr>
        <w:t>理</w:t>
      </w:r>
      <w:r>
        <w:rPr/>
        <w:t>学</w:t>
      </w:r>
      <w:r>
        <w:rPr>
          <w:spacing w:val="2"/>
        </w:rPr>
        <w:t>检</w:t>
      </w:r>
      <w:r>
        <w:rPr/>
        <w:t>查作 为诊断依据，且已经造成瘘管并伴有肠梗阻或肠穿孔。</w:t>
      </w: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75.</w:t>
      </w:r>
      <w:r>
        <w:rPr/>
        <w:t>因职业关系导致的人类免疫缺</w:t>
      </w:r>
      <w:r>
        <w:rPr>
          <w:spacing w:val="-1"/>
        </w:rPr>
        <w:t>陷病毒</w:t>
      </w:r>
      <w:r>
        <w:rPr/>
        <w:t>（HIV）感染</w:t>
      </w:r>
    </w:p>
    <w:p>
      <w:pPr>
        <w:pStyle w:val="BodyText"/>
        <w:spacing w:line="273" w:lineRule="auto"/>
        <w:ind w:left="275" w:right="202"/>
      </w:pPr>
      <w:r>
        <w:rPr/>
        <w:br w:type="column"/>
      </w:r>
      <w:r>
        <w:rPr/>
        <w:t>被保险人在其常规职业工作过程中遭遇外伤，或者职业需要处理血液或者其他体液时感染上人类免疫缺陷病毒（HIV）。</w:t>
      </w:r>
    </w:p>
    <w:p>
      <w:pPr>
        <w:pStyle w:val="BodyText"/>
        <w:spacing w:before="102"/>
        <w:ind w:left="275"/>
      </w:pPr>
      <w:r>
        <w:rPr/>
        <w:t>必须满足下列全部条件：</w:t>
      </w:r>
    </w:p>
    <w:p>
      <w:pPr>
        <w:pStyle w:val="BodyText"/>
        <w:spacing w:line="273" w:lineRule="auto" w:before="130"/>
        <w:ind w:left="275" w:right="202"/>
        <w:jc w:val="both"/>
      </w:pPr>
      <w:r>
        <w:rPr/>
        <w:t>（1）感染必须是在被保险人正在从事医生、护士、医院化验室工作人员、医院护工、医生助理、救护车工作人员、助产士、消防队员、各类警察职业工作中发生；</w:t>
      </w:r>
    </w:p>
    <w:p>
      <w:pPr>
        <w:pStyle w:val="BodyText"/>
        <w:spacing w:before="100"/>
        <w:ind w:left="275"/>
      </w:pPr>
      <w:r>
        <w:rPr/>
        <w:t>（2）血清转化必须出现在事故发生后的 6 个月以内；</w:t>
      </w:r>
    </w:p>
    <w:p>
      <w:pPr>
        <w:pStyle w:val="BodyText"/>
        <w:spacing w:line="273" w:lineRule="auto" w:before="131"/>
        <w:ind w:left="275" w:right="209"/>
      </w:pPr>
      <w:r>
        <w:rPr>
          <w:spacing w:val="-10"/>
        </w:rPr>
        <w:t>（3）</w:t>
      </w:r>
      <w:r>
        <w:rPr>
          <w:spacing w:val="-4"/>
        </w:rPr>
        <w:t>必须提供被保险人在所报事故发生后的 </w:t>
      </w:r>
      <w:r>
        <w:rPr/>
        <w:t>5</w:t>
      </w:r>
      <w:r>
        <w:rPr>
          <w:spacing w:val="-6"/>
        </w:rPr>
        <w:t> 天以内进行的检查报告，该报</w:t>
      </w:r>
      <w:r>
        <w:rPr>
          <w:spacing w:val="-11"/>
        </w:rPr>
        <w:t>告必须显示被保险人血液 </w:t>
      </w:r>
      <w:r>
        <w:rPr/>
        <w:t>HIV</w:t>
      </w:r>
      <w:r>
        <w:rPr>
          <w:spacing w:val="-3"/>
        </w:rPr>
        <w:t> 病毒阴性和</w:t>
      </w:r>
      <w:r>
        <w:rPr/>
        <w:t>/</w:t>
      </w:r>
      <w:r>
        <w:rPr>
          <w:spacing w:val="-29"/>
        </w:rPr>
        <w:t>或 </w:t>
      </w:r>
      <w:r>
        <w:rPr/>
        <w:t>HIV</w:t>
      </w:r>
      <w:r>
        <w:rPr>
          <w:spacing w:val="-3"/>
        </w:rPr>
        <w:t> 抗体阴性；</w:t>
      </w:r>
    </w:p>
    <w:p>
      <w:pPr>
        <w:pStyle w:val="BodyText"/>
        <w:spacing w:line="273" w:lineRule="auto" w:before="101"/>
        <w:ind w:left="275" w:right="212"/>
      </w:pPr>
      <w:r>
        <w:rPr>
          <w:spacing w:val="-1"/>
        </w:rPr>
        <w:t>（4</w:t>
      </w:r>
      <w:r>
        <w:rPr>
          <w:spacing w:val="-105"/>
        </w:rPr>
        <w:t>）</w:t>
      </w:r>
      <w:r>
        <w:rPr>
          <w:spacing w:val="1"/>
        </w:rPr>
        <w:t>必须在事故发生后的</w:t>
      </w:r>
      <w:r>
        <w:rPr>
          <w:spacing w:val="0"/>
        </w:rPr>
        <w:t>1</w:t>
      </w:r>
      <w:r>
        <w:rPr/>
        <w:t>2 个月内证实被保险人体内存在H</w:t>
      </w:r>
      <w:r>
        <w:rPr>
          <w:spacing w:val="-1"/>
        </w:rPr>
        <w:t>I</w:t>
      </w:r>
      <w:r>
        <w:rPr/>
        <w:t>V</w:t>
      </w:r>
      <w:r>
        <w:rPr>
          <w:spacing w:val="5"/>
        </w:rPr>
        <w:t> 病毒或者</w:t>
      </w:r>
      <w:r>
        <w:rPr>
          <w:spacing w:val="0"/>
        </w:rPr>
        <w:t>H</w:t>
      </w:r>
      <w:r>
        <w:rPr>
          <w:spacing w:val="-2"/>
        </w:rPr>
        <w:t>I</w:t>
      </w:r>
      <w:r>
        <w:rPr/>
        <w:t>V抗体。</w:t>
      </w:r>
    </w:p>
    <w:p>
      <w:pPr>
        <w:spacing w:after="0" w:line="273" w:lineRule="auto"/>
        <w:sectPr>
          <w:type w:val="continuous"/>
          <w:pgSz w:w="11910" w:h="16840"/>
          <w:pgMar w:top="56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76.</w:t>
      </w:r>
      <w:r>
        <w:rPr/>
        <w:t>埃博拉病毒感染</w:t>
      </w:r>
    </w:p>
    <w:p>
      <w:pPr>
        <w:pStyle w:val="BodyText"/>
        <w:spacing w:line="273" w:lineRule="auto" w:before="36"/>
        <w:ind w:left="275" w:right="202"/>
      </w:pPr>
      <w:r>
        <w:rPr/>
        <w:br w:type="column"/>
      </w:r>
      <w:r>
        <w:rPr/>
        <w:t>指埃博拉病毒感染导致的出血性发热。埃博拉病必须经国家机关认可的有合法资质的传染病专家确诊，并须满足下列全部条件：</w:t>
      </w:r>
    </w:p>
    <w:p>
      <w:pPr>
        <w:pStyle w:val="BodyText"/>
        <w:spacing w:before="102"/>
        <w:ind w:left="275"/>
      </w:pPr>
      <w:r>
        <w:rPr/>
        <w:t>（1）埃博拉病毒的存在必须经过实验室检查证实；</w:t>
      </w:r>
    </w:p>
    <w:p>
      <w:pPr>
        <w:pStyle w:val="BodyText"/>
        <w:spacing w:before="130"/>
        <w:ind w:left="275"/>
      </w:pPr>
      <w:r>
        <w:rPr/>
        <w:t>（2）存在皮肤粘膜出血，呕血，咯血，便血或血尿等临床表现；</w:t>
      </w:r>
    </w:p>
    <w:p>
      <w:pPr>
        <w:spacing w:line="355" w:lineRule="auto" w:before="130"/>
        <w:ind w:left="275" w:right="106" w:firstLine="0"/>
        <w:jc w:val="left"/>
        <w:rPr>
          <w:b/>
          <w:sz w:val="21"/>
        </w:rPr>
      </w:pPr>
      <w:r>
        <w:rPr>
          <w:spacing w:val="-19"/>
          <w:sz w:val="21"/>
        </w:rPr>
        <w:t>（3）</w:t>
      </w:r>
      <w:r>
        <w:rPr>
          <w:spacing w:val="-3"/>
          <w:sz w:val="21"/>
        </w:rPr>
        <w:t>感染埃博拉病毒并出现出血性发热持续三十天以上，且持续出现并发症。</w:t>
      </w:r>
      <w:r>
        <w:rPr>
          <w:b/>
          <w:spacing w:val="-3"/>
          <w:w w:val="95"/>
          <w:sz w:val="21"/>
        </w:rPr>
        <w:t>单纯实验室诊断但没有临床出血表现的不在保障范围内。</w:t>
      </w:r>
    </w:p>
    <w:p>
      <w:pPr>
        <w:spacing w:after="0" w:line="355" w:lineRule="auto"/>
        <w:jc w:val="left"/>
        <w:rPr>
          <w:sz w:val="21"/>
        </w:rPr>
        <w:sectPr>
          <w:type w:val="continuous"/>
          <w:pgSz w:w="11910" w:h="16840"/>
          <w:pgMar w:top="560" w:bottom="280" w:left="920" w:right="800"/>
          <w:cols w:num="2" w:equalWidth="0">
            <w:col w:w="2623" w:space="40"/>
            <w:col w:w="7527"/>
          </w:cols>
        </w:sectPr>
      </w:pPr>
    </w:p>
    <w:p>
      <w:pPr>
        <w:pStyle w:val="BodyText"/>
        <w:spacing w:before="11"/>
        <w:rPr>
          <w:b/>
          <w:sz w:val="16"/>
        </w:rPr>
      </w:pPr>
    </w:p>
    <w:p>
      <w:pPr>
        <w:pStyle w:val="BodyText"/>
        <w:tabs>
          <w:tab w:pos="2937" w:val="left" w:leader="none"/>
        </w:tabs>
        <w:spacing w:before="36"/>
        <w:ind w:left="1047"/>
      </w:pPr>
      <w:r>
        <w:rPr/>
        <w:t>77.严重象皮病</w:t>
        <w:tab/>
        <w:t>指末期</w:t>
      </w:r>
      <w:r>
        <w:rPr>
          <w:spacing w:val="2"/>
        </w:rPr>
        <w:t>丝</w:t>
      </w:r>
      <w:r>
        <w:rPr/>
        <w:t>虫</w:t>
      </w:r>
      <w:r>
        <w:rPr>
          <w:spacing w:val="2"/>
        </w:rPr>
        <w:t>病</w:t>
      </w:r>
      <w:r>
        <w:rPr/>
        <w:t>，已经到</w:t>
      </w:r>
      <w:r>
        <w:rPr>
          <w:spacing w:val="2"/>
        </w:rPr>
        <w:t>达</w:t>
      </w:r>
      <w:r>
        <w:rPr/>
        <w:t>国</w:t>
      </w:r>
      <w:r>
        <w:rPr>
          <w:spacing w:val="2"/>
        </w:rPr>
        <w:t>际</w:t>
      </w:r>
      <w:r>
        <w:rPr/>
        <w:t>淋巴学会分级</w:t>
      </w:r>
      <w:r>
        <w:rPr>
          <w:spacing w:val="2"/>
        </w:rPr>
        <w:t>为</w:t>
      </w:r>
      <w:r>
        <w:rPr/>
        <w:t>三</w:t>
      </w:r>
      <w:r>
        <w:rPr>
          <w:spacing w:val="2"/>
        </w:rPr>
        <w:t>度</w:t>
      </w:r>
      <w:r>
        <w:rPr/>
        <w:t>淋巴水肿，其</w:t>
      </w:r>
      <w:r>
        <w:rPr>
          <w:spacing w:val="2"/>
        </w:rPr>
        <w:t>临</w:t>
      </w:r>
      <w:r>
        <w:rPr/>
        <w:t>床</w:t>
      </w:r>
      <w:r>
        <w:rPr>
          <w:spacing w:val="2"/>
        </w:rPr>
        <w:t>表</w:t>
      </w:r>
      <w:r>
        <w:rPr/>
        <w:t>现为</w:t>
      </w:r>
    </w:p>
    <w:p>
      <w:pPr>
        <w:spacing w:after="0"/>
        <w:sectPr>
          <w:type w:val="continuous"/>
          <w:pgSz w:w="11910" w:h="16840"/>
          <w:pgMar w:top="560" w:bottom="280" w:left="920" w:right="800"/>
        </w:sectPr>
      </w:pPr>
    </w:p>
    <w:p>
      <w:pPr>
        <w:pStyle w:val="BodyText"/>
        <w:spacing w:before="1"/>
      </w:pPr>
    </w:p>
    <w:p>
      <w:pPr>
        <w:pStyle w:val="BodyText"/>
        <w:spacing w:line="273" w:lineRule="auto"/>
        <w:ind w:left="2938" w:right="202"/>
      </w:pPr>
      <w:r>
        <w:rPr/>
        <w:t>肢体非凹陷性水肿伴畸形增大、硬皮症和疣状增生。此病症须经专科医生根据临床表现和微丝蚴的化验结果确诊。</w:t>
      </w:r>
    </w:p>
    <w:p>
      <w:pPr>
        <w:pStyle w:val="BodyText"/>
        <w:spacing w:before="4"/>
        <w:rPr>
          <w:sz w:val="22"/>
        </w:rPr>
      </w:pPr>
    </w:p>
    <w:p>
      <w:pPr>
        <w:spacing w:after="0"/>
        <w:rPr>
          <w:sz w:val="22"/>
        </w:rPr>
        <w:sectPr>
          <w:pgSz w:w="11910" w:h="16840"/>
          <w:pgMar w:header="608" w:footer="408" w:top="800" w:bottom="600" w:left="920" w:right="800"/>
        </w:sectPr>
      </w:pPr>
    </w:p>
    <w:p>
      <w:pPr>
        <w:pStyle w:val="BodyText"/>
        <w:spacing w:line="273" w:lineRule="auto"/>
        <w:ind w:left="1048"/>
      </w:pPr>
      <w:r>
        <w:rPr>
          <w:spacing w:val="-1"/>
        </w:rPr>
        <w:t>78.</w:t>
      </w:r>
      <w:r>
        <w:rPr/>
        <w:t>严重慢性复发性胰腺炎</w:t>
      </w:r>
    </w:p>
    <w:p>
      <w:pPr>
        <w:pStyle w:val="BodyText"/>
        <w:spacing w:line="273" w:lineRule="auto"/>
        <w:ind w:left="275" w:right="202"/>
        <w:jc w:val="both"/>
      </w:pPr>
      <w:r>
        <w:rPr/>
        <w:br w:type="column"/>
      </w:r>
      <w:r>
        <w:rPr/>
        <w:t>指慢性反复发作的胰腺炎症导致胰腺的广泛纤维化、坏死、弥漫性钙化及假性囊肿形成，造成胰腺功能障碍出现严重糖尿病和营养不良。必须满足以下所有条件：</w:t>
      </w:r>
    </w:p>
    <w:p>
      <w:pPr>
        <w:pStyle w:val="BodyText"/>
        <w:spacing w:line="273" w:lineRule="auto" w:before="101"/>
        <w:ind w:left="275" w:right="210"/>
        <w:jc w:val="both"/>
      </w:pPr>
      <w:r>
        <w:rPr/>
        <w:t>（1）CT 显示胰腺广泛钙化或逆行胰胆管造影（ERCP）显示胰管扭曲、扩张和狭窄；</w:t>
      </w:r>
    </w:p>
    <w:p>
      <w:pPr>
        <w:spacing w:line="355" w:lineRule="auto" w:before="102"/>
        <w:ind w:left="275" w:right="2309" w:firstLine="0"/>
        <w:jc w:val="left"/>
        <w:rPr>
          <w:b/>
          <w:sz w:val="21"/>
        </w:rPr>
      </w:pPr>
      <w:r>
        <w:rPr>
          <w:sz w:val="21"/>
        </w:rPr>
        <w:t>（2）</w:t>
      </w:r>
      <w:r>
        <w:rPr>
          <w:spacing w:val="-4"/>
          <w:sz w:val="21"/>
        </w:rPr>
        <w:t>接受胰岛素替代治疗和酶替代治疗 </w:t>
      </w:r>
      <w:r>
        <w:rPr>
          <w:sz w:val="21"/>
        </w:rPr>
        <w:t>180</w:t>
      </w:r>
      <w:r>
        <w:rPr>
          <w:spacing w:val="-13"/>
          <w:sz w:val="21"/>
        </w:rPr>
        <w:t> 天以上。</w:t>
      </w:r>
      <w:r>
        <w:rPr>
          <w:b/>
          <w:spacing w:val="-13"/>
          <w:w w:val="95"/>
          <w:sz w:val="21"/>
        </w:rPr>
        <w:t>酒精导致的慢性复发性胰腺炎不在本保障范围内。</w:t>
      </w:r>
    </w:p>
    <w:p>
      <w:pPr>
        <w:spacing w:after="0" w:line="355" w:lineRule="auto"/>
        <w:jc w:val="left"/>
        <w:rPr>
          <w:sz w:val="21"/>
        </w:rPr>
        <w:sectPr>
          <w:type w:val="continuous"/>
          <w:pgSz w:w="11910" w:h="16840"/>
          <w:pgMar w:top="560" w:bottom="280" w:left="920" w:right="800"/>
          <w:cols w:num="2" w:equalWidth="0">
            <w:col w:w="2623" w:space="40"/>
            <w:col w:w="7527"/>
          </w:cols>
        </w:sectPr>
      </w:pPr>
    </w:p>
    <w:p>
      <w:pPr>
        <w:pStyle w:val="BodyText"/>
        <w:spacing w:before="12"/>
        <w:rPr>
          <w:b/>
          <w:sz w:val="16"/>
        </w:rPr>
      </w:pPr>
    </w:p>
    <w:p>
      <w:pPr>
        <w:pStyle w:val="BodyText"/>
        <w:tabs>
          <w:tab w:pos="2938" w:val="left" w:leader="none"/>
        </w:tabs>
        <w:spacing w:line="273" w:lineRule="auto" w:before="36"/>
        <w:ind w:left="2938" w:right="206" w:hanging="1890"/>
      </w:pPr>
      <w:r>
        <w:rPr/>
        <w:t>79.胰腺移植</w:t>
        <w:tab/>
        <w:t>指因胰</w:t>
      </w:r>
      <w:r>
        <w:rPr>
          <w:spacing w:val="2"/>
        </w:rPr>
        <w:t>腺</w:t>
      </w:r>
      <w:r>
        <w:rPr/>
        <w:t>功</w:t>
      </w:r>
      <w:r>
        <w:rPr>
          <w:spacing w:val="2"/>
        </w:rPr>
        <w:t>能</w:t>
      </w:r>
      <w:r>
        <w:rPr/>
        <w:t>衰竭，已</w:t>
      </w:r>
      <w:r>
        <w:rPr>
          <w:spacing w:val="2"/>
        </w:rPr>
        <w:t>经</w:t>
      </w:r>
      <w:r>
        <w:rPr/>
        <w:t>实</w:t>
      </w:r>
      <w:r>
        <w:rPr>
          <w:spacing w:val="2"/>
        </w:rPr>
        <w:t>施</w:t>
      </w:r>
      <w:r>
        <w:rPr/>
        <w:t>了在全身麻醉</w:t>
      </w:r>
      <w:r>
        <w:rPr>
          <w:spacing w:val="2"/>
        </w:rPr>
        <w:t>下</w:t>
      </w:r>
      <w:r>
        <w:rPr/>
        <w:t>进</w:t>
      </w:r>
      <w:r>
        <w:rPr>
          <w:spacing w:val="2"/>
        </w:rPr>
        <w:t>行</w:t>
      </w:r>
      <w:r>
        <w:rPr/>
        <w:t>的胰腺的异体</w:t>
      </w:r>
      <w:r>
        <w:rPr>
          <w:spacing w:val="2"/>
        </w:rPr>
        <w:t>器</w:t>
      </w:r>
      <w:r>
        <w:rPr/>
        <w:t>官</w:t>
      </w:r>
      <w:r>
        <w:rPr>
          <w:spacing w:val="2"/>
        </w:rPr>
        <w:t>移</w:t>
      </w:r>
      <w:r>
        <w:rPr/>
        <w:t>植手 术。</w:t>
      </w:r>
    </w:p>
    <w:p>
      <w:pPr>
        <w:pStyle w:val="Heading2"/>
      </w:pPr>
      <w:r>
        <w:rPr>
          <w:w w:val="95"/>
        </w:rPr>
        <w:t>单纯胰岛移植、部分胰腺组织或细胞的移植不在本保障范围之内。</w:t>
      </w:r>
    </w:p>
    <w:p>
      <w:pPr>
        <w:pStyle w:val="BodyText"/>
        <w:spacing w:before="7"/>
        <w:rPr>
          <w:b/>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80.</w:t>
      </w:r>
      <w:r>
        <w:rPr/>
        <w:t>严重溃疡性结肠炎</w:t>
      </w:r>
    </w:p>
    <w:p>
      <w:pPr>
        <w:pStyle w:val="BodyText"/>
        <w:spacing w:line="273" w:lineRule="auto" w:before="36"/>
        <w:ind w:left="275" w:right="202"/>
        <w:jc w:val="both"/>
      </w:pPr>
      <w:r>
        <w:rPr/>
        <w:br w:type="column"/>
      </w:r>
      <w:r>
        <w:rPr/>
        <w:t>本保障所指的严重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60" w:bottom="280" w:left="920" w:right="800"/>
        </w:sectPr>
      </w:pPr>
    </w:p>
    <w:p>
      <w:pPr>
        <w:pStyle w:val="BodyText"/>
        <w:spacing w:line="273" w:lineRule="auto"/>
        <w:ind w:left="1048"/>
      </w:pPr>
      <w:r>
        <w:rPr/>
        <w:t>81.严重瑞氏综合 </w:t>
      </w:r>
      <w:r>
        <w:rPr>
          <w:spacing w:val="-7"/>
        </w:rPr>
        <w:t>症</w:t>
      </w:r>
      <w:r>
        <w:rPr/>
        <w:t>（Reye</w:t>
      </w:r>
      <w:r>
        <w:rPr>
          <w:spacing w:val="-1"/>
        </w:rPr>
        <w:t> 综合征， 也称赖氏综合征、雷氏综合征）</w:t>
      </w:r>
    </w:p>
    <w:p>
      <w:pPr>
        <w:pStyle w:val="BodyText"/>
        <w:spacing w:line="273" w:lineRule="auto"/>
        <w:ind w:left="71" w:right="106"/>
      </w:pPr>
      <w:r>
        <w:rPr/>
        <w:br w:type="column"/>
      </w:r>
      <w:r>
        <w:rPr/>
        <w:t>瑞氏综合征是线粒体功能障碍性疾病。导致脂肪代谢障碍，引起短链脂肪酸、血氨升高，造成脑水肿。主要临床表现为急性发热、反复呕吐、惊厥及意识障碍等等。</w:t>
      </w:r>
    </w:p>
    <w:p>
      <w:pPr>
        <w:pStyle w:val="BodyText"/>
        <w:spacing w:before="101"/>
        <w:ind w:left="71"/>
      </w:pPr>
      <w:r>
        <w:rPr/>
        <w:t>瑞氏综合征需由三级医院的儿科专科医生确诊，并符合下列所有条件：</w:t>
      </w:r>
    </w:p>
    <w:p>
      <w:pPr>
        <w:pStyle w:val="BodyText"/>
        <w:spacing w:before="132"/>
        <w:ind w:left="71"/>
      </w:pPr>
      <w:r>
        <w:rPr/>
        <w:t>（1）有脑水肿和颅内压升高的脑脊液检查和影像学检查证据；</w:t>
      </w:r>
    </w:p>
    <w:p>
      <w:pPr>
        <w:pStyle w:val="BodyText"/>
        <w:spacing w:before="130"/>
        <w:ind w:left="71"/>
      </w:pPr>
      <w:r>
        <w:rPr/>
        <w:t>（2）血氨超过正常值的 3 倍；</w:t>
      </w:r>
    </w:p>
    <w:p>
      <w:pPr>
        <w:pStyle w:val="BodyText"/>
        <w:spacing w:before="130"/>
        <w:ind w:left="71"/>
      </w:pPr>
      <w:r>
        <w:rPr/>
        <w:t>（3）临床出现昏迷，病程至少达到疾病分期第 3 期。</w:t>
      </w:r>
    </w:p>
    <w:p>
      <w:pPr>
        <w:spacing w:after="0"/>
        <w:sectPr>
          <w:type w:val="continuous"/>
          <w:pgSz w:w="11910" w:h="16840"/>
          <w:pgMar w:top="560" w:bottom="280" w:left="920" w:right="800"/>
          <w:cols w:num="2" w:equalWidth="0">
            <w:col w:w="2827" w:space="40"/>
            <w:col w:w="7323"/>
          </w:cols>
        </w:sectPr>
      </w:pP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82.</w:t>
      </w:r>
      <w:r>
        <w:rPr/>
        <w:t>严重慢性呼吸功能衰竭</w:t>
      </w:r>
    </w:p>
    <w:p>
      <w:pPr>
        <w:pStyle w:val="BodyText"/>
        <w:spacing w:line="273" w:lineRule="auto"/>
        <w:ind w:left="275" w:right="202"/>
      </w:pPr>
      <w:r>
        <w:rPr/>
        <w:br w:type="column"/>
      </w:r>
      <w:r>
        <w:rPr/>
        <w:t>慢性肺部疾病导致永久不可逆性的慢性呼吸功能衰竭。慢性呼吸功能衰竭必须明确诊断并满足下列全部条件：</w:t>
      </w:r>
    </w:p>
    <w:p>
      <w:pPr>
        <w:pStyle w:val="BodyText"/>
        <w:spacing w:before="100"/>
        <w:ind w:left="275"/>
      </w:pPr>
      <w:r>
        <w:rPr/>
        <w:t>（1）休息时出现呼吸困难；</w:t>
      </w:r>
    </w:p>
    <w:p>
      <w:pPr>
        <w:pStyle w:val="BodyText"/>
        <w:spacing w:before="130"/>
        <w:ind w:left="275"/>
      </w:pPr>
      <w:r>
        <w:rPr>
          <w:spacing w:val="-1"/>
        </w:rPr>
        <w:t>（2）动脉血氧分压（Pa</w:t>
      </w:r>
      <w:r>
        <w:rPr>
          <w:spacing w:val="0"/>
        </w:rPr>
        <w:t>O</w:t>
      </w:r>
      <w:r>
        <w:rPr>
          <w:spacing w:val="-1"/>
          <w:w w:val="103"/>
          <w:position w:val="-2"/>
          <w:sz w:val="10"/>
        </w:rPr>
        <w:t>2</w:t>
      </w:r>
      <w:r>
        <w:rPr/>
        <w:t>）＜</w:t>
      </w:r>
      <w:r>
        <w:rPr>
          <w:spacing w:val="0"/>
        </w:rPr>
        <w:t>5</w:t>
      </w:r>
      <w:r>
        <w:rPr>
          <w:spacing w:val="-2"/>
        </w:rPr>
        <w:t>0</w:t>
      </w:r>
      <w:r>
        <w:rPr>
          <w:spacing w:val="0"/>
        </w:rPr>
        <w:t>m</w:t>
      </w:r>
      <w:r>
        <w:rPr>
          <w:spacing w:val="-2"/>
        </w:rPr>
        <w:t>m</w:t>
      </w:r>
      <w:r>
        <w:rPr>
          <w:spacing w:val="0"/>
        </w:rPr>
        <w:t>H</w:t>
      </w:r>
      <w:r>
        <w:rPr>
          <w:spacing w:val="-2"/>
        </w:rPr>
        <w:t>g；</w:t>
      </w:r>
    </w:p>
    <w:p>
      <w:pPr>
        <w:pStyle w:val="BodyText"/>
        <w:spacing w:before="117"/>
        <w:ind w:left="275"/>
      </w:pPr>
      <w:r>
        <w:rPr>
          <w:spacing w:val="-1"/>
        </w:rPr>
        <w:t>（3）动脉血氧饱和度（Sa</w:t>
      </w:r>
      <w:r>
        <w:rPr>
          <w:spacing w:val="0"/>
        </w:rPr>
        <w:t>O</w:t>
      </w:r>
      <w:r>
        <w:rPr>
          <w:spacing w:val="-1"/>
          <w:w w:val="103"/>
          <w:position w:val="-2"/>
          <w:sz w:val="10"/>
        </w:rPr>
        <w:t>2</w:t>
      </w:r>
      <w:r>
        <w:rPr/>
        <w:t>）＜</w:t>
      </w:r>
      <w:r>
        <w:rPr>
          <w:spacing w:val="0"/>
        </w:rPr>
        <w:t>8</w:t>
      </w:r>
      <w:r>
        <w:rPr>
          <w:spacing w:val="-2"/>
        </w:rPr>
        <w:t>0</w:t>
      </w:r>
      <w:r>
        <w:rPr/>
        <w:t>%；</w:t>
      </w:r>
    </w:p>
    <w:p>
      <w:pPr>
        <w:pStyle w:val="BodyText"/>
        <w:spacing w:before="115"/>
        <w:ind w:left="275"/>
      </w:pPr>
      <w:r>
        <w:rPr/>
        <w:t>（4）因缺氧必须接受持续的输氧治疗。</w:t>
      </w:r>
    </w:p>
    <w:p>
      <w:pPr>
        <w:spacing w:after="0"/>
        <w:sectPr>
          <w:type w:val="continuous"/>
          <w:pgSz w:w="11910" w:h="16840"/>
          <w:pgMar w:top="560" w:bottom="280" w:left="920" w:right="800"/>
          <w:cols w:num="2" w:equalWidth="0">
            <w:col w:w="2623" w:space="40"/>
            <w:col w:w="7527"/>
          </w:cols>
        </w:sectPr>
      </w:pPr>
    </w:p>
    <w:p>
      <w:pPr>
        <w:pStyle w:val="BodyText"/>
        <w:spacing w:before="8"/>
        <w:rPr>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spacing w:val="-1"/>
        </w:rPr>
        <w:t>83.</w:t>
      </w:r>
      <w:r>
        <w:rPr/>
        <w:t>严重多发性硬化</w:t>
      </w:r>
    </w:p>
    <w:p>
      <w:pPr>
        <w:pStyle w:val="BodyText"/>
        <w:spacing w:line="273" w:lineRule="auto" w:before="36"/>
        <w:ind w:left="275" w:right="202"/>
        <w:jc w:val="both"/>
      </w:pPr>
      <w:r>
        <w:rPr/>
        <w:br w:type="column"/>
      </w:r>
      <w:r>
        <w:rPr/>
        <w:t>指因中枢神经系统脱髓鞘所致的不可逆的神经系统功能障碍，须由计算机断层扫描（CT）、核磁共振检查（MRI）或正电子发射断层扫描（PET）等影像学检查证实，且已经造成自主生活能力完全丧失，无法独立完成六项基本日常生活活动中的三项或三项以上，持续至少 180 天。</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84.</w:t>
      </w:r>
      <w:r>
        <w:rPr/>
        <w:t>严重类风湿性关节炎</w:t>
      </w:r>
    </w:p>
    <w:p>
      <w:pPr>
        <w:pStyle w:val="BodyText"/>
        <w:spacing w:line="273" w:lineRule="auto"/>
        <w:ind w:left="275" w:right="103"/>
      </w:pPr>
      <w:r>
        <w:rPr/>
        <w:br w:type="column"/>
      </w:r>
      <w:r>
        <w:rPr/>
        <w:t>类风湿性关节炎为广泛分布的慢性进行性多关节病变，表现为关节严重变形， 侵犯至少三个主要关节或关节组，如：双手（多手指）关节、双足（多足趾）</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pStyle w:val="BodyText"/>
        <w:spacing w:line="273" w:lineRule="auto"/>
        <w:ind w:left="2938" w:right="202"/>
        <w:jc w:val="both"/>
      </w:pPr>
      <w:r>
        <w:rPr/>
        <w:t>关节、双腕关节、双膝关节和双髋关节。类风湿性关节炎必须明确诊断并且已经达到类风湿性关节炎功能分级 III 级以上的功能障碍（关节活动严重限制，不能完成大部分的日常工作和活动）并且满足下列全部条件：</w:t>
      </w:r>
    </w:p>
    <w:p>
      <w:pPr>
        <w:pStyle w:val="BodyText"/>
        <w:spacing w:before="100"/>
        <w:ind w:left="2938"/>
      </w:pPr>
      <w:r>
        <w:rPr/>
        <w:t>（1）晨僵；</w:t>
      </w:r>
    </w:p>
    <w:p>
      <w:pPr>
        <w:pStyle w:val="BodyText"/>
        <w:spacing w:before="130"/>
        <w:ind w:left="2938"/>
      </w:pPr>
      <w:r>
        <w:rPr/>
        <w:t>（2）对称性关节炎；</w:t>
      </w:r>
    </w:p>
    <w:p>
      <w:pPr>
        <w:pStyle w:val="BodyText"/>
        <w:spacing w:before="132"/>
        <w:ind w:left="2938"/>
      </w:pPr>
      <w:r>
        <w:rPr/>
        <w:t>（3）类风湿性皮下结节；</w:t>
      </w:r>
    </w:p>
    <w:p>
      <w:pPr>
        <w:pStyle w:val="BodyText"/>
        <w:spacing w:before="131"/>
        <w:ind w:left="2938"/>
      </w:pPr>
      <w:r>
        <w:rPr/>
        <w:t>（4）类风湿因子滴度升高；</w:t>
      </w:r>
    </w:p>
    <w:p>
      <w:pPr>
        <w:pStyle w:val="BodyText"/>
        <w:spacing w:before="131"/>
        <w:ind w:left="2938"/>
      </w:pPr>
      <w:r>
        <w:rPr/>
        <w:t>（5）X 线显示严重的关节（软骨和骨）破坏和关节畸形。</w:t>
      </w:r>
    </w:p>
    <w:p>
      <w:pPr>
        <w:pStyle w:val="BodyText"/>
        <w:spacing w:before="5"/>
        <w:rPr>
          <w:sz w:val="27"/>
        </w:rPr>
      </w:pPr>
    </w:p>
    <w:p>
      <w:pPr>
        <w:pStyle w:val="BodyText"/>
        <w:tabs>
          <w:tab w:pos="2830" w:val="left" w:leader="none"/>
        </w:tabs>
        <w:spacing w:before="0"/>
        <w:ind w:left="940"/>
        <w:jc w:val="center"/>
      </w:pPr>
      <w:r>
        <w:rPr/>
        <w:t>85.骨生长不全症</w:t>
        <w:tab/>
        <w:t>指一种胶原病</w:t>
      </w:r>
      <w:r>
        <w:rPr>
          <w:spacing w:val="-15"/>
        </w:rPr>
        <w:t>，</w:t>
      </w:r>
      <w:r>
        <w:rPr/>
        <w:t>特征为骨易碎</w:t>
      </w:r>
      <w:r>
        <w:rPr>
          <w:spacing w:val="-15"/>
        </w:rPr>
        <w:t>，</w:t>
      </w:r>
      <w:r>
        <w:rPr/>
        <w:t>骨质疏松和易骨折</w:t>
      </w:r>
      <w:r>
        <w:rPr>
          <w:spacing w:val="-14"/>
        </w:rPr>
        <w:t>。</w:t>
      </w:r>
      <w:r>
        <w:rPr/>
        <w:t>该病有</w:t>
      </w:r>
      <w:r>
        <w:rPr>
          <w:spacing w:val="-57"/>
        </w:rPr>
        <w:t> </w:t>
      </w:r>
      <w:r>
        <w:rPr/>
        <w:t>4</w:t>
      </w:r>
      <w:r>
        <w:rPr>
          <w:spacing w:val="-8"/>
        </w:rPr>
        <w:t> </w:t>
      </w:r>
      <w:r>
        <w:rPr/>
        <w:t>种类型</w:t>
      </w:r>
      <w:r>
        <w:rPr>
          <w:spacing w:val="-8"/>
        </w:rPr>
        <w:t>：I </w:t>
      </w:r>
      <w:r>
        <w:rPr/>
        <w:t>型、</w:t>
      </w:r>
    </w:p>
    <w:p>
      <w:pPr>
        <w:pStyle w:val="BodyText"/>
        <w:spacing w:line="273" w:lineRule="auto" w:before="36"/>
        <w:ind w:left="2938" w:right="104"/>
      </w:pPr>
      <w:r>
        <w:rPr/>
        <w:t>II</w:t>
      </w:r>
      <w:r>
        <w:rPr>
          <w:spacing w:val="-19"/>
        </w:rPr>
        <w:t> 型、</w:t>
      </w:r>
      <w:r>
        <w:rPr/>
        <w:t>III</w:t>
      </w:r>
      <w:r>
        <w:rPr>
          <w:spacing w:val="-1"/>
        </w:rPr>
        <w:t> 型、</w:t>
      </w:r>
      <w:r>
        <w:rPr/>
        <w:t>IV</w:t>
      </w:r>
      <w:r>
        <w:rPr>
          <w:spacing w:val="-10"/>
        </w:rPr>
        <w:t> 型。只保障 </w:t>
      </w:r>
      <w:r>
        <w:rPr/>
        <w:t>III</w:t>
      </w:r>
      <w:r>
        <w:rPr>
          <w:spacing w:val="-1"/>
        </w:rPr>
        <w:t> 型成骨不全的情形。其主要临床特点有： </w:t>
      </w:r>
      <w:r>
        <w:rPr/>
        <w:t>发展迟缓、多发性骨折、进行性脊柱后侧凸及听力损害。III</w:t>
      </w:r>
      <w:r>
        <w:rPr>
          <w:spacing w:val="2"/>
        </w:rPr>
        <w:t> 型成骨不全的诊断必须根据身体检查，家族史，X 线检查和皮肤活检报告资料确诊。</w:t>
      </w:r>
    </w:p>
    <w:p>
      <w:pPr>
        <w:pStyle w:val="BodyText"/>
        <w:spacing w:before="4"/>
        <w:rPr>
          <w:sz w:val="22"/>
        </w:rPr>
      </w:pPr>
    </w:p>
    <w:p>
      <w:pPr>
        <w:spacing w:after="0"/>
        <w:rPr>
          <w:sz w:val="22"/>
        </w:rPr>
        <w:sectPr>
          <w:pgSz w:w="11910" w:h="16840"/>
          <w:pgMar w:header="608" w:footer="408" w:top="800" w:bottom="600" w:left="920" w:right="800"/>
        </w:sectPr>
      </w:pPr>
    </w:p>
    <w:p>
      <w:pPr>
        <w:pStyle w:val="BodyText"/>
        <w:spacing w:line="273" w:lineRule="auto"/>
        <w:ind w:left="1048"/>
      </w:pPr>
      <w:r>
        <w:rPr>
          <w:spacing w:val="-1"/>
        </w:rPr>
        <w:t>86.</w:t>
      </w:r>
      <w:r>
        <w:rPr/>
        <w:t>严重幼年型类风湿性关节炎</w:t>
      </w:r>
    </w:p>
    <w:p>
      <w:pPr>
        <w:pStyle w:val="BodyText"/>
        <w:spacing w:line="273" w:lineRule="auto"/>
        <w:ind w:left="275" w:right="202"/>
      </w:pPr>
      <w:r>
        <w:rPr/>
        <w:br w:type="column"/>
      </w:r>
      <w:r>
        <w:rPr/>
        <w:t>幼年型类风湿关节炎是一种儿童期发病的慢性关节炎，其特点为在高热和系统性病征出现数月后发生关节炎。</w:t>
      </w:r>
    </w:p>
    <w:p>
      <w:pPr>
        <w:pStyle w:val="Heading2"/>
        <w:spacing w:line="273" w:lineRule="auto" w:before="102"/>
        <w:ind w:left="275" w:right="169"/>
      </w:pPr>
      <w:r>
        <w:rPr/>
        <w:t>仅对实际接受了膝关节或髋关节置换手术治疗的严重的幼年型类风湿关节炎</w:t>
      </w:r>
      <w:r>
        <w:rPr>
          <w:w w:val="95"/>
        </w:rPr>
        <w:t>予以理赔。</w:t>
      </w:r>
    </w:p>
    <w:p>
      <w:pPr>
        <w:spacing w:after="0" w:line="273" w:lineRule="auto"/>
        <w:sectPr>
          <w:type w:val="continuous"/>
          <w:pgSz w:w="11910" w:h="16840"/>
          <w:pgMar w:top="560" w:bottom="280" w:left="920" w:right="800"/>
          <w:cols w:num="2" w:equalWidth="0">
            <w:col w:w="2623" w:space="40"/>
            <w:col w:w="7527"/>
          </w:cols>
        </w:sectPr>
      </w:pPr>
    </w:p>
    <w:p>
      <w:pPr>
        <w:pStyle w:val="BodyText"/>
        <w:spacing w:before="5"/>
        <w:rPr>
          <w:b/>
          <w:sz w:val="22"/>
        </w:rPr>
      </w:pPr>
    </w:p>
    <w:p>
      <w:pPr>
        <w:pStyle w:val="BodyText"/>
        <w:spacing w:line="273" w:lineRule="auto"/>
        <w:ind w:left="2938" w:right="202" w:hanging="1890"/>
        <w:jc w:val="both"/>
      </w:pPr>
      <w:r>
        <w:rPr/>
        <w:t>87.严重哮喘      一种可逆性、反复发作的支气管阻塞性疾病。严重哮喘诊断必须经过我们认可的医师确认并符合本附加合同的定义。严重哮喘必须具备下列标准中的至少3 项：</w:t>
      </w:r>
    </w:p>
    <w:p>
      <w:pPr>
        <w:pStyle w:val="BodyText"/>
        <w:spacing w:before="101"/>
        <w:ind w:left="2938"/>
      </w:pPr>
      <w:r>
        <w:rPr/>
        <w:t>（1）过去 2 年中有哮喘持续状态病史；</w:t>
      </w:r>
    </w:p>
    <w:p>
      <w:pPr>
        <w:pStyle w:val="BodyText"/>
        <w:spacing w:before="132"/>
        <w:ind w:left="2938"/>
      </w:pPr>
      <w:r>
        <w:rPr/>
        <w:t>（2）身体活动耐受能力显著且持续下降；</w:t>
      </w:r>
    </w:p>
    <w:p>
      <w:pPr>
        <w:pStyle w:val="BodyText"/>
        <w:spacing w:before="130"/>
        <w:ind w:left="2938"/>
      </w:pPr>
      <w:r>
        <w:rPr/>
        <w:t>（3）肺部慢性过度膨胀充气导致的胸廓畸形；</w:t>
      </w:r>
    </w:p>
    <w:p>
      <w:pPr>
        <w:pStyle w:val="BodyText"/>
        <w:spacing w:before="130"/>
        <w:ind w:left="2938"/>
      </w:pPr>
      <w:r>
        <w:rPr/>
        <w:t>（4）在家中需要医师处方的氧气治疗法；</w:t>
      </w:r>
    </w:p>
    <w:p>
      <w:pPr>
        <w:pStyle w:val="BodyText"/>
        <w:spacing w:before="132"/>
        <w:ind w:left="2938"/>
      </w:pPr>
      <w:r>
        <w:rPr/>
        <w:t>（5）持续日常服用口服可的松类固醇激素（至少持续服用 6 个月以上）。</w:t>
      </w:r>
    </w:p>
    <w:p>
      <w:pPr>
        <w:pStyle w:val="BodyText"/>
        <w:spacing w:before="8"/>
        <w:rPr>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88.</w:t>
      </w:r>
      <w:r>
        <w:rPr/>
        <w:t>严重肠道疾病并发症</w:t>
      </w:r>
    </w:p>
    <w:p>
      <w:pPr>
        <w:pStyle w:val="BodyText"/>
        <w:ind w:left="275"/>
      </w:pPr>
      <w:r>
        <w:rPr/>
        <w:br w:type="column"/>
      </w:r>
      <w:r>
        <w:rPr/>
        <w:t>严重肠道疾病或外伤导致小肠损害并发症，必须满足以下所有条件：</w:t>
      </w:r>
    </w:p>
    <w:p>
      <w:pPr>
        <w:pStyle w:val="BodyText"/>
        <w:spacing w:before="131"/>
        <w:ind w:left="275"/>
      </w:pPr>
      <w:r>
        <w:rPr/>
        <w:t>（1）至少切除了三分之二小肠；</w:t>
      </w:r>
    </w:p>
    <w:p>
      <w:pPr>
        <w:pStyle w:val="BodyText"/>
        <w:spacing w:before="130"/>
        <w:ind w:left="275"/>
      </w:pPr>
      <w:r>
        <w:rPr/>
        <w:t>（2）完全肠外营养支持 3 个月以上。</w:t>
      </w:r>
    </w:p>
    <w:p>
      <w:pPr>
        <w:pStyle w:val="Heading2"/>
        <w:spacing w:before="130"/>
        <w:ind w:left="275"/>
      </w:pPr>
      <w:r>
        <w:rPr/>
        <w:t>本项保险责任仅在被保险人 18 周岁以前提供保障。</w:t>
      </w:r>
    </w:p>
    <w:p>
      <w:pPr>
        <w:spacing w:after="0"/>
        <w:sectPr>
          <w:type w:val="continuous"/>
          <w:pgSz w:w="11910" w:h="16840"/>
          <w:pgMar w:top="560" w:bottom="280" w:left="920" w:right="800"/>
          <w:cols w:num="2" w:equalWidth="0">
            <w:col w:w="2623" w:space="40"/>
            <w:col w:w="7527"/>
          </w:cols>
        </w:sectPr>
      </w:pP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89.</w:t>
      </w:r>
      <w:r>
        <w:rPr/>
        <w:t>严重肌营养不良症</w:t>
      </w:r>
    </w:p>
    <w:p>
      <w:pPr>
        <w:pStyle w:val="BodyText"/>
        <w:spacing w:line="273" w:lineRule="auto"/>
        <w:ind w:left="275" w:right="202"/>
      </w:pPr>
      <w:r>
        <w:rPr/>
        <w:br w:type="column"/>
      </w:r>
      <w:r>
        <w:rPr/>
        <w:t>指一组原发于肌肉的遗传性疾病，临床表现为与神经系统无关的肌肉无力和肌肉萎缩。须满足下列全部条件：</w:t>
      </w:r>
    </w:p>
    <w:p>
      <w:pPr>
        <w:pStyle w:val="BodyText"/>
        <w:spacing w:before="101"/>
        <w:ind w:left="275"/>
      </w:pPr>
      <w:r>
        <w:rPr/>
        <w:t>（1）肌肉组织活检结果满足肌营养不良症的肌肉细胞变性、坏死等阳性改变；</w:t>
      </w:r>
    </w:p>
    <w:p>
      <w:pPr>
        <w:pStyle w:val="BodyText"/>
        <w:spacing w:line="355" w:lineRule="auto" w:before="130"/>
        <w:ind w:left="275" w:right="211"/>
      </w:pPr>
      <w:r>
        <w:rPr/>
        <w:t>（2）自主生活能力完全丧失，无法独立完成六项基本日常生活活动中的三项或三项以上。</w:t>
      </w:r>
    </w:p>
    <w:p>
      <w:pPr>
        <w:spacing w:after="0" w:line="355" w:lineRule="auto"/>
        <w:sectPr>
          <w:type w:val="continuous"/>
          <w:pgSz w:w="11910" w:h="16840"/>
          <w:pgMar w:top="560" w:bottom="280" w:left="920" w:right="800"/>
          <w:cols w:num="2" w:equalWidth="0">
            <w:col w:w="2623" w:space="40"/>
            <w:col w:w="7527"/>
          </w:cols>
        </w:sectPr>
      </w:pPr>
    </w:p>
    <w:p>
      <w:pPr>
        <w:pStyle w:val="BodyText"/>
        <w:spacing w:before="11"/>
        <w:rPr>
          <w:sz w:val="16"/>
        </w:rPr>
      </w:pPr>
    </w:p>
    <w:p>
      <w:pPr>
        <w:spacing w:after="0"/>
        <w:rPr>
          <w:sz w:val="16"/>
        </w:rPr>
        <w:sectPr>
          <w:type w:val="continuous"/>
          <w:pgSz w:w="11910" w:h="16840"/>
          <w:pgMar w:top="560" w:bottom="280" w:left="920" w:right="800"/>
        </w:sectPr>
      </w:pPr>
    </w:p>
    <w:p>
      <w:pPr>
        <w:pStyle w:val="BodyText"/>
        <w:spacing w:line="273" w:lineRule="auto"/>
        <w:ind w:left="1047"/>
      </w:pPr>
      <w:r>
        <w:rPr/>
        <w:t>90.全身性重症肌无力</w:t>
      </w:r>
    </w:p>
    <w:p>
      <w:pPr>
        <w:pStyle w:val="BodyText"/>
        <w:spacing w:line="273" w:lineRule="auto"/>
        <w:ind w:left="275" w:right="202"/>
      </w:pPr>
      <w:r>
        <w:rPr/>
        <w:br w:type="column"/>
      </w:r>
      <w:r>
        <w:rPr/>
        <w:t>指一种神经与肌肉接头部位传递障碍的自身免疫性疾病，临床特征是局部或全身肌肉于活动时易于疲劳无力，须经专科医生明确诊断，并满足下列全部</w:t>
      </w:r>
    </w:p>
    <w:p>
      <w:pPr>
        <w:spacing w:after="0" w:line="273" w:lineRule="auto"/>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条件：</w:t>
      </w:r>
    </w:p>
    <w:p>
      <w:pPr>
        <w:pStyle w:val="BodyText"/>
        <w:spacing w:line="273" w:lineRule="auto" w:before="130"/>
        <w:ind w:left="2938" w:right="211"/>
      </w:pPr>
      <w:r>
        <w:rPr/>
        <w:t>（1）经药物治疗或胸腺手术治疗一年以上无法控制病情，症状缓解、复发及恶化交替出现；</w:t>
      </w:r>
    </w:p>
    <w:p>
      <w:pPr>
        <w:pStyle w:val="BodyText"/>
        <w:spacing w:line="273" w:lineRule="auto" w:before="101"/>
        <w:ind w:left="2938" w:right="211"/>
      </w:pPr>
      <w:r>
        <w:rPr/>
        <w:t>（2）自主生活能力完全丧失，无法独立完成六项基本日常生活活动中的三项或三项以上。</w:t>
      </w:r>
    </w:p>
    <w:p>
      <w:pPr>
        <w:pStyle w:val="BodyText"/>
        <w:spacing w:before="5"/>
        <w:rPr>
          <w:sz w:val="22"/>
        </w:rPr>
      </w:pPr>
    </w:p>
    <w:p>
      <w:pPr>
        <w:spacing w:after="0"/>
        <w:rPr>
          <w:sz w:val="22"/>
        </w:rPr>
        <w:sectPr>
          <w:pgSz w:w="11910" w:h="16840"/>
          <w:pgMar w:header="608" w:footer="408" w:top="800" w:bottom="600" w:left="920" w:right="800"/>
        </w:sectPr>
      </w:pPr>
    </w:p>
    <w:p>
      <w:pPr>
        <w:pStyle w:val="BodyText"/>
        <w:spacing w:line="273" w:lineRule="auto" w:before="36"/>
        <w:ind w:left="1048" w:right="50"/>
        <w:jc w:val="both"/>
      </w:pPr>
      <w:r>
        <w:rPr/>
        <w:t>91.进行性核上性麻痹</w:t>
      </w:r>
    </w:p>
    <w:p>
      <w:pPr>
        <w:pStyle w:val="BodyText"/>
        <w:spacing w:line="273" w:lineRule="auto" w:before="7"/>
        <w:ind w:left="1048"/>
        <w:jc w:val="both"/>
      </w:pPr>
      <w:r>
        <w:rPr/>
        <w:t>（Steele-Rchard son-Olszewski</w:t>
      </w:r>
      <w:r>
        <w:rPr>
          <w:spacing w:val="-30"/>
        </w:rPr>
        <w:t> 综合征）</w:t>
      </w:r>
    </w:p>
    <w:p>
      <w:pPr>
        <w:pStyle w:val="BodyText"/>
        <w:spacing w:line="273" w:lineRule="auto" w:before="36"/>
        <w:ind w:left="222" w:right="202"/>
        <w:jc w:val="both"/>
      </w:pPr>
      <w:r>
        <w:rPr/>
        <w:br w:type="column"/>
      </w:r>
      <w:r>
        <w:rPr>
          <w:spacing w:val="1"/>
        </w:rPr>
        <w:t>进行性核上性麻痹（PSP）</w:t>
      </w:r>
      <w:r>
        <w:rPr>
          <w:spacing w:val="-14"/>
        </w:rPr>
        <w:t>又称 </w:t>
      </w:r>
      <w:r>
        <w:rPr/>
        <w:t>Steele-Rchardson-Olszewski</w:t>
      </w:r>
      <w:r>
        <w:rPr>
          <w:spacing w:val="-5"/>
        </w:rPr>
        <w:t> 综合征，是一</w:t>
      </w:r>
      <w:r>
        <w:rPr>
          <w:spacing w:val="-3"/>
        </w:rPr>
        <w:t>种少见的神经系统变性疾病，以假球麻痹、垂直性核上性眼肌麻痹、锥体外</w:t>
      </w:r>
      <w:r>
        <w:rPr>
          <w:spacing w:val="-1"/>
        </w:rPr>
        <w:t>系肌僵直、步态共济失调和轻度痴呆为主要临床特征。</w:t>
      </w:r>
      <w:r>
        <w:rPr/>
        <w:t>PSP</w:t>
      </w:r>
      <w:r>
        <w:rPr>
          <w:spacing w:val="3"/>
        </w:rPr>
        <w:t> 必须由三级甲等</w:t>
      </w:r>
      <w:r>
        <w:rPr/>
        <w:t>医院的神经内科专科医生确诊，并且被保险人自主生活能力完全丧失，无法独立完成六项基本日常生活活动中的三项或三项以上。</w:t>
      </w:r>
    </w:p>
    <w:p>
      <w:pPr>
        <w:spacing w:after="0" w:line="273" w:lineRule="auto"/>
        <w:jc w:val="both"/>
        <w:sectPr>
          <w:type w:val="continuous"/>
          <w:pgSz w:w="11910" w:h="16840"/>
          <w:pgMar w:top="560" w:bottom="280" w:left="920" w:right="800"/>
          <w:cols w:num="2" w:equalWidth="0">
            <w:col w:w="2676" w:space="40"/>
            <w:col w:w="7474"/>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ind w:left="1048"/>
      </w:pPr>
      <w:r>
        <w:rPr>
          <w:spacing w:val="-1"/>
        </w:rPr>
        <w:t>92.</w:t>
      </w:r>
      <w:r>
        <w:rPr/>
        <w:t>溶血性链球菌引起的坏疽</w:t>
      </w:r>
    </w:p>
    <w:p>
      <w:pPr>
        <w:pStyle w:val="BodyText"/>
        <w:spacing w:line="273" w:lineRule="auto"/>
        <w:ind w:left="275" w:right="202"/>
        <w:jc w:val="both"/>
      </w:pPr>
      <w:r>
        <w:rPr/>
        <w:br w:type="column"/>
      </w:r>
      <w:r>
        <w:rPr/>
        <w:t>躯干或肢体的浅筋膜或涉及肌肉的深筋膜感染，呈暴发性进展，必须即刻手术清创。须在外科手术后进行组织培养证实溶血性链球菌坏疽并由专科医生确诊。</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5"/>
        <w:rPr>
          <w:sz w:val="22"/>
        </w:rPr>
      </w:pPr>
    </w:p>
    <w:p>
      <w:pPr>
        <w:spacing w:after="0"/>
        <w:rPr>
          <w:sz w:val="22"/>
        </w:rPr>
        <w:sectPr>
          <w:type w:val="continuous"/>
          <w:pgSz w:w="11910" w:h="16840"/>
          <w:pgMar w:top="560" w:bottom="280" w:left="920" w:right="800"/>
        </w:sectPr>
      </w:pPr>
    </w:p>
    <w:p>
      <w:pPr>
        <w:pStyle w:val="BodyText"/>
        <w:spacing w:line="273" w:lineRule="auto" w:before="36"/>
        <w:ind w:left="1048"/>
      </w:pPr>
      <w:r>
        <w:rPr>
          <w:spacing w:val="-1"/>
        </w:rPr>
        <w:t>93.</w:t>
      </w:r>
      <w:r>
        <w:rPr/>
        <w:t>器官移植导致</w:t>
      </w:r>
      <w:r>
        <w:rPr>
          <w:spacing w:val="50"/>
        </w:rPr>
        <w:t>的</w:t>
      </w:r>
      <w:r>
        <w:rPr/>
        <w:t>HIV</w:t>
      </w:r>
      <w:r>
        <w:rPr>
          <w:spacing w:val="-18"/>
        </w:rPr>
        <w:t> 感染</w:t>
      </w:r>
    </w:p>
    <w:p>
      <w:pPr>
        <w:pStyle w:val="BodyText"/>
        <w:spacing w:line="273" w:lineRule="auto" w:before="36"/>
        <w:ind w:left="275" w:right="211"/>
      </w:pPr>
      <w:r>
        <w:rPr/>
        <w:br w:type="column"/>
      </w:r>
      <w:r>
        <w:rPr/>
        <w:t>指因进行器官移植而感染上人类免疫缺陷病毒（HIV），且须满足下列全部条件：</w:t>
      </w:r>
    </w:p>
    <w:p>
      <w:pPr>
        <w:pStyle w:val="BodyText"/>
        <w:spacing w:line="273" w:lineRule="auto" w:before="101"/>
        <w:ind w:left="275" w:right="211"/>
      </w:pPr>
      <w:r>
        <w:rPr/>
        <w:t>（1）在保障起始日或复效日之后，被保险人因治疗必需而实施器官移植，并且因器官移植而感染人类免疫缺陷病毒；</w:t>
      </w:r>
    </w:p>
    <w:p>
      <w:pPr>
        <w:pStyle w:val="BodyText"/>
        <w:spacing w:line="273" w:lineRule="auto" w:before="101"/>
        <w:ind w:left="275" w:right="211"/>
      </w:pPr>
      <w:r>
        <w:rPr/>
        <w:t>（2）提供器官移植治疗的器官移植中心或医院出具该项器官移植感染，属于医疗责任事故的报告，或者法院终审裁定为医疗责任并且不准上诉；</w:t>
      </w:r>
    </w:p>
    <w:p>
      <w:pPr>
        <w:pStyle w:val="BodyText"/>
        <w:spacing w:before="102"/>
        <w:ind w:left="275"/>
      </w:pPr>
      <w:r>
        <w:rPr/>
        <w:t>（3）提供器官移植治疗的器官移植中心或医院必须拥有合法经营执照；</w:t>
      </w:r>
    </w:p>
    <w:p>
      <w:pPr>
        <w:pStyle w:val="Heading2"/>
        <w:spacing w:line="273" w:lineRule="auto" w:before="130"/>
        <w:ind w:left="275" w:right="179"/>
      </w:pPr>
      <w:r>
        <w:rPr/>
        <w:t>任何因其他传播方式（包括：性传播或静脉注射毒品）导致的HIV 感染不在</w:t>
      </w:r>
      <w:r>
        <w:rPr>
          <w:w w:val="95"/>
        </w:rPr>
        <w:t>保障范围内。</w:t>
      </w:r>
    </w:p>
    <w:p>
      <w:pPr>
        <w:spacing w:after="0" w:line="273" w:lineRule="auto"/>
        <w:sectPr>
          <w:type w:val="continuous"/>
          <w:pgSz w:w="11910" w:h="16840"/>
          <w:pgMar w:top="560" w:bottom="280" w:left="920" w:right="800"/>
          <w:cols w:num="2" w:equalWidth="0">
            <w:col w:w="2623" w:space="40"/>
            <w:col w:w="7527"/>
          </w:cols>
        </w:sectPr>
      </w:pPr>
    </w:p>
    <w:p>
      <w:pPr>
        <w:pStyle w:val="BodyText"/>
        <w:spacing w:before="6"/>
        <w:rPr>
          <w:b/>
          <w:sz w:val="22"/>
        </w:rPr>
      </w:pPr>
    </w:p>
    <w:p>
      <w:pPr>
        <w:pStyle w:val="BodyText"/>
        <w:spacing w:line="273" w:lineRule="auto"/>
        <w:ind w:left="2938" w:right="101" w:hanging="1890"/>
        <w:jc w:val="both"/>
      </w:pPr>
      <w:r>
        <w:rPr/>
        <w:t>94.</w:t>
      </w:r>
      <w:r>
        <w:rPr>
          <w:spacing w:val="2"/>
        </w:rPr>
        <w:t>出血性登革热 严重登革热</w:t>
      </w:r>
      <w:r>
        <w:rPr/>
        <w:t>（出血性登革热），出现全部四种症状，包括发高烧、出血现象、</w:t>
      </w:r>
      <w:r>
        <w:rPr>
          <w:spacing w:val="-14"/>
        </w:rPr>
        <w:t>肝肿大和循环衰竭</w:t>
      </w:r>
      <w:r>
        <w:rPr/>
        <w:t>（</w:t>
      </w:r>
      <w:r>
        <w:rPr>
          <w:spacing w:val="2"/>
        </w:rPr>
        <w:t>登革热休克综合症即符合</w:t>
      </w:r>
      <w:r>
        <w:rPr/>
        <w:t>WHO</w:t>
      </w:r>
      <w:r>
        <w:rPr>
          <w:spacing w:val="-8"/>
        </w:rPr>
        <w:t> 登革热第</w:t>
      </w:r>
      <w:r>
        <w:rPr/>
        <w:t>III</w:t>
      </w:r>
      <w:r>
        <w:rPr>
          <w:spacing w:val="-10"/>
        </w:rPr>
        <w:t> 级及第</w:t>
      </w:r>
      <w:r>
        <w:rPr/>
        <w:t>IV</w:t>
      </w:r>
      <w:r>
        <w:rPr>
          <w:spacing w:val="-35"/>
        </w:rPr>
        <w:t> 级</w:t>
      </w:r>
      <w:r>
        <w:rPr>
          <w:spacing w:val="-104"/>
        </w:rPr>
        <w:t>）</w:t>
      </w:r>
      <w:r>
        <w:rPr/>
        <w:t>。出血性登革热的诊断必须由本公司认可医院的专科医生证实。</w:t>
      </w:r>
    </w:p>
    <w:p>
      <w:pPr>
        <w:pStyle w:val="Heading2"/>
      </w:pPr>
      <w:r>
        <w:rPr>
          <w:w w:val="95"/>
        </w:rPr>
        <w:t>非出血性登革热并不在保障范围内。</w:t>
      </w:r>
    </w:p>
    <w:p>
      <w:pPr>
        <w:pStyle w:val="BodyText"/>
        <w:spacing w:before="4"/>
        <w:rPr>
          <w:b/>
          <w:sz w:val="27"/>
        </w:rPr>
      </w:pPr>
    </w:p>
    <w:p>
      <w:pPr>
        <w:pStyle w:val="BodyText"/>
        <w:tabs>
          <w:tab w:pos="1991" w:val="left" w:leader="none"/>
        </w:tabs>
        <w:spacing w:before="0"/>
        <w:ind w:left="101"/>
        <w:jc w:val="center"/>
      </w:pPr>
      <w:r>
        <w:rPr/>
        <w:t>95.肺孢子菌肺炎</w:t>
        <w:tab/>
      </w:r>
      <w:r>
        <w:rPr>
          <w:spacing w:val="-1"/>
        </w:rPr>
        <w:t>指由肺孢子菌引起的间质性浆细胞性肺炎。并须满足下列全部条件：</w:t>
      </w:r>
    </w:p>
    <w:p>
      <w:pPr>
        <w:pStyle w:val="BodyText"/>
        <w:spacing w:before="131"/>
        <w:ind w:left="2938"/>
      </w:pPr>
      <w:r>
        <w:rPr/>
        <w:t>（1）第一秒末用力呼气量（FEV1）小于 1 升；</w:t>
      </w:r>
    </w:p>
    <w:p>
      <w:pPr>
        <w:pStyle w:val="BodyText"/>
        <w:spacing w:before="130"/>
        <w:ind w:left="2938"/>
      </w:pPr>
      <w:r>
        <w:rPr/>
        <w:t>（2）气道内阻力增加，至少达到 0.5 KPa/L/S；</w:t>
      </w:r>
    </w:p>
    <w:p>
      <w:pPr>
        <w:pStyle w:val="BodyText"/>
        <w:spacing w:before="130"/>
        <w:ind w:left="2938"/>
      </w:pPr>
      <w:r>
        <w:rPr/>
        <w:t>（3）残气容积占肺总量(TLC)的 60%以上；</w:t>
      </w:r>
    </w:p>
    <w:p>
      <w:pPr>
        <w:pStyle w:val="BodyText"/>
        <w:spacing w:before="131"/>
        <w:ind w:left="2938"/>
      </w:pPr>
      <w:r>
        <w:rPr/>
        <w:t>（4）胸内气体容积升高，超过 170 (基值的百分比)；</w:t>
      </w:r>
    </w:p>
    <w:p>
      <w:pPr>
        <w:pStyle w:val="BodyText"/>
        <w:spacing w:before="130"/>
        <w:ind w:left="2938"/>
      </w:pPr>
      <w:r>
        <w:rPr>
          <w:spacing w:val="-1"/>
        </w:rPr>
        <w:t>（5）Pa</w:t>
      </w:r>
      <w:r>
        <w:rPr>
          <w:spacing w:val="0"/>
        </w:rPr>
        <w:t>O</w:t>
      </w:r>
      <w:r>
        <w:rPr>
          <w:spacing w:val="-1"/>
          <w:w w:val="103"/>
          <w:position w:val="-2"/>
          <w:sz w:val="10"/>
        </w:rPr>
        <w:t>2</w:t>
      </w:r>
      <w:r>
        <w:rPr/>
        <w:t>＜</w:t>
      </w:r>
      <w:r>
        <w:rPr>
          <w:spacing w:val="0"/>
        </w:rPr>
        <w:t>6</w:t>
      </w:r>
      <w:r>
        <w:rPr>
          <w:spacing w:val="-2"/>
        </w:rPr>
        <w:t>0</w:t>
      </w:r>
      <w:r>
        <w:rPr>
          <w:spacing w:val="0"/>
        </w:rPr>
        <w:t>m</w:t>
      </w:r>
      <w:r>
        <w:rPr>
          <w:spacing w:val="-2"/>
        </w:rPr>
        <w:t>m</w:t>
      </w:r>
      <w:r>
        <w:rPr>
          <w:spacing w:val="0"/>
        </w:rPr>
        <w:t>H</w:t>
      </w:r>
      <w:r>
        <w:rPr>
          <w:spacing w:val="-2"/>
        </w:rPr>
        <w:t>g</w:t>
      </w:r>
      <w:r>
        <w:rPr/>
        <w:t>，</w:t>
      </w:r>
      <w:r>
        <w:rPr>
          <w:spacing w:val="0"/>
        </w:rPr>
        <w:t>P</w:t>
      </w:r>
      <w:r>
        <w:rPr>
          <w:spacing w:val="-2"/>
        </w:rPr>
        <w:t>a</w:t>
      </w:r>
      <w:r>
        <w:rPr>
          <w:spacing w:val="0"/>
        </w:rPr>
        <w:t>C</w:t>
      </w:r>
      <w:r>
        <w:rPr>
          <w:spacing w:val="-2"/>
        </w:rPr>
        <w:t>O</w:t>
      </w:r>
      <w:r>
        <w:rPr>
          <w:w w:val="103"/>
          <w:position w:val="-2"/>
          <w:sz w:val="10"/>
        </w:rPr>
        <w:t>2</w:t>
      </w:r>
      <w:r>
        <w:rPr>
          <w:spacing w:val="-1"/>
        </w:rPr>
        <w:t>＞</w:t>
      </w:r>
      <w:r>
        <w:rPr/>
        <w:t>5</w:t>
      </w:r>
      <w:r>
        <w:rPr>
          <w:spacing w:val="-1"/>
        </w:rPr>
        <w:t>0</w:t>
      </w:r>
      <w:r>
        <w:rPr/>
        <w:t>m</w:t>
      </w:r>
      <w:r>
        <w:rPr>
          <w:spacing w:val="-1"/>
        </w:rPr>
        <w:t>m</w:t>
      </w:r>
      <w:r>
        <w:rPr/>
        <w:t>H</w:t>
      </w:r>
      <w:r>
        <w:rPr>
          <w:spacing w:val="-1"/>
        </w:rPr>
        <w:t>g。</w:t>
      </w:r>
    </w:p>
    <w:p>
      <w:pPr>
        <w:pStyle w:val="Heading2"/>
        <w:spacing w:before="116"/>
      </w:pPr>
      <w:r>
        <w:rPr>
          <w:w w:val="95"/>
        </w:rPr>
        <w:t>感染艾滋病病毒或患艾滋病期间所患肺孢子菌肺炎不在保障范围内。</w:t>
      </w: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pPr>
      <w:r>
        <w:rPr>
          <w:spacing w:val="-1"/>
        </w:rPr>
        <w:t>96.</w:t>
      </w:r>
      <w:r>
        <w:rPr/>
        <w:t>弥漫性血管内凝血</w:t>
      </w:r>
    </w:p>
    <w:p>
      <w:pPr>
        <w:pStyle w:val="BodyText"/>
        <w:spacing w:line="273" w:lineRule="auto"/>
        <w:ind w:left="275" w:right="202"/>
        <w:jc w:val="both"/>
      </w:pPr>
      <w:r>
        <w:rPr/>
        <w:br w:type="column"/>
      </w:r>
      <w:r>
        <w:rPr/>
        <w:t>指广泛微血管血栓形成，导致微循环障碍、凝血因子消耗及继发性纤维蛋白溶解而引起的以出血、休克及器官功能衰竭为主要临床症状的综合征。临床上至少具有如下两项表现：</w:t>
      </w:r>
    </w:p>
    <w:p>
      <w:pPr>
        <w:spacing w:after="0" w:line="273" w:lineRule="auto"/>
        <w:jc w:val="both"/>
        <w:sectPr>
          <w:type w:val="continuous"/>
          <w:pgSz w:w="11910" w:h="16840"/>
          <w:pgMar w:top="560" w:bottom="280" w:left="920" w:right="800"/>
          <w:cols w:num="2" w:equalWidth="0">
            <w:col w:w="2623" w:space="40"/>
            <w:col w:w="7527"/>
          </w:cols>
        </w:sectPr>
      </w:pPr>
    </w:p>
    <w:p>
      <w:pPr>
        <w:pStyle w:val="BodyText"/>
        <w:spacing w:before="1"/>
      </w:pPr>
    </w:p>
    <w:p>
      <w:pPr>
        <w:pStyle w:val="BodyText"/>
        <w:ind w:left="2938"/>
      </w:pPr>
      <w:r>
        <w:rPr/>
        <w:t>（1）严重出血；</w:t>
      </w:r>
    </w:p>
    <w:p>
      <w:pPr>
        <w:pStyle w:val="BodyText"/>
        <w:spacing w:before="130"/>
        <w:ind w:left="2938"/>
      </w:pPr>
      <w:r>
        <w:rPr/>
        <w:t>（2）血栓栓塞；</w:t>
      </w:r>
    </w:p>
    <w:p>
      <w:pPr>
        <w:pStyle w:val="BodyText"/>
        <w:spacing w:before="130"/>
        <w:ind w:left="2938"/>
      </w:pPr>
      <w:r>
        <w:rPr/>
        <w:t>（3）低血压休克；</w:t>
      </w:r>
    </w:p>
    <w:p>
      <w:pPr>
        <w:pStyle w:val="BodyText"/>
        <w:spacing w:before="131"/>
        <w:ind w:left="2938"/>
      </w:pPr>
      <w:r>
        <w:rPr/>
        <w:t>（4）微血管病性溶血性贫血；</w:t>
      </w:r>
    </w:p>
    <w:p>
      <w:pPr>
        <w:pStyle w:val="BodyText"/>
        <w:spacing w:before="130"/>
        <w:ind w:left="2938"/>
      </w:pPr>
      <w:r>
        <w:rPr/>
        <w:t>被保险人的上述临床表现须在妊娠期间发生，并经专科医生明确诊断。</w:t>
      </w:r>
    </w:p>
    <w:p>
      <w:pPr>
        <w:pStyle w:val="BodyText"/>
        <w:spacing w:before="3"/>
        <w:rPr>
          <w:sz w:val="27"/>
        </w:rPr>
      </w:pPr>
    </w:p>
    <w:p>
      <w:pPr>
        <w:pStyle w:val="BodyText"/>
        <w:tabs>
          <w:tab w:pos="2937" w:val="left" w:leader="none"/>
        </w:tabs>
        <w:spacing w:line="273" w:lineRule="auto" w:before="0"/>
        <w:ind w:left="2938" w:right="202" w:hanging="1890"/>
      </w:pPr>
      <w:r>
        <w:rPr/>
        <w:t>97.狂犬病</w:t>
        <w:tab/>
        <w:t>指狂犬</w:t>
      </w:r>
      <w:r>
        <w:rPr>
          <w:spacing w:val="2"/>
        </w:rPr>
        <w:t>病</w:t>
      </w:r>
      <w:r>
        <w:rPr/>
        <w:t>毒</w:t>
      </w:r>
      <w:r>
        <w:rPr>
          <w:spacing w:val="2"/>
        </w:rPr>
        <w:t>所</w:t>
      </w:r>
      <w:r>
        <w:rPr/>
        <w:t>致的急性</w:t>
      </w:r>
      <w:r>
        <w:rPr>
          <w:spacing w:val="2"/>
        </w:rPr>
        <w:t>传</w:t>
      </w:r>
      <w:r>
        <w:rPr/>
        <w:t>染</w:t>
      </w:r>
      <w:r>
        <w:rPr>
          <w:spacing w:val="2"/>
        </w:rPr>
        <w:t>病</w:t>
      </w:r>
      <w:r>
        <w:rPr/>
        <w:t>，人多因被病</w:t>
      </w:r>
      <w:r>
        <w:rPr>
          <w:spacing w:val="2"/>
        </w:rPr>
        <w:t>兽</w:t>
      </w:r>
      <w:r>
        <w:rPr/>
        <w:t>咬</w:t>
      </w:r>
      <w:r>
        <w:rPr>
          <w:spacing w:val="2"/>
        </w:rPr>
        <w:t>伤</w:t>
      </w:r>
      <w:r>
        <w:rPr/>
        <w:t>而感染。临床</w:t>
      </w:r>
      <w:r>
        <w:rPr>
          <w:spacing w:val="2"/>
        </w:rPr>
        <w:t>表</w:t>
      </w:r>
      <w:r>
        <w:rPr/>
        <w:t>现</w:t>
      </w:r>
      <w:r>
        <w:rPr>
          <w:spacing w:val="2"/>
        </w:rPr>
        <w:t>为</w:t>
      </w:r>
      <w:r>
        <w:rPr/>
        <w:t>特有 的恐水、怕风、咽肌痉挛、进行性瘫痪等。须经专科医生明确诊断。</w:t>
      </w:r>
    </w:p>
    <w:p>
      <w:pPr>
        <w:pStyle w:val="BodyText"/>
        <w:spacing w:before="5"/>
        <w:rPr>
          <w:sz w:val="22"/>
        </w:rPr>
      </w:pPr>
    </w:p>
    <w:p>
      <w:pPr>
        <w:spacing w:after="0"/>
        <w:rPr>
          <w:sz w:val="22"/>
        </w:rPr>
        <w:sectPr>
          <w:pgSz w:w="11910" w:h="16840"/>
          <w:pgMar w:header="608" w:footer="408" w:top="800" w:bottom="600" w:left="920" w:right="800"/>
        </w:sectPr>
      </w:pPr>
    </w:p>
    <w:p>
      <w:pPr>
        <w:pStyle w:val="BodyText"/>
        <w:spacing w:line="273" w:lineRule="auto"/>
        <w:ind w:left="1048"/>
      </w:pPr>
      <w:r>
        <w:rPr>
          <w:spacing w:val="-1"/>
        </w:rPr>
        <w:t>98.</w:t>
      </w:r>
      <w:r>
        <w:rPr/>
        <w:t>大面积植皮手术</w:t>
      </w:r>
    </w:p>
    <w:p>
      <w:pPr>
        <w:pStyle w:val="BodyText"/>
        <w:spacing w:line="273" w:lineRule="auto"/>
        <w:ind w:left="275" w:right="106"/>
      </w:pPr>
      <w:r>
        <w:rPr/>
        <w:br w:type="column"/>
      </w:r>
      <w:r>
        <w:rPr/>
        <w:t>指为修复皮肤与其下的组织缺损所进行的皮肤移植手术，要求皮肤移植的面积达到全身体表面积的 30%或 30%以上。体表面积根据《中国新九分法》计算。</w:t>
      </w:r>
    </w:p>
    <w:p>
      <w:pPr>
        <w:spacing w:after="0" w:line="273" w:lineRule="auto"/>
        <w:sectPr>
          <w:type w:val="continuous"/>
          <w:pgSz w:w="11910" w:h="16840"/>
          <w:pgMar w:top="560" w:bottom="280" w:left="920" w:right="800"/>
          <w:cols w:num="2" w:equalWidth="0">
            <w:col w:w="2623" w:space="40"/>
            <w:col w:w="7527"/>
          </w:cols>
        </w:sectPr>
      </w:pPr>
    </w:p>
    <w:p>
      <w:pPr>
        <w:pStyle w:val="BodyText"/>
        <w:spacing w:before="4"/>
        <w:rPr>
          <w:sz w:val="22"/>
        </w:rPr>
      </w:pPr>
    </w:p>
    <w:p>
      <w:pPr>
        <w:pStyle w:val="BodyText"/>
        <w:tabs>
          <w:tab w:pos="2938" w:val="left" w:leader="none"/>
        </w:tabs>
        <w:spacing w:line="273" w:lineRule="auto"/>
        <w:ind w:left="2938" w:right="206" w:hanging="1890"/>
      </w:pPr>
      <w:r>
        <w:rPr/>
        <w:t>99.严重气性坏疽</w:t>
        <w:tab/>
        <w:t>指由梭</w:t>
      </w:r>
      <w:r>
        <w:rPr>
          <w:spacing w:val="2"/>
        </w:rPr>
        <w:t>状</w:t>
      </w:r>
      <w:r>
        <w:rPr/>
        <w:t>芽</w:t>
      </w:r>
      <w:r>
        <w:rPr>
          <w:spacing w:val="2"/>
        </w:rPr>
        <w:t>胞</w:t>
      </w:r>
      <w:r>
        <w:rPr/>
        <w:t>杆菌所致</w:t>
      </w:r>
      <w:r>
        <w:rPr>
          <w:spacing w:val="2"/>
        </w:rPr>
        <w:t>的</w:t>
      </w:r>
      <w:r>
        <w:rPr/>
        <w:t>肌</w:t>
      </w:r>
      <w:r>
        <w:rPr>
          <w:spacing w:val="2"/>
        </w:rPr>
        <w:t>坏</w:t>
      </w:r>
      <w:r>
        <w:rPr/>
        <w:t>死或肌炎。须</w:t>
      </w:r>
      <w:r>
        <w:rPr>
          <w:spacing w:val="2"/>
        </w:rPr>
        <w:t>经</w:t>
      </w:r>
      <w:r>
        <w:rPr/>
        <w:t>专</w:t>
      </w:r>
      <w:r>
        <w:rPr>
          <w:spacing w:val="2"/>
        </w:rPr>
        <w:t>科</w:t>
      </w:r>
      <w:r>
        <w:rPr/>
        <w:t>医生明确诊断</w:t>
      </w:r>
      <w:r>
        <w:rPr>
          <w:spacing w:val="2"/>
        </w:rPr>
        <w:t>，</w:t>
      </w:r>
      <w:r>
        <w:rPr/>
        <w:t>且</w:t>
      </w:r>
      <w:r>
        <w:rPr>
          <w:spacing w:val="2"/>
        </w:rPr>
        <w:t>须</w:t>
      </w:r>
      <w:r>
        <w:rPr/>
        <w:t>同时 符合下列要求：</w:t>
      </w:r>
    </w:p>
    <w:p>
      <w:pPr>
        <w:pStyle w:val="BodyText"/>
        <w:spacing w:before="102"/>
        <w:ind w:left="2938"/>
      </w:pPr>
      <w:r>
        <w:rPr/>
        <w:t>（1）符合气性坏疽的一般临床表现；</w:t>
      </w:r>
    </w:p>
    <w:p>
      <w:pPr>
        <w:pStyle w:val="BodyText"/>
        <w:spacing w:before="130"/>
        <w:ind w:left="2938"/>
      </w:pPr>
      <w:r>
        <w:rPr/>
        <w:t>（2）细菌培养检出致病菌；</w:t>
      </w:r>
    </w:p>
    <w:p>
      <w:pPr>
        <w:pStyle w:val="BodyText"/>
        <w:spacing w:line="273" w:lineRule="auto" w:before="130"/>
        <w:ind w:left="2938" w:right="211"/>
      </w:pPr>
      <w:r>
        <w:rPr/>
        <w:t>（3）出现广泛性肌肉及组织坏死，并确实实施了坏死组织和筋膜以及肌肉的切除手术。</w:t>
      </w:r>
    </w:p>
    <w:p>
      <w:pPr>
        <w:pStyle w:val="Heading2"/>
        <w:spacing w:before="102"/>
        <w:ind w:left="3042"/>
      </w:pPr>
      <w:r>
        <w:rPr>
          <w:w w:val="95"/>
        </w:rPr>
        <w:t>清创术不在保障范围内。</w:t>
      </w:r>
    </w:p>
    <w:p>
      <w:pPr>
        <w:pStyle w:val="BodyText"/>
        <w:spacing w:before="3"/>
        <w:rPr>
          <w:b/>
          <w:sz w:val="27"/>
        </w:rPr>
      </w:pPr>
    </w:p>
    <w:p>
      <w:pPr>
        <w:pStyle w:val="BodyText"/>
        <w:tabs>
          <w:tab w:pos="2937" w:val="left" w:leader="none"/>
        </w:tabs>
        <w:spacing w:line="273" w:lineRule="auto" w:before="0"/>
        <w:ind w:left="2938" w:right="202" w:hanging="1890"/>
      </w:pPr>
      <w:r>
        <w:rPr/>
        <w:t>100.破伤风</w:t>
        <w:tab/>
        <w:t>指破伤</w:t>
      </w:r>
      <w:r>
        <w:rPr>
          <w:spacing w:val="2"/>
        </w:rPr>
        <w:t>风</w:t>
      </w:r>
      <w:r>
        <w:rPr/>
        <w:t>梭</w:t>
      </w:r>
      <w:r>
        <w:rPr>
          <w:spacing w:val="2"/>
        </w:rPr>
        <w:t>菌</w:t>
      </w:r>
      <w:r>
        <w:rPr/>
        <w:t>经由皮肤</w:t>
      </w:r>
      <w:r>
        <w:rPr>
          <w:spacing w:val="2"/>
        </w:rPr>
        <w:t>或</w:t>
      </w:r>
      <w:r>
        <w:rPr/>
        <w:t>黏</w:t>
      </w:r>
      <w:r>
        <w:rPr>
          <w:spacing w:val="2"/>
        </w:rPr>
        <w:t>膜</w:t>
      </w:r>
      <w:r>
        <w:rPr/>
        <w:t>伤口侵入人体</w:t>
      </w:r>
      <w:r>
        <w:rPr>
          <w:spacing w:val="2"/>
        </w:rPr>
        <w:t>，</w:t>
      </w:r>
      <w:r>
        <w:rPr/>
        <w:t>在</w:t>
      </w:r>
      <w:r>
        <w:rPr>
          <w:spacing w:val="2"/>
        </w:rPr>
        <w:t>缺</w:t>
      </w:r>
      <w:r>
        <w:rPr/>
        <w:t>氧环境下生长</w:t>
      </w:r>
      <w:r>
        <w:rPr>
          <w:spacing w:val="2"/>
        </w:rPr>
        <w:t>繁</w:t>
      </w:r>
      <w:r>
        <w:rPr/>
        <w:t>殖</w:t>
      </w:r>
      <w:r>
        <w:rPr>
          <w:spacing w:val="2"/>
        </w:rPr>
        <w:t>，</w:t>
      </w:r>
      <w:r>
        <w:rPr/>
        <w:t>产生 毒素而引起肌痉挛的一种特异性感染。须经专科医生明确诊断。</w:t>
      </w:r>
    </w:p>
    <w:p>
      <w:pPr>
        <w:pStyle w:val="BodyText"/>
        <w:spacing w:before="1"/>
        <w:rPr>
          <w:sz w:val="25"/>
        </w:rPr>
      </w:pPr>
    </w:p>
    <w:p>
      <w:pPr>
        <w:tabs>
          <w:tab w:pos="1047" w:val="left" w:leader="none"/>
          <w:tab w:pos="2937" w:val="left" w:leader="none"/>
        </w:tabs>
        <w:spacing w:before="0"/>
        <w:ind w:left="208" w:right="0" w:firstLine="0"/>
        <w:jc w:val="left"/>
        <w:rPr>
          <w:sz w:val="21"/>
        </w:rPr>
      </w:pPr>
      <w:r>
        <w:rPr>
          <w:b/>
          <w:sz w:val="21"/>
        </w:rPr>
        <w:t>10.2</w:t>
        <w:tab/>
      </w:r>
      <w:r>
        <w:rPr>
          <w:b/>
          <w:spacing w:val="-11"/>
          <w:sz w:val="21"/>
        </w:rPr>
        <w:t>特</w:t>
      </w:r>
      <w:r>
        <w:rPr>
          <w:b/>
          <w:spacing w:val="-12"/>
          <w:sz w:val="21"/>
        </w:rPr>
        <w:t>定</w:t>
      </w:r>
      <w:r>
        <w:rPr>
          <w:b/>
          <w:spacing w:val="-11"/>
          <w:sz w:val="21"/>
        </w:rPr>
        <w:t>轻症</w:t>
      </w:r>
      <w:r>
        <w:rPr>
          <w:b/>
          <w:spacing w:val="-12"/>
          <w:sz w:val="21"/>
        </w:rPr>
        <w:t>疾病</w:t>
      </w:r>
      <w:r>
        <w:rPr>
          <w:b/>
          <w:spacing w:val="-11"/>
          <w:sz w:val="21"/>
        </w:rPr>
        <w:t>定</w:t>
      </w:r>
      <w:r>
        <w:rPr>
          <w:b/>
          <w:sz w:val="21"/>
        </w:rPr>
        <w:t>义</w:t>
        <w:tab/>
      </w:r>
      <w:r>
        <w:rPr>
          <w:sz w:val="21"/>
        </w:rPr>
        <w:t>被保险人发生符合以下疾病定义所述条件的疾病</w:t>
      </w:r>
      <w:r>
        <w:rPr>
          <w:spacing w:val="-3"/>
          <w:sz w:val="21"/>
        </w:rPr>
        <w:t>，</w:t>
      </w:r>
      <w:r>
        <w:rPr>
          <w:sz w:val="21"/>
        </w:rPr>
        <w:t>应当由专科医生明确诊断。</w:t>
      </w:r>
    </w:p>
    <w:p>
      <w:pPr>
        <w:pStyle w:val="BodyText"/>
        <w:spacing w:before="5"/>
        <w:rPr>
          <w:sz w:val="17"/>
        </w:rPr>
      </w:pPr>
    </w:p>
    <w:p>
      <w:pPr>
        <w:spacing w:after="0"/>
        <w:rPr>
          <w:sz w:val="17"/>
        </w:rPr>
        <w:sectPr>
          <w:type w:val="continuous"/>
          <w:pgSz w:w="11910" w:h="16840"/>
          <w:pgMar w:top="560" w:bottom="280" w:left="920" w:right="800"/>
        </w:sectPr>
      </w:pPr>
    </w:p>
    <w:p>
      <w:pPr>
        <w:pStyle w:val="BodyText"/>
        <w:spacing w:line="273" w:lineRule="auto" w:before="36"/>
        <w:ind w:left="1048"/>
      </w:pPr>
      <w:r>
        <w:rPr/>
        <w:t>1.极早期恶性肿瘤或恶性病变</w:t>
      </w:r>
    </w:p>
    <w:p>
      <w:pPr>
        <w:pStyle w:val="BodyText"/>
        <w:spacing w:line="273" w:lineRule="auto" w:before="36"/>
        <w:ind w:left="379" w:right="202"/>
      </w:pPr>
      <w:r>
        <w:rPr/>
        <w:br w:type="column"/>
      </w:r>
      <w:r>
        <w:rPr/>
        <w:t>指被保险人经组织病理学检查被明确诊断为下列恶性病变，且接受了相应的治疗。</w:t>
      </w:r>
    </w:p>
    <w:p>
      <w:pPr>
        <w:pStyle w:val="BodyText"/>
        <w:spacing w:before="101"/>
        <w:ind w:left="379"/>
        <w:jc w:val="both"/>
      </w:pPr>
      <w:r>
        <w:rPr/>
        <w:t>（1）原位癌；</w:t>
      </w:r>
    </w:p>
    <w:p>
      <w:pPr>
        <w:pStyle w:val="BodyText"/>
        <w:spacing w:before="131"/>
        <w:ind w:left="379"/>
        <w:jc w:val="both"/>
      </w:pPr>
      <w:r>
        <w:rPr/>
        <w:t>（2）相当于 Binet 分期方案 A 期程度的慢性淋巴细胞白血病；</w:t>
      </w:r>
    </w:p>
    <w:p>
      <w:pPr>
        <w:pStyle w:val="BodyText"/>
        <w:spacing w:before="130"/>
        <w:ind w:left="379"/>
        <w:jc w:val="both"/>
      </w:pPr>
      <w:r>
        <w:rPr/>
        <w:t>（3）相当于 Ann Arbor 分期方案 I 期程度的何杰金氏病；</w:t>
      </w:r>
    </w:p>
    <w:p>
      <w:pPr>
        <w:pStyle w:val="BodyText"/>
        <w:spacing w:before="130"/>
        <w:ind w:left="379"/>
        <w:jc w:val="both"/>
      </w:pPr>
      <w:r>
        <w:rPr/>
        <w:t>（4）皮肤癌（不包括恶性黑色素瘤及已发生转移的皮肤癌）；</w:t>
      </w:r>
    </w:p>
    <w:p>
      <w:pPr>
        <w:pStyle w:val="BodyText"/>
        <w:spacing w:before="131"/>
        <w:ind w:left="379"/>
        <w:jc w:val="both"/>
      </w:pPr>
      <w:r>
        <w:rPr>
          <w:spacing w:val="-1"/>
        </w:rPr>
        <w:t>（5）TN</w:t>
      </w:r>
      <w:r>
        <w:rPr/>
        <w:t>M</w:t>
      </w:r>
      <w:r>
        <w:rPr>
          <w:spacing w:val="-23"/>
        </w:rPr>
        <w:t> 分期为 </w:t>
      </w:r>
      <w:r>
        <w:rPr/>
        <w:t>T</w:t>
      </w:r>
      <w:r>
        <w:rPr>
          <w:spacing w:val="-1"/>
          <w:w w:val="103"/>
          <w:position w:val="-2"/>
          <w:sz w:val="10"/>
        </w:rPr>
        <w:t>1</w:t>
      </w:r>
      <w:r>
        <w:rPr/>
        <w:t>N</w:t>
      </w:r>
      <w:r>
        <w:rPr>
          <w:w w:val="103"/>
          <w:position w:val="-2"/>
          <w:sz w:val="10"/>
        </w:rPr>
        <w:t>0</w:t>
      </w:r>
      <w:r>
        <w:rPr>
          <w:spacing w:val="-1"/>
        </w:rPr>
        <w:t>M</w:t>
      </w:r>
      <w:r>
        <w:rPr>
          <w:w w:val="103"/>
          <w:position w:val="-2"/>
          <w:sz w:val="10"/>
        </w:rPr>
        <w:t>0</w:t>
      </w:r>
      <w:r>
        <w:rPr>
          <w:spacing w:val="-38"/>
          <w:position w:val="-2"/>
          <w:sz w:val="10"/>
        </w:rPr>
        <w:t> </w:t>
      </w:r>
      <w:r>
        <w:rPr/>
        <w:t>期或更轻分期的前列腺癌；</w:t>
      </w:r>
    </w:p>
    <w:p>
      <w:pPr>
        <w:pStyle w:val="BodyText"/>
        <w:spacing w:line="273" w:lineRule="auto" w:before="116"/>
        <w:ind w:left="379" w:right="202"/>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spacing w:after="0" w:line="273" w:lineRule="auto"/>
        <w:jc w:val="both"/>
        <w:sectPr>
          <w:type w:val="continuous"/>
          <w:pgSz w:w="11910" w:h="16840"/>
          <w:pgMar w:top="560" w:bottom="280" w:left="920" w:right="800"/>
          <w:cols w:num="2" w:equalWidth="0">
            <w:col w:w="2519" w:space="40"/>
            <w:col w:w="7631"/>
          </w:cols>
        </w:sectPr>
      </w:pPr>
    </w:p>
    <w:p>
      <w:pPr>
        <w:pStyle w:val="BodyText"/>
        <w:spacing w:before="3"/>
        <w:rPr>
          <w:sz w:val="15"/>
        </w:rPr>
      </w:pPr>
    </w:p>
    <w:p>
      <w:pPr>
        <w:spacing w:after="0"/>
        <w:rPr>
          <w:sz w:val="15"/>
        </w:rPr>
        <w:sectPr>
          <w:type w:val="continuous"/>
          <w:pgSz w:w="11910" w:h="16840"/>
          <w:pgMar w:top="560" w:bottom="280" w:left="920" w:right="800"/>
        </w:sectPr>
      </w:pPr>
    </w:p>
    <w:p>
      <w:pPr>
        <w:pStyle w:val="BodyText"/>
        <w:spacing w:line="273" w:lineRule="auto"/>
        <w:ind w:left="1047"/>
        <w:jc w:val="both"/>
      </w:pPr>
      <w:r>
        <w:rPr/>
        <w:t>2.冠状动脉介入手术（非开胸手术）</w:t>
      </w:r>
    </w:p>
    <w:p>
      <w:pPr>
        <w:pStyle w:val="BodyText"/>
        <w:spacing w:line="273" w:lineRule="auto"/>
        <w:ind w:left="379" w:right="202"/>
        <w:jc w:val="both"/>
      </w:pPr>
      <w:r>
        <w:rPr/>
        <w:br w:type="column"/>
      </w:r>
      <w:r>
        <w:rPr/>
        <w:t>指被保险人为了治疗明显的冠状动脉狭窄性疾病，首次实际实施了冠状动脉球囊扩张成形术、冠状动脉支架植入术、冠状动脉粥肿斑块切除术或激光冠状动脉成形术。</w:t>
      </w:r>
    </w:p>
    <w:p>
      <w:pPr>
        <w:spacing w:after="0" w:line="273" w:lineRule="auto"/>
        <w:jc w:val="both"/>
        <w:sectPr>
          <w:type w:val="continuous"/>
          <w:pgSz w:w="11910" w:h="16840"/>
          <w:pgMar w:top="560" w:bottom="280" w:left="920" w:right="800"/>
          <w:cols w:num="2" w:equalWidth="0">
            <w:col w:w="2518" w:space="40"/>
            <w:col w:w="7632"/>
          </w:cols>
        </w:sectPr>
      </w:pPr>
    </w:p>
    <w:p>
      <w:pPr>
        <w:pStyle w:val="BodyText"/>
        <w:spacing w:before="6"/>
        <w:rPr>
          <w:sz w:val="22"/>
        </w:rPr>
      </w:pPr>
    </w:p>
    <w:p>
      <w:pPr>
        <w:pStyle w:val="BodyText"/>
        <w:tabs>
          <w:tab w:pos="2937" w:val="left" w:leader="none"/>
        </w:tabs>
        <w:spacing w:line="273" w:lineRule="auto"/>
        <w:ind w:left="2937" w:right="206" w:hanging="1890"/>
      </w:pPr>
      <w:r>
        <w:rPr/>
        <w:t>3.轻微脑中风</w:t>
        <w:tab/>
        <w:t>指被保</w:t>
      </w:r>
      <w:r>
        <w:rPr>
          <w:spacing w:val="2"/>
        </w:rPr>
        <w:t>险</w:t>
      </w:r>
      <w:r>
        <w:rPr/>
        <w:t>人</w:t>
      </w:r>
      <w:r>
        <w:rPr>
          <w:spacing w:val="2"/>
        </w:rPr>
        <w:t>因</w:t>
      </w:r>
      <w:r>
        <w:rPr/>
        <w:t>非意外原</w:t>
      </w:r>
      <w:r>
        <w:rPr>
          <w:spacing w:val="2"/>
        </w:rPr>
        <w:t>因</w:t>
      </w:r>
      <w:r>
        <w:rPr/>
        <w:t>实</w:t>
      </w:r>
      <w:r>
        <w:rPr>
          <w:spacing w:val="2"/>
        </w:rPr>
        <w:t>际</w:t>
      </w:r>
      <w:r>
        <w:rPr/>
        <w:t>发生了脑血管</w:t>
      </w:r>
      <w:r>
        <w:rPr>
          <w:spacing w:val="2"/>
        </w:rPr>
        <w:t>的</w:t>
      </w:r>
      <w:r>
        <w:rPr/>
        <w:t>突</w:t>
      </w:r>
      <w:r>
        <w:rPr>
          <w:spacing w:val="2"/>
        </w:rPr>
        <w:t>发</w:t>
      </w:r>
      <w:r>
        <w:rPr/>
        <w:t>病变出现神经</w:t>
      </w:r>
      <w:r>
        <w:rPr>
          <w:spacing w:val="2"/>
        </w:rPr>
        <w:t>系</w:t>
      </w:r>
      <w:r>
        <w:rPr/>
        <w:t>统</w:t>
      </w:r>
      <w:r>
        <w:rPr>
          <w:spacing w:val="2"/>
        </w:rPr>
        <w:t>功</w:t>
      </w:r>
      <w:r>
        <w:rPr/>
        <w:t>能障 </w:t>
      </w:r>
      <w:r>
        <w:rPr>
          <w:spacing w:val="-1"/>
        </w:rPr>
        <w:t>碍表现，头颅断层扫描（CT）、核磁共振（MRI）等影像学检查证实</w:t>
      </w:r>
      <w:r>
        <w:rPr/>
        <w:t>存在对应</w:t>
      </w:r>
    </w:p>
    <w:p>
      <w:pPr>
        <w:spacing w:after="0" w:line="273" w:lineRule="auto"/>
        <w:sectPr>
          <w:type w:val="continuous"/>
          <w:pgSz w:w="11910" w:h="16840"/>
          <w:pgMar w:top="560" w:bottom="280" w:left="920" w:right="800"/>
        </w:sectPr>
      </w:pPr>
    </w:p>
    <w:p>
      <w:pPr>
        <w:pStyle w:val="BodyText"/>
        <w:spacing w:before="1"/>
      </w:pPr>
    </w:p>
    <w:p>
      <w:pPr>
        <w:pStyle w:val="BodyText"/>
        <w:spacing w:line="273" w:lineRule="auto"/>
        <w:ind w:left="2938" w:right="208"/>
      </w:pPr>
      <w:r>
        <w:rPr/>
        <w:t>病灶，确诊为脑出血、脑栓塞或脑梗塞，在确诊 180 天后仍然遗留一肢或一肢以上肢体肌力III 级或III 级以下的运动功能障碍。</w:t>
      </w:r>
    </w:p>
    <w:p>
      <w:pPr>
        <w:pStyle w:val="BodyText"/>
        <w:spacing w:before="4"/>
        <w:rPr>
          <w:sz w:val="22"/>
        </w:rPr>
      </w:pPr>
    </w:p>
    <w:p>
      <w:pPr>
        <w:spacing w:after="0"/>
        <w:rPr>
          <w:sz w:val="22"/>
        </w:rPr>
        <w:sectPr>
          <w:pgSz w:w="11910" w:h="16840"/>
          <w:pgMar w:header="608" w:footer="408" w:top="800" w:bottom="600" w:left="920" w:right="800"/>
        </w:sectPr>
      </w:pPr>
    </w:p>
    <w:p>
      <w:pPr>
        <w:pStyle w:val="BodyText"/>
        <w:spacing w:line="273" w:lineRule="auto"/>
        <w:ind w:left="1048"/>
        <w:jc w:val="both"/>
      </w:pPr>
      <w:r>
        <w:rPr/>
        <w:t>4.心脏瓣膜介入手术（非开胸手术）</w:t>
      </w:r>
    </w:p>
    <w:p>
      <w:pPr>
        <w:pStyle w:val="BodyText"/>
        <w:spacing w:line="273" w:lineRule="auto"/>
        <w:ind w:left="379" w:right="202"/>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560" w:bottom="280" w:left="920" w:right="800"/>
          <w:cols w:num="2" w:equalWidth="0">
            <w:col w:w="2519" w:space="40"/>
            <w:col w:w="7631"/>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ind w:left="1048"/>
        <w:jc w:val="both"/>
      </w:pPr>
      <w:r>
        <w:rPr/>
        <w:t>5.</w:t>
      </w:r>
      <w:r>
        <w:rPr>
          <w:spacing w:val="-2"/>
        </w:rPr>
        <w:t>脑垂体瘤、脑囊</w:t>
      </w:r>
      <w:r>
        <w:rPr>
          <w:spacing w:val="-3"/>
        </w:rPr>
        <w:t>肿、脑动脉瘤及脑血管瘤</w:t>
      </w:r>
    </w:p>
    <w:p>
      <w:pPr>
        <w:pStyle w:val="BodyText"/>
        <w:spacing w:line="273" w:lineRule="auto"/>
        <w:ind w:left="176" w:right="208"/>
      </w:pPr>
      <w:r>
        <w:rPr/>
        <w:br w:type="column"/>
      </w:r>
      <w:r>
        <w:rPr/>
        <w:t>指被保险人经头颅断层扫描（CT）、核磁共振（MRI）或其他影像学检查被确诊为下列病变，并实际接受了手术或放射治疗。</w:t>
      </w:r>
    </w:p>
    <w:p>
      <w:pPr>
        <w:pStyle w:val="BodyText"/>
        <w:spacing w:before="102"/>
        <w:ind w:left="176"/>
      </w:pPr>
      <w:r>
        <w:rPr/>
        <w:t>（1）脑垂体瘤；</w:t>
      </w:r>
    </w:p>
    <w:p>
      <w:pPr>
        <w:pStyle w:val="BodyText"/>
        <w:spacing w:before="131"/>
        <w:ind w:left="176"/>
      </w:pPr>
      <w:r>
        <w:rPr/>
        <w:t>（2）脑囊肿；</w:t>
      </w:r>
    </w:p>
    <w:p>
      <w:pPr>
        <w:pStyle w:val="BodyText"/>
        <w:spacing w:before="131"/>
        <w:ind w:left="176"/>
      </w:pPr>
      <w:r>
        <w:rPr/>
        <w:t>（3）脑动脉瘤、脑血管瘤。</w:t>
      </w:r>
    </w:p>
    <w:p>
      <w:pPr>
        <w:spacing w:after="0"/>
        <w:sectPr>
          <w:type w:val="continuous"/>
          <w:pgSz w:w="11910" w:h="16840"/>
          <w:pgMar w:top="560" w:bottom="280" w:left="920" w:right="800"/>
          <w:cols w:num="2" w:equalWidth="0">
            <w:col w:w="2722" w:space="40"/>
            <w:col w:w="7428"/>
          </w:cols>
        </w:sectPr>
      </w:pPr>
    </w:p>
    <w:p>
      <w:pPr>
        <w:pStyle w:val="BodyText"/>
        <w:spacing w:before="9"/>
        <w:rPr>
          <w:sz w:val="24"/>
        </w:rPr>
      </w:pPr>
    </w:p>
    <w:p>
      <w:pPr>
        <w:spacing w:after="0"/>
        <w:rPr>
          <w:sz w:val="24"/>
        </w:rPr>
        <w:sectPr>
          <w:type w:val="continuous"/>
          <w:pgSz w:w="11910" w:h="16840"/>
          <w:pgMar w:top="560" w:bottom="280" w:left="920" w:right="800"/>
        </w:sectPr>
      </w:pPr>
    </w:p>
    <w:p>
      <w:pPr>
        <w:pStyle w:val="BodyText"/>
        <w:spacing w:line="273" w:lineRule="auto" w:before="36"/>
        <w:ind w:left="1048"/>
      </w:pPr>
      <w:r>
        <w:rPr/>
        <w:t>6.中度阿尔茨海默病</w:t>
      </w:r>
    </w:p>
    <w:p>
      <w:pPr>
        <w:pStyle w:val="BodyText"/>
        <w:spacing w:line="273" w:lineRule="auto" w:before="36"/>
        <w:ind w:left="379" w:right="202"/>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Heading2"/>
        <w:ind w:left="379"/>
        <w:jc w:val="both"/>
      </w:pPr>
      <w:r>
        <w:rPr>
          <w:w w:val="95"/>
        </w:rPr>
        <w:t>神经官能症和精神疾病不在保障范围内。</w:t>
      </w:r>
    </w:p>
    <w:p>
      <w:pPr>
        <w:spacing w:after="0"/>
        <w:jc w:val="both"/>
        <w:sectPr>
          <w:type w:val="continuous"/>
          <w:pgSz w:w="11910" w:h="16840"/>
          <w:pgMar w:top="560" w:bottom="280" w:left="920" w:right="800"/>
          <w:cols w:num="2" w:equalWidth="0">
            <w:col w:w="2519" w:space="40"/>
            <w:col w:w="7631"/>
          </w:cols>
        </w:sectPr>
      </w:pPr>
    </w:p>
    <w:p>
      <w:pPr>
        <w:pStyle w:val="BodyText"/>
        <w:spacing w:before="9"/>
        <w:rPr>
          <w:b/>
          <w:sz w:val="24"/>
        </w:rPr>
      </w:pPr>
    </w:p>
    <w:p>
      <w:pPr>
        <w:spacing w:after="0"/>
        <w:rPr>
          <w:sz w:val="24"/>
        </w:rPr>
        <w:sectPr>
          <w:type w:val="continuous"/>
          <w:pgSz w:w="11910" w:h="16840"/>
          <w:pgMar w:top="560" w:bottom="280" w:left="920" w:right="800"/>
        </w:sectPr>
      </w:pPr>
    </w:p>
    <w:p>
      <w:pPr>
        <w:pStyle w:val="BodyText"/>
        <w:spacing w:line="273" w:lineRule="auto"/>
        <w:ind w:left="1048"/>
        <w:jc w:val="both"/>
      </w:pPr>
      <w:r>
        <w:rPr/>
        <w:t>7.主动脉内介入手术（非开胸手术）</w:t>
      </w:r>
    </w:p>
    <w:p>
      <w:pPr>
        <w:spacing w:line="273" w:lineRule="auto" w:before="35"/>
        <w:ind w:left="379" w:right="202" w:firstLine="0"/>
        <w:jc w:val="left"/>
        <w:rPr>
          <w:sz w:val="21"/>
        </w:rPr>
      </w:pPr>
      <w:r>
        <w:rPr/>
        <w:br w:type="column"/>
      </w:r>
      <w:r>
        <w:rPr>
          <w:sz w:val="21"/>
        </w:rPr>
        <w:t>指被保险人为了治疗主动脉疾病实际实施了经皮经导管进行的动脉内手术。</w:t>
      </w:r>
      <w:r>
        <w:rPr>
          <w:w w:val="95"/>
          <w:sz w:val="21"/>
        </w:rPr>
        <w:t>主动脉指胸主动脉和腹主动脉，</w:t>
      </w:r>
      <w:r>
        <w:rPr>
          <w:b/>
          <w:w w:val="95"/>
          <w:sz w:val="21"/>
        </w:rPr>
        <w:t>不包括胸主动脉和腹主动脉的分支血管</w:t>
      </w:r>
      <w:r>
        <w:rPr>
          <w:w w:val="95"/>
          <w:sz w:val="21"/>
        </w:rPr>
        <w:t>。</w:t>
      </w:r>
    </w:p>
    <w:p>
      <w:pPr>
        <w:spacing w:after="0" w:line="273" w:lineRule="auto"/>
        <w:jc w:val="left"/>
        <w:rPr>
          <w:sz w:val="21"/>
        </w:rPr>
        <w:sectPr>
          <w:type w:val="continuous"/>
          <w:pgSz w:w="11910" w:h="16840"/>
          <w:pgMar w:top="560" w:bottom="280" w:left="920" w:right="800"/>
          <w:cols w:num="2" w:equalWidth="0">
            <w:col w:w="2519" w:space="40"/>
            <w:col w:w="7631"/>
          </w:cols>
        </w:sectPr>
      </w:pPr>
    </w:p>
    <w:p>
      <w:pPr>
        <w:pStyle w:val="BodyText"/>
        <w:spacing w:before="2"/>
        <w:rPr>
          <w:sz w:val="15"/>
        </w:rPr>
      </w:pPr>
    </w:p>
    <w:p>
      <w:pPr>
        <w:spacing w:after="0"/>
        <w:rPr>
          <w:sz w:val="15"/>
        </w:rPr>
        <w:sectPr>
          <w:type w:val="continuous"/>
          <w:pgSz w:w="11910" w:h="16840"/>
          <w:pgMar w:top="560" w:bottom="280" w:left="920" w:right="800"/>
        </w:sectPr>
      </w:pPr>
    </w:p>
    <w:p>
      <w:pPr>
        <w:pStyle w:val="BodyText"/>
        <w:spacing w:line="273" w:lineRule="auto" w:before="36"/>
        <w:ind w:left="1047"/>
      </w:pPr>
      <w:r>
        <w:rPr/>
        <w:t>8.较小面积III 度烧伤（10%）</w:t>
      </w:r>
    </w:p>
    <w:p>
      <w:pPr>
        <w:pStyle w:val="BodyText"/>
        <w:spacing w:line="273" w:lineRule="auto" w:before="36"/>
        <w:ind w:left="433" w:right="211"/>
      </w:pPr>
      <w:r>
        <w:rPr/>
        <w:br w:type="column"/>
      </w:r>
      <w:r>
        <w:rPr/>
        <w:t>指被保险人的烧伤程度为Ⅲ度，且Ⅲ度烧伤的面积大于全身体表面积的 10% 但小于 20%。体表面积根据 《中国新九分法》计算。</w:t>
      </w:r>
    </w:p>
    <w:p>
      <w:pPr>
        <w:spacing w:after="0" w:line="273" w:lineRule="auto"/>
        <w:sectPr>
          <w:type w:val="continuous"/>
          <w:pgSz w:w="11910" w:h="16840"/>
          <w:pgMar w:top="560" w:bottom="280" w:left="920" w:right="800"/>
          <w:cols w:num="2" w:equalWidth="0">
            <w:col w:w="2465" w:space="40"/>
            <w:col w:w="7685"/>
          </w:cols>
        </w:sectPr>
      </w:pPr>
    </w:p>
    <w:p>
      <w:pPr>
        <w:pStyle w:val="BodyText"/>
        <w:spacing w:before="4"/>
        <w:rPr>
          <w:sz w:val="22"/>
        </w:rPr>
      </w:pPr>
    </w:p>
    <w:p>
      <w:pPr>
        <w:spacing w:after="0"/>
        <w:rPr>
          <w:sz w:val="22"/>
        </w:rPr>
        <w:sectPr>
          <w:type w:val="continuous"/>
          <w:pgSz w:w="11910" w:h="16840"/>
          <w:pgMar w:top="560" w:bottom="280" w:left="920" w:right="800"/>
        </w:sectPr>
      </w:pPr>
    </w:p>
    <w:p>
      <w:pPr>
        <w:pStyle w:val="BodyText"/>
        <w:spacing w:line="273" w:lineRule="auto" w:before="36"/>
        <w:ind w:left="1047"/>
        <w:jc w:val="both"/>
      </w:pPr>
      <w:r>
        <w:rPr/>
        <w:t>9.慢性肾功能损害 – 肾功能衰竭期</w:t>
      </w:r>
    </w:p>
    <w:p>
      <w:pPr>
        <w:pStyle w:val="BodyText"/>
        <w:spacing w:line="273" w:lineRule="auto" w:before="36"/>
        <w:ind w:left="379" w:right="202"/>
      </w:pPr>
      <w:r>
        <w:rPr/>
        <w:br w:type="column"/>
      </w:r>
      <w:r>
        <w:rPr/>
        <w:t>指被保险人因双肾功能慢性不可逆性损害达到肾功能衰竭期，诊断必须满足所有以下标准：</w:t>
      </w:r>
    </w:p>
    <w:p>
      <w:pPr>
        <w:pStyle w:val="BodyText"/>
        <w:spacing w:before="102"/>
        <w:ind w:left="379"/>
      </w:pPr>
      <w:r>
        <w:rPr/>
        <w:t>（1）GFR＜25%；</w:t>
      </w:r>
    </w:p>
    <w:p>
      <w:pPr>
        <w:pStyle w:val="ListParagraph"/>
        <w:numPr>
          <w:ilvl w:val="0"/>
          <w:numId w:val="20"/>
        </w:numPr>
        <w:tabs>
          <w:tab w:pos="907" w:val="left" w:leader="none"/>
        </w:tabs>
        <w:spacing w:line="240" w:lineRule="auto" w:before="130" w:after="0"/>
        <w:ind w:left="906" w:right="0" w:hanging="526"/>
        <w:jc w:val="left"/>
        <w:rPr>
          <w:sz w:val="21"/>
        </w:rPr>
      </w:pPr>
      <w:r>
        <w:rPr>
          <w:sz w:val="21"/>
        </w:rPr>
        <w:t>Scr＞5mg/dl</w:t>
      </w:r>
      <w:r>
        <w:rPr>
          <w:spacing w:val="-20"/>
          <w:sz w:val="21"/>
        </w:rPr>
        <w:t> 或＞</w:t>
      </w:r>
      <w:r>
        <w:rPr>
          <w:sz w:val="21"/>
        </w:rPr>
        <w:t>442umol/L；</w:t>
      </w:r>
    </w:p>
    <w:p>
      <w:pPr>
        <w:pStyle w:val="BodyText"/>
        <w:spacing w:before="130"/>
        <w:ind w:left="379"/>
      </w:pPr>
      <w:r>
        <w:rPr/>
        <w:t>（3）持续 180 天。</w:t>
      </w:r>
    </w:p>
    <w:p>
      <w:pPr>
        <w:spacing w:after="0"/>
        <w:sectPr>
          <w:type w:val="continuous"/>
          <w:pgSz w:w="11910" w:h="16840"/>
          <w:pgMar w:top="560" w:bottom="280" w:left="920" w:right="800"/>
          <w:cols w:num="2" w:equalWidth="0">
            <w:col w:w="2519" w:space="40"/>
            <w:col w:w="7631"/>
          </w:cols>
        </w:sectPr>
      </w:pPr>
    </w:p>
    <w:p>
      <w:pPr>
        <w:pStyle w:val="BodyText"/>
        <w:spacing w:before="9"/>
        <w:rPr>
          <w:sz w:val="24"/>
        </w:rPr>
      </w:pPr>
    </w:p>
    <w:p>
      <w:pPr>
        <w:pStyle w:val="BodyText"/>
        <w:tabs>
          <w:tab w:pos="2937" w:val="left" w:leader="none"/>
        </w:tabs>
        <w:ind w:left="1047"/>
      </w:pPr>
      <w:r>
        <w:rPr/>
        <w:t>10.重症头部外伤</w:t>
        <w:tab/>
        <w:t>指因头</w:t>
      </w:r>
      <w:r>
        <w:rPr>
          <w:spacing w:val="2"/>
        </w:rPr>
        <w:t>部</w:t>
      </w:r>
      <w:r>
        <w:rPr/>
        <w:t>遭</w:t>
      </w:r>
      <w:r>
        <w:rPr>
          <w:spacing w:val="2"/>
        </w:rPr>
        <w:t>受</w:t>
      </w:r>
      <w:r>
        <w:rPr/>
        <w:t>机械性外</w:t>
      </w:r>
      <w:r>
        <w:rPr>
          <w:spacing w:val="2"/>
        </w:rPr>
        <w:t>力</w:t>
      </w:r>
      <w:r>
        <w:rPr/>
        <w:t>伤</w:t>
      </w:r>
      <w:r>
        <w:rPr>
          <w:spacing w:val="2"/>
        </w:rPr>
        <w:t>害</w:t>
      </w:r>
      <w:r>
        <w:rPr/>
        <w:t>，引起脑重要</w:t>
      </w:r>
      <w:r>
        <w:rPr>
          <w:spacing w:val="2"/>
        </w:rPr>
        <w:t>部</w:t>
      </w:r>
      <w:r>
        <w:rPr/>
        <w:t>位</w:t>
      </w:r>
      <w:r>
        <w:rPr>
          <w:spacing w:val="2"/>
        </w:rPr>
        <w:t>损</w:t>
      </w:r>
      <w:r>
        <w:rPr/>
        <w:t>伤，并且由头</w:t>
      </w:r>
      <w:r>
        <w:rPr>
          <w:spacing w:val="2"/>
        </w:rPr>
        <w:t>颅</w:t>
      </w:r>
      <w:r>
        <w:rPr/>
        <w:t>断</w:t>
      </w:r>
      <w:r>
        <w:rPr>
          <w:spacing w:val="2"/>
        </w:rPr>
        <w:t>层</w:t>
      </w:r>
      <w:r>
        <w:rPr/>
        <w:t>扫描</w:t>
      </w:r>
    </w:p>
    <w:p>
      <w:pPr>
        <w:pStyle w:val="BodyText"/>
        <w:spacing w:line="273" w:lineRule="auto" w:before="37"/>
        <w:ind w:left="2937" w:right="106"/>
      </w:pPr>
      <w:r>
        <w:rPr/>
        <w:t>（CT）、核磁共振检查（MRI）或正电子发射断层扫描（PET）等影像学检查证实。头部外伤导致神经系统功能障碍，虽然未达到重大疾病“严重脑损伤” 的给付标准，但是符合以下条件之一：</w:t>
      </w:r>
    </w:p>
    <w:p>
      <w:pPr>
        <w:pStyle w:val="BodyText"/>
        <w:spacing w:before="101"/>
        <w:ind w:left="2937"/>
      </w:pPr>
      <w:r>
        <w:rPr/>
        <w:t>（1）被保险人接受了全麻下颅骨切开颅内血肿清除术（颅骨钻孔术除外）；</w:t>
      </w:r>
    </w:p>
    <w:p>
      <w:pPr>
        <w:pStyle w:val="BodyText"/>
        <w:spacing w:line="273" w:lineRule="auto" w:before="130"/>
        <w:ind w:left="2937" w:right="211"/>
      </w:pPr>
      <w:r>
        <w:rPr/>
        <w:t>（2）</w:t>
      </w:r>
      <w:r>
        <w:rPr>
          <w:spacing w:val="-12"/>
        </w:rPr>
        <w:t>在外伤 </w:t>
      </w:r>
      <w:r>
        <w:rPr/>
        <w:t>180</w:t>
      </w:r>
      <w:r>
        <w:rPr>
          <w:spacing w:val="-3"/>
        </w:rPr>
        <w:t> 天后仍然遗留一肢或一肢以上肢体肌力 </w:t>
      </w:r>
      <w:r>
        <w:rPr/>
        <w:t>III</w:t>
      </w:r>
      <w:r>
        <w:rPr>
          <w:spacing w:val="-12"/>
        </w:rPr>
        <w:t> 级或 </w:t>
      </w:r>
      <w:r>
        <w:rPr/>
        <w:t>III</w:t>
      </w:r>
      <w:r>
        <w:rPr>
          <w:spacing w:val="0"/>
        </w:rPr>
        <w:t> 级以下的运动功能障碍。</w:t>
      </w:r>
    </w:p>
    <w:p>
      <w:pPr>
        <w:pStyle w:val="BodyText"/>
        <w:spacing w:before="1"/>
        <w:rPr>
          <w:sz w:val="25"/>
        </w:rPr>
      </w:pPr>
    </w:p>
    <w:p>
      <w:pPr>
        <w:pStyle w:val="BodyText"/>
        <w:tabs>
          <w:tab w:pos="2938" w:val="left" w:leader="none"/>
        </w:tabs>
        <w:spacing w:line="273" w:lineRule="auto" w:before="1"/>
        <w:ind w:left="2937" w:right="206" w:hanging="1890"/>
      </w:pPr>
      <w:r>
        <w:rPr/>
        <w:t>11.单个肢体缺失</w:t>
        <w:tab/>
        <w:tab/>
        <w:t>指因疾</w:t>
      </w:r>
      <w:r>
        <w:rPr>
          <w:spacing w:val="2"/>
        </w:rPr>
        <w:t>病</w:t>
      </w:r>
      <w:r>
        <w:rPr/>
        <w:t>或</w:t>
      </w:r>
      <w:r>
        <w:rPr>
          <w:spacing w:val="2"/>
        </w:rPr>
        <w:t>意</w:t>
      </w:r>
      <w:r>
        <w:rPr/>
        <w:t>外伤害导</w:t>
      </w:r>
      <w:r>
        <w:rPr>
          <w:spacing w:val="2"/>
        </w:rPr>
        <w:t>致</w:t>
      </w:r>
      <w:r>
        <w:rPr/>
        <w:t>一</w:t>
      </w:r>
      <w:r>
        <w:rPr>
          <w:spacing w:val="2"/>
        </w:rPr>
        <w:t>个</w:t>
      </w:r>
      <w:r>
        <w:rPr/>
        <w:t>肢体自腕关节</w:t>
      </w:r>
      <w:r>
        <w:rPr>
          <w:spacing w:val="2"/>
        </w:rPr>
        <w:t>或</w:t>
      </w:r>
      <w:r>
        <w:rPr/>
        <w:t>踝</w:t>
      </w:r>
      <w:r>
        <w:rPr>
          <w:spacing w:val="2"/>
        </w:rPr>
        <w:t>关</w:t>
      </w:r>
      <w:r>
        <w:rPr/>
        <w:t>节近端（靠近</w:t>
      </w:r>
      <w:r>
        <w:rPr>
          <w:spacing w:val="2"/>
        </w:rPr>
        <w:t>躯</w:t>
      </w:r>
      <w:r>
        <w:rPr/>
        <w:t>干</w:t>
      </w:r>
      <w:r>
        <w:rPr>
          <w:spacing w:val="2"/>
        </w:rPr>
        <w:t>端</w:t>
      </w:r>
      <w:r>
        <w:rPr/>
        <w:t>）以 上完全性断离。</w:t>
      </w:r>
    </w:p>
    <w:p>
      <w:pPr>
        <w:spacing w:after="0" w:line="273" w:lineRule="auto"/>
        <w:sectPr>
          <w:type w:val="continuous"/>
          <w:pgSz w:w="11910" w:h="16840"/>
          <w:pgMar w:top="560" w:bottom="280" w:left="920" w:right="800"/>
        </w:sectPr>
      </w:pPr>
    </w:p>
    <w:p>
      <w:pPr>
        <w:pStyle w:val="BodyText"/>
        <w:spacing w:before="1"/>
      </w:pPr>
    </w:p>
    <w:p>
      <w:pPr>
        <w:pStyle w:val="BodyText"/>
        <w:tabs>
          <w:tab w:pos="2938" w:val="left" w:leader="none"/>
        </w:tabs>
        <w:ind w:left="1048"/>
      </w:pPr>
      <w:r>
        <w:rPr/>
        <w:t>12.单侧肺脏切除</w:t>
        <w:tab/>
      </w:r>
      <w:r>
        <w:rPr>
          <w:spacing w:val="-1"/>
        </w:rPr>
        <w:t>指因疾病或意外事故实际实施的一侧肺脏切除术。</w:t>
      </w:r>
    </w:p>
    <w:p>
      <w:pPr>
        <w:pStyle w:val="Heading2"/>
        <w:spacing w:before="130"/>
      </w:pPr>
      <w:r>
        <w:rPr>
          <w:w w:val="95"/>
        </w:rPr>
        <w:t>肺脏部分切除手术和肺脏捐献引起的手术不在保障范围内。</w:t>
      </w:r>
    </w:p>
    <w:p>
      <w:pPr>
        <w:pStyle w:val="BodyText"/>
        <w:spacing w:before="4"/>
        <w:rPr>
          <w:b/>
          <w:sz w:val="27"/>
        </w:rPr>
      </w:pPr>
    </w:p>
    <w:p>
      <w:pPr>
        <w:pStyle w:val="BodyText"/>
        <w:tabs>
          <w:tab w:pos="2938" w:val="left" w:leader="none"/>
        </w:tabs>
        <w:spacing w:line="273" w:lineRule="auto" w:before="0"/>
        <w:ind w:left="2938" w:right="206" w:hanging="1890"/>
      </w:pPr>
      <w:r>
        <w:rPr/>
        <w:t>13.肝脏手术</w:t>
        <w:tab/>
        <w:t>指因疾</w:t>
      </w:r>
      <w:r>
        <w:rPr>
          <w:spacing w:val="2"/>
        </w:rPr>
        <w:t>病</w:t>
      </w:r>
      <w:r>
        <w:rPr/>
        <w:t>或</w:t>
      </w:r>
      <w:r>
        <w:rPr>
          <w:spacing w:val="2"/>
        </w:rPr>
        <w:t>意</w:t>
      </w:r>
      <w:r>
        <w:rPr/>
        <w:t>外事故实</w:t>
      </w:r>
      <w:r>
        <w:rPr>
          <w:spacing w:val="2"/>
        </w:rPr>
        <w:t>际</w:t>
      </w:r>
      <w:r>
        <w:rPr/>
        <w:t>实</w:t>
      </w:r>
      <w:r>
        <w:rPr>
          <w:spacing w:val="2"/>
        </w:rPr>
        <w:t>施</w:t>
      </w:r>
      <w:r>
        <w:rPr/>
        <w:t>的肝脏部分切</w:t>
      </w:r>
      <w:r>
        <w:rPr>
          <w:spacing w:val="2"/>
        </w:rPr>
        <w:t>除</w:t>
      </w:r>
      <w:r>
        <w:rPr/>
        <w:t>术</w:t>
      </w:r>
      <w:r>
        <w:rPr>
          <w:spacing w:val="2"/>
        </w:rPr>
        <w:t>，</w:t>
      </w:r>
      <w:r>
        <w:rPr/>
        <w:t>手术须有至少</w:t>
      </w:r>
      <w:r>
        <w:rPr>
          <w:spacing w:val="2"/>
        </w:rPr>
        <w:t>一</w:t>
      </w:r>
      <w:r>
        <w:rPr/>
        <w:t>个</w:t>
      </w:r>
      <w:r>
        <w:rPr>
          <w:spacing w:val="2"/>
        </w:rPr>
        <w:t>完</w:t>
      </w:r>
      <w:r>
        <w:rPr/>
        <w:t>整的 肝叶切除。</w:t>
      </w:r>
    </w:p>
    <w:p>
      <w:pPr>
        <w:pStyle w:val="BodyText"/>
        <w:spacing w:before="2"/>
        <w:rPr>
          <w:sz w:val="25"/>
        </w:rPr>
      </w:pPr>
    </w:p>
    <w:p>
      <w:pPr>
        <w:pStyle w:val="BodyText"/>
        <w:tabs>
          <w:tab w:pos="2938" w:val="left" w:leader="none"/>
        </w:tabs>
        <w:spacing w:line="273" w:lineRule="auto" w:before="0"/>
        <w:ind w:left="2938" w:right="211" w:hanging="1890"/>
      </w:pPr>
      <w:r>
        <w:rPr/>
        <w:t>14.视力严重受损</w:t>
        <w:tab/>
        <w:t>指因疾病或者意外伤害导致双目视力永久不可逆性丧失，</w:t>
      </w:r>
      <w:r>
        <w:rPr>
          <w:spacing w:val="-34"/>
        </w:rPr>
        <w:t> </w:t>
      </w:r>
      <w:r>
        <w:rPr/>
        <w:t>虽然未达到重大疾病</w:t>
      </w:r>
      <w:r>
        <w:rPr>
          <w:spacing w:val="-1"/>
        </w:rPr>
        <w:t> </w:t>
      </w:r>
      <w:r>
        <w:rPr/>
        <w:t>“双目失明”的给付标准，但满足下列条件之一：</w:t>
      </w:r>
    </w:p>
    <w:p>
      <w:pPr>
        <w:pStyle w:val="ListParagraph"/>
        <w:numPr>
          <w:ilvl w:val="1"/>
          <w:numId w:val="20"/>
        </w:numPr>
        <w:tabs>
          <w:tab w:pos="3580" w:val="left" w:leader="none"/>
        </w:tabs>
        <w:spacing w:line="273" w:lineRule="auto" w:before="101" w:after="0"/>
        <w:ind w:left="2938" w:right="210" w:firstLine="0"/>
        <w:jc w:val="left"/>
        <w:rPr>
          <w:sz w:val="21"/>
        </w:rPr>
      </w:pPr>
      <w:r>
        <w:rPr>
          <w:spacing w:val="2"/>
          <w:sz w:val="21"/>
        </w:rPr>
        <w:t>双眼中较好眼矫正视力低于 </w:t>
      </w:r>
      <w:r>
        <w:rPr>
          <w:sz w:val="21"/>
        </w:rPr>
        <w:t>0.1（采用国际标准视力表，如果使用其他视力表应进行换算）</w:t>
      </w:r>
      <w:r>
        <w:rPr>
          <w:spacing w:val="-1"/>
          <w:sz w:val="21"/>
        </w:rPr>
        <w:t> ；</w:t>
      </w:r>
    </w:p>
    <w:p>
      <w:pPr>
        <w:pStyle w:val="ListParagraph"/>
        <w:numPr>
          <w:ilvl w:val="1"/>
          <w:numId w:val="20"/>
        </w:numPr>
        <w:tabs>
          <w:tab w:pos="3569" w:val="left" w:leader="none"/>
        </w:tabs>
        <w:spacing w:line="240" w:lineRule="auto" w:before="102" w:after="0"/>
        <w:ind w:left="3568" w:right="0" w:hanging="630"/>
        <w:jc w:val="left"/>
        <w:rPr>
          <w:sz w:val="21"/>
        </w:rPr>
      </w:pPr>
      <w:r>
        <w:rPr>
          <w:spacing w:val="-1"/>
          <w:sz w:val="21"/>
        </w:rPr>
        <w:t>双眼中较好眼视野半径小于 </w:t>
      </w:r>
      <w:r>
        <w:rPr>
          <w:sz w:val="21"/>
        </w:rPr>
        <w:t>20 度。</w:t>
      </w:r>
    </w:p>
    <w:p>
      <w:pPr>
        <w:pStyle w:val="BodyText"/>
        <w:spacing w:before="8"/>
        <w:rPr>
          <w:sz w:val="24"/>
        </w:rPr>
      </w:pPr>
    </w:p>
    <w:p>
      <w:pPr>
        <w:spacing w:after="0"/>
        <w:rPr>
          <w:sz w:val="24"/>
        </w:rPr>
        <w:sectPr>
          <w:pgSz w:w="11910" w:h="16840"/>
          <w:pgMar w:header="608" w:footer="408" w:top="800" w:bottom="600" w:left="920" w:right="800"/>
        </w:sectPr>
      </w:pPr>
    </w:p>
    <w:p>
      <w:pPr>
        <w:pStyle w:val="BodyText"/>
        <w:spacing w:line="273" w:lineRule="auto"/>
        <w:ind w:left="1048"/>
      </w:pPr>
      <w:r>
        <w:rPr>
          <w:spacing w:val="-1"/>
        </w:rPr>
        <w:t>15.</w:t>
      </w:r>
      <w:r>
        <w:rPr/>
        <w:t>人工耳蜗植入术</w:t>
      </w:r>
    </w:p>
    <w:p>
      <w:pPr>
        <w:pStyle w:val="BodyText"/>
        <w:spacing w:line="273" w:lineRule="auto"/>
        <w:ind w:left="275" w:right="202"/>
      </w:pPr>
      <w:r>
        <w:rPr/>
        <w:br w:type="column"/>
      </w:r>
      <w:r>
        <w:rPr/>
        <w:t>指由于耳蜗的永久损害而实际实施了人工耳蜗植入手术。诊断须经专科医师确认在医学上是必要的，且在植入手术之前已经符合下列全部条件：</w:t>
      </w:r>
    </w:p>
    <w:p>
      <w:pPr>
        <w:pStyle w:val="BodyText"/>
        <w:spacing w:before="101"/>
        <w:ind w:left="275"/>
      </w:pPr>
      <w:r>
        <w:rPr/>
        <w:t>（1）双耳持续 12 个月以上重度感音神经性耳聋；</w:t>
      </w:r>
    </w:p>
    <w:p>
      <w:pPr>
        <w:pStyle w:val="BodyText"/>
        <w:spacing w:before="132"/>
        <w:ind w:left="275"/>
      </w:pPr>
      <w:r>
        <w:rPr/>
        <w:t>（2）使用相应的听力辅助设备效果不佳。</w:t>
      </w:r>
    </w:p>
    <w:p>
      <w:pPr>
        <w:spacing w:after="0"/>
        <w:sectPr>
          <w:type w:val="continuous"/>
          <w:pgSz w:w="11910" w:h="16840"/>
          <w:pgMar w:top="560" w:bottom="280" w:left="920" w:right="800"/>
          <w:cols w:num="2" w:equalWidth="0">
            <w:col w:w="2623" w:space="40"/>
            <w:col w:w="7527"/>
          </w:cols>
        </w:sectPr>
      </w:pPr>
    </w:p>
    <w:p>
      <w:pPr>
        <w:pStyle w:val="BodyText"/>
        <w:spacing w:before="0"/>
        <w:rPr>
          <w:sz w:val="20"/>
        </w:rPr>
      </w:pPr>
    </w:p>
    <w:p>
      <w:pPr>
        <w:pStyle w:val="BodyText"/>
        <w:spacing w:before="6"/>
        <w:rPr>
          <w:sz w:val="15"/>
        </w:rPr>
      </w:pPr>
    </w:p>
    <w:p>
      <w:pPr>
        <w:pStyle w:val="Heading1"/>
        <w:spacing w:before="26"/>
        <w:ind w:left="1048"/>
      </w:pPr>
      <w:r>
        <w:rPr/>
        <w:drawing>
          <wp:anchor distT="0" distB="0" distL="0" distR="0" allowOverlap="1" layoutInCell="1" locked="0" behindDoc="0" simplePos="0" relativeHeight="1336">
            <wp:simplePos x="0" y="0"/>
            <wp:positionH relativeFrom="page">
              <wp:posOffset>702563</wp:posOffset>
            </wp:positionH>
            <wp:positionV relativeFrom="paragraph">
              <wp:posOffset>36778</wp:posOffset>
            </wp:positionV>
            <wp:extent cx="259842" cy="21717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59842" cy="217170"/>
                    </a:xfrm>
                    <a:prstGeom prst="rect">
                      <a:avLst/>
                    </a:prstGeom>
                  </pic:spPr>
                </pic:pic>
              </a:graphicData>
            </a:graphic>
          </wp:anchor>
        </w:drawing>
      </w:r>
      <w:r>
        <w:rPr/>
        <w:t>释义</w:t>
      </w:r>
    </w:p>
    <w:p>
      <w:pPr>
        <w:pStyle w:val="BodyText"/>
        <w:spacing w:before="8"/>
        <w:rPr>
          <w:b/>
          <w:sz w:val="11"/>
        </w:rPr>
      </w:pPr>
      <w:r>
        <w:rPr/>
        <w:pict>
          <v:line style="position:absolute;mso-position-horizontal-relative:page;mso-position-vertical-relative:paragraph;z-index:1312;mso-wrap-distance-left:0;mso-wrap-distance-right:0" from="51pt,10.096304pt" to="549.96pt,10.096304pt" stroked="true" strokeweight=".96pt" strokecolor="#000000">
            <v:stroke dashstyle="solid"/>
            <w10:wrap type="topAndBottom"/>
          </v:line>
        </w:pict>
      </w:r>
    </w:p>
    <w:p>
      <w:pPr>
        <w:pStyle w:val="BodyText"/>
        <w:spacing w:before="9"/>
        <w:rPr>
          <w:b/>
          <w:sz w:val="9"/>
        </w:rPr>
      </w:pPr>
    </w:p>
    <w:p>
      <w:pPr>
        <w:pStyle w:val="ListParagraph"/>
        <w:numPr>
          <w:ilvl w:val="1"/>
          <w:numId w:val="21"/>
        </w:numPr>
        <w:tabs>
          <w:tab w:pos="1047" w:val="left" w:leader="none"/>
          <w:tab w:pos="1049" w:val="left" w:leader="none"/>
          <w:tab w:pos="2937" w:val="left" w:leader="none"/>
        </w:tabs>
        <w:spacing w:line="273" w:lineRule="auto" w:before="35" w:after="0"/>
        <w:ind w:left="2938" w:right="202" w:hanging="2730"/>
        <w:jc w:val="left"/>
        <w:rPr>
          <w:sz w:val="21"/>
        </w:rPr>
      </w:pPr>
      <w:r>
        <w:rPr>
          <w:b/>
          <w:sz w:val="21"/>
        </w:rPr>
        <w:t>保单年度</w:t>
        <w:tab/>
      </w:r>
      <w:r>
        <w:rPr>
          <w:sz w:val="21"/>
        </w:rPr>
        <w:t>自本合</w:t>
      </w:r>
      <w:r>
        <w:rPr>
          <w:spacing w:val="2"/>
          <w:sz w:val="21"/>
        </w:rPr>
        <w:t>同</w:t>
      </w:r>
      <w:r>
        <w:rPr>
          <w:sz w:val="21"/>
        </w:rPr>
        <w:t>生</w:t>
      </w:r>
      <w:r>
        <w:rPr>
          <w:spacing w:val="2"/>
          <w:sz w:val="21"/>
        </w:rPr>
        <w:t>效</w:t>
      </w:r>
      <w:r>
        <w:rPr>
          <w:sz w:val="21"/>
        </w:rPr>
        <w:t>日或保单</w:t>
      </w:r>
      <w:r>
        <w:rPr>
          <w:spacing w:val="2"/>
          <w:sz w:val="21"/>
        </w:rPr>
        <w:t>周</w:t>
      </w:r>
      <w:r>
        <w:rPr>
          <w:sz w:val="21"/>
        </w:rPr>
        <w:t>年</w:t>
      </w:r>
      <w:r>
        <w:rPr>
          <w:spacing w:val="2"/>
          <w:sz w:val="21"/>
        </w:rPr>
        <w:t>日</w:t>
      </w:r>
      <w:r>
        <w:rPr>
          <w:sz w:val="21"/>
        </w:rPr>
        <w:t>起至下一个保</w:t>
      </w:r>
      <w:r>
        <w:rPr>
          <w:spacing w:val="2"/>
          <w:sz w:val="21"/>
        </w:rPr>
        <w:t>单</w:t>
      </w:r>
      <w:r>
        <w:rPr>
          <w:sz w:val="21"/>
        </w:rPr>
        <w:t>周</w:t>
      </w:r>
      <w:r>
        <w:rPr>
          <w:spacing w:val="2"/>
          <w:sz w:val="21"/>
        </w:rPr>
        <w:t>年</w:t>
      </w:r>
      <w:r>
        <w:rPr>
          <w:sz w:val="21"/>
        </w:rPr>
        <w:t>日的前一日止</w:t>
      </w:r>
      <w:r>
        <w:rPr>
          <w:spacing w:val="2"/>
          <w:sz w:val="21"/>
        </w:rPr>
        <w:t>为</w:t>
      </w:r>
      <w:r>
        <w:rPr>
          <w:sz w:val="21"/>
        </w:rPr>
        <w:t>一</w:t>
      </w:r>
      <w:r>
        <w:rPr>
          <w:spacing w:val="2"/>
          <w:sz w:val="21"/>
        </w:rPr>
        <w:t>个</w:t>
      </w:r>
      <w:r>
        <w:rPr>
          <w:sz w:val="21"/>
        </w:rPr>
        <w:t>保单 年度。</w:t>
      </w:r>
    </w:p>
    <w:p>
      <w:pPr>
        <w:pStyle w:val="BodyText"/>
        <w:spacing w:before="3"/>
        <w:rPr>
          <w:sz w:val="15"/>
        </w:rPr>
      </w:pPr>
    </w:p>
    <w:p>
      <w:pPr>
        <w:spacing w:after="0"/>
        <w:rPr>
          <w:sz w:val="15"/>
        </w:rPr>
        <w:sectPr>
          <w:type w:val="continuous"/>
          <w:pgSz w:w="11910" w:h="16840"/>
          <w:pgMar w:top="560" w:bottom="280" w:left="920" w:right="800"/>
        </w:sectPr>
      </w:pPr>
    </w:p>
    <w:p>
      <w:pPr>
        <w:pStyle w:val="Heading2"/>
        <w:numPr>
          <w:ilvl w:val="1"/>
          <w:numId w:val="21"/>
        </w:numPr>
        <w:tabs>
          <w:tab w:pos="1047" w:val="left" w:leader="none"/>
          <w:tab w:pos="1049" w:val="left" w:leader="none"/>
        </w:tabs>
        <w:spacing w:line="240" w:lineRule="auto" w:before="36" w:after="0"/>
        <w:ind w:left="2938" w:right="0" w:hanging="2730"/>
        <w:jc w:val="left"/>
      </w:pPr>
      <w:r>
        <w:rPr>
          <w:w w:val="95"/>
        </w:rPr>
        <w:t>保险费约定支付</w:t>
      </w:r>
    </w:p>
    <w:p>
      <w:pPr>
        <w:spacing w:before="37"/>
        <w:ind w:left="0" w:right="213" w:firstLine="0"/>
        <w:jc w:val="center"/>
        <w:rPr>
          <w:b/>
          <w:sz w:val="21"/>
        </w:rPr>
      </w:pPr>
      <w:r>
        <w:rPr>
          <w:b/>
          <w:w w:val="99"/>
          <w:sz w:val="21"/>
        </w:rPr>
        <w:t>日</w:t>
      </w:r>
    </w:p>
    <w:p>
      <w:pPr>
        <w:pStyle w:val="BodyText"/>
        <w:spacing w:line="273" w:lineRule="auto" w:before="36"/>
        <w:ind w:left="208" w:right="202"/>
      </w:pPr>
      <w:r>
        <w:rPr/>
        <w:br w:type="column"/>
      </w:r>
      <w:r>
        <w:rPr/>
        <w:t>保险合同生效日在每月、每季、每半年或每年（根据交费方式确定）的对应日。若当月无对应的同一日，则以该月最后一日为对应日。</w:t>
      </w:r>
    </w:p>
    <w:p>
      <w:pPr>
        <w:spacing w:after="0" w:line="273" w:lineRule="auto"/>
        <w:sectPr>
          <w:type w:val="continuous"/>
          <w:pgSz w:w="11910" w:h="16840"/>
          <w:pgMar w:top="560" w:bottom="280" w:left="920" w:right="800"/>
          <w:cols w:num="2" w:equalWidth="0">
            <w:col w:w="2522" w:space="208"/>
            <w:col w:w="7460"/>
          </w:cols>
        </w:sectPr>
      </w:pPr>
    </w:p>
    <w:p>
      <w:pPr>
        <w:pStyle w:val="BodyText"/>
        <w:spacing w:before="2"/>
        <w:rPr>
          <w:sz w:val="15"/>
        </w:rPr>
      </w:pPr>
    </w:p>
    <w:p>
      <w:pPr>
        <w:pStyle w:val="ListParagraph"/>
        <w:numPr>
          <w:ilvl w:val="1"/>
          <w:numId w:val="21"/>
        </w:numPr>
        <w:tabs>
          <w:tab w:pos="1047" w:val="left" w:leader="none"/>
          <w:tab w:pos="1049" w:val="left" w:leader="none"/>
          <w:tab w:pos="2937" w:val="left" w:leader="none"/>
        </w:tabs>
        <w:spacing w:line="273" w:lineRule="auto" w:before="36" w:after="0"/>
        <w:ind w:left="2938" w:right="202" w:hanging="2730"/>
        <w:jc w:val="left"/>
        <w:rPr>
          <w:sz w:val="21"/>
        </w:rPr>
      </w:pPr>
      <w:r>
        <w:rPr>
          <w:b/>
          <w:sz w:val="21"/>
        </w:rPr>
        <w:t>周岁</w:t>
        <w:tab/>
      </w:r>
      <w:r>
        <w:rPr>
          <w:sz w:val="21"/>
        </w:rPr>
        <w:t>指按有</w:t>
      </w:r>
      <w:r>
        <w:rPr>
          <w:spacing w:val="2"/>
          <w:sz w:val="21"/>
        </w:rPr>
        <w:t>效</w:t>
      </w:r>
      <w:r>
        <w:rPr>
          <w:sz w:val="21"/>
        </w:rPr>
        <w:t>身</w:t>
      </w:r>
      <w:r>
        <w:rPr>
          <w:spacing w:val="2"/>
          <w:sz w:val="21"/>
        </w:rPr>
        <w:t>份</w:t>
      </w:r>
      <w:r>
        <w:rPr>
          <w:sz w:val="21"/>
        </w:rPr>
        <w:t>证件中记</w:t>
      </w:r>
      <w:r>
        <w:rPr>
          <w:spacing w:val="2"/>
          <w:sz w:val="21"/>
        </w:rPr>
        <w:t>载</w:t>
      </w:r>
      <w:r>
        <w:rPr>
          <w:sz w:val="21"/>
        </w:rPr>
        <w:t>的</w:t>
      </w:r>
      <w:r>
        <w:rPr>
          <w:spacing w:val="2"/>
          <w:sz w:val="21"/>
        </w:rPr>
        <w:t>出</w:t>
      </w:r>
      <w:r>
        <w:rPr>
          <w:sz w:val="21"/>
        </w:rPr>
        <w:t>生日期计算的</w:t>
      </w:r>
      <w:r>
        <w:rPr>
          <w:spacing w:val="2"/>
          <w:sz w:val="21"/>
        </w:rPr>
        <w:t>年</w:t>
      </w:r>
      <w:r>
        <w:rPr>
          <w:sz w:val="21"/>
        </w:rPr>
        <w:t>龄</w:t>
      </w:r>
      <w:r>
        <w:rPr>
          <w:spacing w:val="2"/>
          <w:sz w:val="21"/>
        </w:rPr>
        <w:t>，</w:t>
      </w:r>
      <w:r>
        <w:rPr>
          <w:sz w:val="21"/>
        </w:rPr>
        <w:t>自出生之日起</w:t>
      </w:r>
      <w:r>
        <w:rPr>
          <w:spacing w:val="2"/>
          <w:sz w:val="21"/>
        </w:rPr>
        <w:t>为</w:t>
      </w:r>
      <w:r>
        <w:rPr>
          <w:sz w:val="21"/>
        </w:rPr>
        <w:t>零</w:t>
      </w:r>
      <w:r>
        <w:rPr>
          <w:spacing w:val="2"/>
          <w:sz w:val="21"/>
        </w:rPr>
        <w:t>周</w:t>
      </w:r>
      <w:r>
        <w:rPr>
          <w:sz w:val="21"/>
        </w:rPr>
        <w:t>岁， 每经过一年增加一岁，不足一年的不计。</w:t>
      </w:r>
    </w:p>
    <w:p>
      <w:pPr>
        <w:pStyle w:val="BodyText"/>
        <w:spacing w:before="11"/>
        <w:rPr>
          <w:sz w:val="17"/>
        </w:rPr>
      </w:pPr>
    </w:p>
    <w:p>
      <w:pPr>
        <w:pStyle w:val="ListParagraph"/>
        <w:numPr>
          <w:ilvl w:val="1"/>
          <w:numId w:val="21"/>
        </w:numPr>
        <w:tabs>
          <w:tab w:pos="1047" w:val="left" w:leader="none"/>
          <w:tab w:pos="1049" w:val="left" w:leader="none"/>
          <w:tab w:pos="2937" w:val="left" w:leader="none"/>
        </w:tabs>
        <w:spacing w:line="240" w:lineRule="auto" w:before="1" w:after="0"/>
        <w:ind w:left="2938" w:right="0" w:hanging="2730"/>
        <w:jc w:val="left"/>
        <w:rPr>
          <w:sz w:val="21"/>
        </w:rPr>
      </w:pPr>
      <w:r>
        <w:rPr>
          <w:b/>
          <w:sz w:val="21"/>
        </w:rPr>
        <w:t>专科医生</w:t>
        <w:tab/>
      </w:r>
      <w:r>
        <w:rPr>
          <w:spacing w:val="-1"/>
          <w:sz w:val="21"/>
        </w:rPr>
        <w:t>专科医生</w:t>
      </w:r>
      <w:r>
        <w:rPr>
          <w:sz w:val="21"/>
        </w:rPr>
        <w:t>应当同时满足以下四项资格条件：（1）具有有效的中华人民共和国</w:t>
      </w:r>
    </w:p>
    <w:p>
      <w:pPr>
        <w:pStyle w:val="BodyText"/>
        <w:spacing w:line="273" w:lineRule="auto" w:before="37"/>
        <w:ind w:left="2938" w:right="207"/>
        <w:jc w:val="both"/>
      </w:pPr>
      <w:r>
        <w:rPr/>
        <w:t>《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before="11"/>
        <w:rPr>
          <w:sz w:val="17"/>
        </w:rPr>
      </w:pPr>
    </w:p>
    <w:p>
      <w:pPr>
        <w:pStyle w:val="ListParagraph"/>
        <w:numPr>
          <w:ilvl w:val="1"/>
          <w:numId w:val="21"/>
        </w:numPr>
        <w:tabs>
          <w:tab w:pos="1047" w:val="left" w:leader="none"/>
          <w:tab w:pos="1049" w:val="left" w:leader="none"/>
          <w:tab w:pos="2937" w:val="left" w:leader="none"/>
        </w:tabs>
        <w:spacing w:line="273" w:lineRule="auto" w:before="1" w:after="0"/>
        <w:ind w:left="2938" w:right="202" w:hanging="2730"/>
        <w:jc w:val="left"/>
        <w:rPr>
          <w:sz w:val="21"/>
        </w:rPr>
      </w:pPr>
      <w:r>
        <w:rPr>
          <w:b/>
          <w:sz w:val="21"/>
        </w:rPr>
        <w:t>意外伤害</w:t>
        <w:tab/>
      </w:r>
      <w:r>
        <w:rPr>
          <w:sz w:val="21"/>
        </w:rPr>
        <w:t>指遭受</w:t>
      </w:r>
      <w:r>
        <w:rPr>
          <w:spacing w:val="2"/>
          <w:sz w:val="21"/>
        </w:rPr>
        <w:t>外</w:t>
      </w:r>
      <w:r>
        <w:rPr>
          <w:sz w:val="21"/>
        </w:rPr>
        <w:t>来</w:t>
      </w:r>
      <w:r>
        <w:rPr>
          <w:spacing w:val="2"/>
          <w:sz w:val="21"/>
        </w:rPr>
        <w:t>的</w:t>
      </w:r>
      <w:r>
        <w:rPr>
          <w:sz w:val="21"/>
        </w:rPr>
        <w:t>、突发的</w:t>
      </w:r>
      <w:r>
        <w:rPr>
          <w:spacing w:val="2"/>
          <w:sz w:val="21"/>
        </w:rPr>
        <w:t>、</w:t>
      </w:r>
      <w:r>
        <w:rPr>
          <w:sz w:val="21"/>
        </w:rPr>
        <w:t>非</w:t>
      </w:r>
      <w:r>
        <w:rPr>
          <w:spacing w:val="2"/>
          <w:sz w:val="21"/>
        </w:rPr>
        <w:t>本</w:t>
      </w:r>
      <w:r>
        <w:rPr>
          <w:sz w:val="21"/>
        </w:rPr>
        <w:t>意的、非疾病</w:t>
      </w:r>
      <w:r>
        <w:rPr>
          <w:spacing w:val="2"/>
          <w:sz w:val="21"/>
        </w:rPr>
        <w:t>的</w:t>
      </w:r>
      <w:r>
        <w:rPr>
          <w:sz w:val="21"/>
        </w:rPr>
        <w:t>客</w:t>
      </w:r>
      <w:r>
        <w:rPr>
          <w:spacing w:val="2"/>
          <w:sz w:val="21"/>
        </w:rPr>
        <w:t>观</w:t>
      </w:r>
      <w:r>
        <w:rPr>
          <w:sz w:val="21"/>
        </w:rPr>
        <w:t>事件直接致使</w:t>
      </w:r>
      <w:r>
        <w:rPr>
          <w:spacing w:val="2"/>
          <w:sz w:val="21"/>
        </w:rPr>
        <w:t>身</w:t>
      </w:r>
      <w:r>
        <w:rPr>
          <w:sz w:val="21"/>
        </w:rPr>
        <w:t>体</w:t>
      </w:r>
      <w:r>
        <w:rPr>
          <w:spacing w:val="2"/>
          <w:sz w:val="21"/>
        </w:rPr>
        <w:t>受</w:t>
      </w:r>
      <w:r>
        <w:rPr>
          <w:sz w:val="21"/>
        </w:rPr>
        <w:t>到的 伤害。</w:t>
      </w:r>
    </w:p>
    <w:p>
      <w:pPr>
        <w:pStyle w:val="BodyText"/>
        <w:spacing w:before="12"/>
        <w:rPr>
          <w:sz w:val="17"/>
        </w:rPr>
      </w:pPr>
    </w:p>
    <w:p>
      <w:pPr>
        <w:pStyle w:val="ListParagraph"/>
        <w:numPr>
          <w:ilvl w:val="1"/>
          <w:numId w:val="21"/>
        </w:numPr>
        <w:tabs>
          <w:tab w:pos="1047" w:val="left" w:leader="none"/>
          <w:tab w:pos="1049" w:val="left" w:leader="none"/>
          <w:tab w:pos="2937" w:val="left" w:leader="none"/>
        </w:tabs>
        <w:spacing w:line="273" w:lineRule="auto" w:before="0" w:after="0"/>
        <w:ind w:left="2938" w:right="314" w:hanging="2730"/>
        <w:jc w:val="left"/>
        <w:rPr>
          <w:sz w:val="21"/>
        </w:rPr>
      </w:pPr>
      <w:r>
        <w:rPr>
          <w:b/>
          <w:sz w:val="21"/>
        </w:rPr>
        <w:t>现金价值</w:t>
        <w:tab/>
      </w:r>
      <w:r>
        <w:rPr>
          <w:sz w:val="21"/>
        </w:rPr>
        <w:t>指本合同所具有的价值，本合同各保单年度末的现金价值载明于本合同现金价值表。</w:t>
      </w:r>
    </w:p>
    <w:p>
      <w:pPr>
        <w:pStyle w:val="BodyText"/>
        <w:spacing w:before="0"/>
        <w:rPr>
          <w:sz w:val="20"/>
        </w:rPr>
      </w:pPr>
    </w:p>
    <w:p>
      <w:pPr>
        <w:pStyle w:val="BodyText"/>
        <w:spacing w:before="1"/>
        <w:rPr>
          <w:sz w:val="22"/>
        </w:rPr>
      </w:pPr>
    </w:p>
    <w:p>
      <w:pPr>
        <w:pStyle w:val="ListParagraph"/>
        <w:numPr>
          <w:ilvl w:val="1"/>
          <w:numId w:val="21"/>
        </w:numPr>
        <w:tabs>
          <w:tab w:pos="1049" w:val="left" w:leader="none"/>
          <w:tab w:pos="2937" w:val="left" w:leader="none"/>
        </w:tabs>
        <w:spacing w:line="273" w:lineRule="auto" w:before="0" w:after="0"/>
        <w:ind w:left="2938" w:right="202" w:hanging="2730"/>
        <w:jc w:val="both"/>
        <w:rPr>
          <w:sz w:val="21"/>
        </w:rPr>
      </w:pPr>
      <w:r>
        <w:rPr>
          <w:b/>
          <w:sz w:val="21"/>
        </w:rPr>
        <w:t>毒品</w:t>
        <w:tab/>
      </w:r>
      <w:r>
        <w:rPr>
          <w:sz w:val="21"/>
        </w:rPr>
        <w:t>指中华</w:t>
      </w:r>
      <w:r>
        <w:rPr>
          <w:spacing w:val="2"/>
          <w:sz w:val="21"/>
        </w:rPr>
        <w:t>人</w:t>
      </w:r>
      <w:r>
        <w:rPr>
          <w:sz w:val="21"/>
        </w:rPr>
        <w:t>民</w:t>
      </w:r>
      <w:r>
        <w:rPr>
          <w:spacing w:val="2"/>
          <w:sz w:val="21"/>
        </w:rPr>
        <w:t>共</w:t>
      </w:r>
      <w:r>
        <w:rPr>
          <w:sz w:val="21"/>
        </w:rPr>
        <w:t>和国刑法</w:t>
      </w:r>
      <w:r>
        <w:rPr>
          <w:spacing w:val="2"/>
          <w:sz w:val="21"/>
        </w:rPr>
        <w:t>规</w:t>
      </w:r>
      <w:r>
        <w:rPr>
          <w:sz w:val="21"/>
        </w:rPr>
        <w:t>定</w:t>
      </w:r>
      <w:r>
        <w:rPr>
          <w:spacing w:val="2"/>
          <w:sz w:val="21"/>
        </w:rPr>
        <w:t>的</w:t>
      </w:r>
      <w:r>
        <w:rPr>
          <w:sz w:val="21"/>
        </w:rPr>
        <w:t>鸦片、海洛因</w:t>
      </w:r>
      <w:r>
        <w:rPr>
          <w:spacing w:val="2"/>
          <w:sz w:val="21"/>
        </w:rPr>
        <w:t>、</w:t>
      </w:r>
      <w:r>
        <w:rPr>
          <w:sz w:val="21"/>
        </w:rPr>
        <w:t>甲</w:t>
      </w:r>
      <w:r>
        <w:rPr>
          <w:spacing w:val="2"/>
          <w:sz w:val="21"/>
        </w:rPr>
        <w:t>基</w:t>
      </w:r>
      <w:r>
        <w:rPr>
          <w:sz w:val="21"/>
        </w:rPr>
        <w:t>苯丙胺（冰毒</w:t>
      </w:r>
      <w:r>
        <w:rPr>
          <w:spacing w:val="2"/>
          <w:sz w:val="21"/>
        </w:rPr>
        <w:t>）</w:t>
      </w:r>
      <w:r>
        <w:rPr>
          <w:sz w:val="21"/>
        </w:rPr>
        <w:t>、</w:t>
      </w:r>
      <w:r>
        <w:rPr>
          <w:spacing w:val="2"/>
          <w:sz w:val="21"/>
        </w:rPr>
        <w:t>吗</w:t>
      </w:r>
      <w:r>
        <w:rPr>
          <w:sz w:val="21"/>
        </w:rPr>
        <w:t>啡、 大麻、</w:t>
      </w:r>
      <w:r>
        <w:rPr>
          <w:spacing w:val="2"/>
          <w:sz w:val="21"/>
        </w:rPr>
        <w:t>可</w:t>
      </w:r>
      <w:r>
        <w:rPr>
          <w:sz w:val="21"/>
        </w:rPr>
        <w:t>卡</w:t>
      </w:r>
      <w:r>
        <w:rPr>
          <w:spacing w:val="2"/>
          <w:sz w:val="21"/>
        </w:rPr>
        <w:t>因</w:t>
      </w:r>
      <w:r>
        <w:rPr>
          <w:sz w:val="21"/>
        </w:rPr>
        <w:t>以及国家</w:t>
      </w:r>
      <w:r>
        <w:rPr>
          <w:spacing w:val="2"/>
          <w:sz w:val="21"/>
        </w:rPr>
        <w:t>规</w:t>
      </w:r>
      <w:r>
        <w:rPr>
          <w:sz w:val="21"/>
        </w:rPr>
        <w:t>定</w:t>
      </w:r>
      <w:r>
        <w:rPr>
          <w:spacing w:val="2"/>
          <w:sz w:val="21"/>
        </w:rPr>
        <w:t>管</w:t>
      </w:r>
      <w:r>
        <w:rPr>
          <w:sz w:val="21"/>
        </w:rPr>
        <w:t>制的其他能够</w:t>
      </w:r>
      <w:r>
        <w:rPr>
          <w:spacing w:val="2"/>
          <w:sz w:val="21"/>
        </w:rPr>
        <w:t>使</w:t>
      </w:r>
      <w:r>
        <w:rPr>
          <w:sz w:val="21"/>
        </w:rPr>
        <w:t>人</w:t>
      </w:r>
      <w:r>
        <w:rPr>
          <w:spacing w:val="2"/>
          <w:sz w:val="21"/>
        </w:rPr>
        <w:t>形</w:t>
      </w:r>
      <w:r>
        <w:rPr>
          <w:sz w:val="21"/>
        </w:rPr>
        <w:t>成瘾癖的麻醉</w:t>
      </w:r>
      <w:r>
        <w:rPr>
          <w:spacing w:val="2"/>
          <w:sz w:val="21"/>
        </w:rPr>
        <w:t>药</w:t>
      </w:r>
      <w:r>
        <w:rPr>
          <w:sz w:val="21"/>
        </w:rPr>
        <w:t>品</w:t>
      </w:r>
      <w:r>
        <w:rPr>
          <w:spacing w:val="2"/>
          <w:sz w:val="21"/>
        </w:rPr>
        <w:t>和</w:t>
      </w:r>
      <w:r>
        <w:rPr>
          <w:sz w:val="21"/>
        </w:rPr>
        <w:t>精神药品，</w:t>
      </w:r>
      <w:r>
        <w:rPr>
          <w:spacing w:val="2"/>
          <w:sz w:val="21"/>
        </w:rPr>
        <w:t>但</w:t>
      </w:r>
      <w:r>
        <w:rPr>
          <w:sz w:val="21"/>
        </w:rPr>
        <w:t>不</w:t>
      </w:r>
      <w:r>
        <w:rPr>
          <w:spacing w:val="2"/>
          <w:sz w:val="21"/>
        </w:rPr>
        <w:t>包</w:t>
      </w:r>
      <w:r>
        <w:rPr>
          <w:sz w:val="21"/>
        </w:rPr>
        <w:t>括由医生</w:t>
      </w:r>
      <w:r>
        <w:rPr>
          <w:spacing w:val="2"/>
          <w:sz w:val="21"/>
        </w:rPr>
        <w:t>开</w:t>
      </w:r>
      <w:r>
        <w:rPr>
          <w:sz w:val="21"/>
        </w:rPr>
        <w:t>具</w:t>
      </w:r>
      <w:r>
        <w:rPr>
          <w:spacing w:val="2"/>
          <w:sz w:val="21"/>
        </w:rPr>
        <w:t>并</w:t>
      </w:r>
      <w:r>
        <w:rPr>
          <w:sz w:val="21"/>
        </w:rPr>
        <w:t>遵医嘱使用的</w:t>
      </w:r>
      <w:r>
        <w:rPr>
          <w:spacing w:val="2"/>
          <w:sz w:val="21"/>
        </w:rPr>
        <w:t>用</w:t>
      </w:r>
      <w:r>
        <w:rPr>
          <w:sz w:val="21"/>
        </w:rPr>
        <w:t>于</w:t>
      </w:r>
      <w:r>
        <w:rPr>
          <w:spacing w:val="2"/>
          <w:sz w:val="21"/>
        </w:rPr>
        <w:t>治</w:t>
      </w:r>
      <w:r>
        <w:rPr>
          <w:sz w:val="21"/>
        </w:rPr>
        <w:t>疗疾病但含有</w:t>
      </w:r>
      <w:r>
        <w:rPr>
          <w:spacing w:val="2"/>
          <w:sz w:val="21"/>
        </w:rPr>
        <w:t>毒</w:t>
      </w:r>
      <w:r>
        <w:rPr>
          <w:sz w:val="21"/>
        </w:rPr>
        <w:t>品</w:t>
      </w:r>
      <w:r>
        <w:rPr>
          <w:spacing w:val="2"/>
          <w:sz w:val="21"/>
        </w:rPr>
        <w:t>成</w:t>
      </w:r>
      <w:r>
        <w:rPr>
          <w:sz w:val="21"/>
        </w:rPr>
        <w:t>分的处方药品。</w:t>
      </w:r>
    </w:p>
    <w:p>
      <w:pPr>
        <w:spacing w:after="0" w:line="273" w:lineRule="auto"/>
        <w:jc w:val="both"/>
        <w:rPr>
          <w:sz w:val="21"/>
        </w:rPr>
        <w:sectPr>
          <w:type w:val="continuous"/>
          <w:pgSz w:w="11910" w:h="16840"/>
          <w:pgMar w:top="560" w:bottom="280" w:left="920" w:right="800"/>
        </w:sectPr>
      </w:pPr>
    </w:p>
    <w:p>
      <w:pPr>
        <w:pStyle w:val="BodyText"/>
        <w:spacing w:before="1"/>
      </w:pPr>
    </w:p>
    <w:p>
      <w:pPr>
        <w:pStyle w:val="ListParagraph"/>
        <w:numPr>
          <w:ilvl w:val="1"/>
          <w:numId w:val="21"/>
        </w:numPr>
        <w:tabs>
          <w:tab w:pos="1049" w:val="left" w:leader="none"/>
        </w:tabs>
        <w:spacing w:line="273" w:lineRule="auto" w:before="35" w:after="0"/>
        <w:ind w:left="2938" w:right="122" w:hanging="2730"/>
        <w:jc w:val="both"/>
        <w:rPr>
          <w:sz w:val="21"/>
        </w:rPr>
      </w:pPr>
      <w:r>
        <w:rPr>
          <w:b/>
          <w:spacing w:val="3"/>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608" w:footer="408" w:top="800" w:bottom="600" w:left="920" w:right="880"/>
        </w:sectPr>
      </w:pPr>
    </w:p>
    <w:p>
      <w:pPr>
        <w:pStyle w:val="Heading2"/>
        <w:numPr>
          <w:ilvl w:val="1"/>
          <w:numId w:val="21"/>
        </w:numPr>
        <w:tabs>
          <w:tab w:pos="1047" w:val="left" w:leader="none"/>
          <w:tab w:pos="1049" w:val="left" w:leader="none"/>
        </w:tabs>
        <w:spacing w:line="273" w:lineRule="auto" w:before="35" w:after="0"/>
        <w:ind w:left="1048" w:right="0" w:hanging="840"/>
        <w:jc w:val="left"/>
      </w:pPr>
      <w:r>
        <w:rPr>
          <w:w w:val="95"/>
        </w:rPr>
        <w:t>无合法有效驾驶证驾驶</w:t>
      </w:r>
    </w:p>
    <w:p>
      <w:pPr>
        <w:pStyle w:val="BodyText"/>
        <w:ind w:left="208"/>
      </w:pPr>
      <w:r>
        <w:rPr/>
        <w:br w:type="column"/>
      </w:r>
      <w:r>
        <w:rPr/>
        <w:t>指下列情形之一：</w:t>
      </w:r>
    </w:p>
    <w:p>
      <w:pPr>
        <w:pStyle w:val="BodyText"/>
        <w:spacing w:before="130"/>
        <w:ind w:left="208"/>
      </w:pPr>
      <w:r>
        <w:rPr/>
        <w:t>（1）没有取得驾驶资格；</w:t>
      </w:r>
    </w:p>
    <w:p>
      <w:pPr>
        <w:pStyle w:val="BodyText"/>
        <w:spacing w:before="130"/>
        <w:ind w:left="208"/>
      </w:pPr>
      <w:r>
        <w:rPr/>
        <w:t>（2）驾驶与驾驶证准驾车型不相符合的车辆；</w:t>
      </w:r>
    </w:p>
    <w:p>
      <w:pPr>
        <w:pStyle w:val="BodyText"/>
        <w:spacing w:before="131"/>
        <w:ind w:left="208"/>
      </w:pPr>
      <w:r>
        <w:rPr/>
        <w:t>（3）持审验不合格的驾驶证驾驶；</w:t>
      </w:r>
    </w:p>
    <w:p>
      <w:pPr>
        <w:pStyle w:val="BodyText"/>
        <w:spacing w:line="273" w:lineRule="auto" w:before="130"/>
        <w:ind w:left="732" w:right="130" w:hanging="525"/>
      </w:pPr>
      <w:r>
        <w:rPr/>
        <w:t>（4）持学习驾驶证学习驾车时，无教练员随车指导，或不按指定时间、路线学习驾车。</w:t>
      </w:r>
    </w:p>
    <w:p>
      <w:pPr>
        <w:spacing w:after="0" w:line="273" w:lineRule="auto"/>
        <w:sectPr>
          <w:type w:val="continuous"/>
          <w:pgSz w:w="11910" w:h="16840"/>
          <w:pgMar w:top="560" w:bottom="280" w:left="920" w:right="880"/>
          <w:cols w:num="2" w:equalWidth="0">
            <w:col w:w="2522" w:space="208"/>
            <w:col w:w="7380"/>
          </w:cols>
        </w:sectPr>
      </w:pPr>
    </w:p>
    <w:p>
      <w:pPr>
        <w:pStyle w:val="BodyText"/>
        <w:spacing w:before="2"/>
        <w:rPr>
          <w:sz w:val="15"/>
        </w:rPr>
      </w:pPr>
    </w:p>
    <w:p>
      <w:pPr>
        <w:pStyle w:val="ListParagraph"/>
        <w:numPr>
          <w:ilvl w:val="1"/>
          <w:numId w:val="21"/>
        </w:numPr>
        <w:tabs>
          <w:tab w:pos="1047" w:val="left" w:leader="none"/>
          <w:tab w:pos="1048" w:val="left" w:leader="none"/>
          <w:tab w:pos="2937" w:val="left" w:leader="none"/>
        </w:tabs>
        <w:spacing w:line="240" w:lineRule="auto" w:before="36" w:after="0"/>
        <w:ind w:left="1047" w:right="0" w:hanging="839"/>
        <w:jc w:val="left"/>
        <w:rPr>
          <w:sz w:val="21"/>
        </w:rPr>
      </w:pPr>
      <w:r>
        <w:rPr>
          <w:b/>
          <w:sz w:val="21"/>
        </w:rPr>
        <w:t>无有效行驶证</w:t>
        <w:tab/>
      </w:r>
      <w:r>
        <w:rPr>
          <w:sz w:val="21"/>
        </w:rPr>
        <w:t>指下列情形之一：</w:t>
      </w:r>
    </w:p>
    <w:p>
      <w:pPr>
        <w:pStyle w:val="BodyText"/>
        <w:spacing w:before="132"/>
        <w:ind w:left="2938"/>
      </w:pPr>
      <w:r>
        <w:rPr/>
        <w:t>（1）机动车被依法注销登记的；</w:t>
      </w:r>
    </w:p>
    <w:p>
      <w:pPr>
        <w:pStyle w:val="BodyText"/>
        <w:spacing w:before="130"/>
        <w:ind w:left="2938"/>
      </w:pPr>
      <w:r>
        <w:rPr/>
        <w:t>（2）未依法按时进行或通过机动车安全技术检验。</w:t>
      </w:r>
    </w:p>
    <w:p>
      <w:pPr>
        <w:pStyle w:val="BodyText"/>
        <w:spacing w:before="1"/>
        <w:rPr>
          <w:sz w:val="20"/>
        </w:rPr>
      </w:pPr>
    </w:p>
    <w:p>
      <w:pPr>
        <w:pStyle w:val="ListParagraph"/>
        <w:numPr>
          <w:ilvl w:val="1"/>
          <w:numId w:val="21"/>
        </w:numPr>
        <w:tabs>
          <w:tab w:pos="1047" w:val="left" w:leader="none"/>
          <w:tab w:pos="1048" w:val="left" w:leader="none"/>
          <w:tab w:pos="2937" w:val="left" w:leader="none"/>
        </w:tabs>
        <w:spacing w:line="273" w:lineRule="auto" w:before="0" w:after="0"/>
        <w:ind w:left="2938" w:right="122" w:hanging="2730"/>
        <w:jc w:val="left"/>
        <w:rPr>
          <w:sz w:val="21"/>
        </w:rPr>
      </w:pPr>
      <w:r>
        <w:rPr>
          <w:b/>
          <w:sz w:val="21"/>
        </w:rPr>
        <w:t>遗传性疾病</w:t>
        <w:tab/>
      </w:r>
      <w:r>
        <w:rPr>
          <w:sz w:val="21"/>
        </w:rPr>
        <w:t>指生殖</w:t>
      </w:r>
      <w:r>
        <w:rPr>
          <w:spacing w:val="2"/>
          <w:sz w:val="21"/>
        </w:rPr>
        <w:t>细</w:t>
      </w:r>
      <w:r>
        <w:rPr>
          <w:sz w:val="21"/>
        </w:rPr>
        <w:t>胞</w:t>
      </w:r>
      <w:r>
        <w:rPr>
          <w:spacing w:val="2"/>
          <w:sz w:val="21"/>
        </w:rPr>
        <w:t>或</w:t>
      </w:r>
      <w:r>
        <w:rPr>
          <w:sz w:val="21"/>
        </w:rPr>
        <w:t>受精卵的</w:t>
      </w:r>
      <w:r>
        <w:rPr>
          <w:spacing w:val="2"/>
          <w:sz w:val="21"/>
        </w:rPr>
        <w:t>遗</w:t>
      </w:r>
      <w:r>
        <w:rPr>
          <w:sz w:val="21"/>
        </w:rPr>
        <w:t>传</w:t>
      </w:r>
      <w:r>
        <w:rPr>
          <w:spacing w:val="2"/>
          <w:sz w:val="21"/>
        </w:rPr>
        <w:t>物</w:t>
      </w:r>
      <w:r>
        <w:rPr>
          <w:sz w:val="21"/>
        </w:rPr>
        <w:t>质（染色体和</w:t>
      </w:r>
      <w:r>
        <w:rPr>
          <w:spacing w:val="2"/>
          <w:sz w:val="21"/>
        </w:rPr>
        <w:t>基</w:t>
      </w:r>
      <w:r>
        <w:rPr>
          <w:sz w:val="21"/>
        </w:rPr>
        <w:t>因</w:t>
      </w:r>
      <w:r>
        <w:rPr>
          <w:spacing w:val="2"/>
          <w:sz w:val="21"/>
        </w:rPr>
        <w:t>）</w:t>
      </w:r>
      <w:r>
        <w:rPr>
          <w:sz w:val="21"/>
        </w:rPr>
        <w:t>发生突变或畸</w:t>
      </w:r>
      <w:r>
        <w:rPr>
          <w:spacing w:val="2"/>
          <w:sz w:val="21"/>
        </w:rPr>
        <w:t>变</w:t>
      </w:r>
      <w:r>
        <w:rPr>
          <w:sz w:val="21"/>
        </w:rPr>
        <w:t>所</w:t>
      </w:r>
      <w:r>
        <w:rPr>
          <w:spacing w:val="2"/>
          <w:sz w:val="21"/>
        </w:rPr>
        <w:t>引</w:t>
      </w:r>
      <w:r>
        <w:rPr>
          <w:sz w:val="21"/>
        </w:rPr>
        <w:t>起的 疾病，通常具有由亲代传至后代的垂直传递的特征。</w:t>
      </w:r>
    </w:p>
    <w:p>
      <w:pPr>
        <w:pStyle w:val="BodyText"/>
        <w:spacing w:before="2"/>
        <w:rPr>
          <w:sz w:val="15"/>
        </w:rPr>
      </w:pPr>
    </w:p>
    <w:p>
      <w:pPr>
        <w:spacing w:after="0"/>
        <w:rPr>
          <w:sz w:val="15"/>
        </w:rPr>
        <w:sectPr>
          <w:type w:val="continuous"/>
          <w:pgSz w:w="11910" w:h="16840"/>
          <w:pgMar w:top="560" w:bottom="280" w:left="920" w:right="880"/>
        </w:sectPr>
      </w:pPr>
    </w:p>
    <w:p>
      <w:pPr>
        <w:pStyle w:val="Heading2"/>
        <w:numPr>
          <w:ilvl w:val="1"/>
          <w:numId w:val="21"/>
        </w:numPr>
        <w:tabs>
          <w:tab w:pos="1047" w:val="left" w:leader="none"/>
          <w:tab w:pos="1048" w:val="left" w:leader="none"/>
        </w:tabs>
        <w:spacing w:line="240" w:lineRule="auto" w:before="35" w:after="0"/>
        <w:ind w:left="1047" w:right="0" w:hanging="839"/>
        <w:jc w:val="left"/>
      </w:pPr>
      <w:r>
        <w:rPr>
          <w:spacing w:val="-2"/>
          <w:w w:val="95"/>
        </w:rPr>
        <w:t>先天性畸形、变形</w:t>
      </w:r>
    </w:p>
    <w:p>
      <w:pPr>
        <w:spacing w:before="36"/>
        <w:ind w:left="1048" w:right="0" w:firstLine="0"/>
        <w:jc w:val="left"/>
        <w:rPr>
          <w:b/>
          <w:sz w:val="21"/>
        </w:rPr>
      </w:pPr>
      <w:r>
        <w:rPr>
          <w:b/>
          <w:w w:val="95"/>
          <w:sz w:val="21"/>
        </w:rPr>
        <w:t>或染色体异常</w:t>
      </w:r>
    </w:p>
    <w:p>
      <w:pPr>
        <w:pStyle w:val="BodyText"/>
        <w:spacing w:line="273" w:lineRule="auto"/>
        <w:ind w:left="177" w:right="110"/>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77"/>
      </w:pPr>
      <w:r>
        <w:rPr/>
        <w:t>（</w:t>
      </w:r>
      <w:r>
        <w:rPr>
          <w:rFonts w:ascii="Times New Roman" w:eastAsia="Times New Roman"/>
        </w:rPr>
        <w:t>ICD-10</w:t>
      </w:r>
      <w:r>
        <w:rPr/>
        <w:t>）确定。</w:t>
      </w:r>
    </w:p>
    <w:p>
      <w:pPr>
        <w:spacing w:after="0"/>
        <w:sectPr>
          <w:type w:val="continuous"/>
          <w:pgSz w:w="11910" w:h="16840"/>
          <w:pgMar w:top="560" w:bottom="280" w:left="920" w:right="880"/>
          <w:cols w:num="2" w:equalWidth="0">
            <w:col w:w="2721" w:space="40"/>
            <w:col w:w="7349"/>
          </w:cols>
        </w:sectPr>
      </w:pPr>
    </w:p>
    <w:p>
      <w:pPr>
        <w:pStyle w:val="BodyText"/>
        <w:spacing w:before="3"/>
        <w:rPr>
          <w:sz w:val="16"/>
        </w:rPr>
      </w:pPr>
    </w:p>
    <w:p>
      <w:pPr>
        <w:spacing w:after="0"/>
        <w:rPr>
          <w:sz w:val="16"/>
        </w:rPr>
        <w:sectPr>
          <w:type w:val="continuous"/>
          <w:pgSz w:w="11910" w:h="16840"/>
          <w:pgMar w:top="560" w:bottom="280" w:left="920" w:right="880"/>
        </w:sectPr>
      </w:pPr>
    </w:p>
    <w:p>
      <w:pPr>
        <w:pStyle w:val="Heading2"/>
        <w:numPr>
          <w:ilvl w:val="1"/>
          <w:numId w:val="21"/>
        </w:numPr>
        <w:tabs>
          <w:tab w:pos="1047" w:val="left" w:leader="none"/>
          <w:tab w:pos="1048" w:val="left" w:leader="none"/>
        </w:tabs>
        <w:spacing w:line="240" w:lineRule="auto" w:before="35" w:after="0"/>
        <w:ind w:left="1047" w:right="0" w:hanging="839"/>
        <w:jc w:val="left"/>
      </w:pPr>
      <w:r>
        <w:rPr>
          <w:w w:val="95"/>
        </w:rPr>
        <w:t>感染艾滋病病毒</w:t>
      </w:r>
    </w:p>
    <w:p>
      <w:pPr>
        <w:spacing w:before="36"/>
        <w:ind w:left="1048" w:right="0" w:firstLine="0"/>
        <w:jc w:val="left"/>
        <w:rPr>
          <w:b/>
          <w:sz w:val="21"/>
        </w:rPr>
      </w:pPr>
      <w:r>
        <w:rPr>
          <w:b/>
          <w:w w:val="95"/>
          <w:sz w:val="21"/>
        </w:rPr>
        <w:t>或患艾滋病</w:t>
      </w:r>
    </w:p>
    <w:p>
      <w:pPr>
        <w:pStyle w:val="BodyText"/>
        <w:spacing w:line="273" w:lineRule="auto"/>
        <w:ind w:left="208" w:right="122"/>
        <w:jc w:val="both"/>
      </w:pPr>
      <w:r>
        <w:rPr/>
        <w:br w:type="column"/>
      </w:r>
      <w:r>
        <w:rPr>
          <w:spacing w:val="-6"/>
        </w:rPr>
        <w:t>艾滋病病毒指人类免疫缺陷病毒，英文缩写为 </w:t>
      </w:r>
      <w:r>
        <w:rPr/>
        <w:t>HIV</w:t>
      </w:r>
      <w:r>
        <w:rPr>
          <w:spacing w:val="-6"/>
        </w:rPr>
        <w:t>。艾滋病指人类免疫缺陷病</w:t>
      </w:r>
      <w:r>
        <w:rPr>
          <w:spacing w:val="-7"/>
        </w:rPr>
        <w:t>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920" w:right="880"/>
          <w:cols w:num="2" w:equalWidth="0">
            <w:col w:w="2522" w:space="208"/>
            <w:col w:w="7380"/>
          </w:cols>
        </w:sectPr>
      </w:pPr>
    </w:p>
    <w:p>
      <w:pPr>
        <w:pStyle w:val="BodyText"/>
        <w:spacing w:before="3"/>
        <w:rPr>
          <w:sz w:val="15"/>
        </w:rPr>
      </w:pPr>
    </w:p>
    <w:p>
      <w:pPr>
        <w:pStyle w:val="ListParagraph"/>
        <w:numPr>
          <w:ilvl w:val="1"/>
          <w:numId w:val="21"/>
        </w:numPr>
        <w:tabs>
          <w:tab w:pos="1047" w:val="left" w:leader="none"/>
          <w:tab w:pos="1048" w:val="left" w:leader="none"/>
          <w:tab w:pos="2937" w:val="left" w:leader="none"/>
        </w:tabs>
        <w:spacing w:line="273" w:lineRule="auto" w:before="36" w:after="0"/>
        <w:ind w:left="2938" w:right="122" w:hanging="2730"/>
        <w:jc w:val="left"/>
        <w:rPr>
          <w:sz w:val="21"/>
        </w:rPr>
      </w:pPr>
      <w:r>
        <w:rPr>
          <w:b/>
          <w:sz w:val="21"/>
        </w:rPr>
        <w:t>本合同约定利率</w:t>
        <w:tab/>
      </w:r>
      <w:r>
        <w:rPr>
          <w:sz w:val="21"/>
        </w:rPr>
        <w:t>由我们</w:t>
      </w:r>
      <w:r>
        <w:rPr>
          <w:spacing w:val="2"/>
          <w:sz w:val="21"/>
        </w:rPr>
        <w:t>参</w:t>
      </w:r>
      <w:r>
        <w:rPr>
          <w:sz w:val="21"/>
        </w:rPr>
        <w:t>照</w:t>
      </w:r>
      <w:r>
        <w:rPr>
          <w:spacing w:val="2"/>
          <w:sz w:val="21"/>
        </w:rPr>
        <w:t>同</w:t>
      </w:r>
      <w:r>
        <w:rPr>
          <w:sz w:val="21"/>
        </w:rPr>
        <w:t>期中国人</w:t>
      </w:r>
      <w:r>
        <w:rPr>
          <w:spacing w:val="2"/>
          <w:sz w:val="21"/>
        </w:rPr>
        <w:t>民</w:t>
      </w:r>
      <w:r>
        <w:rPr>
          <w:sz w:val="21"/>
        </w:rPr>
        <w:t>银</w:t>
      </w:r>
      <w:r>
        <w:rPr>
          <w:spacing w:val="2"/>
          <w:sz w:val="21"/>
        </w:rPr>
        <w:t>行</w:t>
      </w:r>
      <w:r>
        <w:rPr>
          <w:sz w:val="21"/>
        </w:rPr>
        <w:t>公布的金融机</w:t>
      </w:r>
      <w:r>
        <w:rPr>
          <w:spacing w:val="2"/>
          <w:sz w:val="21"/>
        </w:rPr>
        <w:t>构</w:t>
      </w:r>
      <w:r>
        <w:rPr>
          <w:sz w:val="21"/>
        </w:rPr>
        <w:t>六</w:t>
      </w:r>
      <w:r>
        <w:rPr>
          <w:spacing w:val="2"/>
          <w:sz w:val="21"/>
        </w:rPr>
        <w:t>个</w:t>
      </w:r>
      <w:r>
        <w:rPr>
          <w:sz w:val="21"/>
        </w:rPr>
        <w:t>月期人民币贷</w:t>
      </w:r>
      <w:r>
        <w:rPr>
          <w:spacing w:val="2"/>
          <w:sz w:val="21"/>
        </w:rPr>
        <w:t>款</w:t>
      </w:r>
      <w:r>
        <w:rPr>
          <w:sz w:val="21"/>
        </w:rPr>
        <w:t>基</w:t>
      </w:r>
      <w:r>
        <w:rPr>
          <w:spacing w:val="2"/>
          <w:sz w:val="21"/>
        </w:rPr>
        <w:t>准</w:t>
      </w:r>
      <w:r>
        <w:rPr>
          <w:sz w:val="21"/>
        </w:rPr>
        <w:t>利率 确定并宣布，宣布时间为每年的一月一日和七月一日。</w:t>
      </w:r>
    </w:p>
    <w:p>
      <w:pPr>
        <w:pStyle w:val="BodyText"/>
        <w:spacing w:before="3"/>
        <w:rPr>
          <w:sz w:val="15"/>
        </w:rPr>
      </w:pPr>
    </w:p>
    <w:p>
      <w:pPr>
        <w:spacing w:after="0"/>
        <w:rPr>
          <w:sz w:val="15"/>
        </w:rPr>
        <w:sectPr>
          <w:type w:val="continuous"/>
          <w:pgSz w:w="11910" w:h="16840"/>
          <w:pgMar w:top="560" w:bottom="280" w:left="920" w:right="880"/>
        </w:sectPr>
      </w:pPr>
    </w:p>
    <w:p>
      <w:pPr>
        <w:pStyle w:val="Heading2"/>
        <w:numPr>
          <w:ilvl w:val="1"/>
          <w:numId w:val="21"/>
        </w:numPr>
        <w:tabs>
          <w:tab w:pos="1047" w:val="left" w:leader="none"/>
          <w:tab w:pos="1048" w:val="left" w:leader="none"/>
        </w:tabs>
        <w:spacing w:line="273" w:lineRule="auto" w:before="35" w:after="0"/>
        <w:ind w:left="1048" w:right="0" w:hanging="840"/>
        <w:jc w:val="left"/>
      </w:pPr>
      <w:r>
        <w:rPr>
          <w:w w:val="95"/>
        </w:rPr>
        <w:t>本公司认可的医疗机构</w:t>
      </w:r>
    </w:p>
    <w:p>
      <w:pPr>
        <w:pStyle w:val="BodyText"/>
        <w:spacing w:line="273" w:lineRule="auto"/>
        <w:ind w:left="208" w:right="122"/>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920" w:right="880"/>
          <w:cols w:num="2" w:equalWidth="0">
            <w:col w:w="2522" w:space="208"/>
            <w:col w:w="7380"/>
          </w:cols>
        </w:sectPr>
      </w:pPr>
    </w:p>
    <w:p>
      <w:pPr>
        <w:pStyle w:val="BodyText"/>
        <w:spacing w:before="2"/>
        <w:rPr>
          <w:sz w:val="15"/>
        </w:rPr>
      </w:pPr>
    </w:p>
    <w:p>
      <w:pPr>
        <w:pStyle w:val="ListParagraph"/>
        <w:numPr>
          <w:ilvl w:val="1"/>
          <w:numId w:val="21"/>
        </w:numPr>
        <w:tabs>
          <w:tab w:pos="1047" w:val="left" w:leader="none"/>
          <w:tab w:pos="1048" w:val="left" w:leader="none"/>
          <w:tab w:pos="2937" w:val="left" w:leader="none"/>
        </w:tabs>
        <w:spacing w:line="273" w:lineRule="auto" w:before="36" w:after="0"/>
        <w:ind w:left="2938" w:right="125" w:hanging="2730"/>
        <w:jc w:val="left"/>
        <w:rPr>
          <w:sz w:val="21"/>
        </w:rPr>
      </w:pPr>
      <w:r>
        <w:rPr>
          <w:b/>
          <w:sz w:val="21"/>
        </w:rPr>
        <w:t>永久不可逆</w:t>
        <w:tab/>
      </w:r>
      <w:r>
        <w:rPr>
          <w:sz w:val="21"/>
        </w:rPr>
        <w:t>指</w:t>
      </w:r>
      <w:r>
        <w:rPr>
          <w:spacing w:val="2"/>
          <w:sz w:val="21"/>
        </w:rPr>
        <w:t>自</w:t>
      </w:r>
      <w:r>
        <w:rPr>
          <w:sz w:val="21"/>
        </w:rPr>
        <w:t>疾</w:t>
      </w:r>
      <w:r>
        <w:rPr>
          <w:spacing w:val="2"/>
          <w:sz w:val="21"/>
        </w:rPr>
        <w:t>病</w:t>
      </w:r>
      <w:r>
        <w:rPr>
          <w:sz w:val="21"/>
        </w:rPr>
        <w:t>确诊</w:t>
      </w:r>
      <w:r>
        <w:rPr>
          <w:spacing w:val="2"/>
          <w:sz w:val="21"/>
        </w:rPr>
        <w:t>或</w:t>
      </w:r>
      <w:r>
        <w:rPr>
          <w:sz w:val="21"/>
        </w:rPr>
        <w:t>意</w:t>
      </w:r>
      <w:r>
        <w:rPr>
          <w:spacing w:val="2"/>
          <w:sz w:val="21"/>
        </w:rPr>
        <w:t>外</w:t>
      </w:r>
      <w:r>
        <w:rPr>
          <w:sz w:val="21"/>
        </w:rPr>
        <w:t>伤害</w:t>
      </w:r>
      <w:r>
        <w:rPr>
          <w:spacing w:val="2"/>
          <w:sz w:val="21"/>
        </w:rPr>
        <w:t>发</w:t>
      </w:r>
      <w:r>
        <w:rPr>
          <w:sz w:val="21"/>
        </w:rPr>
        <w:t>生</w:t>
      </w:r>
      <w:r>
        <w:rPr>
          <w:spacing w:val="2"/>
          <w:sz w:val="21"/>
        </w:rPr>
        <w:t>之</w:t>
      </w:r>
      <w:r>
        <w:rPr>
          <w:sz w:val="21"/>
        </w:rPr>
        <w:t>日起，经过积</w:t>
      </w:r>
      <w:r>
        <w:rPr>
          <w:spacing w:val="2"/>
          <w:sz w:val="21"/>
        </w:rPr>
        <w:t>极</w:t>
      </w:r>
      <w:r>
        <w:rPr>
          <w:sz w:val="21"/>
        </w:rPr>
        <w:t>治疗</w:t>
      </w:r>
      <w:r>
        <w:rPr>
          <w:spacing w:val="-26"/>
          <w:sz w:val="21"/>
        </w:rPr>
        <w:t> </w:t>
      </w:r>
      <w:r>
        <w:rPr>
          <w:sz w:val="21"/>
        </w:rPr>
        <w:t>180</w:t>
      </w:r>
      <w:r>
        <w:rPr>
          <w:spacing w:val="-15"/>
          <w:sz w:val="21"/>
        </w:rPr>
        <w:t> </w:t>
      </w:r>
      <w:r>
        <w:rPr>
          <w:sz w:val="21"/>
        </w:rPr>
        <w:t>天后，仍</w:t>
      </w:r>
      <w:r>
        <w:rPr>
          <w:spacing w:val="2"/>
          <w:sz w:val="21"/>
        </w:rPr>
        <w:t>无</w:t>
      </w:r>
      <w:r>
        <w:rPr>
          <w:sz w:val="21"/>
        </w:rPr>
        <w:t>法通过现有医疗手段恢复。</w:t>
      </w:r>
    </w:p>
    <w:p>
      <w:pPr>
        <w:pStyle w:val="BodyText"/>
        <w:spacing w:before="3"/>
        <w:rPr>
          <w:sz w:val="15"/>
        </w:rPr>
      </w:pPr>
    </w:p>
    <w:p>
      <w:pPr>
        <w:spacing w:after="0"/>
        <w:rPr>
          <w:sz w:val="15"/>
        </w:rPr>
        <w:sectPr>
          <w:type w:val="continuous"/>
          <w:pgSz w:w="11910" w:h="16840"/>
          <w:pgMar w:top="560" w:bottom="280" w:left="920" w:right="880"/>
        </w:sectPr>
      </w:pPr>
    </w:p>
    <w:p>
      <w:pPr>
        <w:pStyle w:val="Heading2"/>
        <w:numPr>
          <w:ilvl w:val="1"/>
          <w:numId w:val="21"/>
        </w:numPr>
        <w:tabs>
          <w:tab w:pos="1047" w:val="left" w:leader="none"/>
          <w:tab w:pos="1048" w:val="left" w:leader="none"/>
        </w:tabs>
        <w:spacing w:line="240" w:lineRule="auto" w:before="35" w:after="0"/>
        <w:ind w:left="1047" w:right="0" w:hanging="839"/>
        <w:jc w:val="left"/>
      </w:pPr>
      <w:r>
        <w:rPr>
          <w:w w:val="95"/>
        </w:rPr>
        <w:t>肢体机能完全丧</w:t>
      </w:r>
    </w:p>
    <w:p>
      <w:pPr>
        <w:spacing w:before="36"/>
        <w:ind w:left="0" w:right="213" w:firstLine="0"/>
        <w:jc w:val="center"/>
        <w:rPr>
          <w:b/>
          <w:sz w:val="21"/>
        </w:rPr>
      </w:pPr>
      <w:r>
        <w:rPr>
          <w:b/>
          <w:w w:val="99"/>
          <w:sz w:val="21"/>
        </w:rPr>
        <w:t>失</w:t>
      </w:r>
    </w:p>
    <w:p>
      <w:pPr>
        <w:pStyle w:val="BodyText"/>
        <w:spacing w:line="273" w:lineRule="auto"/>
        <w:ind w:left="208" w:right="122"/>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920" w:right="880"/>
          <w:cols w:num="2" w:equalWidth="0">
            <w:col w:w="2522" w:space="208"/>
            <w:col w:w="7380"/>
          </w:cols>
        </w:sectPr>
      </w:pPr>
    </w:p>
    <w:p>
      <w:pPr>
        <w:pStyle w:val="BodyText"/>
        <w:spacing w:before="2"/>
        <w:rPr>
          <w:sz w:val="15"/>
        </w:rPr>
      </w:pPr>
    </w:p>
    <w:p>
      <w:pPr>
        <w:spacing w:after="0"/>
        <w:rPr>
          <w:sz w:val="15"/>
        </w:rPr>
        <w:sectPr>
          <w:type w:val="continuous"/>
          <w:pgSz w:w="11910" w:h="16840"/>
          <w:pgMar w:top="560" w:bottom="280" w:left="920" w:right="880"/>
        </w:sectPr>
      </w:pPr>
    </w:p>
    <w:p>
      <w:pPr>
        <w:pStyle w:val="Heading2"/>
        <w:numPr>
          <w:ilvl w:val="1"/>
          <w:numId w:val="21"/>
        </w:numPr>
        <w:tabs>
          <w:tab w:pos="1047" w:val="left" w:leader="none"/>
          <w:tab w:pos="1048" w:val="left" w:leader="none"/>
        </w:tabs>
        <w:spacing w:line="240" w:lineRule="auto" w:before="36" w:after="0"/>
        <w:ind w:left="1047" w:right="0" w:hanging="839"/>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6"/>
        <w:ind w:left="208" w:right="12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560" w:bottom="280" w:left="920" w:right="880"/>
          <w:cols w:num="2" w:equalWidth="0">
            <w:col w:w="2522" w:space="208"/>
            <w:col w:w="7380"/>
          </w:cols>
        </w:sectPr>
      </w:pPr>
    </w:p>
    <w:p>
      <w:pPr>
        <w:pStyle w:val="BodyText"/>
        <w:spacing w:before="3"/>
        <w:rPr>
          <w:sz w:val="15"/>
        </w:rPr>
      </w:pPr>
    </w:p>
    <w:p>
      <w:pPr>
        <w:spacing w:after="0"/>
        <w:rPr>
          <w:sz w:val="15"/>
        </w:rPr>
        <w:sectPr>
          <w:type w:val="continuous"/>
          <w:pgSz w:w="11910" w:h="16840"/>
          <w:pgMar w:top="560" w:bottom="280" w:left="920" w:right="880"/>
        </w:sectPr>
      </w:pPr>
    </w:p>
    <w:p>
      <w:pPr>
        <w:pStyle w:val="Heading2"/>
        <w:numPr>
          <w:ilvl w:val="1"/>
          <w:numId w:val="21"/>
        </w:numPr>
        <w:tabs>
          <w:tab w:pos="1047" w:val="left" w:leader="none"/>
          <w:tab w:pos="1048" w:val="left" w:leader="none"/>
        </w:tabs>
        <w:spacing w:line="273" w:lineRule="auto" w:before="35" w:after="0"/>
        <w:ind w:left="1048" w:right="0" w:hanging="840"/>
        <w:jc w:val="left"/>
      </w:pPr>
      <w:r>
        <w:rPr>
          <w:w w:val="95"/>
        </w:rPr>
        <w:t>六项基本日常生活活动</w:t>
      </w:r>
    </w:p>
    <w:p>
      <w:pPr>
        <w:pStyle w:val="BodyText"/>
        <w:spacing w:line="273" w:lineRule="auto"/>
        <w:ind w:left="208" w:right="129"/>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w:t>
      </w:r>
    </w:p>
    <w:p>
      <w:pPr>
        <w:spacing w:after="0" w:line="273" w:lineRule="auto"/>
        <w:jc w:val="both"/>
        <w:sectPr>
          <w:type w:val="continuous"/>
          <w:pgSz w:w="11910" w:h="16840"/>
          <w:pgMar w:top="560" w:bottom="280" w:left="920" w:right="880"/>
          <w:cols w:num="2" w:equalWidth="0">
            <w:col w:w="2522" w:space="208"/>
            <w:col w:w="7380"/>
          </w:cols>
        </w:sectPr>
      </w:pPr>
    </w:p>
    <w:p>
      <w:pPr>
        <w:pStyle w:val="BodyText"/>
        <w:spacing w:before="1"/>
      </w:pPr>
    </w:p>
    <w:p>
      <w:pPr>
        <w:pStyle w:val="BodyText"/>
        <w:ind w:left="2958"/>
      </w:pPr>
      <w:r>
        <w:rPr/>
        <w:t>自己进行淋浴或盆浴。</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7"/>
        </w:rPr>
      </w:pPr>
    </w:p>
    <w:p>
      <w:pPr>
        <w:pStyle w:val="Heading2"/>
        <w:spacing w:before="35"/>
        <w:ind w:left="119"/>
      </w:pPr>
      <w:r>
        <w:rPr>
          <w:w w:val="95"/>
        </w:rPr>
        <w:t>&lt;本页内容结束&gt;</w:t>
      </w:r>
    </w:p>
    <w:sectPr>
      <w:pgSz w:w="11910" w:h="16840"/>
      <w:pgMar w:header="608" w:footer="408" w:top="800" w:bottom="60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20007pt;margin-top:810.614075pt;width:21.55pt;height:8.6pt;mso-position-horizontal-relative:page;mso-position-vertical-relative:page;z-index:-52624" type="#_x0000_t202" filled="false" stroked="false">
          <v:textbox inset="0,0,0,0">
            <w:txbxContent>
              <w:p>
                <w:pPr>
                  <w:spacing w:line="151"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52648" from="51pt,40.019985pt" to="544.2pt,40.019985pt" stroked="true" strokeweight=".72003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1"/>
      <w:numFmt w:val="decimal"/>
      <w:lvlText w:val="%1"/>
      <w:lvlJc w:val="left"/>
      <w:pPr>
        <w:ind w:left="2938" w:hanging="841"/>
        <w:jc w:val="left"/>
      </w:pPr>
      <w:rPr>
        <w:rFonts w:hint="default"/>
      </w:rPr>
    </w:lvl>
    <w:lvl w:ilvl="1">
      <w:start w:val="1"/>
      <w:numFmt w:val="decimal"/>
      <w:lvlText w:val="%1.%2"/>
      <w:lvlJc w:val="left"/>
      <w:pPr>
        <w:ind w:left="2938" w:hanging="841"/>
        <w:jc w:val="left"/>
      </w:pPr>
      <w:rPr>
        <w:rFonts w:hint="default" w:ascii="宋体" w:hAnsi="宋体" w:eastAsia="宋体" w:cs="宋体"/>
        <w:b/>
        <w:bCs/>
        <w:spacing w:val="0"/>
        <w:w w:val="99"/>
        <w:sz w:val="21"/>
        <w:szCs w:val="21"/>
      </w:rPr>
    </w:lvl>
    <w:lvl w:ilvl="2">
      <w:start w:val="0"/>
      <w:numFmt w:val="bullet"/>
      <w:lvlText w:val="•"/>
      <w:lvlJc w:val="left"/>
      <w:pPr>
        <w:ind w:left="4388" w:hanging="841"/>
      </w:pPr>
      <w:rPr>
        <w:rFonts w:hint="default"/>
      </w:rPr>
    </w:lvl>
    <w:lvl w:ilvl="3">
      <w:start w:val="0"/>
      <w:numFmt w:val="bullet"/>
      <w:lvlText w:val="•"/>
      <w:lvlJc w:val="left"/>
      <w:pPr>
        <w:ind w:left="5113" w:hanging="841"/>
      </w:pPr>
      <w:rPr>
        <w:rFonts w:hint="default"/>
      </w:rPr>
    </w:lvl>
    <w:lvl w:ilvl="4">
      <w:start w:val="0"/>
      <w:numFmt w:val="bullet"/>
      <w:lvlText w:val="•"/>
      <w:lvlJc w:val="left"/>
      <w:pPr>
        <w:ind w:left="5837" w:hanging="841"/>
      </w:pPr>
      <w:rPr>
        <w:rFonts w:hint="default"/>
      </w:rPr>
    </w:lvl>
    <w:lvl w:ilvl="5">
      <w:start w:val="0"/>
      <w:numFmt w:val="bullet"/>
      <w:lvlText w:val="•"/>
      <w:lvlJc w:val="left"/>
      <w:pPr>
        <w:ind w:left="6562" w:hanging="841"/>
      </w:pPr>
      <w:rPr>
        <w:rFonts w:hint="default"/>
      </w:rPr>
    </w:lvl>
    <w:lvl w:ilvl="6">
      <w:start w:val="0"/>
      <w:numFmt w:val="bullet"/>
      <w:lvlText w:val="•"/>
      <w:lvlJc w:val="left"/>
      <w:pPr>
        <w:ind w:left="7286" w:hanging="841"/>
      </w:pPr>
      <w:rPr>
        <w:rFonts w:hint="default"/>
      </w:rPr>
    </w:lvl>
    <w:lvl w:ilvl="7">
      <w:start w:val="0"/>
      <w:numFmt w:val="bullet"/>
      <w:lvlText w:val="•"/>
      <w:lvlJc w:val="left"/>
      <w:pPr>
        <w:ind w:left="8011" w:hanging="841"/>
      </w:pPr>
      <w:rPr>
        <w:rFonts w:hint="default"/>
      </w:rPr>
    </w:lvl>
    <w:lvl w:ilvl="8">
      <w:start w:val="0"/>
      <w:numFmt w:val="bullet"/>
      <w:lvlText w:val="•"/>
      <w:lvlJc w:val="left"/>
      <w:pPr>
        <w:ind w:left="8735" w:hanging="841"/>
      </w:pPr>
      <w:rPr>
        <w:rFonts w:hint="default"/>
      </w:rPr>
    </w:lvl>
  </w:abstractNum>
  <w:abstractNum w:abstractNumId="19">
    <w:multiLevelType w:val="hybridMultilevel"/>
    <w:lvl w:ilvl="0">
      <w:start w:val="2"/>
      <w:numFmt w:val="decimal"/>
      <w:lvlText w:val="（%1）"/>
      <w:lvlJc w:val="left"/>
      <w:pPr>
        <w:ind w:left="906" w:hanging="527"/>
        <w:jc w:val="left"/>
      </w:pPr>
      <w:rPr>
        <w:rFonts w:hint="default" w:ascii="宋体" w:hAnsi="宋体" w:eastAsia="宋体" w:cs="宋体"/>
        <w:spacing w:val="-54"/>
        <w:w w:val="100"/>
        <w:sz w:val="19"/>
        <w:szCs w:val="19"/>
      </w:rPr>
    </w:lvl>
    <w:lvl w:ilvl="1">
      <w:start w:val="1"/>
      <w:numFmt w:val="decimal"/>
      <w:lvlText w:val="（%2）"/>
      <w:lvlJc w:val="left"/>
      <w:pPr>
        <w:ind w:left="2938" w:hanging="642"/>
        <w:jc w:val="left"/>
      </w:pPr>
      <w:rPr>
        <w:rFonts w:hint="default" w:ascii="宋体" w:hAnsi="宋体" w:eastAsia="宋体" w:cs="宋体"/>
        <w:spacing w:val="0"/>
        <w:w w:val="100"/>
        <w:sz w:val="21"/>
        <w:szCs w:val="21"/>
      </w:rPr>
    </w:lvl>
    <w:lvl w:ilvl="2">
      <w:start w:val="0"/>
      <w:numFmt w:val="bullet"/>
      <w:lvlText w:val="•"/>
      <w:lvlJc w:val="left"/>
      <w:pPr>
        <w:ind w:left="3460" w:hanging="642"/>
      </w:pPr>
      <w:rPr>
        <w:rFonts w:hint="default"/>
      </w:rPr>
    </w:lvl>
    <w:lvl w:ilvl="3">
      <w:start w:val="0"/>
      <w:numFmt w:val="bullet"/>
      <w:lvlText w:val="•"/>
      <w:lvlJc w:val="left"/>
      <w:pPr>
        <w:ind w:left="3981" w:hanging="642"/>
      </w:pPr>
      <w:rPr>
        <w:rFonts w:hint="default"/>
      </w:rPr>
    </w:lvl>
    <w:lvl w:ilvl="4">
      <w:start w:val="0"/>
      <w:numFmt w:val="bullet"/>
      <w:lvlText w:val="•"/>
      <w:lvlJc w:val="left"/>
      <w:pPr>
        <w:ind w:left="4502" w:hanging="642"/>
      </w:pPr>
      <w:rPr>
        <w:rFonts w:hint="default"/>
      </w:rPr>
    </w:lvl>
    <w:lvl w:ilvl="5">
      <w:start w:val="0"/>
      <w:numFmt w:val="bullet"/>
      <w:lvlText w:val="•"/>
      <w:lvlJc w:val="left"/>
      <w:pPr>
        <w:ind w:left="5022" w:hanging="642"/>
      </w:pPr>
      <w:rPr>
        <w:rFonts w:hint="default"/>
      </w:rPr>
    </w:lvl>
    <w:lvl w:ilvl="6">
      <w:start w:val="0"/>
      <w:numFmt w:val="bullet"/>
      <w:lvlText w:val="•"/>
      <w:lvlJc w:val="left"/>
      <w:pPr>
        <w:ind w:left="5543" w:hanging="642"/>
      </w:pPr>
      <w:rPr>
        <w:rFonts w:hint="default"/>
      </w:rPr>
    </w:lvl>
    <w:lvl w:ilvl="7">
      <w:start w:val="0"/>
      <w:numFmt w:val="bullet"/>
      <w:lvlText w:val="•"/>
      <w:lvlJc w:val="left"/>
      <w:pPr>
        <w:ind w:left="6064" w:hanging="642"/>
      </w:pPr>
      <w:rPr>
        <w:rFonts w:hint="default"/>
      </w:rPr>
    </w:lvl>
    <w:lvl w:ilvl="8">
      <w:start w:val="0"/>
      <w:numFmt w:val="bullet"/>
      <w:lvlText w:val="•"/>
      <w:lvlJc w:val="left"/>
      <w:pPr>
        <w:ind w:left="6584" w:hanging="642"/>
      </w:pPr>
      <w:rPr>
        <w:rFonts w:hint="default"/>
      </w:rPr>
    </w:lvl>
  </w:abstractNum>
  <w:abstractNum w:abstractNumId="18">
    <w:multiLevelType w:val="hybridMultilevel"/>
    <w:lvl w:ilvl="0">
      <w:start w:val="1"/>
      <w:numFmt w:val="upperRoman"/>
      <w:lvlText w:val="%1"/>
      <w:lvlJc w:val="left"/>
      <w:pPr>
        <w:ind w:left="538" w:hanging="210"/>
        <w:jc w:val="left"/>
      </w:pPr>
      <w:rPr>
        <w:rFonts w:hint="default" w:ascii="宋体" w:hAnsi="宋体" w:eastAsia="宋体" w:cs="宋体"/>
        <w:w w:val="100"/>
        <w:sz w:val="21"/>
        <w:szCs w:val="21"/>
      </w:rPr>
    </w:lvl>
    <w:lvl w:ilvl="1">
      <w:start w:val="0"/>
      <w:numFmt w:val="bullet"/>
      <w:lvlText w:val="•"/>
      <w:lvlJc w:val="left"/>
      <w:pPr>
        <w:ind w:left="2940" w:hanging="210"/>
      </w:pPr>
      <w:rPr>
        <w:rFonts w:hint="default"/>
      </w:rPr>
    </w:lvl>
    <w:lvl w:ilvl="2">
      <w:start w:val="0"/>
      <w:numFmt w:val="bullet"/>
      <w:lvlText w:val="•"/>
      <w:lvlJc w:val="left"/>
      <w:pPr>
        <w:ind w:left="3454" w:hanging="210"/>
      </w:pPr>
      <w:rPr>
        <w:rFonts w:hint="default"/>
      </w:rPr>
    </w:lvl>
    <w:lvl w:ilvl="3">
      <w:start w:val="0"/>
      <w:numFmt w:val="bullet"/>
      <w:lvlText w:val="•"/>
      <w:lvlJc w:val="left"/>
      <w:pPr>
        <w:ind w:left="3969" w:hanging="210"/>
      </w:pPr>
      <w:rPr>
        <w:rFonts w:hint="default"/>
      </w:rPr>
    </w:lvl>
    <w:lvl w:ilvl="4">
      <w:start w:val="0"/>
      <w:numFmt w:val="bullet"/>
      <w:lvlText w:val="•"/>
      <w:lvlJc w:val="left"/>
      <w:pPr>
        <w:ind w:left="4484" w:hanging="210"/>
      </w:pPr>
      <w:rPr>
        <w:rFonts w:hint="default"/>
      </w:rPr>
    </w:lvl>
    <w:lvl w:ilvl="5">
      <w:start w:val="0"/>
      <w:numFmt w:val="bullet"/>
      <w:lvlText w:val="•"/>
      <w:lvlJc w:val="left"/>
      <w:pPr>
        <w:ind w:left="4999" w:hanging="210"/>
      </w:pPr>
      <w:rPr>
        <w:rFonts w:hint="default"/>
      </w:rPr>
    </w:lvl>
    <w:lvl w:ilvl="6">
      <w:start w:val="0"/>
      <w:numFmt w:val="bullet"/>
      <w:lvlText w:val="•"/>
      <w:lvlJc w:val="left"/>
      <w:pPr>
        <w:ind w:left="5514" w:hanging="210"/>
      </w:pPr>
      <w:rPr>
        <w:rFonts w:hint="default"/>
      </w:rPr>
    </w:lvl>
    <w:lvl w:ilvl="7">
      <w:start w:val="0"/>
      <w:numFmt w:val="bullet"/>
      <w:lvlText w:val="•"/>
      <w:lvlJc w:val="left"/>
      <w:pPr>
        <w:ind w:left="6029" w:hanging="210"/>
      </w:pPr>
      <w:rPr>
        <w:rFonts w:hint="default"/>
      </w:rPr>
    </w:lvl>
    <w:lvl w:ilvl="8">
      <w:start w:val="0"/>
      <w:numFmt w:val="bullet"/>
      <w:lvlText w:val="•"/>
      <w:lvlJc w:val="left"/>
      <w:pPr>
        <w:ind w:left="6544" w:hanging="210"/>
      </w:pPr>
      <w:rPr>
        <w:rFonts w:hint="default"/>
      </w:rPr>
    </w:lvl>
  </w:abstractNum>
  <w:abstractNum w:abstractNumId="1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8"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6">
    <w:multiLevelType w:val="hybridMultilevel"/>
    <w:lvl w:ilvl="0">
      <w:start w:val="7"/>
      <w:numFmt w:val="decimal"/>
      <w:lvlText w:val="%1"/>
      <w:lvlJc w:val="left"/>
      <w:pPr>
        <w:ind w:left="1047"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3744" w:hanging="840"/>
      </w:pPr>
      <w:rPr>
        <w:rFonts w:hint="default"/>
      </w:rPr>
    </w:lvl>
    <w:lvl w:ilvl="3">
      <w:start w:val="0"/>
      <w:numFmt w:val="bullet"/>
      <w:lvlText w:val="•"/>
      <w:lvlJc w:val="left"/>
      <w:pPr>
        <w:ind w:left="4549" w:hanging="840"/>
      </w:pPr>
      <w:rPr>
        <w:rFonts w:hint="default"/>
      </w:rPr>
    </w:lvl>
    <w:lvl w:ilvl="4">
      <w:start w:val="0"/>
      <w:numFmt w:val="bullet"/>
      <w:lvlText w:val="•"/>
      <w:lvlJc w:val="left"/>
      <w:pPr>
        <w:ind w:left="5354" w:hanging="840"/>
      </w:pPr>
      <w:rPr>
        <w:rFonts w:hint="default"/>
      </w:rPr>
    </w:lvl>
    <w:lvl w:ilvl="5">
      <w:start w:val="0"/>
      <w:numFmt w:val="bullet"/>
      <w:lvlText w:val="•"/>
      <w:lvlJc w:val="left"/>
      <w:pPr>
        <w:ind w:left="6159" w:hanging="840"/>
      </w:pPr>
      <w:rPr>
        <w:rFonts w:hint="default"/>
      </w:rPr>
    </w:lvl>
    <w:lvl w:ilvl="6">
      <w:start w:val="0"/>
      <w:numFmt w:val="bullet"/>
      <w:lvlText w:val="•"/>
      <w:lvlJc w:val="left"/>
      <w:pPr>
        <w:ind w:left="6964" w:hanging="840"/>
      </w:pPr>
      <w:rPr>
        <w:rFonts w:hint="default"/>
      </w:rPr>
    </w:lvl>
    <w:lvl w:ilvl="7">
      <w:start w:val="0"/>
      <w:numFmt w:val="bullet"/>
      <w:lvlText w:val="•"/>
      <w:lvlJc w:val="left"/>
      <w:pPr>
        <w:ind w:left="7769" w:hanging="840"/>
      </w:pPr>
      <w:rPr>
        <w:rFonts w:hint="default"/>
      </w:rPr>
    </w:lvl>
    <w:lvl w:ilvl="8">
      <w:start w:val="0"/>
      <w:numFmt w:val="bullet"/>
      <w:lvlText w:val="•"/>
      <w:lvlJc w:val="left"/>
      <w:pPr>
        <w:ind w:left="8574" w:hanging="840"/>
      </w:pPr>
      <w:rPr>
        <w:rFonts w:hint="default"/>
      </w:rPr>
    </w:lvl>
  </w:abstractNum>
  <w:abstractNum w:abstractNumId="15">
    <w:multiLevelType w:val="hybridMultilevel"/>
    <w:lvl w:ilvl="0">
      <w:start w:val="6"/>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14">
    <w:multiLevelType w:val="hybridMultilevel"/>
    <w:lvl w:ilvl="0">
      <w:start w:val="5"/>
      <w:numFmt w:val="decimal"/>
      <w:lvlText w:val="%1"/>
      <w:lvlJc w:val="left"/>
      <w:pPr>
        <w:ind w:left="1047"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2868"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7" w:hanging="840"/>
      </w:pPr>
      <w:rPr>
        <w:rFonts w:hint="default"/>
      </w:rPr>
    </w:lvl>
    <w:lvl w:ilvl="5">
      <w:start w:val="0"/>
      <w:numFmt w:val="bullet"/>
      <w:lvlText w:val="•"/>
      <w:lvlJc w:val="left"/>
      <w:pPr>
        <w:ind w:left="5612" w:hanging="840"/>
      </w:pPr>
      <w:rPr>
        <w:rFonts w:hint="default"/>
      </w:rPr>
    </w:lvl>
    <w:lvl w:ilvl="6">
      <w:start w:val="0"/>
      <w:numFmt w:val="bullet"/>
      <w:lvlText w:val="•"/>
      <w:lvlJc w:val="left"/>
      <w:pPr>
        <w:ind w:left="6526" w:hanging="840"/>
      </w:pPr>
      <w:rPr>
        <w:rFonts w:hint="default"/>
      </w:rPr>
    </w:lvl>
    <w:lvl w:ilvl="7">
      <w:start w:val="0"/>
      <w:numFmt w:val="bullet"/>
      <w:lvlText w:val="•"/>
      <w:lvlJc w:val="left"/>
      <w:pPr>
        <w:ind w:left="7441" w:hanging="840"/>
      </w:pPr>
      <w:rPr>
        <w:rFonts w:hint="default"/>
      </w:rPr>
    </w:lvl>
    <w:lvl w:ilvl="8">
      <w:start w:val="0"/>
      <w:numFmt w:val="bullet"/>
      <w:lvlText w:val="•"/>
      <w:lvlJc w:val="left"/>
      <w:pPr>
        <w:ind w:left="8355" w:hanging="840"/>
      </w:pPr>
      <w:rPr>
        <w:rFonts w:hint="default"/>
      </w:rPr>
    </w:lvl>
  </w:abstractNum>
  <w:abstractNum w:abstractNumId="13">
    <w:multiLevelType w:val="hybridMultilevel"/>
    <w:lvl w:ilvl="0">
      <w:start w:val="4"/>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12">
    <w:multiLevelType w:val="hybridMultilevel"/>
    <w:lvl w:ilvl="0">
      <w:start w:val="3"/>
      <w:numFmt w:val="decimal"/>
      <w:lvlText w:val="%1"/>
      <w:lvlJc w:val="left"/>
      <w:pPr>
        <w:ind w:left="2938" w:hanging="840"/>
        <w:jc w:val="left"/>
      </w:pPr>
      <w:rPr>
        <w:rFonts w:hint="default"/>
      </w:rPr>
    </w:lvl>
    <w:lvl w:ilvl="1">
      <w:start w:val="1"/>
      <w:numFmt w:val="decimal"/>
      <w:lvlText w:val="%1.%2"/>
      <w:lvlJc w:val="left"/>
      <w:pPr>
        <w:ind w:left="2938" w:hanging="840"/>
        <w:jc w:val="left"/>
      </w:pPr>
      <w:rPr>
        <w:rFonts w:hint="default" w:ascii="宋体" w:hAnsi="宋体" w:eastAsia="宋体" w:cs="宋体"/>
        <w:b/>
        <w:bCs/>
        <w:spacing w:val="0"/>
        <w:w w:val="99"/>
        <w:sz w:val="21"/>
        <w:szCs w:val="21"/>
      </w:rPr>
    </w:lvl>
    <w:lvl w:ilvl="2">
      <w:start w:val="0"/>
      <w:numFmt w:val="bullet"/>
      <w:lvlText w:val="•"/>
      <w:lvlJc w:val="left"/>
      <w:pPr>
        <w:ind w:left="4388"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7" w:hanging="840"/>
      </w:pPr>
      <w:rPr>
        <w:rFonts w:hint="default"/>
      </w:rPr>
    </w:lvl>
    <w:lvl w:ilvl="5">
      <w:start w:val="0"/>
      <w:numFmt w:val="bullet"/>
      <w:lvlText w:val="•"/>
      <w:lvlJc w:val="left"/>
      <w:pPr>
        <w:ind w:left="6562" w:hanging="840"/>
      </w:pPr>
      <w:rPr>
        <w:rFonts w:hint="default"/>
      </w:rPr>
    </w:lvl>
    <w:lvl w:ilvl="6">
      <w:start w:val="0"/>
      <w:numFmt w:val="bullet"/>
      <w:lvlText w:val="•"/>
      <w:lvlJc w:val="left"/>
      <w:pPr>
        <w:ind w:left="7286" w:hanging="840"/>
      </w:pPr>
      <w:rPr>
        <w:rFonts w:hint="default"/>
      </w:rPr>
    </w:lvl>
    <w:lvl w:ilvl="7">
      <w:start w:val="0"/>
      <w:numFmt w:val="bullet"/>
      <w:lvlText w:val="•"/>
      <w:lvlJc w:val="left"/>
      <w:pPr>
        <w:ind w:left="8011" w:hanging="840"/>
      </w:pPr>
      <w:rPr>
        <w:rFonts w:hint="default"/>
      </w:rPr>
    </w:lvl>
    <w:lvl w:ilvl="8">
      <w:start w:val="0"/>
      <w:numFmt w:val="bullet"/>
      <w:lvlText w:val="•"/>
      <w:lvlJc w:val="left"/>
      <w:pPr>
        <w:ind w:left="8735" w:hanging="840"/>
      </w:pPr>
      <w:rPr>
        <w:rFonts w:hint="default"/>
      </w:rPr>
    </w:lvl>
  </w:abstractNum>
  <w:abstractNum w:abstractNumId="11">
    <w:multiLevelType w:val="hybridMultilevel"/>
    <w:lvl w:ilvl="0">
      <w:start w:val="2"/>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9"/>
        <w:sz w:val="21"/>
        <w:szCs w:val="21"/>
      </w:rPr>
    </w:lvl>
    <w:lvl w:ilvl="2">
      <w:start w:val="0"/>
      <w:numFmt w:val="bullet"/>
      <w:lvlText w:val="•"/>
      <w:lvlJc w:val="left"/>
      <w:pPr>
        <w:ind w:left="2868"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7" w:hanging="840"/>
      </w:pPr>
      <w:rPr>
        <w:rFonts w:hint="default"/>
      </w:rPr>
    </w:lvl>
    <w:lvl w:ilvl="5">
      <w:start w:val="0"/>
      <w:numFmt w:val="bullet"/>
      <w:lvlText w:val="•"/>
      <w:lvlJc w:val="left"/>
      <w:pPr>
        <w:ind w:left="5612" w:hanging="840"/>
      </w:pPr>
      <w:rPr>
        <w:rFonts w:hint="default"/>
      </w:rPr>
    </w:lvl>
    <w:lvl w:ilvl="6">
      <w:start w:val="0"/>
      <w:numFmt w:val="bullet"/>
      <w:lvlText w:val="•"/>
      <w:lvlJc w:val="left"/>
      <w:pPr>
        <w:ind w:left="6526" w:hanging="840"/>
      </w:pPr>
      <w:rPr>
        <w:rFonts w:hint="default"/>
      </w:rPr>
    </w:lvl>
    <w:lvl w:ilvl="7">
      <w:start w:val="0"/>
      <w:numFmt w:val="bullet"/>
      <w:lvlText w:val="•"/>
      <w:lvlJc w:val="left"/>
      <w:pPr>
        <w:ind w:left="7441" w:hanging="840"/>
      </w:pPr>
      <w:rPr>
        <w:rFonts w:hint="default"/>
      </w:rPr>
    </w:lvl>
    <w:lvl w:ilvl="8">
      <w:start w:val="0"/>
      <w:numFmt w:val="bullet"/>
      <w:lvlText w:val="•"/>
      <w:lvlJc w:val="left"/>
      <w:pPr>
        <w:ind w:left="8355" w:hanging="840"/>
      </w:pPr>
      <w:rPr>
        <w:rFonts w:hint="default"/>
      </w:rPr>
    </w:lvl>
  </w:abstractNum>
  <w:abstractNum w:abstractNumId="10">
    <w:multiLevelType w:val="hybridMultilevel"/>
    <w:lvl w:ilvl="0">
      <w:start w:val="11"/>
      <w:numFmt w:val="decimal"/>
      <w:lvlText w:val="%1"/>
      <w:lvlJc w:val="left"/>
      <w:pPr>
        <w:ind w:left="889" w:hanging="630"/>
        <w:jc w:val="left"/>
      </w:pPr>
      <w:rPr>
        <w:rFonts w:hint="default"/>
      </w:rPr>
    </w:lvl>
    <w:lvl w:ilvl="1">
      <w:start w:val="10"/>
      <w:numFmt w:val="decimal"/>
      <w:lvlText w:val="%1.%2"/>
      <w:lvlJc w:val="left"/>
      <w:pPr>
        <w:ind w:left="889" w:hanging="630"/>
        <w:jc w:val="left"/>
      </w:pPr>
      <w:rPr>
        <w:rFonts w:hint="default" w:ascii="宋体" w:hAnsi="宋体" w:eastAsia="宋体" w:cs="宋体"/>
        <w:w w:val="100"/>
        <w:sz w:val="21"/>
        <w:szCs w:val="21"/>
      </w:rPr>
    </w:lvl>
    <w:lvl w:ilvl="2">
      <w:start w:val="0"/>
      <w:numFmt w:val="bullet"/>
      <w:lvlText w:val="•"/>
      <w:lvlJc w:val="left"/>
      <w:pPr>
        <w:ind w:left="1551" w:hanging="630"/>
      </w:pPr>
      <w:rPr>
        <w:rFonts w:hint="default"/>
      </w:rPr>
    </w:lvl>
    <w:lvl w:ilvl="3">
      <w:start w:val="0"/>
      <w:numFmt w:val="bullet"/>
      <w:lvlText w:val="•"/>
      <w:lvlJc w:val="left"/>
      <w:pPr>
        <w:ind w:left="1887" w:hanging="630"/>
      </w:pPr>
      <w:rPr>
        <w:rFonts w:hint="default"/>
      </w:rPr>
    </w:lvl>
    <w:lvl w:ilvl="4">
      <w:start w:val="0"/>
      <w:numFmt w:val="bullet"/>
      <w:lvlText w:val="•"/>
      <w:lvlJc w:val="left"/>
      <w:pPr>
        <w:ind w:left="2223" w:hanging="630"/>
      </w:pPr>
      <w:rPr>
        <w:rFonts w:hint="default"/>
      </w:rPr>
    </w:lvl>
    <w:lvl w:ilvl="5">
      <w:start w:val="0"/>
      <w:numFmt w:val="bullet"/>
      <w:lvlText w:val="•"/>
      <w:lvlJc w:val="left"/>
      <w:pPr>
        <w:ind w:left="2558" w:hanging="630"/>
      </w:pPr>
      <w:rPr>
        <w:rFonts w:hint="default"/>
      </w:rPr>
    </w:lvl>
    <w:lvl w:ilvl="6">
      <w:start w:val="0"/>
      <w:numFmt w:val="bullet"/>
      <w:lvlText w:val="•"/>
      <w:lvlJc w:val="left"/>
      <w:pPr>
        <w:ind w:left="2894" w:hanging="630"/>
      </w:pPr>
      <w:rPr>
        <w:rFonts w:hint="default"/>
      </w:rPr>
    </w:lvl>
    <w:lvl w:ilvl="7">
      <w:start w:val="0"/>
      <w:numFmt w:val="bullet"/>
      <w:lvlText w:val="•"/>
      <w:lvlJc w:val="left"/>
      <w:pPr>
        <w:ind w:left="3230" w:hanging="630"/>
      </w:pPr>
      <w:rPr>
        <w:rFonts w:hint="default"/>
      </w:rPr>
    </w:lvl>
    <w:lvl w:ilvl="8">
      <w:start w:val="0"/>
      <w:numFmt w:val="bullet"/>
      <w:lvlText w:val="•"/>
      <w:lvlJc w:val="left"/>
      <w:pPr>
        <w:ind w:left="3566" w:hanging="630"/>
      </w:pPr>
      <w:rPr>
        <w:rFonts w:hint="default"/>
      </w:rPr>
    </w:lvl>
  </w:abstractNum>
  <w:abstractNum w:abstractNumId="9">
    <w:multiLevelType w:val="hybridMultilevel"/>
    <w:lvl w:ilvl="0">
      <w:start w:val="10"/>
      <w:numFmt w:val="decimal"/>
      <w:lvlText w:val="%1"/>
      <w:lvlJc w:val="left"/>
      <w:pPr>
        <w:ind w:left="993" w:hanging="525"/>
        <w:jc w:val="left"/>
      </w:pPr>
      <w:rPr>
        <w:rFonts w:hint="default"/>
      </w:rPr>
    </w:lvl>
    <w:lvl w:ilvl="1">
      <w:start w:val="1"/>
      <w:numFmt w:val="decimal"/>
      <w:lvlText w:val="%1.%2"/>
      <w:lvlJc w:val="left"/>
      <w:pPr>
        <w:ind w:left="993" w:hanging="525"/>
        <w:jc w:val="left"/>
      </w:pPr>
      <w:rPr>
        <w:rFonts w:hint="default" w:ascii="宋体" w:hAnsi="宋体" w:eastAsia="宋体" w:cs="宋体"/>
        <w:w w:val="100"/>
        <w:sz w:val="21"/>
        <w:szCs w:val="21"/>
      </w:rPr>
    </w:lvl>
    <w:lvl w:ilvl="2">
      <w:start w:val="0"/>
      <w:numFmt w:val="bullet"/>
      <w:lvlText w:val="•"/>
      <w:lvlJc w:val="left"/>
      <w:pPr>
        <w:ind w:left="1378" w:hanging="525"/>
      </w:pPr>
      <w:rPr>
        <w:rFonts w:hint="default"/>
      </w:rPr>
    </w:lvl>
    <w:lvl w:ilvl="3">
      <w:start w:val="0"/>
      <w:numFmt w:val="bullet"/>
      <w:lvlText w:val="•"/>
      <w:lvlJc w:val="left"/>
      <w:pPr>
        <w:ind w:left="1567" w:hanging="525"/>
      </w:pPr>
      <w:rPr>
        <w:rFonts w:hint="default"/>
      </w:rPr>
    </w:lvl>
    <w:lvl w:ilvl="4">
      <w:start w:val="0"/>
      <w:numFmt w:val="bullet"/>
      <w:lvlText w:val="•"/>
      <w:lvlJc w:val="left"/>
      <w:pPr>
        <w:ind w:left="1756" w:hanging="525"/>
      </w:pPr>
      <w:rPr>
        <w:rFonts w:hint="default"/>
      </w:rPr>
    </w:lvl>
    <w:lvl w:ilvl="5">
      <w:start w:val="0"/>
      <w:numFmt w:val="bullet"/>
      <w:lvlText w:val="•"/>
      <w:lvlJc w:val="left"/>
      <w:pPr>
        <w:ind w:left="1946" w:hanging="525"/>
      </w:pPr>
      <w:rPr>
        <w:rFonts w:hint="default"/>
      </w:rPr>
    </w:lvl>
    <w:lvl w:ilvl="6">
      <w:start w:val="0"/>
      <w:numFmt w:val="bullet"/>
      <w:lvlText w:val="•"/>
      <w:lvlJc w:val="left"/>
      <w:pPr>
        <w:ind w:left="2135" w:hanging="525"/>
      </w:pPr>
      <w:rPr>
        <w:rFonts w:hint="default"/>
      </w:rPr>
    </w:lvl>
    <w:lvl w:ilvl="7">
      <w:start w:val="0"/>
      <w:numFmt w:val="bullet"/>
      <w:lvlText w:val="•"/>
      <w:lvlJc w:val="left"/>
      <w:pPr>
        <w:ind w:left="2324" w:hanging="525"/>
      </w:pPr>
      <w:rPr>
        <w:rFonts w:hint="default"/>
      </w:rPr>
    </w:lvl>
    <w:lvl w:ilvl="8">
      <w:start w:val="0"/>
      <w:numFmt w:val="bullet"/>
      <w:lvlText w:val="•"/>
      <w:lvlJc w:val="left"/>
      <w:pPr>
        <w:ind w:left="2513" w:hanging="525"/>
      </w:pPr>
      <w:rPr>
        <w:rFonts w:hint="default"/>
      </w:rPr>
    </w:lvl>
  </w:abstractNum>
  <w:abstractNum w:abstractNumId="8">
    <w:multiLevelType w:val="hybridMultilevel"/>
    <w:lvl w:ilvl="0">
      <w:start w:val="9"/>
      <w:numFmt w:val="decimal"/>
      <w:lvlText w:val="%1"/>
      <w:lvlJc w:val="left"/>
      <w:pPr>
        <w:ind w:left="889" w:hanging="420"/>
        <w:jc w:val="left"/>
      </w:pPr>
      <w:rPr>
        <w:rFonts w:hint="default"/>
      </w:rPr>
    </w:lvl>
    <w:lvl w:ilvl="1">
      <w:start w:val="1"/>
      <w:numFmt w:val="decimal"/>
      <w:lvlText w:val="%1.%2"/>
      <w:lvlJc w:val="left"/>
      <w:pPr>
        <w:ind w:left="889" w:hanging="420"/>
        <w:jc w:val="left"/>
      </w:pPr>
      <w:rPr>
        <w:rFonts w:hint="default" w:ascii="宋体" w:hAnsi="宋体" w:eastAsia="宋体" w:cs="宋体"/>
        <w:w w:val="100"/>
        <w:sz w:val="21"/>
        <w:szCs w:val="21"/>
      </w:rPr>
    </w:lvl>
    <w:lvl w:ilvl="2">
      <w:start w:val="0"/>
      <w:numFmt w:val="bullet"/>
      <w:lvlText w:val="•"/>
      <w:lvlJc w:val="left"/>
      <w:pPr>
        <w:ind w:left="1282" w:hanging="420"/>
      </w:pPr>
      <w:rPr>
        <w:rFonts w:hint="default"/>
      </w:rPr>
    </w:lvl>
    <w:lvl w:ilvl="3">
      <w:start w:val="0"/>
      <w:numFmt w:val="bullet"/>
      <w:lvlText w:val="•"/>
      <w:lvlJc w:val="left"/>
      <w:pPr>
        <w:ind w:left="1483" w:hanging="420"/>
      </w:pPr>
      <w:rPr>
        <w:rFonts w:hint="default"/>
      </w:rPr>
    </w:lvl>
    <w:lvl w:ilvl="4">
      <w:start w:val="0"/>
      <w:numFmt w:val="bullet"/>
      <w:lvlText w:val="•"/>
      <w:lvlJc w:val="left"/>
      <w:pPr>
        <w:ind w:left="1684" w:hanging="420"/>
      </w:pPr>
      <w:rPr>
        <w:rFonts w:hint="default"/>
      </w:rPr>
    </w:lvl>
    <w:lvl w:ilvl="5">
      <w:start w:val="0"/>
      <w:numFmt w:val="bullet"/>
      <w:lvlText w:val="•"/>
      <w:lvlJc w:val="left"/>
      <w:pPr>
        <w:ind w:left="1886" w:hanging="420"/>
      </w:pPr>
      <w:rPr>
        <w:rFonts w:hint="default"/>
      </w:rPr>
    </w:lvl>
    <w:lvl w:ilvl="6">
      <w:start w:val="0"/>
      <w:numFmt w:val="bullet"/>
      <w:lvlText w:val="•"/>
      <w:lvlJc w:val="left"/>
      <w:pPr>
        <w:ind w:left="2087" w:hanging="420"/>
      </w:pPr>
      <w:rPr>
        <w:rFonts w:hint="default"/>
      </w:rPr>
    </w:lvl>
    <w:lvl w:ilvl="7">
      <w:start w:val="0"/>
      <w:numFmt w:val="bullet"/>
      <w:lvlText w:val="•"/>
      <w:lvlJc w:val="left"/>
      <w:pPr>
        <w:ind w:left="2288" w:hanging="420"/>
      </w:pPr>
      <w:rPr>
        <w:rFonts w:hint="default"/>
      </w:rPr>
    </w:lvl>
    <w:lvl w:ilvl="8">
      <w:start w:val="0"/>
      <w:numFmt w:val="bullet"/>
      <w:lvlText w:val="•"/>
      <w:lvlJc w:val="left"/>
      <w:pPr>
        <w:ind w:left="2489" w:hanging="420"/>
      </w:pPr>
      <w:rPr>
        <w:rFonts w:hint="default"/>
      </w:rPr>
    </w:lvl>
  </w:abstractNum>
  <w:abstractNum w:abstractNumId="7">
    <w:multiLevelType w:val="hybridMultilevel"/>
    <w:lvl w:ilvl="0">
      <w:start w:val="5"/>
      <w:numFmt w:val="decimal"/>
      <w:lvlText w:val="%1"/>
      <w:lvlJc w:val="left"/>
      <w:pPr>
        <w:ind w:left="888" w:hanging="420"/>
        <w:jc w:val="left"/>
      </w:pPr>
      <w:rPr>
        <w:rFonts w:hint="default"/>
      </w:rPr>
    </w:lvl>
    <w:lvl w:ilvl="1">
      <w:start w:val="1"/>
      <w:numFmt w:val="decimal"/>
      <w:lvlText w:val="%1.%2"/>
      <w:lvlJc w:val="left"/>
      <w:pPr>
        <w:ind w:left="888" w:hanging="420"/>
        <w:jc w:val="left"/>
      </w:pPr>
      <w:rPr>
        <w:rFonts w:hint="default" w:ascii="宋体" w:hAnsi="宋体" w:eastAsia="宋体" w:cs="宋体"/>
        <w:w w:val="100"/>
        <w:sz w:val="21"/>
        <w:szCs w:val="21"/>
      </w:rPr>
    </w:lvl>
    <w:lvl w:ilvl="2">
      <w:start w:val="0"/>
      <w:numFmt w:val="bullet"/>
      <w:lvlText w:val="•"/>
      <w:lvlJc w:val="left"/>
      <w:pPr>
        <w:ind w:left="1198" w:hanging="420"/>
      </w:pPr>
      <w:rPr>
        <w:rFonts w:hint="default"/>
      </w:rPr>
    </w:lvl>
    <w:lvl w:ilvl="3">
      <w:start w:val="0"/>
      <w:numFmt w:val="bullet"/>
      <w:lvlText w:val="•"/>
      <w:lvlJc w:val="left"/>
      <w:pPr>
        <w:ind w:left="1357" w:hanging="420"/>
      </w:pPr>
      <w:rPr>
        <w:rFonts w:hint="default"/>
      </w:rPr>
    </w:lvl>
    <w:lvl w:ilvl="4">
      <w:start w:val="0"/>
      <w:numFmt w:val="bullet"/>
      <w:lvlText w:val="•"/>
      <w:lvlJc w:val="left"/>
      <w:pPr>
        <w:ind w:left="1516" w:hanging="420"/>
      </w:pPr>
      <w:rPr>
        <w:rFonts w:hint="default"/>
      </w:rPr>
    </w:lvl>
    <w:lvl w:ilvl="5">
      <w:start w:val="0"/>
      <w:numFmt w:val="bullet"/>
      <w:lvlText w:val="•"/>
      <w:lvlJc w:val="left"/>
      <w:pPr>
        <w:ind w:left="1675" w:hanging="420"/>
      </w:pPr>
      <w:rPr>
        <w:rFonts w:hint="default"/>
      </w:rPr>
    </w:lvl>
    <w:lvl w:ilvl="6">
      <w:start w:val="0"/>
      <w:numFmt w:val="bullet"/>
      <w:lvlText w:val="•"/>
      <w:lvlJc w:val="left"/>
      <w:pPr>
        <w:ind w:left="1834" w:hanging="420"/>
      </w:pPr>
      <w:rPr>
        <w:rFonts w:hint="default"/>
      </w:rPr>
    </w:lvl>
    <w:lvl w:ilvl="7">
      <w:start w:val="0"/>
      <w:numFmt w:val="bullet"/>
      <w:lvlText w:val="•"/>
      <w:lvlJc w:val="left"/>
      <w:pPr>
        <w:ind w:left="1993" w:hanging="420"/>
      </w:pPr>
      <w:rPr>
        <w:rFonts w:hint="default"/>
      </w:rPr>
    </w:lvl>
    <w:lvl w:ilvl="8">
      <w:start w:val="0"/>
      <w:numFmt w:val="bullet"/>
      <w:lvlText w:val="•"/>
      <w:lvlJc w:val="left"/>
      <w:pPr>
        <w:ind w:left="2153" w:hanging="420"/>
      </w:pPr>
      <w:rPr>
        <w:rFonts w:hint="default"/>
      </w:rPr>
    </w:lvl>
  </w:abstractNum>
  <w:abstractNum w:abstractNumId="6">
    <w:multiLevelType w:val="hybridMultilevel"/>
    <w:lvl w:ilvl="0">
      <w:start w:val="4"/>
      <w:numFmt w:val="decimal"/>
      <w:lvlText w:val="%1"/>
      <w:lvlJc w:val="left"/>
      <w:pPr>
        <w:ind w:left="889" w:hanging="420"/>
        <w:jc w:val="left"/>
      </w:pPr>
      <w:rPr>
        <w:rFonts w:hint="default"/>
      </w:rPr>
    </w:lvl>
    <w:lvl w:ilvl="1">
      <w:start w:val="1"/>
      <w:numFmt w:val="decimal"/>
      <w:lvlText w:val="%1.%2"/>
      <w:lvlJc w:val="left"/>
      <w:pPr>
        <w:ind w:left="889" w:hanging="420"/>
        <w:jc w:val="left"/>
      </w:pPr>
      <w:rPr>
        <w:rFonts w:hint="default" w:ascii="宋体" w:hAnsi="宋体" w:eastAsia="宋体" w:cs="宋体"/>
        <w:spacing w:val="-2"/>
        <w:w w:val="100"/>
        <w:sz w:val="21"/>
        <w:szCs w:val="21"/>
      </w:rPr>
    </w:lvl>
    <w:lvl w:ilvl="2">
      <w:start w:val="0"/>
      <w:numFmt w:val="bullet"/>
      <w:lvlText w:val="•"/>
      <w:lvlJc w:val="left"/>
      <w:pPr>
        <w:ind w:left="1198" w:hanging="420"/>
      </w:pPr>
      <w:rPr>
        <w:rFonts w:hint="default"/>
      </w:rPr>
    </w:lvl>
    <w:lvl w:ilvl="3">
      <w:start w:val="0"/>
      <w:numFmt w:val="bullet"/>
      <w:lvlText w:val="•"/>
      <w:lvlJc w:val="left"/>
      <w:pPr>
        <w:ind w:left="1357" w:hanging="420"/>
      </w:pPr>
      <w:rPr>
        <w:rFonts w:hint="default"/>
      </w:rPr>
    </w:lvl>
    <w:lvl w:ilvl="4">
      <w:start w:val="0"/>
      <w:numFmt w:val="bullet"/>
      <w:lvlText w:val="•"/>
      <w:lvlJc w:val="left"/>
      <w:pPr>
        <w:ind w:left="1516" w:hanging="420"/>
      </w:pPr>
      <w:rPr>
        <w:rFonts w:hint="default"/>
      </w:rPr>
    </w:lvl>
    <w:lvl w:ilvl="5">
      <w:start w:val="0"/>
      <w:numFmt w:val="bullet"/>
      <w:lvlText w:val="•"/>
      <w:lvlJc w:val="left"/>
      <w:pPr>
        <w:ind w:left="1675" w:hanging="420"/>
      </w:pPr>
      <w:rPr>
        <w:rFonts w:hint="default"/>
      </w:rPr>
    </w:lvl>
    <w:lvl w:ilvl="6">
      <w:start w:val="0"/>
      <w:numFmt w:val="bullet"/>
      <w:lvlText w:val="•"/>
      <w:lvlJc w:val="left"/>
      <w:pPr>
        <w:ind w:left="1834" w:hanging="420"/>
      </w:pPr>
      <w:rPr>
        <w:rFonts w:hint="default"/>
      </w:rPr>
    </w:lvl>
    <w:lvl w:ilvl="7">
      <w:start w:val="0"/>
      <w:numFmt w:val="bullet"/>
      <w:lvlText w:val="•"/>
      <w:lvlJc w:val="left"/>
      <w:pPr>
        <w:ind w:left="1993" w:hanging="420"/>
      </w:pPr>
      <w:rPr>
        <w:rFonts w:hint="default"/>
      </w:rPr>
    </w:lvl>
    <w:lvl w:ilvl="8">
      <w:start w:val="0"/>
      <w:numFmt w:val="bullet"/>
      <w:lvlText w:val="•"/>
      <w:lvlJc w:val="left"/>
      <w:pPr>
        <w:ind w:left="2153" w:hanging="420"/>
      </w:pPr>
      <w:rPr>
        <w:rFonts w:hint="default"/>
      </w:rPr>
    </w:lvl>
  </w:abstractNum>
  <w:abstractNum w:abstractNumId="5">
    <w:multiLevelType w:val="hybridMultilevel"/>
    <w:lvl w:ilvl="0">
      <w:start w:val="3"/>
      <w:numFmt w:val="decimal"/>
      <w:lvlText w:val="%1"/>
      <w:lvlJc w:val="left"/>
      <w:pPr>
        <w:ind w:left="889" w:hanging="420"/>
        <w:jc w:val="left"/>
      </w:pPr>
      <w:rPr>
        <w:rFonts w:hint="default"/>
      </w:rPr>
    </w:lvl>
    <w:lvl w:ilvl="1">
      <w:start w:val="1"/>
      <w:numFmt w:val="decimal"/>
      <w:lvlText w:val="%1.%2"/>
      <w:lvlJc w:val="left"/>
      <w:pPr>
        <w:ind w:left="889" w:hanging="420"/>
        <w:jc w:val="left"/>
      </w:pPr>
      <w:rPr>
        <w:rFonts w:hint="default" w:ascii="宋体" w:hAnsi="宋体" w:eastAsia="宋体" w:cs="宋体"/>
        <w:spacing w:val="-2"/>
        <w:w w:val="100"/>
        <w:sz w:val="21"/>
        <w:szCs w:val="21"/>
      </w:rPr>
    </w:lvl>
    <w:lvl w:ilvl="2">
      <w:start w:val="0"/>
      <w:numFmt w:val="bullet"/>
      <w:lvlText w:val="•"/>
      <w:lvlJc w:val="left"/>
      <w:pPr>
        <w:ind w:left="1198" w:hanging="420"/>
      </w:pPr>
      <w:rPr>
        <w:rFonts w:hint="default"/>
      </w:rPr>
    </w:lvl>
    <w:lvl w:ilvl="3">
      <w:start w:val="0"/>
      <w:numFmt w:val="bullet"/>
      <w:lvlText w:val="•"/>
      <w:lvlJc w:val="left"/>
      <w:pPr>
        <w:ind w:left="1357" w:hanging="420"/>
      </w:pPr>
      <w:rPr>
        <w:rFonts w:hint="default"/>
      </w:rPr>
    </w:lvl>
    <w:lvl w:ilvl="4">
      <w:start w:val="0"/>
      <w:numFmt w:val="bullet"/>
      <w:lvlText w:val="•"/>
      <w:lvlJc w:val="left"/>
      <w:pPr>
        <w:ind w:left="1516" w:hanging="420"/>
      </w:pPr>
      <w:rPr>
        <w:rFonts w:hint="default"/>
      </w:rPr>
    </w:lvl>
    <w:lvl w:ilvl="5">
      <w:start w:val="0"/>
      <w:numFmt w:val="bullet"/>
      <w:lvlText w:val="•"/>
      <w:lvlJc w:val="left"/>
      <w:pPr>
        <w:ind w:left="1675" w:hanging="420"/>
      </w:pPr>
      <w:rPr>
        <w:rFonts w:hint="default"/>
      </w:rPr>
    </w:lvl>
    <w:lvl w:ilvl="6">
      <w:start w:val="0"/>
      <w:numFmt w:val="bullet"/>
      <w:lvlText w:val="•"/>
      <w:lvlJc w:val="left"/>
      <w:pPr>
        <w:ind w:left="1834" w:hanging="420"/>
      </w:pPr>
      <w:rPr>
        <w:rFonts w:hint="default"/>
      </w:rPr>
    </w:lvl>
    <w:lvl w:ilvl="7">
      <w:start w:val="0"/>
      <w:numFmt w:val="bullet"/>
      <w:lvlText w:val="•"/>
      <w:lvlJc w:val="left"/>
      <w:pPr>
        <w:ind w:left="1993" w:hanging="420"/>
      </w:pPr>
      <w:rPr>
        <w:rFonts w:hint="default"/>
      </w:rPr>
    </w:lvl>
    <w:lvl w:ilvl="8">
      <w:start w:val="0"/>
      <w:numFmt w:val="bullet"/>
      <w:lvlText w:val="•"/>
      <w:lvlJc w:val="left"/>
      <w:pPr>
        <w:ind w:left="2153" w:hanging="420"/>
      </w:pPr>
      <w:rPr>
        <w:rFonts w:hint="default"/>
      </w:rPr>
    </w:lvl>
  </w:abstractNum>
  <w:abstractNum w:abstractNumId="4">
    <w:multiLevelType w:val="hybridMultilevel"/>
    <w:lvl w:ilvl="0">
      <w:start w:val="2"/>
      <w:numFmt w:val="decimal"/>
      <w:lvlText w:val="%1"/>
      <w:lvlJc w:val="left"/>
      <w:pPr>
        <w:ind w:left="889" w:hanging="420"/>
        <w:jc w:val="left"/>
      </w:pPr>
      <w:rPr>
        <w:rFonts w:hint="default"/>
      </w:rPr>
    </w:lvl>
    <w:lvl w:ilvl="1">
      <w:start w:val="4"/>
      <w:numFmt w:val="decimal"/>
      <w:lvlText w:val="%1.%2"/>
      <w:lvlJc w:val="left"/>
      <w:pPr>
        <w:ind w:left="889" w:hanging="420"/>
        <w:jc w:val="left"/>
      </w:pPr>
      <w:rPr>
        <w:rFonts w:hint="default" w:ascii="宋体" w:hAnsi="宋体" w:eastAsia="宋体" w:cs="宋体"/>
        <w:spacing w:val="-2"/>
        <w:w w:val="100"/>
        <w:sz w:val="21"/>
        <w:szCs w:val="21"/>
      </w:rPr>
    </w:lvl>
    <w:lvl w:ilvl="2">
      <w:start w:val="0"/>
      <w:numFmt w:val="bullet"/>
      <w:lvlText w:val="•"/>
      <w:lvlJc w:val="left"/>
      <w:pPr>
        <w:ind w:left="1198" w:hanging="420"/>
      </w:pPr>
      <w:rPr>
        <w:rFonts w:hint="default"/>
      </w:rPr>
    </w:lvl>
    <w:lvl w:ilvl="3">
      <w:start w:val="0"/>
      <w:numFmt w:val="bullet"/>
      <w:lvlText w:val="•"/>
      <w:lvlJc w:val="left"/>
      <w:pPr>
        <w:ind w:left="1357" w:hanging="420"/>
      </w:pPr>
      <w:rPr>
        <w:rFonts w:hint="default"/>
      </w:rPr>
    </w:lvl>
    <w:lvl w:ilvl="4">
      <w:start w:val="0"/>
      <w:numFmt w:val="bullet"/>
      <w:lvlText w:val="•"/>
      <w:lvlJc w:val="left"/>
      <w:pPr>
        <w:ind w:left="1516" w:hanging="420"/>
      </w:pPr>
      <w:rPr>
        <w:rFonts w:hint="default"/>
      </w:rPr>
    </w:lvl>
    <w:lvl w:ilvl="5">
      <w:start w:val="0"/>
      <w:numFmt w:val="bullet"/>
      <w:lvlText w:val="•"/>
      <w:lvlJc w:val="left"/>
      <w:pPr>
        <w:ind w:left="1675" w:hanging="420"/>
      </w:pPr>
      <w:rPr>
        <w:rFonts w:hint="default"/>
      </w:rPr>
    </w:lvl>
    <w:lvl w:ilvl="6">
      <w:start w:val="0"/>
      <w:numFmt w:val="bullet"/>
      <w:lvlText w:val="•"/>
      <w:lvlJc w:val="left"/>
      <w:pPr>
        <w:ind w:left="1834" w:hanging="420"/>
      </w:pPr>
      <w:rPr>
        <w:rFonts w:hint="default"/>
      </w:rPr>
    </w:lvl>
    <w:lvl w:ilvl="7">
      <w:start w:val="0"/>
      <w:numFmt w:val="bullet"/>
      <w:lvlText w:val="•"/>
      <w:lvlJc w:val="left"/>
      <w:pPr>
        <w:ind w:left="1993" w:hanging="420"/>
      </w:pPr>
      <w:rPr>
        <w:rFonts w:hint="default"/>
      </w:rPr>
    </w:lvl>
    <w:lvl w:ilvl="8">
      <w:start w:val="0"/>
      <w:numFmt w:val="bullet"/>
      <w:lvlText w:val="•"/>
      <w:lvlJc w:val="left"/>
      <w:pPr>
        <w:ind w:left="2153" w:hanging="420"/>
      </w:pPr>
      <w:rPr>
        <w:rFonts w:hint="default"/>
      </w:rPr>
    </w:lvl>
  </w:abstractNum>
  <w:abstractNum w:abstractNumId="3">
    <w:multiLevelType w:val="hybridMultilevel"/>
    <w:lvl w:ilvl="0">
      <w:start w:val="11"/>
      <w:numFmt w:val="decimal"/>
      <w:lvlText w:val="%1"/>
      <w:lvlJc w:val="left"/>
      <w:pPr>
        <w:ind w:left="783" w:hanging="525"/>
        <w:jc w:val="left"/>
      </w:pPr>
      <w:rPr>
        <w:rFonts w:hint="default"/>
      </w:rPr>
    </w:lvl>
    <w:lvl w:ilvl="1">
      <w:start w:val="6"/>
      <w:numFmt w:val="decimal"/>
      <w:lvlText w:val="%1.%2"/>
      <w:lvlJc w:val="left"/>
      <w:pPr>
        <w:ind w:left="783" w:hanging="525"/>
        <w:jc w:val="left"/>
      </w:pPr>
      <w:rPr>
        <w:rFonts w:hint="default" w:ascii="宋体" w:hAnsi="宋体" w:eastAsia="宋体" w:cs="宋体"/>
        <w:w w:val="100"/>
        <w:sz w:val="21"/>
        <w:szCs w:val="21"/>
      </w:rPr>
    </w:lvl>
    <w:lvl w:ilvl="2">
      <w:start w:val="0"/>
      <w:numFmt w:val="bullet"/>
      <w:lvlText w:val="•"/>
      <w:lvlJc w:val="left"/>
      <w:pPr>
        <w:ind w:left="1471" w:hanging="525"/>
      </w:pPr>
      <w:rPr>
        <w:rFonts w:hint="default"/>
      </w:rPr>
    </w:lvl>
    <w:lvl w:ilvl="3">
      <w:start w:val="0"/>
      <w:numFmt w:val="bullet"/>
      <w:lvlText w:val="•"/>
      <w:lvlJc w:val="left"/>
      <w:pPr>
        <w:ind w:left="1817" w:hanging="525"/>
      </w:pPr>
      <w:rPr>
        <w:rFonts w:hint="default"/>
      </w:rPr>
    </w:lvl>
    <w:lvl w:ilvl="4">
      <w:start w:val="0"/>
      <w:numFmt w:val="bullet"/>
      <w:lvlText w:val="•"/>
      <w:lvlJc w:val="left"/>
      <w:pPr>
        <w:ind w:left="2163" w:hanging="525"/>
      </w:pPr>
      <w:rPr>
        <w:rFonts w:hint="default"/>
      </w:rPr>
    </w:lvl>
    <w:lvl w:ilvl="5">
      <w:start w:val="0"/>
      <w:numFmt w:val="bullet"/>
      <w:lvlText w:val="•"/>
      <w:lvlJc w:val="left"/>
      <w:pPr>
        <w:ind w:left="2508" w:hanging="525"/>
      </w:pPr>
      <w:rPr>
        <w:rFonts w:hint="default"/>
      </w:rPr>
    </w:lvl>
    <w:lvl w:ilvl="6">
      <w:start w:val="0"/>
      <w:numFmt w:val="bullet"/>
      <w:lvlText w:val="•"/>
      <w:lvlJc w:val="left"/>
      <w:pPr>
        <w:ind w:left="2854" w:hanging="525"/>
      </w:pPr>
      <w:rPr>
        <w:rFonts w:hint="default"/>
      </w:rPr>
    </w:lvl>
    <w:lvl w:ilvl="7">
      <w:start w:val="0"/>
      <w:numFmt w:val="bullet"/>
      <w:lvlText w:val="•"/>
      <w:lvlJc w:val="left"/>
      <w:pPr>
        <w:ind w:left="3200" w:hanging="525"/>
      </w:pPr>
      <w:rPr>
        <w:rFonts w:hint="default"/>
      </w:rPr>
    </w:lvl>
    <w:lvl w:ilvl="8">
      <w:start w:val="0"/>
      <w:numFmt w:val="bullet"/>
      <w:lvlText w:val="•"/>
      <w:lvlJc w:val="left"/>
      <w:pPr>
        <w:ind w:left="3546" w:hanging="525"/>
      </w:pPr>
      <w:rPr>
        <w:rFonts w:hint="default"/>
      </w:rPr>
    </w:lvl>
  </w:abstractNum>
  <w:abstractNum w:abstractNumId="2">
    <w:multiLevelType w:val="hybridMultilevel"/>
    <w:lvl w:ilvl="0">
      <w:start w:val="7"/>
      <w:numFmt w:val="decimal"/>
      <w:lvlText w:val="%1"/>
      <w:lvlJc w:val="left"/>
      <w:pPr>
        <w:ind w:left="556" w:hanging="420"/>
        <w:jc w:val="left"/>
      </w:pPr>
      <w:rPr>
        <w:rFonts w:hint="default"/>
      </w:rPr>
    </w:lvl>
    <w:lvl w:ilvl="1">
      <w:start w:val="2"/>
      <w:numFmt w:val="decimal"/>
      <w:lvlText w:val="%1.%2"/>
      <w:lvlJc w:val="left"/>
      <w:pPr>
        <w:ind w:left="556" w:hanging="420"/>
        <w:jc w:val="left"/>
      </w:pPr>
      <w:rPr>
        <w:rFonts w:hint="default" w:ascii="宋体" w:hAnsi="宋体" w:eastAsia="宋体" w:cs="宋体"/>
        <w:w w:val="100"/>
        <w:sz w:val="21"/>
        <w:szCs w:val="21"/>
      </w:rPr>
    </w:lvl>
    <w:lvl w:ilvl="2">
      <w:start w:val="0"/>
      <w:numFmt w:val="bullet"/>
      <w:lvlText w:val="•"/>
      <w:lvlJc w:val="left"/>
      <w:pPr>
        <w:ind w:left="811" w:hanging="420"/>
      </w:pPr>
      <w:rPr>
        <w:rFonts w:hint="default"/>
      </w:rPr>
    </w:lvl>
    <w:lvl w:ilvl="3">
      <w:start w:val="0"/>
      <w:numFmt w:val="bullet"/>
      <w:lvlText w:val="•"/>
      <w:lvlJc w:val="left"/>
      <w:pPr>
        <w:ind w:left="936" w:hanging="420"/>
      </w:pPr>
      <w:rPr>
        <w:rFonts w:hint="default"/>
      </w:rPr>
    </w:lvl>
    <w:lvl w:ilvl="4">
      <w:start w:val="0"/>
      <w:numFmt w:val="bullet"/>
      <w:lvlText w:val="•"/>
      <w:lvlJc w:val="left"/>
      <w:pPr>
        <w:ind w:left="1062" w:hanging="420"/>
      </w:pPr>
      <w:rPr>
        <w:rFonts w:hint="default"/>
      </w:rPr>
    </w:lvl>
    <w:lvl w:ilvl="5">
      <w:start w:val="0"/>
      <w:numFmt w:val="bullet"/>
      <w:lvlText w:val="•"/>
      <w:lvlJc w:val="left"/>
      <w:pPr>
        <w:ind w:left="1188" w:hanging="420"/>
      </w:pPr>
      <w:rPr>
        <w:rFonts w:hint="default"/>
      </w:rPr>
    </w:lvl>
    <w:lvl w:ilvl="6">
      <w:start w:val="0"/>
      <w:numFmt w:val="bullet"/>
      <w:lvlText w:val="•"/>
      <w:lvlJc w:val="left"/>
      <w:pPr>
        <w:ind w:left="1313" w:hanging="420"/>
      </w:pPr>
      <w:rPr>
        <w:rFonts w:hint="default"/>
      </w:rPr>
    </w:lvl>
    <w:lvl w:ilvl="7">
      <w:start w:val="0"/>
      <w:numFmt w:val="bullet"/>
      <w:lvlText w:val="•"/>
      <w:lvlJc w:val="left"/>
      <w:pPr>
        <w:ind w:left="1439" w:hanging="420"/>
      </w:pPr>
      <w:rPr>
        <w:rFonts w:hint="default"/>
      </w:rPr>
    </w:lvl>
    <w:lvl w:ilvl="8">
      <w:start w:val="0"/>
      <w:numFmt w:val="bullet"/>
      <w:lvlText w:val="•"/>
      <w:lvlJc w:val="left"/>
      <w:pPr>
        <w:ind w:left="1565" w:hanging="420"/>
      </w:pPr>
      <w:rPr>
        <w:rFonts w:hint="default"/>
      </w:rPr>
    </w:lvl>
  </w:abstractNum>
  <w:abstractNum w:abstractNumId="1">
    <w:multiLevelType w:val="hybridMultilevel"/>
    <w:lvl w:ilvl="0">
      <w:start w:val="2"/>
      <w:numFmt w:val="decimal"/>
      <w:lvlText w:val="%1"/>
      <w:lvlJc w:val="left"/>
      <w:pPr>
        <w:ind w:left="889" w:hanging="420"/>
        <w:jc w:val="left"/>
      </w:pPr>
      <w:rPr>
        <w:rFonts w:hint="default"/>
      </w:rPr>
    </w:lvl>
    <w:lvl w:ilvl="1">
      <w:start w:val="1"/>
      <w:numFmt w:val="decimal"/>
      <w:lvlText w:val="%1.%2"/>
      <w:lvlJc w:val="left"/>
      <w:pPr>
        <w:ind w:left="889" w:hanging="420"/>
        <w:jc w:val="left"/>
      </w:pPr>
      <w:rPr>
        <w:rFonts w:hint="default" w:ascii="宋体" w:hAnsi="宋体" w:eastAsia="宋体" w:cs="宋体"/>
        <w:spacing w:val="-2"/>
        <w:w w:val="100"/>
        <w:sz w:val="21"/>
        <w:szCs w:val="21"/>
      </w:rPr>
    </w:lvl>
    <w:lvl w:ilvl="2">
      <w:start w:val="0"/>
      <w:numFmt w:val="bullet"/>
      <w:lvlText w:val="•"/>
      <w:lvlJc w:val="left"/>
      <w:pPr>
        <w:ind w:left="1343" w:hanging="420"/>
      </w:pPr>
      <w:rPr>
        <w:rFonts w:hint="default"/>
      </w:rPr>
    </w:lvl>
    <w:lvl w:ilvl="3">
      <w:start w:val="0"/>
      <w:numFmt w:val="bullet"/>
      <w:lvlText w:val="•"/>
      <w:lvlJc w:val="left"/>
      <w:pPr>
        <w:ind w:left="1575" w:hanging="420"/>
      </w:pPr>
      <w:rPr>
        <w:rFonts w:hint="default"/>
      </w:rPr>
    </w:lvl>
    <w:lvl w:ilvl="4">
      <w:start w:val="0"/>
      <w:numFmt w:val="bullet"/>
      <w:lvlText w:val="•"/>
      <w:lvlJc w:val="left"/>
      <w:pPr>
        <w:ind w:left="1807" w:hanging="420"/>
      </w:pPr>
      <w:rPr>
        <w:rFonts w:hint="default"/>
      </w:rPr>
    </w:lvl>
    <w:lvl w:ilvl="5">
      <w:start w:val="0"/>
      <w:numFmt w:val="bullet"/>
      <w:lvlText w:val="•"/>
      <w:lvlJc w:val="left"/>
      <w:pPr>
        <w:ind w:left="2039" w:hanging="420"/>
      </w:pPr>
      <w:rPr>
        <w:rFonts w:hint="default"/>
      </w:rPr>
    </w:lvl>
    <w:lvl w:ilvl="6">
      <w:start w:val="0"/>
      <w:numFmt w:val="bullet"/>
      <w:lvlText w:val="•"/>
      <w:lvlJc w:val="left"/>
      <w:pPr>
        <w:ind w:left="2271" w:hanging="420"/>
      </w:pPr>
      <w:rPr>
        <w:rFonts w:hint="default"/>
      </w:rPr>
    </w:lvl>
    <w:lvl w:ilvl="7">
      <w:start w:val="0"/>
      <w:numFmt w:val="bullet"/>
      <w:lvlText w:val="•"/>
      <w:lvlJc w:val="left"/>
      <w:pPr>
        <w:ind w:left="2503" w:hanging="420"/>
      </w:pPr>
      <w:rPr>
        <w:rFonts w:hint="default"/>
      </w:rPr>
    </w:lvl>
    <w:lvl w:ilvl="8">
      <w:start w:val="0"/>
      <w:numFmt w:val="bullet"/>
      <w:lvlText w:val="•"/>
      <w:lvlJc w:val="left"/>
      <w:pPr>
        <w:ind w:left="2735" w:hanging="420"/>
      </w:pPr>
      <w:rPr>
        <w:rFonts w:hint="default"/>
      </w:rPr>
    </w:lvl>
  </w:abstractNum>
  <w:abstractNum w:abstractNumId="0">
    <w:multiLevelType w:val="hybridMultilevel"/>
    <w:lvl w:ilvl="0">
      <w:start w:val="0"/>
      <w:numFmt w:val="bullet"/>
      <w:lvlText w:val=""/>
      <w:lvlJc w:val="left"/>
      <w:pPr>
        <w:ind w:left="1669" w:hanging="420"/>
      </w:pPr>
      <w:rPr>
        <w:rFonts w:hint="default" w:ascii="Wingdings" w:hAnsi="Wingdings" w:eastAsia="Wingdings" w:cs="Wingdings"/>
        <w:w w:val="100"/>
        <w:sz w:val="21"/>
        <w:szCs w:val="21"/>
      </w:rPr>
    </w:lvl>
    <w:lvl w:ilvl="1">
      <w:start w:val="0"/>
      <w:numFmt w:val="bullet"/>
      <w:lvlText w:val="•"/>
      <w:lvlJc w:val="left"/>
      <w:pPr>
        <w:ind w:left="2532" w:hanging="420"/>
      </w:pPr>
      <w:rPr>
        <w:rFonts w:hint="default"/>
      </w:rPr>
    </w:lvl>
    <w:lvl w:ilvl="2">
      <w:start w:val="0"/>
      <w:numFmt w:val="bullet"/>
      <w:lvlText w:val="•"/>
      <w:lvlJc w:val="left"/>
      <w:pPr>
        <w:ind w:left="3404" w:hanging="420"/>
      </w:pPr>
      <w:rPr>
        <w:rFonts w:hint="default"/>
      </w:rPr>
    </w:lvl>
    <w:lvl w:ilvl="3">
      <w:start w:val="0"/>
      <w:numFmt w:val="bullet"/>
      <w:lvlText w:val="•"/>
      <w:lvlJc w:val="left"/>
      <w:pPr>
        <w:ind w:left="4277" w:hanging="420"/>
      </w:pPr>
      <w:rPr>
        <w:rFonts w:hint="default"/>
      </w:rPr>
    </w:lvl>
    <w:lvl w:ilvl="4">
      <w:start w:val="0"/>
      <w:numFmt w:val="bullet"/>
      <w:lvlText w:val="•"/>
      <w:lvlJc w:val="left"/>
      <w:pPr>
        <w:ind w:left="5149"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4" w:hanging="420"/>
      </w:pPr>
      <w:rPr>
        <w:rFonts w:hint="default"/>
      </w:rPr>
    </w:lvl>
    <w:lvl w:ilvl="7">
      <w:start w:val="0"/>
      <w:numFmt w:val="bullet"/>
      <w:lvlText w:val="•"/>
      <w:lvlJc w:val="left"/>
      <w:pPr>
        <w:ind w:left="7767" w:hanging="420"/>
      </w:pPr>
      <w:rPr>
        <w:rFonts w:hint="default"/>
      </w:rPr>
    </w:lvl>
    <w:lvl w:ilvl="8">
      <w:start w:val="0"/>
      <w:numFmt w:val="bullet"/>
      <w:lvlText w:val="•"/>
      <w:lvlJc w:val="left"/>
      <w:pPr>
        <w:ind w:left="8639" w:hanging="42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207"/>
      <w:outlineLvl w:val="1"/>
    </w:pPr>
    <w:rPr>
      <w:rFonts w:ascii="宋体" w:hAnsi="宋体" w:eastAsia="宋体" w:cs="宋体"/>
      <w:b/>
      <w:bCs/>
      <w:sz w:val="24"/>
      <w:szCs w:val="24"/>
    </w:rPr>
  </w:style>
  <w:style w:styleId="Heading2" w:type="paragraph">
    <w:name w:val="Heading 2"/>
    <w:basedOn w:val="Normal"/>
    <w:uiPriority w:val="1"/>
    <w:qFormat/>
    <w:pPr>
      <w:spacing w:before="101"/>
      <w:ind w:left="2938"/>
      <w:outlineLvl w:val="2"/>
    </w:pPr>
    <w:rPr>
      <w:rFonts w:ascii="宋体" w:hAnsi="宋体" w:eastAsia="宋体" w:cs="宋体"/>
      <w:b/>
      <w:bCs/>
      <w:sz w:val="21"/>
      <w:szCs w:val="21"/>
    </w:rPr>
  </w:style>
  <w:style w:styleId="ListParagraph" w:type="paragraph">
    <w:name w:val="List Paragraph"/>
    <w:basedOn w:val="Normal"/>
    <w:uiPriority w:val="1"/>
    <w:qFormat/>
    <w:pPr>
      <w:ind w:left="889"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zhangjie002</dc:creator>
  <dc:title>&lt;433A5C55736572735C7A68616E676A69653030325C4465736B746F705CBAE3CCA941C9FDBCB65CD0C5CCA9BAE3CCA9D6D8B4F3BCB2B2A1B1A3CFD541BFEEA3A8D7F0CFEDB0E6A3A9CCF5BFEE2DCEDEB1EABCC72E646F63&gt;</dc:title>
  <dcterms:created xsi:type="dcterms:W3CDTF">2018-10-20T04:17:09Z</dcterms:created>
  <dcterms:modified xsi:type="dcterms:W3CDTF">2018-10-20T04:17:09Z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2016-11-24T00:00:00Z</vt:filetime>
  </property>
  <property fmtid="{D5CDD505-2E9C-101B-9397-08002B2CF9AE}" pid="3" name="Creator">
    <vt:lpwstr>PScript5.dll Version 5.2.2</vt:lpwstr>
  </property>
  <property fmtid="{D5CDD505-2E9C-101B-9397-08002B2CF9AE}" pid="4" name="LastSaved">
    <vt:filetime>2018-10-19T00:00:00Z</vt:filetime>
  </property>
</Properties>
</file>