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6"/>
        <w:ind w:left="8460" w:right="382" w:firstLine="31"/>
        <w:jc w:val="right"/>
        <w:rPr>
          <w:b/>
          <w:sz w:val="18"/>
        </w:rPr>
      </w:pPr>
      <w:r>
        <w:rPr/>
        <w:drawing>
          <wp:anchor distT="0" distB="0" distL="0" distR="0" allowOverlap="1" layoutInCell="1" locked="0" behindDoc="0" simplePos="0" relativeHeight="1072">
            <wp:simplePos x="0" y="0"/>
            <wp:positionH relativeFrom="page">
              <wp:posOffset>6209537</wp:posOffset>
            </wp:positionH>
            <wp:positionV relativeFrom="paragraph">
              <wp:posOffset>445918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b/>
          <w:w w:val="95"/>
          <w:sz w:val="18"/>
        </w:rPr>
        <w:t>中荷人寿</w:t>
      </w:r>
      <w:r>
        <w:rPr>
          <w:rFonts w:ascii="Times New Roman" w:eastAsia="Times New Roman"/>
          <w:b/>
          <w:w w:val="95"/>
          <w:sz w:val="18"/>
        </w:rPr>
        <w:t>[2012] </w:t>
      </w:r>
      <w:r>
        <w:rPr>
          <w:b/>
          <w:sz w:val="18"/>
        </w:rPr>
        <w:t>疾病保险 </w:t>
      </w:r>
      <w:r>
        <w:rPr>
          <w:rFonts w:ascii="Times New Roman" w:eastAsia="Times New Roman"/>
          <w:b/>
          <w:sz w:val="18"/>
        </w:rPr>
        <w:t>003 </w:t>
      </w:r>
      <w:r>
        <w:rPr>
          <w:b/>
          <w:sz w:val="18"/>
        </w:rPr>
        <w:t>号</w:t>
      </w:r>
    </w:p>
    <w:p>
      <w:pPr>
        <w:pStyle w:val="BodyText"/>
        <w:rPr>
          <w:b/>
          <w:sz w:val="20"/>
        </w:rPr>
      </w:pPr>
    </w:p>
    <w:p>
      <w:pPr>
        <w:pStyle w:val="BodyText"/>
        <w:spacing w:before="6"/>
        <w:rPr>
          <w:b/>
          <w:sz w:val="28"/>
        </w:rPr>
      </w:pPr>
    </w:p>
    <w:p>
      <w:pPr>
        <w:spacing w:after="0"/>
        <w:rPr>
          <w:sz w:val="28"/>
        </w:rPr>
        <w:sectPr>
          <w:type w:val="continuous"/>
          <w:pgSz w:w="11910" w:h="16840"/>
          <w:pgMar w:top="140" w:bottom="280" w:left="1200" w:right="540"/>
        </w:sectPr>
      </w:pPr>
    </w:p>
    <w:p>
      <w:pPr>
        <w:pStyle w:val="Heading1"/>
        <w:spacing w:line="507" w:lineRule="exact"/>
        <w:ind w:left="2986"/>
      </w:pPr>
      <w:r>
        <w:rPr/>
        <w:t>中荷人寿保险有限公司</w:t>
      </w:r>
    </w:p>
    <w:p>
      <w:pPr>
        <w:spacing w:before="73"/>
        <w:ind w:left="2937" w:right="0" w:firstLine="0"/>
        <w:jc w:val="left"/>
        <w:rPr>
          <w:rFonts w:ascii="Courier New"/>
          <w:b/>
          <w:sz w:val="18"/>
        </w:rPr>
      </w:pPr>
      <w:bookmarkStart w:name="ING CAPITAL LIFE INSURANCE COMPANY LIMIT" w:id="1"/>
      <w:bookmarkEnd w:id="1"/>
      <w:r>
        <w:rPr/>
      </w:r>
      <w:r>
        <w:rPr>
          <w:rFonts w:ascii="Courier New"/>
          <w:b/>
          <w:w w:val="90"/>
          <w:sz w:val="18"/>
        </w:rPr>
        <w:t>ING</w:t>
      </w:r>
      <w:r>
        <w:rPr>
          <w:rFonts w:ascii="Courier New"/>
          <w:b/>
          <w:spacing w:val="-58"/>
          <w:w w:val="90"/>
          <w:sz w:val="18"/>
        </w:rPr>
        <w:t> </w:t>
      </w:r>
      <w:r>
        <w:rPr>
          <w:rFonts w:ascii="Courier New"/>
          <w:b/>
          <w:w w:val="90"/>
          <w:sz w:val="18"/>
        </w:rPr>
        <w:t>CAPITAL</w:t>
      </w:r>
      <w:r>
        <w:rPr>
          <w:rFonts w:ascii="Courier New"/>
          <w:b/>
          <w:spacing w:val="-58"/>
          <w:w w:val="90"/>
          <w:sz w:val="18"/>
        </w:rPr>
        <w:t> </w:t>
      </w:r>
      <w:r>
        <w:rPr>
          <w:rFonts w:ascii="Courier New"/>
          <w:b/>
          <w:w w:val="90"/>
          <w:sz w:val="18"/>
        </w:rPr>
        <w:t>LIFE</w:t>
      </w:r>
      <w:r>
        <w:rPr>
          <w:rFonts w:ascii="Courier New"/>
          <w:b/>
          <w:spacing w:val="-58"/>
          <w:w w:val="90"/>
          <w:sz w:val="18"/>
        </w:rPr>
        <w:t> </w:t>
      </w:r>
      <w:r>
        <w:rPr>
          <w:rFonts w:ascii="Courier New"/>
          <w:b/>
          <w:w w:val="90"/>
          <w:sz w:val="18"/>
        </w:rPr>
        <w:t>INSURANCE</w:t>
      </w:r>
      <w:r>
        <w:rPr>
          <w:rFonts w:ascii="Courier New"/>
          <w:b/>
          <w:spacing w:val="-58"/>
          <w:w w:val="90"/>
          <w:sz w:val="18"/>
        </w:rPr>
        <w:t> </w:t>
      </w:r>
      <w:r>
        <w:rPr>
          <w:rFonts w:ascii="Courier New"/>
          <w:b/>
          <w:w w:val="90"/>
          <w:sz w:val="18"/>
        </w:rPr>
        <w:t>COMPANY</w:t>
      </w:r>
      <w:r>
        <w:rPr>
          <w:rFonts w:ascii="Courier New"/>
          <w:b/>
          <w:spacing w:val="-58"/>
          <w:w w:val="90"/>
          <w:sz w:val="18"/>
        </w:rPr>
        <w:t> </w:t>
      </w:r>
      <w:r>
        <w:rPr>
          <w:rFonts w:ascii="Courier New"/>
          <w:b/>
          <w:w w:val="90"/>
          <w:sz w:val="18"/>
        </w:rPr>
        <w:t>LIMITED</w:t>
      </w:r>
    </w:p>
    <w:p>
      <w:pPr>
        <w:pStyle w:val="BodyText"/>
        <w:rPr>
          <w:rFonts w:ascii="Courier New"/>
          <w:b/>
          <w:sz w:val="18"/>
        </w:rPr>
      </w:pPr>
      <w:r>
        <w:rPr/>
        <w:br w:type="column"/>
      </w:r>
      <w:r>
        <w:rPr>
          <w:rFonts w:ascii="Courier New"/>
          <w:b/>
          <w:sz w:val="18"/>
        </w:rPr>
      </w:r>
    </w:p>
    <w:p>
      <w:pPr>
        <w:pStyle w:val="BodyText"/>
        <w:rPr>
          <w:rFonts w:ascii="Courier New"/>
          <w:b/>
          <w:sz w:val="18"/>
        </w:rPr>
      </w:pPr>
    </w:p>
    <w:p>
      <w:pPr>
        <w:pStyle w:val="BodyText"/>
        <w:spacing w:before="2"/>
        <w:rPr>
          <w:rFonts w:ascii="Courier New"/>
          <w:b/>
          <w:sz w:val="19"/>
        </w:rPr>
      </w:pPr>
    </w:p>
    <w:p>
      <w:pPr>
        <w:spacing w:before="0"/>
        <w:ind w:left="1455" w:right="0" w:firstLine="0"/>
        <w:jc w:val="left"/>
        <w:rPr>
          <w:b/>
          <w:sz w:val="18"/>
        </w:rPr>
      </w:pPr>
      <w:r>
        <w:rPr>
          <w:b/>
          <w:w w:val="95"/>
          <w:sz w:val="18"/>
        </w:rPr>
        <w:t>请扫描以查询验证条款</w:t>
      </w:r>
    </w:p>
    <w:p>
      <w:pPr>
        <w:spacing w:after="0"/>
        <w:jc w:val="left"/>
        <w:rPr>
          <w:sz w:val="18"/>
        </w:rPr>
        <w:sectPr>
          <w:type w:val="continuous"/>
          <w:pgSz w:w="11910" w:h="16840"/>
          <w:pgMar w:top="140" w:bottom="280" w:left="1200" w:right="540"/>
          <w:cols w:num="2" w:equalWidth="0">
            <w:col w:w="6750" w:space="40"/>
            <w:col w:w="3380"/>
          </w:cols>
        </w:sectPr>
      </w:pPr>
    </w:p>
    <w:p>
      <w:pPr>
        <w:pStyle w:val="BodyText"/>
        <w:spacing w:before="10"/>
        <w:rPr>
          <w:b/>
          <w:sz w:val="17"/>
        </w:rPr>
      </w:pPr>
    </w:p>
    <w:p>
      <w:pPr>
        <w:pStyle w:val="Heading1"/>
        <w:spacing w:line="507" w:lineRule="exact"/>
        <w:ind w:left="1386"/>
      </w:pPr>
      <w:r>
        <w:rPr/>
        <w:t>中荷附加一生关爱定期重大疾病保险 D 款合同条款</w:t>
      </w:r>
    </w:p>
    <w:p>
      <w:pPr>
        <w:pStyle w:val="BodyText"/>
        <w:spacing w:before="6"/>
        <w:rPr>
          <w:rFonts w:ascii="微软雅黑"/>
          <w:b/>
          <w:sz w:val="17"/>
        </w:rPr>
      </w:pPr>
      <w:r>
        <w:rPr/>
        <w:pict>
          <v:line style="position:absolute;mso-position-horizontal-relative:page;mso-position-vertical-relative:paragraph;z-index:0;mso-wrap-distance-left:0;mso-wrap-distance-right:0" from="75.720001pt,17.352800pt" to="537.720001pt,17.352800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2"/>
        <w:rPr>
          <w:rFonts w:ascii="微软雅黑"/>
          <w:b/>
          <w:sz w:val="18"/>
        </w:rPr>
      </w:pPr>
      <w:r>
        <w:rPr/>
        <w:pict>
          <v:shapetype id="_x0000_t202" o:spt="202" coordsize="21600,21600" path="m,l,21600r21600,l21600,xe">
            <v:stroke joinstyle="miter"/>
            <v:path gradientshapeok="t" o:connecttype="rect"/>
          </v:shapetype>
          <v:shape style="position:absolute;margin-left:243.720001pt;margin-top:18.187725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0"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0"/>
        <w:rPr>
          <w:rFonts w:ascii="微软雅黑"/>
          <w:b/>
        </w:rPr>
      </w:pPr>
    </w:p>
    <w:p>
      <w:pPr>
        <w:pStyle w:val="Heading2"/>
        <w:ind w:left="104"/>
      </w:pPr>
      <w:r>
        <w:rPr>
          <w:w w:val="95"/>
        </w:rPr>
        <w:t>本阅读提示是为了帮助投保人、被保险人和受益人更好理解条款，对本合同内容的解释以条款正文为准。</w:t>
      </w:r>
    </w:p>
    <w:p>
      <w:pPr>
        <w:pStyle w:val="BodyText"/>
        <w:spacing w:before="10"/>
        <w:rPr>
          <w:b/>
          <w:sz w:val="24"/>
        </w:rPr>
      </w:pPr>
    </w:p>
    <w:p>
      <w:pPr>
        <w:spacing w:before="1"/>
        <w:ind w:left="2511" w:right="0" w:firstLine="0"/>
        <w:jc w:val="left"/>
        <w:rPr>
          <w:b/>
          <w:sz w:val="24"/>
        </w:rPr>
      </w:pPr>
      <w:r>
        <w:rPr>
          <w:b/>
          <w:w w:val="95"/>
          <w:sz w:val="24"/>
        </w:rPr>
        <w:t>投保人、被保险人、受益人应当特别注意的事项</w:t>
      </w:r>
    </w:p>
    <w:p>
      <w:pPr>
        <w:pStyle w:val="BodyText"/>
        <w:tabs>
          <w:tab w:pos="9240" w:val="right" w:leader="dot"/>
        </w:tabs>
        <w:spacing w:before="334"/>
        <w:ind w:left="104"/>
      </w:pPr>
      <w:r>
        <w:rPr/>
        <w:t>被保险人可以享受本保险提供的保障利益…</w:t>
        <w:tab/>
        <w:t>2.2</w:t>
      </w:r>
    </w:p>
    <w:p>
      <w:pPr>
        <w:pStyle w:val="BodyText"/>
        <w:tabs>
          <w:tab w:pos="9240" w:val="right" w:leader="dot"/>
        </w:tabs>
        <w:spacing w:before="37"/>
        <w:ind w:left="104"/>
      </w:pPr>
      <w:r>
        <w:rPr/>
        <w:t>在某些情况下，我们不承担保险责任…</w:t>
        <w:tab/>
        <w:t>2.3</w:t>
      </w:r>
    </w:p>
    <w:p>
      <w:pPr>
        <w:pStyle w:val="BodyText"/>
        <w:tabs>
          <w:tab w:pos="9240" w:val="right" w:leader="dot"/>
        </w:tabs>
        <w:spacing w:before="37"/>
        <w:ind w:left="104"/>
      </w:pPr>
      <w:r>
        <w:rPr/>
        <w:t>被保险人的保险金给付限制…</w:t>
        <w:tab/>
        <w:t>2.2.5</w:t>
      </w:r>
    </w:p>
    <w:p>
      <w:pPr>
        <w:pStyle w:val="BodyText"/>
        <w:tabs>
          <w:tab w:pos="9240" w:val="right" w:leader="dot"/>
        </w:tabs>
        <w:spacing w:before="37"/>
        <w:ind w:left="104"/>
      </w:pPr>
      <w:r>
        <w:rPr/>
        <w:t>投保人有权解除合同…</w:t>
        <w:tab/>
        <w:t>6.3</w:t>
      </w:r>
    </w:p>
    <w:p>
      <w:pPr>
        <w:pStyle w:val="BodyText"/>
        <w:tabs>
          <w:tab w:pos="9030" w:val="right" w:leader="dot"/>
        </w:tabs>
        <w:spacing w:before="37"/>
        <w:ind w:left="104"/>
      </w:pPr>
      <w:r>
        <w:rPr/>
        <w:t>我们对本附加合同中的重大疾病有特定的解释和认定标准…</w:t>
        <w:tab/>
        <w:t>3</w:t>
      </w:r>
    </w:p>
    <w:p>
      <w:pPr>
        <w:pStyle w:val="BodyText"/>
        <w:tabs>
          <w:tab w:pos="9241" w:val="right" w:leader="dot"/>
        </w:tabs>
        <w:spacing w:before="37"/>
        <w:ind w:left="104"/>
      </w:pPr>
      <w:r>
        <w:rPr/>
        <w:t>在某些情况下，本合同效力终止…</w:t>
        <w:tab/>
        <w:t>7.3</w:t>
      </w:r>
    </w:p>
    <w:p>
      <w:pPr>
        <w:pStyle w:val="BodyText"/>
        <w:tabs>
          <w:tab w:pos="9240" w:val="right" w:leader="dot"/>
        </w:tabs>
        <w:spacing w:before="37"/>
        <w:ind w:left="104"/>
      </w:pPr>
      <w:r>
        <w:rPr/>
        <w:t>投保人应按时缴纳保险费…</w:t>
        <w:tab/>
        <w:t>5.1</w:t>
      </w:r>
    </w:p>
    <w:p>
      <w:pPr>
        <w:pStyle w:val="BodyText"/>
        <w:tabs>
          <w:tab w:pos="9240" w:val="right" w:leader="dot"/>
        </w:tabs>
        <w:spacing w:before="37"/>
        <w:ind w:left="104"/>
      </w:pPr>
      <w:r>
        <w:rPr/>
        <w:t>投保人、被保险人应当如实告知…</w:t>
        <w:tab/>
        <w:t>1.2</w:t>
      </w:r>
    </w:p>
    <w:p>
      <w:pPr>
        <w:pStyle w:val="BodyText"/>
        <w:tabs>
          <w:tab w:pos="9240" w:val="right" w:leader="dot"/>
        </w:tabs>
        <w:spacing w:before="37"/>
        <w:ind w:left="104"/>
      </w:pPr>
      <w:r>
        <w:rPr/>
        <w:t>投保人应及时向我们通知保险事故…</w:t>
        <w:tab/>
        <w:t>4.2</w:t>
      </w:r>
    </w:p>
    <w:p>
      <w:pPr>
        <w:pStyle w:val="BodyText"/>
        <w:tabs>
          <w:tab w:pos="9240" w:val="right" w:leader="dot"/>
        </w:tabs>
        <w:spacing w:before="37"/>
        <w:ind w:left="104"/>
      </w:pPr>
      <w:r>
        <w:rPr/>
        <w:t>受益人申请保险金应提供证明文件和资料…</w:t>
        <w:tab/>
        <w:t>4.4</w:t>
      </w:r>
    </w:p>
    <w:p>
      <w:pPr>
        <w:pStyle w:val="BodyText"/>
        <w:tabs>
          <w:tab w:pos="9240" w:val="right" w:leader="dot"/>
        </w:tabs>
        <w:spacing w:before="37"/>
        <w:ind w:left="104"/>
      </w:pPr>
      <w:r>
        <w:rPr/>
        <w:t>理赔保险金时我们有权利对被保险人进行身体检查…</w:t>
        <w:tab/>
        <w:t>4.6</w:t>
      </w:r>
    </w:p>
    <w:p>
      <w:pPr>
        <w:pStyle w:val="BodyText"/>
        <w:tabs>
          <w:tab w:pos="9240" w:val="right" w:leader="dot"/>
        </w:tabs>
        <w:spacing w:before="37"/>
        <w:ind w:left="104"/>
      </w:pPr>
      <w:r>
        <w:rPr/>
        <w:t>受益人的保险金申请权应在一定期间内行使…</w:t>
        <w:tab/>
        <w:t>4.3</w:t>
      </w:r>
    </w:p>
    <w:p>
      <w:pPr>
        <w:pStyle w:val="BodyText"/>
        <w:tabs>
          <w:tab w:pos="9033" w:val="right" w:leader="dot"/>
        </w:tabs>
        <w:spacing w:before="37"/>
        <w:ind w:left="104"/>
      </w:pPr>
      <w:r>
        <w:rPr/>
        <w:t>我们对一些重要术语进行了解释，并作了</w:t>
      </w:r>
      <w:r>
        <w:rPr>
          <w:b/>
        </w:rPr>
        <w:t>显著标识，</w:t>
      </w:r>
      <w:r>
        <w:rPr/>
        <w:t>请投保人、被保险人、受益人注意…</w:t>
        <w:tab/>
        <w:t>8</w:t>
      </w:r>
    </w:p>
    <w:p>
      <w:pPr>
        <w:spacing w:after="0"/>
        <w:sectPr>
          <w:type w:val="continuous"/>
          <w:pgSz w:w="11910" w:h="16840"/>
          <w:pgMar w:top="140" w:bottom="280" w:left="1200" w:right="540"/>
        </w:sectPr>
      </w:pPr>
    </w:p>
    <w:p>
      <w:pPr>
        <w:spacing w:line="240" w:lineRule="auto"/>
        <w:ind w:left="38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rPr>
          <w:sz w:val="24"/>
        </w:rPr>
      </w:pPr>
    </w:p>
    <w:p>
      <w:pPr>
        <w:pStyle w:val="Heading2"/>
        <w:spacing w:before="0"/>
        <w:ind w:left="2091"/>
      </w:pPr>
      <w:r>
        <w:rPr/>
        <w:drawing>
          <wp:anchor distT="0" distB="0" distL="0" distR="0" allowOverlap="1" layoutInCell="1" locked="0" behindDoc="1" simplePos="0" relativeHeight="268396895">
            <wp:simplePos x="0" y="0"/>
            <wp:positionH relativeFrom="page">
              <wp:posOffset>2738627</wp:posOffset>
            </wp:positionH>
            <wp:positionV relativeFrom="paragraph">
              <wp:posOffset>405684</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96919">
            <wp:simplePos x="0" y="0"/>
            <wp:positionH relativeFrom="page">
              <wp:posOffset>4827269</wp:posOffset>
            </wp:positionH>
            <wp:positionV relativeFrom="paragraph">
              <wp:posOffset>405684</wp:posOffset>
            </wp:positionV>
            <wp:extent cx="6095"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5" cy="3764279"/>
                    </a:xfrm>
                    <a:prstGeom prst="rect">
                      <a:avLst/>
                    </a:prstGeom>
                  </pic:spPr>
                </pic:pic>
              </a:graphicData>
            </a:graphic>
          </wp:anchor>
        </w:drawing>
      </w:r>
      <w:r>
        <w:rPr>
          <w:w w:val="95"/>
        </w:rPr>
        <w:t>在阅读条款正文之前，浏览一下目录有助于对条款结构有一个大致了解。</w:t>
      </w:r>
    </w:p>
    <w:p>
      <w:pPr>
        <w:pStyle w:val="BodyText"/>
        <w:rPr>
          <w:b/>
          <w:sz w:val="20"/>
        </w:rPr>
      </w:pPr>
    </w:p>
    <w:p>
      <w:pPr>
        <w:pStyle w:val="BodyText"/>
        <w:spacing w:before="7" w:after="1"/>
        <w:rPr>
          <w:b/>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3262"/>
        <w:gridCol w:w="3202"/>
      </w:tblGrid>
      <w:tr>
        <w:trPr>
          <w:trHeight w:val="261" w:hRule="atLeast"/>
        </w:trPr>
        <w:tc>
          <w:tcPr>
            <w:tcW w:w="3280" w:type="dxa"/>
          </w:tcPr>
          <w:p>
            <w:pPr>
              <w:pStyle w:val="TableParagraph"/>
              <w:spacing w:line="210" w:lineRule="exact"/>
              <w:ind w:left="200"/>
              <w:rPr>
                <w:b/>
                <w:sz w:val="21"/>
              </w:rPr>
            </w:pPr>
            <w:r>
              <w:rPr>
                <w:b/>
                <w:sz w:val="21"/>
              </w:rPr>
              <w:t>1 投保人与我们的合同</w:t>
            </w:r>
          </w:p>
        </w:tc>
        <w:tc>
          <w:tcPr>
            <w:tcW w:w="3262" w:type="dxa"/>
          </w:tcPr>
          <w:p>
            <w:pPr>
              <w:pStyle w:val="TableParagraph"/>
              <w:spacing w:line="210" w:lineRule="exact"/>
              <w:ind w:left="140"/>
              <w:rPr>
                <w:b/>
                <w:sz w:val="21"/>
              </w:rPr>
            </w:pPr>
            <w:r>
              <w:rPr>
                <w:b/>
                <w:sz w:val="21"/>
              </w:rPr>
              <w:t>4 申请与给付保险金</w:t>
            </w:r>
          </w:p>
        </w:tc>
        <w:tc>
          <w:tcPr>
            <w:tcW w:w="3202" w:type="dxa"/>
          </w:tcPr>
          <w:p>
            <w:pPr>
              <w:pStyle w:val="TableParagraph"/>
              <w:spacing w:line="210" w:lineRule="exact"/>
              <w:ind w:left="167"/>
              <w:rPr>
                <w:b/>
                <w:sz w:val="21"/>
              </w:rPr>
            </w:pPr>
            <w:r>
              <w:rPr>
                <w:b/>
                <w:sz w:val="21"/>
              </w:rPr>
              <w:t>7 投保人需要关注的其他事项</w:t>
            </w:r>
          </w:p>
        </w:tc>
      </w:tr>
      <w:tr>
        <w:trPr>
          <w:trHeight w:val="311" w:hRule="atLeast"/>
        </w:trPr>
        <w:tc>
          <w:tcPr>
            <w:tcW w:w="3280" w:type="dxa"/>
          </w:tcPr>
          <w:p>
            <w:pPr>
              <w:pStyle w:val="TableParagraph"/>
              <w:spacing w:line="261" w:lineRule="exact"/>
              <w:ind w:left="410"/>
              <w:rPr>
                <w:sz w:val="21"/>
              </w:rPr>
            </w:pPr>
            <w:r>
              <w:rPr>
                <w:sz w:val="21"/>
              </w:rPr>
              <w:t>1.1 合同构成</w:t>
            </w:r>
          </w:p>
        </w:tc>
        <w:tc>
          <w:tcPr>
            <w:tcW w:w="3262" w:type="dxa"/>
          </w:tcPr>
          <w:p>
            <w:pPr>
              <w:pStyle w:val="TableParagraph"/>
              <w:spacing w:line="261" w:lineRule="exact"/>
              <w:ind w:left="350"/>
              <w:rPr>
                <w:sz w:val="21"/>
              </w:rPr>
            </w:pPr>
            <w:r>
              <w:rPr>
                <w:sz w:val="21"/>
              </w:rPr>
              <w:t>4.1 受益人的指定与变更</w:t>
            </w:r>
          </w:p>
        </w:tc>
        <w:tc>
          <w:tcPr>
            <w:tcW w:w="3202" w:type="dxa"/>
          </w:tcPr>
          <w:p>
            <w:pPr>
              <w:pStyle w:val="TableParagraph"/>
              <w:spacing w:line="261" w:lineRule="exact"/>
              <w:ind w:left="377"/>
              <w:rPr>
                <w:sz w:val="21"/>
              </w:rPr>
            </w:pPr>
            <w:r>
              <w:rPr>
                <w:sz w:val="21"/>
              </w:rPr>
              <w:t>7.1 欠款扣除</w:t>
            </w:r>
          </w:p>
        </w:tc>
      </w:tr>
      <w:tr>
        <w:trPr>
          <w:trHeight w:val="312" w:hRule="atLeast"/>
        </w:trPr>
        <w:tc>
          <w:tcPr>
            <w:tcW w:w="3280" w:type="dxa"/>
          </w:tcPr>
          <w:p>
            <w:pPr>
              <w:pStyle w:val="TableParagraph"/>
              <w:spacing w:line="261" w:lineRule="exact"/>
              <w:ind w:left="410"/>
              <w:rPr>
                <w:sz w:val="21"/>
              </w:rPr>
            </w:pPr>
            <w:r>
              <w:rPr>
                <w:sz w:val="21"/>
              </w:rPr>
              <w:t>1.2 如实告知</w:t>
            </w:r>
          </w:p>
        </w:tc>
        <w:tc>
          <w:tcPr>
            <w:tcW w:w="3262" w:type="dxa"/>
          </w:tcPr>
          <w:p>
            <w:pPr>
              <w:pStyle w:val="TableParagraph"/>
              <w:spacing w:line="261" w:lineRule="exact"/>
              <w:ind w:left="350"/>
              <w:rPr>
                <w:sz w:val="21"/>
              </w:rPr>
            </w:pPr>
            <w:r>
              <w:rPr>
                <w:sz w:val="21"/>
              </w:rPr>
              <w:t>4.2 保险事故的通知</w:t>
            </w:r>
          </w:p>
        </w:tc>
        <w:tc>
          <w:tcPr>
            <w:tcW w:w="3202" w:type="dxa"/>
          </w:tcPr>
          <w:p>
            <w:pPr>
              <w:pStyle w:val="TableParagraph"/>
              <w:spacing w:line="261" w:lineRule="exact"/>
              <w:ind w:left="377"/>
              <w:rPr>
                <w:sz w:val="21"/>
              </w:rPr>
            </w:pPr>
            <w:r>
              <w:rPr>
                <w:sz w:val="21"/>
              </w:rPr>
              <w:t>7.2 合同效力的中止</w:t>
            </w:r>
          </w:p>
        </w:tc>
      </w:tr>
      <w:tr>
        <w:trPr>
          <w:trHeight w:val="312" w:hRule="atLeast"/>
        </w:trPr>
        <w:tc>
          <w:tcPr>
            <w:tcW w:w="3280" w:type="dxa"/>
          </w:tcPr>
          <w:p>
            <w:pPr>
              <w:pStyle w:val="TableParagraph"/>
              <w:spacing w:line="261" w:lineRule="exact"/>
              <w:ind w:left="410"/>
              <w:rPr>
                <w:sz w:val="21"/>
              </w:rPr>
            </w:pPr>
            <w:r>
              <w:rPr>
                <w:sz w:val="21"/>
              </w:rPr>
              <w:t>1.3 合同成立及保险责任开始</w:t>
            </w:r>
          </w:p>
        </w:tc>
        <w:tc>
          <w:tcPr>
            <w:tcW w:w="3262" w:type="dxa"/>
          </w:tcPr>
          <w:p>
            <w:pPr>
              <w:pStyle w:val="TableParagraph"/>
              <w:spacing w:line="261" w:lineRule="exact"/>
              <w:ind w:left="350"/>
              <w:rPr>
                <w:sz w:val="21"/>
              </w:rPr>
            </w:pPr>
            <w:r>
              <w:rPr>
                <w:sz w:val="21"/>
              </w:rPr>
              <w:t>4.3 诉讼时效</w:t>
            </w:r>
          </w:p>
        </w:tc>
        <w:tc>
          <w:tcPr>
            <w:tcW w:w="3202" w:type="dxa"/>
          </w:tcPr>
          <w:p>
            <w:pPr>
              <w:pStyle w:val="TableParagraph"/>
              <w:spacing w:line="261" w:lineRule="exact"/>
              <w:ind w:left="378"/>
              <w:rPr>
                <w:sz w:val="21"/>
              </w:rPr>
            </w:pPr>
            <w:r>
              <w:rPr>
                <w:sz w:val="21"/>
              </w:rPr>
              <w:t>7.3 合同效力的终止</w:t>
            </w:r>
          </w:p>
        </w:tc>
      </w:tr>
      <w:tr>
        <w:trPr>
          <w:trHeight w:val="311" w:hRule="atLeast"/>
        </w:trPr>
        <w:tc>
          <w:tcPr>
            <w:tcW w:w="3280" w:type="dxa"/>
          </w:tcPr>
          <w:p>
            <w:pPr>
              <w:pStyle w:val="TableParagraph"/>
              <w:ind w:left="0"/>
              <w:rPr>
                <w:rFonts w:ascii="Times New Roman"/>
                <w:sz w:val="20"/>
              </w:rPr>
            </w:pPr>
          </w:p>
        </w:tc>
        <w:tc>
          <w:tcPr>
            <w:tcW w:w="3262" w:type="dxa"/>
          </w:tcPr>
          <w:p>
            <w:pPr>
              <w:pStyle w:val="TableParagraph"/>
              <w:spacing w:line="261" w:lineRule="exact"/>
              <w:ind w:left="350"/>
              <w:rPr>
                <w:sz w:val="21"/>
              </w:rPr>
            </w:pPr>
            <w:r>
              <w:rPr>
                <w:sz w:val="21"/>
              </w:rPr>
              <w:t>4.4 申请保险金应提供的材料</w:t>
            </w:r>
          </w:p>
        </w:tc>
        <w:tc>
          <w:tcPr>
            <w:tcW w:w="3202" w:type="dxa"/>
          </w:tcPr>
          <w:p>
            <w:pPr>
              <w:pStyle w:val="TableParagraph"/>
              <w:ind w:left="0"/>
              <w:rPr>
                <w:rFonts w:ascii="Times New Roman"/>
                <w:sz w:val="20"/>
              </w:rPr>
            </w:pP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spacing w:line="261" w:lineRule="exact"/>
              <w:ind w:left="350"/>
              <w:rPr>
                <w:sz w:val="21"/>
              </w:rPr>
            </w:pPr>
            <w:r>
              <w:rPr>
                <w:sz w:val="21"/>
              </w:rPr>
              <w:t>4.5 保险金的给付</w:t>
            </w:r>
          </w:p>
        </w:tc>
        <w:tc>
          <w:tcPr>
            <w:tcW w:w="3202" w:type="dxa"/>
          </w:tcPr>
          <w:p>
            <w:pPr>
              <w:pStyle w:val="TableParagraph"/>
              <w:ind w:left="0"/>
              <w:rPr>
                <w:rFonts w:ascii="Times New Roman"/>
                <w:sz w:val="20"/>
              </w:rPr>
            </w:pPr>
          </w:p>
        </w:tc>
      </w:tr>
      <w:tr>
        <w:trPr>
          <w:trHeight w:val="311" w:hRule="atLeast"/>
        </w:trPr>
        <w:tc>
          <w:tcPr>
            <w:tcW w:w="3280" w:type="dxa"/>
          </w:tcPr>
          <w:p>
            <w:pPr>
              <w:pStyle w:val="TableParagraph"/>
              <w:ind w:left="0"/>
              <w:rPr>
                <w:rFonts w:ascii="Times New Roman"/>
                <w:sz w:val="20"/>
              </w:rPr>
            </w:pPr>
          </w:p>
        </w:tc>
        <w:tc>
          <w:tcPr>
            <w:tcW w:w="3262" w:type="dxa"/>
          </w:tcPr>
          <w:p>
            <w:pPr>
              <w:pStyle w:val="TableParagraph"/>
              <w:spacing w:line="261" w:lineRule="exact"/>
              <w:ind w:left="350"/>
              <w:rPr>
                <w:sz w:val="21"/>
              </w:rPr>
            </w:pPr>
            <w:r>
              <w:rPr>
                <w:sz w:val="21"/>
              </w:rPr>
              <w:t>4.6 身体检查</w:t>
            </w:r>
          </w:p>
        </w:tc>
        <w:tc>
          <w:tcPr>
            <w:tcW w:w="3202" w:type="dxa"/>
          </w:tcPr>
          <w:p>
            <w:pPr>
              <w:pStyle w:val="TableParagraph"/>
              <w:ind w:left="0"/>
              <w:rPr>
                <w:rFonts w:ascii="Times New Roman"/>
                <w:sz w:val="20"/>
              </w:rPr>
            </w:pP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spacing w:line="261" w:lineRule="exact"/>
              <w:ind w:left="167"/>
              <w:rPr>
                <w:b/>
                <w:sz w:val="21"/>
              </w:rPr>
            </w:pPr>
            <w:r>
              <w:rPr>
                <w:b/>
                <w:sz w:val="21"/>
              </w:rPr>
              <w:t>8 释义</w:t>
            </w: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tabs>
                <w:tab w:pos="903" w:val="left" w:leader="none"/>
              </w:tabs>
              <w:spacing w:line="261" w:lineRule="exact"/>
              <w:ind w:left="377"/>
              <w:rPr>
                <w:sz w:val="21"/>
              </w:rPr>
            </w:pPr>
            <w:r>
              <w:rPr>
                <w:sz w:val="21"/>
              </w:rPr>
              <w:t>8.1</w:t>
              <w:tab/>
            </w:r>
            <w:r>
              <w:rPr>
                <w:spacing w:val="-1"/>
                <w:sz w:val="21"/>
              </w:rPr>
              <w:t>意外伤害事故</w:t>
            </w:r>
          </w:p>
        </w:tc>
      </w:tr>
      <w:tr>
        <w:trPr>
          <w:trHeight w:val="311" w:hRule="atLeast"/>
        </w:trPr>
        <w:tc>
          <w:tcPr>
            <w:tcW w:w="3280" w:type="dxa"/>
          </w:tcPr>
          <w:p>
            <w:pPr>
              <w:pStyle w:val="TableParagraph"/>
              <w:spacing w:line="261" w:lineRule="exact"/>
              <w:ind w:left="200"/>
              <w:rPr>
                <w:b/>
                <w:sz w:val="21"/>
              </w:rPr>
            </w:pPr>
            <w:r>
              <w:rPr>
                <w:b/>
                <w:sz w:val="21"/>
              </w:rPr>
              <w:t>2 我们提供的保障</w:t>
            </w:r>
          </w:p>
        </w:tc>
        <w:tc>
          <w:tcPr>
            <w:tcW w:w="3262" w:type="dxa"/>
          </w:tcPr>
          <w:p>
            <w:pPr>
              <w:pStyle w:val="TableParagraph"/>
              <w:spacing w:line="261" w:lineRule="exact"/>
              <w:ind w:left="140"/>
              <w:rPr>
                <w:b/>
                <w:sz w:val="21"/>
              </w:rPr>
            </w:pPr>
            <w:r>
              <w:rPr>
                <w:b/>
                <w:sz w:val="21"/>
              </w:rPr>
              <w:t>5 缴付保险费</w:t>
            </w:r>
          </w:p>
        </w:tc>
        <w:tc>
          <w:tcPr>
            <w:tcW w:w="3202" w:type="dxa"/>
          </w:tcPr>
          <w:p>
            <w:pPr>
              <w:pStyle w:val="TableParagraph"/>
              <w:tabs>
                <w:tab w:pos="903" w:val="left" w:leader="none"/>
              </w:tabs>
              <w:spacing w:line="261" w:lineRule="exact"/>
              <w:ind w:left="377"/>
              <w:rPr>
                <w:sz w:val="21"/>
              </w:rPr>
            </w:pPr>
            <w:r>
              <w:rPr>
                <w:sz w:val="21"/>
              </w:rPr>
              <w:t>8.2</w:t>
              <w:tab/>
            </w:r>
            <w:r>
              <w:rPr>
                <w:spacing w:val="-1"/>
                <w:sz w:val="21"/>
              </w:rPr>
              <w:t>意外伤害</w:t>
            </w:r>
          </w:p>
        </w:tc>
      </w:tr>
      <w:tr>
        <w:trPr>
          <w:trHeight w:val="312" w:hRule="atLeast"/>
        </w:trPr>
        <w:tc>
          <w:tcPr>
            <w:tcW w:w="3280" w:type="dxa"/>
          </w:tcPr>
          <w:p>
            <w:pPr>
              <w:pStyle w:val="TableParagraph"/>
              <w:spacing w:line="261" w:lineRule="exact"/>
              <w:ind w:left="410"/>
              <w:rPr>
                <w:sz w:val="21"/>
              </w:rPr>
            </w:pPr>
            <w:r>
              <w:rPr>
                <w:sz w:val="21"/>
              </w:rPr>
              <w:t>2.1 保险金额</w:t>
            </w:r>
          </w:p>
        </w:tc>
        <w:tc>
          <w:tcPr>
            <w:tcW w:w="3262" w:type="dxa"/>
          </w:tcPr>
          <w:p>
            <w:pPr>
              <w:pStyle w:val="TableParagraph"/>
              <w:spacing w:line="261" w:lineRule="exact"/>
              <w:ind w:left="350"/>
              <w:rPr>
                <w:sz w:val="21"/>
              </w:rPr>
            </w:pPr>
            <w:r>
              <w:rPr>
                <w:sz w:val="21"/>
              </w:rPr>
              <w:t>5.1 保险费的缴付、宽限期</w:t>
            </w:r>
          </w:p>
        </w:tc>
        <w:tc>
          <w:tcPr>
            <w:tcW w:w="3202" w:type="dxa"/>
          </w:tcPr>
          <w:p>
            <w:pPr>
              <w:pStyle w:val="TableParagraph"/>
              <w:tabs>
                <w:tab w:pos="903" w:val="left" w:leader="none"/>
              </w:tabs>
              <w:spacing w:line="261" w:lineRule="exact"/>
              <w:ind w:left="377"/>
              <w:rPr>
                <w:sz w:val="21"/>
              </w:rPr>
            </w:pPr>
            <w:r>
              <w:rPr>
                <w:sz w:val="21"/>
              </w:rPr>
              <w:t>8.3</w:t>
              <w:tab/>
              <w:t>医院</w:t>
            </w:r>
          </w:p>
        </w:tc>
      </w:tr>
      <w:tr>
        <w:trPr>
          <w:trHeight w:val="312" w:hRule="atLeast"/>
        </w:trPr>
        <w:tc>
          <w:tcPr>
            <w:tcW w:w="3280" w:type="dxa"/>
          </w:tcPr>
          <w:p>
            <w:pPr>
              <w:pStyle w:val="TableParagraph"/>
              <w:spacing w:line="261" w:lineRule="exact"/>
              <w:ind w:left="410"/>
              <w:rPr>
                <w:sz w:val="21"/>
              </w:rPr>
            </w:pPr>
            <w:r>
              <w:rPr>
                <w:sz w:val="21"/>
              </w:rPr>
              <w:t>2.2 保险责任</w:t>
            </w:r>
          </w:p>
        </w:tc>
        <w:tc>
          <w:tcPr>
            <w:tcW w:w="3262" w:type="dxa"/>
          </w:tcPr>
          <w:p>
            <w:pPr>
              <w:pStyle w:val="TableParagraph"/>
              <w:spacing w:line="261" w:lineRule="exact"/>
              <w:ind w:left="350"/>
              <w:rPr>
                <w:sz w:val="21"/>
              </w:rPr>
            </w:pPr>
            <w:r>
              <w:rPr>
                <w:sz w:val="21"/>
              </w:rPr>
              <w:t>5.2 变更为减额付清保险</w:t>
            </w:r>
          </w:p>
        </w:tc>
        <w:tc>
          <w:tcPr>
            <w:tcW w:w="3202" w:type="dxa"/>
          </w:tcPr>
          <w:p>
            <w:pPr>
              <w:pStyle w:val="TableParagraph"/>
              <w:tabs>
                <w:tab w:pos="903" w:val="left" w:leader="none"/>
              </w:tabs>
              <w:spacing w:line="261" w:lineRule="exact"/>
              <w:ind w:left="378"/>
              <w:rPr>
                <w:sz w:val="21"/>
              </w:rPr>
            </w:pPr>
            <w:r>
              <w:rPr>
                <w:sz w:val="21"/>
              </w:rPr>
              <w:t>8.4</w:t>
              <w:tab/>
            </w:r>
            <w:r>
              <w:rPr>
                <w:spacing w:val="-1"/>
                <w:sz w:val="21"/>
              </w:rPr>
              <w:t>专科医生</w:t>
            </w:r>
          </w:p>
        </w:tc>
      </w:tr>
      <w:tr>
        <w:trPr>
          <w:trHeight w:val="312" w:hRule="atLeast"/>
        </w:trPr>
        <w:tc>
          <w:tcPr>
            <w:tcW w:w="3280" w:type="dxa"/>
          </w:tcPr>
          <w:p>
            <w:pPr>
              <w:pStyle w:val="TableParagraph"/>
              <w:spacing w:line="261" w:lineRule="exact"/>
              <w:ind w:left="410"/>
              <w:rPr>
                <w:sz w:val="21"/>
              </w:rPr>
            </w:pPr>
            <w:r>
              <w:rPr>
                <w:sz w:val="21"/>
              </w:rPr>
              <w:t>2.3 责任免除</w:t>
            </w:r>
          </w:p>
        </w:tc>
        <w:tc>
          <w:tcPr>
            <w:tcW w:w="3262" w:type="dxa"/>
          </w:tcPr>
          <w:p>
            <w:pPr>
              <w:pStyle w:val="TableParagraph"/>
              <w:ind w:left="0"/>
              <w:rPr>
                <w:rFonts w:ascii="Times New Roman"/>
                <w:sz w:val="20"/>
              </w:rPr>
            </w:pPr>
          </w:p>
        </w:tc>
        <w:tc>
          <w:tcPr>
            <w:tcW w:w="3202" w:type="dxa"/>
          </w:tcPr>
          <w:p>
            <w:pPr>
              <w:pStyle w:val="TableParagraph"/>
              <w:tabs>
                <w:tab w:pos="525" w:val="left" w:leader="none"/>
              </w:tabs>
              <w:spacing w:line="261" w:lineRule="exact"/>
              <w:ind w:left="0" w:right="197"/>
              <w:jc w:val="right"/>
              <w:rPr>
                <w:sz w:val="21"/>
              </w:rPr>
            </w:pPr>
            <w:r>
              <w:rPr>
                <w:sz w:val="21"/>
              </w:rPr>
              <w:t>8.5</w:t>
              <w:tab/>
            </w:r>
            <w:r>
              <w:rPr>
                <w:spacing w:val="-1"/>
                <w:sz w:val="21"/>
              </w:rPr>
              <w:t>感染艾滋病病毒或患艾</w:t>
            </w: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spacing w:line="261" w:lineRule="exact"/>
              <w:ind w:left="898"/>
              <w:rPr>
                <w:sz w:val="21"/>
              </w:rPr>
            </w:pPr>
            <w:r>
              <w:rPr>
                <w:sz w:val="21"/>
              </w:rPr>
              <w:t>滋病</w:t>
            </w:r>
          </w:p>
        </w:tc>
      </w:tr>
      <w:tr>
        <w:trPr>
          <w:trHeight w:val="311"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tabs>
                <w:tab w:pos="903" w:val="left" w:leader="none"/>
              </w:tabs>
              <w:spacing w:line="261" w:lineRule="exact"/>
              <w:ind w:left="378"/>
              <w:rPr>
                <w:sz w:val="21"/>
              </w:rPr>
            </w:pPr>
            <w:r>
              <w:rPr>
                <w:sz w:val="21"/>
              </w:rPr>
              <w:t>8.6</w:t>
              <w:tab/>
            </w:r>
            <w:r>
              <w:rPr>
                <w:spacing w:val="-1"/>
                <w:sz w:val="21"/>
              </w:rPr>
              <w:t>遗传性疾病</w:t>
            </w:r>
          </w:p>
        </w:tc>
      </w:tr>
      <w:tr>
        <w:trPr>
          <w:trHeight w:val="311" w:hRule="atLeast"/>
        </w:trPr>
        <w:tc>
          <w:tcPr>
            <w:tcW w:w="3280" w:type="dxa"/>
          </w:tcPr>
          <w:p>
            <w:pPr>
              <w:pStyle w:val="TableParagraph"/>
              <w:spacing w:line="261" w:lineRule="exact"/>
              <w:ind w:left="200"/>
              <w:rPr>
                <w:b/>
                <w:sz w:val="21"/>
              </w:rPr>
            </w:pPr>
            <w:r>
              <w:rPr>
                <w:b/>
                <w:sz w:val="21"/>
              </w:rPr>
              <w:t>3 重大疾病</w:t>
            </w:r>
          </w:p>
        </w:tc>
        <w:tc>
          <w:tcPr>
            <w:tcW w:w="3262" w:type="dxa"/>
          </w:tcPr>
          <w:p>
            <w:pPr>
              <w:pStyle w:val="TableParagraph"/>
              <w:spacing w:line="261" w:lineRule="exact"/>
              <w:ind w:left="141"/>
              <w:rPr>
                <w:b/>
                <w:sz w:val="21"/>
              </w:rPr>
            </w:pPr>
            <w:r>
              <w:rPr>
                <w:b/>
                <w:sz w:val="21"/>
              </w:rPr>
              <w:t>6 投保人的特别权利及相应义务</w:t>
            </w:r>
          </w:p>
        </w:tc>
        <w:tc>
          <w:tcPr>
            <w:tcW w:w="3202" w:type="dxa"/>
          </w:tcPr>
          <w:p>
            <w:pPr>
              <w:pStyle w:val="TableParagraph"/>
              <w:tabs>
                <w:tab w:pos="525" w:val="left" w:leader="none"/>
              </w:tabs>
              <w:spacing w:line="261" w:lineRule="exact"/>
              <w:ind w:left="0" w:right="197"/>
              <w:jc w:val="right"/>
              <w:rPr>
                <w:sz w:val="21"/>
              </w:rPr>
            </w:pPr>
            <w:r>
              <w:rPr>
                <w:sz w:val="21"/>
              </w:rPr>
              <w:t>8.7</w:t>
              <w:tab/>
            </w:r>
            <w:r>
              <w:rPr>
                <w:spacing w:val="-1"/>
                <w:sz w:val="21"/>
              </w:rPr>
              <w:t>先天性畸形、变形或染</w:t>
            </w:r>
          </w:p>
        </w:tc>
      </w:tr>
      <w:tr>
        <w:trPr>
          <w:trHeight w:val="312" w:hRule="atLeast"/>
        </w:trPr>
        <w:tc>
          <w:tcPr>
            <w:tcW w:w="3280" w:type="dxa"/>
          </w:tcPr>
          <w:p>
            <w:pPr>
              <w:pStyle w:val="TableParagraph"/>
              <w:spacing w:line="261" w:lineRule="exact"/>
              <w:ind w:left="410"/>
              <w:rPr>
                <w:sz w:val="21"/>
              </w:rPr>
            </w:pPr>
            <w:r>
              <w:rPr>
                <w:sz w:val="21"/>
              </w:rPr>
              <w:t>3.1 重大疾病的范围</w:t>
            </w:r>
          </w:p>
        </w:tc>
        <w:tc>
          <w:tcPr>
            <w:tcW w:w="3262" w:type="dxa"/>
          </w:tcPr>
          <w:p>
            <w:pPr>
              <w:pStyle w:val="TableParagraph"/>
              <w:spacing w:line="261" w:lineRule="exact"/>
              <w:ind w:left="350"/>
              <w:rPr>
                <w:sz w:val="21"/>
              </w:rPr>
            </w:pPr>
            <w:r>
              <w:rPr>
                <w:sz w:val="21"/>
              </w:rPr>
              <w:t>6.1 变更保险金额</w:t>
            </w:r>
          </w:p>
        </w:tc>
        <w:tc>
          <w:tcPr>
            <w:tcW w:w="3202" w:type="dxa"/>
          </w:tcPr>
          <w:p>
            <w:pPr>
              <w:pStyle w:val="TableParagraph"/>
              <w:spacing w:line="261" w:lineRule="exact"/>
              <w:ind w:left="897"/>
              <w:rPr>
                <w:sz w:val="21"/>
              </w:rPr>
            </w:pPr>
            <w:r>
              <w:rPr>
                <w:sz w:val="21"/>
              </w:rPr>
              <w:t>色体异常</w:t>
            </w:r>
          </w:p>
        </w:tc>
      </w:tr>
      <w:tr>
        <w:trPr>
          <w:trHeight w:val="312" w:hRule="atLeast"/>
        </w:trPr>
        <w:tc>
          <w:tcPr>
            <w:tcW w:w="3280" w:type="dxa"/>
          </w:tcPr>
          <w:p>
            <w:pPr>
              <w:pStyle w:val="TableParagraph"/>
              <w:spacing w:line="261" w:lineRule="exact"/>
              <w:ind w:left="410"/>
              <w:rPr>
                <w:sz w:val="21"/>
              </w:rPr>
            </w:pPr>
            <w:r>
              <w:rPr>
                <w:sz w:val="21"/>
              </w:rPr>
              <w:t>3.2 重大疾病的定义</w:t>
            </w:r>
          </w:p>
        </w:tc>
        <w:tc>
          <w:tcPr>
            <w:tcW w:w="3262" w:type="dxa"/>
          </w:tcPr>
          <w:p>
            <w:pPr>
              <w:pStyle w:val="TableParagraph"/>
              <w:spacing w:line="261" w:lineRule="exact"/>
              <w:ind w:left="351"/>
              <w:rPr>
                <w:sz w:val="21"/>
              </w:rPr>
            </w:pPr>
            <w:r>
              <w:rPr>
                <w:sz w:val="21"/>
              </w:rPr>
              <w:t>6.2 保单借款</w:t>
            </w:r>
          </w:p>
        </w:tc>
        <w:tc>
          <w:tcPr>
            <w:tcW w:w="3202" w:type="dxa"/>
          </w:tcPr>
          <w:p>
            <w:pPr>
              <w:pStyle w:val="TableParagraph"/>
              <w:ind w:left="0"/>
              <w:rPr>
                <w:rFonts w:ascii="Times New Roman"/>
                <w:sz w:val="20"/>
              </w:rPr>
            </w:pPr>
          </w:p>
        </w:tc>
      </w:tr>
      <w:tr>
        <w:trPr>
          <w:trHeight w:val="261" w:hRule="atLeast"/>
        </w:trPr>
        <w:tc>
          <w:tcPr>
            <w:tcW w:w="3280" w:type="dxa"/>
          </w:tcPr>
          <w:p>
            <w:pPr>
              <w:pStyle w:val="TableParagraph"/>
              <w:spacing w:line="241" w:lineRule="exact"/>
              <w:ind w:left="410"/>
              <w:rPr>
                <w:sz w:val="21"/>
              </w:rPr>
            </w:pPr>
            <w:r>
              <w:rPr>
                <w:sz w:val="21"/>
              </w:rPr>
              <w:t>3.3 轻度重疾的定义</w:t>
            </w:r>
          </w:p>
        </w:tc>
        <w:tc>
          <w:tcPr>
            <w:tcW w:w="3262" w:type="dxa"/>
          </w:tcPr>
          <w:p>
            <w:pPr>
              <w:pStyle w:val="TableParagraph"/>
              <w:spacing w:line="241" w:lineRule="exact"/>
              <w:ind w:left="350"/>
              <w:rPr>
                <w:sz w:val="21"/>
              </w:rPr>
            </w:pPr>
            <w:r>
              <w:rPr>
                <w:sz w:val="21"/>
              </w:rPr>
              <w:t>6.3 解除合同（退保）</w:t>
            </w:r>
          </w:p>
        </w:tc>
        <w:tc>
          <w:tcPr>
            <w:tcW w:w="3202" w:type="dxa"/>
          </w:tcPr>
          <w:p>
            <w:pPr>
              <w:pStyle w:val="TableParagraph"/>
              <w:ind w:left="0"/>
              <w:rPr>
                <w:rFonts w:ascii="Times New Roman"/>
                <w:sz w:val="18"/>
              </w:rPr>
            </w:pPr>
          </w:p>
        </w:tc>
      </w:tr>
    </w:tbl>
    <w:p>
      <w:pPr>
        <w:spacing w:after="0"/>
        <w:rPr>
          <w:rFonts w:ascii="Times New Roman"/>
          <w:sz w:val="18"/>
        </w:rPr>
        <w:sectPr>
          <w:pgSz w:w="11910" w:h="16840"/>
          <w:pgMar w:top="1560" w:bottom="280" w:left="900" w:right="10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0"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b/>
          <w:sz w:val="28"/>
        </w:rPr>
      </w:pPr>
    </w:p>
    <w:p>
      <w:pPr>
        <w:pStyle w:val="Heading2"/>
        <w:ind w:left="1616"/>
      </w:pPr>
      <w:r>
        <w:rPr>
          <w:w w:val="95"/>
        </w:rPr>
        <w:t>条款是保险合同的重要组成部分，请投保人、被保险人、受益人仔细阅读。</w:t>
      </w:r>
    </w:p>
    <w:p>
      <w:pPr>
        <w:pStyle w:val="BodyText"/>
        <w:rPr>
          <w:b/>
          <w:sz w:val="20"/>
        </w:rPr>
      </w:pPr>
    </w:p>
    <w:p>
      <w:pPr>
        <w:pStyle w:val="BodyText"/>
        <w:spacing w:before="8"/>
        <w:rPr>
          <w:b/>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854"/>
        <w:gridCol w:w="7115"/>
      </w:tblGrid>
      <w:tr>
        <w:trPr>
          <w:trHeight w:val="393" w:hRule="atLeast"/>
        </w:trPr>
        <w:tc>
          <w:tcPr>
            <w:tcW w:w="9660" w:type="dxa"/>
            <w:gridSpan w:val="3"/>
          </w:tcPr>
          <w:p>
            <w:pPr>
              <w:pStyle w:val="TableParagraph"/>
              <w:spacing w:line="210" w:lineRule="exact"/>
              <w:ind w:left="109"/>
              <w:rPr>
                <w:sz w:val="21"/>
              </w:rPr>
            </w:pPr>
            <w:r>
              <w:rPr>
                <w:sz w:val="21"/>
              </w:rPr>
              <w:t>在本条款中，“我们”、“本公司”均指中荷人寿保险有限公司。</w:t>
            </w:r>
          </w:p>
        </w:tc>
      </w:tr>
      <w:tr>
        <w:trPr>
          <w:trHeight w:val="635" w:hRule="atLeast"/>
        </w:trPr>
        <w:tc>
          <w:tcPr>
            <w:tcW w:w="691" w:type="dxa"/>
            <w:tcBorders>
              <w:bottom w:val="double" w:sz="1" w:space="0" w:color="000000"/>
            </w:tcBorders>
          </w:tcPr>
          <w:p>
            <w:pPr>
              <w:pStyle w:val="TableParagraph"/>
              <w:spacing w:before="96"/>
              <w:ind w:left="109"/>
              <w:rPr>
                <w:b/>
                <w:sz w:val="28"/>
              </w:rPr>
            </w:pPr>
            <w:r>
              <w:rPr>
                <w:b/>
                <w:w w:val="99"/>
                <w:sz w:val="28"/>
              </w:rPr>
              <w:t>1</w:t>
            </w:r>
          </w:p>
        </w:tc>
        <w:tc>
          <w:tcPr>
            <w:tcW w:w="8969" w:type="dxa"/>
            <w:gridSpan w:val="2"/>
            <w:tcBorders>
              <w:bottom w:val="double" w:sz="1" w:space="0" w:color="000000"/>
            </w:tcBorders>
          </w:tcPr>
          <w:p>
            <w:pPr>
              <w:pStyle w:val="TableParagraph"/>
              <w:spacing w:before="96"/>
              <w:ind w:left="265"/>
              <w:rPr>
                <w:b/>
                <w:sz w:val="28"/>
              </w:rPr>
            </w:pPr>
            <w:r>
              <w:rPr>
                <w:b/>
                <w:w w:val="95"/>
                <w:sz w:val="28"/>
              </w:rPr>
              <w:t>投保人与我们的合同</w:t>
            </w:r>
          </w:p>
        </w:tc>
      </w:tr>
      <w:tr>
        <w:trPr>
          <w:trHeight w:val="3043" w:hRule="atLeast"/>
        </w:trPr>
        <w:tc>
          <w:tcPr>
            <w:tcW w:w="691" w:type="dxa"/>
            <w:tcBorders>
              <w:top w:val="double" w:sz="1" w:space="0" w:color="000000"/>
            </w:tcBorders>
          </w:tcPr>
          <w:p>
            <w:pPr>
              <w:pStyle w:val="TableParagraph"/>
              <w:spacing w:before="12"/>
              <w:ind w:left="0"/>
              <w:rPr>
                <w:b/>
                <w:sz w:val="13"/>
              </w:rPr>
            </w:pPr>
          </w:p>
          <w:p>
            <w:pPr>
              <w:pStyle w:val="TableParagraph"/>
              <w:ind w:left="109"/>
              <w:rPr>
                <w:b/>
                <w:sz w:val="21"/>
              </w:rPr>
            </w:pPr>
            <w:r>
              <w:rPr>
                <w:b/>
                <w:sz w:val="21"/>
              </w:rPr>
              <w:t>1.1</w:t>
            </w:r>
          </w:p>
        </w:tc>
        <w:tc>
          <w:tcPr>
            <w:tcW w:w="1854" w:type="dxa"/>
            <w:tcBorders>
              <w:top w:val="double" w:sz="1" w:space="0" w:color="000000"/>
            </w:tcBorders>
          </w:tcPr>
          <w:p>
            <w:pPr>
              <w:pStyle w:val="TableParagraph"/>
              <w:spacing w:before="12"/>
              <w:ind w:left="0"/>
              <w:rPr>
                <w:b/>
                <w:sz w:val="13"/>
              </w:rPr>
            </w:pPr>
          </w:p>
          <w:p>
            <w:pPr>
              <w:pStyle w:val="TableParagraph"/>
              <w:ind w:left="263"/>
              <w:rPr>
                <w:b/>
                <w:sz w:val="21"/>
              </w:rPr>
            </w:pPr>
            <w:r>
              <w:rPr>
                <w:b/>
                <w:w w:val="95"/>
                <w:sz w:val="21"/>
              </w:rPr>
              <w:t>合同构成</w:t>
            </w:r>
          </w:p>
        </w:tc>
        <w:tc>
          <w:tcPr>
            <w:tcW w:w="7115" w:type="dxa"/>
            <w:tcBorders>
              <w:top w:val="double" w:sz="1" w:space="0" w:color="000000"/>
            </w:tcBorders>
          </w:tcPr>
          <w:p>
            <w:pPr>
              <w:pStyle w:val="TableParagraph"/>
              <w:spacing w:line="237" w:lineRule="auto" w:before="165"/>
              <w:ind w:left="112" w:right="1"/>
              <w:rPr>
                <w:sz w:val="21"/>
              </w:rPr>
            </w:pPr>
            <w:r>
              <w:rPr>
                <w:spacing w:val="-3"/>
                <w:sz w:val="21"/>
              </w:rPr>
              <w:t>中荷附加一生关爱定期重大疾病保险合同 </w:t>
            </w:r>
            <w:r>
              <w:rPr>
                <w:sz w:val="21"/>
              </w:rPr>
              <w:t>D</w:t>
            </w:r>
            <w:r>
              <w:rPr>
                <w:spacing w:val="-36"/>
                <w:sz w:val="21"/>
              </w:rPr>
              <w:t> 款</w:t>
            </w:r>
            <w:r>
              <w:rPr>
                <w:sz w:val="21"/>
              </w:rPr>
              <w:t>（以下简称本附加合同</w:t>
            </w:r>
            <w:r>
              <w:rPr>
                <w:spacing w:val="-19"/>
                <w:sz w:val="21"/>
              </w:rPr>
              <w:t>）</w:t>
            </w:r>
            <w:r>
              <w:rPr>
                <w:sz w:val="21"/>
              </w:rPr>
              <w:t>依中</w:t>
            </w:r>
            <w:r>
              <w:rPr>
                <w:spacing w:val="-6"/>
                <w:sz w:val="21"/>
              </w:rPr>
              <w:t>荷一生关爱两全保险 </w:t>
            </w:r>
            <w:r>
              <w:rPr>
                <w:sz w:val="21"/>
              </w:rPr>
              <w:t>D</w:t>
            </w:r>
            <w:r>
              <w:rPr>
                <w:spacing w:val="-10"/>
                <w:sz w:val="21"/>
              </w:rPr>
              <w:t> 款(分红型)合同条款</w:t>
            </w:r>
            <w:r>
              <w:rPr>
                <w:sz w:val="21"/>
              </w:rPr>
              <w:t>（</w:t>
            </w:r>
            <w:r>
              <w:rPr>
                <w:spacing w:val="-9"/>
                <w:sz w:val="21"/>
              </w:rPr>
              <w:t>以下简称主合同，代码 </w:t>
            </w:r>
            <w:r>
              <w:rPr>
                <w:spacing w:val="-10"/>
                <w:sz w:val="21"/>
              </w:rPr>
              <w:t>ED）</w:t>
            </w:r>
            <w:r>
              <w:rPr>
                <w:sz w:val="21"/>
              </w:rPr>
              <w:t>投</w:t>
            </w:r>
            <w:r>
              <w:rPr>
                <w:spacing w:val="-13"/>
                <w:sz w:val="21"/>
              </w:rPr>
              <w:t>保人的申请，经本公司同意而订立。本附加合同须附加于主合同后始为有效。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TableParagraph"/>
              <w:spacing w:line="237" w:lineRule="auto"/>
              <w:ind w:left="113" w:right="106"/>
              <w:rPr>
                <w:sz w:val="21"/>
              </w:rPr>
            </w:pPr>
            <w:r>
              <w:rPr>
                <w:sz w:val="21"/>
              </w:rPr>
              <w:t>本附加合同条款依法按照通常理解予以解释，如合同条款有两种以上解释的，作有利于被保险人或受益人的解释。</w:t>
            </w:r>
          </w:p>
          <w:p>
            <w:pPr>
              <w:pStyle w:val="TableParagraph"/>
              <w:spacing w:line="272" w:lineRule="exact"/>
              <w:ind w:left="113"/>
              <w:rPr>
                <w:sz w:val="21"/>
              </w:rPr>
            </w:pPr>
            <w:r>
              <w:rPr>
                <w:sz w:val="21"/>
              </w:rPr>
              <w:t>本附加合同的代码为 DDD。</w:t>
            </w:r>
          </w:p>
        </w:tc>
      </w:tr>
      <w:tr>
        <w:trPr>
          <w:trHeight w:val="6218" w:hRule="atLeast"/>
        </w:trPr>
        <w:tc>
          <w:tcPr>
            <w:tcW w:w="691" w:type="dxa"/>
          </w:tcPr>
          <w:p>
            <w:pPr>
              <w:pStyle w:val="TableParagraph"/>
              <w:spacing w:before="90"/>
              <w:ind w:left="109"/>
              <w:rPr>
                <w:b/>
                <w:sz w:val="21"/>
              </w:rPr>
            </w:pPr>
            <w:r>
              <w:rPr>
                <w:b/>
                <w:sz w:val="21"/>
              </w:rPr>
              <w:t>1.2</w:t>
            </w:r>
          </w:p>
        </w:tc>
        <w:tc>
          <w:tcPr>
            <w:tcW w:w="1854" w:type="dxa"/>
          </w:tcPr>
          <w:p>
            <w:pPr>
              <w:pStyle w:val="TableParagraph"/>
              <w:spacing w:before="90"/>
              <w:ind w:left="263"/>
              <w:rPr>
                <w:b/>
                <w:sz w:val="21"/>
              </w:rPr>
            </w:pPr>
            <w:r>
              <w:rPr>
                <w:b/>
                <w:w w:val="95"/>
                <w:sz w:val="21"/>
              </w:rPr>
              <w:t>如实告知</w:t>
            </w:r>
          </w:p>
        </w:tc>
        <w:tc>
          <w:tcPr>
            <w:tcW w:w="7115" w:type="dxa"/>
          </w:tcPr>
          <w:p>
            <w:pPr>
              <w:pStyle w:val="TableParagraph"/>
              <w:spacing w:line="273" w:lineRule="auto" w:before="90"/>
              <w:ind w:left="113" w:right="104"/>
              <w:jc w:val="both"/>
              <w:rPr>
                <w:sz w:val="21"/>
              </w:rPr>
            </w:pP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TableParagraph"/>
              <w:spacing w:line="273" w:lineRule="auto" w:before="7"/>
              <w:ind w:left="113" w:right="71"/>
              <w:jc w:val="both"/>
              <w:rPr>
                <w:sz w:val="21"/>
              </w:rPr>
            </w:pPr>
            <w:r>
              <w:rPr>
                <w:sz w:val="21"/>
              </w:rPr>
              <w:t>订立本附加合同，我们可以就投保人和被保险人的有关情况提出书面询问，投保人应当如实告知。</w:t>
            </w:r>
          </w:p>
          <w:p>
            <w:pPr>
              <w:pStyle w:val="TableParagraph"/>
              <w:spacing w:line="273" w:lineRule="auto" w:before="7"/>
              <w:ind w:left="113" w:right="105"/>
              <w:jc w:val="both"/>
              <w:rPr>
                <w:sz w:val="21"/>
              </w:rPr>
            </w:pPr>
            <w:r>
              <w:rPr>
                <w:spacing w:val="-3"/>
                <w:sz w:val="21"/>
              </w:rPr>
              <w:t>如果投保人故意隐瞒事实，不履行如实告知义务，或者因重大过失未履行如</w:t>
            </w:r>
            <w:r>
              <w:rPr>
                <w:spacing w:val="-7"/>
                <w:sz w:val="21"/>
              </w:rPr>
              <w:t>实告知义务，足以影响我们决定是否同意承保或者提高保险费率的，我们有</w:t>
            </w:r>
            <w:r>
              <w:rPr>
                <w:spacing w:val="-10"/>
                <w:sz w:val="21"/>
              </w:rPr>
              <w:t>权解除本附加合同。但若被保险人自本附加合同成立日</w:t>
            </w:r>
            <w:r>
              <w:rPr>
                <w:sz w:val="21"/>
              </w:rPr>
              <w:t>（若本合同中止后复</w:t>
            </w:r>
            <w:r>
              <w:rPr>
                <w:spacing w:val="-3"/>
                <w:sz w:val="21"/>
              </w:rPr>
              <w:t>效，则以最后复效日为准</w:t>
            </w:r>
            <w:r>
              <w:rPr>
                <w:spacing w:val="-12"/>
                <w:sz w:val="21"/>
              </w:rPr>
              <w:t>）</w:t>
            </w:r>
            <w:r>
              <w:rPr>
                <w:spacing w:val="-1"/>
                <w:sz w:val="21"/>
              </w:rPr>
              <w:t>起持续有效两年后才发生保险事故的，我们将不再依据本条规定行使对本附加合同的解除权。</w:t>
            </w:r>
          </w:p>
          <w:p>
            <w:pPr>
              <w:pStyle w:val="TableParagraph"/>
              <w:spacing w:line="237" w:lineRule="auto"/>
              <w:ind w:left="113" w:right="104"/>
              <w:jc w:val="both"/>
              <w:rPr>
                <w:sz w:val="21"/>
              </w:rPr>
            </w:pPr>
            <w:r>
              <w:rPr>
                <w:sz w:val="21"/>
              </w:rPr>
              <w:t>如果我们在本附加合同订立时已经知道投保人未如实告知的或自我们知道有解除事由之日起超过三十日没有解除本附加合同，则我们不再依据前款约定行使解除权。</w:t>
            </w:r>
          </w:p>
          <w:p>
            <w:pPr>
              <w:pStyle w:val="TableParagraph"/>
              <w:spacing w:line="273" w:lineRule="auto" w:before="28"/>
              <w:ind w:left="113" w:right="104"/>
              <w:jc w:val="both"/>
              <w:rPr>
                <w:sz w:val="21"/>
              </w:rPr>
            </w:pPr>
            <w:r>
              <w:rPr>
                <w:spacing w:val="-3"/>
                <w:sz w:val="21"/>
              </w:rPr>
              <w:t>如果投保人故意不履行如实告知义务，我们对于本合同解除前发生的保险事故，不承担给付保险金的责任，并不退还保险费。</w:t>
            </w:r>
          </w:p>
          <w:p>
            <w:pPr>
              <w:pStyle w:val="TableParagraph"/>
              <w:spacing w:line="237" w:lineRule="auto"/>
              <w:ind w:left="113" w:right="1"/>
              <w:rPr>
                <w:sz w:val="21"/>
              </w:rPr>
            </w:pPr>
            <w:r>
              <w:rPr>
                <w:spacing w:val="-2"/>
                <w:sz w:val="21"/>
              </w:rPr>
              <w:t>如果投保人因重大过失未履行如实告知义务，对保险事故的发生有严重影响</w:t>
            </w:r>
            <w:r>
              <w:rPr>
                <w:spacing w:val="-12"/>
                <w:sz w:val="21"/>
              </w:rPr>
              <w:t>的，我们对于本附加合同解除前发生的保险事故，不承担给付保险金的责任，但退还本附加合同的保险费。</w:t>
            </w:r>
          </w:p>
        </w:tc>
      </w:tr>
      <w:tr>
        <w:trPr>
          <w:trHeight w:val="687" w:hRule="atLeast"/>
        </w:trPr>
        <w:tc>
          <w:tcPr>
            <w:tcW w:w="691" w:type="dxa"/>
          </w:tcPr>
          <w:p>
            <w:pPr>
              <w:pStyle w:val="TableParagraph"/>
              <w:spacing w:before="101"/>
              <w:ind w:left="109"/>
              <w:rPr>
                <w:b/>
                <w:sz w:val="21"/>
              </w:rPr>
            </w:pPr>
            <w:r>
              <w:rPr>
                <w:b/>
                <w:sz w:val="21"/>
              </w:rPr>
              <w:t>1.3</w:t>
            </w:r>
          </w:p>
        </w:tc>
        <w:tc>
          <w:tcPr>
            <w:tcW w:w="1854" w:type="dxa"/>
          </w:tcPr>
          <w:p>
            <w:pPr>
              <w:pStyle w:val="TableParagraph"/>
              <w:spacing w:line="310" w:lineRule="atLeast" w:before="65"/>
              <w:ind w:left="265" w:right="111" w:hanging="1"/>
              <w:rPr>
                <w:b/>
                <w:sz w:val="21"/>
              </w:rPr>
            </w:pPr>
            <w:r>
              <w:rPr>
                <w:b/>
                <w:sz w:val="21"/>
              </w:rPr>
              <w:t>合同成立及保险</w:t>
            </w:r>
            <w:r>
              <w:rPr>
                <w:b/>
                <w:w w:val="95"/>
                <w:sz w:val="21"/>
              </w:rPr>
              <w:t>责任的开始</w:t>
            </w:r>
          </w:p>
        </w:tc>
        <w:tc>
          <w:tcPr>
            <w:tcW w:w="7115" w:type="dxa"/>
          </w:tcPr>
          <w:p>
            <w:pPr>
              <w:pStyle w:val="TableParagraph"/>
              <w:spacing w:before="80"/>
              <w:ind w:left="113"/>
              <w:rPr>
                <w:sz w:val="21"/>
              </w:rPr>
            </w:pPr>
            <w:r>
              <w:rPr>
                <w:sz w:val="21"/>
              </w:rPr>
              <w:t>本附加合同与主合同同时投保、同时生效、保险责任同时开始。</w:t>
            </w:r>
          </w:p>
        </w:tc>
      </w:tr>
    </w:tbl>
    <w:p>
      <w:pPr>
        <w:spacing w:after="0"/>
        <w:rPr>
          <w:sz w:val="21"/>
        </w:rPr>
        <w:sectPr>
          <w:footerReference w:type="default" r:id="rId7"/>
          <w:pgSz w:w="11910" w:h="16840"/>
          <w:pgMar w:footer="918" w:header="0" w:top="1500" w:bottom="1100" w:left="1080" w:right="940"/>
          <w:pgNumType w:start="1"/>
        </w:sectPr>
      </w:pPr>
    </w:p>
    <w:p>
      <w:pPr>
        <w:pStyle w:val="BodyText"/>
        <w:spacing w:before="11"/>
        <w:rPr>
          <w:rFonts w:ascii="Times New Roman"/>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57"/>
        <w:gridCol w:w="7109"/>
      </w:tblGrid>
      <w:tr>
        <w:trPr>
          <w:trHeight w:val="450" w:hRule="atLeast"/>
        </w:trPr>
        <w:tc>
          <w:tcPr>
            <w:tcW w:w="795" w:type="dxa"/>
            <w:tcBorders>
              <w:bottom w:val="double" w:sz="1" w:space="0" w:color="000000"/>
            </w:tcBorders>
          </w:tcPr>
          <w:p>
            <w:pPr>
              <w:pStyle w:val="TableParagraph"/>
              <w:spacing w:line="280" w:lineRule="exact"/>
              <w:ind w:left="109"/>
              <w:rPr>
                <w:b/>
                <w:sz w:val="28"/>
              </w:rPr>
            </w:pPr>
            <w:r>
              <w:rPr>
                <w:b/>
                <w:w w:val="99"/>
                <w:sz w:val="28"/>
              </w:rPr>
              <w:t>2</w:t>
            </w:r>
          </w:p>
        </w:tc>
        <w:tc>
          <w:tcPr>
            <w:tcW w:w="8866" w:type="dxa"/>
            <w:gridSpan w:val="2"/>
            <w:tcBorders>
              <w:bottom w:val="double" w:sz="1" w:space="0" w:color="000000"/>
            </w:tcBorders>
          </w:tcPr>
          <w:p>
            <w:pPr>
              <w:pStyle w:val="TableParagraph"/>
              <w:spacing w:line="280" w:lineRule="exact"/>
              <w:ind w:left="161"/>
              <w:rPr>
                <w:b/>
                <w:sz w:val="28"/>
              </w:rPr>
            </w:pPr>
            <w:r>
              <w:rPr>
                <w:b/>
                <w:w w:val="95"/>
                <w:sz w:val="28"/>
              </w:rPr>
              <w:t>我们提供的保障</w:t>
            </w:r>
          </w:p>
        </w:tc>
      </w:tr>
      <w:tr>
        <w:trPr>
          <w:trHeight w:val="1246" w:hRule="atLeast"/>
        </w:trPr>
        <w:tc>
          <w:tcPr>
            <w:tcW w:w="795" w:type="dxa"/>
            <w:tcBorders>
              <w:top w:val="double" w:sz="1" w:space="0" w:color="000000"/>
            </w:tcBorders>
          </w:tcPr>
          <w:p>
            <w:pPr>
              <w:pStyle w:val="TableParagraph"/>
              <w:spacing w:before="11"/>
              <w:ind w:left="0"/>
              <w:rPr>
                <w:rFonts w:ascii="Times New Roman"/>
                <w:sz w:val="15"/>
              </w:rPr>
            </w:pPr>
          </w:p>
          <w:p>
            <w:pPr>
              <w:pStyle w:val="TableParagraph"/>
              <w:ind w:left="109"/>
              <w:rPr>
                <w:b/>
                <w:sz w:val="21"/>
              </w:rPr>
            </w:pPr>
            <w:r>
              <w:rPr>
                <w:b/>
                <w:sz w:val="21"/>
              </w:rPr>
              <w:t>2.1</w:t>
            </w:r>
          </w:p>
        </w:tc>
        <w:tc>
          <w:tcPr>
            <w:tcW w:w="1757" w:type="dxa"/>
            <w:tcBorders>
              <w:top w:val="double" w:sz="1" w:space="0" w:color="000000"/>
            </w:tcBorders>
          </w:tcPr>
          <w:p>
            <w:pPr>
              <w:pStyle w:val="TableParagraph"/>
              <w:spacing w:before="11"/>
              <w:ind w:left="0"/>
              <w:rPr>
                <w:rFonts w:ascii="Times New Roman"/>
                <w:sz w:val="15"/>
              </w:rPr>
            </w:pPr>
          </w:p>
          <w:p>
            <w:pPr>
              <w:pStyle w:val="TableParagraph"/>
              <w:ind w:left="159"/>
              <w:rPr>
                <w:b/>
                <w:sz w:val="21"/>
              </w:rPr>
            </w:pPr>
            <w:r>
              <w:rPr>
                <w:b/>
                <w:w w:val="95"/>
                <w:sz w:val="21"/>
              </w:rPr>
              <w:t>保险金额</w:t>
            </w:r>
          </w:p>
        </w:tc>
        <w:tc>
          <w:tcPr>
            <w:tcW w:w="710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105" w:right="107"/>
              <w:rPr>
                <w:sz w:val="21"/>
              </w:rPr>
            </w:pPr>
            <w:r>
              <w:rPr>
                <w:sz w:val="21"/>
              </w:rPr>
              <w:t>本附加合同所称的保险金额是指保险单或主合同批注上所载的本附加合同</w:t>
            </w:r>
            <w:r>
              <w:rPr>
                <w:spacing w:val="-5"/>
                <w:sz w:val="21"/>
              </w:rPr>
              <w:t>的保险金额。若该金额按本附加合同其它条款的约定发生变更，则以变更后的金额为保险金额。</w:t>
            </w:r>
          </w:p>
        </w:tc>
      </w:tr>
      <w:tr>
        <w:trPr>
          <w:trHeight w:val="550" w:hRule="atLeast"/>
        </w:trPr>
        <w:tc>
          <w:tcPr>
            <w:tcW w:w="795" w:type="dxa"/>
          </w:tcPr>
          <w:p>
            <w:pPr>
              <w:pStyle w:val="TableParagraph"/>
              <w:spacing w:before="99"/>
              <w:ind w:left="109"/>
              <w:rPr>
                <w:b/>
                <w:sz w:val="21"/>
              </w:rPr>
            </w:pPr>
            <w:r>
              <w:rPr>
                <w:b/>
                <w:sz w:val="21"/>
              </w:rPr>
              <w:t>2.2</w:t>
            </w:r>
          </w:p>
        </w:tc>
        <w:tc>
          <w:tcPr>
            <w:tcW w:w="1757" w:type="dxa"/>
          </w:tcPr>
          <w:p>
            <w:pPr>
              <w:pStyle w:val="TableParagraph"/>
              <w:spacing w:before="99"/>
              <w:ind w:left="161"/>
              <w:rPr>
                <w:b/>
                <w:sz w:val="21"/>
              </w:rPr>
            </w:pPr>
            <w:r>
              <w:rPr>
                <w:b/>
                <w:sz w:val="21"/>
              </w:rPr>
              <w:t>保险责任</w:t>
            </w:r>
          </w:p>
        </w:tc>
        <w:tc>
          <w:tcPr>
            <w:tcW w:w="7109" w:type="dxa"/>
          </w:tcPr>
          <w:p>
            <w:pPr>
              <w:pStyle w:val="TableParagraph"/>
              <w:spacing w:before="124"/>
              <w:ind w:left="105"/>
              <w:rPr>
                <w:sz w:val="21"/>
              </w:rPr>
            </w:pPr>
            <w:r>
              <w:rPr>
                <w:sz w:val="21"/>
              </w:rPr>
              <w:t>在本合同有效期内，我们承担如下保险责任：</w:t>
            </w:r>
          </w:p>
        </w:tc>
      </w:tr>
      <w:tr>
        <w:trPr>
          <w:trHeight w:val="2936" w:hRule="atLeast"/>
        </w:trPr>
        <w:tc>
          <w:tcPr>
            <w:tcW w:w="795" w:type="dxa"/>
          </w:tcPr>
          <w:p>
            <w:pPr>
              <w:pStyle w:val="TableParagraph"/>
              <w:spacing w:before="84"/>
              <w:ind w:left="109"/>
              <w:rPr>
                <w:i/>
                <w:sz w:val="22"/>
              </w:rPr>
            </w:pPr>
            <w:r>
              <w:rPr>
                <w:i/>
                <w:sz w:val="22"/>
              </w:rPr>
              <w:t>2.2.1</w:t>
            </w:r>
          </w:p>
        </w:tc>
        <w:tc>
          <w:tcPr>
            <w:tcW w:w="1757" w:type="dxa"/>
          </w:tcPr>
          <w:p>
            <w:pPr>
              <w:pStyle w:val="TableParagraph"/>
              <w:spacing w:before="84"/>
              <w:ind w:left="161"/>
              <w:rPr>
                <w:i/>
                <w:sz w:val="22"/>
              </w:rPr>
            </w:pPr>
            <w:r>
              <w:rPr>
                <w:i/>
                <w:w w:val="95"/>
                <w:sz w:val="22"/>
              </w:rPr>
              <w:t>重大疾病保险金</w:t>
            </w:r>
          </w:p>
        </w:tc>
        <w:tc>
          <w:tcPr>
            <w:tcW w:w="7109" w:type="dxa"/>
          </w:tcPr>
          <w:p>
            <w:pPr>
              <w:pStyle w:val="TableParagraph"/>
              <w:spacing w:line="278" w:lineRule="auto" w:before="121"/>
              <w:ind w:left="106"/>
              <w:rPr>
                <w:sz w:val="21"/>
              </w:rPr>
            </w:pPr>
            <w:r>
              <w:rPr>
                <w:spacing w:val="-5"/>
                <w:sz w:val="21"/>
              </w:rPr>
              <w:t>在本附加合同有效期内，被保险人因</w:t>
            </w:r>
            <w:r>
              <w:rPr>
                <w:b/>
                <w:sz w:val="21"/>
              </w:rPr>
              <w:t>意外伤害事故</w:t>
            </w:r>
            <w:r>
              <w:rPr>
                <w:sz w:val="21"/>
              </w:rPr>
              <w:t>或于本</w:t>
            </w:r>
            <w:r>
              <w:rPr>
                <w:b/>
                <w:sz w:val="21"/>
              </w:rPr>
              <w:t>附加合同持续有效</w:t>
            </w:r>
            <w:r>
              <w:rPr>
                <w:b/>
                <w:spacing w:val="-28"/>
                <w:w w:val="95"/>
                <w:sz w:val="21"/>
              </w:rPr>
              <w:t>九十日</w:t>
            </w:r>
            <w:r>
              <w:rPr>
                <w:b/>
                <w:w w:val="95"/>
                <w:sz w:val="21"/>
              </w:rPr>
              <w:t>（</w:t>
            </w:r>
            <w:r>
              <w:rPr>
                <w:b/>
                <w:spacing w:val="-8"/>
                <w:w w:val="95"/>
                <w:sz w:val="21"/>
              </w:rPr>
              <w:t>若本附加合同中止后复效，则以最后复效日起持续有效九十日为准</w:t>
            </w:r>
            <w:r>
              <w:rPr>
                <w:b/>
                <w:w w:val="95"/>
                <w:sz w:val="21"/>
              </w:rPr>
              <w:t>） </w:t>
            </w:r>
            <w:r>
              <w:rPr>
                <w:b/>
                <w:spacing w:val="0"/>
                <w:w w:val="99"/>
                <w:sz w:val="21"/>
              </w:rPr>
              <w:t>以</w:t>
            </w:r>
            <w:r>
              <w:rPr>
                <w:b/>
                <w:spacing w:val="-11"/>
                <w:w w:val="99"/>
                <w:sz w:val="21"/>
              </w:rPr>
              <w:t>后</w:t>
            </w:r>
            <w:r>
              <w:rPr>
                <w:sz w:val="21"/>
              </w:rPr>
              <w:t>（</w:t>
            </w:r>
            <w:r>
              <w:rPr>
                <w:spacing w:val="-1"/>
                <w:sz w:val="21"/>
              </w:rPr>
              <w:t>不含当日</w:t>
            </w:r>
            <w:r>
              <w:rPr>
                <w:spacing w:val="-12"/>
                <w:sz w:val="21"/>
              </w:rPr>
              <w:t>）</w:t>
            </w:r>
            <w:r>
              <w:rPr>
                <w:spacing w:val="-1"/>
                <w:sz w:val="21"/>
              </w:rPr>
              <w:t>首次确诊患本附加合同所述重大疾病</w:t>
            </w:r>
            <w:r>
              <w:rPr>
                <w:sz w:val="21"/>
              </w:rPr>
              <w:t>（无论一种或多种</w:t>
            </w:r>
            <w:r>
              <w:rPr>
                <w:spacing w:val="-105"/>
                <w:sz w:val="21"/>
              </w:rPr>
              <w:t>）</w:t>
            </w:r>
            <w:r>
              <w:rPr>
                <w:sz w:val="21"/>
              </w:rPr>
              <w:t>，则</w:t>
            </w:r>
            <w:r>
              <w:rPr>
                <w:spacing w:val="-2"/>
                <w:sz w:val="21"/>
              </w:rPr>
              <w:t>我们给付等值于本附加合同保险金额的重大疾病保险金，本附加合同及主合</w:t>
            </w:r>
            <w:r>
              <w:rPr>
                <w:spacing w:val="-30"/>
                <w:sz w:val="21"/>
              </w:rPr>
              <w:t>同 </w:t>
            </w:r>
            <w:r>
              <w:rPr>
                <w:sz w:val="21"/>
              </w:rPr>
              <w:t>ED</w:t>
            </w:r>
            <w:r>
              <w:rPr>
                <w:spacing w:val="-10"/>
                <w:sz w:val="21"/>
              </w:rPr>
              <w:t> 效力终止。</w:t>
            </w:r>
          </w:p>
          <w:p>
            <w:pPr>
              <w:pStyle w:val="TableParagraph"/>
              <w:spacing w:line="278" w:lineRule="auto" w:before="11"/>
              <w:ind w:left="106" w:right="106"/>
              <w:jc w:val="both"/>
              <w:rPr>
                <w:b/>
                <w:sz w:val="21"/>
              </w:rPr>
            </w:pPr>
            <w:r>
              <w:rPr>
                <w:b/>
                <w:spacing w:val="-3"/>
                <w:w w:val="95"/>
                <w:sz w:val="21"/>
              </w:rPr>
              <w:t>我们根据疾病诊断时的疾病状态或疾病阶段给付保险金，任何在诊断时已经  </w:t>
            </w:r>
            <w:r>
              <w:rPr>
                <w:b/>
                <w:spacing w:val="-10"/>
                <w:sz w:val="21"/>
              </w:rPr>
              <w:t>超越的疾病状态或阶段，我们不给付 </w:t>
            </w:r>
            <w:r>
              <w:rPr>
                <w:b/>
                <w:sz w:val="21"/>
              </w:rPr>
              <w:t>2.2.3</w:t>
            </w:r>
            <w:r>
              <w:rPr>
                <w:b/>
                <w:spacing w:val="-11"/>
                <w:sz w:val="21"/>
              </w:rPr>
              <w:t> 轻症重疾给付保险金。轻症重疾</w:t>
            </w:r>
            <w:r>
              <w:rPr>
                <w:b/>
                <w:spacing w:val="-35"/>
                <w:sz w:val="21"/>
              </w:rPr>
              <w:t>的 </w:t>
            </w:r>
            <w:r>
              <w:rPr>
                <w:b/>
                <w:sz w:val="21"/>
              </w:rPr>
              <w:t>2，4，7</w:t>
            </w:r>
            <w:r>
              <w:rPr>
                <w:b/>
                <w:spacing w:val="-8"/>
                <w:sz w:val="21"/>
              </w:rPr>
              <w:t> 涉及介入手术的轻症重疾不受此限制。</w:t>
            </w:r>
          </w:p>
        </w:tc>
      </w:tr>
      <w:tr>
        <w:trPr>
          <w:trHeight w:val="3309" w:hRule="atLeast"/>
        </w:trPr>
        <w:tc>
          <w:tcPr>
            <w:tcW w:w="795" w:type="dxa"/>
          </w:tcPr>
          <w:p>
            <w:pPr>
              <w:pStyle w:val="TableParagraph"/>
              <w:spacing w:before="2"/>
              <w:ind w:left="0"/>
              <w:rPr>
                <w:rFonts w:ascii="Times New Roman"/>
                <w:sz w:val="22"/>
              </w:rPr>
            </w:pPr>
          </w:p>
          <w:p>
            <w:pPr>
              <w:pStyle w:val="TableParagraph"/>
              <w:ind w:left="109"/>
              <w:rPr>
                <w:i/>
                <w:sz w:val="22"/>
              </w:rPr>
            </w:pPr>
            <w:r>
              <w:rPr>
                <w:i/>
                <w:sz w:val="22"/>
              </w:rPr>
              <w:t>2.2.2</w:t>
            </w:r>
          </w:p>
        </w:tc>
        <w:tc>
          <w:tcPr>
            <w:tcW w:w="1757" w:type="dxa"/>
          </w:tcPr>
          <w:p>
            <w:pPr>
              <w:pStyle w:val="TableParagraph"/>
              <w:spacing w:before="7"/>
              <w:ind w:left="0"/>
              <w:rPr>
                <w:rFonts w:ascii="Times New Roman"/>
                <w:sz w:val="21"/>
              </w:rPr>
            </w:pPr>
          </w:p>
          <w:p>
            <w:pPr>
              <w:pStyle w:val="TableParagraph"/>
              <w:spacing w:line="228" w:lineRule="auto"/>
              <w:ind w:left="161" w:right="106" w:hanging="1"/>
              <w:rPr>
                <w:i/>
                <w:sz w:val="22"/>
              </w:rPr>
            </w:pPr>
            <w:r>
              <w:rPr>
                <w:i/>
                <w:w w:val="95"/>
                <w:sz w:val="22"/>
              </w:rPr>
              <w:t>特定重大疾病额外给付</w:t>
            </w:r>
          </w:p>
        </w:tc>
        <w:tc>
          <w:tcPr>
            <w:tcW w:w="7109" w:type="dxa"/>
          </w:tcPr>
          <w:p>
            <w:pPr>
              <w:pStyle w:val="TableParagraph"/>
              <w:spacing w:before="4"/>
              <w:ind w:left="0"/>
              <w:rPr>
                <w:rFonts w:ascii="Times New Roman"/>
                <w:sz w:val="25"/>
              </w:rPr>
            </w:pPr>
          </w:p>
          <w:p>
            <w:pPr>
              <w:pStyle w:val="TableParagraph"/>
              <w:spacing w:line="278" w:lineRule="auto"/>
              <w:ind w:left="106" w:right="104"/>
              <w:jc w:val="both"/>
              <w:rPr>
                <w:sz w:val="21"/>
              </w:rPr>
            </w:pPr>
            <w:r>
              <w:rPr>
                <w:spacing w:val="-4"/>
                <w:sz w:val="21"/>
              </w:rPr>
              <w:t>在本附加合同有效期内，若被保险人因意外伤害事故或于本</w:t>
            </w:r>
            <w:r>
              <w:rPr>
                <w:b/>
                <w:sz w:val="21"/>
              </w:rPr>
              <w:t>附加合同持续有</w:t>
            </w:r>
            <w:r>
              <w:rPr>
                <w:b/>
                <w:spacing w:val="-8"/>
                <w:w w:val="95"/>
                <w:sz w:val="21"/>
              </w:rPr>
              <w:t>效九十日</w:t>
            </w:r>
            <w:r>
              <w:rPr>
                <w:b/>
                <w:w w:val="95"/>
                <w:sz w:val="21"/>
              </w:rPr>
              <w:t>（</w:t>
            </w:r>
            <w:r>
              <w:rPr>
                <w:b/>
                <w:spacing w:val="-3"/>
                <w:w w:val="95"/>
                <w:sz w:val="21"/>
              </w:rPr>
              <w:t>若本附加合同中止后复效，则以最后复效日起持续有效九十日为</w:t>
            </w:r>
            <w:r>
              <w:rPr>
                <w:b/>
                <w:spacing w:val="2"/>
                <w:w w:val="99"/>
                <w:sz w:val="21"/>
              </w:rPr>
              <w:t>准</w:t>
            </w:r>
            <w:r>
              <w:rPr>
                <w:b/>
                <w:spacing w:val="1"/>
                <w:w w:val="99"/>
                <w:sz w:val="21"/>
              </w:rPr>
              <w:t>）以后</w:t>
            </w:r>
            <w:r>
              <w:rPr>
                <w:spacing w:val="0"/>
                <w:sz w:val="21"/>
              </w:rPr>
              <w:t>（</w:t>
            </w:r>
            <w:r>
              <w:rPr>
                <w:sz w:val="21"/>
              </w:rPr>
              <w:t>不含当日</w:t>
            </w:r>
            <w:r>
              <w:rPr>
                <w:spacing w:val="0"/>
                <w:sz w:val="21"/>
              </w:rPr>
              <w:t>）</w:t>
            </w:r>
            <w:r>
              <w:rPr>
                <w:sz w:val="21"/>
              </w:rPr>
              <w:t>首次确诊患以下特定重大疾病</w:t>
            </w:r>
            <w:r>
              <w:rPr>
                <w:spacing w:val="1"/>
                <w:sz w:val="21"/>
              </w:rPr>
              <w:t>（</w:t>
            </w:r>
            <w:r>
              <w:rPr>
                <w:sz w:val="21"/>
              </w:rPr>
              <w:t>无论一种或多种</w:t>
            </w:r>
            <w:r>
              <w:rPr>
                <w:spacing w:val="-103"/>
                <w:sz w:val="21"/>
              </w:rPr>
              <w:t>）</w:t>
            </w:r>
            <w:r>
              <w:rPr>
                <w:sz w:val="21"/>
              </w:rPr>
              <w:t>，且</w:t>
            </w:r>
            <w:r>
              <w:rPr>
                <w:spacing w:val="-2"/>
                <w:sz w:val="21"/>
              </w:rPr>
              <w:t>确诊时间于被保险人年满 </w:t>
            </w:r>
            <w:r>
              <w:rPr>
                <w:sz w:val="21"/>
              </w:rPr>
              <w:t>70</w:t>
            </w:r>
            <w:r>
              <w:rPr>
                <w:spacing w:val="-4"/>
                <w:sz w:val="21"/>
              </w:rPr>
              <w:t> 周岁后的首个保单周年日之前，则我们除按</w:t>
            </w:r>
          </w:p>
          <w:p>
            <w:pPr>
              <w:pStyle w:val="TableParagraph"/>
              <w:spacing w:line="276" w:lineRule="auto"/>
              <w:ind w:left="106" w:right="105"/>
              <w:jc w:val="both"/>
              <w:rPr>
                <w:sz w:val="21"/>
              </w:rPr>
            </w:pPr>
            <w:r>
              <w:rPr>
                <w:i/>
                <w:sz w:val="22"/>
              </w:rPr>
              <w:t>2.2.1</w:t>
            </w:r>
            <w:r>
              <w:rPr>
                <w:i/>
                <w:spacing w:val="-66"/>
                <w:sz w:val="22"/>
              </w:rPr>
              <w:t> </w:t>
            </w:r>
            <w:r>
              <w:rPr>
                <w:sz w:val="21"/>
              </w:rPr>
              <w:t>约定给付重大疾病保险金外，一并额外给付等值于本附加合同保险金</w:t>
            </w:r>
            <w:r>
              <w:rPr>
                <w:spacing w:val="-31"/>
                <w:sz w:val="21"/>
              </w:rPr>
              <w:t>额 </w:t>
            </w:r>
            <w:r>
              <w:rPr>
                <w:sz w:val="21"/>
              </w:rPr>
              <w:t>20%</w:t>
            </w:r>
            <w:r>
              <w:rPr>
                <w:spacing w:val="-4"/>
                <w:sz w:val="21"/>
              </w:rPr>
              <w:t>的特别保险金，本附加合同及主合同 </w:t>
            </w:r>
            <w:r>
              <w:rPr>
                <w:sz w:val="21"/>
              </w:rPr>
              <w:t>ED</w:t>
            </w:r>
            <w:r>
              <w:rPr>
                <w:spacing w:val="-11"/>
                <w:sz w:val="21"/>
              </w:rPr>
              <w:t> 效力终止。</w:t>
            </w:r>
          </w:p>
          <w:p>
            <w:pPr>
              <w:pStyle w:val="TableParagraph"/>
              <w:spacing w:line="278" w:lineRule="auto" w:before="15"/>
              <w:ind w:left="106" w:right="107"/>
              <w:jc w:val="both"/>
              <w:rPr>
                <w:b/>
                <w:sz w:val="21"/>
              </w:rPr>
            </w:pPr>
            <w:r>
              <w:rPr>
                <w:b/>
                <w:spacing w:val="-5"/>
                <w:w w:val="95"/>
                <w:sz w:val="21"/>
              </w:rPr>
              <w:t>特定重大疾病指：急性心肌梗塞，终末期肾病，脑中风后遗症，重大器官移  </w:t>
            </w:r>
            <w:r>
              <w:rPr>
                <w:b/>
                <w:spacing w:val="-8"/>
                <w:w w:val="95"/>
                <w:sz w:val="21"/>
              </w:rPr>
              <w:t>植术，符合恶性肿瘤定义的男性睾丸癌、男性阴茎癌、男性前列腺癌、女性  乳房癌、女性子宫癌、女性阴道癌、女性卵巢癌、女性输卵管癌。</w:t>
            </w:r>
          </w:p>
        </w:tc>
      </w:tr>
      <w:tr>
        <w:trPr>
          <w:trHeight w:val="5140" w:hRule="atLeast"/>
        </w:trPr>
        <w:tc>
          <w:tcPr>
            <w:tcW w:w="795" w:type="dxa"/>
          </w:tcPr>
          <w:p>
            <w:pPr>
              <w:pStyle w:val="TableParagraph"/>
              <w:spacing w:before="137"/>
              <w:ind w:left="109"/>
              <w:rPr>
                <w:i/>
                <w:sz w:val="22"/>
              </w:rPr>
            </w:pPr>
            <w:r>
              <w:rPr>
                <w:i/>
                <w:sz w:val="22"/>
              </w:rPr>
              <w:t>2.2.3</w:t>
            </w:r>
          </w:p>
        </w:tc>
        <w:tc>
          <w:tcPr>
            <w:tcW w:w="1757" w:type="dxa"/>
          </w:tcPr>
          <w:p>
            <w:pPr>
              <w:pStyle w:val="TableParagraph"/>
              <w:spacing w:before="117"/>
              <w:ind w:left="161"/>
              <w:rPr>
                <w:i/>
                <w:sz w:val="22"/>
              </w:rPr>
            </w:pPr>
            <w:r>
              <w:rPr>
                <w:i/>
                <w:w w:val="95"/>
                <w:sz w:val="22"/>
              </w:rPr>
              <w:t>轻症重疾给付</w:t>
            </w:r>
          </w:p>
        </w:tc>
        <w:tc>
          <w:tcPr>
            <w:tcW w:w="7109" w:type="dxa"/>
          </w:tcPr>
          <w:p>
            <w:pPr>
              <w:pStyle w:val="TableParagraph"/>
              <w:spacing w:line="273" w:lineRule="auto" w:before="151"/>
              <w:ind w:left="106" w:right="44"/>
              <w:jc w:val="both"/>
              <w:rPr>
                <w:sz w:val="21"/>
              </w:rPr>
            </w:pPr>
            <w:r>
              <w:rPr>
                <w:sz w:val="21"/>
              </w:rPr>
              <w:t>在本附加合同有效期内，若被保险人因意外伤害事故或于本</w:t>
            </w:r>
            <w:r>
              <w:rPr>
                <w:b/>
                <w:sz w:val="21"/>
              </w:rPr>
              <w:t>附加合同持续有</w:t>
            </w:r>
            <w:r>
              <w:rPr>
                <w:b/>
                <w:w w:val="95"/>
                <w:sz w:val="21"/>
              </w:rPr>
              <w:t>效九十日（若本附加合同中止后复效，则以最后复效日起持续有效九十日为  </w:t>
            </w:r>
            <w:r>
              <w:rPr>
                <w:b/>
                <w:sz w:val="21"/>
              </w:rPr>
              <w:t>准</w:t>
            </w:r>
            <w:r>
              <w:rPr>
                <w:b/>
                <w:spacing w:val="-20"/>
                <w:sz w:val="21"/>
              </w:rPr>
              <w:t>）</w:t>
            </w:r>
            <w:r>
              <w:rPr>
                <w:b/>
                <w:spacing w:val="-10"/>
                <w:sz w:val="21"/>
              </w:rPr>
              <w:t>以后</w:t>
            </w:r>
            <w:r>
              <w:rPr>
                <w:sz w:val="21"/>
              </w:rPr>
              <w:t>（不含当日</w:t>
            </w:r>
            <w:r>
              <w:rPr>
                <w:spacing w:val="-21"/>
                <w:sz w:val="21"/>
              </w:rPr>
              <w:t>）</w:t>
            </w:r>
            <w:r>
              <w:rPr>
                <w:spacing w:val="-1"/>
                <w:sz w:val="21"/>
              </w:rPr>
              <w:t>首次确诊患以下 </w:t>
            </w:r>
            <w:r>
              <w:rPr>
                <w:sz w:val="21"/>
              </w:rPr>
              <w:t>11</w:t>
            </w:r>
            <w:r>
              <w:rPr>
                <w:spacing w:val="-4"/>
                <w:sz w:val="21"/>
              </w:rPr>
              <w:t>项轻症重疾，且确诊时间于被保险人年满70周岁后的首个保单周年日之前，我们给付等值于本附加合同保险金</w:t>
            </w:r>
            <w:r>
              <w:rPr>
                <w:spacing w:val="-1"/>
                <w:sz w:val="21"/>
              </w:rPr>
              <w:t>额的</w:t>
            </w:r>
            <w:r>
              <w:rPr>
                <w:sz w:val="21"/>
              </w:rPr>
              <w:t>20％轻症重疾保险金。</w:t>
            </w:r>
          </w:p>
          <w:p>
            <w:pPr>
              <w:pStyle w:val="TableParagraph"/>
              <w:spacing w:line="273" w:lineRule="auto" w:before="10"/>
              <w:ind w:left="106" w:right="44"/>
              <w:jc w:val="both"/>
              <w:rPr>
                <w:b/>
                <w:sz w:val="21"/>
              </w:rPr>
            </w:pPr>
            <w:r>
              <w:rPr>
                <w:b/>
                <w:sz w:val="21"/>
              </w:rPr>
              <w:t>每种轻症重疾只给付1次轻症重疾额外给付保险金，给付后该种轻症重疾额外给付保险金保险责任终止。同一保单的所有轻症重疾额外给付保险金总金额不超过人民币10万元。</w:t>
            </w:r>
          </w:p>
          <w:p>
            <w:pPr>
              <w:pStyle w:val="TableParagraph"/>
              <w:spacing w:before="3"/>
              <w:ind w:left="0"/>
              <w:rPr>
                <w:rFonts w:ascii="Times New Roman"/>
                <w:sz w:val="28"/>
              </w:rPr>
            </w:pPr>
          </w:p>
          <w:p>
            <w:pPr>
              <w:pStyle w:val="TableParagraph"/>
              <w:spacing w:before="1"/>
              <w:ind w:left="106"/>
              <w:jc w:val="both"/>
              <w:rPr>
                <w:sz w:val="21"/>
              </w:rPr>
            </w:pPr>
            <w:r>
              <w:rPr>
                <w:sz w:val="21"/>
              </w:rPr>
              <w:t>轻症重疾种类：</w:t>
            </w:r>
          </w:p>
          <w:p>
            <w:pPr>
              <w:pStyle w:val="TableParagraph"/>
              <w:numPr>
                <w:ilvl w:val="0"/>
                <w:numId w:val="1"/>
              </w:numPr>
              <w:tabs>
                <w:tab w:pos="1731" w:val="left" w:leader="none"/>
                <w:tab w:pos="1733" w:val="left" w:leader="none"/>
              </w:tabs>
              <w:spacing w:line="240" w:lineRule="auto" w:before="37" w:after="0"/>
              <w:ind w:left="1732" w:right="0" w:hanging="420"/>
              <w:jc w:val="left"/>
              <w:rPr>
                <w:sz w:val="21"/>
              </w:rPr>
            </w:pPr>
            <w:r>
              <w:rPr>
                <w:sz w:val="21"/>
              </w:rPr>
              <w:t>非危及生命的（极早期的）恶性病变</w:t>
            </w:r>
          </w:p>
          <w:p>
            <w:pPr>
              <w:pStyle w:val="TableParagraph"/>
              <w:numPr>
                <w:ilvl w:val="0"/>
                <w:numId w:val="1"/>
              </w:numPr>
              <w:tabs>
                <w:tab w:pos="1731" w:val="left" w:leader="none"/>
                <w:tab w:pos="1733" w:val="left" w:leader="none"/>
              </w:tabs>
              <w:spacing w:line="240" w:lineRule="auto" w:before="21" w:after="0"/>
              <w:ind w:left="1732" w:right="0" w:hanging="420"/>
              <w:jc w:val="left"/>
              <w:rPr>
                <w:sz w:val="21"/>
              </w:rPr>
            </w:pPr>
            <w:r>
              <w:rPr>
                <w:sz w:val="21"/>
              </w:rPr>
              <w:t>冠状动脉介入手术</w:t>
            </w:r>
          </w:p>
          <w:p>
            <w:pPr>
              <w:pStyle w:val="TableParagraph"/>
              <w:numPr>
                <w:ilvl w:val="0"/>
                <w:numId w:val="1"/>
              </w:numPr>
              <w:tabs>
                <w:tab w:pos="1731" w:val="left" w:leader="none"/>
                <w:tab w:pos="1733" w:val="left" w:leader="none"/>
              </w:tabs>
              <w:spacing w:line="240" w:lineRule="auto" w:before="21" w:after="0"/>
              <w:ind w:left="1732" w:right="0" w:hanging="420"/>
              <w:jc w:val="left"/>
              <w:rPr>
                <w:sz w:val="21"/>
              </w:rPr>
            </w:pPr>
            <w:r>
              <w:rPr>
                <w:sz w:val="21"/>
              </w:rPr>
              <w:t>轻微脑中风</w:t>
            </w:r>
          </w:p>
          <w:p>
            <w:pPr>
              <w:pStyle w:val="TableParagraph"/>
              <w:numPr>
                <w:ilvl w:val="0"/>
                <w:numId w:val="1"/>
              </w:numPr>
              <w:tabs>
                <w:tab w:pos="1731" w:val="left" w:leader="none"/>
                <w:tab w:pos="1733" w:val="left" w:leader="none"/>
              </w:tabs>
              <w:spacing w:line="240" w:lineRule="auto" w:before="21" w:after="0"/>
              <w:ind w:left="1732" w:right="0" w:hanging="420"/>
              <w:jc w:val="left"/>
              <w:rPr>
                <w:sz w:val="21"/>
              </w:rPr>
            </w:pPr>
            <w:r>
              <w:rPr>
                <w:sz w:val="21"/>
              </w:rPr>
              <w:t>心脏瓣膜介入手术</w:t>
            </w:r>
          </w:p>
          <w:p>
            <w:pPr>
              <w:pStyle w:val="TableParagraph"/>
              <w:numPr>
                <w:ilvl w:val="0"/>
                <w:numId w:val="1"/>
              </w:numPr>
              <w:tabs>
                <w:tab w:pos="1731" w:val="left" w:leader="none"/>
                <w:tab w:pos="1733" w:val="left" w:leader="none"/>
              </w:tabs>
              <w:spacing w:line="240" w:lineRule="auto" w:before="21" w:after="0"/>
              <w:ind w:left="1732" w:right="0" w:hanging="420"/>
              <w:jc w:val="left"/>
              <w:rPr>
                <w:sz w:val="21"/>
              </w:rPr>
            </w:pPr>
            <w:r>
              <w:rPr>
                <w:sz w:val="21"/>
              </w:rPr>
              <w:t>脑垂体瘤、脑囊肿、脑动脉瘤及脑血管瘤</w:t>
            </w:r>
          </w:p>
          <w:p>
            <w:pPr>
              <w:pStyle w:val="TableParagraph"/>
              <w:numPr>
                <w:ilvl w:val="0"/>
                <w:numId w:val="1"/>
              </w:numPr>
              <w:tabs>
                <w:tab w:pos="1731" w:val="left" w:leader="none"/>
                <w:tab w:pos="1733" w:val="left" w:leader="none"/>
              </w:tabs>
              <w:spacing w:line="271" w:lineRule="exact" w:before="21" w:after="0"/>
              <w:ind w:left="1732" w:right="0" w:hanging="420"/>
              <w:jc w:val="left"/>
              <w:rPr>
                <w:sz w:val="21"/>
              </w:rPr>
            </w:pPr>
            <w:r>
              <w:rPr>
                <w:sz w:val="21"/>
              </w:rPr>
              <w:t>视力严重受损（三岁始理赔）</w:t>
            </w:r>
          </w:p>
        </w:tc>
      </w:tr>
    </w:tbl>
    <w:p>
      <w:pPr>
        <w:spacing w:after="0" w:line="271" w:lineRule="exact"/>
        <w:jc w:val="left"/>
        <w:rPr>
          <w:sz w:val="21"/>
        </w:rPr>
        <w:sectPr>
          <w:pgSz w:w="11910" w:h="16840"/>
          <w:pgMar w:header="0" w:footer="918" w:top="1600" w:bottom="1100" w:left="1080" w:right="9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56"/>
        <w:gridCol w:w="7104"/>
      </w:tblGrid>
      <w:tr>
        <w:trPr>
          <w:trHeight w:val="1499" w:hRule="atLeast"/>
        </w:trPr>
        <w:tc>
          <w:tcPr>
            <w:tcW w:w="795" w:type="dxa"/>
          </w:tcPr>
          <w:p>
            <w:pPr>
              <w:pStyle w:val="TableParagraph"/>
              <w:ind w:left="0"/>
              <w:rPr>
                <w:rFonts w:ascii="Times New Roman"/>
                <w:sz w:val="20"/>
              </w:rPr>
            </w:pPr>
          </w:p>
        </w:tc>
        <w:tc>
          <w:tcPr>
            <w:tcW w:w="1756" w:type="dxa"/>
          </w:tcPr>
          <w:p>
            <w:pPr>
              <w:pStyle w:val="TableParagraph"/>
              <w:ind w:left="0"/>
              <w:rPr>
                <w:rFonts w:ascii="Times New Roman"/>
                <w:sz w:val="20"/>
              </w:rPr>
            </w:pPr>
          </w:p>
        </w:tc>
        <w:tc>
          <w:tcPr>
            <w:tcW w:w="7104" w:type="dxa"/>
          </w:tcPr>
          <w:p>
            <w:pPr>
              <w:pStyle w:val="TableParagraph"/>
              <w:numPr>
                <w:ilvl w:val="0"/>
                <w:numId w:val="2"/>
              </w:numPr>
              <w:tabs>
                <w:tab w:pos="1732" w:val="left" w:leader="none"/>
                <w:tab w:pos="1733" w:val="left" w:leader="none"/>
              </w:tabs>
              <w:spacing w:line="233" w:lineRule="exact" w:before="0" w:after="0"/>
              <w:ind w:left="1733" w:right="0" w:hanging="420"/>
              <w:jc w:val="left"/>
              <w:rPr>
                <w:rFonts w:ascii="Times New Roman" w:eastAsia="Times New Roman"/>
                <w:sz w:val="21"/>
              </w:rPr>
            </w:pPr>
            <w:r>
              <w:rPr>
                <w:sz w:val="21"/>
              </w:rPr>
              <w:t>主动脉内介入手术</w:t>
            </w:r>
          </w:p>
          <w:p>
            <w:pPr>
              <w:pStyle w:val="TableParagraph"/>
              <w:numPr>
                <w:ilvl w:val="0"/>
                <w:numId w:val="2"/>
              </w:numPr>
              <w:tabs>
                <w:tab w:pos="1732" w:val="left" w:leader="none"/>
                <w:tab w:pos="1733" w:val="left" w:leader="none"/>
              </w:tabs>
              <w:spacing w:line="240" w:lineRule="auto" w:before="20" w:after="0"/>
              <w:ind w:left="1733" w:right="0" w:hanging="420"/>
              <w:jc w:val="left"/>
              <w:rPr>
                <w:rFonts w:ascii="Times New Roman" w:eastAsia="Times New Roman"/>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pStyle w:val="TableParagraph"/>
              <w:numPr>
                <w:ilvl w:val="0"/>
                <w:numId w:val="2"/>
              </w:numPr>
              <w:tabs>
                <w:tab w:pos="1732" w:val="left" w:leader="none"/>
                <w:tab w:pos="1733" w:val="left" w:leader="none"/>
              </w:tabs>
              <w:spacing w:line="240" w:lineRule="auto" w:before="21" w:after="0"/>
              <w:ind w:left="1733" w:right="0" w:hanging="420"/>
              <w:jc w:val="left"/>
              <w:rPr>
                <w:rFonts w:ascii="Times New Roman" w:hAnsi="Times New Roman" w:eastAsia="Times New Roman"/>
                <w:sz w:val="21"/>
              </w:rPr>
            </w:pPr>
            <w:r>
              <w:rPr>
                <w:spacing w:val="-1"/>
                <w:sz w:val="21"/>
              </w:rPr>
              <w:t>慢性肾功能损害 </w:t>
            </w:r>
            <w:r>
              <w:rPr>
                <w:rFonts w:ascii="Times New Roman" w:hAnsi="Times New Roman" w:eastAsia="Times New Roman"/>
                <w:spacing w:val="25"/>
                <w:sz w:val="21"/>
              </w:rPr>
              <w:t>– </w:t>
            </w:r>
            <w:r>
              <w:rPr>
                <w:sz w:val="21"/>
              </w:rPr>
              <w:t>肾功能衰竭期</w:t>
            </w:r>
          </w:p>
          <w:p>
            <w:pPr>
              <w:pStyle w:val="TableParagraph"/>
              <w:numPr>
                <w:ilvl w:val="0"/>
                <w:numId w:val="2"/>
              </w:numPr>
              <w:tabs>
                <w:tab w:pos="1734" w:val="left" w:leader="none"/>
              </w:tabs>
              <w:spacing w:line="240" w:lineRule="auto" w:before="21" w:after="0"/>
              <w:ind w:left="1733" w:right="0" w:hanging="420"/>
              <w:jc w:val="left"/>
              <w:rPr>
                <w:rFonts w:ascii="Times New Roman" w:eastAsia="Times New Roman"/>
                <w:sz w:val="21"/>
              </w:rPr>
            </w:pPr>
            <w:r>
              <w:rPr>
                <w:sz w:val="21"/>
              </w:rPr>
              <w:t>重症头部外伤</w:t>
            </w:r>
          </w:p>
          <w:p>
            <w:pPr>
              <w:pStyle w:val="TableParagraph"/>
              <w:numPr>
                <w:ilvl w:val="0"/>
                <w:numId w:val="2"/>
              </w:numPr>
              <w:tabs>
                <w:tab w:pos="1734" w:val="left" w:leader="none"/>
              </w:tabs>
              <w:spacing w:line="240" w:lineRule="auto" w:before="21" w:after="0"/>
              <w:ind w:left="1733" w:right="0" w:hanging="420"/>
              <w:jc w:val="left"/>
              <w:rPr>
                <w:sz w:val="21"/>
              </w:rPr>
            </w:pPr>
            <w:r>
              <w:rPr>
                <w:sz w:val="21"/>
              </w:rPr>
              <w:t>单个肢体缺失</w:t>
            </w:r>
          </w:p>
        </w:tc>
      </w:tr>
      <w:tr>
        <w:trPr>
          <w:trHeight w:val="3344" w:hRule="atLeast"/>
        </w:trPr>
        <w:tc>
          <w:tcPr>
            <w:tcW w:w="795" w:type="dxa"/>
          </w:tcPr>
          <w:p>
            <w:pPr>
              <w:pStyle w:val="TableParagraph"/>
              <w:spacing w:line="278" w:lineRule="exact"/>
              <w:ind w:left="109"/>
              <w:rPr>
                <w:i/>
                <w:sz w:val="22"/>
              </w:rPr>
            </w:pPr>
            <w:r>
              <w:rPr>
                <w:i/>
                <w:sz w:val="22"/>
              </w:rPr>
              <w:t>2.2.4</w:t>
            </w:r>
          </w:p>
        </w:tc>
        <w:tc>
          <w:tcPr>
            <w:tcW w:w="1756" w:type="dxa"/>
          </w:tcPr>
          <w:p>
            <w:pPr>
              <w:pStyle w:val="TableParagraph"/>
              <w:spacing w:line="272" w:lineRule="exact" w:before="9"/>
              <w:ind w:left="161" w:right="105" w:hanging="1"/>
              <w:jc w:val="both"/>
              <w:rPr>
                <w:i/>
                <w:sz w:val="22"/>
              </w:rPr>
            </w:pPr>
            <w:r>
              <w:rPr>
                <w:i/>
                <w:w w:val="95"/>
                <w:sz w:val="22"/>
              </w:rPr>
              <w:t>自主生活能力永久完全丧失护理辅助金</w:t>
            </w:r>
          </w:p>
        </w:tc>
        <w:tc>
          <w:tcPr>
            <w:tcW w:w="7104" w:type="dxa"/>
          </w:tcPr>
          <w:p>
            <w:pPr>
              <w:pStyle w:val="TableParagraph"/>
              <w:spacing w:line="273" w:lineRule="auto" w:before="4"/>
              <w:ind w:left="106" w:right="38"/>
              <w:jc w:val="both"/>
              <w:rPr>
                <w:sz w:val="21"/>
              </w:rPr>
            </w:pPr>
            <w:r>
              <w:rPr>
                <w:sz w:val="21"/>
              </w:rPr>
              <w:t>在本附加合同有效期内，若被保险人因意外伤害事故或于本</w:t>
            </w:r>
            <w:r>
              <w:rPr>
                <w:b/>
                <w:sz w:val="21"/>
              </w:rPr>
              <w:t>附加合同持续有</w:t>
            </w:r>
            <w:r>
              <w:rPr>
                <w:b/>
                <w:w w:val="95"/>
                <w:sz w:val="21"/>
              </w:rPr>
              <w:t>效九十日（若本附加合同中止后复效，则以最后复效日起持续有效九十日为  </w:t>
            </w:r>
            <w:r>
              <w:rPr>
                <w:b/>
                <w:sz w:val="21"/>
              </w:rPr>
              <w:t>准）以后（不含当日）</w:t>
            </w:r>
            <w:r>
              <w:rPr>
                <w:sz w:val="21"/>
              </w:rPr>
              <w:t>首次确诊因疾病导致自主生活能力永久完全丧失，且确诊时间于被保险人年满70周岁后的首个保单周年日之前，我们将按保险金额20%</w:t>
            </w:r>
            <w:r>
              <w:rPr>
                <w:spacing w:val="-1"/>
                <w:sz w:val="21"/>
              </w:rPr>
              <w:t> 向被保险人给付本项保险金。</w:t>
            </w:r>
          </w:p>
          <w:p>
            <w:pPr>
              <w:pStyle w:val="TableParagraph"/>
              <w:spacing w:before="11"/>
              <w:ind w:left="106"/>
              <w:rPr>
                <w:b/>
                <w:sz w:val="21"/>
              </w:rPr>
            </w:pPr>
            <w:r>
              <w:rPr>
                <w:b/>
                <w:w w:val="95"/>
                <w:sz w:val="21"/>
              </w:rPr>
              <w:t>本项给付以一次为限。</w:t>
            </w:r>
          </w:p>
          <w:p>
            <w:pPr>
              <w:pStyle w:val="TableParagraph"/>
              <w:spacing w:line="280" w:lineRule="auto" w:before="61"/>
              <w:ind w:left="106" w:right="101"/>
              <w:jc w:val="both"/>
              <w:rPr>
                <w:b/>
                <w:sz w:val="21"/>
              </w:rPr>
            </w:pPr>
            <w:r>
              <w:rPr>
                <w:b/>
                <w:sz w:val="21"/>
              </w:rPr>
              <w:t>同一保单的自主生活能力永久完全丧失护理辅助金总额不超过人民币 5 万元。</w:t>
            </w:r>
          </w:p>
          <w:p>
            <w:pPr>
              <w:pStyle w:val="TableParagraph"/>
              <w:spacing w:line="278" w:lineRule="auto" w:before="9"/>
              <w:ind w:left="106" w:right="100"/>
              <w:jc w:val="both"/>
              <w:rPr>
                <w:b/>
                <w:sz w:val="21"/>
              </w:rPr>
            </w:pPr>
            <w:r>
              <w:rPr>
                <w:b/>
                <w:spacing w:val="-8"/>
                <w:sz w:val="21"/>
              </w:rPr>
              <w:t>自主生活能力永久完全丧失，指疾病首次确诊 </w:t>
            </w:r>
            <w:r>
              <w:rPr>
                <w:b/>
                <w:sz w:val="21"/>
              </w:rPr>
              <w:t>180</w:t>
            </w:r>
            <w:r>
              <w:rPr>
                <w:b/>
                <w:spacing w:val="-8"/>
                <w:sz w:val="21"/>
              </w:rPr>
              <w:t> 天后仍无法独立完成六项</w:t>
            </w:r>
            <w:r>
              <w:rPr>
                <w:b/>
                <w:spacing w:val="-8"/>
                <w:w w:val="95"/>
                <w:sz w:val="21"/>
              </w:rPr>
              <w:t>基本日常生活活动中的三项或三项以上。</w:t>
            </w:r>
          </w:p>
        </w:tc>
      </w:tr>
      <w:tr>
        <w:trPr>
          <w:trHeight w:val="1880" w:hRule="atLeast"/>
        </w:trPr>
        <w:tc>
          <w:tcPr>
            <w:tcW w:w="795" w:type="dxa"/>
          </w:tcPr>
          <w:p>
            <w:pPr>
              <w:pStyle w:val="TableParagraph"/>
              <w:spacing w:before="132"/>
              <w:ind w:left="109"/>
              <w:rPr>
                <w:i/>
                <w:sz w:val="22"/>
              </w:rPr>
            </w:pPr>
            <w:r>
              <w:rPr>
                <w:i/>
                <w:sz w:val="22"/>
              </w:rPr>
              <w:t>2.2.5</w:t>
            </w:r>
          </w:p>
        </w:tc>
        <w:tc>
          <w:tcPr>
            <w:tcW w:w="1756" w:type="dxa"/>
          </w:tcPr>
          <w:p>
            <w:pPr>
              <w:pStyle w:val="TableParagraph"/>
              <w:spacing w:before="132"/>
              <w:ind w:left="161"/>
              <w:rPr>
                <w:b/>
                <w:i/>
                <w:sz w:val="22"/>
              </w:rPr>
            </w:pPr>
            <w:r>
              <w:rPr>
                <w:b/>
                <w:i/>
                <w:w w:val="95"/>
                <w:sz w:val="22"/>
              </w:rPr>
              <w:t>保险金给付限制</w:t>
            </w:r>
          </w:p>
        </w:tc>
        <w:tc>
          <w:tcPr>
            <w:tcW w:w="7104" w:type="dxa"/>
          </w:tcPr>
          <w:p>
            <w:pPr>
              <w:pStyle w:val="TableParagraph"/>
              <w:spacing w:line="276" w:lineRule="auto" w:before="169"/>
              <w:ind w:left="106" w:right="99"/>
              <w:jc w:val="both"/>
              <w:rPr>
                <w:sz w:val="21"/>
              </w:rPr>
            </w:pPr>
            <w:r>
              <w:rPr>
                <w:spacing w:val="-4"/>
                <w:sz w:val="21"/>
              </w:rPr>
              <w:t>在本附加合同有效期内，若被保险人于本附加合同生效之日起持续有效九十</w:t>
            </w:r>
            <w:r>
              <w:rPr>
                <w:spacing w:val="-12"/>
                <w:sz w:val="21"/>
              </w:rPr>
              <w:t>日</w:t>
            </w:r>
            <w:r>
              <w:rPr>
                <w:sz w:val="21"/>
              </w:rPr>
              <w:t>（</w:t>
            </w:r>
            <w:r>
              <w:rPr>
                <w:spacing w:val="-1"/>
                <w:sz w:val="21"/>
              </w:rPr>
              <w:t>若本附加合同中止后复效，则以最后复效日起持续有效九十日为准</w:t>
            </w:r>
            <w:r>
              <w:rPr>
                <w:spacing w:val="-12"/>
                <w:sz w:val="21"/>
              </w:rPr>
              <w:t>）</w:t>
            </w:r>
            <w:r>
              <w:rPr>
                <w:sz w:val="21"/>
              </w:rPr>
              <w:t>以内</w:t>
            </w:r>
            <w:r>
              <w:rPr>
                <w:rFonts w:ascii="Times New Roman" w:eastAsia="Times New Roman"/>
                <w:sz w:val="21"/>
              </w:rPr>
              <w:t>(</w:t>
            </w:r>
            <w:r>
              <w:rPr>
                <w:sz w:val="21"/>
              </w:rPr>
              <w:t>含当日</w:t>
            </w:r>
            <w:r>
              <w:rPr>
                <w:rFonts w:ascii="Times New Roman" w:eastAsia="Times New Roman"/>
                <w:sz w:val="21"/>
              </w:rPr>
              <w:t>)</w:t>
            </w:r>
            <w:r>
              <w:rPr>
                <w:sz w:val="21"/>
              </w:rPr>
              <w:t>患重大疾病、特定重大疾病、轻症重疾、自主生活能力永久完全</w:t>
            </w:r>
            <w:r>
              <w:rPr>
                <w:spacing w:val="-1"/>
                <w:sz w:val="21"/>
              </w:rPr>
              <w:t>丧失，我们不承担给付保险金的责任，本附加合同及主合同 </w:t>
            </w:r>
            <w:r>
              <w:rPr>
                <w:sz w:val="21"/>
              </w:rPr>
              <w:t>ED</w:t>
            </w:r>
            <w:r>
              <w:rPr>
                <w:spacing w:val="-4"/>
                <w:sz w:val="21"/>
              </w:rPr>
              <w:t> 效力终止， </w:t>
            </w:r>
            <w:r>
              <w:rPr>
                <w:spacing w:val="-8"/>
                <w:sz w:val="21"/>
              </w:rPr>
              <w:t>我们将无息全额退还本附加合同及主合同 </w:t>
            </w:r>
            <w:r>
              <w:rPr>
                <w:sz w:val="21"/>
              </w:rPr>
              <w:t>ED</w:t>
            </w:r>
            <w:r>
              <w:rPr>
                <w:spacing w:val="-10"/>
                <w:sz w:val="21"/>
              </w:rPr>
              <w:t> 已缴的保险费。</w:t>
            </w:r>
          </w:p>
        </w:tc>
      </w:tr>
      <w:tr>
        <w:trPr>
          <w:trHeight w:val="5289" w:hRule="atLeast"/>
        </w:trPr>
        <w:tc>
          <w:tcPr>
            <w:tcW w:w="795" w:type="dxa"/>
          </w:tcPr>
          <w:p>
            <w:pPr>
              <w:pStyle w:val="TableParagraph"/>
              <w:spacing w:before="91"/>
              <w:ind w:left="109"/>
              <w:rPr>
                <w:b/>
                <w:sz w:val="21"/>
              </w:rPr>
            </w:pPr>
            <w:r>
              <w:rPr>
                <w:b/>
                <w:sz w:val="21"/>
              </w:rPr>
              <w:t>2.3</w:t>
            </w:r>
          </w:p>
        </w:tc>
        <w:tc>
          <w:tcPr>
            <w:tcW w:w="1756" w:type="dxa"/>
          </w:tcPr>
          <w:p>
            <w:pPr>
              <w:pStyle w:val="TableParagraph"/>
              <w:spacing w:before="91"/>
              <w:ind w:left="268"/>
              <w:rPr>
                <w:b/>
                <w:sz w:val="21"/>
              </w:rPr>
            </w:pPr>
            <w:r>
              <w:rPr>
                <w:b/>
                <w:w w:val="95"/>
                <w:sz w:val="21"/>
              </w:rPr>
              <w:t>责任免除</w:t>
            </w:r>
          </w:p>
        </w:tc>
        <w:tc>
          <w:tcPr>
            <w:tcW w:w="7104" w:type="dxa"/>
          </w:tcPr>
          <w:p>
            <w:pPr>
              <w:pStyle w:val="TableParagraph"/>
              <w:spacing w:line="278" w:lineRule="auto" w:before="116"/>
              <w:ind w:left="106" w:right="43"/>
              <w:rPr>
                <w:sz w:val="21"/>
              </w:rPr>
            </w:pPr>
            <w:r>
              <w:rPr>
                <w:sz w:val="21"/>
              </w:rPr>
              <w:t>因下列情形之一，导致被保险人发生疾病、达到疾病状态或进行手术的，我们不承担给付保险金的责任：</w:t>
            </w:r>
          </w:p>
          <w:p>
            <w:pPr>
              <w:pStyle w:val="TableParagraph"/>
              <w:spacing w:before="11"/>
              <w:ind w:left="106"/>
              <w:rPr>
                <w:sz w:val="21"/>
              </w:rPr>
            </w:pPr>
            <w:r>
              <w:rPr>
                <w:sz w:val="21"/>
              </w:rPr>
              <w:t>1、投保人对被保险人的故意杀害、故意伤害；</w:t>
            </w:r>
          </w:p>
          <w:p>
            <w:pPr>
              <w:pStyle w:val="TableParagraph"/>
              <w:spacing w:line="274" w:lineRule="exact"/>
              <w:ind w:left="106"/>
              <w:rPr>
                <w:sz w:val="21"/>
              </w:rPr>
            </w:pPr>
            <w:r>
              <w:rPr>
                <w:sz w:val="21"/>
              </w:rPr>
              <w:t>2、被保险人故意自伤、故意犯罪或者抗拒依法采取的刑事强制措施；</w:t>
            </w:r>
          </w:p>
          <w:p>
            <w:pPr>
              <w:pStyle w:val="TableParagraph"/>
              <w:spacing w:line="272" w:lineRule="exact"/>
              <w:ind w:left="106"/>
              <w:rPr>
                <w:sz w:val="21"/>
              </w:rPr>
            </w:pPr>
            <w:r>
              <w:rPr>
                <w:sz w:val="21"/>
              </w:rPr>
              <w:t>3、被保险人主动服用、吸食或注射毒品；</w:t>
            </w:r>
          </w:p>
          <w:p>
            <w:pPr>
              <w:pStyle w:val="TableParagraph"/>
              <w:spacing w:line="237" w:lineRule="auto" w:before="1"/>
              <w:ind w:left="106" w:right="99"/>
              <w:rPr>
                <w:sz w:val="21"/>
              </w:rPr>
            </w:pPr>
            <w:r>
              <w:rPr>
                <w:sz w:val="21"/>
              </w:rPr>
              <w:t>4、被保险人酒后驾驶，无合法有效驾驶证驾驶，或驾驶无有效行驶证的机动车；</w:t>
            </w:r>
          </w:p>
          <w:p>
            <w:pPr>
              <w:pStyle w:val="TableParagraph"/>
              <w:spacing w:line="278" w:lineRule="auto" w:before="43"/>
              <w:ind w:left="106" w:right="100"/>
              <w:rPr>
                <w:sz w:val="21"/>
              </w:rPr>
            </w:pPr>
            <w:r>
              <w:rPr>
                <w:sz w:val="21"/>
              </w:rPr>
              <w:t>5、被保险人患</w:t>
            </w:r>
            <w:r>
              <w:rPr>
                <w:b/>
                <w:sz w:val="21"/>
              </w:rPr>
              <w:t>艾滋病(AIDS)</w:t>
            </w:r>
            <w:r>
              <w:rPr>
                <w:sz w:val="21"/>
              </w:rPr>
              <w:t>或感染</w:t>
            </w:r>
            <w:r>
              <w:rPr>
                <w:b/>
                <w:sz w:val="21"/>
              </w:rPr>
              <w:t>艾滋病病毒(HIV</w:t>
            </w:r>
            <w:r>
              <w:rPr>
                <w:b/>
                <w:spacing w:val="3"/>
                <w:sz w:val="21"/>
              </w:rPr>
              <w:t> 呈阳性)</w:t>
            </w:r>
            <w:r>
              <w:rPr>
                <w:sz w:val="21"/>
              </w:rPr>
              <w:t>（但本附加合同另有约定的除外</w:t>
            </w:r>
            <w:r>
              <w:rPr>
                <w:spacing w:val="-105"/>
                <w:sz w:val="21"/>
              </w:rPr>
              <w:t>）</w:t>
            </w:r>
            <w:r>
              <w:rPr>
                <w:sz w:val="21"/>
              </w:rPr>
              <w:t>；</w:t>
            </w:r>
          </w:p>
          <w:p>
            <w:pPr>
              <w:pStyle w:val="TableParagraph"/>
              <w:spacing w:before="11"/>
              <w:ind w:left="106"/>
              <w:rPr>
                <w:sz w:val="21"/>
              </w:rPr>
            </w:pPr>
            <w:r>
              <w:rPr>
                <w:sz w:val="21"/>
              </w:rPr>
              <w:t>6、战争、军事冲突、暴乱或武装叛乱；</w:t>
            </w:r>
          </w:p>
          <w:p>
            <w:pPr>
              <w:pStyle w:val="TableParagraph"/>
              <w:spacing w:before="45"/>
              <w:ind w:left="106"/>
              <w:rPr>
                <w:sz w:val="21"/>
              </w:rPr>
            </w:pPr>
            <w:r>
              <w:rPr>
                <w:sz w:val="21"/>
              </w:rPr>
              <w:t>7、核爆炸、核辐射或核污染；</w:t>
            </w:r>
          </w:p>
          <w:p>
            <w:pPr>
              <w:pStyle w:val="TableParagraph"/>
              <w:spacing w:before="44"/>
              <w:ind w:left="106"/>
              <w:rPr>
                <w:sz w:val="21"/>
              </w:rPr>
            </w:pPr>
            <w:r>
              <w:rPr>
                <w:w w:val="95"/>
                <w:sz w:val="21"/>
              </w:rPr>
              <w:t>8、</w:t>
            </w:r>
            <w:r>
              <w:rPr>
                <w:b/>
                <w:w w:val="95"/>
                <w:sz w:val="21"/>
              </w:rPr>
              <w:t>遗传性疾病</w:t>
            </w:r>
            <w:r>
              <w:rPr>
                <w:w w:val="95"/>
                <w:sz w:val="21"/>
              </w:rPr>
              <w:t>，</w:t>
            </w:r>
            <w:r>
              <w:rPr>
                <w:b/>
                <w:w w:val="95"/>
                <w:sz w:val="21"/>
              </w:rPr>
              <w:t>先天性畸形、变形或染色体异常</w:t>
            </w:r>
            <w:r>
              <w:rPr>
                <w:w w:val="95"/>
                <w:sz w:val="21"/>
              </w:rPr>
              <w:t>。</w:t>
            </w:r>
          </w:p>
          <w:p>
            <w:pPr>
              <w:pStyle w:val="TableParagraph"/>
              <w:spacing w:line="273" w:lineRule="auto" w:before="20"/>
              <w:ind w:left="106" w:right="101"/>
              <w:rPr>
                <w:sz w:val="21"/>
              </w:rPr>
            </w:pPr>
            <w:r>
              <w:rPr>
                <w:spacing w:val="-5"/>
                <w:sz w:val="21"/>
              </w:rPr>
              <w:t>本附加合同因上述第１项情形而终止，投保人已交足 </w:t>
            </w:r>
            <w:r>
              <w:rPr>
                <w:sz w:val="21"/>
              </w:rPr>
              <w:t>2</w:t>
            </w:r>
            <w:r>
              <w:rPr>
                <w:spacing w:val="-9"/>
                <w:sz w:val="21"/>
              </w:rPr>
              <w:t> 年以上保险费的，本</w:t>
            </w:r>
            <w:r>
              <w:rPr>
                <w:spacing w:val="-9"/>
                <w:w w:val="95"/>
                <w:sz w:val="21"/>
              </w:rPr>
              <w:t>公司按合同约定向其他权利人退还本合同当时的</w:t>
            </w:r>
            <w:r>
              <w:rPr>
                <w:b/>
                <w:spacing w:val="-9"/>
                <w:w w:val="95"/>
                <w:sz w:val="21"/>
              </w:rPr>
              <w:t>现金价值</w:t>
            </w:r>
            <w:r>
              <w:rPr>
                <w:spacing w:val="-9"/>
                <w:w w:val="95"/>
                <w:sz w:val="21"/>
              </w:rPr>
              <w:t>。</w:t>
            </w:r>
          </w:p>
          <w:p>
            <w:pPr>
              <w:pStyle w:val="TableParagraph"/>
              <w:spacing w:line="273" w:lineRule="auto" w:before="7"/>
              <w:ind w:left="106" w:right="43"/>
              <w:rPr>
                <w:sz w:val="21"/>
              </w:rPr>
            </w:pPr>
            <w:r>
              <w:rPr>
                <w:sz w:val="21"/>
              </w:rPr>
              <w:t>本附加合同因上述其他情形而终止，本公司向投保人退还本合同当时的现金价值。</w:t>
            </w:r>
          </w:p>
        </w:tc>
      </w:tr>
      <w:tr>
        <w:trPr>
          <w:trHeight w:val="790" w:hRule="atLeast"/>
        </w:trPr>
        <w:tc>
          <w:tcPr>
            <w:tcW w:w="795" w:type="dxa"/>
            <w:tcBorders>
              <w:bottom w:val="double" w:sz="1" w:space="0" w:color="000000"/>
            </w:tcBorders>
          </w:tcPr>
          <w:p>
            <w:pPr>
              <w:pStyle w:val="TableParagraph"/>
              <w:spacing w:before="251"/>
              <w:ind w:left="109"/>
              <w:rPr>
                <w:b/>
                <w:sz w:val="28"/>
              </w:rPr>
            </w:pPr>
            <w:r>
              <w:rPr>
                <w:b/>
                <w:w w:val="99"/>
                <w:sz w:val="28"/>
              </w:rPr>
              <w:t>3</w:t>
            </w:r>
          </w:p>
        </w:tc>
        <w:tc>
          <w:tcPr>
            <w:tcW w:w="1756" w:type="dxa"/>
            <w:tcBorders>
              <w:bottom w:val="double" w:sz="1" w:space="0" w:color="000000"/>
            </w:tcBorders>
          </w:tcPr>
          <w:p>
            <w:pPr>
              <w:pStyle w:val="TableParagraph"/>
              <w:spacing w:before="251"/>
              <w:ind w:left="161"/>
              <w:rPr>
                <w:b/>
                <w:sz w:val="28"/>
              </w:rPr>
            </w:pPr>
            <w:r>
              <w:rPr>
                <w:b/>
                <w:w w:val="95"/>
                <w:sz w:val="28"/>
              </w:rPr>
              <w:t>重大疾病</w:t>
            </w:r>
          </w:p>
        </w:tc>
        <w:tc>
          <w:tcPr>
            <w:tcW w:w="7104" w:type="dxa"/>
            <w:tcBorders>
              <w:bottom w:val="double" w:sz="1" w:space="0" w:color="000000"/>
            </w:tcBorders>
          </w:tcPr>
          <w:p>
            <w:pPr>
              <w:pStyle w:val="TableParagraph"/>
              <w:ind w:left="0"/>
              <w:rPr>
                <w:rFonts w:ascii="Times New Roman"/>
                <w:sz w:val="20"/>
              </w:rPr>
            </w:pPr>
          </w:p>
        </w:tc>
      </w:tr>
      <w:tr>
        <w:trPr>
          <w:trHeight w:val="802" w:hRule="atLeast"/>
        </w:trPr>
        <w:tc>
          <w:tcPr>
            <w:tcW w:w="795" w:type="dxa"/>
            <w:tcBorders>
              <w:top w:val="double" w:sz="1" w:space="0" w:color="000000"/>
            </w:tcBorders>
          </w:tcPr>
          <w:p>
            <w:pPr>
              <w:pStyle w:val="TableParagraph"/>
              <w:spacing w:before="10"/>
              <w:ind w:left="0"/>
              <w:rPr>
                <w:rFonts w:ascii="Times New Roman"/>
                <w:sz w:val="15"/>
              </w:rPr>
            </w:pPr>
          </w:p>
          <w:p>
            <w:pPr>
              <w:pStyle w:val="TableParagraph"/>
              <w:ind w:left="109"/>
              <w:rPr>
                <w:b/>
                <w:sz w:val="21"/>
              </w:rPr>
            </w:pPr>
            <w:r>
              <w:rPr>
                <w:b/>
                <w:sz w:val="21"/>
              </w:rPr>
              <w:t>3.1</w:t>
            </w:r>
          </w:p>
        </w:tc>
        <w:tc>
          <w:tcPr>
            <w:tcW w:w="1756" w:type="dxa"/>
            <w:tcBorders>
              <w:top w:val="double" w:sz="1" w:space="0" w:color="000000"/>
            </w:tcBorders>
          </w:tcPr>
          <w:p>
            <w:pPr>
              <w:pStyle w:val="TableParagraph"/>
              <w:spacing w:before="10"/>
              <w:ind w:left="0"/>
              <w:rPr>
                <w:rFonts w:ascii="Times New Roman"/>
                <w:sz w:val="15"/>
              </w:rPr>
            </w:pPr>
          </w:p>
          <w:p>
            <w:pPr>
              <w:pStyle w:val="TableParagraph"/>
              <w:ind w:left="160"/>
              <w:rPr>
                <w:b/>
                <w:sz w:val="21"/>
              </w:rPr>
            </w:pPr>
            <w:r>
              <w:rPr>
                <w:b/>
                <w:w w:val="95"/>
                <w:sz w:val="21"/>
              </w:rPr>
              <w:t>重大疾病的范围</w:t>
            </w:r>
          </w:p>
        </w:tc>
        <w:tc>
          <w:tcPr>
            <w:tcW w:w="7104" w:type="dxa"/>
            <w:tcBorders>
              <w:top w:val="double" w:sz="1" w:space="0" w:color="000000"/>
            </w:tcBorders>
          </w:tcPr>
          <w:p>
            <w:pPr>
              <w:pStyle w:val="TableParagraph"/>
              <w:spacing w:line="320" w:lineRule="atLeast" w:before="162"/>
              <w:ind w:right="42"/>
              <w:rPr>
                <w:sz w:val="21"/>
              </w:rPr>
            </w:pPr>
            <w:r>
              <w:rPr>
                <w:sz w:val="21"/>
              </w:rPr>
              <w:t>本附加合同所指的重大疾病在本附加合同中有确定的含义，不仅包括部分一般意义上的重大疾病，还包括某些重大手术。本附加合同所指的重大疾病可</w:t>
            </w:r>
          </w:p>
        </w:tc>
      </w:tr>
    </w:tbl>
    <w:p>
      <w:pPr>
        <w:spacing w:after="0" w:line="320" w:lineRule="atLeast"/>
        <w:rPr>
          <w:sz w:val="21"/>
        </w:rPr>
        <w:sectPr>
          <w:pgSz w:w="11910" w:h="16840"/>
          <w:pgMar w:header="0" w:footer="918" w:top="1540" w:bottom="1100" w:left="1080" w:right="940"/>
        </w:sectPr>
      </w:pPr>
    </w:p>
    <w:p>
      <w:pPr>
        <w:pStyle w:val="BodyText"/>
        <w:spacing w:line="278" w:lineRule="auto" w:before="8"/>
        <w:ind w:left="2856" w:right="450"/>
        <w:jc w:val="both"/>
      </w:pPr>
      <w:r>
        <w:rPr>
          <w:spacing w:val="-2"/>
        </w:rPr>
        <w:t>能与临床医学所指的重大疾病在概念和范围上有所不同，我们将在本附加合</w:t>
      </w:r>
      <w:r>
        <w:rPr>
          <w:spacing w:val="-5"/>
        </w:rPr>
        <w:t>同重大疾病定义中详细列明，投保人投保本附加合同即表明其认可并遵从本附加合同中对重大疾病的定义。</w:t>
      </w:r>
    </w:p>
    <w:p>
      <w:pPr>
        <w:pStyle w:val="BodyText"/>
        <w:rPr>
          <w:sz w:val="20"/>
        </w:rPr>
      </w:pPr>
    </w:p>
    <w:p>
      <w:pPr>
        <w:pStyle w:val="BodyText"/>
        <w:spacing w:before="10"/>
        <w:rPr>
          <w:sz w:val="1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49"/>
        <w:gridCol w:w="7345"/>
      </w:tblGrid>
      <w:tr>
        <w:trPr>
          <w:trHeight w:val="7349" w:hRule="atLeast"/>
        </w:trPr>
        <w:tc>
          <w:tcPr>
            <w:tcW w:w="886" w:type="dxa"/>
          </w:tcPr>
          <w:p>
            <w:pPr>
              <w:pStyle w:val="TableParagraph"/>
              <w:ind w:left="0"/>
              <w:rPr>
                <w:rFonts w:ascii="Times New Roman"/>
                <w:sz w:val="18"/>
              </w:rPr>
            </w:pPr>
          </w:p>
        </w:tc>
        <w:tc>
          <w:tcPr>
            <w:tcW w:w="1749" w:type="dxa"/>
          </w:tcPr>
          <w:p>
            <w:pPr>
              <w:pStyle w:val="TableParagraph"/>
              <w:ind w:left="0"/>
              <w:rPr>
                <w:rFonts w:ascii="Times New Roman"/>
                <w:sz w:val="18"/>
              </w:rPr>
            </w:pPr>
          </w:p>
        </w:tc>
        <w:tc>
          <w:tcPr>
            <w:tcW w:w="7345" w:type="dxa"/>
          </w:tcPr>
          <w:p>
            <w:pPr>
              <w:pStyle w:val="TableParagraph"/>
              <w:numPr>
                <w:ilvl w:val="0"/>
                <w:numId w:val="3"/>
              </w:numPr>
              <w:tabs>
                <w:tab w:pos="518" w:val="left" w:leader="none"/>
                <w:tab w:pos="3472" w:val="left" w:leader="none"/>
              </w:tabs>
              <w:spacing w:line="180" w:lineRule="exact" w:before="0" w:after="0"/>
              <w:ind w:left="517" w:right="0" w:hanging="210"/>
              <w:jc w:val="left"/>
              <w:rPr>
                <w:sz w:val="18"/>
              </w:rPr>
            </w:pPr>
            <w:r>
              <w:rPr>
                <w:sz w:val="18"/>
              </w:rPr>
              <w:t>恶性肿瘤</w:t>
              <w:tab/>
              <w:t>21</w:t>
            </w:r>
            <w:r>
              <w:rPr>
                <w:spacing w:val="26"/>
                <w:sz w:val="18"/>
              </w:rPr>
              <w:t> </w:t>
            </w:r>
            <w:r>
              <w:rPr>
                <w:sz w:val="18"/>
              </w:rPr>
              <w:t>严重原发性肺动脉高压</w:t>
            </w:r>
          </w:p>
          <w:p>
            <w:pPr>
              <w:pStyle w:val="TableParagraph"/>
              <w:numPr>
                <w:ilvl w:val="0"/>
                <w:numId w:val="3"/>
              </w:numPr>
              <w:tabs>
                <w:tab w:pos="518" w:val="left" w:leader="none"/>
                <w:tab w:pos="3472" w:val="left" w:leader="none"/>
              </w:tabs>
              <w:spacing w:line="240" w:lineRule="auto" w:before="92" w:after="0"/>
              <w:ind w:left="517" w:right="0" w:hanging="210"/>
              <w:jc w:val="left"/>
              <w:rPr>
                <w:sz w:val="18"/>
              </w:rPr>
            </w:pPr>
            <w:r>
              <w:rPr>
                <w:sz w:val="18"/>
              </w:rPr>
              <w:t>急性心肌梗塞</w:t>
              <w:tab/>
              <w:t>22</w:t>
            </w:r>
            <w:r>
              <w:rPr>
                <w:spacing w:val="26"/>
                <w:sz w:val="18"/>
              </w:rPr>
              <w:t> </w:t>
            </w:r>
            <w:r>
              <w:rPr>
                <w:sz w:val="18"/>
              </w:rPr>
              <w:t>严重运动神经元病</w:t>
            </w:r>
          </w:p>
          <w:p>
            <w:pPr>
              <w:pStyle w:val="TableParagraph"/>
              <w:numPr>
                <w:ilvl w:val="0"/>
                <w:numId w:val="3"/>
              </w:numPr>
              <w:tabs>
                <w:tab w:pos="518" w:val="left" w:leader="none"/>
                <w:tab w:pos="3472" w:val="left" w:leader="none"/>
              </w:tabs>
              <w:spacing w:line="240" w:lineRule="auto" w:before="90" w:after="0"/>
              <w:ind w:left="517" w:right="0" w:hanging="210"/>
              <w:jc w:val="left"/>
              <w:rPr>
                <w:sz w:val="18"/>
              </w:rPr>
            </w:pPr>
            <w:r>
              <w:rPr>
                <w:sz w:val="18"/>
              </w:rPr>
              <w:t>脑中风后遗症</w:t>
              <w:tab/>
              <w:t>23</w:t>
            </w:r>
            <w:r>
              <w:rPr>
                <w:spacing w:val="26"/>
                <w:sz w:val="18"/>
              </w:rPr>
              <w:t> </w:t>
            </w:r>
            <w:r>
              <w:rPr>
                <w:sz w:val="18"/>
              </w:rPr>
              <w:t>语言能力丧失</w:t>
            </w:r>
          </w:p>
          <w:p>
            <w:pPr>
              <w:pStyle w:val="TableParagraph"/>
              <w:numPr>
                <w:ilvl w:val="0"/>
                <w:numId w:val="3"/>
              </w:numPr>
              <w:tabs>
                <w:tab w:pos="518" w:val="left" w:leader="none"/>
              </w:tabs>
              <w:spacing w:line="240" w:lineRule="auto" w:before="91" w:after="0"/>
              <w:ind w:left="517" w:right="0" w:hanging="210"/>
              <w:jc w:val="left"/>
              <w:rPr>
                <w:sz w:val="18"/>
              </w:rPr>
            </w:pPr>
            <w:r>
              <w:rPr>
                <w:spacing w:val="-1"/>
                <w:sz w:val="18"/>
              </w:rPr>
              <w:t>重大器官移植术或造血干细胞移植术 </w:t>
            </w:r>
            <w:r>
              <w:rPr>
                <w:sz w:val="18"/>
              </w:rPr>
              <w:t>24 重型再生障碍性贫血</w:t>
            </w:r>
          </w:p>
          <w:p>
            <w:pPr>
              <w:pStyle w:val="TableParagraph"/>
              <w:numPr>
                <w:ilvl w:val="0"/>
                <w:numId w:val="3"/>
              </w:numPr>
              <w:tabs>
                <w:tab w:pos="518" w:val="left" w:leader="none"/>
                <w:tab w:pos="3472" w:val="left" w:leader="none"/>
              </w:tabs>
              <w:spacing w:line="240" w:lineRule="auto" w:before="90" w:after="0"/>
              <w:ind w:left="517" w:right="0" w:hanging="210"/>
              <w:jc w:val="left"/>
              <w:rPr>
                <w:sz w:val="18"/>
              </w:rPr>
            </w:pPr>
            <w:r>
              <w:rPr>
                <w:sz w:val="18"/>
              </w:rPr>
              <w:t>冠状动脉搭桥术</w:t>
              <w:tab/>
              <w:t>25</w:t>
            </w:r>
            <w:r>
              <w:rPr>
                <w:spacing w:val="26"/>
                <w:sz w:val="18"/>
              </w:rPr>
              <w:t> </w:t>
            </w:r>
            <w:r>
              <w:rPr>
                <w:sz w:val="18"/>
              </w:rPr>
              <w:t>主动脉手术</w:t>
            </w:r>
          </w:p>
          <w:p>
            <w:pPr>
              <w:pStyle w:val="TableParagraph"/>
              <w:tabs>
                <w:tab w:pos="3472" w:val="left" w:leader="none"/>
              </w:tabs>
              <w:spacing w:before="91"/>
              <w:ind w:left="517"/>
              <w:rPr>
                <w:sz w:val="18"/>
              </w:rPr>
            </w:pPr>
            <w:r>
              <w:rPr>
                <w:sz w:val="18"/>
              </w:rPr>
              <w:t>（或称冠状动脉旁路移植术）</w:t>
              <w:tab/>
              <w:t>26</w:t>
            </w:r>
            <w:r>
              <w:rPr>
                <w:spacing w:val="26"/>
                <w:sz w:val="18"/>
              </w:rPr>
              <w:t> </w:t>
            </w:r>
            <w:r>
              <w:rPr>
                <w:sz w:val="18"/>
              </w:rPr>
              <w:t>慢性呼吸功能衰竭</w:t>
            </w:r>
          </w:p>
          <w:p>
            <w:pPr>
              <w:pStyle w:val="TableParagraph"/>
              <w:numPr>
                <w:ilvl w:val="0"/>
                <w:numId w:val="3"/>
              </w:numPr>
              <w:tabs>
                <w:tab w:pos="518" w:val="left" w:leader="none"/>
                <w:tab w:pos="3472" w:val="left" w:leader="none"/>
              </w:tabs>
              <w:spacing w:line="240" w:lineRule="auto" w:before="90" w:after="0"/>
              <w:ind w:left="517" w:right="0" w:hanging="210"/>
              <w:jc w:val="left"/>
              <w:rPr>
                <w:sz w:val="18"/>
              </w:rPr>
            </w:pPr>
            <w:r>
              <w:rPr>
                <w:sz w:val="18"/>
              </w:rPr>
              <w:t>终末期肾病</w:t>
              <w:tab/>
              <w:t>27</w:t>
            </w:r>
            <w:r>
              <w:rPr>
                <w:spacing w:val="26"/>
                <w:sz w:val="18"/>
              </w:rPr>
              <w:t> </w:t>
            </w:r>
            <w:r>
              <w:rPr>
                <w:sz w:val="18"/>
              </w:rPr>
              <w:t>严重多发性硬化</w:t>
            </w:r>
          </w:p>
          <w:p>
            <w:pPr>
              <w:pStyle w:val="TableParagraph"/>
              <w:tabs>
                <w:tab w:pos="3472" w:val="left" w:leader="none"/>
              </w:tabs>
              <w:spacing w:before="91"/>
              <w:ind w:left="517"/>
              <w:rPr>
                <w:sz w:val="18"/>
              </w:rPr>
            </w:pPr>
            <w:r>
              <w:rPr>
                <w:sz w:val="18"/>
              </w:rPr>
              <w:t>（或称慢性肾功能衰竭尿毒症期）</w:t>
              <w:tab/>
              <w:t>28</w:t>
            </w:r>
            <w:r>
              <w:rPr>
                <w:spacing w:val="26"/>
                <w:sz w:val="18"/>
              </w:rPr>
              <w:t> </w:t>
            </w:r>
            <w:r>
              <w:rPr>
                <w:sz w:val="18"/>
              </w:rPr>
              <w:t>脊髓灰质炎</w:t>
            </w:r>
          </w:p>
          <w:p>
            <w:pPr>
              <w:pStyle w:val="TableParagraph"/>
              <w:numPr>
                <w:ilvl w:val="0"/>
                <w:numId w:val="3"/>
              </w:numPr>
              <w:tabs>
                <w:tab w:pos="518" w:val="left" w:leader="none"/>
                <w:tab w:pos="3472" w:val="left" w:leader="none"/>
              </w:tabs>
              <w:spacing w:line="240" w:lineRule="auto" w:before="90" w:after="0"/>
              <w:ind w:left="517" w:right="0" w:hanging="210"/>
              <w:jc w:val="left"/>
              <w:rPr>
                <w:sz w:val="18"/>
              </w:rPr>
            </w:pPr>
            <w:r>
              <w:rPr>
                <w:sz w:val="18"/>
              </w:rPr>
              <w:t>多个肢体缺失</w:t>
              <w:tab/>
              <w:t>29</w:t>
            </w:r>
            <w:r>
              <w:rPr>
                <w:spacing w:val="26"/>
                <w:sz w:val="18"/>
              </w:rPr>
              <w:t> </w:t>
            </w:r>
            <w:r>
              <w:rPr>
                <w:sz w:val="18"/>
              </w:rPr>
              <w:t>全身性重症肌无力</w:t>
            </w:r>
          </w:p>
          <w:p>
            <w:pPr>
              <w:pStyle w:val="TableParagraph"/>
              <w:numPr>
                <w:ilvl w:val="0"/>
                <w:numId w:val="3"/>
              </w:numPr>
              <w:tabs>
                <w:tab w:pos="518" w:val="left" w:leader="none"/>
                <w:tab w:pos="3472" w:val="left" w:leader="none"/>
              </w:tabs>
              <w:spacing w:line="240" w:lineRule="auto" w:before="92" w:after="0"/>
              <w:ind w:left="517" w:right="0" w:hanging="210"/>
              <w:jc w:val="left"/>
              <w:rPr>
                <w:sz w:val="18"/>
              </w:rPr>
            </w:pPr>
            <w:r>
              <w:rPr>
                <w:sz w:val="18"/>
              </w:rPr>
              <w:t>急性或亚急性重症肝炎</w:t>
              <w:tab/>
              <w:t>30</w:t>
            </w:r>
            <w:r>
              <w:rPr>
                <w:spacing w:val="26"/>
                <w:sz w:val="18"/>
              </w:rPr>
              <w:t> </w:t>
            </w:r>
            <w:r>
              <w:rPr>
                <w:sz w:val="18"/>
              </w:rPr>
              <w:t>严重冠心病</w:t>
            </w:r>
          </w:p>
          <w:p>
            <w:pPr>
              <w:pStyle w:val="TableParagraph"/>
              <w:numPr>
                <w:ilvl w:val="0"/>
                <w:numId w:val="3"/>
              </w:numPr>
              <w:tabs>
                <w:tab w:pos="518" w:val="left" w:leader="none"/>
                <w:tab w:pos="3472" w:val="left" w:leader="none"/>
              </w:tabs>
              <w:spacing w:line="240" w:lineRule="auto" w:before="91" w:after="0"/>
              <w:ind w:left="517" w:right="0" w:hanging="210"/>
              <w:jc w:val="left"/>
              <w:rPr>
                <w:sz w:val="18"/>
              </w:rPr>
            </w:pPr>
            <w:r>
              <w:rPr>
                <w:sz w:val="18"/>
              </w:rPr>
              <w:t>良性脑肿瘤</w:t>
              <w:tab/>
              <w:t>31</w:t>
            </w:r>
            <w:r>
              <w:rPr>
                <w:spacing w:val="26"/>
                <w:sz w:val="18"/>
              </w:rPr>
              <w:t> </w:t>
            </w:r>
            <w:r>
              <w:rPr>
                <w:sz w:val="18"/>
              </w:rPr>
              <w:t>严重心肌病</w:t>
            </w:r>
          </w:p>
          <w:p>
            <w:pPr>
              <w:pStyle w:val="TableParagraph"/>
              <w:numPr>
                <w:ilvl w:val="0"/>
                <w:numId w:val="3"/>
              </w:numPr>
              <w:tabs>
                <w:tab w:pos="518" w:val="left" w:leader="none"/>
                <w:tab w:pos="3472" w:val="left" w:leader="none"/>
              </w:tabs>
              <w:spacing w:line="240" w:lineRule="auto" w:before="92" w:after="0"/>
              <w:ind w:left="517" w:right="0" w:hanging="300"/>
              <w:jc w:val="left"/>
              <w:rPr>
                <w:sz w:val="18"/>
              </w:rPr>
            </w:pPr>
            <w:r>
              <w:rPr>
                <w:sz w:val="18"/>
              </w:rPr>
              <w:t>慢性肝功能衰竭失代偿期</w:t>
              <w:tab/>
              <w:t>32</w:t>
            </w:r>
            <w:r>
              <w:rPr>
                <w:spacing w:val="26"/>
                <w:sz w:val="18"/>
              </w:rPr>
              <w:t> </w:t>
            </w:r>
            <w:r>
              <w:rPr>
                <w:sz w:val="18"/>
              </w:rPr>
              <w:t>系统性红斑狼疮－III</w:t>
            </w:r>
            <w:r>
              <w:rPr>
                <w:spacing w:val="-46"/>
                <w:sz w:val="18"/>
              </w:rPr>
              <w:t> </w:t>
            </w:r>
            <w:r>
              <w:rPr>
                <w:sz w:val="18"/>
              </w:rPr>
              <w:t>型或以上狼疮性肾炎</w:t>
            </w:r>
          </w:p>
          <w:p>
            <w:pPr>
              <w:pStyle w:val="TableParagraph"/>
              <w:numPr>
                <w:ilvl w:val="0"/>
                <w:numId w:val="3"/>
              </w:numPr>
              <w:tabs>
                <w:tab w:pos="518" w:val="left" w:leader="none"/>
                <w:tab w:pos="3472" w:val="left" w:leader="none"/>
              </w:tabs>
              <w:spacing w:line="240" w:lineRule="auto" w:before="90" w:after="0"/>
              <w:ind w:left="517" w:right="0" w:hanging="300"/>
              <w:jc w:val="left"/>
              <w:rPr>
                <w:sz w:val="18"/>
              </w:rPr>
            </w:pPr>
            <w:r>
              <w:rPr>
                <w:sz w:val="18"/>
              </w:rPr>
              <w:t>脑炎后遗症或脑膜炎后遗症</w:t>
              <w:tab/>
              <w:t>33</w:t>
            </w:r>
            <w:r>
              <w:rPr>
                <w:spacing w:val="26"/>
                <w:sz w:val="18"/>
              </w:rPr>
              <w:t> </w:t>
            </w:r>
            <w:r>
              <w:rPr>
                <w:sz w:val="18"/>
              </w:rPr>
              <w:t>因职业关系导致的人类免疫缺陷病毒感染</w:t>
            </w:r>
          </w:p>
          <w:p>
            <w:pPr>
              <w:pStyle w:val="TableParagraph"/>
              <w:numPr>
                <w:ilvl w:val="0"/>
                <w:numId w:val="3"/>
              </w:numPr>
              <w:tabs>
                <w:tab w:pos="518" w:val="left" w:leader="none"/>
                <w:tab w:pos="3472" w:val="left" w:leader="none"/>
              </w:tabs>
              <w:spacing w:line="240" w:lineRule="auto" w:before="91" w:after="0"/>
              <w:ind w:left="517" w:right="0" w:hanging="300"/>
              <w:jc w:val="left"/>
              <w:rPr>
                <w:sz w:val="18"/>
              </w:rPr>
            </w:pPr>
            <w:r>
              <w:rPr>
                <w:sz w:val="18"/>
              </w:rPr>
              <w:t>深度昏迷</w:t>
              <w:tab/>
              <w:t>34</w:t>
            </w:r>
            <w:r>
              <w:rPr>
                <w:spacing w:val="26"/>
                <w:sz w:val="18"/>
              </w:rPr>
              <w:t> </w:t>
            </w:r>
            <w:r>
              <w:rPr>
                <w:sz w:val="18"/>
              </w:rPr>
              <w:t>经输血导致的人类免疫缺陷病毒感染</w:t>
            </w:r>
          </w:p>
          <w:p>
            <w:pPr>
              <w:pStyle w:val="TableParagraph"/>
              <w:numPr>
                <w:ilvl w:val="0"/>
                <w:numId w:val="3"/>
              </w:numPr>
              <w:tabs>
                <w:tab w:pos="518" w:val="left" w:leader="none"/>
                <w:tab w:pos="3472" w:val="left" w:leader="none"/>
              </w:tabs>
              <w:spacing w:line="240" w:lineRule="auto" w:before="90" w:after="0"/>
              <w:ind w:left="517" w:right="0" w:hanging="300"/>
              <w:jc w:val="left"/>
              <w:rPr>
                <w:sz w:val="18"/>
              </w:rPr>
            </w:pPr>
            <w:r>
              <w:rPr>
                <w:sz w:val="18"/>
              </w:rPr>
              <w:t>双耳失聪</w:t>
              <w:tab/>
              <w:t>35</w:t>
            </w:r>
            <w:r>
              <w:rPr>
                <w:spacing w:val="26"/>
                <w:sz w:val="18"/>
              </w:rPr>
              <w:t> </w:t>
            </w:r>
            <w:r>
              <w:rPr>
                <w:sz w:val="18"/>
              </w:rPr>
              <w:t>严重克隆病</w:t>
            </w:r>
          </w:p>
          <w:p>
            <w:pPr>
              <w:pStyle w:val="TableParagraph"/>
              <w:numPr>
                <w:ilvl w:val="0"/>
                <w:numId w:val="3"/>
              </w:numPr>
              <w:tabs>
                <w:tab w:pos="518" w:val="left" w:leader="none"/>
                <w:tab w:pos="3472" w:val="left" w:leader="none"/>
              </w:tabs>
              <w:spacing w:line="240" w:lineRule="auto" w:before="91" w:after="0"/>
              <w:ind w:left="517" w:right="0" w:hanging="300"/>
              <w:jc w:val="left"/>
              <w:rPr>
                <w:sz w:val="18"/>
              </w:rPr>
            </w:pPr>
            <w:r>
              <w:rPr>
                <w:sz w:val="18"/>
              </w:rPr>
              <w:t>双目失明</w:t>
              <w:tab/>
              <w:t>36</w:t>
            </w:r>
            <w:r>
              <w:rPr>
                <w:spacing w:val="26"/>
                <w:sz w:val="18"/>
              </w:rPr>
              <w:t> </w:t>
            </w:r>
            <w:r>
              <w:rPr>
                <w:sz w:val="18"/>
              </w:rPr>
              <w:t>严重溃疡性结肠炎</w:t>
            </w:r>
          </w:p>
          <w:p>
            <w:pPr>
              <w:pStyle w:val="TableParagraph"/>
              <w:numPr>
                <w:ilvl w:val="0"/>
                <w:numId w:val="3"/>
              </w:numPr>
              <w:tabs>
                <w:tab w:pos="518" w:val="left" w:leader="none"/>
                <w:tab w:pos="3472" w:val="left" w:leader="none"/>
              </w:tabs>
              <w:spacing w:line="240" w:lineRule="auto" w:before="90" w:after="0"/>
              <w:ind w:left="517" w:right="0" w:hanging="300"/>
              <w:jc w:val="left"/>
              <w:rPr>
                <w:sz w:val="18"/>
              </w:rPr>
            </w:pPr>
            <w:r>
              <w:rPr>
                <w:sz w:val="18"/>
              </w:rPr>
              <w:t>瘫痪</w:t>
              <w:tab/>
              <w:t>37</w:t>
            </w:r>
            <w:r>
              <w:rPr>
                <w:spacing w:val="26"/>
                <w:sz w:val="18"/>
              </w:rPr>
              <w:t> </w:t>
            </w:r>
            <w:r>
              <w:rPr>
                <w:sz w:val="18"/>
              </w:rPr>
              <w:t>1</w:t>
            </w:r>
            <w:r>
              <w:rPr>
                <w:spacing w:val="-46"/>
                <w:sz w:val="18"/>
              </w:rPr>
              <w:t> </w:t>
            </w:r>
            <w:r>
              <w:rPr>
                <w:sz w:val="18"/>
              </w:rPr>
              <w:t>型糖尿病</w:t>
            </w:r>
          </w:p>
          <w:p>
            <w:pPr>
              <w:pStyle w:val="TableParagraph"/>
              <w:numPr>
                <w:ilvl w:val="0"/>
                <w:numId w:val="3"/>
              </w:numPr>
              <w:tabs>
                <w:tab w:pos="518" w:val="left" w:leader="none"/>
                <w:tab w:pos="3472" w:val="left" w:leader="none"/>
              </w:tabs>
              <w:spacing w:line="240" w:lineRule="auto" w:before="91" w:after="0"/>
              <w:ind w:left="517" w:right="0" w:hanging="300"/>
              <w:jc w:val="left"/>
              <w:rPr>
                <w:sz w:val="18"/>
              </w:rPr>
            </w:pPr>
            <w:r>
              <w:rPr>
                <w:sz w:val="18"/>
              </w:rPr>
              <w:t>心脏瓣膜手术</w:t>
              <w:tab/>
              <w:t>38</w:t>
            </w:r>
            <w:r>
              <w:rPr>
                <w:spacing w:val="26"/>
                <w:sz w:val="18"/>
              </w:rPr>
              <w:t> </w:t>
            </w:r>
            <w:r>
              <w:rPr>
                <w:sz w:val="18"/>
              </w:rPr>
              <w:t>肺源性心脏病</w:t>
            </w:r>
          </w:p>
          <w:p>
            <w:pPr>
              <w:pStyle w:val="TableParagraph"/>
              <w:numPr>
                <w:ilvl w:val="0"/>
                <w:numId w:val="3"/>
              </w:numPr>
              <w:tabs>
                <w:tab w:pos="518" w:val="left" w:leader="none"/>
                <w:tab w:pos="3472" w:val="left" w:leader="none"/>
              </w:tabs>
              <w:spacing w:line="240" w:lineRule="auto" w:before="90" w:after="0"/>
              <w:ind w:left="517" w:right="0" w:hanging="300"/>
              <w:jc w:val="left"/>
              <w:rPr>
                <w:sz w:val="18"/>
              </w:rPr>
            </w:pPr>
            <w:r>
              <w:rPr>
                <w:sz w:val="18"/>
              </w:rPr>
              <w:t>严重阿尔茨海默病</w:t>
              <w:tab/>
              <w:t>39</w:t>
            </w:r>
            <w:r>
              <w:rPr>
                <w:spacing w:val="26"/>
                <w:sz w:val="18"/>
              </w:rPr>
              <w:t> </w:t>
            </w:r>
            <w:r>
              <w:rPr>
                <w:sz w:val="18"/>
              </w:rPr>
              <w:t>植物人状态</w:t>
            </w:r>
          </w:p>
          <w:p>
            <w:pPr>
              <w:pStyle w:val="TableParagraph"/>
              <w:numPr>
                <w:ilvl w:val="0"/>
                <w:numId w:val="3"/>
              </w:numPr>
              <w:tabs>
                <w:tab w:pos="518" w:val="left" w:leader="none"/>
                <w:tab w:pos="3472" w:val="left" w:leader="none"/>
              </w:tabs>
              <w:spacing w:line="240" w:lineRule="auto" w:before="92" w:after="0"/>
              <w:ind w:left="517" w:right="0" w:hanging="300"/>
              <w:jc w:val="left"/>
              <w:rPr>
                <w:sz w:val="18"/>
              </w:rPr>
            </w:pPr>
            <w:r>
              <w:rPr>
                <w:sz w:val="18"/>
              </w:rPr>
              <w:t>严重脑损伤</w:t>
              <w:tab/>
              <w:t>40</w:t>
            </w:r>
            <w:r>
              <w:rPr>
                <w:spacing w:val="26"/>
                <w:sz w:val="18"/>
              </w:rPr>
              <w:t> </w:t>
            </w:r>
            <w:r>
              <w:rPr>
                <w:sz w:val="18"/>
              </w:rPr>
              <w:t>严重类风湿性关节炎</w:t>
            </w:r>
          </w:p>
          <w:p>
            <w:pPr>
              <w:pStyle w:val="TableParagraph"/>
              <w:numPr>
                <w:ilvl w:val="0"/>
                <w:numId w:val="3"/>
              </w:numPr>
              <w:tabs>
                <w:tab w:pos="518" w:val="left" w:leader="none"/>
                <w:tab w:pos="3472" w:val="left" w:leader="none"/>
              </w:tabs>
              <w:spacing w:line="240" w:lineRule="auto" w:before="91" w:after="0"/>
              <w:ind w:left="517" w:right="0" w:hanging="300"/>
              <w:jc w:val="left"/>
              <w:rPr>
                <w:sz w:val="18"/>
              </w:rPr>
            </w:pPr>
            <w:r>
              <w:rPr>
                <w:sz w:val="18"/>
              </w:rPr>
              <w:t>严重帕金森病</w:t>
              <w:tab/>
              <w:t>41</w:t>
            </w:r>
            <w:r>
              <w:rPr>
                <w:spacing w:val="26"/>
                <w:sz w:val="18"/>
              </w:rPr>
              <w:t> </w:t>
            </w:r>
            <w:r>
              <w:rPr>
                <w:sz w:val="18"/>
              </w:rPr>
              <w:t>非阿尔茨海默病所致严重痴呆</w:t>
            </w:r>
          </w:p>
          <w:p>
            <w:pPr>
              <w:pStyle w:val="TableParagraph"/>
              <w:numPr>
                <w:ilvl w:val="0"/>
                <w:numId w:val="3"/>
              </w:numPr>
              <w:tabs>
                <w:tab w:pos="518" w:val="left" w:leader="none"/>
                <w:tab w:pos="3472" w:val="left" w:leader="none"/>
              </w:tabs>
              <w:spacing w:line="240" w:lineRule="auto" w:before="92" w:after="0"/>
              <w:ind w:left="517" w:right="0" w:hanging="300"/>
              <w:jc w:val="left"/>
              <w:rPr>
                <w:sz w:val="18"/>
              </w:rPr>
            </w:pPr>
            <w:r>
              <w:rPr>
                <w:sz w:val="18"/>
              </w:rPr>
              <w:t>严重Ⅲ度烧伤</w:t>
              <w:tab/>
              <w:t>42</w:t>
            </w:r>
            <w:r>
              <w:rPr>
                <w:spacing w:val="26"/>
                <w:sz w:val="18"/>
              </w:rPr>
              <w:t> </w:t>
            </w:r>
            <w:r>
              <w:rPr>
                <w:sz w:val="18"/>
              </w:rPr>
              <w:t>终末期疾病</w:t>
            </w:r>
          </w:p>
        </w:tc>
      </w:tr>
      <w:tr>
        <w:trPr>
          <w:trHeight w:val="1370" w:hRule="atLeast"/>
        </w:trPr>
        <w:tc>
          <w:tcPr>
            <w:tcW w:w="886" w:type="dxa"/>
          </w:tcPr>
          <w:p>
            <w:pPr>
              <w:pStyle w:val="TableParagraph"/>
              <w:spacing w:before="1"/>
              <w:ind w:left="0"/>
              <w:rPr>
                <w:sz w:val="18"/>
              </w:rPr>
            </w:pPr>
          </w:p>
          <w:p>
            <w:pPr>
              <w:pStyle w:val="TableParagraph"/>
              <w:ind w:left="200"/>
              <w:rPr>
                <w:b/>
                <w:sz w:val="21"/>
              </w:rPr>
            </w:pPr>
            <w:r>
              <w:rPr>
                <w:b/>
                <w:sz w:val="21"/>
              </w:rPr>
              <w:t>3.2</w:t>
            </w:r>
          </w:p>
        </w:tc>
        <w:tc>
          <w:tcPr>
            <w:tcW w:w="1749" w:type="dxa"/>
          </w:tcPr>
          <w:p>
            <w:pPr>
              <w:pStyle w:val="TableParagraph"/>
              <w:spacing w:before="1"/>
              <w:ind w:left="0"/>
              <w:rPr>
                <w:sz w:val="18"/>
              </w:rPr>
            </w:pPr>
          </w:p>
          <w:p>
            <w:pPr>
              <w:pStyle w:val="TableParagraph"/>
              <w:ind w:left="161"/>
              <w:rPr>
                <w:b/>
                <w:sz w:val="21"/>
              </w:rPr>
            </w:pPr>
            <w:r>
              <w:rPr>
                <w:b/>
                <w:w w:val="95"/>
                <w:sz w:val="21"/>
              </w:rPr>
              <w:t>重大疾病的定义</w:t>
            </w:r>
          </w:p>
        </w:tc>
        <w:tc>
          <w:tcPr>
            <w:tcW w:w="7345" w:type="dxa"/>
          </w:tcPr>
          <w:p>
            <w:pPr>
              <w:pStyle w:val="TableParagraph"/>
              <w:ind w:left="0"/>
              <w:rPr>
                <w:sz w:val="20"/>
              </w:rPr>
            </w:pPr>
          </w:p>
          <w:p>
            <w:pPr>
              <w:pStyle w:val="TableParagraph"/>
              <w:spacing w:line="278" w:lineRule="auto" w:before="1"/>
              <w:ind w:left="113" w:right="334"/>
              <w:jc w:val="both"/>
              <w:rPr>
                <w:sz w:val="21"/>
              </w:rPr>
            </w:pP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tc>
      </w:tr>
      <w:tr>
        <w:trPr>
          <w:trHeight w:val="3533" w:hRule="atLeast"/>
        </w:trPr>
        <w:tc>
          <w:tcPr>
            <w:tcW w:w="886" w:type="dxa"/>
          </w:tcPr>
          <w:p>
            <w:pPr>
              <w:pStyle w:val="TableParagraph"/>
              <w:spacing w:before="127"/>
              <w:ind w:left="200"/>
              <w:rPr>
                <w:i/>
                <w:sz w:val="22"/>
              </w:rPr>
            </w:pPr>
            <w:r>
              <w:rPr>
                <w:i/>
                <w:sz w:val="22"/>
              </w:rPr>
              <w:t>3.2.1</w:t>
            </w:r>
          </w:p>
        </w:tc>
        <w:tc>
          <w:tcPr>
            <w:tcW w:w="1749" w:type="dxa"/>
          </w:tcPr>
          <w:p>
            <w:pPr>
              <w:pStyle w:val="TableParagraph"/>
              <w:spacing w:before="127"/>
              <w:ind w:left="161"/>
              <w:rPr>
                <w:i/>
                <w:sz w:val="22"/>
              </w:rPr>
            </w:pPr>
            <w:r>
              <w:rPr>
                <w:i/>
                <w:w w:val="95"/>
                <w:sz w:val="22"/>
              </w:rPr>
              <w:t>恶性肿瘤</w:t>
            </w:r>
          </w:p>
        </w:tc>
        <w:tc>
          <w:tcPr>
            <w:tcW w:w="7345" w:type="dxa"/>
          </w:tcPr>
          <w:p>
            <w:pPr>
              <w:pStyle w:val="TableParagraph"/>
              <w:spacing w:line="273" w:lineRule="auto" w:before="139"/>
              <w:ind w:left="113" w:right="335"/>
              <w:rPr>
                <w:sz w:val="21"/>
              </w:rPr>
            </w:pPr>
            <w:r>
              <w:rPr>
                <w:spacing w:val="-2"/>
                <w:sz w:val="21"/>
              </w:rPr>
              <w:t>指恶性细胞不受控制的进行性增长和扩散，浸润和破坏周围正常组织，可以</w:t>
            </w:r>
            <w:r>
              <w:rPr>
                <w:spacing w:val="-6"/>
                <w:sz w:val="21"/>
              </w:rPr>
              <w:t>经血管、淋巴管和体腔扩散转移到身体其它部位的疾病。经病理学检查结果明确诊断，临床诊断属于世界卫生组织《 疾病和有关健康问题的国际统计</w:t>
            </w:r>
            <w:r>
              <w:rPr>
                <w:spacing w:val="-36"/>
                <w:sz w:val="21"/>
              </w:rPr>
              <w:t>分类》</w:t>
            </w:r>
            <w:r>
              <w:rPr>
                <w:sz w:val="21"/>
              </w:rPr>
              <w:t>（ICD-10）的恶性肿瘤范畴。</w:t>
            </w:r>
          </w:p>
          <w:p>
            <w:pPr>
              <w:pStyle w:val="TableParagraph"/>
              <w:spacing w:before="7"/>
              <w:ind w:left="113"/>
              <w:rPr>
                <w:b/>
                <w:sz w:val="21"/>
              </w:rPr>
            </w:pPr>
            <w:r>
              <w:rPr>
                <w:b/>
                <w:w w:val="95"/>
                <w:sz w:val="21"/>
              </w:rPr>
              <w:t>下列疾病不在保障范围内：</w:t>
            </w:r>
          </w:p>
          <w:p>
            <w:pPr>
              <w:pStyle w:val="TableParagraph"/>
              <w:spacing w:before="36"/>
              <w:ind w:left="113"/>
              <w:rPr>
                <w:b/>
                <w:sz w:val="21"/>
              </w:rPr>
            </w:pPr>
            <w:r>
              <w:rPr>
                <w:b/>
                <w:w w:val="95"/>
                <w:sz w:val="21"/>
              </w:rPr>
              <w:t>（1）原位癌；</w:t>
            </w:r>
          </w:p>
          <w:p>
            <w:pPr>
              <w:pStyle w:val="TableParagraph"/>
              <w:spacing w:before="36"/>
              <w:ind w:left="113"/>
              <w:rPr>
                <w:b/>
                <w:sz w:val="21"/>
              </w:rPr>
            </w:pPr>
            <w:r>
              <w:rPr>
                <w:b/>
                <w:sz w:val="21"/>
              </w:rPr>
              <w:t>（2）相当于 Binet 分期方案 A 期程度的慢性淋巴细胞白血病；</w:t>
            </w:r>
          </w:p>
          <w:p>
            <w:pPr>
              <w:pStyle w:val="TableParagraph"/>
              <w:spacing w:before="36"/>
              <w:ind w:left="113"/>
              <w:rPr>
                <w:b/>
                <w:sz w:val="21"/>
              </w:rPr>
            </w:pPr>
            <w:r>
              <w:rPr>
                <w:b/>
                <w:sz w:val="21"/>
              </w:rPr>
              <w:t>（3）相当于 Ann Arbor 分期方案 I 期程度的何杰金氏病；</w:t>
            </w:r>
          </w:p>
          <w:p>
            <w:pPr>
              <w:pStyle w:val="TableParagraph"/>
              <w:spacing w:before="37"/>
              <w:ind w:left="113"/>
              <w:rPr>
                <w:b/>
                <w:sz w:val="21"/>
              </w:rPr>
            </w:pPr>
            <w:r>
              <w:rPr>
                <w:b/>
                <w:spacing w:val="0"/>
                <w:w w:val="99"/>
                <w:sz w:val="21"/>
              </w:rPr>
              <w:t>（4</w:t>
            </w:r>
            <w:r>
              <w:rPr>
                <w:b/>
                <w:spacing w:val="-1"/>
                <w:w w:val="99"/>
                <w:sz w:val="21"/>
              </w:rPr>
              <w:t>）</w:t>
            </w:r>
            <w:r>
              <w:rPr>
                <w:b/>
                <w:w w:val="99"/>
                <w:sz w:val="21"/>
              </w:rPr>
              <w:t>皮肤癌</w:t>
            </w:r>
            <w:r>
              <w:rPr>
                <w:b/>
                <w:spacing w:val="0"/>
                <w:w w:val="99"/>
                <w:sz w:val="21"/>
              </w:rPr>
              <w:t>（</w:t>
            </w:r>
            <w:r>
              <w:rPr>
                <w:b/>
                <w:spacing w:val="-1"/>
                <w:w w:val="99"/>
                <w:sz w:val="21"/>
              </w:rPr>
              <w:t>不包括恶性黑色素瘤及已发生转移的皮肤癌</w:t>
            </w:r>
            <w:r>
              <w:rPr>
                <w:b/>
                <w:spacing w:val="-106"/>
                <w:w w:val="99"/>
                <w:sz w:val="21"/>
              </w:rPr>
              <w:t>）</w:t>
            </w:r>
            <w:r>
              <w:rPr>
                <w:b/>
                <w:w w:val="99"/>
                <w:sz w:val="21"/>
              </w:rPr>
              <w:t>；</w:t>
            </w:r>
          </w:p>
          <w:p>
            <w:pPr>
              <w:pStyle w:val="TableParagraph"/>
              <w:spacing w:before="37"/>
              <w:ind w:left="113"/>
              <w:rPr>
                <w:b/>
                <w:sz w:val="21"/>
              </w:rPr>
            </w:pPr>
            <w:r>
              <w:rPr>
                <w:b/>
                <w:position w:val="1"/>
                <w:sz w:val="21"/>
              </w:rPr>
              <w:t>（5）TNM 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line="255" w:lineRule="exact" w:before="37"/>
              <w:ind w:left="113"/>
              <w:rPr>
                <w:b/>
                <w:sz w:val="21"/>
              </w:rPr>
            </w:pPr>
            <w:r>
              <w:rPr>
                <w:b/>
                <w:w w:val="95"/>
                <w:sz w:val="21"/>
              </w:rPr>
              <w:t>（6）感染艾滋病病毒或患艾滋病期间所患恶性肿瘤。</w:t>
            </w:r>
          </w:p>
        </w:tc>
      </w:tr>
    </w:tbl>
    <w:p>
      <w:pPr>
        <w:spacing w:after="0" w:line="255" w:lineRule="exact"/>
        <w:rPr>
          <w:sz w:val="21"/>
        </w:rPr>
        <w:sectPr>
          <w:pgSz w:w="11910" w:h="16840"/>
          <w:pgMar w:header="0" w:footer="918" w:top="1500" w:bottom="1100" w:left="1000" w:right="7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55"/>
        <w:gridCol w:w="7203"/>
      </w:tblGrid>
      <w:tr>
        <w:trPr>
          <w:trHeight w:val="2562" w:hRule="atLeast"/>
        </w:trPr>
        <w:tc>
          <w:tcPr>
            <w:tcW w:w="886" w:type="dxa"/>
          </w:tcPr>
          <w:p>
            <w:pPr>
              <w:pStyle w:val="TableParagraph"/>
              <w:spacing w:line="219" w:lineRule="exact"/>
              <w:ind w:left="167" w:right="129"/>
              <w:jc w:val="center"/>
              <w:rPr>
                <w:i/>
                <w:sz w:val="22"/>
              </w:rPr>
            </w:pPr>
            <w:r>
              <w:rPr>
                <w:i/>
                <w:sz w:val="22"/>
              </w:rPr>
              <w:t>3.2.2</w:t>
            </w:r>
          </w:p>
        </w:tc>
        <w:tc>
          <w:tcPr>
            <w:tcW w:w="1755" w:type="dxa"/>
          </w:tcPr>
          <w:p>
            <w:pPr>
              <w:pStyle w:val="TableParagraph"/>
              <w:spacing w:line="219" w:lineRule="exact"/>
              <w:ind w:left="161"/>
              <w:rPr>
                <w:i/>
                <w:sz w:val="22"/>
              </w:rPr>
            </w:pPr>
            <w:r>
              <w:rPr>
                <w:i/>
                <w:w w:val="95"/>
                <w:sz w:val="22"/>
              </w:rPr>
              <w:t>急性心肌梗塞</w:t>
            </w:r>
          </w:p>
        </w:tc>
        <w:tc>
          <w:tcPr>
            <w:tcW w:w="7203" w:type="dxa"/>
          </w:tcPr>
          <w:p>
            <w:pPr>
              <w:pStyle w:val="TableParagraph"/>
              <w:spacing w:line="218" w:lineRule="exact"/>
              <w:rPr>
                <w:b/>
                <w:sz w:val="21"/>
              </w:rPr>
            </w:pPr>
            <w:r>
              <w:rPr>
                <w:w w:val="95"/>
                <w:sz w:val="21"/>
              </w:rPr>
              <w:t>指因冠状动脉阻塞导致的相应区域供血不足造成部分心肌坏死。</w:t>
            </w:r>
            <w:r>
              <w:rPr>
                <w:b/>
                <w:w w:val="95"/>
                <w:sz w:val="21"/>
              </w:rPr>
              <w:t>须满足下列</w:t>
            </w:r>
          </w:p>
          <w:p>
            <w:pPr>
              <w:pStyle w:val="TableParagraph"/>
              <w:spacing w:before="36"/>
              <w:rPr>
                <w:b/>
                <w:sz w:val="21"/>
              </w:rPr>
            </w:pPr>
            <w:r>
              <w:rPr>
                <w:b/>
                <w:w w:val="95"/>
                <w:sz w:val="21"/>
              </w:rPr>
              <w:t>至少三项条件：</w:t>
            </w:r>
          </w:p>
          <w:p>
            <w:pPr>
              <w:pStyle w:val="TableParagraph"/>
              <w:spacing w:before="37"/>
              <w:rPr>
                <w:b/>
                <w:sz w:val="21"/>
              </w:rPr>
            </w:pPr>
            <w:r>
              <w:rPr>
                <w:b/>
                <w:w w:val="95"/>
                <w:sz w:val="21"/>
              </w:rPr>
              <w:t>（1）典型临床表现，例如急性胸痛等；</w:t>
            </w:r>
          </w:p>
          <w:p>
            <w:pPr>
              <w:pStyle w:val="TableParagraph"/>
              <w:spacing w:before="37"/>
              <w:rPr>
                <w:b/>
                <w:sz w:val="21"/>
              </w:rPr>
            </w:pPr>
            <w:r>
              <w:rPr>
                <w:b/>
                <w:w w:val="95"/>
                <w:sz w:val="21"/>
              </w:rPr>
              <w:t>（2）新近的心电图改变提示急性心肌梗塞；</w:t>
            </w:r>
          </w:p>
          <w:p>
            <w:pPr>
              <w:pStyle w:val="TableParagraph"/>
              <w:spacing w:line="273" w:lineRule="auto" w:before="37"/>
              <w:ind w:right="197"/>
              <w:rPr>
                <w:b/>
                <w:sz w:val="21"/>
              </w:rPr>
            </w:pPr>
            <w:r>
              <w:rPr>
                <w:b/>
                <w:sz w:val="21"/>
              </w:rPr>
              <w:t>（3）心肌酶或肌钙蛋白有诊断意义的升高，或呈符合急性心肌梗塞的动态性变化；</w:t>
            </w:r>
          </w:p>
          <w:p>
            <w:pPr>
              <w:pStyle w:val="TableParagraph"/>
              <w:spacing w:line="273" w:lineRule="auto" w:before="7"/>
              <w:ind w:right="197"/>
              <w:rPr>
                <w:b/>
                <w:sz w:val="21"/>
              </w:rPr>
            </w:pPr>
            <w:r>
              <w:rPr>
                <w:b/>
                <w:sz w:val="21"/>
              </w:rPr>
              <w:t>（4）发病 90 天后，经检查证实左心室功能降低，如左心室射血分数低于</w:t>
            </w:r>
            <w:r>
              <w:rPr>
                <w:b/>
                <w:w w:val="95"/>
                <w:sz w:val="21"/>
              </w:rPr>
              <w:t>50%。</w:t>
            </w:r>
          </w:p>
        </w:tc>
      </w:tr>
      <w:tr>
        <w:trPr>
          <w:trHeight w:val="2401" w:hRule="atLeast"/>
        </w:trPr>
        <w:tc>
          <w:tcPr>
            <w:tcW w:w="886" w:type="dxa"/>
          </w:tcPr>
          <w:p>
            <w:pPr>
              <w:pStyle w:val="TableParagraph"/>
              <w:spacing w:before="91"/>
              <w:ind w:left="167" w:right="129"/>
              <w:jc w:val="center"/>
              <w:rPr>
                <w:i/>
                <w:sz w:val="22"/>
              </w:rPr>
            </w:pPr>
            <w:r>
              <w:rPr>
                <w:i/>
                <w:sz w:val="22"/>
              </w:rPr>
              <w:t>3.2.3</w:t>
            </w:r>
          </w:p>
        </w:tc>
        <w:tc>
          <w:tcPr>
            <w:tcW w:w="1755" w:type="dxa"/>
          </w:tcPr>
          <w:p>
            <w:pPr>
              <w:pStyle w:val="TableParagraph"/>
              <w:spacing w:before="91"/>
              <w:ind w:left="161"/>
              <w:rPr>
                <w:i/>
                <w:sz w:val="22"/>
              </w:rPr>
            </w:pPr>
            <w:r>
              <w:rPr>
                <w:i/>
                <w:w w:val="95"/>
                <w:sz w:val="22"/>
              </w:rPr>
              <w:t>脑中风后遗症</w:t>
            </w:r>
          </w:p>
        </w:tc>
        <w:tc>
          <w:tcPr>
            <w:tcW w:w="7203" w:type="dxa"/>
          </w:tcPr>
          <w:p>
            <w:pPr>
              <w:pStyle w:val="TableParagraph"/>
              <w:spacing w:line="273" w:lineRule="auto" w:before="102"/>
              <w:ind w:right="199"/>
              <w:jc w:val="both"/>
              <w:rPr>
                <w:sz w:val="21"/>
              </w:rPr>
            </w:pPr>
            <w:r>
              <w:rPr>
                <w:spacing w:val="-3"/>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11"/>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197"/>
              <w:rPr>
                <w:sz w:val="21"/>
              </w:rPr>
            </w:pPr>
            <w:r>
              <w:rPr>
                <w:sz w:val="21"/>
              </w:rPr>
              <w:t>（3）自主生活能力完全丧失，无法独立完成六项基本日常生活活动中的三项或三项以上。</w:t>
            </w:r>
          </w:p>
        </w:tc>
      </w:tr>
      <w:tr>
        <w:trPr>
          <w:trHeight w:val="1797" w:hRule="atLeast"/>
        </w:trPr>
        <w:tc>
          <w:tcPr>
            <w:tcW w:w="886" w:type="dxa"/>
          </w:tcPr>
          <w:p>
            <w:pPr>
              <w:pStyle w:val="TableParagraph"/>
              <w:spacing w:before="100"/>
              <w:ind w:left="167" w:right="129"/>
              <w:jc w:val="center"/>
              <w:rPr>
                <w:i/>
                <w:sz w:val="22"/>
              </w:rPr>
            </w:pPr>
            <w:r>
              <w:rPr>
                <w:i/>
                <w:sz w:val="22"/>
              </w:rPr>
              <w:t>3.2.4</w:t>
            </w:r>
          </w:p>
        </w:tc>
        <w:tc>
          <w:tcPr>
            <w:tcW w:w="1755" w:type="dxa"/>
          </w:tcPr>
          <w:p>
            <w:pPr>
              <w:pStyle w:val="TableParagraph"/>
              <w:spacing w:line="228" w:lineRule="auto" w:before="94"/>
              <w:ind w:left="161" w:right="104" w:hanging="1"/>
              <w:jc w:val="both"/>
              <w:rPr>
                <w:i/>
                <w:sz w:val="22"/>
              </w:rPr>
            </w:pPr>
            <w:r>
              <w:rPr>
                <w:i/>
                <w:w w:val="95"/>
                <w:sz w:val="22"/>
              </w:rPr>
              <w:t>重大器官移植术或造血干细胞移植术</w:t>
            </w:r>
          </w:p>
        </w:tc>
        <w:tc>
          <w:tcPr>
            <w:tcW w:w="7203" w:type="dxa"/>
          </w:tcPr>
          <w:p>
            <w:pPr>
              <w:pStyle w:val="TableParagraph"/>
              <w:spacing w:line="273" w:lineRule="auto" w:before="112"/>
              <w:ind w:right="198"/>
              <w:jc w:val="both"/>
              <w:rPr>
                <w:sz w:val="21"/>
              </w:rPr>
            </w:pPr>
            <w:r>
              <w:rPr>
                <w:spacing w:val="-5"/>
                <w:sz w:val="21"/>
              </w:rPr>
              <w:t>重大器官移植术，指因相应器官功能衰竭，已经实施了肾脏、肝脏、心脏或肺脏的异体移植手术。</w:t>
            </w:r>
          </w:p>
          <w:p>
            <w:pPr>
              <w:pStyle w:val="TableParagraph"/>
              <w:spacing w:line="273" w:lineRule="auto" w:before="7"/>
              <w:ind w:right="199"/>
              <w:jc w:val="both"/>
              <w:rPr>
                <w:sz w:val="21"/>
              </w:rPr>
            </w:pPr>
            <w:r>
              <w:rPr>
                <w:spacing w:val="-4"/>
                <w:sz w:val="21"/>
              </w:rPr>
              <w:t>造血干细胞移植术，指因造血功能损害或造血系统恶性肿瘤，已经实施了造</w:t>
            </w:r>
            <w:r>
              <w:rPr>
                <w:spacing w:val="-6"/>
                <w:sz w:val="21"/>
              </w:rPr>
              <w:t>血干细胞</w:t>
            </w:r>
            <w:r>
              <w:rPr>
                <w:sz w:val="21"/>
              </w:rPr>
              <w:t>（</w:t>
            </w:r>
            <w:r>
              <w:rPr>
                <w:spacing w:val="-2"/>
                <w:sz w:val="21"/>
              </w:rPr>
              <w:t>包括骨髓造血干细胞、外周血造血干细胞和脐血造血干细胞</w:t>
            </w:r>
            <w:r>
              <w:rPr>
                <w:spacing w:val="-12"/>
                <w:sz w:val="21"/>
              </w:rPr>
              <w:t>）</w:t>
            </w:r>
            <w:r>
              <w:rPr>
                <w:sz w:val="21"/>
              </w:rPr>
              <w:t>的异体移植手术。</w:t>
            </w:r>
          </w:p>
        </w:tc>
      </w:tr>
      <w:tr>
        <w:trPr>
          <w:trHeight w:val="1469" w:hRule="atLeast"/>
        </w:trPr>
        <w:tc>
          <w:tcPr>
            <w:tcW w:w="886" w:type="dxa"/>
          </w:tcPr>
          <w:p>
            <w:pPr>
              <w:pStyle w:val="TableParagraph"/>
              <w:spacing w:before="90"/>
              <w:ind w:left="167" w:right="129"/>
              <w:jc w:val="center"/>
              <w:rPr>
                <w:i/>
                <w:sz w:val="22"/>
              </w:rPr>
            </w:pPr>
            <w:r>
              <w:rPr>
                <w:i/>
                <w:sz w:val="22"/>
              </w:rPr>
              <w:t>3.2.5</w:t>
            </w:r>
          </w:p>
        </w:tc>
        <w:tc>
          <w:tcPr>
            <w:tcW w:w="1755" w:type="dxa"/>
          </w:tcPr>
          <w:p>
            <w:pPr>
              <w:pStyle w:val="TableParagraph"/>
              <w:spacing w:before="90"/>
              <w:ind w:left="161"/>
              <w:rPr>
                <w:i/>
                <w:sz w:val="22"/>
              </w:rPr>
            </w:pPr>
            <w:r>
              <w:rPr>
                <w:i/>
                <w:w w:val="95"/>
                <w:sz w:val="22"/>
              </w:rPr>
              <w:t>冠状动脉搭桥术</w:t>
            </w:r>
          </w:p>
          <w:p>
            <w:pPr>
              <w:pStyle w:val="TableParagraph"/>
              <w:spacing w:line="259" w:lineRule="auto" w:before="24"/>
              <w:ind w:left="161" w:right="105"/>
              <w:rPr>
                <w:i/>
                <w:sz w:val="22"/>
              </w:rPr>
            </w:pPr>
            <w:r>
              <w:rPr>
                <w:i/>
                <w:w w:val="95"/>
                <w:sz w:val="22"/>
              </w:rPr>
              <w:t>（或称冠状动脉旁路移植术）</w:t>
            </w:r>
          </w:p>
        </w:tc>
        <w:tc>
          <w:tcPr>
            <w:tcW w:w="7203" w:type="dxa"/>
          </w:tcPr>
          <w:p>
            <w:pPr>
              <w:pStyle w:val="TableParagraph"/>
              <w:spacing w:line="273" w:lineRule="auto" w:before="102"/>
              <w:ind w:right="141"/>
              <w:rPr>
                <w:sz w:val="21"/>
              </w:rPr>
            </w:pPr>
            <w:r>
              <w:rPr>
                <w:sz w:val="21"/>
              </w:rPr>
              <w:t>指为治疗严重的冠心病，实际实施了开胸进行的冠状动脉血管旁路移植的手术。</w:t>
            </w:r>
          </w:p>
          <w:p>
            <w:pPr>
              <w:pStyle w:val="TableParagraph"/>
              <w:spacing w:line="273" w:lineRule="auto" w:before="8"/>
              <w:ind w:right="198"/>
              <w:rPr>
                <w:b/>
                <w:sz w:val="21"/>
              </w:rPr>
            </w:pPr>
            <w:r>
              <w:rPr>
                <w:b/>
                <w:spacing w:val="-6"/>
                <w:w w:val="95"/>
                <w:sz w:val="21"/>
              </w:rPr>
              <w:t>冠状动脉支架植入术、心导管球囊扩张术、激光射频技术及其它非开胸的介  入手术、腔镜手术不在保障范围内。</w:t>
            </w:r>
          </w:p>
        </w:tc>
      </w:tr>
      <w:tr>
        <w:trPr>
          <w:trHeight w:val="1168" w:hRule="atLeast"/>
        </w:trPr>
        <w:tc>
          <w:tcPr>
            <w:tcW w:w="886" w:type="dxa"/>
          </w:tcPr>
          <w:p>
            <w:pPr>
              <w:pStyle w:val="TableParagraph"/>
              <w:spacing w:before="95"/>
              <w:ind w:left="167" w:right="129"/>
              <w:jc w:val="center"/>
              <w:rPr>
                <w:i/>
                <w:sz w:val="22"/>
              </w:rPr>
            </w:pPr>
            <w:r>
              <w:rPr>
                <w:i/>
                <w:sz w:val="22"/>
              </w:rPr>
              <w:t>3.2.6</w:t>
            </w:r>
          </w:p>
        </w:tc>
        <w:tc>
          <w:tcPr>
            <w:tcW w:w="1755" w:type="dxa"/>
          </w:tcPr>
          <w:p>
            <w:pPr>
              <w:pStyle w:val="TableParagraph"/>
              <w:spacing w:line="259" w:lineRule="auto" w:before="95"/>
              <w:ind w:left="161" w:right="121"/>
              <w:jc w:val="both"/>
              <w:rPr>
                <w:i/>
                <w:sz w:val="22"/>
              </w:rPr>
            </w:pPr>
            <w:r>
              <w:rPr>
                <w:i/>
                <w:w w:val="95"/>
                <w:sz w:val="22"/>
              </w:rPr>
              <w:t>终末期肾病（或称慢性肾功能衰竭尿毒症期）</w:t>
            </w:r>
          </w:p>
        </w:tc>
        <w:tc>
          <w:tcPr>
            <w:tcW w:w="7203" w:type="dxa"/>
          </w:tcPr>
          <w:p>
            <w:pPr>
              <w:pStyle w:val="TableParagraph"/>
              <w:spacing w:line="237" w:lineRule="auto" w:before="89"/>
              <w:ind w:right="200"/>
              <w:rPr>
                <w:b/>
                <w:sz w:val="21"/>
              </w:rPr>
            </w:pPr>
            <w:r>
              <w:rPr>
                <w:spacing w:val="-7"/>
                <w:sz w:val="21"/>
              </w:rPr>
              <w:t>指双肾功能慢性不可逆性衰竭，达到尿毒症期，</w:t>
            </w:r>
            <w:r>
              <w:rPr>
                <w:b/>
                <w:spacing w:val="-5"/>
                <w:sz w:val="21"/>
              </w:rPr>
              <w:t>经诊断后已经进行了至少 </w:t>
            </w:r>
            <w:r>
              <w:rPr>
                <w:b/>
                <w:sz w:val="21"/>
              </w:rPr>
              <w:t>90 </w:t>
            </w:r>
            <w:r>
              <w:rPr>
                <w:b/>
                <w:w w:val="95"/>
                <w:sz w:val="21"/>
              </w:rPr>
              <w:t>天的规律性透析治疗或实施了肾脏移植手术。</w:t>
            </w:r>
          </w:p>
        </w:tc>
      </w:tr>
      <w:tr>
        <w:trPr>
          <w:trHeight w:val="849" w:hRule="atLeast"/>
        </w:trPr>
        <w:tc>
          <w:tcPr>
            <w:tcW w:w="886" w:type="dxa"/>
          </w:tcPr>
          <w:p>
            <w:pPr>
              <w:pStyle w:val="TableParagraph"/>
              <w:spacing w:before="89"/>
              <w:ind w:left="167" w:right="129"/>
              <w:jc w:val="center"/>
              <w:rPr>
                <w:i/>
                <w:sz w:val="22"/>
              </w:rPr>
            </w:pPr>
            <w:r>
              <w:rPr>
                <w:i/>
                <w:sz w:val="22"/>
              </w:rPr>
              <w:t>3.2.7</w:t>
            </w:r>
          </w:p>
        </w:tc>
        <w:tc>
          <w:tcPr>
            <w:tcW w:w="1755" w:type="dxa"/>
          </w:tcPr>
          <w:p>
            <w:pPr>
              <w:pStyle w:val="TableParagraph"/>
              <w:spacing w:before="89"/>
              <w:ind w:left="161"/>
              <w:rPr>
                <w:i/>
                <w:sz w:val="22"/>
              </w:rPr>
            </w:pPr>
            <w:r>
              <w:rPr>
                <w:i/>
                <w:w w:val="95"/>
                <w:sz w:val="22"/>
              </w:rPr>
              <w:t>多个肢体缺失</w:t>
            </w:r>
          </w:p>
        </w:tc>
        <w:tc>
          <w:tcPr>
            <w:tcW w:w="7203" w:type="dxa"/>
          </w:tcPr>
          <w:p>
            <w:pPr>
              <w:pStyle w:val="TableParagraph"/>
              <w:spacing w:line="273" w:lineRule="auto" w:before="101"/>
              <w:ind w:right="140"/>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2099" w:hRule="atLeast"/>
        </w:trPr>
        <w:tc>
          <w:tcPr>
            <w:tcW w:w="886" w:type="dxa"/>
          </w:tcPr>
          <w:p>
            <w:pPr>
              <w:pStyle w:val="TableParagraph"/>
              <w:spacing w:before="90"/>
              <w:ind w:left="167" w:right="129"/>
              <w:jc w:val="center"/>
              <w:rPr>
                <w:i/>
                <w:sz w:val="22"/>
              </w:rPr>
            </w:pPr>
            <w:r>
              <w:rPr>
                <w:i/>
                <w:sz w:val="22"/>
              </w:rPr>
              <w:t>3.2.8</w:t>
            </w:r>
          </w:p>
        </w:tc>
        <w:tc>
          <w:tcPr>
            <w:tcW w:w="1755" w:type="dxa"/>
          </w:tcPr>
          <w:p>
            <w:pPr>
              <w:pStyle w:val="TableParagraph"/>
              <w:spacing w:line="259" w:lineRule="auto" w:before="90"/>
              <w:ind w:left="161" w:right="105"/>
              <w:rPr>
                <w:i/>
                <w:sz w:val="22"/>
              </w:rPr>
            </w:pPr>
            <w:r>
              <w:rPr>
                <w:i/>
                <w:w w:val="95"/>
                <w:sz w:val="22"/>
              </w:rPr>
              <w:t>急性或亚急性重症肝炎</w:t>
            </w:r>
          </w:p>
        </w:tc>
        <w:tc>
          <w:tcPr>
            <w:tcW w:w="7203" w:type="dxa"/>
          </w:tcPr>
          <w:p>
            <w:pPr>
              <w:pStyle w:val="TableParagraph"/>
              <w:spacing w:line="273" w:lineRule="auto" w:before="102"/>
              <w:ind w:right="142"/>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316" w:hRule="atLeast"/>
        </w:trPr>
        <w:tc>
          <w:tcPr>
            <w:tcW w:w="886" w:type="dxa"/>
          </w:tcPr>
          <w:p>
            <w:pPr>
              <w:pStyle w:val="TableParagraph"/>
              <w:spacing w:before="91"/>
              <w:ind w:left="167" w:right="129"/>
              <w:jc w:val="center"/>
              <w:rPr>
                <w:i/>
                <w:sz w:val="22"/>
              </w:rPr>
            </w:pPr>
            <w:r>
              <w:rPr>
                <w:i/>
                <w:sz w:val="22"/>
              </w:rPr>
              <w:t>3.2.9</w:t>
            </w:r>
          </w:p>
        </w:tc>
        <w:tc>
          <w:tcPr>
            <w:tcW w:w="1755" w:type="dxa"/>
          </w:tcPr>
          <w:p>
            <w:pPr>
              <w:pStyle w:val="TableParagraph"/>
              <w:spacing w:before="91"/>
              <w:ind w:left="161"/>
              <w:rPr>
                <w:i/>
                <w:sz w:val="22"/>
              </w:rPr>
            </w:pPr>
            <w:r>
              <w:rPr>
                <w:i/>
                <w:w w:val="95"/>
                <w:sz w:val="22"/>
              </w:rPr>
              <w:t>良性脑肿瘤</w:t>
            </w:r>
          </w:p>
        </w:tc>
        <w:tc>
          <w:tcPr>
            <w:tcW w:w="7203" w:type="dxa"/>
          </w:tcPr>
          <w:p>
            <w:pPr>
              <w:pStyle w:val="TableParagraph"/>
              <w:spacing w:line="310" w:lineRule="atLeast" w:before="67"/>
              <w:ind w:right="196"/>
              <w:jc w:val="both"/>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tc>
      </w:tr>
    </w:tbl>
    <w:p>
      <w:pPr>
        <w:spacing w:after="0" w:line="310" w:lineRule="atLeast"/>
        <w:jc w:val="both"/>
        <w:rPr>
          <w:sz w:val="21"/>
        </w:rPr>
        <w:sectPr>
          <w:pgSz w:w="11910" w:h="16840"/>
          <w:pgMar w:header="0" w:footer="918" w:top="1540" w:bottom="1100" w:left="1000" w:right="8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2"/>
        <w:gridCol w:w="7306"/>
      </w:tblGrid>
      <w:tr>
        <w:trPr>
          <w:trHeight w:val="992" w:hRule="atLeast"/>
        </w:trPr>
        <w:tc>
          <w:tcPr>
            <w:tcW w:w="939"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306" w:type="dxa"/>
          </w:tcPr>
          <w:p>
            <w:pPr>
              <w:pStyle w:val="TableParagraph"/>
              <w:spacing w:line="210" w:lineRule="exact"/>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7"/>
              <w:rPr>
                <w:b/>
                <w:sz w:val="21"/>
              </w:rPr>
            </w:pPr>
            <w:r>
              <w:rPr>
                <w:b/>
                <w:w w:val="95"/>
                <w:sz w:val="21"/>
              </w:rPr>
              <w:t>脑垂体瘤、脑囊肿、脑血管性疾病不在保障范围内。</w:t>
            </w:r>
          </w:p>
        </w:tc>
      </w:tr>
      <w:tr>
        <w:trPr>
          <w:trHeight w:val="2099" w:hRule="atLeast"/>
        </w:trPr>
        <w:tc>
          <w:tcPr>
            <w:tcW w:w="939" w:type="dxa"/>
          </w:tcPr>
          <w:p>
            <w:pPr>
              <w:pStyle w:val="TableParagraph"/>
              <w:spacing w:before="93"/>
              <w:ind w:left="165" w:right="73"/>
              <w:jc w:val="center"/>
              <w:rPr>
                <w:i/>
                <w:sz w:val="22"/>
              </w:rPr>
            </w:pPr>
            <w:r>
              <w:rPr>
                <w:i/>
                <w:sz w:val="22"/>
              </w:rPr>
              <w:t>3.2.10</w:t>
            </w:r>
          </w:p>
        </w:tc>
        <w:tc>
          <w:tcPr>
            <w:tcW w:w="1702" w:type="dxa"/>
          </w:tcPr>
          <w:p>
            <w:pPr>
              <w:pStyle w:val="TableParagraph"/>
              <w:spacing w:line="259" w:lineRule="auto" w:before="93"/>
              <w:ind w:left="108" w:right="105"/>
              <w:rPr>
                <w:i/>
                <w:sz w:val="22"/>
              </w:rPr>
            </w:pPr>
            <w:r>
              <w:rPr>
                <w:i/>
                <w:w w:val="95"/>
                <w:sz w:val="22"/>
              </w:rPr>
              <w:t>慢性肝功能衰竭失代偿期</w:t>
            </w:r>
          </w:p>
        </w:tc>
        <w:tc>
          <w:tcPr>
            <w:tcW w:w="7306" w:type="dxa"/>
          </w:tcPr>
          <w:p>
            <w:pPr>
              <w:pStyle w:val="TableParagraph"/>
              <w:spacing w:before="105"/>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051"/>
              <w:rPr>
                <w:b/>
                <w:sz w:val="21"/>
              </w:rPr>
            </w:pPr>
            <w:r>
              <w:rPr>
                <w:sz w:val="21"/>
              </w:rPr>
              <w:t>（4）充血性脾肿大伴脾功能亢进或食管胃底静脉曲张。</w:t>
            </w:r>
            <w:r>
              <w:rPr>
                <w:b/>
                <w:w w:val="95"/>
                <w:sz w:val="21"/>
              </w:rPr>
              <w:t>因酗酒或药物滥用导致的肝功能衰竭不在保障范围内。</w:t>
            </w:r>
          </w:p>
        </w:tc>
      </w:tr>
      <w:tr>
        <w:trPr>
          <w:trHeight w:val="2098" w:hRule="atLeast"/>
        </w:trPr>
        <w:tc>
          <w:tcPr>
            <w:tcW w:w="939" w:type="dxa"/>
          </w:tcPr>
          <w:p>
            <w:pPr>
              <w:pStyle w:val="TableParagraph"/>
              <w:spacing w:before="93"/>
              <w:ind w:left="165" w:right="73"/>
              <w:jc w:val="center"/>
              <w:rPr>
                <w:i/>
                <w:sz w:val="22"/>
              </w:rPr>
            </w:pPr>
            <w:r>
              <w:rPr>
                <w:i/>
                <w:sz w:val="22"/>
              </w:rPr>
              <w:t>3.2.11</w:t>
            </w:r>
          </w:p>
        </w:tc>
        <w:tc>
          <w:tcPr>
            <w:tcW w:w="1702" w:type="dxa"/>
          </w:tcPr>
          <w:p>
            <w:pPr>
              <w:pStyle w:val="TableParagraph"/>
              <w:spacing w:line="259" w:lineRule="auto" w:before="93"/>
              <w:ind w:left="108" w:right="105"/>
              <w:rPr>
                <w:i/>
                <w:sz w:val="22"/>
              </w:rPr>
            </w:pPr>
            <w:r>
              <w:rPr>
                <w:i/>
                <w:w w:val="95"/>
                <w:sz w:val="22"/>
              </w:rPr>
              <w:t>脑炎后遗症或脑膜炎后遗症</w:t>
            </w:r>
          </w:p>
        </w:tc>
        <w:tc>
          <w:tcPr>
            <w:tcW w:w="7306" w:type="dxa"/>
          </w:tcPr>
          <w:p>
            <w:pPr>
              <w:pStyle w:val="TableParagraph"/>
              <w:spacing w:line="273" w:lineRule="auto" w:before="104"/>
              <w:ind w:right="24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0"/>
              <w:rPr>
                <w:sz w:val="21"/>
              </w:rPr>
            </w:pPr>
            <w:r>
              <w:rPr>
                <w:sz w:val="21"/>
              </w:rPr>
              <w:t>（3）自主生活能力完全丧失，无法独立完成六项基本日常生活活动中的三项或三项以上。</w:t>
            </w:r>
          </w:p>
        </w:tc>
      </w:tr>
      <w:tr>
        <w:trPr>
          <w:trHeight w:val="1474" w:hRule="atLeast"/>
        </w:trPr>
        <w:tc>
          <w:tcPr>
            <w:tcW w:w="939" w:type="dxa"/>
          </w:tcPr>
          <w:p>
            <w:pPr>
              <w:pStyle w:val="TableParagraph"/>
              <w:spacing w:before="93"/>
              <w:ind w:left="165" w:right="73"/>
              <w:jc w:val="center"/>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306" w:type="dxa"/>
          </w:tcPr>
          <w:p>
            <w:pPr>
              <w:pStyle w:val="TableParagraph"/>
              <w:spacing w:line="273" w:lineRule="auto" w:before="104"/>
              <w:ind w:right="196"/>
              <w:rPr>
                <w:sz w:val="21"/>
              </w:rPr>
            </w:pPr>
            <w:r>
              <w:rPr>
                <w:sz w:val="21"/>
              </w:rPr>
              <w:t>指因疾病或意外伤害导致意识丧失,对外界刺激和体内需求均无反应,昏迷 </w:t>
            </w: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且已经持续使用呼吸机及其它生命维持系统 </w:t>
            </w:r>
            <w:r>
              <w:rPr>
                <w:sz w:val="21"/>
              </w:rPr>
              <w:t>96</w:t>
            </w:r>
            <w:r>
              <w:rPr>
                <w:spacing w:val="-4"/>
                <w:sz w:val="21"/>
              </w:rPr>
              <w:t> 小时以上。</w:t>
            </w:r>
          </w:p>
          <w:p>
            <w:pPr>
              <w:pStyle w:val="TableParagraph"/>
              <w:spacing w:before="7"/>
              <w:rPr>
                <w:b/>
                <w:sz w:val="21"/>
              </w:rPr>
            </w:pPr>
            <w:r>
              <w:rPr>
                <w:b/>
                <w:w w:val="95"/>
                <w:sz w:val="21"/>
              </w:rPr>
              <w:t>因酗酒或药物滥用导致的深度昏迷不在保障范围内。</w:t>
            </w:r>
          </w:p>
        </w:tc>
      </w:tr>
      <w:tr>
        <w:trPr>
          <w:trHeight w:val="1786" w:hRule="atLeast"/>
        </w:trPr>
        <w:tc>
          <w:tcPr>
            <w:tcW w:w="939" w:type="dxa"/>
          </w:tcPr>
          <w:p>
            <w:pPr>
              <w:pStyle w:val="TableParagraph"/>
              <w:spacing w:before="93"/>
              <w:ind w:left="165" w:right="73"/>
              <w:jc w:val="center"/>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306" w:type="dxa"/>
          </w:tcPr>
          <w:p>
            <w:pPr>
              <w:pStyle w:val="TableParagraph"/>
              <w:spacing w:before="104"/>
              <w:rPr>
                <w:sz w:val="21"/>
              </w:rPr>
            </w:pPr>
            <w:r>
              <w:rPr>
                <w:sz w:val="21"/>
              </w:rPr>
              <w:t>指因疾病或意外伤害导致双耳听力永久不可逆性丧失，在 500 赫兹、1000</w:t>
            </w:r>
          </w:p>
          <w:p>
            <w:pPr>
              <w:pStyle w:val="TableParagraph"/>
              <w:spacing w:line="273" w:lineRule="auto" w:before="36"/>
              <w:ind w:right="267"/>
              <w:rPr>
                <w:sz w:val="21"/>
              </w:rPr>
            </w:pP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TableParagraph"/>
              <w:spacing w:line="273" w:lineRule="auto" w:before="7"/>
              <w:ind w:right="302"/>
              <w:rPr>
                <w:b/>
                <w:sz w:val="21"/>
              </w:rPr>
            </w:pPr>
            <w:r>
              <w:rPr>
                <w:b/>
                <w:spacing w:val="-4"/>
                <w:w w:val="95"/>
                <w:sz w:val="21"/>
              </w:rPr>
              <w:t>被保险人申请理赔时年龄必须在三周岁以上，并且提供理赔当时的听力丧失  诊断及检查证据。</w:t>
            </w:r>
          </w:p>
        </w:tc>
      </w:tr>
      <w:tr>
        <w:trPr>
          <w:trHeight w:val="2722" w:hRule="atLeast"/>
        </w:trPr>
        <w:tc>
          <w:tcPr>
            <w:tcW w:w="939" w:type="dxa"/>
          </w:tcPr>
          <w:p>
            <w:pPr>
              <w:pStyle w:val="TableParagraph"/>
              <w:spacing w:before="93"/>
              <w:ind w:left="165" w:right="73"/>
              <w:jc w:val="center"/>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306" w:type="dxa"/>
          </w:tcPr>
          <w:p>
            <w:pPr>
              <w:pStyle w:val="TableParagraph"/>
              <w:spacing w:line="273" w:lineRule="auto" w:before="104"/>
              <w:ind w:right="244"/>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19"/>
              <w:rPr>
                <w:sz w:val="21"/>
              </w:rPr>
            </w:pPr>
            <w:r>
              <w:rPr>
                <w:sz w:val="21"/>
              </w:rPr>
              <w:t>（2）</w:t>
            </w:r>
            <w:r>
              <w:rPr>
                <w:spacing w:val="-8"/>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line="273" w:lineRule="auto" w:before="36"/>
              <w:ind w:right="302"/>
              <w:rPr>
                <w:b/>
                <w:sz w:val="21"/>
              </w:rPr>
            </w:pPr>
            <w:r>
              <w:rPr>
                <w:b/>
                <w:spacing w:val="-4"/>
                <w:w w:val="95"/>
                <w:sz w:val="21"/>
              </w:rPr>
              <w:t>被保险人申请理赔时年龄必须在三周岁以上，并且提供理赔当时的视力丧失  诊断及检查证据。</w:t>
            </w:r>
          </w:p>
        </w:tc>
      </w:tr>
      <w:tr>
        <w:trPr>
          <w:trHeight w:val="1163" w:hRule="atLeast"/>
        </w:trPr>
        <w:tc>
          <w:tcPr>
            <w:tcW w:w="939" w:type="dxa"/>
          </w:tcPr>
          <w:p>
            <w:pPr>
              <w:pStyle w:val="TableParagraph"/>
              <w:spacing w:before="93"/>
              <w:ind w:left="165" w:right="73"/>
              <w:jc w:val="center"/>
              <w:rPr>
                <w:i/>
                <w:sz w:val="22"/>
              </w:rPr>
            </w:pPr>
            <w:r>
              <w:rPr>
                <w:i/>
                <w:sz w:val="22"/>
              </w:rPr>
              <w:t>3.2.15</w:t>
            </w:r>
          </w:p>
        </w:tc>
        <w:tc>
          <w:tcPr>
            <w:tcW w:w="1702" w:type="dxa"/>
          </w:tcPr>
          <w:p>
            <w:pPr>
              <w:pStyle w:val="TableParagraph"/>
              <w:spacing w:before="93"/>
              <w:ind w:left="108"/>
              <w:rPr>
                <w:i/>
                <w:sz w:val="22"/>
              </w:rPr>
            </w:pPr>
            <w:r>
              <w:rPr>
                <w:i/>
                <w:w w:val="95"/>
                <w:sz w:val="22"/>
              </w:rPr>
              <w:t>瘫痪</w:t>
            </w:r>
          </w:p>
        </w:tc>
        <w:tc>
          <w:tcPr>
            <w:tcW w:w="7306" w:type="dxa"/>
          </w:tcPr>
          <w:p>
            <w:pPr>
              <w:pStyle w:val="TableParagraph"/>
              <w:spacing w:line="273" w:lineRule="auto" w:before="104"/>
              <w:ind w:right="301"/>
              <w:jc w:val="both"/>
              <w:rPr>
                <w:sz w:val="21"/>
              </w:rPr>
            </w:pPr>
            <w:r>
              <w:rPr>
                <w:spacing w:val="-2"/>
                <w:sz w:val="21"/>
              </w:rPr>
              <w:t>指因疾病或意外伤害导致两肢或两肢以上肢体机能永久完全丧失。肢体机能</w:t>
            </w:r>
            <w:r>
              <w:rPr>
                <w:spacing w:val="-9"/>
                <w:sz w:val="21"/>
              </w:rPr>
              <w:t>永久完全丧失，指疾病确诊 </w:t>
            </w:r>
            <w:r>
              <w:rPr>
                <w:sz w:val="21"/>
              </w:rPr>
              <w:t>180</w:t>
            </w:r>
            <w:r>
              <w:rPr>
                <w:spacing w:val="-13"/>
                <w:sz w:val="21"/>
              </w:rPr>
              <w:t> 天后或意外伤害发生 </w:t>
            </w:r>
            <w:r>
              <w:rPr>
                <w:sz w:val="21"/>
              </w:rPr>
              <w:t>180</w:t>
            </w:r>
            <w:r>
              <w:rPr>
                <w:spacing w:val="-10"/>
                <w:sz w:val="21"/>
              </w:rPr>
              <w:t> 天后，每肢三大关节中的两大关节仍然完全僵硬，或不能随意识活动。</w:t>
            </w:r>
          </w:p>
        </w:tc>
      </w:tr>
      <w:tr>
        <w:trPr>
          <w:trHeight w:val="851" w:hRule="atLeast"/>
        </w:trPr>
        <w:tc>
          <w:tcPr>
            <w:tcW w:w="939" w:type="dxa"/>
          </w:tcPr>
          <w:p>
            <w:pPr>
              <w:pStyle w:val="TableParagraph"/>
              <w:spacing w:before="93"/>
              <w:ind w:left="165" w:right="73"/>
              <w:jc w:val="center"/>
              <w:rPr>
                <w:i/>
                <w:sz w:val="22"/>
              </w:rPr>
            </w:pPr>
            <w:r>
              <w:rPr>
                <w:i/>
                <w:sz w:val="22"/>
              </w:rPr>
              <w:t>3.2.16</w:t>
            </w:r>
          </w:p>
        </w:tc>
        <w:tc>
          <w:tcPr>
            <w:tcW w:w="1702" w:type="dxa"/>
          </w:tcPr>
          <w:p>
            <w:pPr>
              <w:pStyle w:val="TableParagraph"/>
              <w:spacing w:before="93"/>
              <w:ind w:left="108"/>
              <w:rPr>
                <w:i/>
                <w:sz w:val="22"/>
              </w:rPr>
            </w:pPr>
            <w:r>
              <w:rPr>
                <w:i/>
                <w:w w:val="95"/>
                <w:sz w:val="22"/>
              </w:rPr>
              <w:t>心脏瓣膜手术</w:t>
            </w:r>
          </w:p>
        </w:tc>
        <w:tc>
          <w:tcPr>
            <w:tcW w:w="7306" w:type="dxa"/>
          </w:tcPr>
          <w:p>
            <w:pPr>
              <w:pStyle w:val="TableParagraph"/>
              <w:spacing w:line="273" w:lineRule="auto" w:before="105"/>
              <w:ind w:right="302"/>
              <w:rPr>
                <w:sz w:val="21"/>
              </w:rPr>
            </w:pPr>
            <w:r>
              <w:rPr>
                <w:sz w:val="21"/>
              </w:rPr>
              <w:t>指为治疗心脏瓣膜疾病，实际实施了开胸进行的心脏瓣膜置换或修复的手术。</w:t>
            </w:r>
          </w:p>
        </w:tc>
      </w:tr>
      <w:tr>
        <w:trPr>
          <w:trHeight w:val="381" w:hRule="atLeast"/>
        </w:trPr>
        <w:tc>
          <w:tcPr>
            <w:tcW w:w="939" w:type="dxa"/>
          </w:tcPr>
          <w:p>
            <w:pPr>
              <w:pStyle w:val="TableParagraph"/>
              <w:spacing w:line="268" w:lineRule="exact" w:before="93"/>
              <w:ind w:left="165" w:right="73"/>
              <w:jc w:val="center"/>
              <w:rPr>
                <w:i/>
                <w:sz w:val="22"/>
              </w:rPr>
            </w:pPr>
            <w:r>
              <w:rPr>
                <w:i/>
                <w:sz w:val="22"/>
              </w:rPr>
              <w:t>3.2.17</w:t>
            </w:r>
          </w:p>
        </w:tc>
        <w:tc>
          <w:tcPr>
            <w:tcW w:w="1702" w:type="dxa"/>
          </w:tcPr>
          <w:p>
            <w:pPr>
              <w:pStyle w:val="TableParagraph"/>
              <w:spacing w:line="268" w:lineRule="exact" w:before="93"/>
              <w:ind w:left="108"/>
              <w:rPr>
                <w:i/>
                <w:sz w:val="22"/>
              </w:rPr>
            </w:pPr>
            <w:r>
              <w:rPr>
                <w:i/>
                <w:w w:val="95"/>
                <w:sz w:val="22"/>
              </w:rPr>
              <w:t>严重阿尔茨海默</w:t>
            </w:r>
          </w:p>
        </w:tc>
        <w:tc>
          <w:tcPr>
            <w:tcW w:w="7306" w:type="dxa"/>
          </w:tcPr>
          <w:p>
            <w:pPr>
              <w:pStyle w:val="TableParagraph"/>
              <w:spacing w:line="256" w:lineRule="exact" w:before="104"/>
              <w:rPr>
                <w:sz w:val="21"/>
              </w:rPr>
            </w:pPr>
            <w:r>
              <w:rPr>
                <w:sz w:val="21"/>
              </w:rPr>
              <w:t>指因大脑进行性、不可逆性改变导致智能严重衰退或丧失，临床表现为明显</w:t>
            </w:r>
          </w:p>
        </w:tc>
      </w:tr>
    </w:tbl>
    <w:p>
      <w:pPr>
        <w:spacing w:after="0" w:line="256" w:lineRule="exact"/>
        <w:rPr>
          <w:sz w:val="21"/>
        </w:rPr>
        <w:sectPr>
          <w:pgSz w:w="11910" w:h="16840"/>
          <w:pgMar w:header="0" w:footer="918" w:top="1540" w:bottom="1100" w:left="1000" w:right="740"/>
        </w:sectPr>
      </w:pPr>
    </w:p>
    <w:p>
      <w:pPr>
        <w:pStyle w:val="BodyText"/>
        <w:tabs>
          <w:tab w:pos="2856" w:val="left" w:leader="none"/>
        </w:tabs>
        <w:spacing w:line="271" w:lineRule="auto" w:before="11"/>
        <w:ind w:left="2856" w:right="410" w:hanging="1702"/>
        <w:jc w:val="both"/>
      </w:pPr>
      <w:r>
        <w:rPr>
          <w:i/>
          <w:sz w:val="22"/>
        </w:rPr>
        <w:t>病</w:t>
        <w:tab/>
      </w:r>
      <w:r>
        <w:rPr/>
        <w:t>的认知能力障碍</w:t>
      </w:r>
      <w:r>
        <w:rPr>
          <w:spacing w:val="-19"/>
        </w:rPr>
        <w:t>、</w:t>
      </w:r>
      <w:r>
        <w:rPr/>
        <w:t>行为异常和社交能力减退</w:t>
      </w:r>
      <w:r>
        <w:rPr>
          <w:spacing w:val="-19"/>
        </w:rPr>
        <w:t>，</w:t>
      </w:r>
      <w:r>
        <w:rPr/>
        <w:t>其日常生活必须持续受到他人</w:t>
      </w:r>
      <w:r>
        <w:rPr>
          <w:spacing w:val="-1"/>
        </w:rPr>
        <w:t>监护</w:t>
      </w:r>
      <w:r>
        <w:rPr>
          <w:spacing w:val="-9"/>
        </w:rPr>
        <w:t>。</w:t>
      </w:r>
      <w:r>
        <w:rPr>
          <w:spacing w:val="-1"/>
        </w:rPr>
        <w:t>须由头颅断层扫</w:t>
      </w:r>
      <w:r>
        <w:rPr>
          <w:spacing w:val="-9"/>
        </w:rPr>
        <w:t>描</w:t>
      </w:r>
      <w:r>
        <w:rPr>
          <w:spacing w:val="-1"/>
        </w:rPr>
        <w:t>（CT</w:t>
      </w:r>
      <w:r>
        <w:rPr>
          <w:spacing w:val="-104"/>
        </w:rPr>
        <w:t>）</w:t>
      </w:r>
      <w:r>
        <w:rPr>
          <w:spacing w:val="-9"/>
        </w:rPr>
        <w:t>、</w:t>
      </w:r>
      <w:r>
        <w:rPr>
          <w:spacing w:val="-2"/>
        </w:rPr>
        <w:t>核</w:t>
      </w:r>
      <w:r>
        <w:rPr/>
        <w:t>磁共振检</w:t>
      </w:r>
      <w:r>
        <w:rPr>
          <w:spacing w:val="-9"/>
        </w:rPr>
        <w:t>查</w:t>
      </w:r>
      <w:r>
        <w:rPr/>
        <w:t>（MRI) 或</w:t>
      </w:r>
      <w:r>
        <w:rPr>
          <w:spacing w:val="-2"/>
        </w:rPr>
        <w:t>正</w:t>
      </w:r>
      <w:r>
        <w:rPr/>
        <w:t>电子发射断层扫描（PET）等影像学检查证实，且自主生活能力完全丧失，无法独立完成六项基本日常生活活动中的三项或三项以上。</w:t>
      </w:r>
    </w:p>
    <w:p>
      <w:pPr>
        <w:pStyle w:val="Heading2"/>
        <w:spacing w:before="10"/>
      </w:pPr>
      <w:r>
        <w:rPr>
          <w:w w:val="95"/>
        </w:rPr>
        <w:t>神经官能症和精神疾病不在保障范围内。</w:t>
      </w:r>
    </w:p>
    <w:p>
      <w:pPr>
        <w:pStyle w:val="BodyText"/>
        <w:spacing w:before="5"/>
        <w:rPr>
          <w:b/>
          <w:sz w:val="2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2"/>
        <w:gridCol w:w="7308"/>
      </w:tblGrid>
      <w:tr>
        <w:trPr>
          <w:trHeight w:val="2563" w:hRule="atLeast"/>
        </w:trPr>
        <w:tc>
          <w:tcPr>
            <w:tcW w:w="939" w:type="dxa"/>
          </w:tcPr>
          <w:p>
            <w:pPr>
              <w:pStyle w:val="TableParagraph"/>
              <w:spacing w:line="222" w:lineRule="exact"/>
              <w:ind w:left="165" w:right="73"/>
              <w:jc w:val="center"/>
              <w:rPr>
                <w:i/>
                <w:sz w:val="22"/>
              </w:rPr>
            </w:pPr>
            <w:r>
              <w:rPr>
                <w:i/>
                <w:sz w:val="22"/>
              </w:rPr>
              <w:t>3.2.18</w:t>
            </w:r>
          </w:p>
        </w:tc>
        <w:tc>
          <w:tcPr>
            <w:tcW w:w="1702" w:type="dxa"/>
          </w:tcPr>
          <w:p>
            <w:pPr>
              <w:pStyle w:val="TableParagraph"/>
              <w:spacing w:line="222" w:lineRule="exact"/>
              <w:ind w:left="108"/>
              <w:rPr>
                <w:i/>
                <w:sz w:val="22"/>
              </w:rPr>
            </w:pPr>
            <w:r>
              <w:rPr>
                <w:i/>
                <w:w w:val="95"/>
                <w:sz w:val="22"/>
              </w:rPr>
              <w:t>严重脑损伤</w:t>
            </w:r>
          </w:p>
        </w:tc>
        <w:tc>
          <w:tcPr>
            <w:tcW w:w="7308" w:type="dxa"/>
          </w:tcPr>
          <w:p>
            <w:pPr>
              <w:pStyle w:val="TableParagraph"/>
              <w:spacing w:line="220" w:lineRule="exact"/>
              <w:rPr>
                <w:sz w:val="21"/>
              </w:rPr>
            </w:pPr>
            <w:r>
              <w:rPr>
                <w:sz w:val="21"/>
              </w:rPr>
              <w:t>指因头部遭受机械性外力，引起脑重要部位损伤，导致神经系统永久性的功</w:t>
            </w:r>
          </w:p>
          <w:p>
            <w:pPr>
              <w:pStyle w:val="TableParagraph"/>
              <w:spacing w:line="273" w:lineRule="auto" w:before="37"/>
              <w:ind w:right="302"/>
              <w:jc w:val="both"/>
              <w:rPr>
                <w:sz w:val="21"/>
              </w:rPr>
            </w:pPr>
            <w:r>
              <w:rPr>
                <w:spacing w:val="-4"/>
                <w:sz w:val="21"/>
              </w:rPr>
              <w:t>能障碍。须由头颅断层扫描</w:t>
            </w:r>
            <w:r>
              <w:rPr>
                <w:spacing w:val="-1"/>
                <w:sz w:val="21"/>
              </w:rPr>
              <w:t>（CT</w:t>
            </w:r>
            <w:r>
              <w:rPr>
                <w:spacing w:val="-104"/>
                <w:sz w:val="21"/>
              </w:rPr>
              <w:t>）</w:t>
            </w:r>
            <w:r>
              <w:rPr>
                <w:spacing w:val="-4"/>
                <w:sz w:val="21"/>
              </w:rPr>
              <w:t>、核磁共振检查</w:t>
            </w:r>
            <w:r>
              <w:rPr>
                <w:sz w:val="21"/>
              </w:rPr>
              <w:t>（MRI)</w:t>
            </w:r>
            <w:r>
              <w:rPr>
                <w:spacing w:val="-1"/>
                <w:sz w:val="21"/>
              </w:rPr>
              <w:t> 或正电子发射断层</w:t>
            </w:r>
            <w:r>
              <w:rPr>
                <w:spacing w:val="-12"/>
                <w:sz w:val="21"/>
              </w:rPr>
              <w:t>扫描</w:t>
            </w:r>
            <w:r>
              <w:rPr>
                <w:spacing w:val="-6"/>
                <w:sz w:val="21"/>
              </w:rPr>
              <w:t>（PET）</w:t>
            </w:r>
            <w:r>
              <w:rPr>
                <w:spacing w:val="-7"/>
                <w:sz w:val="21"/>
              </w:rPr>
              <w:t>等影像学检查证实。神经系统永久性的功能障碍，指脑损伤 </w:t>
            </w:r>
            <w:r>
              <w:rPr>
                <w:sz w:val="21"/>
              </w:rPr>
              <w:t>180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73"/>
              <w:rPr>
                <w:sz w:val="21"/>
              </w:rPr>
            </w:pPr>
            <w:r>
              <w:rPr>
                <w:sz w:val="21"/>
              </w:rPr>
              <w:t>（3）自主生活能力完全丧失，无法独立完成六项基本日常生活活动中的三项或三项以上。</w:t>
            </w:r>
          </w:p>
        </w:tc>
      </w:tr>
      <w:tr>
        <w:trPr>
          <w:trHeight w:val="2098" w:hRule="atLeast"/>
        </w:trPr>
        <w:tc>
          <w:tcPr>
            <w:tcW w:w="939" w:type="dxa"/>
          </w:tcPr>
          <w:p>
            <w:pPr>
              <w:pStyle w:val="TableParagraph"/>
              <w:spacing w:before="93"/>
              <w:ind w:left="165" w:right="73"/>
              <w:jc w:val="center"/>
              <w:rPr>
                <w:i/>
                <w:sz w:val="22"/>
              </w:rPr>
            </w:pPr>
            <w:r>
              <w:rPr>
                <w:i/>
                <w:sz w:val="22"/>
              </w:rPr>
              <w:t>3.2.19</w:t>
            </w:r>
          </w:p>
        </w:tc>
        <w:tc>
          <w:tcPr>
            <w:tcW w:w="1702" w:type="dxa"/>
          </w:tcPr>
          <w:p>
            <w:pPr>
              <w:pStyle w:val="TableParagraph"/>
              <w:spacing w:before="93"/>
              <w:ind w:left="108"/>
              <w:rPr>
                <w:i/>
                <w:sz w:val="22"/>
              </w:rPr>
            </w:pPr>
            <w:r>
              <w:rPr>
                <w:i/>
                <w:w w:val="95"/>
                <w:sz w:val="22"/>
              </w:rPr>
              <w:t>严重帕金森病</w:t>
            </w:r>
          </w:p>
        </w:tc>
        <w:tc>
          <w:tcPr>
            <w:tcW w:w="7308" w:type="dxa"/>
          </w:tcPr>
          <w:p>
            <w:pPr>
              <w:pStyle w:val="TableParagraph"/>
              <w:spacing w:line="273" w:lineRule="auto" w:before="104"/>
              <w:ind w:right="24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73"/>
              <w:rPr>
                <w:sz w:val="21"/>
              </w:rPr>
            </w:pPr>
            <w:r>
              <w:rPr>
                <w:sz w:val="21"/>
              </w:rPr>
              <w:t>（2）自主生活能力完全丧失，无法独立完成六项基本日常生活活动中的三项或三项以上。</w:t>
            </w:r>
          </w:p>
          <w:p>
            <w:pPr>
              <w:pStyle w:val="TableParagraph"/>
              <w:spacing w:before="8"/>
              <w:rPr>
                <w:b/>
                <w:sz w:val="21"/>
              </w:rPr>
            </w:pPr>
            <w:r>
              <w:rPr>
                <w:b/>
                <w:w w:val="95"/>
                <w:sz w:val="21"/>
              </w:rPr>
              <w:t>继发性帕金森综合征不在保障范围内。</w:t>
            </w:r>
          </w:p>
        </w:tc>
      </w:tr>
      <w:tr>
        <w:trPr>
          <w:trHeight w:val="850" w:hRule="atLeast"/>
        </w:trPr>
        <w:tc>
          <w:tcPr>
            <w:tcW w:w="939" w:type="dxa"/>
          </w:tcPr>
          <w:p>
            <w:pPr>
              <w:pStyle w:val="TableParagraph"/>
              <w:spacing w:before="93"/>
              <w:ind w:left="165" w:right="73"/>
              <w:jc w:val="center"/>
              <w:rPr>
                <w:i/>
                <w:sz w:val="22"/>
              </w:rPr>
            </w:pPr>
            <w:r>
              <w:rPr>
                <w:i/>
                <w:sz w:val="22"/>
              </w:rPr>
              <w:t>3.2.20</w:t>
            </w:r>
          </w:p>
        </w:tc>
        <w:tc>
          <w:tcPr>
            <w:tcW w:w="1702" w:type="dxa"/>
          </w:tcPr>
          <w:p>
            <w:pPr>
              <w:pStyle w:val="TableParagraph"/>
              <w:spacing w:before="93"/>
              <w:ind w:left="108"/>
              <w:rPr>
                <w:i/>
                <w:sz w:val="22"/>
              </w:rPr>
            </w:pPr>
            <w:r>
              <w:rPr>
                <w:i/>
                <w:w w:val="95"/>
                <w:sz w:val="22"/>
              </w:rPr>
              <w:t>严重Ⅲ度烧伤</w:t>
            </w:r>
          </w:p>
        </w:tc>
        <w:tc>
          <w:tcPr>
            <w:tcW w:w="7308" w:type="dxa"/>
          </w:tcPr>
          <w:p>
            <w:pPr>
              <w:pStyle w:val="TableParagraph"/>
              <w:spacing w:line="273" w:lineRule="auto" w:before="104"/>
              <w:ind w:right="197"/>
              <w:rPr>
                <w:sz w:val="21"/>
              </w:rPr>
            </w:pPr>
            <w:r>
              <w:rPr>
                <w:spacing w:val="-6"/>
                <w:sz w:val="21"/>
              </w:rPr>
              <w:t>指烧伤程度为Ⅲ度，且Ⅲ度烧伤面积达到全身体表面积的 </w:t>
            </w:r>
            <w:r>
              <w:rPr>
                <w:sz w:val="21"/>
              </w:rPr>
              <w:t>20％</w:t>
            </w:r>
            <w:r>
              <w:rPr>
                <w:spacing w:val="-27"/>
                <w:sz w:val="21"/>
              </w:rPr>
              <w:t>或 </w:t>
            </w:r>
            <w:r>
              <w:rPr>
                <w:sz w:val="21"/>
              </w:rPr>
              <w:t>20％以上。</w:t>
            </w:r>
            <w:r>
              <w:rPr>
                <w:spacing w:val="-1"/>
                <w:sz w:val="21"/>
              </w:rPr>
              <w:t>体表面积根据 《中国新九分法》计算。</w:t>
            </w:r>
          </w:p>
        </w:tc>
      </w:tr>
      <w:tr>
        <w:trPr>
          <w:trHeight w:val="1162" w:hRule="atLeast"/>
        </w:trPr>
        <w:tc>
          <w:tcPr>
            <w:tcW w:w="939" w:type="dxa"/>
          </w:tcPr>
          <w:p>
            <w:pPr>
              <w:pStyle w:val="TableParagraph"/>
              <w:spacing w:before="93"/>
              <w:ind w:left="165" w:right="73"/>
              <w:jc w:val="center"/>
              <w:rPr>
                <w:i/>
                <w:sz w:val="22"/>
              </w:rPr>
            </w:pPr>
            <w:r>
              <w:rPr>
                <w:i/>
                <w:sz w:val="22"/>
              </w:rPr>
              <w:t>3.2.21</w:t>
            </w:r>
          </w:p>
        </w:tc>
        <w:tc>
          <w:tcPr>
            <w:tcW w:w="1702" w:type="dxa"/>
          </w:tcPr>
          <w:p>
            <w:pPr>
              <w:pStyle w:val="TableParagraph"/>
              <w:spacing w:line="259" w:lineRule="auto" w:before="93"/>
              <w:ind w:left="108" w:right="105"/>
              <w:rPr>
                <w:i/>
                <w:sz w:val="22"/>
              </w:rPr>
            </w:pPr>
            <w:r>
              <w:rPr>
                <w:i/>
                <w:w w:val="95"/>
                <w:sz w:val="22"/>
              </w:rPr>
              <w:t>严重原发性肺动脉高压</w:t>
            </w:r>
          </w:p>
        </w:tc>
        <w:tc>
          <w:tcPr>
            <w:tcW w:w="7308" w:type="dxa"/>
          </w:tcPr>
          <w:p>
            <w:pPr>
              <w:pStyle w:val="TableParagraph"/>
              <w:spacing w:line="273" w:lineRule="auto" w:before="104"/>
              <w:ind w:right="303"/>
              <w:jc w:val="both"/>
              <w:rPr>
                <w:sz w:val="21"/>
              </w:rPr>
            </w:pPr>
            <w:r>
              <w:rPr>
                <w:spacing w:val="-3"/>
                <w:sz w:val="21"/>
              </w:rPr>
              <w:t>指不明原因的肺动脉压力持续性增高，进行性发展而导致的慢性疾病，已经</w:t>
            </w:r>
            <w:r>
              <w:rPr>
                <w:spacing w:val="-5"/>
                <w:sz w:val="21"/>
              </w:rPr>
              <w:t>造成永久不可逆性的体力活动能力受限，达到美国纽约心脏病学会心功能状</w:t>
            </w:r>
            <w:r>
              <w:rPr>
                <w:spacing w:val="-18"/>
                <w:sz w:val="21"/>
              </w:rPr>
              <w:t>态分级 </w:t>
            </w:r>
            <w:r>
              <w:rPr>
                <w:sz w:val="21"/>
              </w:rPr>
              <w:t>IV</w:t>
            </w:r>
            <w:r>
              <w:rPr>
                <w:spacing w:val="-4"/>
                <w:sz w:val="21"/>
              </w:rPr>
              <w:t> 级，且静息状态下肺动脉平均压超过 </w:t>
            </w:r>
            <w:r>
              <w:rPr>
                <w:sz w:val="21"/>
              </w:rPr>
              <w:t>3OmmHg</w:t>
            </w:r>
            <w:r>
              <w:rPr>
                <w:spacing w:val="-1"/>
                <w:sz w:val="21"/>
              </w:rPr>
              <w:t> 。</w:t>
            </w:r>
          </w:p>
        </w:tc>
      </w:tr>
      <w:tr>
        <w:trPr>
          <w:trHeight w:val="1474" w:hRule="atLeast"/>
        </w:trPr>
        <w:tc>
          <w:tcPr>
            <w:tcW w:w="939" w:type="dxa"/>
          </w:tcPr>
          <w:p>
            <w:pPr>
              <w:pStyle w:val="TableParagraph"/>
              <w:spacing w:before="93"/>
              <w:ind w:left="165" w:right="73"/>
              <w:jc w:val="center"/>
              <w:rPr>
                <w:i/>
                <w:sz w:val="22"/>
              </w:rPr>
            </w:pPr>
            <w:r>
              <w:rPr>
                <w:i/>
                <w:sz w:val="22"/>
              </w:rPr>
              <w:t>3.2.22</w:t>
            </w:r>
          </w:p>
        </w:tc>
        <w:tc>
          <w:tcPr>
            <w:tcW w:w="1702" w:type="dxa"/>
          </w:tcPr>
          <w:p>
            <w:pPr>
              <w:pStyle w:val="TableParagraph"/>
              <w:spacing w:line="259" w:lineRule="auto" w:before="93"/>
              <w:ind w:left="108" w:right="105"/>
              <w:rPr>
                <w:i/>
                <w:sz w:val="22"/>
              </w:rPr>
            </w:pPr>
            <w:r>
              <w:rPr>
                <w:i/>
                <w:w w:val="95"/>
                <w:sz w:val="22"/>
              </w:rPr>
              <w:t>严重运动神经元</w:t>
            </w:r>
            <w:r>
              <w:rPr>
                <w:i/>
                <w:sz w:val="22"/>
              </w:rPr>
              <w:t>病</w:t>
            </w:r>
          </w:p>
        </w:tc>
        <w:tc>
          <w:tcPr>
            <w:tcW w:w="7308" w:type="dxa"/>
          </w:tcPr>
          <w:p>
            <w:pPr>
              <w:pStyle w:val="TableParagraph"/>
              <w:spacing w:line="273" w:lineRule="auto" w:before="104"/>
              <w:ind w:right="301"/>
              <w:jc w:val="both"/>
              <w:rPr>
                <w:sz w:val="21"/>
              </w:rPr>
            </w:pPr>
            <w:r>
              <w:rPr>
                <w:spacing w:val="1"/>
                <w:sz w:val="21"/>
              </w:rPr>
              <w:t>是一组中枢神经系统运动神经元的进行性变性疾病，包括进行性脊肌萎缩</w:t>
            </w:r>
            <w:r>
              <w:rPr>
                <w:spacing w:val="-6"/>
                <w:sz w:val="21"/>
              </w:rPr>
              <w:t>症、进行性延髓麻痹症、原发性侧索硬化症、肌萎缩性侧索硬化症。须满足</w:t>
            </w:r>
            <w:r>
              <w:rPr>
                <w:spacing w:val="-9"/>
                <w:sz w:val="21"/>
              </w:rPr>
              <w:t>自主生活能力完全丧失，无法独立完成六项基本日常生活活动中的三项或三项以上的条件。</w:t>
            </w:r>
          </w:p>
        </w:tc>
      </w:tr>
      <w:tr>
        <w:trPr>
          <w:trHeight w:val="1787" w:hRule="atLeast"/>
        </w:trPr>
        <w:tc>
          <w:tcPr>
            <w:tcW w:w="939" w:type="dxa"/>
          </w:tcPr>
          <w:p>
            <w:pPr>
              <w:pStyle w:val="TableParagraph"/>
              <w:spacing w:before="93"/>
              <w:ind w:left="165" w:right="73"/>
              <w:jc w:val="center"/>
              <w:rPr>
                <w:i/>
                <w:sz w:val="22"/>
              </w:rPr>
            </w:pPr>
            <w:r>
              <w:rPr>
                <w:i/>
                <w:sz w:val="22"/>
              </w:rPr>
              <w:t>3.2.23</w:t>
            </w:r>
          </w:p>
        </w:tc>
        <w:tc>
          <w:tcPr>
            <w:tcW w:w="1702" w:type="dxa"/>
          </w:tcPr>
          <w:p>
            <w:pPr>
              <w:pStyle w:val="TableParagraph"/>
              <w:spacing w:before="93"/>
              <w:ind w:left="108"/>
              <w:rPr>
                <w:i/>
                <w:sz w:val="22"/>
              </w:rPr>
            </w:pPr>
            <w:r>
              <w:rPr>
                <w:i/>
                <w:w w:val="95"/>
                <w:sz w:val="22"/>
              </w:rPr>
              <w:t>语言能力丧失</w:t>
            </w:r>
          </w:p>
        </w:tc>
        <w:tc>
          <w:tcPr>
            <w:tcW w:w="7308" w:type="dxa"/>
          </w:tcPr>
          <w:p>
            <w:pPr>
              <w:pStyle w:val="TableParagraph"/>
              <w:spacing w:line="273" w:lineRule="auto" w:before="104"/>
              <w:ind w:right="303"/>
              <w:rPr>
                <w:sz w:val="21"/>
              </w:rPr>
            </w:pPr>
            <w:r>
              <w:rPr>
                <w:spacing w:val="-7"/>
                <w:sz w:val="21"/>
              </w:rPr>
              <w:t>指因疾病或意外伤害导致完全丧失语言能力，经过积极治疗至少 </w:t>
            </w:r>
            <w:r>
              <w:rPr>
                <w:sz w:val="21"/>
              </w:rPr>
              <w:t>12</w:t>
            </w:r>
            <w:r>
              <w:rPr>
                <w:spacing w:val="-33"/>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04"/>
              <w:rPr>
                <w:b/>
                <w:sz w:val="21"/>
              </w:rPr>
            </w:pPr>
            <w:r>
              <w:rPr>
                <w:b/>
                <w:spacing w:val="-4"/>
                <w:w w:val="95"/>
                <w:sz w:val="21"/>
              </w:rPr>
              <w:t>被保险人申请理赔时年龄必须在三周岁以上，并且提供理赔当时的语言能力  丧失诊断及检查证据。</w:t>
            </w:r>
          </w:p>
        </w:tc>
      </w:tr>
      <w:tr>
        <w:trPr>
          <w:trHeight w:val="1940" w:hRule="atLeast"/>
        </w:trPr>
        <w:tc>
          <w:tcPr>
            <w:tcW w:w="939" w:type="dxa"/>
          </w:tcPr>
          <w:p>
            <w:pPr>
              <w:pStyle w:val="TableParagraph"/>
              <w:spacing w:before="93"/>
              <w:ind w:left="165" w:right="73"/>
              <w:jc w:val="center"/>
              <w:rPr>
                <w:i/>
                <w:sz w:val="22"/>
              </w:rPr>
            </w:pPr>
            <w:r>
              <w:rPr>
                <w:i/>
                <w:sz w:val="22"/>
              </w:rPr>
              <w:t>3.2.24</w:t>
            </w:r>
          </w:p>
        </w:tc>
        <w:tc>
          <w:tcPr>
            <w:tcW w:w="1702" w:type="dxa"/>
          </w:tcPr>
          <w:p>
            <w:pPr>
              <w:pStyle w:val="TableParagraph"/>
              <w:spacing w:line="259" w:lineRule="auto" w:before="93"/>
              <w:ind w:left="108" w:right="105"/>
              <w:rPr>
                <w:i/>
                <w:sz w:val="22"/>
              </w:rPr>
            </w:pPr>
            <w:r>
              <w:rPr>
                <w:i/>
                <w:w w:val="95"/>
                <w:sz w:val="22"/>
              </w:rPr>
              <w:t>重型再生障碍性贫血</w:t>
            </w:r>
          </w:p>
        </w:tc>
        <w:tc>
          <w:tcPr>
            <w:tcW w:w="7308" w:type="dxa"/>
          </w:tcPr>
          <w:p>
            <w:pPr>
              <w:pStyle w:val="TableParagraph"/>
              <w:spacing w:line="273" w:lineRule="auto" w:before="105"/>
              <w:ind w:right="246"/>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line="255" w:lineRule="exact" w:before="36"/>
              <w:ind w:left="527"/>
              <w:rPr>
                <w:sz w:val="21"/>
              </w:rPr>
            </w:pPr>
            <w:r>
              <w:rPr>
                <w:sz w:val="21"/>
              </w:rPr>
              <w:t>② 网织红细胞＜1%；</w:t>
            </w:r>
          </w:p>
        </w:tc>
      </w:tr>
    </w:tbl>
    <w:p>
      <w:pPr>
        <w:spacing w:after="0" w:line="255" w:lineRule="exact"/>
        <w:rPr>
          <w:sz w:val="21"/>
        </w:rPr>
        <w:sectPr>
          <w:pgSz w:w="11910" w:h="16840"/>
          <w:pgMar w:header="0" w:footer="918" w:top="1460" w:bottom="1100" w:left="100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2"/>
        <w:gridCol w:w="7237"/>
      </w:tblGrid>
      <w:tr>
        <w:trPr>
          <w:trHeight w:val="394" w:hRule="atLeast"/>
        </w:trPr>
        <w:tc>
          <w:tcPr>
            <w:tcW w:w="939"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237" w:type="dxa"/>
          </w:tcPr>
          <w:p>
            <w:pPr>
              <w:pStyle w:val="TableParagraph"/>
              <w:spacing w:line="235" w:lineRule="exact"/>
              <w:ind w:left="527"/>
              <w:rPr>
                <w:sz w:val="21"/>
              </w:rPr>
            </w:pPr>
            <w:r>
              <w:rPr>
                <w:sz w:val="21"/>
              </w:rPr>
              <w:t>③ 血小板绝对值≤20×10</w:t>
            </w:r>
            <w:r>
              <w:rPr>
                <w:b/>
                <w:position w:val="11"/>
                <w:sz w:val="11"/>
              </w:rPr>
              <w:t>9</w:t>
            </w:r>
            <w:r>
              <w:rPr>
                <w:sz w:val="21"/>
              </w:rPr>
              <w:t>/L。</w:t>
            </w:r>
          </w:p>
        </w:tc>
      </w:tr>
      <w:tr>
        <w:trPr>
          <w:trHeight w:val="1474" w:hRule="atLeast"/>
        </w:trPr>
        <w:tc>
          <w:tcPr>
            <w:tcW w:w="939" w:type="dxa"/>
          </w:tcPr>
          <w:p>
            <w:pPr>
              <w:pStyle w:val="TableParagraph"/>
              <w:spacing w:before="93"/>
              <w:ind w:left="165" w:right="73"/>
              <w:jc w:val="center"/>
              <w:rPr>
                <w:i/>
                <w:sz w:val="22"/>
              </w:rPr>
            </w:pPr>
            <w:r>
              <w:rPr>
                <w:i/>
                <w:sz w:val="22"/>
              </w:rPr>
              <w:t>3.2.25</w:t>
            </w:r>
          </w:p>
        </w:tc>
        <w:tc>
          <w:tcPr>
            <w:tcW w:w="1702" w:type="dxa"/>
          </w:tcPr>
          <w:p>
            <w:pPr>
              <w:pStyle w:val="TableParagraph"/>
              <w:spacing w:before="93"/>
              <w:ind w:left="108"/>
              <w:rPr>
                <w:i/>
                <w:sz w:val="22"/>
              </w:rPr>
            </w:pPr>
            <w:r>
              <w:rPr>
                <w:i/>
                <w:w w:val="95"/>
                <w:sz w:val="22"/>
              </w:rPr>
              <w:t>主动脉手术</w:t>
            </w:r>
          </w:p>
        </w:tc>
        <w:tc>
          <w:tcPr>
            <w:tcW w:w="7237" w:type="dxa"/>
          </w:tcPr>
          <w:p>
            <w:pPr>
              <w:pStyle w:val="TableParagraph"/>
              <w:spacing w:line="273" w:lineRule="auto" w:before="104"/>
              <w:ind w:right="231"/>
              <w:jc w:val="both"/>
              <w:rPr>
                <w:sz w:val="21"/>
              </w:rPr>
            </w:pP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TableParagraph"/>
              <w:spacing w:before="7"/>
              <w:jc w:val="both"/>
              <w:rPr>
                <w:b/>
                <w:sz w:val="21"/>
              </w:rPr>
            </w:pPr>
            <w:r>
              <w:rPr>
                <w:b/>
                <w:w w:val="95"/>
                <w:sz w:val="21"/>
              </w:rPr>
              <w:t>动脉内血管成形术不在保障范围内。</w:t>
            </w:r>
          </w:p>
        </w:tc>
      </w:tr>
      <w:tr>
        <w:trPr>
          <w:trHeight w:val="2106" w:hRule="atLeast"/>
        </w:trPr>
        <w:tc>
          <w:tcPr>
            <w:tcW w:w="939" w:type="dxa"/>
          </w:tcPr>
          <w:p>
            <w:pPr>
              <w:pStyle w:val="TableParagraph"/>
              <w:spacing w:before="93"/>
              <w:ind w:left="164" w:right="73"/>
              <w:jc w:val="center"/>
              <w:rPr>
                <w:i/>
                <w:sz w:val="22"/>
              </w:rPr>
            </w:pPr>
            <w:bookmarkStart w:name="慢性呼吸功能衰竭" w:id="2"/>
            <w:bookmarkEnd w:id="2"/>
            <w:r>
              <w:rPr/>
            </w:r>
            <w:r>
              <w:rPr>
                <w:i/>
                <w:sz w:val="22"/>
              </w:rPr>
              <w:t>3.2.26</w:t>
            </w:r>
          </w:p>
        </w:tc>
        <w:tc>
          <w:tcPr>
            <w:tcW w:w="1702" w:type="dxa"/>
          </w:tcPr>
          <w:p>
            <w:pPr>
              <w:pStyle w:val="TableParagraph"/>
              <w:spacing w:line="259" w:lineRule="auto" w:before="93"/>
              <w:ind w:left="108" w:right="105"/>
              <w:rPr>
                <w:i/>
                <w:sz w:val="22"/>
              </w:rPr>
            </w:pPr>
            <w:r>
              <w:rPr>
                <w:i/>
                <w:w w:val="95"/>
                <w:sz w:val="22"/>
              </w:rPr>
              <w:t>慢性呼吸功能衰</w:t>
            </w:r>
            <w:r>
              <w:rPr>
                <w:i/>
                <w:sz w:val="22"/>
              </w:rPr>
              <w:t>竭</w:t>
            </w:r>
          </w:p>
        </w:tc>
        <w:tc>
          <w:tcPr>
            <w:tcW w:w="7237" w:type="dxa"/>
          </w:tcPr>
          <w:p>
            <w:pPr>
              <w:pStyle w:val="TableParagraph"/>
              <w:spacing w:line="273" w:lineRule="auto" w:before="104"/>
              <w:ind w:right="175"/>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 （PaO 2 ）&lt; 50mmHg；</w:t>
            </w:r>
          </w:p>
          <w:p>
            <w:pPr>
              <w:pStyle w:val="TableParagraph"/>
              <w:spacing w:before="37"/>
              <w:rPr>
                <w:sz w:val="21"/>
              </w:rPr>
            </w:pPr>
            <w:r>
              <w:rPr>
                <w:sz w:val="21"/>
              </w:rPr>
              <w:t>（3）动脉血氧饱和度 （SaO 2 ）&lt; 80％；</w:t>
            </w:r>
          </w:p>
          <w:p>
            <w:pPr>
              <w:pStyle w:val="TableParagraph"/>
              <w:spacing w:before="37"/>
              <w:rPr>
                <w:sz w:val="21"/>
              </w:rPr>
            </w:pPr>
            <w:r>
              <w:rPr>
                <w:sz w:val="21"/>
              </w:rPr>
              <w:t>（</w:t>
            </w:r>
            <w:r>
              <w:rPr>
                <w:rFonts w:ascii="Times New Roman" w:eastAsia="Times New Roman"/>
                <w:sz w:val="21"/>
              </w:rPr>
              <w:t>4</w:t>
            </w:r>
            <w:r>
              <w:rPr>
                <w:sz w:val="21"/>
              </w:rPr>
              <w:t>）因缺氧必须接受持续的输氧治疗。</w:t>
            </w:r>
          </w:p>
        </w:tc>
      </w:tr>
      <w:tr>
        <w:trPr>
          <w:trHeight w:val="2098" w:hRule="atLeast"/>
        </w:trPr>
        <w:tc>
          <w:tcPr>
            <w:tcW w:w="939" w:type="dxa"/>
          </w:tcPr>
          <w:p>
            <w:pPr>
              <w:pStyle w:val="TableParagraph"/>
              <w:spacing w:before="85"/>
              <w:ind w:left="165" w:right="73"/>
              <w:jc w:val="center"/>
              <w:rPr>
                <w:i/>
                <w:sz w:val="22"/>
              </w:rPr>
            </w:pPr>
            <w:r>
              <w:rPr>
                <w:i/>
                <w:sz w:val="22"/>
              </w:rPr>
              <w:t>3.2.27</w:t>
            </w:r>
          </w:p>
        </w:tc>
        <w:tc>
          <w:tcPr>
            <w:tcW w:w="1702" w:type="dxa"/>
          </w:tcPr>
          <w:p>
            <w:pPr>
              <w:pStyle w:val="TableParagraph"/>
              <w:spacing w:before="85"/>
              <w:ind w:left="108"/>
              <w:rPr>
                <w:i/>
                <w:sz w:val="22"/>
              </w:rPr>
            </w:pPr>
            <w:r>
              <w:rPr>
                <w:i/>
                <w:w w:val="95"/>
                <w:sz w:val="22"/>
              </w:rPr>
              <w:t>严重多发性硬化</w:t>
            </w:r>
          </w:p>
        </w:tc>
        <w:tc>
          <w:tcPr>
            <w:tcW w:w="7237" w:type="dxa"/>
          </w:tcPr>
          <w:p>
            <w:pPr>
              <w:pStyle w:val="TableParagraph"/>
              <w:spacing w:line="266" w:lineRule="auto" w:before="96"/>
              <w:ind w:right="232"/>
              <w:jc w:val="both"/>
              <w:rPr>
                <w:sz w:val="21"/>
              </w:rPr>
            </w:pPr>
            <w:r>
              <w:rPr>
                <w:spacing w:val="-2"/>
                <w:sz w:val="21"/>
              </w:rPr>
              <w:t>多发性硬化为中枢神经系统白质多灶性脱髓鞘病变，病变有时累及灰质。多</w:t>
            </w:r>
            <w:r>
              <w:rPr>
                <w:spacing w:val="-5"/>
                <w:sz w:val="21"/>
              </w:rPr>
              <w:t>发性硬化必须明确诊断，并且已经造成永久不可逆的神经系统功能损害。永</w:t>
            </w:r>
            <w:r>
              <w:rPr>
                <w:spacing w:val="-3"/>
                <w:sz w:val="21"/>
              </w:rPr>
              <w:t>久不可逆的神经系统损害指被保险人持续</w:t>
            </w:r>
            <w:r>
              <w:rPr>
                <w:rFonts w:ascii="Times New Roman" w:eastAsia="Times New Roman"/>
                <w:sz w:val="21"/>
              </w:rPr>
              <w:t>180 </w:t>
            </w:r>
            <w:r>
              <w:rPr>
                <w:sz w:val="21"/>
              </w:rPr>
              <w:t>天无法独立完成下列基本日常生活活动：</w:t>
            </w:r>
          </w:p>
          <w:p>
            <w:pPr>
              <w:pStyle w:val="TableParagraph"/>
              <w:spacing w:before="13"/>
              <w:jc w:val="both"/>
              <w:rPr>
                <w:sz w:val="21"/>
              </w:rPr>
            </w:pPr>
            <w:r>
              <w:rPr>
                <w:sz w:val="21"/>
              </w:rPr>
              <w:t>（1）移动：自己从一个房间移动到另一个房间；或者</w:t>
            </w:r>
          </w:p>
          <w:p>
            <w:pPr>
              <w:pStyle w:val="TableParagraph"/>
              <w:spacing w:before="37"/>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778" w:hRule="atLeast"/>
        </w:trPr>
        <w:tc>
          <w:tcPr>
            <w:tcW w:w="939" w:type="dxa"/>
          </w:tcPr>
          <w:p>
            <w:pPr>
              <w:pStyle w:val="TableParagraph"/>
              <w:spacing w:before="85"/>
              <w:ind w:left="164" w:right="73"/>
              <w:jc w:val="center"/>
              <w:rPr>
                <w:i/>
                <w:sz w:val="22"/>
              </w:rPr>
            </w:pPr>
            <w:r>
              <w:rPr>
                <w:i/>
                <w:sz w:val="22"/>
              </w:rPr>
              <w:t>3.2.28</w:t>
            </w:r>
          </w:p>
        </w:tc>
        <w:tc>
          <w:tcPr>
            <w:tcW w:w="1702" w:type="dxa"/>
          </w:tcPr>
          <w:p>
            <w:pPr>
              <w:pStyle w:val="TableParagraph"/>
              <w:spacing w:before="85"/>
              <w:rPr>
                <w:i/>
                <w:sz w:val="22"/>
              </w:rPr>
            </w:pPr>
            <w:r>
              <w:rPr>
                <w:i/>
                <w:w w:val="95"/>
                <w:sz w:val="22"/>
              </w:rPr>
              <w:t>脊髓灰质炎</w:t>
            </w:r>
          </w:p>
        </w:tc>
        <w:tc>
          <w:tcPr>
            <w:tcW w:w="7237" w:type="dxa"/>
          </w:tcPr>
          <w:p>
            <w:pPr>
              <w:pStyle w:val="TableParagraph"/>
              <w:spacing w:line="273" w:lineRule="auto" w:before="96"/>
              <w:ind w:right="232"/>
              <w:jc w:val="both"/>
              <w:rPr>
                <w:sz w:val="21"/>
              </w:rPr>
            </w:pPr>
            <w:r>
              <w:rPr>
                <w:spacing w:val="-2"/>
                <w:sz w:val="21"/>
              </w:rPr>
              <w:t>脊髓灰质炎是由于脊髓灰质炎病毒感染所致的瘫痪性疾病，临床表现为运动</w:t>
            </w:r>
            <w:r>
              <w:rPr>
                <w:spacing w:val="-5"/>
                <w:sz w:val="21"/>
              </w:rPr>
              <w:t>功能损害或呼吸无力。脊髓灰质炎必须明确诊断。本保单仅对脊髓灰质炎造</w:t>
            </w:r>
            <w:r>
              <w:rPr>
                <w:spacing w:val="1"/>
                <w:sz w:val="21"/>
              </w:rPr>
              <w:t>成的神经系统功能损害导致被保险人一肢或一肢以上肢体机能永久完全丧</w:t>
            </w:r>
            <w:r>
              <w:rPr>
                <w:spacing w:val="-4"/>
                <w:sz w:val="21"/>
              </w:rPr>
              <w:t>失的情况予以理赔。肢体机能永久完全丧失，指疾病确诊 </w:t>
            </w:r>
            <w:r>
              <w:rPr>
                <w:sz w:val="21"/>
              </w:rPr>
              <w:t>180</w:t>
            </w:r>
            <w:r>
              <w:rPr>
                <w:spacing w:val="-11"/>
                <w:sz w:val="21"/>
              </w:rPr>
              <w:t> 天后，每肢三大关节中的两大关节仍然完全僵硬，或不能随意识活动。</w:t>
            </w:r>
          </w:p>
        </w:tc>
      </w:tr>
      <w:tr>
        <w:trPr>
          <w:trHeight w:val="2098" w:hRule="atLeast"/>
        </w:trPr>
        <w:tc>
          <w:tcPr>
            <w:tcW w:w="939" w:type="dxa"/>
          </w:tcPr>
          <w:p>
            <w:pPr>
              <w:pStyle w:val="TableParagraph"/>
              <w:spacing w:before="93"/>
              <w:ind w:left="164" w:right="73"/>
              <w:jc w:val="center"/>
              <w:rPr>
                <w:i/>
                <w:sz w:val="22"/>
              </w:rPr>
            </w:pPr>
            <w:bookmarkStart w:name="全身性重症肌无力" w:id="3"/>
            <w:bookmarkEnd w:id="3"/>
            <w:r>
              <w:rPr/>
            </w:r>
            <w:r>
              <w:rPr>
                <w:i/>
                <w:sz w:val="22"/>
              </w:rPr>
              <w:t>3.2.29</w:t>
            </w:r>
          </w:p>
        </w:tc>
        <w:tc>
          <w:tcPr>
            <w:tcW w:w="1702" w:type="dxa"/>
          </w:tcPr>
          <w:p>
            <w:pPr>
              <w:pStyle w:val="TableParagraph"/>
              <w:spacing w:line="261" w:lineRule="auto" w:before="93"/>
              <w:ind w:left="108" w:right="121" w:hanging="1"/>
              <w:rPr>
                <w:i/>
                <w:sz w:val="22"/>
              </w:rPr>
            </w:pPr>
            <w:r>
              <w:rPr>
                <w:i/>
                <w:w w:val="95"/>
                <w:sz w:val="22"/>
              </w:rPr>
              <w:t>全身性重症肌无</w:t>
            </w:r>
            <w:r>
              <w:rPr>
                <w:i/>
                <w:sz w:val="22"/>
              </w:rPr>
              <w:t>力</w:t>
            </w:r>
          </w:p>
        </w:tc>
        <w:tc>
          <w:tcPr>
            <w:tcW w:w="7237" w:type="dxa"/>
          </w:tcPr>
          <w:p>
            <w:pPr>
              <w:pStyle w:val="TableParagraph"/>
              <w:spacing w:line="273" w:lineRule="auto" w:before="104"/>
              <w:ind w:right="230"/>
              <w:jc w:val="both"/>
              <w:rPr>
                <w:sz w:val="21"/>
              </w:rPr>
            </w:pPr>
            <w:r>
              <w:rPr>
                <w:spacing w:val="-2"/>
                <w:sz w:val="21"/>
              </w:rPr>
              <w:t>重症肌无力是一种神经肌肉接头传递障碍所致的疾病，表现为局部或全身骨</w:t>
            </w:r>
            <w:r>
              <w:rPr>
                <w:spacing w:val="-6"/>
                <w:sz w:val="21"/>
              </w:rPr>
              <w:t>骼肌</w:t>
            </w:r>
            <w:r>
              <w:rPr>
                <w:sz w:val="21"/>
              </w:rPr>
              <w:t>（特别是眼外肌</w:t>
            </w:r>
            <w:r>
              <w:rPr>
                <w:spacing w:val="-9"/>
                <w:sz w:val="21"/>
              </w:rPr>
              <w:t>）</w:t>
            </w:r>
            <w:r>
              <w:rPr>
                <w:spacing w:val="-3"/>
                <w:sz w:val="21"/>
              </w:rPr>
              <w:t>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231"/>
              <w:jc w:val="both"/>
              <w:rPr>
                <w:sz w:val="21"/>
              </w:rPr>
            </w:pPr>
            <w:r>
              <w:rPr>
                <w:sz w:val="21"/>
              </w:rPr>
              <w:t>（2）自主生活能力完全丧失，无法独立完成六项基本日常生活活动中的三项或三项以上。</w:t>
            </w:r>
          </w:p>
        </w:tc>
      </w:tr>
      <w:tr>
        <w:trPr>
          <w:trHeight w:val="1475" w:hRule="atLeast"/>
        </w:trPr>
        <w:tc>
          <w:tcPr>
            <w:tcW w:w="939" w:type="dxa"/>
          </w:tcPr>
          <w:p>
            <w:pPr>
              <w:pStyle w:val="TableParagraph"/>
              <w:spacing w:before="93"/>
              <w:ind w:left="164" w:right="73"/>
              <w:jc w:val="center"/>
              <w:rPr>
                <w:i/>
                <w:sz w:val="22"/>
              </w:rPr>
            </w:pPr>
            <w:r>
              <w:rPr>
                <w:i/>
                <w:sz w:val="22"/>
              </w:rPr>
              <w:t>3.2.30</w:t>
            </w:r>
          </w:p>
        </w:tc>
        <w:tc>
          <w:tcPr>
            <w:tcW w:w="1702" w:type="dxa"/>
          </w:tcPr>
          <w:p>
            <w:pPr>
              <w:pStyle w:val="TableParagraph"/>
              <w:spacing w:before="93"/>
              <w:rPr>
                <w:i/>
                <w:sz w:val="22"/>
              </w:rPr>
            </w:pPr>
            <w:r>
              <w:rPr>
                <w:i/>
                <w:w w:val="95"/>
                <w:sz w:val="22"/>
              </w:rPr>
              <w:t>严重冠心病</w:t>
            </w:r>
          </w:p>
        </w:tc>
        <w:tc>
          <w:tcPr>
            <w:tcW w:w="7237" w:type="dxa"/>
          </w:tcPr>
          <w:p>
            <w:pPr>
              <w:pStyle w:val="TableParagraph"/>
              <w:spacing w:line="273" w:lineRule="auto" w:before="104"/>
              <w:ind w:right="230"/>
              <w:jc w:val="both"/>
              <w:rPr>
                <w:sz w:val="21"/>
              </w:rPr>
            </w:pPr>
            <w:r>
              <w:rPr>
                <w:spacing w:val="-2"/>
                <w:sz w:val="21"/>
              </w:rPr>
              <w:t>指经根据冠状动脉造影检查结果明确诊断为三支主要血管</w:t>
            </w:r>
            <w:r>
              <w:rPr>
                <w:sz w:val="21"/>
              </w:rPr>
              <w:t>（左冠状动脉主干</w:t>
            </w:r>
            <w:r>
              <w:rPr>
                <w:spacing w:val="-3"/>
                <w:sz w:val="21"/>
              </w:rPr>
              <w:t>和右冠状动脉，或前降支、左旋支和右冠状动脉</w:t>
            </w:r>
            <w:r>
              <w:rPr>
                <w:spacing w:val="-9"/>
                <w:sz w:val="21"/>
              </w:rPr>
              <w:t>）</w:t>
            </w:r>
            <w:r>
              <w:rPr>
                <w:spacing w:val="-2"/>
                <w:sz w:val="21"/>
              </w:rPr>
              <w:t>严重狭窄性病变</w:t>
            </w:r>
            <w:r>
              <w:rPr>
                <w:sz w:val="21"/>
              </w:rPr>
              <w:t>（至少一</w:t>
            </w: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r>
              <w:rPr>
                <w:sz w:val="21"/>
              </w:rPr>
              <w:t>降支、左旋支及右冠状动脉的分支血管的狭窄不作为本保障的衡量指标。</w:t>
            </w:r>
          </w:p>
        </w:tc>
      </w:tr>
      <w:tr>
        <w:trPr>
          <w:trHeight w:val="1163" w:hRule="atLeast"/>
        </w:trPr>
        <w:tc>
          <w:tcPr>
            <w:tcW w:w="939" w:type="dxa"/>
          </w:tcPr>
          <w:p>
            <w:pPr>
              <w:pStyle w:val="TableParagraph"/>
              <w:spacing w:before="93"/>
              <w:ind w:left="164" w:right="73"/>
              <w:jc w:val="center"/>
              <w:rPr>
                <w:i/>
                <w:sz w:val="22"/>
              </w:rPr>
            </w:pPr>
            <w:r>
              <w:rPr>
                <w:i/>
                <w:sz w:val="22"/>
              </w:rPr>
              <w:t>3.2.31</w:t>
            </w:r>
          </w:p>
        </w:tc>
        <w:tc>
          <w:tcPr>
            <w:tcW w:w="1702" w:type="dxa"/>
          </w:tcPr>
          <w:p>
            <w:pPr>
              <w:pStyle w:val="TableParagraph"/>
              <w:spacing w:before="93"/>
              <w:rPr>
                <w:i/>
                <w:sz w:val="22"/>
              </w:rPr>
            </w:pPr>
            <w:r>
              <w:rPr>
                <w:i/>
                <w:w w:val="95"/>
                <w:sz w:val="22"/>
              </w:rPr>
              <w:t>严重心肌病</w:t>
            </w:r>
          </w:p>
        </w:tc>
        <w:tc>
          <w:tcPr>
            <w:tcW w:w="7237" w:type="dxa"/>
          </w:tcPr>
          <w:p>
            <w:pPr>
              <w:pStyle w:val="TableParagraph"/>
              <w:spacing w:line="273" w:lineRule="auto" w:before="105"/>
              <w:ind w:right="197"/>
              <w:jc w:val="both"/>
              <w:rPr>
                <w:sz w:val="21"/>
              </w:rPr>
            </w:pPr>
            <w:r>
              <w:rPr>
                <w:sz w:val="21"/>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005" w:hRule="atLeast"/>
        </w:trPr>
        <w:tc>
          <w:tcPr>
            <w:tcW w:w="939" w:type="dxa"/>
          </w:tcPr>
          <w:p>
            <w:pPr>
              <w:pStyle w:val="TableParagraph"/>
              <w:spacing w:before="93"/>
              <w:ind w:left="164" w:right="73"/>
              <w:jc w:val="center"/>
              <w:rPr>
                <w:i/>
                <w:sz w:val="22"/>
              </w:rPr>
            </w:pPr>
            <w:r>
              <w:rPr>
                <w:i/>
                <w:sz w:val="22"/>
              </w:rPr>
              <w:t>3.2.32</w:t>
            </w:r>
          </w:p>
        </w:tc>
        <w:tc>
          <w:tcPr>
            <w:tcW w:w="1702" w:type="dxa"/>
          </w:tcPr>
          <w:p>
            <w:pPr>
              <w:pStyle w:val="TableParagraph"/>
              <w:spacing w:before="93"/>
              <w:rPr>
                <w:i/>
                <w:sz w:val="22"/>
              </w:rPr>
            </w:pPr>
            <w:r>
              <w:rPr>
                <w:i/>
                <w:w w:val="95"/>
                <w:sz w:val="22"/>
              </w:rPr>
              <w:t>系统性红斑狼疮</w:t>
            </w:r>
          </w:p>
          <w:p>
            <w:pPr>
              <w:pStyle w:val="TableParagraph"/>
              <w:spacing w:line="310" w:lineRule="atLeast" w:before="2"/>
              <w:ind w:left="108" w:right="279"/>
              <w:rPr>
                <w:i/>
                <w:sz w:val="22"/>
              </w:rPr>
            </w:pPr>
            <w:r>
              <w:rPr>
                <w:i/>
                <w:spacing w:val="-22"/>
                <w:sz w:val="22"/>
              </w:rPr>
              <w:t>— </w:t>
            </w:r>
            <w:r>
              <w:rPr>
                <w:i/>
                <w:sz w:val="22"/>
              </w:rPr>
              <w:t>III</w:t>
            </w:r>
            <w:r>
              <w:rPr>
                <w:i/>
                <w:spacing w:val="-20"/>
                <w:sz w:val="22"/>
              </w:rPr>
              <w:t> 型或以</w:t>
            </w:r>
            <w:r>
              <w:rPr>
                <w:i/>
                <w:spacing w:val="-20"/>
                <w:w w:val="95"/>
                <w:sz w:val="22"/>
              </w:rPr>
              <w:t>上狼疮性肾炎</w:t>
            </w:r>
          </w:p>
        </w:tc>
        <w:tc>
          <w:tcPr>
            <w:tcW w:w="7237" w:type="dxa"/>
          </w:tcPr>
          <w:p>
            <w:pPr>
              <w:pStyle w:val="TableParagraph"/>
              <w:spacing w:line="273" w:lineRule="auto" w:before="104"/>
              <w:ind w:right="176"/>
              <w:rPr>
                <w:sz w:val="21"/>
              </w:rPr>
            </w:pPr>
            <w:r>
              <w:rPr>
                <w:sz w:val="21"/>
              </w:rPr>
              <w:t>系统性红斑狼疮是由多种因素引起，累及多系统的自身免疫性疾病。其特点是生成自身抗体对抗多种自身抗原。多见于育龄妇女。</w:t>
            </w:r>
          </w:p>
          <w:p>
            <w:pPr>
              <w:pStyle w:val="TableParagraph"/>
              <w:spacing w:line="257" w:lineRule="exact" w:before="7"/>
              <w:rPr>
                <w:sz w:val="21"/>
              </w:rPr>
            </w:pPr>
            <w:r>
              <w:rPr>
                <w:spacing w:val="-5"/>
                <w:sz w:val="21"/>
              </w:rPr>
              <w:t>本保单所指的系统性红斑狼疮仅限于累及肾脏</w:t>
            </w:r>
            <w:r>
              <w:rPr>
                <w:sz w:val="21"/>
              </w:rPr>
              <w:t>（</w:t>
            </w:r>
            <w:r>
              <w:rPr>
                <w:spacing w:val="-14"/>
                <w:sz w:val="21"/>
              </w:rPr>
              <w:t>经肾脏活检确认的，符合 </w:t>
            </w:r>
            <w:r>
              <w:rPr>
                <w:sz w:val="21"/>
              </w:rPr>
              <w:t>WHO</w:t>
            </w:r>
          </w:p>
        </w:tc>
      </w:tr>
    </w:tbl>
    <w:p>
      <w:pPr>
        <w:spacing w:after="0" w:line="257" w:lineRule="exact"/>
        <w:rPr>
          <w:sz w:val="21"/>
        </w:rPr>
        <w:sectPr>
          <w:pgSz w:w="11910" w:h="16840"/>
          <w:pgMar w:header="0" w:footer="918" w:top="1520" w:bottom="1100" w:left="1000" w:right="800"/>
        </w:sectPr>
      </w:pPr>
    </w:p>
    <w:p>
      <w:pPr>
        <w:spacing w:line="271" w:lineRule="auto" w:before="22"/>
        <w:ind w:left="2856" w:right="251" w:firstLine="0"/>
        <w:jc w:val="left"/>
        <w:rPr>
          <w:b/>
          <w:sz w:val="21"/>
        </w:rPr>
      </w:pPr>
      <w:r>
        <w:rPr>
          <w:b/>
          <w:spacing w:val="-8"/>
          <w:sz w:val="21"/>
        </w:rPr>
        <w:t>诊断标准定义 </w:t>
      </w:r>
      <w:r>
        <w:rPr>
          <w:b/>
          <w:sz w:val="21"/>
        </w:rPr>
        <w:t>III</w:t>
      </w:r>
      <w:r>
        <w:rPr>
          <w:b/>
          <w:spacing w:val="-28"/>
          <w:sz w:val="21"/>
        </w:rPr>
        <w:t> 型至 </w:t>
      </w:r>
      <w:r>
        <w:rPr>
          <w:b/>
          <w:sz w:val="21"/>
        </w:rPr>
        <w:t>V</w:t>
      </w:r>
      <w:r>
        <w:rPr>
          <w:b/>
          <w:spacing w:val="-9"/>
          <w:sz w:val="21"/>
        </w:rPr>
        <w:t> 型狼疮性肾炎</w:t>
      </w:r>
      <w:r>
        <w:rPr>
          <w:b/>
          <w:spacing w:val="-32"/>
          <w:sz w:val="21"/>
        </w:rPr>
        <w:t>）</w:t>
      </w:r>
      <w:r>
        <w:rPr>
          <w:b/>
          <w:spacing w:val="-4"/>
          <w:sz w:val="21"/>
        </w:rPr>
        <w:t>的系统性红斑狼疮。其他类型的红</w:t>
      </w:r>
      <w:r>
        <w:rPr>
          <w:b/>
          <w:spacing w:val="-4"/>
          <w:w w:val="95"/>
          <w:sz w:val="21"/>
        </w:rPr>
        <w:t>斑性狼疮，如盘状狼疮、仅累及血液及关节的狼疮不在本保单保障范围內。</w:t>
      </w:r>
    </w:p>
    <w:p>
      <w:pPr>
        <w:pStyle w:val="BodyText"/>
        <w:spacing w:before="8"/>
        <w:rPr>
          <w:b/>
          <w:sz w:val="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3"/>
        <w:gridCol w:w="7204"/>
      </w:tblGrid>
      <w:tr>
        <w:trPr>
          <w:trHeight w:val="1929" w:hRule="atLeast"/>
        </w:trPr>
        <w:tc>
          <w:tcPr>
            <w:tcW w:w="939" w:type="dxa"/>
          </w:tcPr>
          <w:p>
            <w:pPr>
              <w:pStyle w:val="TableParagraph"/>
              <w:ind w:left="0"/>
              <w:rPr>
                <w:rFonts w:ascii="Times New Roman"/>
                <w:sz w:val="20"/>
              </w:rPr>
            </w:pPr>
          </w:p>
        </w:tc>
        <w:tc>
          <w:tcPr>
            <w:tcW w:w="1703" w:type="dxa"/>
          </w:tcPr>
          <w:p>
            <w:pPr>
              <w:pStyle w:val="TableParagraph"/>
              <w:ind w:left="0"/>
              <w:rPr>
                <w:rFonts w:ascii="Times New Roman"/>
                <w:sz w:val="20"/>
              </w:rPr>
            </w:pPr>
          </w:p>
        </w:tc>
        <w:tc>
          <w:tcPr>
            <w:tcW w:w="7204" w:type="dxa"/>
          </w:tcPr>
          <w:p>
            <w:pPr>
              <w:pStyle w:val="TableParagraph"/>
              <w:spacing w:line="210" w:lineRule="exact"/>
              <w:ind w:left="106"/>
              <w:rPr>
                <w:sz w:val="21"/>
              </w:rPr>
            </w:pPr>
            <w:r>
              <w:rPr>
                <w:sz w:val="21"/>
              </w:rPr>
              <w:t>世界卫生组织（WHO）狼疮性肾炎分型：</w:t>
            </w:r>
          </w:p>
          <w:p>
            <w:pPr>
              <w:pStyle w:val="TableParagraph"/>
              <w:numPr>
                <w:ilvl w:val="0"/>
                <w:numId w:val="4"/>
              </w:numPr>
              <w:tabs>
                <w:tab w:pos="392" w:val="left" w:leader="none"/>
                <w:tab w:pos="2912" w:val="left" w:leader="none"/>
              </w:tabs>
              <w:spacing w:line="240" w:lineRule="auto" w:before="37" w:after="0"/>
              <w:ind w:left="391" w:right="0" w:hanging="159"/>
              <w:jc w:val="left"/>
              <w:rPr>
                <w:sz w:val="21"/>
              </w:rPr>
            </w:pPr>
            <w:r>
              <w:rPr>
                <w:sz w:val="21"/>
              </w:rPr>
              <w:t>型（微小病变型）</w:t>
              <w:tab/>
              <w:t>镜下阴性，尿液正常</w:t>
            </w:r>
          </w:p>
          <w:p>
            <w:pPr>
              <w:pStyle w:val="TableParagraph"/>
              <w:numPr>
                <w:ilvl w:val="0"/>
                <w:numId w:val="4"/>
              </w:numPr>
              <w:tabs>
                <w:tab w:pos="497" w:val="left" w:leader="none"/>
                <w:tab w:pos="2912" w:val="left" w:leader="none"/>
              </w:tabs>
              <w:spacing w:line="240" w:lineRule="auto" w:before="37" w:after="0"/>
              <w:ind w:left="496" w:right="0" w:hanging="264"/>
              <w:jc w:val="left"/>
              <w:rPr>
                <w:sz w:val="21"/>
              </w:rPr>
            </w:pPr>
            <w:r>
              <w:rPr>
                <w:sz w:val="21"/>
              </w:rPr>
              <w:t>型（系膜病变型）</w:t>
              <w:tab/>
              <w:t>中度蛋白尿，偶有尿沉渣改变</w:t>
            </w:r>
          </w:p>
          <w:p>
            <w:pPr>
              <w:pStyle w:val="TableParagraph"/>
              <w:numPr>
                <w:ilvl w:val="0"/>
                <w:numId w:val="4"/>
              </w:numPr>
              <w:tabs>
                <w:tab w:pos="598" w:val="left" w:leader="none"/>
              </w:tabs>
              <w:spacing w:line="240" w:lineRule="auto" w:before="37" w:after="0"/>
              <w:ind w:left="597" w:right="0" w:hanging="365"/>
              <w:jc w:val="left"/>
              <w:rPr>
                <w:sz w:val="21"/>
              </w:rPr>
            </w:pPr>
            <w:r>
              <w:rPr>
                <w:spacing w:val="-105"/>
                <w:sz w:val="21"/>
              </w:rPr>
              <w:t>型</w:t>
            </w:r>
            <w:r>
              <w:rPr>
                <w:sz w:val="21"/>
              </w:rPr>
              <w:t>（局灶及节段增生型） 蛋白尿，尿沉渣改变</w:t>
            </w:r>
          </w:p>
          <w:p>
            <w:pPr>
              <w:pStyle w:val="TableParagraph"/>
              <w:numPr>
                <w:ilvl w:val="0"/>
                <w:numId w:val="4"/>
              </w:numPr>
              <w:tabs>
                <w:tab w:pos="497" w:val="left" w:leader="none"/>
                <w:tab w:pos="2912" w:val="left" w:leader="none"/>
              </w:tabs>
              <w:spacing w:line="240" w:lineRule="auto" w:before="37" w:after="0"/>
              <w:ind w:left="496" w:right="0" w:hanging="264"/>
              <w:jc w:val="left"/>
              <w:rPr>
                <w:sz w:val="21"/>
              </w:rPr>
            </w:pPr>
            <w:r>
              <w:rPr>
                <w:sz w:val="21"/>
              </w:rPr>
              <w:t>型（弥漫增生型）</w:t>
              <w:tab/>
              <w:t>急性肾炎伴有尿沉渣改变及／或肾病综合征</w:t>
            </w:r>
          </w:p>
          <w:p>
            <w:pPr>
              <w:pStyle w:val="TableParagraph"/>
              <w:numPr>
                <w:ilvl w:val="0"/>
                <w:numId w:val="4"/>
              </w:numPr>
              <w:tabs>
                <w:tab w:pos="392" w:val="left" w:leader="none"/>
                <w:tab w:pos="2912" w:val="left" w:leader="none"/>
              </w:tabs>
              <w:spacing w:line="240" w:lineRule="auto" w:before="37" w:after="0"/>
              <w:ind w:left="391" w:right="0" w:hanging="159"/>
              <w:jc w:val="left"/>
              <w:rPr>
                <w:sz w:val="21"/>
              </w:rPr>
            </w:pPr>
            <w:r>
              <w:rPr>
                <w:sz w:val="21"/>
              </w:rPr>
              <w:t>型（膜型）</w:t>
              <w:tab/>
              <w:t>肾病综合征或重度蛋白尿</w:t>
            </w:r>
          </w:p>
        </w:tc>
      </w:tr>
      <w:tr>
        <w:trPr>
          <w:trHeight w:val="5219" w:hRule="atLeast"/>
        </w:trPr>
        <w:tc>
          <w:tcPr>
            <w:tcW w:w="939" w:type="dxa"/>
          </w:tcPr>
          <w:p>
            <w:pPr>
              <w:pStyle w:val="TableParagraph"/>
              <w:spacing w:before="93"/>
              <w:ind w:left="164" w:right="73"/>
              <w:jc w:val="center"/>
              <w:rPr>
                <w:i/>
                <w:sz w:val="22"/>
              </w:rPr>
            </w:pPr>
            <w:r>
              <w:rPr>
                <w:i/>
                <w:sz w:val="22"/>
              </w:rPr>
              <w:t>3.2.33</w:t>
            </w:r>
          </w:p>
        </w:tc>
        <w:tc>
          <w:tcPr>
            <w:tcW w:w="1703" w:type="dxa"/>
          </w:tcPr>
          <w:p>
            <w:pPr>
              <w:pStyle w:val="TableParagraph"/>
              <w:spacing w:line="259" w:lineRule="auto" w:before="93"/>
              <w:ind w:left="108" w:right="106"/>
              <w:jc w:val="both"/>
              <w:rPr>
                <w:i/>
                <w:sz w:val="22"/>
              </w:rPr>
            </w:pPr>
            <w:r>
              <w:rPr>
                <w:i/>
                <w:w w:val="95"/>
                <w:sz w:val="22"/>
              </w:rPr>
              <w:t>因职业关系导致的人类免疫缺陷</w:t>
            </w:r>
            <w:r>
              <w:rPr>
                <w:i/>
                <w:spacing w:val="-23"/>
                <w:w w:val="95"/>
                <w:sz w:val="22"/>
              </w:rPr>
              <w:t>病毒</w:t>
            </w:r>
            <w:r>
              <w:rPr>
                <w:i/>
                <w:spacing w:val="-10"/>
                <w:w w:val="95"/>
                <w:sz w:val="22"/>
              </w:rPr>
              <w:t>（HIV）</w:t>
            </w:r>
            <w:r>
              <w:rPr>
                <w:i/>
                <w:spacing w:val="-1"/>
                <w:w w:val="95"/>
                <w:sz w:val="22"/>
              </w:rPr>
              <w:t>感染</w:t>
            </w:r>
          </w:p>
        </w:tc>
        <w:tc>
          <w:tcPr>
            <w:tcW w:w="7204" w:type="dxa"/>
          </w:tcPr>
          <w:p>
            <w:pPr>
              <w:pStyle w:val="TableParagraph"/>
              <w:spacing w:line="273" w:lineRule="auto" w:before="105"/>
              <w:ind w:left="106" w:right="200"/>
              <w:rPr>
                <w:sz w:val="21"/>
              </w:rPr>
            </w:pPr>
            <w:r>
              <w:rPr>
                <w:spacing w:val="-2"/>
                <w:sz w:val="21"/>
              </w:rPr>
              <w:t>被保险人在其常规职业工作过程中遭遇外伤，或者职业需要处理血液或者其他体液时感染上人类免疫缺陷病毒（HIV</w:t>
            </w:r>
            <w:r>
              <w:rPr>
                <w:spacing w:val="-105"/>
                <w:sz w:val="21"/>
              </w:rPr>
              <w:t>）</w:t>
            </w:r>
            <w:r>
              <w:rPr>
                <w:sz w:val="21"/>
              </w:rPr>
              <w:t>。</w:t>
            </w:r>
          </w:p>
          <w:p>
            <w:pPr>
              <w:pStyle w:val="TableParagraph"/>
              <w:spacing w:before="7"/>
              <w:ind w:left="106"/>
              <w:rPr>
                <w:sz w:val="21"/>
              </w:rPr>
            </w:pPr>
            <w:r>
              <w:rPr>
                <w:sz w:val="21"/>
              </w:rPr>
              <w:t>必须满足下列全部条件：</w:t>
            </w:r>
          </w:p>
          <w:p>
            <w:pPr>
              <w:pStyle w:val="TableParagraph"/>
              <w:spacing w:line="273" w:lineRule="auto" w:before="36"/>
              <w:ind w:left="106" w:right="199"/>
              <w:rPr>
                <w:sz w:val="21"/>
              </w:rPr>
            </w:pPr>
            <w:r>
              <w:rPr>
                <w:sz w:val="21"/>
              </w:rPr>
              <w:t>（1）感染必须是在被保险人正在从事其职业工作中发生，该职业必须属于以下列表内的职业；</w:t>
            </w:r>
          </w:p>
          <w:p>
            <w:pPr>
              <w:pStyle w:val="TableParagraph"/>
              <w:spacing w:before="7"/>
              <w:ind w:left="106"/>
              <w:rPr>
                <w:sz w:val="21"/>
              </w:rPr>
            </w:pPr>
            <w:r>
              <w:rPr>
                <w:sz w:val="21"/>
              </w:rPr>
              <w:t>（2）血清转化必须出现在事故发生后的 6 个月以内；</w:t>
            </w:r>
          </w:p>
          <w:p>
            <w:pPr>
              <w:pStyle w:val="TableParagraph"/>
              <w:spacing w:line="273" w:lineRule="auto" w:before="37"/>
              <w:ind w:left="106" w:right="144"/>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106" w:right="199"/>
              <w:rPr>
                <w:sz w:val="21"/>
              </w:rPr>
            </w:pPr>
            <w:r>
              <w:rPr>
                <w:sz w:val="21"/>
              </w:rPr>
              <w:t>（4</w:t>
            </w:r>
            <w:r>
              <w:rPr>
                <w:spacing w:val="-105"/>
                <w:sz w:val="21"/>
              </w:rPr>
              <w:t>）</w:t>
            </w:r>
            <w:r>
              <w:rPr>
                <w:spacing w:val="1"/>
                <w:sz w:val="21"/>
              </w:rPr>
              <w:t>必须在事故发生后的</w:t>
            </w:r>
            <w:r>
              <w:rPr>
                <w:sz w:val="21"/>
              </w:rPr>
              <w:t>12</w:t>
            </w:r>
            <w:r>
              <w:rPr>
                <w:spacing w:val="-6"/>
                <w:sz w:val="21"/>
              </w:rPr>
              <w:t> 个月内证实被保险人体内存在</w:t>
            </w:r>
            <w:r>
              <w:rPr>
                <w:sz w:val="21"/>
              </w:rPr>
              <w:t>HIV</w:t>
            </w:r>
            <w:r>
              <w:rPr>
                <w:spacing w:val="-8"/>
                <w:sz w:val="21"/>
              </w:rPr>
              <w:t> 病毒或者</w:t>
            </w:r>
            <w:r>
              <w:rPr>
                <w:sz w:val="21"/>
              </w:rPr>
              <w:t>HIV抗体。</w:t>
            </w:r>
          </w:p>
          <w:p>
            <w:pPr>
              <w:pStyle w:val="TableParagraph"/>
              <w:spacing w:before="7"/>
              <w:ind w:left="106"/>
              <w:rPr>
                <w:b/>
                <w:sz w:val="21"/>
              </w:rPr>
            </w:pPr>
            <w:r>
              <w:rPr>
                <w:b/>
                <w:w w:val="95"/>
                <w:sz w:val="21"/>
              </w:rPr>
              <w:t>职业限制如下所示:</w:t>
            </w:r>
          </w:p>
          <w:p>
            <w:pPr>
              <w:pStyle w:val="TableParagraph"/>
              <w:tabs>
                <w:tab w:pos="3819" w:val="left" w:leader="none"/>
              </w:tabs>
              <w:spacing w:before="37"/>
              <w:ind w:left="176"/>
              <w:rPr>
                <w:b/>
                <w:sz w:val="21"/>
              </w:rPr>
            </w:pPr>
            <w:r>
              <w:rPr>
                <w:b/>
                <w:sz w:val="21"/>
              </w:rPr>
              <w:t>医生和牙科医生</w:t>
              <w:tab/>
              <w:t>护士</w:t>
            </w:r>
          </w:p>
          <w:p>
            <w:pPr>
              <w:pStyle w:val="TableParagraph"/>
              <w:tabs>
                <w:tab w:pos="3819" w:val="left" w:leader="none"/>
              </w:tabs>
              <w:spacing w:before="37"/>
              <w:ind w:left="176"/>
              <w:rPr>
                <w:b/>
                <w:sz w:val="21"/>
              </w:rPr>
            </w:pPr>
            <w:r>
              <w:rPr>
                <w:b/>
                <w:sz w:val="21"/>
              </w:rPr>
              <w:t>医院化验室工作人员</w:t>
              <w:tab/>
              <w:t>医院护工</w:t>
            </w:r>
          </w:p>
          <w:p>
            <w:pPr>
              <w:pStyle w:val="TableParagraph"/>
              <w:tabs>
                <w:tab w:pos="3819" w:val="left" w:leader="none"/>
              </w:tabs>
              <w:spacing w:before="37"/>
              <w:ind w:left="176"/>
              <w:rPr>
                <w:b/>
                <w:sz w:val="21"/>
              </w:rPr>
            </w:pPr>
            <w:r>
              <w:rPr>
                <w:b/>
                <w:sz w:val="21"/>
              </w:rPr>
              <w:t>医生助理和牙医助理</w:t>
              <w:tab/>
            </w:r>
            <w:r>
              <w:rPr>
                <w:b/>
                <w:w w:val="95"/>
                <w:sz w:val="21"/>
              </w:rPr>
              <w:t>救护车工作人员</w:t>
            </w:r>
          </w:p>
          <w:p>
            <w:pPr>
              <w:pStyle w:val="TableParagraph"/>
              <w:tabs>
                <w:tab w:pos="3819" w:val="left" w:leader="none"/>
              </w:tabs>
              <w:spacing w:before="37"/>
              <w:ind w:left="176"/>
              <w:rPr>
                <w:b/>
                <w:sz w:val="21"/>
              </w:rPr>
            </w:pPr>
            <w:r>
              <w:rPr>
                <w:b/>
                <w:sz w:val="21"/>
              </w:rPr>
              <w:t>助产士</w:t>
              <w:tab/>
              <w:t>消防队员</w:t>
            </w:r>
          </w:p>
          <w:p>
            <w:pPr>
              <w:pStyle w:val="TableParagraph"/>
              <w:tabs>
                <w:tab w:pos="3819" w:val="left" w:leader="none"/>
              </w:tabs>
              <w:spacing w:before="37"/>
              <w:ind w:left="176"/>
              <w:rPr>
                <w:b/>
                <w:sz w:val="21"/>
              </w:rPr>
            </w:pPr>
            <w:r>
              <w:rPr>
                <w:b/>
                <w:sz w:val="21"/>
              </w:rPr>
              <w:t>警察</w:t>
              <w:tab/>
              <w:t>狱警</w:t>
            </w:r>
          </w:p>
        </w:tc>
      </w:tr>
      <w:tr>
        <w:trPr>
          <w:trHeight w:val="3346" w:hRule="atLeast"/>
        </w:trPr>
        <w:tc>
          <w:tcPr>
            <w:tcW w:w="939" w:type="dxa"/>
          </w:tcPr>
          <w:p>
            <w:pPr>
              <w:pStyle w:val="TableParagraph"/>
              <w:spacing w:before="93"/>
              <w:ind w:left="164" w:right="73"/>
              <w:jc w:val="center"/>
              <w:rPr>
                <w:i/>
                <w:sz w:val="22"/>
              </w:rPr>
            </w:pPr>
            <w:bookmarkStart w:name="经输血导致的人类免疫缺陷病毒（HIV）感染" w:id="4"/>
            <w:bookmarkEnd w:id="4"/>
            <w:r>
              <w:rPr/>
            </w:r>
            <w:bookmarkStart w:name="被" w:id="5"/>
            <w:bookmarkEnd w:id="5"/>
            <w:r>
              <w:rPr/>
            </w:r>
            <w:r>
              <w:rPr>
                <w:i/>
                <w:sz w:val="22"/>
              </w:rPr>
              <w:t>3.2.34</w:t>
            </w:r>
          </w:p>
        </w:tc>
        <w:tc>
          <w:tcPr>
            <w:tcW w:w="1703" w:type="dxa"/>
          </w:tcPr>
          <w:p>
            <w:pPr>
              <w:pStyle w:val="TableParagraph"/>
              <w:spacing w:line="259" w:lineRule="auto" w:before="93"/>
              <w:ind w:left="108" w:right="106"/>
              <w:rPr>
                <w:i/>
                <w:sz w:val="22"/>
              </w:rPr>
            </w:pPr>
            <w:r>
              <w:rPr>
                <w:i/>
                <w:w w:val="95"/>
                <w:sz w:val="22"/>
              </w:rPr>
              <w:t>经输血导致的人</w:t>
            </w:r>
            <w:bookmarkStart w:name="（" w:id="6"/>
            <w:bookmarkEnd w:id="6"/>
            <w:r>
              <w:rPr>
                <w:i/>
                <w:w w:val="95"/>
                <w:sz w:val="22"/>
              </w:rPr>
            </w:r>
            <w:r>
              <w:rPr>
                <w:i/>
                <w:w w:val="95"/>
                <w:sz w:val="22"/>
              </w:rPr>
              <w:t>类免疫缺陷病毒</w:t>
            </w:r>
          </w:p>
          <w:p>
            <w:pPr>
              <w:pStyle w:val="TableParagraph"/>
              <w:spacing w:before="6"/>
              <w:ind w:left="108"/>
              <w:rPr>
                <w:i/>
                <w:sz w:val="22"/>
              </w:rPr>
            </w:pPr>
            <w:bookmarkStart w:name="（" w:id="7"/>
            <w:bookmarkEnd w:id="7"/>
            <w:r>
              <w:rPr/>
            </w:r>
            <w:r>
              <w:rPr>
                <w:i/>
                <w:w w:val="95"/>
                <w:sz w:val="22"/>
              </w:rPr>
              <w:t>（HIV）感染</w:t>
            </w:r>
          </w:p>
        </w:tc>
        <w:tc>
          <w:tcPr>
            <w:tcW w:w="7204" w:type="dxa"/>
          </w:tcPr>
          <w:p>
            <w:pPr>
              <w:pStyle w:val="TableParagraph"/>
              <w:spacing w:before="104"/>
              <w:ind w:left="106"/>
              <w:rPr>
                <w:sz w:val="21"/>
              </w:rPr>
            </w:pPr>
            <w:r>
              <w:rPr>
                <w:sz w:val="21"/>
              </w:rPr>
              <w:t>被保险人感染上人类免疫缺陷病毒（HIV）并且满足下列全部条件：</w:t>
            </w:r>
          </w:p>
          <w:p>
            <w:pPr>
              <w:pStyle w:val="TableParagraph"/>
              <w:spacing w:before="36"/>
              <w:ind w:left="106"/>
              <w:rPr>
                <w:sz w:val="21"/>
              </w:rPr>
            </w:pPr>
            <w:r>
              <w:rPr>
                <w:sz w:val="21"/>
              </w:rPr>
              <w:t>（1）在保障起始日或复效日之后，被保险人因输血而感染 HIV；</w:t>
            </w:r>
          </w:p>
          <w:p>
            <w:pPr>
              <w:pStyle w:val="TableParagraph"/>
              <w:spacing w:line="273" w:lineRule="auto" w:before="36"/>
              <w:ind w:left="106" w:right="199"/>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06"/>
              <w:rPr>
                <w:sz w:val="21"/>
              </w:rPr>
            </w:pPr>
            <w:bookmarkStart w:name="（" w:id="8"/>
            <w:bookmarkEnd w:id="8"/>
            <w:r>
              <w:rPr/>
            </w:r>
            <w:r>
              <w:rPr>
                <w:sz w:val="21"/>
              </w:rPr>
              <w:t>（3）受感染的被保险人不是血友病患者。</w:t>
            </w:r>
          </w:p>
          <w:p>
            <w:pPr>
              <w:pStyle w:val="TableParagraph"/>
              <w:spacing w:line="273" w:lineRule="auto" w:before="37"/>
              <w:ind w:left="106" w:right="200"/>
              <w:rPr>
                <w:b/>
                <w:sz w:val="21"/>
              </w:rPr>
            </w:pPr>
            <w:bookmarkStart w:name="在" w:id="9"/>
            <w:bookmarkEnd w:id="9"/>
            <w:r>
              <w:rPr/>
            </w:r>
            <w:r>
              <w:rPr>
                <w:b/>
                <w:spacing w:val="-3"/>
                <w:sz w:val="21"/>
              </w:rPr>
              <w:t>在任何治愈艾滋病</w:t>
            </w:r>
            <w:r>
              <w:rPr>
                <w:b/>
                <w:spacing w:val="-4"/>
                <w:sz w:val="21"/>
              </w:rPr>
              <w:t>（AIDS）</w:t>
            </w:r>
            <w:r>
              <w:rPr>
                <w:b/>
                <w:spacing w:val="-16"/>
                <w:sz w:val="21"/>
              </w:rPr>
              <w:t>或阻止 </w:t>
            </w:r>
            <w:r>
              <w:rPr>
                <w:b/>
                <w:sz w:val="21"/>
              </w:rPr>
              <w:t>HIV</w:t>
            </w:r>
            <w:r>
              <w:rPr>
                <w:b/>
                <w:spacing w:val="-10"/>
                <w:sz w:val="21"/>
              </w:rPr>
              <w:t> 病毒作用的疗法被发现以后，或能防</w:t>
            </w:r>
            <w:r>
              <w:rPr>
                <w:b/>
                <w:spacing w:val="-38"/>
                <w:sz w:val="21"/>
              </w:rPr>
              <w:t>止 </w:t>
            </w:r>
            <w:r>
              <w:rPr>
                <w:b/>
                <w:sz w:val="21"/>
              </w:rPr>
              <w:t>AIDS</w:t>
            </w:r>
            <w:r>
              <w:rPr>
                <w:b/>
                <w:spacing w:val="-9"/>
                <w:sz w:val="21"/>
              </w:rPr>
              <w:t> 发生的医疗方法被研究出来以后，本保障将不再予以赔付。</w:t>
            </w:r>
          </w:p>
          <w:p>
            <w:pPr>
              <w:pStyle w:val="TableParagraph"/>
              <w:spacing w:line="273" w:lineRule="auto" w:before="7"/>
              <w:ind w:left="106" w:right="201"/>
              <w:jc w:val="both"/>
              <w:rPr>
                <w:b/>
                <w:sz w:val="21"/>
              </w:rPr>
            </w:pPr>
            <w:bookmarkStart w:name="任" w:id="10"/>
            <w:bookmarkEnd w:id="10"/>
            <w:r>
              <w:rPr/>
            </w:r>
            <w:r>
              <w:rPr>
                <w:b/>
                <w:spacing w:val="-3"/>
                <w:sz w:val="21"/>
              </w:rPr>
              <w:t>任何因其他传播方式</w:t>
            </w:r>
            <w:r>
              <w:rPr>
                <w:b/>
                <w:sz w:val="21"/>
              </w:rPr>
              <w:t>（</w:t>
            </w:r>
            <w:r>
              <w:rPr>
                <w:b/>
                <w:spacing w:val="-5"/>
                <w:sz w:val="21"/>
              </w:rPr>
              <w:t>包括：性传播或静脉注射毒品</w:t>
            </w:r>
            <w:r>
              <w:rPr>
                <w:b/>
                <w:spacing w:val="-21"/>
                <w:sz w:val="21"/>
              </w:rPr>
              <w:t>）</w:t>
            </w:r>
            <w:r>
              <w:rPr>
                <w:b/>
                <w:spacing w:val="-16"/>
                <w:sz w:val="21"/>
              </w:rPr>
              <w:t>导致的 </w:t>
            </w:r>
            <w:r>
              <w:rPr>
                <w:b/>
                <w:sz w:val="21"/>
              </w:rPr>
              <w:t>HIV</w:t>
            </w:r>
            <w:r>
              <w:rPr>
                <w:b/>
                <w:spacing w:val="-12"/>
                <w:sz w:val="21"/>
              </w:rPr>
              <w:t> 感染不在</w:t>
            </w:r>
            <w:r>
              <w:rPr>
                <w:b/>
                <w:spacing w:val="-13"/>
                <w:w w:val="95"/>
                <w:sz w:val="21"/>
              </w:rPr>
              <w:t>本保单保障范围内。保险公司必须拥有获得使用被保险人的所有血液样本的  权利和能够对这些样本进行独立检验的权利。</w:t>
            </w:r>
          </w:p>
        </w:tc>
      </w:tr>
      <w:tr>
        <w:trPr>
          <w:trHeight w:val="1162" w:hRule="atLeast"/>
        </w:trPr>
        <w:tc>
          <w:tcPr>
            <w:tcW w:w="939" w:type="dxa"/>
          </w:tcPr>
          <w:p>
            <w:pPr>
              <w:pStyle w:val="TableParagraph"/>
              <w:spacing w:before="93"/>
              <w:ind w:left="164" w:right="73"/>
              <w:jc w:val="center"/>
              <w:rPr>
                <w:i/>
                <w:sz w:val="22"/>
              </w:rPr>
            </w:pPr>
            <w:bookmarkStart w:name="3" w:id="11"/>
            <w:bookmarkEnd w:id="11"/>
            <w:r>
              <w:rPr/>
            </w:r>
            <w:bookmarkStart w:name="严" w:id="12"/>
            <w:bookmarkEnd w:id="12"/>
            <w:r>
              <w:rPr/>
            </w:r>
            <w:r>
              <w:rPr>
                <w:i/>
                <w:sz w:val="22"/>
              </w:rPr>
              <w:t>3.2.35</w:t>
            </w:r>
          </w:p>
        </w:tc>
        <w:tc>
          <w:tcPr>
            <w:tcW w:w="1703" w:type="dxa"/>
          </w:tcPr>
          <w:p>
            <w:pPr>
              <w:pStyle w:val="TableParagraph"/>
              <w:spacing w:before="93"/>
              <w:rPr>
                <w:i/>
                <w:sz w:val="22"/>
              </w:rPr>
            </w:pPr>
            <w:r>
              <w:rPr>
                <w:i/>
                <w:w w:val="95"/>
                <w:sz w:val="22"/>
              </w:rPr>
              <w:t>严重克隆病</w:t>
            </w:r>
          </w:p>
        </w:tc>
        <w:tc>
          <w:tcPr>
            <w:tcW w:w="7204" w:type="dxa"/>
          </w:tcPr>
          <w:p>
            <w:pPr>
              <w:pStyle w:val="TableParagraph"/>
              <w:spacing w:line="273" w:lineRule="auto" w:before="104"/>
              <w:ind w:left="106" w:right="201"/>
              <w:jc w:val="both"/>
              <w:rPr>
                <w:b/>
                <w:sz w:val="21"/>
              </w:rPr>
            </w:pPr>
            <w:r>
              <w:rPr>
                <w:spacing w:val="-3"/>
                <w:sz w:val="21"/>
              </w:rPr>
              <w:t>克隆病是一种慢性肉芽肿性肠炎，具有特征性的克隆病病理组织学变化。诊</w:t>
            </w:r>
            <w:r>
              <w:rPr>
                <w:spacing w:val="-7"/>
                <w:w w:val="95"/>
                <w:sz w:val="21"/>
              </w:rPr>
              <w:t>断必须由病理检查结果证实。</w:t>
            </w:r>
            <w:r>
              <w:rPr>
                <w:b/>
                <w:w w:val="95"/>
                <w:sz w:val="21"/>
              </w:rPr>
              <w:t>被保险人所患的克隆病必须已经造成瘘管形成  并伴有肠梗阻或肠穿孔。</w:t>
            </w:r>
          </w:p>
        </w:tc>
      </w:tr>
      <w:tr>
        <w:trPr>
          <w:trHeight w:val="1315" w:hRule="atLeast"/>
        </w:trPr>
        <w:tc>
          <w:tcPr>
            <w:tcW w:w="939" w:type="dxa"/>
          </w:tcPr>
          <w:p>
            <w:pPr>
              <w:pStyle w:val="TableParagraph"/>
              <w:spacing w:before="93"/>
              <w:ind w:left="164" w:right="73"/>
              <w:jc w:val="center"/>
              <w:rPr>
                <w:i/>
                <w:sz w:val="22"/>
              </w:rPr>
            </w:pPr>
            <w:r>
              <w:rPr>
                <w:i/>
                <w:sz w:val="22"/>
              </w:rPr>
              <w:t>3.2.36</w:t>
            </w:r>
          </w:p>
        </w:tc>
        <w:tc>
          <w:tcPr>
            <w:tcW w:w="1703" w:type="dxa"/>
          </w:tcPr>
          <w:p>
            <w:pPr>
              <w:pStyle w:val="TableParagraph"/>
              <w:spacing w:line="259" w:lineRule="auto" w:before="93"/>
              <w:ind w:left="108" w:right="106"/>
              <w:rPr>
                <w:i/>
                <w:sz w:val="22"/>
              </w:rPr>
            </w:pPr>
            <w:r>
              <w:rPr>
                <w:i/>
                <w:w w:val="95"/>
                <w:sz w:val="22"/>
              </w:rPr>
              <w:t>严重溃疡性结肠</w:t>
            </w:r>
            <w:r>
              <w:rPr>
                <w:i/>
                <w:sz w:val="22"/>
              </w:rPr>
              <w:t>炎</w:t>
            </w:r>
          </w:p>
        </w:tc>
        <w:tc>
          <w:tcPr>
            <w:tcW w:w="7204" w:type="dxa"/>
          </w:tcPr>
          <w:p>
            <w:pPr>
              <w:pStyle w:val="TableParagraph"/>
              <w:spacing w:line="310" w:lineRule="atLeast" w:before="69"/>
              <w:ind w:left="106" w:right="201"/>
              <w:jc w:val="both"/>
              <w:rPr>
                <w:b/>
                <w:sz w:val="21"/>
              </w:rPr>
            </w:pPr>
            <w:r>
              <w:rPr>
                <w:spacing w:val="1"/>
                <w:sz w:val="21"/>
              </w:rPr>
              <w:t>本保单所保障的溃疡性结肠炎是指伴有致命性电解质紊乱的急性暴发性溃</w:t>
            </w:r>
            <w:r>
              <w:rPr>
                <w:spacing w:val="-3"/>
                <w:sz w:val="21"/>
              </w:rPr>
              <w:t>疡性结肠炎，病变累及全结肠，表现为严重的血便和系统性症状体征，治疗</w:t>
            </w:r>
            <w:r>
              <w:rPr>
                <w:spacing w:val="-6"/>
                <w:w w:val="95"/>
                <w:sz w:val="21"/>
              </w:rPr>
              <w:t>通常采取全结肠切除和回肠造瘘术。</w:t>
            </w:r>
            <w:r>
              <w:rPr>
                <w:b/>
                <w:w w:val="95"/>
                <w:sz w:val="21"/>
              </w:rPr>
              <w:t>溃疡性结肠炎必须根据组织病理学特点  诊断，并且被保险人已经接受了结肠切除和/或回肠造瘘术。</w:t>
            </w:r>
          </w:p>
        </w:tc>
      </w:tr>
    </w:tbl>
    <w:p>
      <w:pPr>
        <w:spacing w:after="0" w:line="310" w:lineRule="atLeast"/>
        <w:jc w:val="both"/>
        <w:rPr>
          <w:sz w:val="21"/>
        </w:rPr>
        <w:sectPr>
          <w:pgSz w:w="11910" w:h="16840"/>
          <w:pgMar w:header="0" w:footer="918" w:top="1460" w:bottom="1100" w:left="1000" w:right="840"/>
        </w:sectPr>
      </w:pPr>
    </w:p>
    <w:p>
      <w:pPr>
        <w:pStyle w:val="BodyText"/>
        <w:spacing w:before="3"/>
        <w:rPr>
          <w:rFonts w:ascii="Times New Roman"/>
          <w:sz w:val="1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3"/>
        <w:gridCol w:w="7309"/>
      </w:tblGrid>
      <w:tr>
        <w:trPr>
          <w:trHeight w:val="2563" w:hRule="atLeast"/>
        </w:trPr>
        <w:tc>
          <w:tcPr>
            <w:tcW w:w="939" w:type="dxa"/>
          </w:tcPr>
          <w:p>
            <w:pPr>
              <w:pStyle w:val="TableParagraph"/>
              <w:spacing w:line="222" w:lineRule="exact"/>
              <w:ind w:left="164" w:right="73"/>
              <w:jc w:val="center"/>
              <w:rPr>
                <w:i/>
                <w:sz w:val="22"/>
              </w:rPr>
            </w:pPr>
            <w:r>
              <w:rPr>
                <w:i/>
                <w:sz w:val="22"/>
              </w:rPr>
              <w:t>3.2.37</w:t>
            </w:r>
          </w:p>
        </w:tc>
        <w:tc>
          <w:tcPr>
            <w:tcW w:w="1703" w:type="dxa"/>
          </w:tcPr>
          <w:p>
            <w:pPr>
              <w:pStyle w:val="TableParagraph"/>
              <w:spacing w:line="222" w:lineRule="exact"/>
              <w:rPr>
                <w:i/>
                <w:sz w:val="22"/>
              </w:rPr>
            </w:pPr>
            <w:r>
              <w:rPr>
                <w:i/>
                <w:w w:val="95"/>
                <w:sz w:val="22"/>
              </w:rPr>
              <w:t>1 型糖尿病</w:t>
            </w:r>
          </w:p>
        </w:tc>
        <w:tc>
          <w:tcPr>
            <w:tcW w:w="7309" w:type="dxa"/>
          </w:tcPr>
          <w:p>
            <w:pPr>
              <w:pStyle w:val="TableParagraph"/>
              <w:spacing w:line="220" w:lineRule="exact"/>
              <w:ind w:left="106"/>
              <w:rPr>
                <w:sz w:val="21"/>
              </w:rPr>
            </w:pPr>
            <w:r>
              <w:rPr>
                <w:sz w:val="21"/>
              </w:rPr>
              <w:t>1 型糖尿病的特征为由于胰岛素分泌绝对不足引起严重胰岛素缺乏导致慢性</w:t>
            </w:r>
          </w:p>
          <w:p>
            <w:pPr>
              <w:pStyle w:val="TableParagraph"/>
              <w:spacing w:line="273" w:lineRule="auto" w:before="37"/>
              <w:ind w:left="106" w:right="305"/>
              <w:jc w:val="both"/>
              <w:rPr>
                <w:sz w:val="21"/>
              </w:rPr>
            </w:pPr>
            <w:r>
              <w:rPr>
                <w:spacing w:val="-5"/>
                <w:sz w:val="21"/>
              </w:rPr>
              <w:t>血糖升高，需要依赖外源性胰岛素进行机体的葡萄糖代谢和维持生命。被保</w:t>
            </w:r>
            <w:r>
              <w:rPr>
                <w:spacing w:val="-18"/>
                <w:sz w:val="21"/>
              </w:rPr>
              <w:t>险人的 </w:t>
            </w:r>
            <w:r>
              <w:rPr>
                <w:sz w:val="21"/>
              </w:rPr>
              <w:t>1</w:t>
            </w:r>
            <w:r>
              <w:rPr>
                <w:spacing w:val="-13"/>
                <w:sz w:val="21"/>
              </w:rPr>
              <w:t> 型糖尿病必须明确诊断，而且有血胰岛素测定及血 </w:t>
            </w:r>
            <w:r>
              <w:rPr>
                <w:sz w:val="21"/>
              </w:rPr>
              <w:t>C</w:t>
            </w:r>
            <w:r>
              <w:rPr>
                <w:spacing w:val="-1"/>
                <w:sz w:val="21"/>
              </w:rPr>
              <w:t> 肽或尿</w:t>
            </w:r>
            <w:r>
              <w:rPr>
                <w:sz w:val="21"/>
              </w:rPr>
              <w:t>C</w:t>
            </w:r>
            <w:r>
              <w:rPr>
                <w:spacing w:val="-18"/>
                <w:sz w:val="21"/>
              </w:rPr>
              <w:t> 肽测定结果支持诊断，并且满足下列全部条件：</w:t>
            </w:r>
          </w:p>
          <w:p>
            <w:pPr>
              <w:pStyle w:val="TableParagraph"/>
              <w:spacing w:before="7"/>
              <w:ind w:left="106"/>
              <w:jc w:val="both"/>
              <w:rPr>
                <w:sz w:val="21"/>
              </w:rPr>
            </w:pPr>
            <w:r>
              <w:rPr>
                <w:sz w:val="21"/>
              </w:rPr>
              <w:t>（1）已经持续性地接受外源性胰岛素注射治疗连续 180 天以上；</w:t>
            </w:r>
          </w:p>
          <w:p>
            <w:pPr>
              <w:pStyle w:val="TableParagraph"/>
              <w:spacing w:before="37"/>
              <w:ind w:left="106"/>
              <w:jc w:val="both"/>
              <w:rPr>
                <w:sz w:val="21"/>
              </w:rPr>
            </w:pPr>
            <w:r>
              <w:rPr>
                <w:sz w:val="21"/>
              </w:rPr>
              <w:t>（2）因需要已经接受了下列治疗：</w:t>
            </w:r>
          </w:p>
          <w:p>
            <w:pPr>
              <w:pStyle w:val="TableParagraph"/>
              <w:numPr>
                <w:ilvl w:val="0"/>
                <w:numId w:val="5"/>
              </w:numPr>
              <w:tabs>
                <w:tab w:pos="422" w:val="left" w:leader="none"/>
              </w:tabs>
              <w:spacing w:line="240" w:lineRule="auto" w:before="37" w:after="0"/>
              <w:ind w:left="421" w:right="0" w:hanging="315"/>
              <w:jc w:val="both"/>
              <w:rPr>
                <w:sz w:val="21"/>
              </w:rPr>
            </w:pPr>
            <w:r>
              <w:rPr>
                <w:spacing w:val="-1"/>
                <w:sz w:val="21"/>
              </w:rPr>
              <w:t>因严重心律失常植入了心脏起搏器；或</w:t>
            </w:r>
          </w:p>
          <w:p>
            <w:pPr>
              <w:pStyle w:val="TableParagraph"/>
              <w:numPr>
                <w:ilvl w:val="0"/>
                <w:numId w:val="5"/>
              </w:numPr>
              <w:tabs>
                <w:tab w:pos="422" w:val="left" w:leader="none"/>
              </w:tabs>
              <w:spacing w:line="240" w:lineRule="auto" w:before="37" w:after="0"/>
              <w:ind w:left="421" w:right="0" w:hanging="315"/>
              <w:jc w:val="both"/>
              <w:rPr>
                <w:sz w:val="21"/>
              </w:rPr>
            </w:pPr>
            <w:r>
              <w:rPr>
                <w:spacing w:val="-1"/>
                <w:sz w:val="21"/>
              </w:rPr>
              <w:t>因坏疽自跖趾关节或以上切除了一趾或多趾。</w:t>
            </w:r>
          </w:p>
        </w:tc>
      </w:tr>
      <w:tr>
        <w:trPr>
          <w:trHeight w:val="1162" w:hRule="atLeast"/>
        </w:trPr>
        <w:tc>
          <w:tcPr>
            <w:tcW w:w="939" w:type="dxa"/>
          </w:tcPr>
          <w:p>
            <w:pPr>
              <w:pStyle w:val="TableParagraph"/>
              <w:spacing w:before="93"/>
              <w:ind w:left="164" w:right="73"/>
              <w:jc w:val="center"/>
              <w:rPr>
                <w:i/>
                <w:sz w:val="22"/>
              </w:rPr>
            </w:pPr>
            <w:r>
              <w:rPr>
                <w:i/>
                <w:sz w:val="22"/>
              </w:rPr>
              <w:t>3.2.38</w:t>
            </w:r>
          </w:p>
        </w:tc>
        <w:tc>
          <w:tcPr>
            <w:tcW w:w="1703" w:type="dxa"/>
          </w:tcPr>
          <w:p>
            <w:pPr>
              <w:pStyle w:val="TableParagraph"/>
              <w:spacing w:before="93"/>
              <w:rPr>
                <w:i/>
                <w:sz w:val="22"/>
              </w:rPr>
            </w:pPr>
            <w:r>
              <w:rPr>
                <w:i/>
                <w:w w:val="95"/>
                <w:sz w:val="22"/>
              </w:rPr>
              <w:t>肺源性心脏病</w:t>
            </w:r>
          </w:p>
        </w:tc>
        <w:tc>
          <w:tcPr>
            <w:tcW w:w="7309" w:type="dxa"/>
          </w:tcPr>
          <w:p>
            <w:pPr>
              <w:pStyle w:val="TableParagraph"/>
              <w:spacing w:line="273" w:lineRule="auto" w:before="104"/>
              <w:ind w:left="106" w:right="270"/>
              <w:jc w:val="both"/>
              <w:rPr>
                <w:sz w:val="21"/>
              </w:rPr>
            </w:pPr>
            <w:r>
              <w:rPr>
                <w:sz w:val="21"/>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474" w:hRule="atLeast"/>
        </w:trPr>
        <w:tc>
          <w:tcPr>
            <w:tcW w:w="939" w:type="dxa"/>
          </w:tcPr>
          <w:p>
            <w:pPr>
              <w:pStyle w:val="TableParagraph"/>
              <w:spacing w:before="93"/>
              <w:ind w:left="164" w:right="73"/>
              <w:jc w:val="center"/>
              <w:rPr>
                <w:i/>
                <w:sz w:val="22"/>
              </w:rPr>
            </w:pPr>
            <w:r>
              <w:rPr>
                <w:i/>
                <w:sz w:val="22"/>
              </w:rPr>
              <w:t>3.2.39</w:t>
            </w:r>
          </w:p>
        </w:tc>
        <w:tc>
          <w:tcPr>
            <w:tcW w:w="1703" w:type="dxa"/>
          </w:tcPr>
          <w:p>
            <w:pPr>
              <w:pStyle w:val="TableParagraph"/>
              <w:spacing w:before="93"/>
              <w:rPr>
                <w:i/>
                <w:sz w:val="22"/>
              </w:rPr>
            </w:pPr>
            <w:r>
              <w:rPr>
                <w:i/>
                <w:w w:val="95"/>
                <w:sz w:val="22"/>
              </w:rPr>
              <w:t>植物人状态</w:t>
            </w:r>
          </w:p>
        </w:tc>
        <w:tc>
          <w:tcPr>
            <w:tcW w:w="7309" w:type="dxa"/>
          </w:tcPr>
          <w:p>
            <w:pPr>
              <w:pStyle w:val="TableParagraph"/>
              <w:spacing w:line="273" w:lineRule="auto" w:before="104"/>
              <w:ind w:left="106" w:right="304"/>
              <w:jc w:val="both"/>
              <w:rPr>
                <w:b/>
                <w:sz w:val="21"/>
              </w:rPr>
            </w:pPr>
            <w:r>
              <w:rPr>
                <w:sz w:val="21"/>
              </w:rPr>
              <w:t>植物人状态系指由于严重颅脑外伤造成大脑和/或脑干严重损害导致完全永</w:t>
            </w:r>
            <w:r>
              <w:rPr>
                <w:spacing w:val="-2"/>
                <w:sz w:val="21"/>
              </w:rPr>
              <w:t>久性的对自身和环境的意识丧失和中枢神经系统功能丧失，仅残存植物神经</w:t>
            </w:r>
            <w:r>
              <w:rPr>
                <w:spacing w:val="1"/>
                <w:sz w:val="21"/>
              </w:rPr>
              <w:t>功能的疾病状态。诊断必须明确诊断并且具有严重颅脑外伤和脑损害的证据。</w:t>
            </w:r>
            <w:r>
              <w:rPr>
                <w:b/>
                <w:spacing w:val="-4"/>
                <w:sz w:val="21"/>
              </w:rPr>
              <w:t>植物人状态必须持续 </w:t>
            </w:r>
            <w:r>
              <w:rPr>
                <w:b/>
                <w:sz w:val="21"/>
              </w:rPr>
              <w:t>30</w:t>
            </w:r>
            <w:r>
              <w:rPr>
                <w:b/>
                <w:spacing w:val="-8"/>
                <w:sz w:val="21"/>
              </w:rPr>
              <w:t> 天以上方可申请理赔。</w:t>
            </w:r>
          </w:p>
        </w:tc>
      </w:tr>
      <w:tr>
        <w:trPr>
          <w:trHeight w:val="3346" w:hRule="atLeast"/>
        </w:trPr>
        <w:tc>
          <w:tcPr>
            <w:tcW w:w="939" w:type="dxa"/>
          </w:tcPr>
          <w:p>
            <w:pPr>
              <w:pStyle w:val="TableParagraph"/>
              <w:spacing w:before="93"/>
              <w:ind w:left="164" w:right="73"/>
              <w:jc w:val="center"/>
              <w:rPr>
                <w:i/>
                <w:sz w:val="22"/>
              </w:rPr>
            </w:pPr>
            <w:r>
              <w:rPr>
                <w:i/>
                <w:sz w:val="22"/>
              </w:rPr>
              <w:t>3.2.40</w:t>
            </w:r>
          </w:p>
        </w:tc>
        <w:tc>
          <w:tcPr>
            <w:tcW w:w="1703" w:type="dxa"/>
          </w:tcPr>
          <w:p>
            <w:pPr>
              <w:pStyle w:val="TableParagraph"/>
              <w:spacing w:line="259" w:lineRule="auto" w:before="93"/>
              <w:ind w:left="108" w:right="106"/>
              <w:rPr>
                <w:i/>
                <w:sz w:val="22"/>
              </w:rPr>
            </w:pPr>
            <w:r>
              <w:rPr>
                <w:i/>
                <w:w w:val="95"/>
                <w:sz w:val="22"/>
              </w:rPr>
              <w:t>严重类风湿性关节炎</w:t>
            </w:r>
          </w:p>
        </w:tc>
        <w:tc>
          <w:tcPr>
            <w:tcW w:w="7309" w:type="dxa"/>
          </w:tcPr>
          <w:p>
            <w:pPr>
              <w:pStyle w:val="TableParagraph"/>
              <w:spacing w:line="273" w:lineRule="auto" w:before="104"/>
              <w:ind w:left="106" w:right="270"/>
              <w:jc w:val="both"/>
              <w:rPr>
                <w:sz w:val="21"/>
              </w:rPr>
            </w:pPr>
            <w:r>
              <w:rPr>
                <w:spacing w:val="1"/>
                <w:sz w:val="21"/>
              </w:rPr>
              <w:t>类风湿性关节炎为广泛分布的慢性进行性多关节病变，表现为关节严重变</w:t>
            </w:r>
            <w:r>
              <w:rPr>
                <w:spacing w:val="-5"/>
                <w:sz w:val="21"/>
              </w:rPr>
              <w:t>形，侵犯至少三个主要关节或关节组【如：双手</w:t>
            </w:r>
            <w:r>
              <w:rPr>
                <w:sz w:val="21"/>
              </w:rPr>
              <w:t>（多手指</w:t>
            </w:r>
            <w:r>
              <w:rPr>
                <w:spacing w:val="-5"/>
                <w:sz w:val="21"/>
              </w:rPr>
              <w:t>）</w:t>
            </w:r>
            <w:r>
              <w:rPr>
                <w:spacing w:val="-3"/>
                <w:sz w:val="21"/>
              </w:rPr>
              <w:t>关节、双足</w:t>
            </w:r>
            <w:r>
              <w:rPr>
                <w:sz w:val="21"/>
              </w:rPr>
              <w:t>（多足趾）</w:t>
            </w:r>
            <w:r>
              <w:rPr>
                <w:spacing w:val="-6"/>
                <w:sz w:val="21"/>
              </w:rPr>
              <w:t>关节、双腕关节、双膝关节和双髋关节】。类风湿性关节炎必须明确</w:t>
            </w:r>
            <w:r>
              <w:rPr>
                <w:spacing w:val="-9"/>
                <w:sz w:val="21"/>
              </w:rPr>
              <w:t>诊断并且已经达到类风湿性关节炎功能分级 </w:t>
            </w:r>
            <w:r>
              <w:rPr>
                <w:sz w:val="21"/>
              </w:rPr>
              <w:t>III</w:t>
            </w:r>
            <w:r>
              <w:rPr>
                <w:spacing w:val="-11"/>
                <w:sz w:val="21"/>
              </w:rPr>
              <w:t> 级以上的功能障碍</w:t>
            </w:r>
            <w:r>
              <w:rPr>
                <w:sz w:val="21"/>
              </w:rPr>
              <w:t>（关节活动严重限制，不能完成大部分的日常工作和活动）并且满足下列全部条件：</w:t>
            </w:r>
          </w:p>
          <w:p>
            <w:pPr>
              <w:pStyle w:val="TableParagraph"/>
              <w:spacing w:before="7"/>
              <w:ind w:left="106"/>
              <w:jc w:val="both"/>
              <w:rPr>
                <w:sz w:val="21"/>
              </w:rPr>
            </w:pPr>
            <w:r>
              <w:rPr>
                <w:sz w:val="21"/>
              </w:rPr>
              <w:t>（1）晨僵；</w:t>
            </w:r>
          </w:p>
          <w:p>
            <w:pPr>
              <w:pStyle w:val="TableParagraph"/>
              <w:spacing w:before="37"/>
              <w:ind w:left="106"/>
              <w:jc w:val="both"/>
              <w:rPr>
                <w:sz w:val="21"/>
              </w:rPr>
            </w:pPr>
            <w:r>
              <w:rPr>
                <w:sz w:val="21"/>
              </w:rPr>
              <w:t>（2）对称性关节炎；</w:t>
            </w:r>
          </w:p>
          <w:p>
            <w:pPr>
              <w:pStyle w:val="TableParagraph"/>
              <w:spacing w:before="37"/>
              <w:ind w:left="106"/>
              <w:jc w:val="both"/>
              <w:rPr>
                <w:sz w:val="21"/>
              </w:rPr>
            </w:pPr>
            <w:r>
              <w:rPr>
                <w:sz w:val="21"/>
              </w:rPr>
              <w:t>（3）类风湿性皮下结节；</w:t>
            </w:r>
          </w:p>
          <w:p>
            <w:pPr>
              <w:pStyle w:val="TableParagraph"/>
              <w:spacing w:before="37"/>
              <w:ind w:left="106"/>
              <w:jc w:val="both"/>
              <w:rPr>
                <w:sz w:val="21"/>
              </w:rPr>
            </w:pPr>
            <w:r>
              <w:rPr>
                <w:sz w:val="21"/>
              </w:rPr>
              <w:t>（4）类风湿因子滴度升高；</w:t>
            </w:r>
          </w:p>
          <w:p>
            <w:pPr>
              <w:pStyle w:val="TableParagraph"/>
              <w:spacing w:before="37"/>
              <w:ind w:left="106"/>
              <w:jc w:val="both"/>
              <w:rPr>
                <w:sz w:val="21"/>
              </w:rPr>
            </w:pPr>
            <w:r>
              <w:rPr>
                <w:sz w:val="21"/>
              </w:rPr>
              <w:t>（5）X 线显示严重的关节（软骨和骨）破坏和关节畸形。</w:t>
            </w:r>
          </w:p>
        </w:tc>
      </w:tr>
      <w:tr>
        <w:trPr>
          <w:trHeight w:val="2155" w:hRule="atLeast"/>
        </w:trPr>
        <w:tc>
          <w:tcPr>
            <w:tcW w:w="939" w:type="dxa"/>
          </w:tcPr>
          <w:p>
            <w:pPr>
              <w:pStyle w:val="TableParagraph"/>
              <w:spacing w:before="93"/>
              <w:ind w:left="164" w:right="73"/>
              <w:jc w:val="center"/>
              <w:rPr>
                <w:i/>
                <w:sz w:val="22"/>
              </w:rPr>
            </w:pPr>
            <w:r>
              <w:rPr>
                <w:i/>
                <w:sz w:val="22"/>
              </w:rPr>
              <w:t>3.2.41</w:t>
            </w:r>
          </w:p>
        </w:tc>
        <w:tc>
          <w:tcPr>
            <w:tcW w:w="1703" w:type="dxa"/>
          </w:tcPr>
          <w:p>
            <w:pPr>
              <w:pStyle w:val="TableParagraph"/>
              <w:spacing w:line="259" w:lineRule="auto" w:before="93"/>
              <w:ind w:left="108" w:right="122" w:hanging="1"/>
              <w:rPr>
                <w:i/>
                <w:sz w:val="22"/>
              </w:rPr>
            </w:pPr>
            <w:r>
              <w:rPr>
                <w:i/>
                <w:w w:val="95"/>
                <w:sz w:val="22"/>
              </w:rPr>
              <w:t>非阿尔茨海默病所致严重痴呆</w:t>
            </w:r>
          </w:p>
        </w:tc>
        <w:tc>
          <w:tcPr>
            <w:tcW w:w="7309" w:type="dxa"/>
          </w:tcPr>
          <w:p>
            <w:pPr>
              <w:pStyle w:val="TableParagraph"/>
              <w:spacing w:line="280" w:lineRule="auto" w:before="130"/>
              <w:ind w:left="106" w:right="199"/>
              <w:rPr>
                <w:b/>
                <w:sz w:val="21"/>
              </w:rPr>
            </w:pPr>
            <w:r>
              <w:rPr>
                <w:spacing w:val="1"/>
                <w:sz w:val="21"/>
              </w:rPr>
              <w:t>指因阿尔茨海默病以外的脑的器质性疾病造成脑功能衰竭导致永久不可逆</w:t>
            </w:r>
            <w:r>
              <w:rPr>
                <w:spacing w:val="-11"/>
                <w:sz w:val="21"/>
              </w:rPr>
              <w:t>性的严重痴呆，临床表现为明显的认知能力障碍、行为异常和社交能力减退。</w:t>
            </w:r>
            <w:r>
              <w:rPr>
                <w:spacing w:val="-13"/>
                <w:sz w:val="21"/>
              </w:rPr>
              <w:t>被保险人自主生活能力完全丧失，无法独立完成六项基本日常生活活动中的</w:t>
            </w:r>
            <w:r>
              <w:rPr>
                <w:spacing w:val="-12"/>
                <w:sz w:val="21"/>
              </w:rPr>
              <w:t>三项或三项以上，日常生活必须持续受到他人监护。导致痴呆的疾病必须明</w:t>
            </w:r>
            <w:r>
              <w:rPr>
                <w:spacing w:val="-10"/>
                <w:sz w:val="21"/>
              </w:rPr>
              <w:t>确诊断，并且由完整的临床、实验室和影像学检查结果证实。</w:t>
            </w:r>
            <w:r>
              <w:rPr>
                <w:b/>
                <w:sz w:val="21"/>
              </w:rPr>
              <w:t>神经官能症和</w:t>
            </w:r>
            <w:r>
              <w:rPr>
                <w:b/>
                <w:w w:val="95"/>
                <w:sz w:val="21"/>
              </w:rPr>
              <w:t>精神疾病不在保障范围内。</w:t>
            </w:r>
          </w:p>
        </w:tc>
      </w:tr>
      <w:tr>
        <w:trPr>
          <w:trHeight w:val="1779" w:hRule="atLeast"/>
        </w:trPr>
        <w:tc>
          <w:tcPr>
            <w:tcW w:w="939" w:type="dxa"/>
          </w:tcPr>
          <w:p>
            <w:pPr>
              <w:pStyle w:val="TableParagraph"/>
              <w:spacing w:before="84"/>
              <w:ind w:left="165" w:right="73"/>
              <w:jc w:val="center"/>
              <w:rPr>
                <w:i/>
                <w:sz w:val="22"/>
              </w:rPr>
            </w:pPr>
            <w:r>
              <w:rPr>
                <w:i/>
                <w:sz w:val="22"/>
              </w:rPr>
              <w:t>3.2.42</w:t>
            </w:r>
          </w:p>
        </w:tc>
        <w:tc>
          <w:tcPr>
            <w:tcW w:w="1703" w:type="dxa"/>
          </w:tcPr>
          <w:p>
            <w:pPr>
              <w:pStyle w:val="TableParagraph"/>
              <w:spacing w:before="84"/>
              <w:ind w:left="108"/>
              <w:rPr>
                <w:i/>
                <w:sz w:val="22"/>
              </w:rPr>
            </w:pPr>
            <w:r>
              <w:rPr>
                <w:i/>
                <w:w w:val="95"/>
                <w:sz w:val="22"/>
              </w:rPr>
              <w:t>终末期疾病</w:t>
            </w:r>
          </w:p>
        </w:tc>
        <w:tc>
          <w:tcPr>
            <w:tcW w:w="7309" w:type="dxa"/>
          </w:tcPr>
          <w:p>
            <w:pPr>
              <w:pStyle w:val="TableParagraph"/>
              <w:spacing w:line="278" w:lineRule="auto" w:before="121"/>
              <w:ind w:left="106" w:right="305"/>
              <w:jc w:val="both"/>
              <w:rPr>
                <w:b/>
                <w:sz w:val="21"/>
              </w:rPr>
            </w:pPr>
            <w:r>
              <w:rPr>
                <w:spacing w:val="-3"/>
                <w:sz w:val="21"/>
              </w:rPr>
              <w:t>被保险人被确诊为疾病的终末期状态。疾病已经无法以现有的医疗技术医治</w:t>
            </w:r>
            <w:r>
              <w:rPr>
                <w:spacing w:val="-6"/>
                <w:sz w:val="21"/>
              </w:rPr>
              <w:t>缓解，并且根据临床医学经验判断被保险人将于未来六个月内死亡。在家属</w:t>
            </w:r>
            <w:r>
              <w:rPr>
                <w:spacing w:val="-8"/>
                <w:sz w:val="21"/>
              </w:rPr>
              <w:t>及患者的要求和医师的同意下积极治疗已被放弃，所有治疗措施仅以减轻患</w:t>
            </w:r>
            <w:r>
              <w:rPr>
                <w:spacing w:val="-15"/>
                <w:w w:val="95"/>
                <w:sz w:val="21"/>
              </w:rPr>
              <w:t>者痛苦为目的。</w:t>
            </w:r>
            <w:r>
              <w:rPr>
                <w:b/>
                <w:w w:val="95"/>
                <w:sz w:val="21"/>
              </w:rPr>
              <w:t>此疾病状态必须在被保险人生前已经确诊并且具有医疗证明  文件和临床检查依据。</w:t>
            </w:r>
          </w:p>
        </w:tc>
      </w:tr>
      <w:tr>
        <w:trPr>
          <w:trHeight w:val="815" w:hRule="atLeast"/>
        </w:trPr>
        <w:tc>
          <w:tcPr>
            <w:tcW w:w="939" w:type="dxa"/>
          </w:tcPr>
          <w:p>
            <w:pPr>
              <w:pStyle w:val="TableParagraph"/>
              <w:ind w:left="0"/>
              <w:rPr>
                <w:rFonts w:ascii="Times New Roman"/>
                <w:sz w:val="20"/>
              </w:rPr>
            </w:pPr>
          </w:p>
        </w:tc>
        <w:tc>
          <w:tcPr>
            <w:tcW w:w="1703" w:type="dxa"/>
          </w:tcPr>
          <w:p>
            <w:pPr>
              <w:pStyle w:val="TableParagraph"/>
              <w:ind w:left="0"/>
              <w:rPr>
                <w:rFonts w:ascii="Times New Roman"/>
                <w:sz w:val="20"/>
              </w:rPr>
            </w:pPr>
          </w:p>
        </w:tc>
        <w:tc>
          <w:tcPr>
            <w:tcW w:w="7309" w:type="dxa"/>
          </w:tcPr>
          <w:p>
            <w:pPr>
              <w:pStyle w:val="TableParagraph"/>
              <w:spacing w:before="16"/>
              <w:ind w:left="106"/>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TableParagraph"/>
              <w:spacing w:line="255" w:lineRule="exact" w:before="157"/>
              <w:ind w:left="526"/>
              <w:rPr>
                <w:sz w:val="21"/>
              </w:rPr>
            </w:pPr>
            <w:r>
              <w:rPr>
                <w:spacing w:val="-9"/>
                <w:sz w:val="21"/>
              </w:rPr>
              <w:t>六项基本日常生活活动是指：</w:t>
            </w:r>
            <w:r>
              <w:rPr>
                <w:sz w:val="21"/>
              </w:rPr>
              <w:t>（1</w:t>
            </w:r>
            <w:r>
              <w:rPr>
                <w:spacing w:val="-9"/>
                <w:sz w:val="21"/>
              </w:rPr>
              <w:t>）</w:t>
            </w:r>
            <w:r>
              <w:rPr>
                <w:spacing w:val="-12"/>
                <w:sz w:val="21"/>
              </w:rPr>
              <w:t>穿衣：自己能够穿衣及脱衣；</w:t>
            </w:r>
            <w:r>
              <w:rPr>
                <w:sz w:val="21"/>
              </w:rPr>
              <w:t>（2</w:t>
            </w:r>
            <w:r>
              <w:rPr>
                <w:spacing w:val="-9"/>
                <w:sz w:val="21"/>
              </w:rPr>
              <w:t>）</w:t>
            </w:r>
            <w:r>
              <w:rPr>
                <w:sz w:val="21"/>
              </w:rPr>
              <w:t>移</w:t>
            </w:r>
          </w:p>
        </w:tc>
      </w:tr>
    </w:tbl>
    <w:p>
      <w:pPr>
        <w:spacing w:after="0" w:line="255" w:lineRule="exact"/>
        <w:rPr>
          <w:sz w:val="21"/>
        </w:rPr>
        <w:sectPr>
          <w:pgSz w:w="11910" w:h="16840"/>
          <w:pgMar w:header="0" w:footer="918" w:top="1600" w:bottom="1100" w:left="1000" w:right="740"/>
        </w:sectPr>
      </w:pPr>
    </w:p>
    <w:p>
      <w:pPr>
        <w:pStyle w:val="BodyText"/>
        <w:spacing w:line="271" w:lineRule="auto" w:before="22"/>
        <w:ind w:left="2856" w:right="205"/>
      </w:pPr>
      <w:r>
        <w:rPr>
          <w:spacing w:val="-6"/>
        </w:rPr>
        <w:t>动：自己从一个房间到另一个房间</w:t>
      </w:r>
      <w:r>
        <w:rPr>
          <w:spacing w:val="-134"/>
        </w:rPr>
        <w:t>；</w:t>
      </w:r>
      <w:r>
        <w:rPr/>
        <w:t>（3</w:t>
      </w:r>
      <w:r>
        <w:rPr>
          <w:spacing w:val="-28"/>
        </w:rPr>
        <w:t>）</w:t>
      </w:r>
      <w:r>
        <w:rPr>
          <w:spacing w:val="-6"/>
        </w:rPr>
        <w:t>行动：自己上下床或上下轮椅</w:t>
      </w:r>
      <w:r>
        <w:rPr>
          <w:spacing w:val="-134"/>
        </w:rPr>
        <w:t>；</w:t>
      </w:r>
      <w:r>
        <w:rPr/>
        <w:t>（4）</w:t>
      </w:r>
      <w:r>
        <w:rPr>
          <w:spacing w:val="-12"/>
        </w:rPr>
        <w:t>如厕：自己控制进行大小便；</w:t>
      </w:r>
      <w:r>
        <w:rPr>
          <w:spacing w:val="-1"/>
        </w:rPr>
        <w:t>（5</w:t>
      </w:r>
      <w:r>
        <w:rPr>
          <w:spacing w:val="-10"/>
        </w:rPr>
        <w:t>）</w:t>
      </w:r>
      <w:r>
        <w:rPr>
          <w:spacing w:val="-4"/>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8"/>
        <w:rPr>
          <w:sz w:val="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55"/>
        <w:gridCol w:w="7207"/>
      </w:tblGrid>
      <w:tr>
        <w:trPr>
          <w:trHeight w:val="3848" w:hRule="atLeast"/>
        </w:trPr>
        <w:tc>
          <w:tcPr>
            <w:tcW w:w="886"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207" w:type="dxa"/>
          </w:tcPr>
          <w:p>
            <w:pPr>
              <w:pStyle w:val="TableParagraph"/>
              <w:spacing w:line="210" w:lineRule="exact"/>
              <w:ind w:left="527"/>
              <w:rPr>
                <w:sz w:val="21"/>
              </w:rPr>
            </w:pPr>
            <w:r>
              <w:rPr>
                <w:sz w:val="21"/>
              </w:rPr>
              <w:t>2、肢体机能完全丧失</w:t>
            </w:r>
          </w:p>
          <w:p>
            <w:pPr>
              <w:pStyle w:val="TableParagraph"/>
              <w:spacing w:line="273" w:lineRule="auto" w:before="37"/>
              <w:ind w:right="146" w:firstLine="420"/>
              <w:rPr>
                <w:sz w:val="21"/>
              </w:rPr>
            </w:pPr>
            <w:r>
              <w:rPr>
                <w:sz w:val="21"/>
              </w:rPr>
              <w:t>指肢体的三大关节中的两大关节僵硬，或不能随意识活动。肢体是指包括肩关节的整个上肢或包括髋关节的整个下肢。</w:t>
            </w:r>
          </w:p>
          <w:p>
            <w:pPr>
              <w:pStyle w:val="TableParagraph"/>
              <w:spacing w:before="7"/>
              <w:ind w:left="527"/>
              <w:rPr>
                <w:sz w:val="21"/>
              </w:rPr>
            </w:pPr>
            <w:r>
              <w:rPr>
                <w:sz w:val="21"/>
              </w:rPr>
              <w:t>3、语言能力或咀嚼吞咽能力完全丧失</w:t>
            </w:r>
          </w:p>
          <w:p>
            <w:pPr>
              <w:pStyle w:val="TableParagraph"/>
              <w:spacing w:line="273" w:lineRule="auto" w:before="36"/>
              <w:ind w:right="200" w:firstLine="420"/>
              <w:jc w:val="both"/>
              <w:rPr>
                <w:sz w:val="21"/>
              </w:rPr>
            </w:pPr>
            <w:r>
              <w:rPr>
                <w:spacing w:val="-2"/>
                <w:sz w:val="21"/>
              </w:rPr>
              <w:t>语言能力完全丧失，指无法发出四种语音</w:t>
            </w:r>
            <w:r>
              <w:rPr>
                <w:sz w:val="21"/>
              </w:rPr>
              <w:t>（</w:t>
            </w:r>
            <w:r>
              <w:rPr>
                <w:spacing w:val="-3"/>
                <w:sz w:val="21"/>
              </w:rPr>
              <w:t>包括口唇音、齿舌音、口盖音和喉头音</w:t>
            </w:r>
            <w:r>
              <w:rPr>
                <w:spacing w:val="-12"/>
                <w:sz w:val="21"/>
              </w:rPr>
              <w:t>）</w:t>
            </w:r>
            <w:r>
              <w:rPr>
                <w:spacing w:val="-3"/>
                <w:sz w:val="21"/>
              </w:rPr>
              <w:t>中的任何三种、或声带全部切除，或因大脑语言中枢受伤害而患失语症。</w:t>
            </w:r>
          </w:p>
          <w:p>
            <w:pPr>
              <w:pStyle w:val="TableParagraph"/>
              <w:spacing w:line="273" w:lineRule="auto" w:before="7"/>
              <w:ind w:right="197"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7"/>
              <w:ind w:left="527"/>
              <w:rPr>
                <w:sz w:val="21"/>
              </w:rPr>
            </w:pPr>
            <w:r>
              <w:rPr>
                <w:sz w:val="21"/>
              </w:rPr>
              <w:t>4、永久不可逆</w:t>
            </w:r>
          </w:p>
          <w:p>
            <w:pPr>
              <w:pStyle w:val="TableParagraph"/>
              <w:spacing w:line="273" w:lineRule="auto" w:before="37"/>
              <w:ind w:right="199" w:firstLine="420"/>
              <w:rPr>
                <w:sz w:val="21"/>
              </w:rPr>
            </w:pPr>
            <w:r>
              <w:rPr>
                <w:spacing w:val="-6"/>
                <w:sz w:val="21"/>
              </w:rPr>
              <w:t>指自疾病确诊或意外伤害发生之日起，经过积极治疗 </w:t>
            </w:r>
            <w:r>
              <w:rPr>
                <w:sz w:val="21"/>
              </w:rPr>
              <w:t>180</w:t>
            </w:r>
            <w:r>
              <w:rPr>
                <w:spacing w:val="-8"/>
                <w:sz w:val="21"/>
              </w:rPr>
              <w:t> 天后，仍无法通过现有医疗手段恢复。</w:t>
            </w:r>
          </w:p>
        </w:tc>
      </w:tr>
      <w:tr>
        <w:trPr>
          <w:trHeight w:val="645" w:hRule="atLeast"/>
        </w:trPr>
        <w:tc>
          <w:tcPr>
            <w:tcW w:w="886" w:type="dxa"/>
          </w:tcPr>
          <w:p>
            <w:pPr>
              <w:pStyle w:val="TableParagraph"/>
              <w:spacing w:before="142"/>
              <w:ind w:left="200"/>
              <w:rPr>
                <w:b/>
                <w:sz w:val="21"/>
              </w:rPr>
            </w:pPr>
            <w:r>
              <w:rPr>
                <w:b/>
                <w:sz w:val="21"/>
              </w:rPr>
              <w:t>3.3</w:t>
            </w:r>
          </w:p>
        </w:tc>
        <w:tc>
          <w:tcPr>
            <w:tcW w:w="1755" w:type="dxa"/>
          </w:tcPr>
          <w:p>
            <w:pPr>
              <w:pStyle w:val="TableParagraph"/>
              <w:spacing w:before="142"/>
              <w:ind w:left="160"/>
              <w:rPr>
                <w:b/>
                <w:sz w:val="21"/>
              </w:rPr>
            </w:pPr>
            <w:r>
              <w:rPr>
                <w:b/>
                <w:w w:val="95"/>
                <w:sz w:val="21"/>
              </w:rPr>
              <w:t>轻症重疾的定义</w:t>
            </w:r>
          </w:p>
        </w:tc>
        <w:tc>
          <w:tcPr>
            <w:tcW w:w="7207" w:type="dxa"/>
          </w:tcPr>
          <w:p>
            <w:pPr>
              <w:pStyle w:val="TableParagraph"/>
              <w:ind w:left="0"/>
              <w:rPr>
                <w:rFonts w:ascii="Times New Roman"/>
                <w:sz w:val="20"/>
              </w:rPr>
            </w:pPr>
          </w:p>
        </w:tc>
      </w:tr>
      <w:tr>
        <w:trPr>
          <w:trHeight w:val="3870" w:hRule="atLeast"/>
        </w:trPr>
        <w:tc>
          <w:tcPr>
            <w:tcW w:w="886" w:type="dxa"/>
          </w:tcPr>
          <w:p>
            <w:pPr>
              <w:pStyle w:val="TableParagraph"/>
              <w:spacing w:before="162"/>
              <w:ind w:left="200"/>
              <w:rPr>
                <w:i/>
                <w:sz w:val="22"/>
              </w:rPr>
            </w:pPr>
            <w:r>
              <w:rPr>
                <w:i/>
                <w:sz w:val="22"/>
              </w:rPr>
              <w:t>3.3.1</w:t>
            </w:r>
          </w:p>
        </w:tc>
        <w:tc>
          <w:tcPr>
            <w:tcW w:w="1755" w:type="dxa"/>
          </w:tcPr>
          <w:p>
            <w:pPr>
              <w:pStyle w:val="TableParagraph"/>
              <w:spacing w:before="162"/>
              <w:ind w:left="161"/>
              <w:rPr>
                <w:i/>
                <w:sz w:val="22"/>
              </w:rPr>
            </w:pPr>
            <w:r>
              <w:rPr>
                <w:i/>
                <w:w w:val="95"/>
                <w:sz w:val="22"/>
              </w:rPr>
              <w:t>非危及生命的</w:t>
            </w:r>
          </w:p>
          <w:p>
            <w:pPr>
              <w:pStyle w:val="TableParagraph"/>
              <w:spacing w:line="259" w:lineRule="auto" w:before="23"/>
              <w:ind w:left="161" w:right="105"/>
              <w:rPr>
                <w:i/>
                <w:sz w:val="22"/>
              </w:rPr>
            </w:pPr>
            <w:r>
              <w:rPr>
                <w:i/>
                <w:w w:val="95"/>
                <w:sz w:val="22"/>
              </w:rPr>
              <w:t>（极早期的）恶性病变</w:t>
            </w:r>
          </w:p>
        </w:tc>
        <w:tc>
          <w:tcPr>
            <w:tcW w:w="7207" w:type="dxa"/>
          </w:tcPr>
          <w:p>
            <w:pPr>
              <w:pStyle w:val="TableParagraph"/>
              <w:spacing w:line="273" w:lineRule="auto" w:before="174"/>
              <w:ind w:left="119" w:right="202"/>
              <w:jc w:val="both"/>
              <w:rPr>
                <w:sz w:val="21"/>
              </w:rPr>
            </w:pPr>
            <w:r>
              <w:rPr>
                <w:spacing w:val="-2"/>
                <w:sz w:val="21"/>
              </w:rPr>
              <w:t>指被保险人生前经组织病理学检查被明确诊断为下列恶性病变，并且接受了相应的治疗。</w:t>
            </w:r>
          </w:p>
          <w:p>
            <w:pPr>
              <w:pStyle w:val="TableParagraph"/>
              <w:spacing w:before="7"/>
              <w:ind w:left="327"/>
              <w:rPr>
                <w:sz w:val="21"/>
              </w:rPr>
            </w:pPr>
            <w:r>
              <w:rPr>
                <w:sz w:val="21"/>
              </w:rPr>
              <w:t>（1）原位癌*；</w:t>
            </w:r>
          </w:p>
          <w:p>
            <w:pPr>
              <w:pStyle w:val="TableParagraph"/>
              <w:spacing w:before="37"/>
              <w:ind w:left="327"/>
              <w:rPr>
                <w:sz w:val="21"/>
              </w:rPr>
            </w:pPr>
            <w:r>
              <w:rPr>
                <w:sz w:val="21"/>
              </w:rPr>
              <w:t>（2）相当于Binet 分期方案 A 期程度的慢性淋巴细胞白血病；</w:t>
            </w:r>
          </w:p>
          <w:p>
            <w:pPr>
              <w:pStyle w:val="TableParagraph"/>
              <w:spacing w:before="37"/>
              <w:ind w:left="327"/>
              <w:rPr>
                <w:sz w:val="21"/>
              </w:rPr>
            </w:pPr>
            <w:r>
              <w:rPr>
                <w:sz w:val="21"/>
              </w:rPr>
              <w:t>（3）相当于Ann Arbor 分期方案 I 期程度的何杰金氏病；</w:t>
            </w:r>
          </w:p>
          <w:p>
            <w:pPr>
              <w:pStyle w:val="TableParagraph"/>
              <w:spacing w:before="37"/>
              <w:ind w:left="32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ind w:left="327"/>
              <w:rPr>
                <w:sz w:val="21"/>
              </w:rPr>
            </w:pPr>
            <w:r>
              <w:rPr>
                <w:sz w:val="21"/>
              </w:rPr>
              <w:t>（5）TNM 分期为 T1N0M0 期或更轻分期的前列腺癌。</w:t>
            </w:r>
          </w:p>
          <w:p>
            <w:pPr>
              <w:pStyle w:val="TableParagraph"/>
              <w:spacing w:before="37"/>
              <w:ind w:left="423"/>
              <w:rPr>
                <w:sz w:val="21"/>
              </w:rPr>
            </w:pPr>
            <w:r>
              <w:rPr>
                <w:sz w:val="21"/>
              </w:rPr>
              <w:t>*原位癌</w:t>
            </w:r>
          </w:p>
          <w:p>
            <w:pPr>
              <w:pStyle w:val="TableParagraph"/>
              <w:spacing w:line="273" w:lineRule="auto" w:before="37"/>
              <w:ind w:right="203"/>
              <w:jc w:val="both"/>
              <w:rPr>
                <w:sz w:val="21"/>
              </w:rPr>
            </w:pPr>
            <w:r>
              <w:rPr>
                <w:spacing w:val="1"/>
                <w:sz w:val="21"/>
              </w:rPr>
              <w:t>指恶性细胞局限于上皮内尚未穿破基底膜浸润周围正常组织的癌细胞新生</w:t>
            </w:r>
            <w:r>
              <w:rPr>
                <w:spacing w:val="-5"/>
                <w:sz w:val="21"/>
              </w:rPr>
              <w:t>物。原位癌必须经对固定活组织的组织病理学检查明确诊断。被保险人必须己经接受了针对原位癌病灶的积极治疗。</w:t>
            </w:r>
          </w:p>
        </w:tc>
      </w:tr>
      <w:tr>
        <w:trPr>
          <w:trHeight w:val="1423" w:hRule="atLeast"/>
        </w:trPr>
        <w:tc>
          <w:tcPr>
            <w:tcW w:w="886" w:type="dxa"/>
          </w:tcPr>
          <w:p>
            <w:pPr>
              <w:pStyle w:val="TableParagraph"/>
              <w:spacing w:before="12"/>
              <w:ind w:left="0"/>
              <w:rPr>
                <w:sz w:val="17"/>
              </w:rPr>
            </w:pPr>
          </w:p>
          <w:p>
            <w:pPr>
              <w:pStyle w:val="TableParagraph"/>
              <w:ind w:left="200"/>
              <w:rPr>
                <w:i/>
                <w:sz w:val="22"/>
              </w:rPr>
            </w:pPr>
            <w:r>
              <w:rPr>
                <w:i/>
                <w:sz w:val="22"/>
              </w:rPr>
              <w:t>3.3.2</w:t>
            </w:r>
          </w:p>
        </w:tc>
        <w:tc>
          <w:tcPr>
            <w:tcW w:w="1755" w:type="dxa"/>
          </w:tcPr>
          <w:p>
            <w:pPr>
              <w:pStyle w:val="TableParagraph"/>
              <w:spacing w:before="12"/>
              <w:ind w:left="0"/>
              <w:rPr>
                <w:sz w:val="17"/>
              </w:rPr>
            </w:pPr>
          </w:p>
          <w:p>
            <w:pPr>
              <w:pStyle w:val="TableParagraph"/>
              <w:spacing w:line="259" w:lineRule="auto"/>
              <w:ind w:left="161" w:right="105"/>
              <w:rPr>
                <w:i/>
                <w:sz w:val="22"/>
              </w:rPr>
            </w:pPr>
            <w:r>
              <w:rPr>
                <w:i/>
                <w:w w:val="95"/>
                <w:sz w:val="22"/>
              </w:rPr>
              <w:t>冠状动脉介入手</w:t>
            </w:r>
            <w:r>
              <w:rPr>
                <w:i/>
                <w:sz w:val="22"/>
              </w:rPr>
              <w:t>术</w:t>
            </w:r>
          </w:p>
        </w:tc>
        <w:tc>
          <w:tcPr>
            <w:tcW w:w="7207" w:type="dxa"/>
          </w:tcPr>
          <w:p>
            <w:pPr>
              <w:pStyle w:val="TableParagraph"/>
              <w:spacing w:before="11"/>
              <w:ind w:left="0"/>
              <w:rPr>
                <w:sz w:val="18"/>
              </w:rPr>
            </w:pPr>
          </w:p>
          <w:p>
            <w:pPr>
              <w:pStyle w:val="TableParagraph"/>
              <w:spacing w:line="273" w:lineRule="auto"/>
              <w:ind w:right="202"/>
              <w:jc w:val="both"/>
              <w:rPr>
                <w:sz w:val="21"/>
              </w:rPr>
            </w:pPr>
            <w:r>
              <w:rPr>
                <w:spacing w:val="-2"/>
                <w:sz w:val="21"/>
              </w:rPr>
              <w:t>指被保险人为了治疗明显的冠状动脉狭窄性疾病，首次实际实施了冠状动脉</w:t>
            </w:r>
            <w:r>
              <w:rPr>
                <w:spacing w:val="-6"/>
                <w:sz w:val="21"/>
              </w:rPr>
              <w:t>球囊扩张成形术、冠状动脉支架植入术、冠状动脉粥肿斑块切除术或激光冠状动脉成形术。</w:t>
            </w:r>
          </w:p>
        </w:tc>
      </w:tr>
      <w:tr>
        <w:trPr>
          <w:trHeight w:val="1644" w:hRule="atLeast"/>
        </w:trPr>
        <w:tc>
          <w:tcPr>
            <w:tcW w:w="886" w:type="dxa"/>
          </w:tcPr>
          <w:p>
            <w:pPr>
              <w:pStyle w:val="TableParagraph"/>
              <w:spacing w:before="2"/>
              <w:ind w:left="0"/>
              <w:rPr>
                <w:sz w:val="16"/>
              </w:rPr>
            </w:pPr>
          </w:p>
          <w:p>
            <w:pPr>
              <w:pStyle w:val="TableParagraph"/>
              <w:ind w:left="200"/>
              <w:rPr>
                <w:i/>
                <w:sz w:val="22"/>
              </w:rPr>
            </w:pPr>
            <w:r>
              <w:rPr>
                <w:i/>
                <w:sz w:val="22"/>
              </w:rPr>
              <w:t>3.3.3</w:t>
            </w:r>
          </w:p>
        </w:tc>
        <w:tc>
          <w:tcPr>
            <w:tcW w:w="1755" w:type="dxa"/>
          </w:tcPr>
          <w:p>
            <w:pPr>
              <w:pStyle w:val="TableParagraph"/>
              <w:spacing w:before="2"/>
              <w:ind w:left="0"/>
              <w:rPr>
                <w:sz w:val="16"/>
              </w:rPr>
            </w:pPr>
          </w:p>
          <w:p>
            <w:pPr>
              <w:pStyle w:val="TableParagraph"/>
              <w:ind w:left="161"/>
              <w:rPr>
                <w:i/>
                <w:sz w:val="22"/>
              </w:rPr>
            </w:pPr>
            <w:r>
              <w:rPr>
                <w:i/>
                <w:w w:val="95"/>
                <w:sz w:val="22"/>
              </w:rPr>
              <w:t>轻微脑中风</w:t>
            </w:r>
          </w:p>
        </w:tc>
        <w:tc>
          <w:tcPr>
            <w:tcW w:w="7207" w:type="dxa"/>
          </w:tcPr>
          <w:p>
            <w:pPr>
              <w:pStyle w:val="TableParagraph"/>
              <w:spacing w:before="1"/>
              <w:ind w:left="0"/>
              <w:rPr>
                <w:sz w:val="17"/>
              </w:rPr>
            </w:pPr>
          </w:p>
          <w:p>
            <w:pPr>
              <w:pStyle w:val="TableParagraph"/>
              <w:spacing w:line="273" w:lineRule="auto"/>
              <w:ind w:right="202"/>
              <w:rPr>
                <w:sz w:val="21"/>
              </w:rPr>
            </w:pPr>
            <w:r>
              <w:rPr>
                <w:sz w:val="21"/>
              </w:rPr>
              <w:t>指被保险人因非意外原因实际发生了脑血管的突发病变出现神经系统功能</w:t>
            </w:r>
            <w:r>
              <w:rPr>
                <w:spacing w:val="-3"/>
                <w:sz w:val="21"/>
              </w:rPr>
              <w:t>障碍表现，头颅断层扫描</w:t>
            </w:r>
            <w:r>
              <w:rPr>
                <w:sz w:val="21"/>
              </w:rPr>
              <w:t>（CT</w:t>
            </w:r>
            <w:r>
              <w:rPr>
                <w:spacing w:val="-105"/>
                <w:sz w:val="21"/>
              </w:rPr>
              <w:t>）</w:t>
            </w:r>
            <w:r>
              <w:rPr>
                <w:spacing w:val="-4"/>
                <w:sz w:val="21"/>
              </w:rPr>
              <w:t>、核磁共振</w:t>
            </w:r>
            <w:r>
              <w:rPr>
                <w:sz w:val="21"/>
              </w:rPr>
              <w:t>（MRI</w:t>
            </w:r>
            <w:r>
              <w:rPr>
                <w:spacing w:val="-8"/>
                <w:sz w:val="21"/>
              </w:rPr>
              <w:t>）</w:t>
            </w:r>
            <w:r>
              <w:rPr>
                <w:sz w:val="21"/>
              </w:rPr>
              <w:t>等影像学检查证实存在对</w:t>
            </w:r>
            <w:r>
              <w:rPr>
                <w:spacing w:val="-8"/>
                <w:sz w:val="21"/>
              </w:rPr>
              <w:t>应病灶，确诊为脑出血、脑栓塞或脑梗塞，在确诊 </w:t>
            </w:r>
            <w:r>
              <w:rPr>
                <w:sz w:val="21"/>
              </w:rPr>
              <w:t>180</w:t>
            </w:r>
            <w:r>
              <w:rPr>
                <w:spacing w:val="-8"/>
                <w:sz w:val="21"/>
              </w:rPr>
              <w:t> 天后仍然遗留一肢或</w:t>
            </w:r>
            <w:r>
              <w:rPr>
                <w:spacing w:val="-14"/>
                <w:sz w:val="21"/>
              </w:rPr>
              <w:t>一肢以上肢体肌力 </w:t>
            </w:r>
            <w:r>
              <w:rPr>
                <w:sz w:val="21"/>
              </w:rPr>
              <w:t>III</w:t>
            </w:r>
            <w:r>
              <w:rPr>
                <w:spacing w:val="-30"/>
                <w:sz w:val="21"/>
              </w:rPr>
              <w:t> 级或 </w:t>
            </w:r>
            <w:r>
              <w:rPr>
                <w:sz w:val="21"/>
              </w:rPr>
              <w:t>III</w:t>
            </w:r>
            <w:r>
              <w:rPr>
                <w:spacing w:val="-8"/>
                <w:sz w:val="21"/>
              </w:rPr>
              <w:t> 级以下的运动功能障碍。</w:t>
            </w:r>
          </w:p>
        </w:tc>
      </w:tr>
      <w:tr>
        <w:trPr>
          <w:trHeight w:val="743" w:hRule="atLeast"/>
        </w:trPr>
        <w:tc>
          <w:tcPr>
            <w:tcW w:w="886" w:type="dxa"/>
          </w:tcPr>
          <w:p>
            <w:pPr>
              <w:pStyle w:val="TableParagraph"/>
              <w:spacing w:before="143"/>
              <w:ind w:left="200"/>
              <w:rPr>
                <w:i/>
                <w:sz w:val="22"/>
              </w:rPr>
            </w:pPr>
            <w:r>
              <w:rPr>
                <w:i/>
                <w:sz w:val="22"/>
              </w:rPr>
              <w:t>3.3.4</w:t>
            </w:r>
          </w:p>
        </w:tc>
        <w:tc>
          <w:tcPr>
            <w:tcW w:w="1755" w:type="dxa"/>
          </w:tcPr>
          <w:p>
            <w:pPr>
              <w:pStyle w:val="TableParagraph"/>
              <w:spacing w:line="310" w:lineRule="atLeast" w:before="121"/>
              <w:ind w:left="161" w:right="105"/>
              <w:rPr>
                <w:i/>
                <w:sz w:val="22"/>
              </w:rPr>
            </w:pPr>
            <w:r>
              <w:rPr>
                <w:i/>
                <w:w w:val="95"/>
                <w:sz w:val="22"/>
              </w:rPr>
              <w:t>心脏瓣膜介入手</w:t>
            </w:r>
            <w:r>
              <w:rPr>
                <w:i/>
                <w:sz w:val="22"/>
              </w:rPr>
              <w:t>术</w:t>
            </w:r>
          </w:p>
        </w:tc>
        <w:tc>
          <w:tcPr>
            <w:tcW w:w="7207" w:type="dxa"/>
          </w:tcPr>
          <w:p>
            <w:pPr>
              <w:pStyle w:val="TableParagraph"/>
              <w:spacing w:line="310" w:lineRule="atLeast" w:before="120"/>
              <w:ind w:right="145"/>
              <w:rPr>
                <w:sz w:val="21"/>
              </w:rPr>
            </w:pPr>
            <w:r>
              <w:rPr>
                <w:sz w:val="21"/>
              </w:rPr>
              <w:t>为了治疗心脏瓣膜疾病，被保险人实际接受了非开胸的经胸壁打孔内镜手术或经皮经导管介入手术进行的心脏瓣膜置换或修复手术。</w:t>
            </w:r>
          </w:p>
        </w:tc>
      </w:tr>
    </w:tbl>
    <w:p>
      <w:pPr>
        <w:spacing w:after="0" w:line="310" w:lineRule="atLeast"/>
        <w:rPr>
          <w:sz w:val="21"/>
        </w:rPr>
        <w:sectPr>
          <w:pgSz w:w="11910" w:h="16840"/>
          <w:pgMar w:header="0" w:footer="918" w:top="1460" w:bottom="1100" w:left="1000" w:right="8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713"/>
        <w:gridCol w:w="7092"/>
      </w:tblGrid>
      <w:tr>
        <w:trPr>
          <w:trHeight w:val="1650" w:hRule="atLeast"/>
        </w:trPr>
        <w:tc>
          <w:tcPr>
            <w:tcW w:w="848" w:type="dxa"/>
          </w:tcPr>
          <w:p>
            <w:pPr>
              <w:pStyle w:val="TableParagraph"/>
              <w:spacing w:line="219" w:lineRule="exact"/>
              <w:ind w:left="109"/>
              <w:rPr>
                <w:i/>
                <w:sz w:val="22"/>
              </w:rPr>
            </w:pPr>
            <w:r>
              <w:rPr>
                <w:i/>
                <w:sz w:val="22"/>
              </w:rPr>
              <w:t>3.3.5</w:t>
            </w:r>
          </w:p>
        </w:tc>
        <w:tc>
          <w:tcPr>
            <w:tcW w:w="1713" w:type="dxa"/>
          </w:tcPr>
          <w:p>
            <w:pPr>
              <w:pStyle w:val="TableParagraph"/>
              <w:spacing w:line="219" w:lineRule="exact"/>
              <w:ind w:left="108"/>
              <w:rPr>
                <w:i/>
                <w:sz w:val="22"/>
              </w:rPr>
            </w:pPr>
            <w:r>
              <w:rPr>
                <w:i/>
                <w:w w:val="95"/>
                <w:sz w:val="22"/>
              </w:rPr>
              <w:t>脑垂体瘤、脑囊</w:t>
            </w:r>
          </w:p>
          <w:p>
            <w:pPr>
              <w:pStyle w:val="TableParagraph"/>
              <w:spacing w:line="259" w:lineRule="auto" w:before="23"/>
              <w:ind w:left="108" w:right="115"/>
              <w:rPr>
                <w:i/>
                <w:sz w:val="22"/>
              </w:rPr>
            </w:pPr>
            <w:r>
              <w:rPr>
                <w:i/>
                <w:w w:val="95"/>
                <w:sz w:val="22"/>
              </w:rPr>
              <w:t>肿、脑动脉瘤及脑血管瘤</w:t>
            </w:r>
          </w:p>
        </w:tc>
        <w:tc>
          <w:tcPr>
            <w:tcW w:w="7092" w:type="dxa"/>
          </w:tcPr>
          <w:p>
            <w:pPr>
              <w:pStyle w:val="TableParagraph"/>
              <w:spacing w:line="218" w:lineRule="exact"/>
              <w:ind w:left="96"/>
              <w:rPr>
                <w:sz w:val="21"/>
              </w:rPr>
            </w:pPr>
            <w:r>
              <w:rPr>
                <w:spacing w:val="-2"/>
                <w:sz w:val="21"/>
              </w:rPr>
              <w:t>指被保险人经头颅断层扫描</w:t>
            </w:r>
            <w:r>
              <w:rPr>
                <w:spacing w:val="-1"/>
                <w:sz w:val="21"/>
              </w:rPr>
              <w:t>（CT</w:t>
            </w:r>
            <w:r>
              <w:rPr>
                <w:spacing w:val="-104"/>
                <w:sz w:val="21"/>
              </w:rPr>
              <w:t>）</w:t>
            </w:r>
            <w:r>
              <w:rPr>
                <w:spacing w:val="-5"/>
                <w:sz w:val="21"/>
              </w:rPr>
              <w:t>、核磁共振</w:t>
            </w:r>
            <w:r>
              <w:rPr>
                <w:sz w:val="21"/>
              </w:rPr>
              <w:t>（MRI</w:t>
            </w:r>
            <w:r>
              <w:rPr>
                <w:spacing w:val="-9"/>
                <w:sz w:val="21"/>
              </w:rPr>
              <w:t>）</w:t>
            </w:r>
            <w:r>
              <w:rPr>
                <w:spacing w:val="-1"/>
                <w:sz w:val="21"/>
              </w:rPr>
              <w:t>或其他影像学检查被确</w:t>
            </w:r>
          </w:p>
          <w:p>
            <w:pPr>
              <w:pStyle w:val="TableParagraph"/>
              <w:spacing w:before="36"/>
              <w:ind w:left="97"/>
              <w:rPr>
                <w:sz w:val="21"/>
              </w:rPr>
            </w:pPr>
            <w:r>
              <w:rPr>
                <w:sz w:val="21"/>
              </w:rPr>
              <w:t>诊为下列病变，并实际接受了手术或放射治疗。</w:t>
            </w:r>
          </w:p>
          <w:p>
            <w:pPr>
              <w:pStyle w:val="TableParagraph"/>
              <w:spacing w:before="37"/>
              <w:ind w:left="316"/>
              <w:rPr>
                <w:sz w:val="21"/>
              </w:rPr>
            </w:pPr>
            <w:r>
              <w:rPr>
                <w:sz w:val="21"/>
              </w:rPr>
              <w:t>（1）脑垂体瘤；</w:t>
            </w:r>
          </w:p>
          <w:p>
            <w:pPr>
              <w:pStyle w:val="TableParagraph"/>
              <w:spacing w:before="37"/>
              <w:ind w:left="316"/>
              <w:rPr>
                <w:sz w:val="21"/>
              </w:rPr>
            </w:pPr>
            <w:r>
              <w:rPr>
                <w:sz w:val="21"/>
              </w:rPr>
              <w:t>（2）脑囊肿；</w:t>
            </w:r>
          </w:p>
          <w:p>
            <w:pPr>
              <w:pStyle w:val="TableParagraph"/>
              <w:spacing w:before="37"/>
              <w:ind w:left="316"/>
              <w:rPr>
                <w:sz w:val="21"/>
              </w:rPr>
            </w:pPr>
            <w:r>
              <w:rPr>
                <w:sz w:val="21"/>
              </w:rPr>
              <w:t>（3）脑动脉瘤、脑血管瘤。</w:t>
            </w:r>
          </w:p>
        </w:tc>
      </w:tr>
      <w:tr>
        <w:trPr>
          <w:trHeight w:val="2535" w:hRule="atLeast"/>
        </w:trPr>
        <w:tc>
          <w:tcPr>
            <w:tcW w:w="848" w:type="dxa"/>
          </w:tcPr>
          <w:p>
            <w:pPr>
              <w:pStyle w:val="TableParagraph"/>
              <w:spacing w:before="115"/>
              <w:ind w:left="109"/>
              <w:rPr>
                <w:i/>
                <w:sz w:val="22"/>
              </w:rPr>
            </w:pPr>
            <w:r>
              <w:rPr>
                <w:i/>
                <w:sz w:val="22"/>
              </w:rPr>
              <w:t>3.3.6</w:t>
            </w:r>
          </w:p>
        </w:tc>
        <w:tc>
          <w:tcPr>
            <w:tcW w:w="1713" w:type="dxa"/>
          </w:tcPr>
          <w:p>
            <w:pPr>
              <w:pStyle w:val="TableParagraph"/>
              <w:spacing w:before="115"/>
              <w:ind w:left="108"/>
              <w:rPr>
                <w:i/>
                <w:sz w:val="22"/>
              </w:rPr>
            </w:pPr>
            <w:r>
              <w:rPr>
                <w:i/>
                <w:w w:val="95"/>
                <w:sz w:val="22"/>
              </w:rPr>
              <w:t>视力严重受损</w:t>
            </w:r>
          </w:p>
        </w:tc>
        <w:tc>
          <w:tcPr>
            <w:tcW w:w="7092" w:type="dxa"/>
          </w:tcPr>
          <w:p>
            <w:pPr>
              <w:pStyle w:val="TableParagraph"/>
              <w:spacing w:line="273" w:lineRule="auto" w:before="126"/>
              <w:ind w:left="96" w:right="41"/>
              <w:rPr>
                <w:sz w:val="21"/>
              </w:rPr>
            </w:pPr>
            <w:r>
              <w:rPr>
                <w:sz w:val="21"/>
              </w:rPr>
              <w:t>指被保险人因疾病或意外伤害导致双目视力永久不可逆性丧失，虽然未达到重大疾病“双目失明”的给付标准，但满足下列条件之一：</w:t>
            </w:r>
          </w:p>
          <w:p>
            <w:pPr>
              <w:pStyle w:val="TableParagraph"/>
              <w:spacing w:line="273" w:lineRule="auto" w:before="7"/>
              <w:ind w:left="96" w:right="97"/>
              <w:rPr>
                <w:sz w:val="21"/>
              </w:rPr>
            </w:pPr>
            <w:r>
              <w:rPr>
                <w:spacing w:val="-10"/>
                <w:sz w:val="21"/>
              </w:rPr>
              <w:t>（1）</w:t>
            </w:r>
            <w:r>
              <w:rPr>
                <w:spacing w:val="-5"/>
                <w:sz w:val="21"/>
              </w:rPr>
              <w:t>双眼中较好眼矫正视力低于 </w:t>
            </w:r>
            <w:r>
              <w:rPr>
                <w:spacing w:val="-8"/>
                <w:sz w:val="21"/>
              </w:rPr>
              <w:t>0.1（</w:t>
            </w:r>
            <w:r>
              <w:rPr>
                <w:spacing w:val="-3"/>
                <w:sz w:val="21"/>
              </w:rPr>
              <w:t>采用国际标准视力表，如果使用其他视力表应进行换算</w:t>
            </w:r>
            <w:r>
              <w:rPr>
                <w:spacing w:val="-105"/>
                <w:sz w:val="21"/>
              </w:rPr>
              <w:t>）</w:t>
            </w:r>
            <w:r>
              <w:rPr>
                <w:sz w:val="21"/>
              </w:rPr>
              <w:t>；</w:t>
            </w:r>
          </w:p>
          <w:p>
            <w:pPr>
              <w:pStyle w:val="TableParagraph"/>
              <w:spacing w:before="7"/>
              <w:ind w:left="96"/>
              <w:rPr>
                <w:sz w:val="21"/>
              </w:rPr>
            </w:pPr>
            <w:r>
              <w:rPr>
                <w:sz w:val="21"/>
              </w:rPr>
              <w:t>（2）双眼中较好眼视野半径小于 20 度。</w:t>
            </w:r>
          </w:p>
          <w:p>
            <w:pPr>
              <w:pStyle w:val="TableParagraph"/>
              <w:spacing w:line="273" w:lineRule="auto" w:before="36"/>
              <w:ind w:left="96" w:right="99"/>
              <w:rPr>
                <w:b/>
                <w:sz w:val="21"/>
              </w:rPr>
            </w:pPr>
            <w:r>
              <w:rPr>
                <w:b/>
                <w:spacing w:val="-4"/>
                <w:w w:val="95"/>
                <w:sz w:val="21"/>
              </w:rPr>
              <w:t>被保险人申请理赔时年龄必须在三周岁以上，并且提供理赔当时的视力丧失  诊断及检查证据。</w:t>
            </w:r>
          </w:p>
        </w:tc>
      </w:tr>
      <w:tr>
        <w:trPr>
          <w:trHeight w:val="1046" w:hRule="atLeast"/>
        </w:trPr>
        <w:tc>
          <w:tcPr>
            <w:tcW w:w="848" w:type="dxa"/>
          </w:tcPr>
          <w:p>
            <w:pPr>
              <w:pStyle w:val="TableParagraph"/>
              <w:spacing w:before="190"/>
              <w:ind w:left="109"/>
              <w:rPr>
                <w:i/>
                <w:sz w:val="22"/>
              </w:rPr>
            </w:pPr>
            <w:r>
              <w:rPr>
                <w:i/>
                <w:sz w:val="22"/>
              </w:rPr>
              <w:t>3.3.7</w:t>
            </w:r>
          </w:p>
        </w:tc>
        <w:tc>
          <w:tcPr>
            <w:tcW w:w="1713" w:type="dxa"/>
          </w:tcPr>
          <w:p>
            <w:pPr>
              <w:pStyle w:val="TableParagraph"/>
              <w:spacing w:line="259" w:lineRule="auto" w:before="190"/>
              <w:ind w:left="108" w:right="115"/>
              <w:rPr>
                <w:i/>
                <w:sz w:val="22"/>
              </w:rPr>
            </w:pPr>
            <w:r>
              <w:rPr>
                <w:i/>
                <w:w w:val="95"/>
                <w:sz w:val="22"/>
              </w:rPr>
              <w:t>主动脉内介入手</w:t>
            </w:r>
            <w:r>
              <w:rPr>
                <w:i/>
                <w:sz w:val="22"/>
              </w:rPr>
              <w:t>术</w:t>
            </w:r>
          </w:p>
        </w:tc>
        <w:tc>
          <w:tcPr>
            <w:tcW w:w="7092" w:type="dxa"/>
          </w:tcPr>
          <w:p>
            <w:pPr>
              <w:pStyle w:val="TableParagraph"/>
              <w:spacing w:before="5"/>
              <w:ind w:left="0"/>
              <w:rPr>
                <w:sz w:val="15"/>
              </w:rPr>
            </w:pPr>
          </w:p>
          <w:p>
            <w:pPr>
              <w:pStyle w:val="TableParagraph"/>
              <w:spacing w:line="273" w:lineRule="auto" w:before="1"/>
              <w:ind w:left="96" w:right="64"/>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1057" w:hRule="atLeast"/>
        </w:trPr>
        <w:tc>
          <w:tcPr>
            <w:tcW w:w="848" w:type="dxa"/>
          </w:tcPr>
          <w:p>
            <w:pPr>
              <w:pStyle w:val="TableParagraph"/>
              <w:spacing w:before="184"/>
              <w:ind w:left="109"/>
              <w:rPr>
                <w:i/>
                <w:sz w:val="22"/>
              </w:rPr>
            </w:pPr>
            <w:r>
              <w:rPr>
                <w:i/>
                <w:sz w:val="22"/>
              </w:rPr>
              <w:t>3.3.8</w:t>
            </w:r>
          </w:p>
        </w:tc>
        <w:tc>
          <w:tcPr>
            <w:tcW w:w="1713" w:type="dxa"/>
          </w:tcPr>
          <w:p>
            <w:pPr>
              <w:pStyle w:val="TableParagraph"/>
              <w:spacing w:line="259" w:lineRule="auto" w:before="184"/>
              <w:ind w:left="108" w:right="116"/>
              <w:rPr>
                <w:i/>
                <w:sz w:val="22"/>
              </w:rPr>
            </w:pPr>
            <w:r>
              <w:rPr>
                <w:i/>
                <w:w w:val="95"/>
                <w:sz w:val="22"/>
              </w:rPr>
              <w:t>较小面积III 度烧伤（10%）</w:t>
            </w:r>
          </w:p>
        </w:tc>
        <w:tc>
          <w:tcPr>
            <w:tcW w:w="7092" w:type="dxa"/>
          </w:tcPr>
          <w:p>
            <w:pPr>
              <w:pStyle w:val="TableParagraph"/>
              <w:spacing w:before="12"/>
              <w:ind w:left="0"/>
              <w:rPr>
                <w:sz w:val="14"/>
              </w:rPr>
            </w:pPr>
          </w:p>
          <w:p>
            <w:pPr>
              <w:pStyle w:val="TableParagraph"/>
              <w:spacing w:line="273" w:lineRule="auto"/>
              <w:ind w:left="96" w:right="40"/>
              <w:rPr>
                <w:sz w:val="21"/>
              </w:rPr>
            </w:pPr>
            <w:r>
              <w:rPr>
                <w:sz w:val="21"/>
              </w:rPr>
              <w:t>指被保险人的烧伤程度为Ⅲ度，且Ⅲ度烧伤的面积大于全身体表面积的 10% 但小于 20％。体表面积根据 《中国新九分法》计算。</w:t>
            </w:r>
          </w:p>
        </w:tc>
      </w:tr>
      <w:tr>
        <w:trPr>
          <w:trHeight w:val="1905" w:hRule="atLeast"/>
        </w:trPr>
        <w:tc>
          <w:tcPr>
            <w:tcW w:w="848" w:type="dxa"/>
          </w:tcPr>
          <w:p>
            <w:pPr>
              <w:pStyle w:val="TableParagraph"/>
              <w:spacing w:before="5"/>
              <w:ind w:left="0"/>
              <w:rPr>
                <w:sz w:val="15"/>
              </w:rPr>
            </w:pPr>
          </w:p>
          <w:p>
            <w:pPr>
              <w:pStyle w:val="TableParagraph"/>
              <w:ind w:left="109"/>
              <w:rPr>
                <w:i/>
                <w:sz w:val="22"/>
              </w:rPr>
            </w:pPr>
            <w:r>
              <w:rPr>
                <w:i/>
                <w:sz w:val="22"/>
              </w:rPr>
              <w:t>3.3.9</w:t>
            </w:r>
          </w:p>
        </w:tc>
        <w:tc>
          <w:tcPr>
            <w:tcW w:w="1713" w:type="dxa"/>
          </w:tcPr>
          <w:p>
            <w:pPr>
              <w:pStyle w:val="TableParagraph"/>
              <w:spacing w:before="5"/>
              <w:ind w:left="0"/>
              <w:rPr>
                <w:sz w:val="15"/>
              </w:rPr>
            </w:pPr>
          </w:p>
          <w:p>
            <w:pPr>
              <w:pStyle w:val="TableParagraph"/>
              <w:ind w:left="108"/>
              <w:rPr>
                <w:i/>
                <w:sz w:val="22"/>
              </w:rPr>
            </w:pPr>
            <w:r>
              <w:rPr>
                <w:i/>
                <w:w w:val="95"/>
                <w:sz w:val="22"/>
              </w:rPr>
              <w:t>慢性肾功能损害</w:t>
            </w:r>
          </w:p>
          <w:p>
            <w:pPr>
              <w:pStyle w:val="TableParagraph"/>
              <w:spacing w:line="259" w:lineRule="auto" w:before="24"/>
              <w:ind w:left="108" w:right="94"/>
              <w:rPr>
                <w:i/>
                <w:sz w:val="22"/>
              </w:rPr>
            </w:pPr>
            <w:r>
              <w:rPr>
                <w:i/>
                <w:sz w:val="22"/>
              </w:rPr>
              <w:t>– 肾功能衰竭期</w:t>
            </w:r>
          </w:p>
        </w:tc>
        <w:tc>
          <w:tcPr>
            <w:tcW w:w="7092" w:type="dxa"/>
          </w:tcPr>
          <w:p>
            <w:pPr>
              <w:pStyle w:val="TableParagraph"/>
              <w:spacing w:before="3"/>
              <w:ind w:left="0"/>
              <w:rPr>
                <w:sz w:val="16"/>
              </w:rPr>
            </w:pPr>
          </w:p>
          <w:p>
            <w:pPr>
              <w:pStyle w:val="TableParagraph"/>
              <w:spacing w:line="273" w:lineRule="auto" w:before="1"/>
              <w:ind w:left="96" w:right="41"/>
              <w:rPr>
                <w:sz w:val="21"/>
              </w:rPr>
            </w:pPr>
            <w:r>
              <w:rPr>
                <w:sz w:val="21"/>
              </w:rPr>
              <w:t>指被保险人因双肾功能慢性不可逆性损害达到肾功能衰竭期，诊断必须满足所有以下标准。</w:t>
            </w:r>
          </w:p>
          <w:p>
            <w:pPr>
              <w:pStyle w:val="TableParagraph"/>
              <w:spacing w:before="7"/>
              <w:ind w:left="528"/>
              <w:rPr>
                <w:sz w:val="21"/>
              </w:rPr>
            </w:pPr>
            <w:r>
              <w:rPr>
                <w:sz w:val="21"/>
              </w:rPr>
              <w:t>（1）  GFR &lt; 25%</w:t>
            </w:r>
          </w:p>
          <w:p>
            <w:pPr>
              <w:pStyle w:val="TableParagraph"/>
              <w:numPr>
                <w:ilvl w:val="0"/>
                <w:numId w:val="6"/>
              </w:numPr>
              <w:tabs>
                <w:tab w:pos="1250" w:val="left" w:leader="none"/>
              </w:tabs>
              <w:spacing w:line="240" w:lineRule="auto" w:before="36" w:after="0"/>
              <w:ind w:left="1249" w:right="0" w:hanging="721"/>
              <w:jc w:val="left"/>
              <w:rPr>
                <w:sz w:val="21"/>
              </w:rPr>
            </w:pPr>
            <w:r>
              <w:rPr>
                <w:sz w:val="21"/>
              </w:rPr>
              <w:t>Scr</w:t>
            </w:r>
            <w:r>
              <w:rPr>
                <w:spacing w:val="-4"/>
                <w:sz w:val="21"/>
              </w:rPr>
              <w:t> &gt; </w:t>
            </w:r>
            <w:r>
              <w:rPr>
                <w:sz w:val="21"/>
              </w:rPr>
              <w:t>5mg/dl</w:t>
            </w:r>
            <w:r>
              <w:rPr>
                <w:spacing w:val="-18"/>
                <w:sz w:val="21"/>
              </w:rPr>
              <w:t> 或&gt;</w:t>
            </w:r>
            <w:r>
              <w:rPr>
                <w:sz w:val="21"/>
              </w:rPr>
              <w:t>442umol/L</w:t>
            </w:r>
          </w:p>
          <w:p>
            <w:pPr>
              <w:pStyle w:val="TableParagraph"/>
              <w:numPr>
                <w:ilvl w:val="0"/>
                <w:numId w:val="6"/>
              </w:numPr>
              <w:tabs>
                <w:tab w:pos="1249" w:val="left" w:leader="none"/>
              </w:tabs>
              <w:spacing w:line="240" w:lineRule="auto" w:before="36" w:after="0"/>
              <w:ind w:left="1248" w:right="0" w:hanging="720"/>
              <w:jc w:val="left"/>
              <w:rPr>
                <w:sz w:val="21"/>
              </w:rPr>
            </w:pPr>
            <w:r>
              <w:rPr>
                <w:spacing w:val="-18"/>
                <w:sz w:val="21"/>
              </w:rPr>
              <w:t>持续 </w:t>
            </w:r>
            <w:r>
              <w:rPr>
                <w:sz w:val="21"/>
              </w:rPr>
              <w:t>180</w:t>
            </w:r>
            <w:r>
              <w:rPr>
                <w:spacing w:val="-26"/>
                <w:sz w:val="21"/>
              </w:rPr>
              <w:t> 天</w:t>
            </w:r>
          </w:p>
        </w:tc>
      </w:tr>
      <w:tr>
        <w:trPr>
          <w:trHeight w:val="2456" w:hRule="atLeast"/>
        </w:trPr>
        <w:tc>
          <w:tcPr>
            <w:tcW w:w="848" w:type="dxa"/>
          </w:tcPr>
          <w:p>
            <w:pPr>
              <w:pStyle w:val="TableParagraph"/>
              <w:spacing w:before="97"/>
              <w:ind w:left="109"/>
              <w:rPr>
                <w:i/>
                <w:sz w:val="22"/>
              </w:rPr>
            </w:pPr>
            <w:r>
              <w:rPr>
                <w:i/>
                <w:sz w:val="22"/>
              </w:rPr>
              <w:t>3.3.10</w:t>
            </w:r>
          </w:p>
        </w:tc>
        <w:tc>
          <w:tcPr>
            <w:tcW w:w="1713" w:type="dxa"/>
          </w:tcPr>
          <w:p>
            <w:pPr>
              <w:pStyle w:val="TableParagraph"/>
              <w:spacing w:before="97"/>
              <w:rPr>
                <w:i/>
                <w:sz w:val="22"/>
              </w:rPr>
            </w:pPr>
            <w:r>
              <w:rPr>
                <w:i/>
                <w:w w:val="95"/>
                <w:sz w:val="22"/>
              </w:rPr>
              <w:t>重症头部外伤</w:t>
            </w:r>
          </w:p>
        </w:tc>
        <w:tc>
          <w:tcPr>
            <w:tcW w:w="7092" w:type="dxa"/>
          </w:tcPr>
          <w:p>
            <w:pPr>
              <w:pStyle w:val="TableParagraph"/>
              <w:spacing w:before="109"/>
              <w:ind w:left="96"/>
              <w:rPr>
                <w:sz w:val="21"/>
              </w:rPr>
            </w:pPr>
            <w:r>
              <w:rPr>
                <w:sz w:val="21"/>
              </w:rPr>
              <w:t>指因头部遭受机械性外力伤害，引起脑重要部位损伤，并且由头颅断层扫描</w:t>
            </w:r>
          </w:p>
          <w:p>
            <w:pPr>
              <w:pStyle w:val="TableParagraph"/>
              <w:spacing w:line="273" w:lineRule="auto" w:before="37"/>
              <w:ind w:left="96" w:right="99"/>
              <w:jc w:val="both"/>
              <w:rPr>
                <w:sz w:val="21"/>
              </w:rPr>
            </w:pPr>
            <w:r>
              <w:rPr>
                <w:spacing w:val="1"/>
                <w:sz w:val="21"/>
              </w:rPr>
              <w:t>（</w:t>
            </w:r>
            <w:r>
              <w:rPr>
                <w:sz w:val="21"/>
              </w:rPr>
              <w:t>C</w:t>
            </w:r>
            <w:r>
              <w:rPr>
                <w:spacing w:val="1"/>
                <w:sz w:val="21"/>
              </w:rPr>
              <w:t>T</w:t>
            </w:r>
            <w:r>
              <w:rPr>
                <w:spacing w:val="-104"/>
                <w:sz w:val="21"/>
              </w:rPr>
              <w:t>）</w:t>
            </w:r>
            <w:r>
              <w:rPr>
                <w:sz w:val="21"/>
              </w:rPr>
              <w:t>、核磁共振检查</w:t>
            </w:r>
            <w:r>
              <w:rPr>
                <w:spacing w:val="1"/>
                <w:sz w:val="21"/>
              </w:rPr>
              <w:t>（</w:t>
            </w:r>
            <w:r>
              <w:rPr>
                <w:spacing w:val="-1"/>
                <w:sz w:val="21"/>
              </w:rPr>
              <w:t>M</w:t>
            </w:r>
            <w:r>
              <w:rPr>
                <w:sz w:val="21"/>
              </w:rPr>
              <w:t>R</w:t>
            </w:r>
            <w:r>
              <w:rPr>
                <w:spacing w:val="2"/>
                <w:sz w:val="21"/>
              </w:rPr>
              <w:t>I</w:t>
            </w:r>
            <w:r>
              <w:rPr>
                <w:spacing w:val="1"/>
                <w:sz w:val="21"/>
              </w:rPr>
              <w:t>）</w:t>
            </w:r>
            <w:r>
              <w:rPr>
                <w:sz w:val="21"/>
              </w:rPr>
              <w:t>或正电子发射断层扫描</w:t>
            </w:r>
            <w:r>
              <w:rPr>
                <w:spacing w:val="1"/>
                <w:sz w:val="21"/>
              </w:rPr>
              <w:t>（</w:t>
            </w:r>
            <w:r>
              <w:rPr>
                <w:sz w:val="21"/>
              </w:rPr>
              <w:t>P</w:t>
            </w:r>
            <w:r>
              <w:rPr>
                <w:spacing w:val="-1"/>
                <w:sz w:val="21"/>
              </w:rPr>
              <w:t>E</w:t>
            </w:r>
            <w:r>
              <w:rPr>
                <w:spacing w:val="2"/>
                <w:sz w:val="21"/>
              </w:rPr>
              <w:t>T</w:t>
            </w:r>
            <w:r>
              <w:rPr>
                <w:spacing w:val="0"/>
                <w:sz w:val="21"/>
              </w:rPr>
              <w:t>）</w:t>
            </w:r>
            <w:r>
              <w:rPr>
                <w:sz w:val="21"/>
              </w:rPr>
              <w:t>等影像学检查</w:t>
            </w:r>
            <w:r>
              <w:rPr>
                <w:spacing w:val="1"/>
                <w:sz w:val="21"/>
              </w:rPr>
              <w:t>证实。头部外伤导致神经系统功能障碍，虽然未达到重大疾病“严重脑损伤”的给付标准，但是符合以下条件之一：</w:t>
            </w:r>
          </w:p>
          <w:p>
            <w:pPr>
              <w:pStyle w:val="TableParagraph"/>
              <w:spacing w:before="7"/>
              <w:ind w:left="96"/>
              <w:rPr>
                <w:sz w:val="21"/>
              </w:rPr>
            </w:pPr>
            <w:r>
              <w:rPr>
                <w:sz w:val="21"/>
              </w:rPr>
              <w:t>被保险人接受了全麻下颅骨切开颅内血肿清除术（颅骨钻孔术除外</w:t>
            </w:r>
            <w:r>
              <w:rPr>
                <w:spacing w:val="-105"/>
                <w:sz w:val="21"/>
              </w:rPr>
              <w:t>）</w:t>
            </w:r>
            <w:r>
              <w:rPr>
                <w:sz w:val="21"/>
              </w:rPr>
              <w:t>；</w:t>
            </w:r>
          </w:p>
          <w:p>
            <w:pPr>
              <w:pStyle w:val="TableParagraph"/>
              <w:spacing w:line="273" w:lineRule="auto" w:before="36"/>
              <w:ind w:left="96" w:right="99"/>
              <w:jc w:val="both"/>
              <w:rPr>
                <w:sz w:val="21"/>
              </w:rPr>
            </w:pPr>
            <w:r>
              <w:rPr>
                <w:spacing w:val="-17"/>
                <w:sz w:val="21"/>
              </w:rPr>
              <w:t>在外伤 </w:t>
            </w:r>
            <w:r>
              <w:rPr>
                <w:sz w:val="21"/>
              </w:rPr>
              <w:t>180</w:t>
            </w:r>
            <w:r>
              <w:rPr>
                <w:spacing w:val="-12"/>
                <w:sz w:val="21"/>
              </w:rPr>
              <w:t> 天后仍然遗留一肢或一肢以上肢体肌力 </w:t>
            </w:r>
            <w:r>
              <w:rPr>
                <w:sz w:val="21"/>
              </w:rPr>
              <w:t>III</w:t>
            </w:r>
            <w:r>
              <w:rPr>
                <w:spacing w:val="-7"/>
                <w:sz w:val="21"/>
              </w:rPr>
              <w:t> 级或</w:t>
            </w:r>
            <w:r>
              <w:rPr>
                <w:sz w:val="21"/>
              </w:rPr>
              <w:t>III</w:t>
            </w:r>
            <w:r>
              <w:rPr>
                <w:spacing w:val="-12"/>
                <w:sz w:val="21"/>
              </w:rPr>
              <w:t> 级以下的运动功能障碍。</w:t>
            </w:r>
          </w:p>
        </w:tc>
      </w:tr>
      <w:tr>
        <w:trPr>
          <w:trHeight w:val="928" w:hRule="atLeast"/>
        </w:trPr>
        <w:tc>
          <w:tcPr>
            <w:tcW w:w="848" w:type="dxa"/>
          </w:tcPr>
          <w:p>
            <w:pPr>
              <w:pStyle w:val="TableParagraph"/>
              <w:spacing w:before="128"/>
              <w:ind w:left="109"/>
              <w:rPr>
                <w:i/>
                <w:sz w:val="22"/>
              </w:rPr>
            </w:pPr>
            <w:r>
              <w:rPr>
                <w:i/>
                <w:sz w:val="22"/>
              </w:rPr>
              <w:t>3.3.11</w:t>
            </w:r>
          </w:p>
        </w:tc>
        <w:tc>
          <w:tcPr>
            <w:tcW w:w="1713" w:type="dxa"/>
          </w:tcPr>
          <w:p>
            <w:pPr>
              <w:pStyle w:val="TableParagraph"/>
              <w:spacing w:before="128"/>
              <w:rPr>
                <w:i/>
                <w:sz w:val="22"/>
              </w:rPr>
            </w:pPr>
            <w:r>
              <w:rPr>
                <w:i/>
                <w:w w:val="95"/>
                <w:sz w:val="22"/>
              </w:rPr>
              <w:t>单个肢体缺失</w:t>
            </w:r>
          </w:p>
        </w:tc>
        <w:tc>
          <w:tcPr>
            <w:tcW w:w="7092" w:type="dxa"/>
          </w:tcPr>
          <w:p>
            <w:pPr>
              <w:pStyle w:val="TableParagraph"/>
              <w:spacing w:line="273" w:lineRule="auto" w:before="140"/>
              <w:ind w:left="96" w:right="42"/>
              <w:rPr>
                <w:sz w:val="21"/>
              </w:rPr>
            </w:pPr>
            <w:r>
              <w:rPr>
                <w:sz w:val="21"/>
              </w:rPr>
              <w:t>指因疾病或意外伤害导致一个肢体自腕关节或踝关节近端（靠近躯干端）以上完全性断离。</w:t>
            </w:r>
          </w:p>
        </w:tc>
      </w:tr>
      <w:tr>
        <w:trPr>
          <w:trHeight w:val="650" w:hRule="atLeast"/>
        </w:trPr>
        <w:tc>
          <w:tcPr>
            <w:tcW w:w="848" w:type="dxa"/>
            <w:tcBorders>
              <w:bottom w:val="double" w:sz="1" w:space="0" w:color="000000"/>
            </w:tcBorders>
          </w:tcPr>
          <w:p>
            <w:pPr>
              <w:pStyle w:val="TableParagraph"/>
              <w:spacing w:before="108"/>
              <w:ind w:left="109"/>
              <w:rPr>
                <w:b/>
                <w:sz w:val="28"/>
              </w:rPr>
            </w:pPr>
            <w:r>
              <w:rPr>
                <w:b/>
                <w:w w:val="99"/>
                <w:sz w:val="28"/>
              </w:rPr>
              <w:t>4</w:t>
            </w:r>
          </w:p>
        </w:tc>
        <w:tc>
          <w:tcPr>
            <w:tcW w:w="8805" w:type="dxa"/>
            <w:gridSpan w:val="2"/>
            <w:tcBorders>
              <w:bottom w:val="double" w:sz="1" w:space="0" w:color="000000"/>
            </w:tcBorders>
          </w:tcPr>
          <w:p>
            <w:pPr>
              <w:pStyle w:val="TableParagraph"/>
              <w:spacing w:before="108"/>
              <w:ind w:left="108"/>
              <w:rPr>
                <w:b/>
                <w:sz w:val="28"/>
              </w:rPr>
            </w:pPr>
            <w:r>
              <w:rPr>
                <w:b/>
                <w:w w:val="95"/>
                <w:sz w:val="28"/>
              </w:rPr>
              <w:t>申请与给付保险金</w:t>
            </w:r>
          </w:p>
        </w:tc>
      </w:tr>
      <w:tr>
        <w:trPr>
          <w:trHeight w:val="981" w:hRule="atLeast"/>
        </w:trPr>
        <w:tc>
          <w:tcPr>
            <w:tcW w:w="848" w:type="dxa"/>
            <w:tcBorders>
              <w:top w:val="double" w:sz="1" w:space="0" w:color="000000"/>
            </w:tcBorders>
          </w:tcPr>
          <w:p>
            <w:pPr>
              <w:pStyle w:val="TableParagraph"/>
              <w:spacing w:before="179"/>
              <w:ind w:left="109"/>
              <w:rPr>
                <w:b/>
                <w:sz w:val="21"/>
              </w:rPr>
            </w:pPr>
            <w:r>
              <w:rPr>
                <w:b/>
                <w:sz w:val="21"/>
              </w:rPr>
              <w:t>4.1</w:t>
            </w:r>
          </w:p>
        </w:tc>
        <w:tc>
          <w:tcPr>
            <w:tcW w:w="1713" w:type="dxa"/>
            <w:tcBorders>
              <w:top w:val="double" w:sz="1" w:space="0" w:color="000000"/>
            </w:tcBorders>
          </w:tcPr>
          <w:p>
            <w:pPr>
              <w:pStyle w:val="TableParagraph"/>
              <w:spacing w:line="273" w:lineRule="auto" w:before="179"/>
              <w:ind w:left="108" w:right="127" w:hanging="1"/>
              <w:rPr>
                <w:b/>
                <w:sz w:val="21"/>
              </w:rPr>
            </w:pPr>
            <w:r>
              <w:rPr>
                <w:b/>
                <w:sz w:val="21"/>
              </w:rPr>
              <w:t>受益人的指定与</w:t>
            </w:r>
            <w:r>
              <w:rPr>
                <w:b/>
                <w:w w:val="95"/>
                <w:sz w:val="21"/>
              </w:rPr>
              <w:t>变更</w:t>
            </w:r>
          </w:p>
        </w:tc>
        <w:tc>
          <w:tcPr>
            <w:tcW w:w="7092" w:type="dxa"/>
            <w:tcBorders>
              <w:top w:val="double" w:sz="1" w:space="0" w:color="000000"/>
            </w:tcBorders>
          </w:tcPr>
          <w:p>
            <w:pPr>
              <w:pStyle w:val="TableParagraph"/>
              <w:spacing w:before="3"/>
              <w:ind w:left="0"/>
              <w:rPr>
                <w:sz w:val="14"/>
              </w:rPr>
            </w:pPr>
          </w:p>
          <w:p>
            <w:pPr>
              <w:pStyle w:val="TableParagraph"/>
              <w:spacing w:line="272" w:lineRule="exact" w:before="1"/>
              <w:ind w:left="97" w:right="97"/>
              <w:jc w:val="both"/>
              <w:rPr>
                <w:sz w:val="21"/>
              </w:rPr>
            </w:pPr>
            <w:r>
              <w:rPr>
                <w:spacing w:val="-4"/>
                <w:sz w:val="21"/>
              </w:rPr>
              <w:t>除另有约定外，本附加合同重大疾病保险金，特定重大疾病额外给付特别保</w:t>
            </w:r>
            <w:r>
              <w:rPr>
                <w:spacing w:val="-7"/>
                <w:sz w:val="21"/>
              </w:rPr>
              <w:t>险金，轻症重疾额外给付保险金及自主生活能力永久完全丧失护理辅助金的受益人为被保险人本人。</w:t>
            </w:r>
          </w:p>
        </w:tc>
      </w:tr>
    </w:tbl>
    <w:p>
      <w:pPr>
        <w:spacing w:after="0" w:line="272" w:lineRule="exact"/>
        <w:jc w:val="both"/>
        <w:rPr>
          <w:sz w:val="21"/>
        </w:rPr>
        <w:sectPr>
          <w:pgSz w:w="11910" w:h="16840"/>
          <w:pgMar w:header="0" w:footer="918" w:top="1540" w:bottom="1100" w:left="1080" w:right="9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853"/>
        <w:gridCol w:w="7114"/>
      </w:tblGrid>
      <w:tr>
        <w:trPr>
          <w:trHeight w:val="2187" w:hRule="atLeast"/>
        </w:trPr>
        <w:tc>
          <w:tcPr>
            <w:tcW w:w="691" w:type="dxa"/>
          </w:tcPr>
          <w:p>
            <w:pPr>
              <w:pStyle w:val="TableParagraph"/>
              <w:spacing w:line="230" w:lineRule="exact"/>
              <w:ind w:left="109"/>
              <w:rPr>
                <w:b/>
                <w:sz w:val="21"/>
              </w:rPr>
            </w:pPr>
            <w:r>
              <w:rPr>
                <w:b/>
                <w:sz w:val="21"/>
              </w:rPr>
              <w:t>4.2</w:t>
            </w:r>
          </w:p>
        </w:tc>
        <w:tc>
          <w:tcPr>
            <w:tcW w:w="1853" w:type="dxa"/>
          </w:tcPr>
          <w:p>
            <w:pPr>
              <w:pStyle w:val="TableParagraph"/>
              <w:spacing w:line="230" w:lineRule="exact"/>
              <w:ind w:left="264"/>
              <w:rPr>
                <w:b/>
                <w:sz w:val="21"/>
              </w:rPr>
            </w:pPr>
            <w:r>
              <w:rPr>
                <w:b/>
                <w:w w:val="95"/>
                <w:sz w:val="21"/>
              </w:rPr>
              <w:t>保险事故的通知</w:t>
            </w:r>
          </w:p>
        </w:tc>
        <w:tc>
          <w:tcPr>
            <w:tcW w:w="7114" w:type="dxa"/>
          </w:tcPr>
          <w:p>
            <w:pPr>
              <w:pStyle w:val="TableParagraph"/>
              <w:spacing w:line="208" w:lineRule="exact"/>
              <w:ind w:left="113"/>
              <w:rPr>
                <w:sz w:val="21"/>
              </w:rPr>
            </w:pPr>
            <w:r>
              <w:rPr>
                <w:sz w:val="21"/>
              </w:rPr>
              <w:t>本合同的投保人，被保险人或受益人知道保险事故后应当在十日内通知我</w:t>
            </w:r>
          </w:p>
          <w:p>
            <w:pPr>
              <w:pStyle w:val="TableParagraph"/>
              <w:spacing w:line="273" w:lineRule="exact"/>
              <w:ind w:left="113"/>
              <w:rPr>
                <w:sz w:val="21"/>
              </w:rPr>
            </w:pPr>
            <w:r>
              <w:rPr>
                <w:sz w:val="21"/>
              </w:rPr>
              <w:t>们。</w:t>
            </w:r>
          </w:p>
          <w:p>
            <w:pPr>
              <w:pStyle w:val="TableParagraph"/>
              <w:spacing w:line="273" w:lineRule="auto" w:before="18"/>
              <w:ind w:left="113" w:right="68"/>
              <w:jc w:val="both"/>
              <w:rPr>
                <w:sz w:val="21"/>
              </w:rPr>
            </w:pPr>
            <w:r>
              <w:rPr>
                <w:spacing w:val="-5"/>
                <w:sz w:val="21"/>
              </w:rPr>
              <w:t>如果投保人，被保险人或受益人故意或者因重大过失未及时通知我们，致使保险事故的性质、原因、损失程度等难以确定的，我们对无法确定的部分， </w:t>
            </w:r>
            <w:r>
              <w:rPr>
                <w:spacing w:val="-8"/>
                <w:sz w:val="21"/>
              </w:rPr>
              <w:t>不承担给付保险金的责任，但我们通过其他途径已经及时知道或者应当及时</w:t>
            </w:r>
            <w:r>
              <w:rPr>
                <w:spacing w:val="-9"/>
                <w:sz w:val="21"/>
              </w:rPr>
              <w:t>知道保险事故发生或者虽未及时通知但不影响我们确定保险事故的性质、原因、损失程度的除外。</w:t>
            </w:r>
          </w:p>
        </w:tc>
      </w:tr>
      <w:tr>
        <w:trPr>
          <w:trHeight w:val="851" w:hRule="atLeast"/>
        </w:trPr>
        <w:tc>
          <w:tcPr>
            <w:tcW w:w="691" w:type="dxa"/>
          </w:tcPr>
          <w:p>
            <w:pPr>
              <w:pStyle w:val="TableParagraph"/>
              <w:spacing w:before="100"/>
              <w:ind w:left="109"/>
              <w:rPr>
                <w:b/>
                <w:sz w:val="21"/>
              </w:rPr>
            </w:pPr>
            <w:r>
              <w:rPr>
                <w:b/>
                <w:sz w:val="21"/>
              </w:rPr>
              <w:t>4.3</w:t>
            </w:r>
          </w:p>
        </w:tc>
        <w:tc>
          <w:tcPr>
            <w:tcW w:w="1853" w:type="dxa"/>
          </w:tcPr>
          <w:p>
            <w:pPr>
              <w:pStyle w:val="TableParagraph"/>
              <w:spacing w:before="100"/>
              <w:ind w:left="264"/>
              <w:rPr>
                <w:b/>
                <w:sz w:val="21"/>
              </w:rPr>
            </w:pPr>
            <w:r>
              <w:rPr>
                <w:b/>
                <w:w w:val="95"/>
                <w:sz w:val="21"/>
              </w:rPr>
              <w:t>诉讼时效</w:t>
            </w:r>
          </w:p>
        </w:tc>
        <w:tc>
          <w:tcPr>
            <w:tcW w:w="7114" w:type="dxa"/>
          </w:tcPr>
          <w:p>
            <w:pPr>
              <w:pStyle w:val="TableParagraph"/>
              <w:spacing w:line="273" w:lineRule="auto" w:before="100"/>
              <w:ind w:left="113" w:right="46"/>
              <w:rPr>
                <w:sz w:val="21"/>
              </w:rPr>
            </w:pPr>
            <w:r>
              <w:rPr>
                <w:sz w:val="21"/>
              </w:rPr>
              <w:t>受益人对本附加合同请求给付保险金的诉讼时效期间为两年，自其知道或者应当知道保险事故发生之日起计算。</w:t>
            </w:r>
          </w:p>
        </w:tc>
      </w:tr>
      <w:tr>
        <w:trPr>
          <w:trHeight w:val="749" w:hRule="atLeast"/>
        </w:trPr>
        <w:tc>
          <w:tcPr>
            <w:tcW w:w="691" w:type="dxa"/>
          </w:tcPr>
          <w:p>
            <w:pPr>
              <w:pStyle w:val="TableParagraph"/>
              <w:spacing w:before="99"/>
              <w:ind w:left="109"/>
              <w:rPr>
                <w:b/>
                <w:sz w:val="21"/>
              </w:rPr>
            </w:pPr>
            <w:r>
              <w:rPr>
                <w:b/>
                <w:sz w:val="21"/>
              </w:rPr>
              <w:t>4.4</w:t>
            </w:r>
          </w:p>
        </w:tc>
        <w:tc>
          <w:tcPr>
            <w:tcW w:w="1853" w:type="dxa"/>
          </w:tcPr>
          <w:p>
            <w:pPr>
              <w:pStyle w:val="TableParagraph"/>
              <w:spacing w:line="273" w:lineRule="auto" w:before="99"/>
              <w:ind w:left="265" w:right="110" w:hanging="1"/>
              <w:rPr>
                <w:b/>
                <w:sz w:val="21"/>
              </w:rPr>
            </w:pPr>
            <w:r>
              <w:rPr>
                <w:b/>
                <w:sz w:val="21"/>
              </w:rPr>
              <w:t>申请保险金应提</w:t>
            </w:r>
            <w:r>
              <w:rPr>
                <w:b/>
                <w:w w:val="95"/>
                <w:sz w:val="21"/>
              </w:rPr>
              <w:t>供的材料</w:t>
            </w:r>
          </w:p>
        </w:tc>
        <w:tc>
          <w:tcPr>
            <w:tcW w:w="7114" w:type="dxa"/>
          </w:tcPr>
          <w:p>
            <w:pPr>
              <w:pStyle w:val="TableParagraph"/>
              <w:spacing w:line="237" w:lineRule="auto" w:before="121"/>
              <w:ind w:left="114" w:right="46"/>
              <w:rPr>
                <w:sz w:val="21"/>
              </w:rPr>
            </w:pPr>
            <w:r>
              <w:rPr>
                <w:sz w:val="21"/>
              </w:rPr>
              <w:t>受益人申请各项保险金时，应提供下列证明文件和资料，如果有关证明资料不完整，我们将及时一次性通知申请人补充提供。</w:t>
            </w:r>
          </w:p>
        </w:tc>
      </w:tr>
      <w:tr>
        <w:trPr>
          <w:trHeight w:val="2308" w:hRule="atLeast"/>
        </w:trPr>
        <w:tc>
          <w:tcPr>
            <w:tcW w:w="691"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7114" w:type="dxa"/>
          </w:tcPr>
          <w:p>
            <w:pPr>
              <w:pStyle w:val="TableParagraph"/>
              <w:spacing w:line="274" w:lineRule="exact"/>
              <w:ind w:left="114"/>
              <w:rPr>
                <w:sz w:val="21"/>
              </w:rPr>
            </w:pPr>
            <w:r>
              <w:rPr>
                <w:sz w:val="21"/>
              </w:rPr>
              <w:t>1、给付申请书；</w:t>
            </w:r>
          </w:p>
          <w:p>
            <w:pPr>
              <w:pStyle w:val="TableParagraph"/>
              <w:spacing w:before="44"/>
              <w:ind w:left="114"/>
              <w:rPr>
                <w:sz w:val="21"/>
              </w:rPr>
            </w:pPr>
            <w:r>
              <w:rPr>
                <w:sz w:val="21"/>
              </w:rPr>
              <w:t>2、保险合同；</w:t>
            </w:r>
          </w:p>
          <w:p>
            <w:pPr>
              <w:pStyle w:val="TableParagraph"/>
              <w:spacing w:before="45"/>
              <w:ind w:left="114"/>
              <w:rPr>
                <w:sz w:val="21"/>
              </w:rPr>
            </w:pPr>
            <w:r>
              <w:rPr>
                <w:sz w:val="21"/>
              </w:rPr>
              <w:t>3、受益人的户籍证明及身份证明；</w:t>
            </w:r>
          </w:p>
          <w:p>
            <w:pPr>
              <w:pStyle w:val="TableParagraph"/>
              <w:spacing w:line="230" w:lineRule="auto" w:before="11"/>
              <w:ind w:left="114" w:right="102"/>
              <w:jc w:val="both"/>
              <w:rPr>
                <w:sz w:val="21"/>
              </w:rPr>
            </w:pPr>
            <w:r>
              <w:rPr>
                <w:rFonts w:ascii="Times New Roman" w:eastAsia="Times New Roman"/>
                <w:sz w:val="21"/>
              </w:rPr>
              <w:t>4</w:t>
            </w:r>
            <w:r>
              <w:rPr>
                <w:sz w:val="21"/>
              </w:rPr>
              <w:t>、由我们指定或认可医院的专科医生出具的疾病诊断书及相关所必需的检</w:t>
            </w:r>
            <w:r>
              <w:rPr>
                <w:spacing w:val="-2"/>
                <w:sz w:val="21"/>
              </w:rPr>
              <w:t>查结果证明</w:t>
            </w:r>
            <w:r>
              <w:rPr>
                <w:sz w:val="21"/>
              </w:rPr>
              <w:t>（</w:t>
            </w:r>
            <w:r>
              <w:rPr>
                <w:spacing w:val="-4"/>
                <w:sz w:val="21"/>
              </w:rPr>
              <w:t>如病理检查报告、血液检查报告、超声波、影像学及其它医学诊断检查报告等</w:t>
            </w:r>
            <w:r>
              <w:rPr>
                <w:spacing w:val="-105"/>
                <w:sz w:val="21"/>
              </w:rPr>
              <w:t>）</w:t>
            </w:r>
            <w:r>
              <w:rPr>
                <w:spacing w:val="-1"/>
                <w:sz w:val="21"/>
              </w:rPr>
              <w:t>，若接受外科手术者，还需提供外科手术证明文件；</w:t>
            </w:r>
          </w:p>
          <w:p>
            <w:pPr>
              <w:pStyle w:val="TableParagraph"/>
              <w:spacing w:line="237" w:lineRule="auto"/>
              <w:ind w:left="114" w:right="-15"/>
              <w:rPr>
                <w:sz w:val="21"/>
              </w:rPr>
            </w:pPr>
            <w:r>
              <w:rPr>
                <w:sz w:val="21"/>
              </w:rPr>
              <w:t>5</w:t>
            </w:r>
            <w:r>
              <w:rPr>
                <w:spacing w:val="-6"/>
                <w:sz w:val="21"/>
              </w:rPr>
              <w:t>、投保人、被保险人或者受益人所能提供的与确认保险事故的性质、原因、伤害程度等有关的证明文件和资料。</w:t>
            </w:r>
          </w:p>
        </w:tc>
      </w:tr>
      <w:tr>
        <w:trPr>
          <w:trHeight w:val="668" w:hRule="atLeast"/>
        </w:trPr>
        <w:tc>
          <w:tcPr>
            <w:tcW w:w="691"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7114" w:type="dxa"/>
          </w:tcPr>
          <w:p>
            <w:pPr>
              <w:pStyle w:val="TableParagraph"/>
              <w:spacing w:line="239" w:lineRule="exact"/>
              <w:ind w:left="114"/>
              <w:rPr>
                <w:sz w:val="21"/>
              </w:rPr>
            </w:pPr>
            <w:r>
              <w:rPr>
                <w:sz w:val="21"/>
              </w:rPr>
              <w:t>若受益人委托他人代为申请保险金，被委托人还应提供受益人签字的授权委</w:t>
            </w:r>
          </w:p>
          <w:p>
            <w:pPr>
              <w:pStyle w:val="TableParagraph"/>
              <w:spacing w:line="274" w:lineRule="exact"/>
              <w:ind w:left="114"/>
              <w:rPr>
                <w:sz w:val="21"/>
              </w:rPr>
            </w:pPr>
            <w:r>
              <w:rPr>
                <w:sz w:val="21"/>
              </w:rPr>
              <w:t>托书、被委托人的身份证明等相关证明文件。</w:t>
            </w:r>
          </w:p>
        </w:tc>
      </w:tr>
      <w:tr>
        <w:trPr>
          <w:trHeight w:val="3500" w:hRule="atLeast"/>
        </w:trPr>
        <w:tc>
          <w:tcPr>
            <w:tcW w:w="691" w:type="dxa"/>
          </w:tcPr>
          <w:p>
            <w:pPr>
              <w:pStyle w:val="TableParagraph"/>
              <w:spacing w:before="90"/>
              <w:ind w:left="109"/>
              <w:rPr>
                <w:b/>
                <w:sz w:val="21"/>
              </w:rPr>
            </w:pPr>
            <w:r>
              <w:rPr>
                <w:b/>
                <w:sz w:val="21"/>
              </w:rPr>
              <w:t>4.5</w:t>
            </w:r>
          </w:p>
        </w:tc>
        <w:tc>
          <w:tcPr>
            <w:tcW w:w="1853" w:type="dxa"/>
          </w:tcPr>
          <w:p>
            <w:pPr>
              <w:pStyle w:val="TableParagraph"/>
              <w:spacing w:before="90"/>
              <w:ind w:left="265"/>
              <w:rPr>
                <w:b/>
                <w:sz w:val="21"/>
              </w:rPr>
            </w:pPr>
            <w:r>
              <w:rPr>
                <w:b/>
                <w:w w:val="95"/>
                <w:sz w:val="21"/>
              </w:rPr>
              <w:t>保险金的给付</w:t>
            </w:r>
          </w:p>
        </w:tc>
        <w:tc>
          <w:tcPr>
            <w:tcW w:w="7114" w:type="dxa"/>
          </w:tcPr>
          <w:p>
            <w:pPr>
              <w:pStyle w:val="TableParagraph"/>
              <w:spacing w:line="273" w:lineRule="auto" w:before="90"/>
              <w:ind w:left="114" w:right="102"/>
              <w:jc w:val="both"/>
              <w:rPr>
                <w:sz w:val="21"/>
              </w:rPr>
            </w:pPr>
            <w:r>
              <w:rPr>
                <w:spacing w:val="-2"/>
                <w:sz w:val="21"/>
              </w:rPr>
              <w:t>我们在收到保险金给付申请书及上述有关证明和资料后五日内作出核定，情</w:t>
            </w:r>
            <w:r>
              <w:rPr>
                <w:spacing w:val="-6"/>
                <w:sz w:val="21"/>
              </w:rPr>
              <w:t>形复杂的，在三十日内作出核定。对确定属于保险责任的，在与受益人达成有关给付保险金数额的协议后十日内，履行给付保险金的责任。</w:t>
            </w:r>
          </w:p>
          <w:p>
            <w:pPr>
              <w:pStyle w:val="TableParagraph"/>
              <w:spacing w:line="273" w:lineRule="auto" w:before="7"/>
              <w:ind w:left="114" w:right="104"/>
              <w:jc w:val="both"/>
              <w:rPr>
                <w:sz w:val="21"/>
              </w:rPr>
            </w:pPr>
            <w:r>
              <w:rPr>
                <w:spacing w:val="-3"/>
                <w:sz w:val="21"/>
              </w:rPr>
              <w:t>本公司未及时履行前款规定义务的，除支付保险金外，应当赔偿受益人因此受到的损失。</w:t>
            </w:r>
          </w:p>
          <w:p>
            <w:pPr>
              <w:pStyle w:val="TableParagraph"/>
              <w:spacing w:line="273" w:lineRule="auto" w:before="7"/>
              <w:ind w:left="114" w:right="104"/>
              <w:jc w:val="both"/>
              <w:rPr>
                <w:sz w:val="21"/>
              </w:rPr>
            </w:pPr>
            <w:r>
              <w:rPr>
                <w:spacing w:val="-3"/>
                <w:sz w:val="21"/>
              </w:rPr>
              <w:t>对不属于保险责任的，我们将在作出核定后三日内，向申请人发出拒绝给付保险金通知书，并说明理由。</w:t>
            </w:r>
          </w:p>
          <w:p>
            <w:pPr>
              <w:pStyle w:val="TableParagraph"/>
              <w:spacing w:line="237" w:lineRule="auto"/>
              <w:ind w:left="114" w:right="102"/>
              <w:jc w:val="both"/>
              <w:rPr>
                <w:sz w:val="21"/>
              </w:rPr>
            </w:pPr>
            <w:r>
              <w:rPr>
                <w:spacing w:val="-2"/>
                <w:sz w:val="21"/>
              </w:rPr>
              <w:t>我们在收到保险金给付申请书及上述有关证明和资料之日起六十日内，对属</w:t>
            </w:r>
            <w:r>
              <w:rPr>
                <w:spacing w:val="-4"/>
                <w:sz w:val="21"/>
              </w:rPr>
              <w:t>于保险责任而给付保险金的数额不能确定的，根据已有证明和资料，按可以</w:t>
            </w:r>
            <w:r>
              <w:rPr>
                <w:spacing w:val="-7"/>
                <w:sz w:val="21"/>
              </w:rPr>
              <w:t>确定的数额先予以支付；我们最终确定给付保险金的数额后，给付相应的差额。</w:t>
            </w:r>
          </w:p>
        </w:tc>
      </w:tr>
      <w:tr>
        <w:trPr>
          <w:trHeight w:val="1640" w:hRule="atLeast"/>
        </w:trPr>
        <w:tc>
          <w:tcPr>
            <w:tcW w:w="691" w:type="dxa"/>
          </w:tcPr>
          <w:p>
            <w:pPr>
              <w:pStyle w:val="TableParagraph"/>
              <w:spacing w:before="90"/>
              <w:ind w:left="109"/>
              <w:rPr>
                <w:b/>
                <w:sz w:val="21"/>
              </w:rPr>
            </w:pPr>
            <w:r>
              <w:rPr>
                <w:b/>
                <w:sz w:val="21"/>
              </w:rPr>
              <w:t>4.6</w:t>
            </w:r>
          </w:p>
        </w:tc>
        <w:tc>
          <w:tcPr>
            <w:tcW w:w="1853" w:type="dxa"/>
          </w:tcPr>
          <w:p>
            <w:pPr>
              <w:pStyle w:val="TableParagraph"/>
              <w:spacing w:before="90"/>
              <w:ind w:left="263"/>
              <w:rPr>
                <w:b/>
                <w:sz w:val="21"/>
              </w:rPr>
            </w:pPr>
            <w:r>
              <w:rPr>
                <w:b/>
                <w:w w:val="95"/>
                <w:sz w:val="21"/>
              </w:rPr>
              <w:t>身体检查</w:t>
            </w:r>
          </w:p>
        </w:tc>
        <w:tc>
          <w:tcPr>
            <w:tcW w:w="7114" w:type="dxa"/>
          </w:tcPr>
          <w:p>
            <w:pPr>
              <w:pStyle w:val="TableParagraph"/>
              <w:spacing w:line="273" w:lineRule="auto" w:before="90"/>
              <w:ind w:left="114" w:right="102"/>
              <w:jc w:val="both"/>
              <w:rPr>
                <w:sz w:val="21"/>
              </w:rPr>
            </w:pP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tc>
      </w:tr>
      <w:tr>
        <w:trPr>
          <w:trHeight w:val="790" w:hRule="atLeast"/>
        </w:trPr>
        <w:tc>
          <w:tcPr>
            <w:tcW w:w="691" w:type="dxa"/>
            <w:tcBorders>
              <w:bottom w:val="double" w:sz="1" w:space="0" w:color="000000"/>
            </w:tcBorders>
          </w:tcPr>
          <w:p>
            <w:pPr>
              <w:pStyle w:val="TableParagraph"/>
              <w:spacing w:before="251"/>
              <w:ind w:left="109"/>
              <w:rPr>
                <w:b/>
                <w:sz w:val="28"/>
              </w:rPr>
            </w:pPr>
            <w:r>
              <w:rPr>
                <w:b/>
                <w:w w:val="99"/>
                <w:sz w:val="28"/>
              </w:rPr>
              <w:t>5</w:t>
            </w:r>
          </w:p>
        </w:tc>
        <w:tc>
          <w:tcPr>
            <w:tcW w:w="1853" w:type="dxa"/>
            <w:tcBorders>
              <w:bottom w:val="double" w:sz="1" w:space="0" w:color="000000"/>
            </w:tcBorders>
          </w:tcPr>
          <w:p>
            <w:pPr>
              <w:pStyle w:val="TableParagraph"/>
              <w:spacing w:before="251"/>
              <w:ind w:left="265"/>
              <w:rPr>
                <w:b/>
                <w:sz w:val="28"/>
              </w:rPr>
            </w:pPr>
            <w:r>
              <w:rPr>
                <w:b/>
                <w:w w:val="95"/>
                <w:sz w:val="28"/>
              </w:rPr>
              <w:t>保险费</w:t>
            </w:r>
          </w:p>
        </w:tc>
        <w:tc>
          <w:tcPr>
            <w:tcW w:w="7114" w:type="dxa"/>
            <w:tcBorders>
              <w:bottom w:val="double" w:sz="1" w:space="0" w:color="000000"/>
            </w:tcBorders>
          </w:tcPr>
          <w:p>
            <w:pPr>
              <w:pStyle w:val="TableParagraph"/>
              <w:ind w:left="0"/>
              <w:rPr>
                <w:rFonts w:ascii="Times New Roman"/>
                <w:sz w:val="20"/>
              </w:rPr>
            </w:pPr>
          </w:p>
        </w:tc>
      </w:tr>
      <w:tr>
        <w:trPr>
          <w:trHeight w:val="769" w:hRule="atLeast"/>
        </w:trPr>
        <w:tc>
          <w:tcPr>
            <w:tcW w:w="691" w:type="dxa"/>
            <w:tcBorders>
              <w:top w:val="double" w:sz="1" w:space="0" w:color="000000"/>
            </w:tcBorders>
          </w:tcPr>
          <w:p>
            <w:pPr>
              <w:pStyle w:val="TableParagraph"/>
              <w:spacing w:before="12"/>
              <w:ind w:left="0"/>
              <w:rPr>
                <w:sz w:val="13"/>
              </w:rPr>
            </w:pPr>
          </w:p>
          <w:p>
            <w:pPr>
              <w:pStyle w:val="TableParagraph"/>
              <w:ind w:left="109"/>
              <w:rPr>
                <w:b/>
                <w:sz w:val="21"/>
              </w:rPr>
            </w:pPr>
            <w:r>
              <w:rPr>
                <w:b/>
                <w:sz w:val="21"/>
              </w:rPr>
              <w:t>5.1</w:t>
            </w:r>
          </w:p>
        </w:tc>
        <w:tc>
          <w:tcPr>
            <w:tcW w:w="1853" w:type="dxa"/>
            <w:tcBorders>
              <w:top w:val="double" w:sz="1" w:space="0" w:color="000000"/>
            </w:tcBorders>
          </w:tcPr>
          <w:p>
            <w:pPr>
              <w:pStyle w:val="TableParagraph"/>
              <w:spacing w:line="310" w:lineRule="atLeast" w:before="147"/>
              <w:ind w:left="265" w:right="110" w:hanging="1"/>
              <w:rPr>
                <w:b/>
                <w:sz w:val="21"/>
              </w:rPr>
            </w:pPr>
            <w:r>
              <w:rPr>
                <w:b/>
                <w:sz w:val="21"/>
              </w:rPr>
              <w:t>保险费的缴付、宽限期</w:t>
            </w:r>
          </w:p>
        </w:tc>
        <w:tc>
          <w:tcPr>
            <w:tcW w:w="7114" w:type="dxa"/>
            <w:tcBorders>
              <w:top w:val="double" w:sz="1" w:space="0" w:color="000000"/>
            </w:tcBorders>
          </w:tcPr>
          <w:p>
            <w:pPr>
              <w:pStyle w:val="TableParagraph"/>
              <w:spacing w:line="274" w:lineRule="exact" w:before="162"/>
              <w:ind w:left="114"/>
              <w:rPr>
                <w:sz w:val="21"/>
              </w:rPr>
            </w:pPr>
            <w:r>
              <w:rPr>
                <w:sz w:val="21"/>
              </w:rPr>
              <w:t>投保人应向我们缴付保险费。</w:t>
            </w:r>
          </w:p>
          <w:p>
            <w:pPr>
              <w:pStyle w:val="TableParagraph"/>
              <w:spacing w:line="274" w:lineRule="exact"/>
              <w:ind w:left="114" w:right="-15"/>
              <w:rPr>
                <w:sz w:val="21"/>
              </w:rPr>
            </w:pPr>
            <w:r>
              <w:rPr>
                <w:spacing w:val="-9"/>
                <w:sz w:val="21"/>
              </w:rPr>
              <w:t>本附加合同首期后的分期保险费，其缴付方式、宽限期的规定与主合同相同。</w:t>
            </w:r>
          </w:p>
        </w:tc>
      </w:tr>
    </w:tbl>
    <w:p>
      <w:pPr>
        <w:spacing w:after="0" w:line="274" w:lineRule="exact"/>
        <w:rPr>
          <w:sz w:val="21"/>
        </w:rPr>
        <w:sectPr>
          <w:pgSz w:w="11910" w:h="16840"/>
          <w:pgMar w:header="0" w:footer="918" w:top="1520" w:bottom="1100" w:left="1080" w:right="940"/>
        </w:sectPr>
      </w:pPr>
    </w:p>
    <w:p>
      <w:pPr>
        <w:pStyle w:val="BodyText"/>
        <w:spacing w:before="4"/>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12"/>
        <w:gridCol w:w="7052"/>
      </w:tblGrid>
      <w:tr>
        <w:trPr>
          <w:trHeight w:val="2514" w:hRule="atLeast"/>
        </w:trPr>
        <w:tc>
          <w:tcPr>
            <w:tcW w:w="692" w:type="dxa"/>
          </w:tcPr>
          <w:p>
            <w:pPr>
              <w:pStyle w:val="TableParagraph"/>
              <w:spacing w:line="230" w:lineRule="exact"/>
              <w:ind w:left="109"/>
              <w:rPr>
                <w:b/>
                <w:sz w:val="21"/>
              </w:rPr>
            </w:pPr>
            <w:r>
              <w:rPr>
                <w:b/>
                <w:sz w:val="21"/>
              </w:rPr>
              <w:t>5.2</w:t>
            </w:r>
          </w:p>
        </w:tc>
        <w:tc>
          <w:tcPr>
            <w:tcW w:w="1912" w:type="dxa"/>
          </w:tcPr>
          <w:p>
            <w:pPr>
              <w:pStyle w:val="TableParagraph"/>
              <w:spacing w:line="230" w:lineRule="exact"/>
              <w:ind w:left="263"/>
              <w:rPr>
                <w:b/>
                <w:sz w:val="21"/>
              </w:rPr>
            </w:pPr>
            <w:r>
              <w:rPr>
                <w:b/>
                <w:w w:val="95"/>
                <w:sz w:val="21"/>
              </w:rPr>
              <w:t>变更为减额付清</w:t>
            </w:r>
          </w:p>
          <w:p>
            <w:pPr>
              <w:pStyle w:val="TableParagraph"/>
              <w:spacing w:before="37"/>
              <w:ind w:left="264"/>
              <w:rPr>
                <w:b/>
                <w:sz w:val="21"/>
              </w:rPr>
            </w:pPr>
            <w:r>
              <w:rPr>
                <w:b/>
                <w:w w:val="95"/>
                <w:sz w:val="21"/>
              </w:rPr>
              <w:t>保险</w:t>
            </w:r>
          </w:p>
        </w:tc>
        <w:tc>
          <w:tcPr>
            <w:tcW w:w="7052" w:type="dxa"/>
          </w:tcPr>
          <w:p>
            <w:pPr>
              <w:pStyle w:val="TableParagraph"/>
              <w:spacing w:line="209" w:lineRule="exact"/>
              <w:ind w:left="54"/>
              <w:rPr>
                <w:sz w:val="21"/>
              </w:rPr>
            </w:pPr>
            <w:r>
              <w:rPr>
                <w:sz w:val="21"/>
              </w:rPr>
              <w:t>本附加合同生效一周年后且在累积有现金价值的情况下，投保人可与主合同</w:t>
            </w:r>
          </w:p>
          <w:p>
            <w:pPr>
              <w:pStyle w:val="TableParagraph"/>
              <w:spacing w:line="237" w:lineRule="auto" w:before="1"/>
              <w:ind w:left="54" w:right="100"/>
              <w:jc w:val="both"/>
              <w:rPr>
                <w:sz w:val="21"/>
              </w:rPr>
            </w:pPr>
            <w:r>
              <w:rPr>
                <w:spacing w:val="1"/>
                <w:sz w:val="21"/>
              </w:rPr>
              <w:t>一起在缴费期内的每个保险费到期日向我们书面申请将主合同及本附加合</w:t>
            </w:r>
            <w:r>
              <w:rPr>
                <w:spacing w:val="-1"/>
                <w:sz w:val="21"/>
              </w:rPr>
              <w:t>同一并变更为减额付清保险。我们以变更当时本附加合同的现金价值作为一次性付清的保险费，计算本附加合同减额付清后的保险金额。</w:t>
            </w:r>
          </w:p>
          <w:p>
            <w:pPr>
              <w:pStyle w:val="TableParagraph"/>
              <w:spacing w:line="237" w:lineRule="auto"/>
              <w:ind w:left="54" w:right="102"/>
              <w:jc w:val="both"/>
              <w:rPr>
                <w:sz w:val="21"/>
              </w:rPr>
            </w:pPr>
            <w:r>
              <w:rPr>
                <w:spacing w:val="-3"/>
                <w:sz w:val="21"/>
              </w:rPr>
              <w:t>本附加合同变更为减额付清保险后，保险责任与变更前相同，但保险金额以变更后的为准。</w:t>
            </w:r>
          </w:p>
          <w:p>
            <w:pPr>
              <w:pStyle w:val="TableParagraph"/>
              <w:spacing w:line="273" w:lineRule="auto" w:before="19"/>
              <w:ind w:left="54" w:right="100"/>
              <w:jc w:val="both"/>
              <w:rPr>
                <w:sz w:val="21"/>
              </w:rPr>
            </w:pPr>
            <w:r>
              <w:rPr>
                <w:spacing w:val="-2"/>
                <w:sz w:val="21"/>
              </w:rPr>
              <w:t>投保人申请将主合同变更为减额付清保险时，视为本附加合同也申请变更为减额付清保险。但本附加合同不得单独变更。</w:t>
            </w:r>
          </w:p>
        </w:tc>
      </w:tr>
      <w:tr>
        <w:trPr>
          <w:trHeight w:val="791" w:hRule="atLeast"/>
        </w:trPr>
        <w:tc>
          <w:tcPr>
            <w:tcW w:w="692" w:type="dxa"/>
            <w:tcBorders>
              <w:bottom w:val="double" w:sz="1" w:space="0" w:color="000000"/>
            </w:tcBorders>
          </w:tcPr>
          <w:p>
            <w:pPr>
              <w:pStyle w:val="TableParagraph"/>
              <w:spacing w:before="10"/>
              <w:ind w:left="0"/>
              <w:rPr>
                <w:rFonts w:ascii="Times New Roman"/>
                <w:sz w:val="21"/>
              </w:rPr>
            </w:pPr>
          </w:p>
          <w:p>
            <w:pPr>
              <w:pStyle w:val="TableParagraph"/>
              <w:spacing w:before="1"/>
              <w:ind w:left="109"/>
              <w:rPr>
                <w:b/>
                <w:sz w:val="28"/>
              </w:rPr>
            </w:pPr>
            <w:r>
              <w:rPr>
                <w:b/>
                <w:w w:val="99"/>
                <w:sz w:val="28"/>
              </w:rPr>
              <w:t>6</w:t>
            </w:r>
          </w:p>
        </w:tc>
        <w:tc>
          <w:tcPr>
            <w:tcW w:w="8964" w:type="dxa"/>
            <w:gridSpan w:val="2"/>
            <w:tcBorders>
              <w:bottom w:val="double" w:sz="1" w:space="0" w:color="000000"/>
            </w:tcBorders>
          </w:tcPr>
          <w:p>
            <w:pPr>
              <w:pStyle w:val="TableParagraph"/>
              <w:spacing w:before="10"/>
              <w:ind w:left="0"/>
              <w:rPr>
                <w:rFonts w:ascii="Times New Roman"/>
                <w:sz w:val="21"/>
              </w:rPr>
            </w:pPr>
          </w:p>
          <w:p>
            <w:pPr>
              <w:pStyle w:val="TableParagraph"/>
              <w:spacing w:before="1"/>
              <w:ind w:left="264"/>
              <w:rPr>
                <w:b/>
                <w:sz w:val="28"/>
              </w:rPr>
            </w:pPr>
            <w:r>
              <w:rPr>
                <w:b/>
                <w:w w:val="95"/>
                <w:sz w:val="28"/>
              </w:rPr>
              <w:t>投保人的特别权利及相应义务</w:t>
            </w:r>
          </w:p>
        </w:tc>
      </w:tr>
      <w:tr>
        <w:trPr>
          <w:trHeight w:val="864" w:hRule="atLeast"/>
        </w:trPr>
        <w:tc>
          <w:tcPr>
            <w:tcW w:w="692" w:type="dxa"/>
            <w:tcBorders>
              <w:top w:val="double" w:sz="1" w:space="0" w:color="000000"/>
            </w:tcBorders>
          </w:tcPr>
          <w:p>
            <w:pPr>
              <w:pStyle w:val="TableParagraph"/>
              <w:spacing w:before="10"/>
              <w:ind w:left="0"/>
              <w:rPr>
                <w:rFonts w:ascii="Times New Roman"/>
                <w:sz w:val="15"/>
              </w:rPr>
            </w:pPr>
          </w:p>
          <w:p>
            <w:pPr>
              <w:pStyle w:val="TableParagraph"/>
              <w:ind w:left="109"/>
              <w:rPr>
                <w:b/>
                <w:sz w:val="21"/>
              </w:rPr>
            </w:pPr>
            <w:r>
              <w:rPr>
                <w:b/>
                <w:sz w:val="21"/>
              </w:rPr>
              <w:t>6.1</w:t>
            </w:r>
          </w:p>
        </w:tc>
        <w:tc>
          <w:tcPr>
            <w:tcW w:w="1912" w:type="dxa"/>
            <w:tcBorders>
              <w:top w:val="double" w:sz="1" w:space="0" w:color="000000"/>
            </w:tcBorders>
          </w:tcPr>
          <w:p>
            <w:pPr>
              <w:pStyle w:val="TableParagraph"/>
              <w:spacing w:before="10"/>
              <w:ind w:left="0"/>
              <w:rPr>
                <w:rFonts w:ascii="Times New Roman"/>
                <w:sz w:val="15"/>
              </w:rPr>
            </w:pPr>
          </w:p>
          <w:p>
            <w:pPr>
              <w:pStyle w:val="TableParagraph"/>
              <w:ind w:left="264"/>
              <w:rPr>
                <w:b/>
                <w:sz w:val="21"/>
              </w:rPr>
            </w:pPr>
            <w:r>
              <w:rPr>
                <w:b/>
                <w:w w:val="95"/>
                <w:sz w:val="21"/>
              </w:rPr>
              <w:t>变更保险金额</w:t>
            </w:r>
          </w:p>
        </w:tc>
        <w:tc>
          <w:tcPr>
            <w:tcW w:w="7052" w:type="dxa"/>
            <w:tcBorders>
              <w:top w:val="double" w:sz="1" w:space="0" w:color="000000"/>
            </w:tcBorders>
          </w:tcPr>
          <w:p>
            <w:pPr>
              <w:pStyle w:val="TableParagraph"/>
              <w:spacing w:line="237" w:lineRule="auto" w:before="165"/>
              <w:ind w:left="54" w:right="43"/>
              <w:rPr>
                <w:sz w:val="21"/>
              </w:rPr>
            </w:pPr>
            <w:r>
              <w:rPr>
                <w:sz w:val="21"/>
              </w:rPr>
              <w:t>在本附加合同有效期内主合同保险金额变更，本附加保险合同保险金额随之变更，但本附加合同的保险金额不得单独变更。</w:t>
            </w:r>
          </w:p>
        </w:tc>
      </w:tr>
      <w:tr>
        <w:trPr>
          <w:trHeight w:val="1491" w:hRule="atLeast"/>
        </w:trPr>
        <w:tc>
          <w:tcPr>
            <w:tcW w:w="692" w:type="dxa"/>
          </w:tcPr>
          <w:p>
            <w:pPr>
              <w:pStyle w:val="TableParagraph"/>
              <w:spacing w:before="90"/>
              <w:ind w:left="109"/>
              <w:rPr>
                <w:b/>
                <w:sz w:val="21"/>
              </w:rPr>
            </w:pPr>
            <w:r>
              <w:rPr>
                <w:b/>
                <w:sz w:val="21"/>
              </w:rPr>
              <w:t>6.2</w:t>
            </w:r>
          </w:p>
        </w:tc>
        <w:tc>
          <w:tcPr>
            <w:tcW w:w="1912" w:type="dxa"/>
          </w:tcPr>
          <w:p>
            <w:pPr>
              <w:pStyle w:val="TableParagraph"/>
              <w:spacing w:before="90"/>
              <w:ind w:left="264"/>
              <w:rPr>
                <w:b/>
                <w:sz w:val="21"/>
              </w:rPr>
            </w:pPr>
            <w:r>
              <w:rPr>
                <w:b/>
                <w:sz w:val="21"/>
              </w:rPr>
              <w:t>保单借款</w:t>
            </w:r>
          </w:p>
        </w:tc>
        <w:tc>
          <w:tcPr>
            <w:tcW w:w="7052" w:type="dxa"/>
          </w:tcPr>
          <w:p>
            <w:pPr>
              <w:pStyle w:val="TableParagraph"/>
              <w:spacing w:line="278" w:lineRule="auto" w:before="115"/>
              <w:ind w:left="54" w:right="100"/>
              <w:jc w:val="both"/>
              <w:rPr>
                <w:sz w:val="21"/>
              </w:rPr>
            </w:pPr>
            <w:r>
              <w:rPr>
                <w:spacing w:val="-2"/>
                <w:sz w:val="21"/>
              </w:rPr>
              <w:t>在本附加合同有效且累积有现金价值的情况下，投保人可以合并主合同向我</w:t>
            </w:r>
            <w:r>
              <w:rPr>
                <w:spacing w:val="-7"/>
                <w:sz w:val="21"/>
              </w:rPr>
              <w:t>们申请借款。借款比例、借款最低限额、借款期间、借款利息、偿还借款和借款利息等规定均与主合同相同。但本附加合同不得单独申请借款。</w:t>
            </w:r>
          </w:p>
          <w:p>
            <w:pPr>
              <w:pStyle w:val="TableParagraph"/>
              <w:spacing w:line="241" w:lineRule="exact"/>
              <w:ind w:left="54"/>
              <w:jc w:val="both"/>
              <w:rPr>
                <w:sz w:val="21"/>
              </w:rPr>
            </w:pPr>
            <w:r>
              <w:rPr>
                <w:sz w:val="21"/>
              </w:rPr>
              <w:t>本附加合同变更为减额付清保险后，我们不接受借款申请。</w:t>
            </w:r>
          </w:p>
        </w:tc>
      </w:tr>
      <w:tr>
        <w:trPr>
          <w:trHeight w:val="2632" w:hRule="atLeast"/>
        </w:trPr>
        <w:tc>
          <w:tcPr>
            <w:tcW w:w="692" w:type="dxa"/>
          </w:tcPr>
          <w:p>
            <w:pPr>
              <w:pStyle w:val="TableParagraph"/>
              <w:spacing w:before="143"/>
              <w:ind w:left="109"/>
              <w:rPr>
                <w:b/>
                <w:sz w:val="21"/>
              </w:rPr>
            </w:pPr>
            <w:r>
              <w:rPr>
                <w:b/>
                <w:sz w:val="21"/>
              </w:rPr>
              <w:t>6.3</w:t>
            </w:r>
          </w:p>
        </w:tc>
        <w:tc>
          <w:tcPr>
            <w:tcW w:w="1912" w:type="dxa"/>
          </w:tcPr>
          <w:p>
            <w:pPr>
              <w:pStyle w:val="TableParagraph"/>
              <w:spacing w:before="143"/>
              <w:ind w:left="264"/>
              <w:rPr>
                <w:b/>
                <w:sz w:val="21"/>
              </w:rPr>
            </w:pPr>
            <w:r>
              <w:rPr>
                <w:b/>
                <w:w w:val="95"/>
                <w:sz w:val="21"/>
              </w:rPr>
              <w:t>解除合同（退保）</w:t>
            </w:r>
          </w:p>
        </w:tc>
        <w:tc>
          <w:tcPr>
            <w:tcW w:w="7052" w:type="dxa"/>
          </w:tcPr>
          <w:p>
            <w:pPr>
              <w:pStyle w:val="TableParagraph"/>
              <w:spacing w:line="237" w:lineRule="auto" w:before="125"/>
              <w:ind w:left="54" w:right="43"/>
              <w:rPr>
                <w:sz w:val="21"/>
              </w:rPr>
            </w:pPr>
            <w:r>
              <w:rPr>
                <w:sz w:val="21"/>
              </w:rPr>
              <w:t>在本附加合同有效期内，投保人可以合并主合同书面通知我们要求解除本附加合同。申请退保时，投保人应提供下列证明文件和资料：</w:t>
            </w:r>
          </w:p>
          <w:p>
            <w:pPr>
              <w:pStyle w:val="TableParagraph"/>
              <w:spacing w:line="271" w:lineRule="exact"/>
              <w:ind w:left="54"/>
              <w:rPr>
                <w:sz w:val="21"/>
              </w:rPr>
            </w:pPr>
            <w:r>
              <w:rPr>
                <w:sz w:val="21"/>
              </w:rPr>
              <w:t>1、解除合同申请书；</w:t>
            </w:r>
          </w:p>
          <w:p>
            <w:pPr>
              <w:pStyle w:val="TableParagraph"/>
              <w:spacing w:line="272" w:lineRule="exact"/>
              <w:ind w:left="54"/>
              <w:rPr>
                <w:sz w:val="21"/>
              </w:rPr>
            </w:pPr>
            <w:r>
              <w:rPr>
                <w:sz w:val="21"/>
              </w:rPr>
              <w:t>2、保险合同；</w:t>
            </w:r>
          </w:p>
          <w:p>
            <w:pPr>
              <w:pStyle w:val="TableParagraph"/>
              <w:spacing w:line="272" w:lineRule="exact"/>
              <w:ind w:left="54"/>
              <w:rPr>
                <w:sz w:val="21"/>
              </w:rPr>
            </w:pPr>
            <w:r>
              <w:rPr>
                <w:sz w:val="21"/>
              </w:rPr>
              <w:t>3、投保人户籍证明或身份证明。</w:t>
            </w:r>
          </w:p>
          <w:p>
            <w:pPr>
              <w:pStyle w:val="TableParagraph"/>
              <w:spacing w:line="237" w:lineRule="auto" w:before="1"/>
              <w:ind w:left="54" w:right="100"/>
              <w:jc w:val="both"/>
              <w:rPr>
                <w:sz w:val="21"/>
              </w:rPr>
            </w:pPr>
            <w:r>
              <w:rPr>
                <w:sz w:val="21"/>
              </w:rPr>
              <w:t>自我们收到退保申请（若为邮寄，则以寄出邮戳为准）</w:t>
            </w:r>
            <w:r>
              <w:rPr>
                <w:spacing w:val="-5"/>
                <w:sz w:val="21"/>
              </w:rPr>
              <w:t>的当日 </w:t>
            </w:r>
            <w:r>
              <w:rPr>
                <w:sz w:val="21"/>
              </w:rPr>
              <w:t>24</w:t>
            </w:r>
            <w:r>
              <w:rPr>
                <w:spacing w:val="-4"/>
                <w:sz w:val="21"/>
              </w:rPr>
              <w:t> 时起，本</w:t>
            </w:r>
            <w:r>
              <w:rPr>
                <w:spacing w:val="-8"/>
                <w:sz w:val="21"/>
              </w:rPr>
              <w:t>附加合同的效力终止。我们将于收到上述证明文件和资料后三十日内退还本附加合同效力终止日的现金价值。</w:t>
            </w:r>
          </w:p>
        </w:tc>
      </w:tr>
      <w:tr>
        <w:trPr>
          <w:trHeight w:val="781" w:hRule="atLeast"/>
        </w:trPr>
        <w:tc>
          <w:tcPr>
            <w:tcW w:w="692" w:type="dxa"/>
            <w:tcBorders>
              <w:bottom w:val="double" w:sz="1" w:space="0" w:color="000000"/>
            </w:tcBorders>
          </w:tcPr>
          <w:p>
            <w:pPr>
              <w:pStyle w:val="TableParagraph"/>
              <w:spacing w:before="242"/>
              <w:ind w:left="109"/>
              <w:rPr>
                <w:b/>
                <w:sz w:val="28"/>
              </w:rPr>
            </w:pPr>
            <w:r>
              <w:rPr>
                <w:b/>
                <w:w w:val="99"/>
                <w:sz w:val="28"/>
              </w:rPr>
              <w:t>7</w:t>
            </w:r>
          </w:p>
        </w:tc>
        <w:tc>
          <w:tcPr>
            <w:tcW w:w="8964" w:type="dxa"/>
            <w:gridSpan w:val="2"/>
            <w:tcBorders>
              <w:bottom w:val="double" w:sz="1" w:space="0" w:color="000000"/>
            </w:tcBorders>
          </w:tcPr>
          <w:p>
            <w:pPr>
              <w:pStyle w:val="TableParagraph"/>
              <w:spacing w:before="242"/>
              <w:ind w:left="264"/>
              <w:rPr>
                <w:b/>
                <w:sz w:val="28"/>
              </w:rPr>
            </w:pPr>
            <w:r>
              <w:rPr>
                <w:b/>
                <w:w w:val="95"/>
                <w:sz w:val="28"/>
              </w:rPr>
              <w:t>投保人需要关注的其他事项</w:t>
            </w:r>
          </w:p>
        </w:tc>
      </w:tr>
      <w:tr>
        <w:trPr>
          <w:trHeight w:val="1235" w:hRule="atLeast"/>
        </w:trPr>
        <w:tc>
          <w:tcPr>
            <w:tcW w:w="692" w:type="dxa"/>
            <w:tcBorders>
              <w:top w:val="double" w:sz="1" w:space="0" w:color="000000"/>
            </w:tcBorders>
          </w:tcPr>
          <w:p>
            <w:pPr>
              <w:pStyle w:val="TableParagraph"/>
              <w:spacing w:before="10"/>
              <w:ind w:left="0"/>
              <w:rPr>
                <w:rFonts w:ascii="Times New Roman"/>
                <w:sz w:val="15"/>
              </w:rPr>
            </w:pPr>
          </w:p>
          <w:p>
            <w:pPr>
              <w:pStyle w:val="TableParagraph"/>
              <w:ind w:left="109"/>
              <w:rPr>
                <w:b/>
                <w:sz w:val="21"/>
              </w:rPr>
            </w:pPr>
            <w:r>
              <w:rPr>
                <w:b/>
                <w:sz w:val="21"/>
              </w:rPr>
              <w:t>7.1</w:t>
            </w:r>
          </w:p>
        </w:tc>
        <w:tc>
          <w:tcPr>
            <w:tcW w:w="1912" w:type="dxa"/>
            <w:tcBorders>
              <w:top w:val="double" w:sz="1" w:space="0" w:color="000000"/>
            </w:tcBorders>
          </w:tcPr>
          <w:p>
            <w:pPr>
              <w:pStyle w:val="TableParagraph"/>
              <w:spacing w:before="10"/>
              <w:ind w:left="0"/>
              <w:rPr>
                <w:rFonts w:ascii="Times New Roman"/>
                <w:sz w:val="15"/>
              </w:rPr>
            </w:pPr>
          </w:p>
          <w:p>
            <w:pPr>
              <w:pStyle w:val="TableParagraph"/>
              <w:ind w:left="262"/>
              <w:rPr>
                <w:b/>
                <w:sz w:val="21"/>
              </w:rPr>
            </w:pPr>
            <w:r>
              <w:rPr>
                <w:b/>
                <w:w w:val="95"/>
                <w:sz w:val="21"/>
              </w:rPr>
              <w:t>欠款扣除</w:t>
            </w:r>
          </w:p>
        </w:tc>
        <w:tc>
          <w:tcPr>
            <w:tcW w:w="7052" w:type="dxa"/>
            <w:tcBorders>
              <w:top w:val="double" w:sz="1" w:space="0" w:color="000000"/>
            </w:tcBorders>
          </w:tcPr>
          <w:p>
            <w:pPr>
              <w:pStyle w:val="TableParagraph"/>
              <w:spacing w:before="10"/>
              <w:ind w:left="0"/>
              <w:rPr>
                <w:rFonts w:ascii="Times New Roman"/>
                <w:sz w:val="15"/>
              </w:rPr>
            </w:pPr>
          </w:p>
          <w:p>
            <w:pPr>
              <w:pStyle w:val="TableParagraph"/>
              <w:spacing w:line="273" w:lineRule="auto"/>
              <w:ind w:left="53" w:right="99"/>
              <w:jc w:val="both"/>
              <w:rPr>
                <w:sz w:val="21"/>
              </w:rPr>
            </w:pPr>
            <w:r>
              <w:rPr>
                <w:spacing w:val="-3"/>
                <w:sz w:val="21"/>
              </w:rPr>
              <w:t>我们在给付各项保险金或现金价值、办理终止合同时，若投保人有欠缴本附</w:t>
            </w:r>
            <w:r>
              <w:rPr>
                <w:spacing w:val="-4"/>
                <w:sz w:val="21"/>
              </w:rPr>
              <w:t>加合同的保险费</w:t>
            </w:r>
            <w:r>
              <w:rPr>
                <w:sz w:val="21"/>
              </w:rPr>
              <w:t>（包括自动垫缴的保险费</w:t>
            </w:r>
            <w:r>
              <w:rPr>
                <w:spacing w:val="-9"/>
                <w:sz w:val="21"/>
              </w:rPr>
              <w:t>）</w:t>
            </w:r>
            <w:r>
              <w:rPr>
                <w:spacing w:val="-4"/>
                <w:sz w:val="21"/>
              </w:rPr>
              <w:t>及利息、借款及借款利息，则所有的欠款和利息均需先归还我们或由我们在给付款中扣除。</w:t>
            </w:r>
          </w:p>
        </w:tc>
      </w:tr>
      <w:tr>
        <w:trPr>
          <w:trHeight w:val="781" w:hRule="atLeast"/>
        </w:trPr>
        <w:tc>
          <w:tcPr>
            <w:tcW w:w="692" w:type="dxa"/>
          </w:tcPr>
          <w:p>
            <w:pPr>
              <w:pStyle w:val="TableParagraph"/>
              <w:spacing w:before="109"/>
              <w:ind w:left="109"/>
              <w:rPr>
                <w:b/>
                <w:sz w:val="21"/>
              </w:rPr>
            </w:pPr>
            <w:r>
              <w:rPr>
                <w:b/>
                <w:sz w:val="21"/>
              </w:rPr>
              <w:t>7.2</w:t>
            </w:r>
          </w:p>
        </w:tc>
        <w:tc>
          <w:tcPr>
            <w:tcW w:w="1912" w:type="dxa"/>
          </w:tcPr>
          <w:p>
            <w:pPr>
              <w:pStyle w:val="TableParagraph"/>
              <w:spacing w:before="109"/>
              <w:ind w:left="263"/>
              <w:rPr>
                <w:b/>
                <w:sz w:val="21"/>
              </w:rPr>
            </w:pPr>
            <w:r>
              <w:rPr>
                <w:b/>
                <w:w w:val="95"/>
                <w:sz w:val="21"/>
              </w:rPr>
              <w:t>合同效力的中止</w:t>
            </w:r>
          </w:p>
        </w:tc>
        <w:tc>
          <w:tcPr>
            <w:tcW w:w="7052" w:type="dxa"/>
          </w:tcPr>
          <w:p>
            <w:pPr>
              <w:pStyle w:val="TableParagraph"/>
              <w:spacing w:line="237" w:lineRule="auto" w:before="92"/>
              <w:ind w:left="53" w:right="2166"/>
              <w:rPr>
                <w:sz w:val="21"/>
              </w:rPr>
            </w:pPr>
            <w:r>
              <w:rPr>
                <w:sz w:val="21"/>
              </w:rPr>
              <w:t>主合同效力中止的同时，本附加合同的效力也中止。合同效力中止期间，我们不承担保险责任。</w:t>
            </w:r>
          </w:p>
        </w:tc>
      </w:tr>
      <w:tr>
        <w:trPr>
          <w:trHeight w:val="1492" w:hRule="atLeast"/>
        </w:trPr>
        <w:tc>
          <w:tcPr>
            <w:tcW w:w="692" w:type="dxa"/>
          </w:tcPr>
          <w:p>
            <w:pPr>
              <w:pStyle w:val="TableParagraph"/>
              <w:spacing w:before="100"/>
              <w:ind w:left="109"/>
              <w:rPr>
                <w:b/>
                <w:sz w:val="21"/>
              </w:rPr>
            </w:pPr>
            <w:r>
              <w:rPr>
                <w:b/>
                <w:sz w:val="21"/>
              </w:rPr>
              <w:t>7.3</w:t>
            </w:r>
          </w:p>
        </w:tc>
        <w:tc>
          <w:tcPr>
            <w:tcW w:w="1912" w:type="dxa"/>
          </w:tcPr>
          <w:p>
            <w:pPr>
              <w:pStyle w:val="TableParagraph"/>
              <w:spacing w:before="100"/>
              <w:ind w:left="263"/>
              <w:rPr>
                <w:b/>
                <w:sz w:val="21"/>
              </w:rPr>
            </w:pPr>
            <w:r>
              <w:rPr>
                <w:b/>
                <w:w w:val="95"/>
                <w:sz w:val="21"/>
              </w:rPr>
              <w:t>合同效力的终止</w:t>
            </w:r>
          </w:p>
        </w:tc>
        <w:tc>
          <w:tcPr>
            <w:tcW w:w="7052" w:type="dxa"/>
          </w:tcPr>
          <w:p>
            <w:pPr>
              <w:pStyle w:val="TableParagraph"/>
              <w:spacing w:before="80"/>
              <w:ind w:left="53"/>
              <w:rPr>
                <w:sz w:val="21"/>
              </w:rPr>
            </w:pPr>
            <w:r>
              <w:rPr>
                <w:sz w:val="21"/>
              </w:rPr>
              <w:t>有下列情况之一时，本附加合同的效力终止：</w:t>
            </w:r>
          </w:p>
          <w:p>
            <w:pPr>
              <w:pStyle w:val="TableParagraph"/>
              <w:spacing w:before="43"/>
              <w:ind w:left="53"/>
              <w:rPr>
                <w:sz w:val="21"/>
              </w:rPr>
            </w:pPr>
            <w:r>
              <w:rPr>
                <w:sz w:val="21"/>
              </w:rPr>
              <w:t>1、主合同撤销、解除、退保、满期、终止；</w:t>
            </w:r>
          </w:p>
          <w:p>
            <w:pPr>
              <w:pStyle w:val="TableParagraph"/>
              <w:spacing w:line="274" w:lineRule="exact"/>
              <w:ind w:left="54"/>
              <w:rPr>
                <w:sz w:val="21"/>
              </w:rPr>
            </w:pPr>
            <w:r>
              <w:rPr>
                <w:sz w:val="21"/>
              </w:rPr>
              <w:t>2、主合同及本附加合同约定的其它效力终止情形。</w:t>
            </w:r>
          </w:p>
          <w:p>
            <w:pPr>
              <w:pStyle w:val="TableParagraph"/>
              <w:spacing w:line="272" w:lineRule="exact" w:before="27"/>
              <w:ind w:left="54" w:right="44"/>
              <w:rPr>
                <w:sz w:val="21"/>
              </w:rPr>
            </w:pPr>
            <w:r>
              <w:rPr>
                <w:sz w:val="21"/>
              </w:rPr>
              <w:t>本附加合同效力终止后，除另有规定外，我们不退还本附加合同的现金价值或已缴的保险费。</w:t>
            </w:r>
          </w:p>
        </w:tc>
      </w:tr>
    </w:tbl>
    <w:p>
      <w:pPr>
        <w:spacing w:after="0" w:line="272" w:lineRule="exact"/>
        <w:rPr>
          <w:sz w:val="21"/>
        </w:rPr>
        <w:sectPr>
          <w:pgSz w:w="11910" w:h="16840"/>
          <w:pgMar w:header="0" w:footer="918" w:top="1600" w:bottom="1100" w:left="1080" w:right="940"/>
        </w:sectPr>
      </w:pPr>
    </w:p>
    <w:p>
      <w:pPr>
        <w:pStyle w:val="BodyText"/>
        <w:spacing w:before="11"/>
        <w:rPr>
          <w:rFonts w:ascii="Times New Roman"/>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858"/>
        <w:gridCol w:w="7108"/>
      </w:tblGrid>
      <w:tr>
        <w:trPr>
          <w:trHeight w:val="450" w:hRule="atLeast"/>
        </w:trPr>
        <w:tc>
          <w:tcPr>
            <w:tcW w:w="692" w:type="dxa"/>
            <w:tcBorders>
              <w:bottom w:val="double" w:sz="1" w:space="0" w:color="000000"/>
            </w:tcBorders>
          </w:tcPr>
          <w:p>
            <w:pPr>
              <w:pStyle w:val="TableParagraph"/>
              <w:spacing w:line="280" w:lineRule="exact"/>
              <w:ind w:left="109"/>
              <w:rPr>
                <w:b/>
                <w:sz w:val="28"/>
              </w:rPr>
            </w:pPr>
            <w:r>
              <w:rPr>
                <w:b/>
                <w:w w:val="99"/>
                <w:sz w:val="28"/>
              </w:rPr>
              <w:t>8</w:t>
            </w:r>
          </w:p>
        </w:tc>
        <w:tc>
          <w:tcPr>
            <w:tcW w:w="8966" w:type="dxa"/>
            <w:gridSpan w:val="2"/>
            <w:tcBorders>
              <w:bottom w:val="double" w:sz="1" w:space="0" w:color="000000"/>
            </w:tcBorders>
          </w:tcPr>
          <w:p>
            <w:pPr>
              <w:pStyle w:val="TableParagraph"/>
              <w:spacing w:line="280" w:lineRule="exact"/>
              <w:ind w:left="264"/>
              <w:rPr>
                <w:b/>
                <w:sz w:val="28"/>
              </w:rPr>
            </w:pPr>
            <w:r>
              <w:rPr>
                <w:b/>
                <w:w w:val="95"/>
                <w:sz w:val="28"/>
              </w:rPr>
              <w:t>释义</w:t>
            </w:r>
          </w:p>
        </w:tc>
      </w:tr>
      <w:tr>
        <w:trPr>
          <w:trHeight w:val="583" w:hRule="atLeast"/>
        </w:trPr>
        <w:tc>
          <w:tcPr>
            <w:tcW w:w="9658" w:type="dxa"/>
            <w:gridSpan w:val="3"/>
            <w:tcBorders>
              <w:top w:val="double" w:sz="1" w:space="0" w:color="000000"/>
            </w:tcBorders>
          </w:tcPr>
          <w:p>
            <w:pPr>
              <w:pStyle w:val="TableParagraph"/>
              <w:spacing w:before="11"/>
              <w:ind w:left="0"/>
              <w:rPr>
                <w:rFonts w:ascii="Times New Roman"/>
                <w:sz w:val="15"/>
              </w:rPr>
            </w:pPr>
          </w:p>
          <w:p>
            <w:pPr>
              <w:pStyle w:val="TableParagraph"/>
              <w:ind w:left="109"/>
              <w:rPr>
                <w:sz w:val="21"/>
              </w:rPr>
            </w:pPr>
            <w:r>
              <w:rPr>
                <w:sz w:val="21"/>
              </w:rPr>
              <w:t>本附加合同中具有特定含义的名词，除非本附加合同另有释义，适用主合同的释义。</w:t>
            </w:r>
          </w:p>
        </w:tc>
      </w:tr>
      <w:tr>
        <w:trPr>
          <w:trHeight w:val="491" w:hRule="atLeast"/>
        </w:trPr>
        <w:tc>
          <w:tcPr>
            <w:tcW w:w="692" w:type="dxa"/>
          </w:tcPr>
          <w:p>
            <w:pPr>
              <w:pStyle w:val="TableParagraph"/>
              <w:spacing w:before="81"/>
              <w:ind w:left="109"/>
              <w:rPr>
                <w:b/>
                <w:sz w:val="21"/>
              </w:rPr>
            </w:pPr>
            <w:r>
              <w:rPr>
                <w:b/>
                <w:sz w:val="21"/>
              </w:rPr>
              <w:t>8.1</w:t>
            </w:r>
          </w:p>
        </w:tc>
        <w:tc>
          <w:tcPr>
            <w:tcW w:w="1858" w:type="dxa"/>
          </w:tcPr>
          <w:p>
            <w:pPr>
              <w:pStyle w:val="TableParagraph"/>
              <w:spacing w:before="81"/>
              <w:ind w:left="263"/>
              <w:rPr>
                <w:b/>
                <w:sz w:val="21"/>
              </w:rPr>
            </w:pPr>
            <w:r>
              <w:rPr>
                <w:b/>
                <w:w w:val="95"/>
                <w:sz w:val="21"/>
              </w:rPr>
              <w:t>意外伤害事故</w:t>
            </w:r>
          </w:p>
        </w:tc>
        <w:tc>
          <w:tcPr>
            <w:tcW w:w="7108" w:type="dxa"/>
          </w:tcPr>
          <w:p>
            <w:pPr>
              <w:pStyle w:val="TableParagraph"/>
              <w:spacing w:before="60"/>
              <w:rPr>
                <w:sz w:val="21"/>
              </w:rPr>
            </w:pPr>
            <w:r>
              <w:rPr>
                <w:sz w:val="21"/>
              </w:rPr>
              <w:t>指外来的、突发的、非本意的、非疾病的客观事件。</w:t>
            </w:r>
          </w:p>
        </w:tc>
      </w:tr>
      <w:tr>
        <w:trPr>
          <w:trHeight w:val="535" w:hRule="atLeast"/>
        </w:trPr>
        <w:tc>
          <w:tcPr>
            <w:tcW w:w="692" w:type="dxa"/>
          </w:tcPr>
          <w:p>
            <w:pPr>
              <w:pStyle w:val="TableParagraph"/>
              <w:spacing w:before="71"/>
              <w:ind w:left="109"/>
              <w:rPr>
                <w:b/>
                <w:sz w:val="21"/>
              </w:rPr>
            </w:pPr>
            <w:r>
              <w:rPr>
                <w:b/>
                <w:sz w:val="21"/>
              </w:rPr>
              <w:t>8.2</w:t>
            </w:r>
          </w:p>
        </w:tc>
        <w:tc>
          <w:tcPr>
            <w:tcW w:w="1858" w:type="dxa"/>
          </w:tcPr>
          <w:p>
            <w:pPr>
              <w:pStyle w:val="TableParagraph"/>
              <w:spacing w:before="71"/>
              <w:ind w:left="262"/>
              <w:rPr>
                <w:b/>
                <w:sz w:val="21"/>
              </w:rPr>
            </w:pPr>
            <w:r>
              <w:rPr>
                <w:b/>
                <w:w w:val="95"/>
                <w:sz w:val="21"/>
              </w:rPr>
              <w:t>意外伤害</w:t>
            </w:r>
          </w:p>
        </w:tc>
        <w:tc>
          <w:tcPr>
            <w:tcW w:w="7108" w:type="dxa"/>
          </w:tcPr>
          <w:p>
            <w:pPr>
              <w:pStyle w:val="TableParagraph"/>
              <w:spacing w:before="129"/>
              <w:rPr>
                <w:sz w:val="21"/>
              </w:rPr>
            </w:pPr>
            <w:r>
              <w:rPr>
                <w:sz w:val="21"/>
              </w:rPr>
              <w:t>指以意外伤害事故为直接且单独的原因所导致身体受到的伤害。</w:t>
            </w:r>
          </w:p>
        </w:tc>
      </w:tr>
      <w:tr>
        <w:trPr>
          <w:trHeight w:val="3409" w:hRule="atLeast"/>
        </w:trPr>
        <w:tc>
          <w:tcPr>
            <w:tcW w:w="692" w:type="dxa"/>
          </w:tcPr>
          <w:p>
            <w:pPr>
              <w:pStyle w:val="TableParagraph"/>
              <w:spacing w:before="66"/>
              <w:ind w:left="109"/>
              <w:rPr>
                <w:b/>
                <w:sz w:val="21"/>
              </w:rPr>
            </w:pPr>
            <w:r>
              <w:rPr>
                <w:b/>
                <w:sz w:val="21"/>
              </w:rPr>
              <w:t>8.3</w:t>
            </w:r>
          </w:p>
        </w:tc>
        <w:tc>
          <w:tcPr>
            <w:tcW w:w="1858" w:type="dxa"/>
          </w:tcPr>
          <w:p>
            <w:pPr>
              <w:pStyle w:val="TableParagraph"/>
              <w:spacing w:before="66"/>
              <w:ind w:left="264"/>
              <w:rPr>
                <w:b/>
                <w:sz w:val="21"/>
              </w:rPr>
            </w:pPr>
            <w:r>
              <w:rPr>
                <w:b/>
                <w:w w:val="95"/>
                <w:sz w:val="21"/>
              </w:rPr>
              <w:t>医院</w:t>
            </w:r>
          </w:p>
        </w:tc>
        <w:tc>
          <w:tcPr>
            <w:tcW w:w="7108" w:type="dxa"/>
          </w:tcPr>
          <w:p>
            <w:pPr>
              <w:pStyle w:val="TableParagraph"/>
              <w:spacing w:line="314" w:lineRule="auto" w:before="124"/>
              <w:ind w:right="46"/>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20"/>
              <w:rPr>
                <w:sz w:val="21"/>
              </w:rPr>
            </w:pPr>
            <w:r>
              <w:rPr>
                <w:sz w:val="21"/>
              </w:rPr>
              <w:t>1、拥有合法经营执照；</w:t>
            </w:r>
          </w:p>
          <w:p>
            <w:pPr>
              <w:pStyle w:val="TableParagraph"/>
              <w:spacing w:before="85"/>
              <w:rPr>
                <w:sz w:val="21"/>
              </w:rPr>
            </w:pPr>
            <w:r>
              <w:rPr>
                <w:sz w:val="21"/>
              </w:rPr>
              <w:t>2、设立的主要目的为受伤者和患病者提供留院治疗和护理；</w:t>
            </w:r>
          </w:p>
          <w:p>
            <w:pPr>
              <w:pStyle w:val="TableParagraph"/>
              <w:spacing w:before="85"/>
              <w:rPr>
                <w:sz w:val="21"/>
              </w:rPr>
            </w:pPr>
            <w:r>
              <w:rPr>
                <w:sz w:val="21"/>
              </w:rPr>
              <w:t>3、有合法职称的专业医生和护士提供全日二十四小时的医疗和护理服务；</w:t>
            </w:r>
          </w:p>
          <w:p>
            <w:pPr>
              <w:pStyle w:val="TableParagraph"/>
              <w:spacing w:line="297" w:lineRule="auto" w:before="85"/>
              <w:ind w:right="102"/>
              <w:rPr>
                <w:sz w:val="21"/>
              </w:rPr>
            </w:pPr>
            <w:r>
              <w:rPr>
                <w:rFonts w:ascii="Times New Roman" w:eastAsia="Times New Roman"/>
                <w:sz w:val="21"/>
              </w:rPr>
              <w:t>4</w:t>
            </w:r>
            <w:r>
              <w:rPr>
                <w:sz w:val="21"/>
              </w:rPr>
              <w:t>、具有系统性诊疗等程序或手术设备的综合性医院和专科医院，但不包括观察室、联合病房、精神病院和康复病房；</w:t>
            </w:r>
          </w:p>
          <w:p>
            <w:pPr>
              <w:pStyle w:val="TableParagraph"/>
              <w:spacing w:line="297" w:lineRule="auto" w:before="34"/>
              <w:ind w:right="102"/>
              <w:rPr>
                <w:sz w:val="21"/>
              </w:rPr>
            </w:pPr>
            <w:r>
              <w:rPr>
                <w:rFonts w:ascii="Times New Roman" w:eastAsia="Times New Roman"/>
                <w:sz w:val="21"/>
              </w:rPr>
              <w:t>5</w:t>
            </w:r>
            <w:r>
              <w:rPr>
                <w:sz w:val="21"/>
              </w:rPr>
              <w:t>、非主要作为康复医院、诊所、护理、疗养、戒酒、戒毒或类似的医疗机构。</w:t>
            </w:r>
          </w:p>
        </w:tc>
      </w:tr>
      <w:tr>
        <w:trPr>
          <w:trHeight w:val="1725" w:hRule="atLeast"/>
        </w:trPr>
        <w:tc>
          <w:tcPr>
            <w:tcW w:w="692" w:type="dxa"/>
          </w:tcPr>
          <w:p>
            <w:pPr>
              <w:pStyle w:val="TableParagraph"/>
              <w:spacing w:before="66"/>
              <w:ind w:left="109"/>
              <w:rPr>
                <w:b/>
                <w:sz w:val="21"/>
              </w:rPr>
            </w:pPr>
            <w:r>
              <w:rPr>
                <w:b/>
                <w:sz w:val="21"/>
              </w:rPr>
              <w:t>8.4</w:t>
            </w:r>
          </w:p>
        </w:tc>
        <w:tc>
          <w:tcPr>
            <w:tcW w:w="1858" w:type="dxa"/>
          </w:tcPr>
          <w:p>
            <w:pPr>
              <w:pStyle w:val="TableParagraph"/>
              <w:spacing w:before="66"/>
              <w:ind w:left="264"/>
              <w:rPr>
                <w:b/>
                <w:sz w:val="21"/>
              </w:rPr>
            </w:pPr>
            <w:r>
              <w:rPr>
                <w:b/>
                <w:sz w:val="21"/>
              </w:rPr>
              <w:t>专科医生</w:t>
            </w:r>
          </w:p>
        </w:tc>
        <w:tc>
          <w:tcPr>
            <w:tcW w:w="7108" w:type="dxa"/>
          </w:tcPr>
          <w:p>
            <w:pPr>
              <w:pStyle w:val="TableParagraph"/>
              <w:spacing w:before="66"/>
              <w:rPr>
                <w:sz w:val="21"/>
              </w:rPr>
            </w:pPr>
            <w:r>
              <w:rPr>
                <w:sz w:val="21"/>
              </w:rPr>
              <w:t>专科医生应当同时满足以下四项资格条件</w:t>
            </w:r>
            <w:r>
              <w:rPr>
                <w:spacing w:val="-123"/>
                <w:sz w:val="21"/>
              </w:rPr>
              <w:t>：</w:t>
            </w:r>
            <w:r>
              <w:rPr>
                <w:sz w:val="21"/>
              </w:rPr>
              <w:t>（1</w:t>
            </w:r>
            <w:r>
              <w:rPr>
                <w:spacing w:val="-19"/>
                <w:sz w:val="21"/>
              </w:rPr>
              <w:t>）</w:t>
            </w:r>
            <w:r>
              <w:rPr>
                <w:sz w:val="21"/>
              </w:rPr>
              <w:t>具有有效的中华人民共和国</w:t>
            </w:r>
          </w:p>
          <w:p>
            <w:pPr>
              <w:pStyle w:val="TableParagraph"/>
              <w:spacing w:line="273" w:lineRule="auto" w:before="37"/>
              <w:ind w:right="102"/>
              <w:jc w:val="both"/>
              <w:rPr>
                <w:sz w:val="21"/>
              </w:rPr>
            </w:pPr>
            <w:r>
              <w:rPr>
                <w:spacing w:val="-23"/>
                <w:sz w:val="21"/>
              </w:rPr>
              <w:t>《 医师资格证书》；</w:t>
            </w:r>
            <w:r>
              <w:rPr>
                <w:spacing w:val="-2"/>
                <w:sz w:val="21"/>
              </w:rPr>
              <w:t>（</w:t>
            </w:r>
            <w:r>
              <w:rPr>
                <w:sz w:val="21"/>
              </w:rPr>
              <w:t>2</w:t>
            </w:r>
            <w:r>
              <w:rPr>
                <w:spacing w:val="-10"/>
                <w:sz w:val="21"/>
              </w:rPr>
              <w:t>）</w:t>
            </w:r>
            <w:r>
              <w:rPr>
                <w:spacing w:val="-9"/>
                <w:sz w:val="21"/>
              </w:rPr>
              <w:t>具有有效的中华人民共和国《 医师执业证书》，并</w:t>
            </w:r>
            <w:r>
              <w:rPr>
                <w:sz w:val="21"/>
              </w:rPr>
              <w:t>按期到相关部门登记注册</w:t>
            </w:r>
            <w:r>
              <w:rPr>
                <w:spacing w:val="-123"/>
                <w:sz w:val="21"/>
              </w:rPr>
              <w:t>；</w:t>
            </w:r>
            <w:r>
              <w:rPr>
                <w:sz w:val="21"/>
              </w:rPr>
              <w:t>（3</w:t>
            </w:r>
            <w:r>
              <w:rPr>
                <w:spacing w:val="-19"/>
                <w:sz w:val="21"/>
              </w:rPr>
              <w:t>）</w:t>
            </w:r>
            <w:r>
              <w:rPr>
                <w:sz w:val="21"/>
              </w:rPr>
              <w:t>具有有效的中华人民共和国主治医师或主治</w:t>
            </w:r>
            <w:r>
              <w:rPr>
                <w:spacing w:val="-16"/>
                <w:sz w:val="21"/>
              </w:rPr>
              <w:t>医师以上职称的《 医师职称证书》；</w:t>
            </w:r>
            <w:r>
              <w:rPr>
                <w:sz w:val="21"/>
              </w:rPr>
              <w:t>（4</w:t>
            </w:r>
            <w:r>
              <w:rPr>
                <w:spacing w:val="-12"/>
                <w:sz w:val="21"/>
              </w:rPr>
              <w:t>）</w:t>
            </w:r>
            <w:r>
              <w:rPr>
                <w:sz w:val="21"/>
              </w:rPr>
              <w:t>在二级或二级以上医院的相应科室从事临床工作三年以上。</w:t>
            </w:r>
          </w:p>
        </w:tc>
      </w:tr>
      <w:tr>
        <w:trPr>
          <w:trHeight w:val="1758" w:hRule="atLeast"/>
        </w:trPr>
        <w:tc>
          <w:tcPr>
            <w:tcW w:w="692" w:type="dxa"/>
          </w:tcPr>
          <w:p>
            <w:pPr>
              <w:pStyle w:val="TableParagraph"/>
              <w:spacing w:before="71"/>
              <w:ind w:left="109"/>
              <w:rPr>
                <w:b/>
                <w:sz w:val="21"/>
              </w:rPr>
            </w:pPr>
            <w:r>
              <w:rPr>
                <w:b/>
                <w:sz w:val="21"/>
              </w:rPr>
              <w:t>8.5</w:t>
            </w:r>
          </w:p>
        </w:tc>
        <w:tc>
          <w:tcPr>
            <w:tcW w:w="1858" w:type="dxa"/>
          </w:tcPr>
          <w:p>
            <w:pPr>
              <w:pStyle w:val="TableParagraph"/>
              <w:spacing w:line="273" w:lineRule="auto" w:before="71"/>
              <w:ind w:left="264" w:right="105"/>
              <w:rPr>
                <w:b/>
                <w:sz w:val="21"/>
              </w:rPr>
            </w:pPr>
            <w:r>
              <w:rPr>
                <w:b/>
                <w:sz w:val="21"/>
              </w:rPr>
              <w:t>感染艾滋病病毒</w:t>
            </w:r>
            <w:r>
              <w:rPr>
                <w:b/>
                <w:w w:val="95"/>
                <w:sz w:val="21"/>
              </w:rPr>
              <w:t>或患艾滋病</w:t>
            </w:r>
          </w:p>
        </w:tc>
        <w:tc>
          <w:tcPr>
            <w:tcW w:w="7108" w:type="dxa"/>
          </w:tcPr>
          <w:p>
            <w:pPr>
              <w:pStyle w:val="TableParagraph"/>
              <w:spacing w:line="273" w:lineRule="auto" w:before="71"/>
              <w:ind w:left="108" w:right="4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8" w:right="-15"/>
              <w:rPr>
                <w:sz w:val="21"/>
              </w:rPr>
            </w:pPr>
            <w:r>
              <w:rPr>
                <w:spacing w:val="-2"/>
                <w:sz w:val="21"/>
              </w:rPr>
              <w:t>在人体血液或其他样本中检测到艾滋病病毒或其抗体呈阳性，没有出现临床</w:t>
            </w:r>
            <w:r>
              <w:rPr>
                <w:spacing w:val="-13"/>
                <w:sz w:val="21"/>
              </w:rPr>
              <w:t>症状或体征的，为感染艾滋病病毒；如果同时出现了明显临床症状或体征的， 为患艾滋病。</w:t>
            </w:r>
          </w:p>
        </w:tc>
      </w:tr>
      <w:tr>
        <w:trPr>
          <w:trHeight w:val="900" w:hRule="atLeast"/>
        </w:trPr>
        <w:tc>
          <w:tcPr>
            <w:tcW w:w="692" w:type="dxa"/>
          </w:tcPr>
          <w:p>
            <w:pPr>
              <w:pStyle w:val="TableParagraph"/>
              <w:spacing w:before="99"/>
              <w:ind w:left="109"/>
              <w:rPr>
                <w:b/>
                <w:sz w:val="21"/>
              </w:rPr>
            </w:pPr>
            <w:r>
              <w:rPr>
                <w:b/>
                <w:sz w:val="21"/>
              </w:rPr>
              <w:t>8.6</w:t>
            </w:r>
          </w:p>
        </w:tc>
        <w:tc>
          <w:tcPr>
            <w:tcW w:w="1858" w:type="dxa"/>
          </w:tcPr>
          <w:p>
            <w:pPr>
              <w:pStyle w:val="TableParagraph"/>
              <w:spacing w:before="177"/>
              <w:ind w:left="264"/>
              <w:rPr>
                <w:b/>
                <w:sz w:val="21"/>
              </w:rPr>
            </w:pPr>
            <w:r>
              <w:rPr>
                <w:b/>
                <w:w w:val="95"/>
                <w:sz w:val="21"/>
              </w:rPr>
              <w:t>遗传性疾病</w:t>
            </w:r>
          </w:p>
        </w:tc>
        <w:tc>
          <w:tcPr>
            <w:tcW w:w="7108" w:type="dxa"/>
          </w:tcPr>
          <w:p>
            <w:pPr>
              <w:pStyle w:val="TableParagraph"/>
              <w:spacing w:line="273" w:lineRule="auto" w:before="99"/>
              <w:ind w:left="108" w:right="46"/>
              <w:rPr>
                <w:sz w:val="21"/>
              </w:rPr>
            </w:pPr>
            <w:r>
              <w:rPr>
                <w:sz w:val="21"/>
              </w:rPr>
              <w:t>指生殖细胞或受精卵的遗传物质（染色体和基因）发生突变或畸变所引起的疾病，通常具有由亲代传至后代的垂直传递的特征。</w:t>
            </w:r>
          </w:p>
        </w:tc>
      </w:tr>
      <w:tr>
        <w:trPr>
          <w:trHeight w:val="1064" w:hRule="atLeast"/>
        </w:trPr>
        <w:tc>
          <w:tcPr>
            <w:tcW w:w="692" w:type="dxa"/>
          </w:tcPr>
          <w:p>
            <w:pPr>
              <w:pStyle w:val="TableParagraph"/>
              <w:spacing w:before="149"/>
              <w:ind w:left="109"/>
              <w:rPr>
                <w:b/>
                <w:sz w:val="21"/>
              </w:rPr>
            </w:pPr>
            <w:r>
              <w:rPr>
                <w:b/>
                <w:sz w:val="21"/>
              </w:rPr>
              <w:t>8.7</w:t>
            </w:r>
          </w:p>
        </w:tc>
        <w:tc>
          <w:tcPr>
            <w:tcW w:w="1858" w:type="dxa"/>
          </w:tcPr>
          <w:p>
            <w:pPr>
              <w:pStyle w:val="TableParagraph"/>
              <w:spacing w:line="273" w:lineRule="auto" w:before="149"/>
              <w:ind w:left="264" w:right="115" w:hanging="1"/>
              <w:rPr>
                <w:b/>
                <w:sz w:val="21"/>
              </w:rPr>
            </w:pPr>
            <w:r>
              <w:rPr>
                <w:b/>
                <w:sz w:val="21"/>
              </w:rPr>
              <w:t>先天性畸形、变</w:t>
            </w:r>
            <w:r>
              <w:rPr>
                <w:b/>
                <w:w w:val="95"/>
                <w:sz w:val="21"/>
              </w:rPr>
              <w:t>形或染色体异常</w:t>
            </w:r>
          </w:p>
        </w:tc>
        <w:tc>
          <w:tcPr>
            <w:tcW w:w="7108" w:type="dxa"/>
          </w:tcPr>
          <w:p>
            <w:pPr>
              <w:pStyle w:val="TableParagraph"/>
              <w:spacing w:line="273" w:lineRule="auto" w:before="149"/>
              <w:ind w:left="108" w:right="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1" w:lineRule="exact" w:before="7"/>
              <w:ind w:left="108"/>
              <w:rPr>
                <w:sz w:val="21"/>
              </w:rPr>
            </w:pPr>
            <w:r>
              <w:rPr>
                <w:sz w:val="21"/>
              </w:rPr>
              <w:t>（</w:t>
            </w:r>
            <w:r>
              <w:rPr>
                <w:rFonts w:ascii="Times New Roman" w:eastAsia="Times New Roman"/>
                <w:sz w:val="21"/>
              </w:rPr>
              <w:t>ICD-10</w:t>
            </w:r>
            <w:r>
              <w:rPr>
                <w:sz w:val="21"/>
              </w:rPr>
              <w:t>）确定。</w:t>
            </w:r>
          </w:p>
        </w:tc>
      </w:tr>
    </w:tbl>
    <w:sectPr>
      <w:pgSz w:w="11910" w:h="16840"/>
      <w:pgMar w:header="0" w:footer="918" w:top="1600" w:bottom="110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Courier New">
    <w:altName w:val="Courier New"/>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38680" type="#_x0000_t202" filled="false" stroked="false">
          <v:textbox inset="0,0,0,0">
            <w:txbxContent>
              <w:p>
                <w:pPr>
                  <w:spacing w:before="12"/>
                  <w:ind w:left="20" w:right="0" w:firstLine="0"/>
                  <w:jc w:val="left"/>
                  <w:rPr>
                    <w:rFonts w:ascii="Times New Roman"/>
                    <w:sz w:val="18"/>
                  </w:rPr>
                </w:pPr>
                <w:r>
                  <w:rPr>
                    <w:rFonts w:ascii="Times New Roman"/>
                    <w:sz w:val="18"/>
                  </w:rPr>
                  <w:t>15-</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1249" w:hanging="721"/>
        <w:jc w:val="left"/>
      </w:pPr>
      <w:rPr>
        <w:rFonts w:hint="default" w:ascii="宋体" w:hAnsi="宋体" w:eastAsia="宋体" w:cs="宋体"/>
        <w:spacing w:val="-52"/>
        <w:w w:val="100"/>
        <w:sz w:val="21"/>
        <w:szCs w:val="21"/>
      </w:rPr>
    </w:lvl>
    <w:lvl w:ilvl="1">
      <w:start w:val="0"/>
      <w:numFmt w:val="bullet"/>
      <w:lvlText w:val="•"/>
      <w:lvlJc w:val="left"/>
      <w:pPr>
        <w:ind w:left="1825" w:hanging="721"/>
      </w:pPr>
      <w:rPr>
        <w:rFonts w:hint="default"/>
      </w:rPr>
    </w:lvl>
    <w:lvl w:ilvl="2">
      <w:start w:val="0"/>
      <w:numFmt w:val="bullet"/>
      <w:lvlText w:val="•"/>
      <w:lvlJc w:val="left"/>
      <w:pPr>
        <w:ind w:left="2410" w:hanging="721"/>
      </w:pPr>
      <w:rPr>
        <w:rFonts w:hint="default"/>
      </w:rPr>
    </w:lvl>
    <w:lvl w:ilvl="3">
      <w:start w:val="0"/>
      <w:numFmt w:val="bullet"/>
      <w:lvlText w:val="•"/>
      <w:lvlJc w:val="left"/>
      <w:pPr>
        <w:ind w:left="2995" w:hanging="721"/>
      </w:pPr>
      <w:rPr>
        <w:rFonts w:hint="default"/>
      </w:rPr>
    </w:lvl>
    <w:lvl w:ilvl="4">
      <w:start w:val="0"/>
      <w:numFmt w:val="bullet"/>
      <w:lvlText w:val="•"/>
      <w:lvlJc w:val="left"/>
      <w:pPr>
        <w:ind w:left="3580" w:hanging="721"/>
      </w:pPr>
      <w:rPr>
        <w:rFonts w:hint="default"/>
      </w:rPr>
    </w:lvl>
    <w:lvl w:ilvl="5">
      <w:start w:val="0"/>
      <w:numFmt w:val="bullet"/>
      <w:lvlText w:val="•"/>
      <w:lvlJc w:val="left"/>
      <w:pPr>
        <w:ind w:left="4166" w:hanging="721"/>
      </w:pPr>
      <w:rPr>
        <w:rFonts w:hint="default"/>
      </w:rPr>
    </w:lvl>
    <w:lvl w:ilvl="6">
      <w:start w:val="0"/>
      <w:numFmt w:val="bullet"/>
      <w:lvlText w:val="•"/>
      <w:lvlJc w:val="left"/>
      <w:pPr>
        <w:ind w:left="4751" w:hanging="721"/>
      </w:pPr>
      <w:rPr>
        <w:rFonts w:hint="default"/>
      </w:rPr>
    </w:lvl>
    <w:lvl w:ilvl="7">
      <w:start w:val="0"/>
      <w:numFmt w:val="bullet"/>
      <w:lvlText w:val="•"/>
      <w:lvlJc w:val="left"/>
      <w:pPr>
        <w:ind w:left="5336" w:hanging="721"/>
      </w:pPr>
      <w:rPr>
        <w:rFonts w:hint="default"/>
      </w:rPr>
    </w:lvl>
    <w:lvl w:ilvl="8">
      <w:start w:val="0"/>
      <w:numFmt w:val="bullet"/>
      <w:lvlText w:val="•"/>
      <w:lvlJc w:val="left"/>
      <w:pPr>
        <w:ind w:left="5921" w:hanging="721"/>
      </w:pPr>
      <w:rPr>
        <w:rFonts w:hint="default"/>
      </w:rPr>
    </w:lvl>
  </w:abstractNum>
  <w:abstractNum w:abstractNumId="4">
    <w:multiLevelType w:val="hybridMultilevel"/>
    <w:lvl w:ilvl="0">
      <w:start w:val="0"/>
      <w:numFmt w:val="bullet"/>
      <w:lvlText w:val="■"/>
      <w:lvlJc w:val="left"/>
      <w:pPr>
        <w:ind w:left="421" w:hanging="316"/>
      </w:pPr>
      <w:rPr>
        <w:rFonts w:hint="default" w:ascii="宋体" w:hAnsi="宋体" w:eastAsia="宋体" w:cs="宋体"/>
        <w:spacing w:val="-2"/>
        <w:w w:val="100"/>
        <w:sz w:val="21"/>
        <w:szCs w:val="21"/>
      </w:rPr>
    </w:lvl>
    <w:lvl w:ilvl="1">
      <w:start w:val="0"/>
      <w:numFmt w:val="bullet"/>
      <w:lvlText w:val="•"/>
      <w:lvlJc w:val="left"/>
      <w:pPr>
        <w:ind w:left="1108" w:hanging="316"/>
      </w:pPr>
      <w:rPr>
        <w:rFonts w:hint="default"/>
      </w:rPr>
    </w:lvl>
    <w:lvl w:ilvl="2">
      <w:start w:val="0"/>
      <w:numFmt w:val="bullet"/>
      <w:lvlText w:val="•"/>
      <w:lvlJc w:val="left"/>
      <w:pPr>
        <w:ind w:left="1797" w:hanging="316"/>
      </w:pPr>
      <w:rPr>
        <w:rFonts w:hint="default"/>
      </w:rPr>
    </w:lvl>
    <w:lvl w:ilvl="3">
      <w:start w:val="0"/>
      <w:numFmt w:val="bullet"/>
      <w:lvlText w:val="•"/>
      <w:lvlJc w:val="left"/>
      <w:pPr>
        <w:ind w:left="2486" w:hanging="316"/>
      </w:pPr>
      <w:rPr>
        <w:rFonts w:hint="default"/>
      </w:rPr>
    </w:lvl>
    <w:lvl w:ilvl="4">
      <w:start w:val="0"/>
      <w:numFmt w:val="bullet"/>
      <w:lvlText w:val="•"/>
      <w:lvlJc w:val="left"/>
      <w:pPr>
        <w:ind w:left="3175" w:hanging="316"/>
      </w:pPr>
      <w:rPr>
        <w:rFonts w:hint="default"/>
      </w:rPr>
    </w:lvl>
    <w:lvl w:ilvl="5">
      <w:start w:val="0"/>
      <w:numFmt w:val="bullet"/>
      <w:lvlText w:val="•"/>
      <w:lvlJc w:val="left"/>
      <w:pPr>
        <w:ind w:left="3864" w:hanging="316"/>
      </w:pPr>
      <w:rPr>
        <w:rFonts w:hint="default"/>
      </w:rPr>
    </w:lvl>
    <w:lvl w:ilvl="6">
      <w:start w:val="0"/>
      <w:numFmt w:val="bullet"/>
      <w:lvlText w:val="•"/>
      <w:lvlJc w:val="left"/>
      <w:pPr>
        <w:ind w:left="4553" w:hanging="316"/>
      </w:pPr>
      <w:rPr>
        <w:rFonts w:hint="default"/>
      </w:rPr>
    </w:lvl>
    <w:lvl w:ilvl="7">
      <w:start w:val="0"/>
      <w:numFmt w:val="bullet"/>
      <w:lvlText w:val="•"/>
      <w:lvlJc w:val="left"/>
      <w:pPr>
        <w:ind w:left="5242" w:hanging="316"/>
      </w:pPr>
      <w:rPr>
        <w:rFonts w:hint="default"/>
      </w:rPr>
    </w:lvl>
    <w:lvl w:ilvl="8">
      <w:start w:val="0"/>
      <w:numFmt w:val="bullet"/>
      <w:lvlText w:val="•"/>
      <w:lvlJc w:val="left"/>
      <w:pPr>
        <w:ind w:left="5931" w:hanging="316"/>
      </w:pPr>
      <w:rPr>
        <w:rFonts w:hint="default"/>
      </w:rPr>
    </w:lvl>
  </w:abstractNum>
  <w:abstractNum w:abstractNumId="3">
    <w:multiLevelType w:val="hybridMultilevel"/>
    <w:lvl w:ilvl="0">
      <w:start w:val="1"/>
      <w:numFmt w:val="upperRoman"/>
      <w:lvlText w:val="%1"/>
      <w:lvlJc w:val="left"/>
      <w:pPr>
        <w:ind w:left="391" w:hanging="159"/>
        <w:jc w:val="left"/>
      </w:pPr>
      <w:rPr>
        <w:rFonts w:hint="default" w:ascii="宋体" w:hAnsi="宋体" w:eastAsia="宋体" w:cs="宋体"/>
        <w:w w:val="100"/>
        <w:sz w:val="21"/>
        <w:szCs w:val="21"/>
      </w:rPr>
    </w:lvl>
    <w:lvl w:ilvl="1">
      <w:start w:val="0"/>
      <w:numFmt w:val="bullet"/>
      <w:lvlText w:val="•"/>
      <w:lvlJc w:val="left"/>
      <w:pPr>
        <w:ind w:left="1080" w:hanging="159"/>
      </w:pPr>
      <w:rPr>
        <w:rFonts w:hint="default"/>
      </w:rPr>
    </w:lvl>
    <w:lvl w:ilvl="2">
      <w:start w:val="0"/>
      <w:numFmt w:val="bullet"/>
      <w:lvlText w:val="•"/>
      <w:lvlJc w:val="left"/>
      <w:pPr>
        <w:ind w:left="1760" w:hanging="159"/>
      </w:pPr>
      <w:rPr>
        <w:rFonts w:hint="default"/>
      </w:rPr>
    </w:lvl>
    <w:lvl w:ilvl="3">
      <w:start w:val="0"/>
      <w:numFmt w:val="bullet"/>
      <w:lvlText w:val="•"/>
      <w:lvlJc w:val="left"/>
      <w:pPr>
        <w:ind w:left="2441" w:hanging="159"/>
      </w:pPr>
      <w:rPr>
        <w:rFonts w:hint="default"/>
      </w:rPr>
    </w:lvl>
    <w:lvl w:ilvl="4">
      <w:start w:val="0"/>
      <w:numFmt w:val="bullet"/>
      <w:lvlText w:val="•"/>
      <w:lvlJc w:val="left"/>
      <w:pPr>
        <w:ind w:left="3121" w:hanging="159"/>
      </w:pPr>
      <w:rPr>
        <w:rFonts w:hint="default"/>
      </w:rPr>
    </w:lvl>
    <w:lvl w:ilvl="5">
      <w:start w:val="0"/>
      <w:numFmt w:val="bullet"/>
      <w:lvlText w:val="•"/>
      <w:lvlJc w:val="left"/>
      <w:pPr>
        <w:ind w:left="3802"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62" w:hanging="159"/>
      </w:pPr>
      <w:rPr>
        <w:rFonts w:hint="default"/>
      </w:rPr>
    </w:lvl>
    <w:lvl w:ilvl="8">
      <w:start w:val="0"/>
      <w:numFmt w:val="bullet"/>
      <w:lvlText w:val="•"/>
      <w:lvlJc w:val="left"/>
      <w:pPr>
        <w:ind w:left="5843" w:hanging="159"/>
      </w:pPr>
      <w:rPr>
        <w:rFonts w:hint="default"/>
      </w:rPr>
    </w:lvl>
  </w:abstractNum>
  <w:abstractNum w:abstractNumId="2">
    <w:multiLevelType w:val="hybridMultilevel"/>
    <w:lvl w:ilvl="0">
      <w:start w:val="1"/>
      <w:numFmt w:val="decimal"/>
      <w:lvlText w:val="%1"/>
      <w:lvlJc w:val="left"/>
      <w:pPr>
        <w:ind w:left="517" w:hanging="211"/>
        <w:jc w:val="right"/>
      </w:pPr>
      <w:rPr>
        <w:rFonts w:hint="default" w:ascii="宋体" w:hAnsi="宋体" w:eastAsia="宋体" w:cs="宋体"/>
        <w:w w:val="100"/>
        <w:sz w:val="18"/>
        <w:szCs w:val="18"/>
      </w:rPr>
    </w:lvl>
    <w:lvl w:ilvl="1">
      <w:start w:val="0"/>
      <w:numFmt w:val="bullet"/>
      <w:lvlText w:val="•"/>
      <w:lvlJc w:val="left"/>
      <w:pPr>
        <w:ind w:left="1202" w:hanging="211"/>
      </w:pPr>
      <w:rPr>
        <w:rFonts w:hint="default"/>
      </w:rPr>
    </w:lvl>
    <w:lvl w:ilvl="2">
      <w:start w:val="0"/>
      <w:numFmt w:val="bullet"/>
      <w:lvlText w:val="•"/>
      <w:lvlJc w:val="left"/>
      <w:pPr>
        <w:ind w:left="1885" w:hanging="211"/>
      </w:pPr>
      <w:rPr>
        <w:rFonts w:hint="default"/>
      </w:rPr>
    </w:lvl>
    <w:lvl w:ilvl="3">
      <w:start w:val="0"/>
      <w:numFmt w:val="bullet"/>
      <w:lvlText w:val="•"/>
      <w:lvlJc w:val="left"/>
      <w:pPr>
        <w:ind w:left="2567" w:hanging="211"/>
      </w:pPr>
      <w:rPr>
        <w:rFonts w:hint="default"/>
      </w:rPr>
    </w:lvl>
    <w:lvl w:ilvl="4">
      <w:start w:val="0"/>
      <w:numFmt w:val="bullet"/>
      <w:lvlText w:val="•"/>
      <w:lvlJc w:val="left"/>
      <w:pPr>
        <w:ind w:left="3250" w:hanging="211"/>
      </w:pPr>
      <w:rPr>
        <w:rFonts w:hint="default"/>
      </w:rPr>
    </w:lvl>
    <w:lvl w:ilvl="5">
      <w:start w:val="0"/>
      <w:numFmt w:val="bullet"/>
      <w:lvlText w:val="•"/>
      <w:lvlJc w:val="left"/>
      <w:pPr>
        <w:ind w:left="3932" w:hanging="211"/>
      </w:pPr>
      <w:rPr>
        <w:rFonts w:hint="default"/>
      </w:rPr>
    </w:lvl>
    <w:lvl w:ilvl="6">
      <w:start w:val="0"/>
      <w:numFmt w:val="bullet"/>
      <w:lvlText w:val="•"/>
      <w:lvlJc w:val="left"/>
      <w:pPr>
        <w:ind w:left="4615" w:hanging="211"/>
      </w:pPr>
      <w:rPr>
        <w:rFonts w:hint="default"/>
      </w:rPr>
    </w:lvl>
    <w:lvl w:ilvl="7">
      <w:start w:val="0"/>
      <w:numFmt w:val="bullet"/>
      <w:lvlText w:val="•"/>
      <w:lvlJc w:val="left"/>
      <w:pPr>
        <w:ind w:left="5297" w:hanging="211"/>
      </w:pPr>
      <w:rPr>
        <w:rFonts w:hint="default"/>
      </w:rPr>
    </w:lvl>
    <w:lvl w:ilvl="8">
      <w:start w:val="0"/>
      <w:numFmt w:val="bullet"/>
      <w:lvlText w:val="•"/>
      <w:lvlJc w:val="left"/>
      <w:pPr>
        <w:ind w:left="5980" w:hanging="211"/>
      </w:pPr>
      <w:rPr>
        <w:rFonts w:hint="default"/>
      </w:rPr>
    </w:lvl>
  </w:abstractNum>
  <w:abstractNum w:abstractNumId="1">
    <w:multiLevelType w:val="hybridMultilevel"/>
    <w:lvl w:ilvl="0">
      <w:start w:val="7"/>
      <w:numFmt w:val="decimal"/>
      <w:lvlText w:val="%1."/>
      <w:lvlJc w:val="left"/>
      <w:pPr>
        <w:ind w:left="1733" w:hanging="420"/>
        <w:jc w:val="left"/>
      </w:pPr>
      <w:rPr>
        <w:rFonts w:hint="default"/>
        <w:w w:val="100"/>
      </w:rPr>
    </w:lvl>
    <w:lvl w:ilvl="1">
      <w:start w:val="0"/>
      <w:numFmt w:val="bullet"/>
      <w:lvlText w:val="•"/>
      <w:lvlJc w:val="left"/>
      <w:pPr>
        <w:ind w:left="2276" w:hanging="420"/>
      </w:pPr>
      <w:rPr>
        <w:rFonts w:hint="default"/>
      </w:rPr>
    </w:lvl>
    <w:lvl w:ilvl="2">
      <w:start w:val="0"/>
      <w:numFmt w:val="bullet"/>
      <w:lvlText w:val="•"/>
      <w:lvlJc w:val="left"/>
      <w:pPr>
        <w:ind w:left="2812" w:hanging="420"/>
      </w:pPr>
      <w:rPr>
        <w:rFonts w:hint="default"/>
      </w:rPr>
    </w:lvl>
    <w:lvl w:ilvl="3">
      <w:start w:val="0"/>
      <w:numFmt w:val="bullet"/>
      <w:lvlText w:val="•"/>
      <w:lvlJc w:val="left"/>
      <w:pPr>
        <w:ind w:left="3349" w:hanging="420"/>
      </w:pPr>
      <w:rPr>
        <w:rFonts w:hint="default"/>
      </w:rPr>
    </w:lvl>
    <w:lvl w:ilvl="4">
      <w:start w:val="0"/>
      <w:numFmt w:val="bullet"/>
      <w:lvlText w:val="•"/>
      <w:lvlJc w:val="left"/>
      <w:pPr>
        <w:ind w:left="3885" w:hanging="420"/>
      </w:pPr>
      <w:rPr>
        <w:rFonts w:hint="default"/>
      </w:rPr>
    </w:lvl>
    <w:lvl w:ilvl="5">
      <w:start w:val="0"/>
      <w:numFmt w:val="bullet"/>
      <w:lvlText w:val="•"/>
      <w:lvlJc w:val="left"/>
      <w:pPr>
        <w:ind w:left="4422" w:hanging="420"/>
      </w:pPr>
      <w:rPr>
        <w:rFonts w:hint="default"/>
      </w:rPr>
    </w:lvl>
    <w:lvl w:ilvl="6">
      <w:start w:val="0"/>
      <w:numFmt w:val="bullet"/>
      <w:lvlText w:val="•"/>
      <w:lvlJc w:val="left"/>
      <w:pPr>
        <w:ind w:left="4958" w:hanging="420"/>
      </w:pPr>
      <w:rPr>
        <w:rFonts w:hint="default"/>
      </w:rPr>
    </w:lvl>
    <w:lvl w:ilvl="7">
      <w:start w:val="0"/>
      <w:numFmt w:val="bullet"/>
      <w:lvlText w:val="•"/>
      <w:lvlJc w:val="left"/>
      <w:pPr>
        <w:ind w:left="5494" w:hanging="420"/>
      </w:pPr>
      <w:rPr>
        <w:rFonts w:hint="default"/>
      </w:rPr>
    </w:lvl>
    <w:lvl w:ilvl="8">
      <w:start w:val="0"/>
      <w:numFmt w:val="bullet"/>
      <w:lvlText w:val="•"/>
      <w:lvlJc w:val="left"/>
      <w:pPr>
        <w:ind w:left="6031" w:hanging="420"/>
      </w:pPr>
      <w:rPr>
        <w:rFonts w:hint="default"/>
      </w:rPr>
    </w:lvl>
  </w:abstractNum>
  <w:abstractNum w:abstractNumId="0">
    <w:multiLevelType w:val="hybridMultilevel"/>
    <w:lvl w:ilvl="0">
      <w:start w:val="1"/>
      <w:numFmt w:val="decimal"/>
      <w:lvlText w:val="%1."/>
      <w:lvlJc w:val="left"/>
      <w:pPr>
        <w:ind w:left="1732"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276" w:hanging="420"/>
      </w:pPr>
      <w:rPr>
        <w:rFonts w:hint="default"/>
      </w:rPr>
    </w:lvl>
    <w:lvl w:ilvl="2">
      <w:start w:val="0"/>
      <w:numFmt w:val="bullet"/>
      <w:lvlText w:val="•"/>
      <w:lvlJc w:val="left"/>
      <w:pPr>
        <w:ind w:left="2813" w:hanging="420"/>
      </w:pPr>
      <w:rPr>
        <w:rFonts w:hint="default"/>
      </w:rPr>
    </w:lvl>
    <w:lvl w:ilvl="3">
      <w:start w:val="0"/>
      <w:numFmt w:val="bullet"/>
      <w:lvlText w:val="•"/>
      <w:lvlJc w:val="left"/>
      <w:pPr>
        <w:ind w:left="3350" w:hanging="420"/>
      </w:pPr>
      <w:rPr>
        <w:rFonts w:hint="default"/>
      </w:rPr>
    </w:lvl>
    <w:lvl w:ilvl="4">
      <w:start w:val="0"/>
      <w:numFmt w:val="bullet"/>
      <w:lvlText w:val="•"/>
      <w:lvlJc w:val="left"/>
      <w:pPr>
        <w:ind w:left="3887" w:hanging="420"/>
      </w:pPr>
      <w:rPr>
        <w:rFonts w:hint="default"/>
      </w:rPr>
    </w:lvl>
    <w:lvl w:ilvl="5">
      <w:start w:val="0"/>
      <w:numFmt w:val="bullet"/>
      <w:lvlText w:val="•"/>
      <w:lvlJc w:val="left"/>
      <w:pPr>
        <w:ind w:left="4424"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498" w:hanging="420"/>
      </w:pPr>
      <w:rPr>
        <w:rFonts w:hint="default"/>
      </w:rPr>
    </w:lvl>
    <w:lvl w:ilvl="8">
      <w:start w:val="0"/>
      <w:numFmt w:val="bullet"/>
      <w:lvlText w:val="•"/>
      <w:lvlJc w:val="left"/>
      <w:pPr>
        <w:ind w:left="603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6"/>
      <w:ind w:left="2856"/>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2018-10-20T04:28:58Z</dcterms:created>
  <dcterms:modified xsi:type="dcterms:W3CDTF">2018-10-20T04:28:58Z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Acrobat PDFMaker 7.0 for Word</vt:lpwstr>
  </property>
  <property fmtid="{D5CDD505-2E9C-101B-9397-08002B2CF9AE}" pid="4" name="LastSaved">
    <vt:filetime>2018-10-19T00:00:00Z</vt:filetime>
  </property>
</Properties>
</file>